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2F74" w:rsidR="000C4B5F" w:rsidP="00B5331B" w:rsidRDefault="000C4B5F" w14:paraId="294869F9" w14:textId="40C3D6BC">
      <w:pPr>
        <w:pStyle w:val="BodyText"/>
        <w:ind w:left="2160" w:firstLine="720"/>
        <w:rPr>
          <w:b/>
          <w:bCs/>
        </w:rPr>
      </w:pPr>
      <w:r w:rsidRPr="00AA2F74">
        <w:rPr>
          <w:b/>
          <w:bCs/>
        </w:rPr>
        <w:t>Supporting Statement – Part A</w:t>
      </w:r>
    </w:p>
    <w:p w:rsidRPr="006F7B27" w:rsidR="0092438B" w:rsidP="004305FE" w:rsidRDefault="0092438B" w14:paraId="5D17F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rsidRPr="006F7B27" w:rsidR="00D26EEF" w:rsidP="0092438B" w:rsidRDefault="0092438B" w14:paraId="1BFF0392" w14:textId="0A8E1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Pr="00DA3D8C" w:rsidR="00D26EEF" w:rsidP="00DA4FD4" w:rsidRDefault="00D26EEF" w14:paraId="2138BB2D" w14:textId="409F1DE3">
      <w:pPr>
        <w:pStyle w:val="Heading1"/>
        <w:numPr>
          <w:ilvl w:val="0"/>
          <w:numId w:val="9"/>
        </w:numPr>
      </w:pPr>
      <w:r w:rsidRPr="00DA3D8C">
        <w:t>Background</w:t>
      </w:r>
    </w:p>
    <w:p w:rsidR="00092C2E" w:rsidP="00730BEF" w:rsidRDefault="00092C2E" w14:paraId="591B3C55" w14:textId="15A851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Merit-based Incentive Payment System (MIPS) is a program for certain eligible clinicians that makes Medicare payment adjustments based on performance on quality, cost and other measures and activities. MIPS and Advanced Alternative Payment Models (AAPMs) are the two paths for clinicians available through the Quality Payment Program authorized by the Medicare Access and CHIP Reauthorization Act of 2015 (MACRA). As prescribed by MACRA, MIPS focuses on the following</w:t>
      </w:r>
      <w:r w:rsidR="0082361B">
        <w:t xml:space="preserve"> performance areas</w:t>
      </w:r>
      <w:r>
        <w:t>: quality – a set of evidence-based, specialty-specific standards</w:t>
      </w:r>
      <w:r w:rsidR="000E0A28">
        <w:t>;</w:t>
      </w:r>
      <w:r>
        <w:t xml:space="preserve"> </w:t>
      </w:r>
      <w:r w:rsidR="000C4731">
        <w:t>i</w:t>
      </w:r>
      <w:r w:rsidR="0082361B">
        <w:t xml:space="preserve">mprovement activities that focus on </w:t>
      </w:r>
      <w:r>
        <w:t>practice-based improvement</w:t>
      </w:r>
      <w:r w:rsidR="0082361B">
        <w:t>s</w:t>
      </w:r>
      <w:r>
        <w:t xml:space="preserve">; cost; and use of Certified Electronic Health Record Technology (CEHRT) to support interoperability and advanced quality objectives in a single, cohesive program that avoids redundancies. </w:t>
      </w:r>
    </w:p>
    <w:p w:rsidR="00092C2E" w:rsidP="00730BEF" w:rsidRDefault="00092C2E" w14:paraId="16CA6E7B" w14:textId="2941F6E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092C2E" w:rsidP="00730BEF" w:rsidRDefault="00092C2E" w14:paraId="026BC257" w14:textId="3C90C18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w:t>
      </w:r>
      <w:r w:rsidR="00F93DED">
        <w:t xml:space="preserve"> </w:t>
      </w:r>
      <w:r>
        <w:t>MIPS</w:t>
      </w:r>
      <w:r w:rsidR="00AF0D67">
        <w:t xml:space="preserve"> eligible clinicians</w:t>
      </w:r>
      <w:r w:rsidR="004C150A">
        <w:t xml:space="preserve">, </w:t>
      </w:r>
      <w:r w:rsidR="00AF0D67">
        <w:t>groups</w:t>
      </w:r>
      <w:r w:rsidR="004C150A">
        <w:t>, and subgroups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w:t>
      </w:r>
      <w:r w:rsidR="00AB04F5">
        <w:t xml:space="preserve"> </w:t>
      </w:r>
      <w:r w:rsidR="00F049CC">
        <w:t xml:space="preserve">and </w:t>
      </w:r>
      <w:r w:rsidRPr="00D06FBB" w:rsidR="00F049CC">
        <w:t>CMS-approved survey vendors</w:t>
      </w:r>
      <w:r w:rsidR="00222D1B">
        <w:t>.</w:t>
      </w:r>
      <w:r w:rsidR="00F049CC">
        <w:rPr>
          <w:rStyle w:val="FootnoteReference"/>
        </w:rPr>
        <w:footnoteReference w:id="3"/>
      </w:r>
      <w:r>
        <w:t xml:space="preserve"> </w:t>
      </w:r>
      <w:r w:rsidR="00222D1B">
        <w:t xml:space="preserve"> </w:t>
      </w:r>
      <w:r>
        <w:t xml:space="preserve">For the improvement activities and </w:t>
      </w:r>
      <w:r w:rsidR="00E3061C">
        <w:t>Promoting Interoperability</w:t>
      </w:r>
      <w:r>
        <w:t>, clinicians</w:t>
      </w:r>
      <w:r w:rsidR="00F93DED">
        <w:t>, groups, and sub</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004277EC">
        <w:t>As finalized in the CY 2021 PFS final rule</w:t>
      </w:r>
      <w:r w:rsidR="00362371">
        <w:t xml:space="preserve"> (85 FR 84860)</w:t>
      </w:r>
      <w:r w:rsidR="004277EC">
        <w:t xml:space="preserve">, </w:t>
      </w:r>
      <w:r w:rsidRPr="004D3864" w:rsidR="009F3A58">
        <w:rPr>
          <w:rFonts w:eastAsia="Calibri"/>
        </w:rPr>
        <w:t xml:space="preserve">for clinicians in APM Entities, the APM Performance Pathway </w:t>
      </w:r>
      <w:r w:rsidR="004277EC">
        <w:rPr>
          <w:rFonts w:eastAsia="Calibri"/>
        </w:rPr>
        <w:t xml:space="preserve">will be available </w:t>
      </w:r>
      <w:r w:rsidRPr="004D3864" w:rsidR="009F3A58">
        <w:rPr>
          <w:rFonts w:eastAsia="Calibri"/>
        </w:rPr>
        <w:t>for both ACO</w:t>
      </w:r>
      <w:r w:rsidR="003D0BD2">
        <w:rPr>
          <w:rFonts w:eastAsia="Calibri"/>
        </w:rPr>
        <w:t>s</w:t>
      </w:r>
      <w:r w:rsidRPr="004D3864" w:rsidR="009F3A58">
        <w:rPr>
          <w:rFonts w:eastAsia="Calibri"/>
        </w:rPr>
        <w:t xml:space="preserve"> and non</w:t>
      </w:r>
      <w:r w:rsidR="00C70A18">
        <w:rPr>
          <w:rFonts w:eastAsia="Calibri"/>
        </w:rPr>
        <w:t>-</w:t>
      </w:r>
      <w:r w:rsidRPr="004D3864" w:rsidR="009F3A58">
        <w:rPr>
          <w:rFonts w:eastAsia="Calibri"/>
        </w:rPr>
        <w:t>ACOs</w:t>
      </w:r>
      <w:r w:rsidR="009F3A58">
        <w:rPr>
          <w:rFonts w:eastAsia="Calibri"/>
        </w:rPr>
        <w:t xml:space="preserve"> to submit quality data. D</w:t>
      </w:r>
      <w:r w:rsidRPr="00457777" w:rsidR="009F3A58">
        <w:rPr>
          <w:rFonts w:eastAsia="Calibri"/>
        </w:rPr>
        <w:t xml:space="preserve">ue to data limitations and our inability to determine who would use the APM Performance Pathway versus the traditional MIPS submission </w:t>
      </w:r>
      <w:r w:rsidR="009F3A58">
        <w:rPr>
          <w:rFonts w:eastAsia="Calibri"/>
        </w:rPr>
        <w:t xml:space="preserve">mechanism for the </w:t>
      </w:r>
      <w:r w:rsidR="000C7754">
        <w:rPr>
          <w:rFonts w:eastAsia="Calibri"/>
        </w:rPr>
        <w:t xml:space="preserve">CY </w:t>
      </w:r>
      <w:r w:rsidR="009F3A58">
        <w:rPr>
          <w:rFonts w:eastAsia="Calibri"/>
        </w:rPr>
        <w:t>202</w:t>
      </w:r>
      <w:r w:rsidR="007E6712">
        <w:rPr>
          <w:rFonts w:eastAsia="Calibri"/>
        </w:rPr>
        <w:t>3</w:t>
      </w:r>
      <w:r w:rsidR="009F3A58">
        <w:rPr>
          <w:rFonts w:eastAsia="Calibri"/>
        </w:rPr>
        <w:t xml:space="preserve"> performance period</w:t>
      </w:r>
      <w:r w:rsidR="000C7754">
        <w:rPr>
          <w:rFonts w:eastAsia="Calibri"/>
        </w:rPr>
        <w:t>/</w:t>
      </w:r>
      <w:r w:rsidR="00EC3380">
        <w:rPr>
          <w:rFonts w:eastAsia="Calibri"/>
        </w:rPr>
        <w:t>202</w:t>
      </w:r>
      <w:r w:rsidR="007E6712">
        <w:rPr>
          <w:rFonts w:eastAsia="Calibri"/>
        </w:rPr>
        <w:t>5</w:t>
      </w:r>
      <w:r w:rsidR="00EC3380">
        <w:rPr>
          <w:rFonts w:eastAsia="Calibri"/>
        </w:rPr>
        <w:t xml:space="preserve"> MIPS payment year</w:t>
      </w:r>
      <w:r w:rsidRPr="00457777" w:rsidR="009F3A58">
        <w:rPr>
          <w:rFonts w:eastAsia="Calibri"/>
        </w:rPr>
        <w:t>, we assume ACO APM Entities will submit data through the APM Performance Pathway</w:t>
      </w:r>
      <w:r w:rsidR="004277EC">
        <w:rPr>
          <w:rFonts w:eastAsia="Calibri"/>
        </w:rPr>
        <w:t>, using the CMS Web Interface option,</w:t>
      </w:r>
      <w:r w:rsidR="009F3A58">
        <w:rPr>
          <w:rFonts w:eastAsia="Calibri"/>
        </w:rPr>
        <w:t xml:space="preserve"> and</w:t>
      </w:r>
      <w:r w:rsidRPr="00457777" w:rsidR="009F3A58">
        <w:rPr>
          <w:rFonts w:eastAsia="Calibri"/>
        </w:rPr>
        <w:t xml:space="preserve"> non-ACO APM Entities would participate through traditional MIPS</w:t>
      </w:r>
      <w:r w:rsidR="009F3A58">
        <w:rPr>
          <w:rFonts w:eastAsia="Calibri"/>
        </w:rPr>
        <w:t xml:space="preserve">, thereby </w:t>
      </w:r>
      <w:r w:rsidRPr="00457777" w:rsidR="009F3A58">
        <w:rPr>
          <w:rFonts w:eastAsia="Calibri"/>
        </w:rPr>
        <w:t>submit</w:t>
      </w:r>
      <w:r w:rsidR="009F3A58">
        <w:rPr>
          <w:rFonts w:eastAsia="Calibri"/>
        </w:rPr>
        <w:t>ting</w:t>
      </w:r>
      <w:r w:rsidRPr="00457777" w:rsidR="009F3A58">
        <w:rPr>
          <w:rFonts w:eastAsia="Calibri"/>
        </w:rPr>
        <w:t xml:space="preserve"> as an individual or group rather than as an entity</w:t>
      </w:r>
      <w:r w:rsidR="009F3A58">
        <w:rPr>
          <w:rFonts w:eastAsia="Calibri"/>
        </w:rPr>
        <w:t xml:space="preserve">. </w:t>
      </w:r>
      <w:bookmarkStart w:name="_Hlk86306834" w:id="0"/>
      <w:r w:rsidR="00074B93">
        <w:rPr>
          <w:rFonts w:eastAsia="Calibri"/>
        </w:rPr>
        <w:t xml:space="preserve">We </w:t>
      </w:r>
      <w:r w:rsidR="003937B7">
        <w:rPr>
          <w:rFonts w:eastAsia="Calibri"/>
        </w:rPr>
        <w:t xml:space="preserve">note that </w:t>
      </w:r>
      <w:r w:rsidR="00074B93">
        <w:rPr>
          <w:rFonts w:eastAsia="Calibri"/>
        </w:rPr>
        <w:t>t</w:t>
      </w:r>
      <w:r w:rsidR="00F96E93">
        <w:rPr>
          <w:rFonts w:eastAsia="Calibri"/>
        </w:rPr>
        <w:t xml:space="preserve">he CMS Web Interface </w:t>
      </w:r>
      <w:r w:rsidR="00BB3AF9">
        <w:rPr>
          <w:rFonts w:eastAsia="Calibri"/>
        </w:rPr>
        <w:t xml:space="preserve">is available </w:t>
      </w:r>
      <w:r w:rsidR="00781673">
        <w:rPr>
          <w:rFonts w:eastAsia="Calibri"/>
        </w:rPr>
        <w:t>as a collection type/</w:t>
      </w:r>
      <w:r w:rsidR="00E7131D">
        <w:rPr>
          <w:rFonts w:eastAsia="Calibri"/>
        </w:rPr>
        <w:t xml:space="preserve">submission type </w:t>
      </w:r>
      <w:r w:rsidR="00FA27CC">
        <w:rPr>
          <w:rFonts w:eastAsia="Calibri"/>
        </w:rPr>
        <w:t xml:space="preserve">through the CY 2024 performance period/2026 MIPS payment year </w:t>
      </w:r>
      <w:r w:rsidR="009458A7">
        <w:rPr>
          <w:rFonts w:eastAsia="Calibri"/>
        </w:rPr>
        <w:t xml:space="preserve">only </w:t>
      </w:r>
      <w:r w:rsidR="00823417">
        <w:rPr>
          <w:rFonts w:eastAsia="Calibri"/>
        </w:rPr>
        <w:t>for</w:t>
      </w:r>
      <w:r w:rsidR="00B83F08">
        <w:rPr>
          <w:rFonts w:eastAsia="Calibri"/>
        </w:rPr>
        <w:t xml:space="preserve"> </w:t>
      </w:r>
      <w:r w:rsidR="00823417">
        <w:rPr>
          <w:rFonts w:eastAsia="Calibri"/>
        </w:rPr>
        <w:t>clinicians</w:t>
      </w:r>
      <w:r w:rsidR="00EB4CC0">
        <w:rPr>
          <w:rFonts w:eastAsia="Calibri"/>
        </w:rPr>
        <w:t xml:space="preserve"> </w:t>
      </w:r>
      <w:r w:rsidR="000359E5">
        <w:rPr>
          <w:rFonts w:eastAsia="Calibri"/>
        </w:rPr>
        <w:t>in Shared Savings Program reporting the APM Performance Pathway</w:t>
      </w:r>
      <w:r w:rsidR="004A5122">
        <w:rPr>
          <w:rFonts w:eastAsia="Calibri"/>
        </w:rPr>
        <w:t>.</w:t>
      </w:r>
      <w:r w:rsidR="009F3A58">
        <w:rPr>
          <w:rFonts w:eastAsia="Calibri"/>
        </w:rPr>
        <w:t xml:space="preserve"> </w:t>
      </w:r>
      <w:bookmarkEnd w:id="0"/>
    </w:p>
    <w:p w:rsidR="00053F1B" w:rsidP="00730BEF" w:rsidRDefault="00557485" w14:paraId="59758923" w14:textId="3F6948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lastRenderedPageBreak/>
        <w:t>B</w:t>
      </w:r>
      <w:r w:rsidR="00D715BE">
        <w:rPr>
          <w:rFonts w:eastAsia="Calibri"/>
        </w:rPr>
        <w:t xml:space="preserve">eginning with </w:t>
      </w:r>
      <w:r w:rsidR="000B2A23">
        <w:rPr>
          <w:rFonts w:eastAsia="Calibri"/>
        </w:rPr>
        <w:t>Jan</w:t>
      </w:r>
      <w:r w:rsidR="005523E8">
        <w:rPr>
          <w:rFonts w:eastAsia="Calibri"/>
        </w:rPr>
        <w:t xml:space="preserve">uary 1 of </w:t>
      </w:r>
      <w:r w:rsidR="00D715BE">
        <w:rPr>
          <w:rFonts w:eastAsia="Calibri"/>
        </w:rPr>
        <w:t>the CY 2023 performance period/2025 MIPS payment year</w:t>
      </w:r>
      <w:r w:rsidR="009E3CC3">
        <w:rPr>
          <w:rFonts w:eastAsia="Calibri"/>
        </w:rPr>
        <w:t xml:space="preserve">, individual clinicians, groups, and APM Entities </w:t>
      </w:r>
      <w:r w:rsidR="00842E0F">
        <w:rPr>
          <w:rFonts w:eastAsia="Calibri"/>
        </w:rPr>
        <w:t>could choose to report the measures and activities in a MIPS Value Pathway (MVP)</w:t>
      </w:r>
      <w:r w:rsidR="00D715BE">
        <w:rPr>
          <w:rFonts w:eastAsia="Calibri"/>
        </w:rPr>
        <w:t xml:space="preserve">. </w:t>
      </w:r>
      <w:r w:rsidR="009F488E">
        <w:rPr>
          <w:rFonts w:eastAsia="Calibri"/>
        </w:rPr>
        <w:t>Beg</w:t>
      </w:r>
      <w:r w:rsidR="002F4823">
        <w:rPr>
          <w:rFonts w:eastAsia="Calibri"/>
        </w:rPr>
        <w:t xml:space="preserve">inning with the CY 2023 performance period/2025 MIPS payment year, </w:t>
      </w:r>
      <w:r w:rsidR="00E35448">
        <w:rPr>
          <w:rFonts w:eastAsia="Calibri"/>
        </w:rPr>
        <w:t xml:space="preserve">clinicians could </w:t>
      </w:r>
      <w:r w:rsidR="00777882">
        <w:rPr>
          <w:rFonts w:eastAsia="Calibri"/>
        </w:rPr>
        <w:t>choose to</w:t>
      </w:r>
      <w:r w:rsidR="00E35448">
        <w:rPr>
          <w:rFonts w:eastAsia="Calibri"/>
        </w:rPr>
        <w:t xml:space="preserve"> participate </w:t>
      </w:r>
      <w:r w:rsidR="00777882">
        <w:rPr>
          <w:rFonts w:eastAsia="Calibri"/>
        </w:rPr>
        <w:t>as</w:t>
      </w:r>
      <w:r w:rsidR="00872BC4">
        <w:rPr>
          <w:rFonts w:eastAsia="Calibri"/>
        </w:rPr>
        <w:t xml:space="preserve"> subgroup</w:t>
      </w:r>
      <w:r w:rsidR="00777882">
        <w:rPr>
          <w:rFonts w:eastAsia="Calibri"/>
        </w:rPr>
        <w:t>s for</w:t>
      </w:r>
      <w:r w:rsidR="00872BC4">
        <w:rPr>
          <w:rFonts w:eastAsia="Calibri"/>
        </w:rPr>
        <w:t xml:space="preserve"> </w:t>
      </w:r>
      <w:r w:rsidR="000719C7">
        <w:rPr>
          <w:rFonts w:eastAsia="Calibri"/>
        </w:rPr>
        <w:t xml:space="preserve">reporting the </w:t>
      </w:r>
      <w:r w:rsidR="00777882">
        <w:rPr>
          <w:rFonts w:eastAsia="Calibri"/>
        </w:rPr>
        <w:t xml:space="preserve">measures and activities in an </w:t>
      </w:r>
      <w:r w:rsidR="000719C7">
        <w:rPr>
          <w:rFonts w:eastAsia="Calibri"/>
        </w:rPr>
        <w:t xml:space="preserve">MVP. </w:t>
      </w:r>
      <w:r w:rsidR="00777882">
        <w:rPr>
          <w:rFonts w:eastAsia="Calibri"/>
        </w:rPr>
        <w:t xml:space="preserve">We note that the subgroup reporting option is not available </w:t>
      </w:r>
      <w:r w:rsidR="000537A9">
        <w:rPr>
          <w:rFonts w:eastAsia="Calibri"/>
        </w:rPr>
        <w:t xml:space="preserve">for clinicians participating </w:t>
      </w:r>
      <w:r w:rsidR="00777882">
        <w:rPr>
          <w:rFonts w:eastAsia="Calibri"/>
        </w:rPr>
        <w:t>in traditional MIPS.</w:t>
      </w:r>
    </w:p>
    <w:p w:rsidR="007A2AC5" w:rsidP="00730BEF" w:rsidRDefault="0071510C" w14:paraId="43989032" w14:textId="0327F14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A5555">
        <w:t xml:space="preserve">For the Promoting Interoperability performance category, </w:t>
      </w:r>
      <w:r w:rsidR="00B329CD">
        <w:rPr>
          <w:rFonts w:eastAsia="Calibri"/>
        </w:rPr>
        <w:t>in the CY 202</w:t>
      </w:r>
      <w:r w:rsidR="00936D46">
        <w:rPr>
          <w:rFonts w:eastAsia="Calibri"/>
        </w:rPr>
        <w:t>3</w:t>
      </w:r>
      <w:r w:rsidR="00B329CD">
        <w:rPr>
          <w:rFonts w:eastAsia="Calibri"/>
        </w:rPr>
        <w:t xml:space="preserve"> </w:t>
      </w:r>
      <w:r w:rsidR="004F7EB8">
        <w:rPr>
          <w:rFonts w:eastAsia="Calibri"/>
        </w:rPr>
        <w:t xml:space="preserve">PFS </w:t>
      </w:r>
      <w:r w:rsidR="00936D46">
        <w:rPr>
          <w:rFonts w:eastAsia="Calibri"/>
        </w:rPr>
        <w:t>proposed</w:t>
      </w:r>
      <w:r w:rsidR="00D44F13">
        <w:rPr>
          <w:rFonts w:eastAsia="Calibri"/>
        </w:rPr>
        <w:t xml:space="preserve"> </w:t>
      </w:r>
      <w:r w:rsidR="00B329CD">
        <w:rPr>
          <w:rFonts w:eastAsia="Calibri"/>
        </w:rPr>
        <w:t>rule</w:t>
      </w:r>
      <w:r w:rsidR="00936D46">
        <w:rPr>
          <w:rFonts w:eastAsia="Calibri"/>
        </w:rPr>
        <w:t>, we are proposing a</w:t>
      </w:r>
      <w:r w:rsidR="00835587">
        <w:rPr>
          <w:rFonts w:eastAsia="Calibri"/>
        </w:rPr>
        <w:t>n additional requirement</w:t>
      </w:r>
      <w:r w:rsidRPr="00936D46" w:rsidR="00936D46">
        <w:rPr>
          <w:color w:val="000000" w:themeColor="text1"/>
        </w:rPr>
        <w:t xml:space="preserve"> </w:t>
      </w:r>
      <w:r w:rsidRPr="00A646F5" w:rsidR="00936D46">
        <w:rPr>
          <w:color w:val="000000" w:themeColor="text1"/>
        </w:rPr>
        <w:t>for the Public Health and Clinical Data Exchange Objective</w:t>
      </w:r>
      <w:r w:rsidR="00835587">
        <w:rPr>
          <w:color w:val="000000" w:themeColor="text1"/>
        </w:rPr>
        <w:t>. Specifically</w:t>
      </w:r>
      <w:r w:rsidRPr="00A646F5" w:rsidR="00936D46">
        <w:rPr>
          <w:color w:val="000000" w:themeColor="text1"/>
        </w:rPr>
        <w:t>, in addition to submitting responses for the required measures and any optional measures a MIPS eligible clinician chooses to report, we propose to require MIPS eligible clinicians to submit their level of active engagement, either Pre-production and Validation or Validated Data Production, for each measure they report beginning with the CY 2023</w:t>
      </w:r>
      <w:r w:rsidR="007A2AC5">
        <w:rPr>
          <w:color w:val="000000" w:themeColor="text1"/>
        </w:rPr>
        <w:t xml:space="preserve"> performance period/2025 MIPS payment year</w:t>
      </w:r>
      <w:r w:rsidRPr="00A646F5" w:rsidR="00936D46">
        <w:rPr>
          <w:color w:val="000000" w:themeColor="text1"/>
        </w:rPr>
        <w:t xml:space="preserve">.  </w:t>
      </w:r>
    </w:p>
    <w:p w:rsidR="00092C2E" w:rsidP="00730BEF" w:rsidRDefault="00680B4B" w14:paraId="79BCE1BF" w14:textId="097D153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name="_Hlk107571851" w:id="1"/>
      <w:r>
        <w:rPr>
          <w:rFonts w:eastAsia="Calibri"/>
        </w:rPr>
        <w:t xml:space="preserve">For the improvement activities performance category, </w:t>
      </w:r>
      <w:r w:rsidRPr="00A646F5" w:rsidR="003546EE">
        <w:rPr>
          <w:rFonts w:eastAsia="Calibri"/>
          <w:color w:val="000000" w:themeColor="text1"/>
        </w:rPr>
        <w:t xml:space="preserve">we are proposing changes to the improvement activities </w:t>
      </w:r>
      <w:r w:rsidR="004C08AF">
        <w:rPr>
          <w:rFonts w:eastAsia="Calibri"/>
          <w:color w:val="000000" w:themeColor="text1"/>
        </w:rPr>
        <w:t>i</w:t>
      </w:r>
      <w:r w:rsidRPr="00A646F5" w:rsidR="003546EE">
        <w:rPr>
          <w:rFonts w:eastAsia="Calibri"/>
          <w:color w:val="000000" w:themeColor="text1"/>
        </w:rPr>
        <w:t xml:space="preserve">nventory for the CY </w:t>
      </w:r>
      <w:r w:rsidRPr="00A646F5" w:rsidR="003546EE">
        <w:rPr>
          <w:color w:val="000000" w:themeColor="text1"/>
        </w:rPr>
        <w:t xml:space="preserve">2023 performance period/2025 MIPS payment year </w:t>
      </w:r>
      <w:r w:rsidRPr="00A646F5" w:rsidR="003546EE">
        <w:rPr>
          <w:rFonts w:eastAsia="Calibri"/>
          <w:color w:val="000000" w:themeColor="text1"/>
        </w:rPr>
        <w:t xml:space="preserve">and future years as follows: adding 4 new improvement activities; modifying </w:t>
      </w:r>
      <w:r w:rsidR="003546EE">
        <w:rPr>
          <w:rFonts w:eastAsia="Calibri"/>
          <w:color w:val="000000" w:themeColor="text1"/>
        </w:rPr>
        <w:t>5</w:t>
      </w:r>
      <w:r w:rsidRPr="00A646F5" w:rsidR="003546EE">
        <w:rPr>
          <w:rFonts w:eastAsia="Calibri"/>
          <w:color w:val="000000" w:themeColor="text1"/>
        </w:rPr>
        <w:t xml:space="preserve"> existing improvement activities; and removing </w:t>
      </w:r>
      <w:r w:rsidR="003546EE">
        <w:rPr>
          <w:rFonts w:eastAsia="Calibri"/>
          <w:color w:val="000000" w:themeColor="text1"/>
        </w:rPr>
        <w:t>6</w:t>
      </w:r>
      <w:r w:rsidRPr="00A646F5" w:rsidR="003546EE">
        <w:rPr>
          <w:rFonts w:eastAsia="Calibri"/>
          <w:color w:val="000000" w:themeColor="text1"/>
        </w:rPr>
        <w:t xml:space="preserve"> </w:t>
      </w:r>
      <w:r w:rsidRPr="002266F0" w:rsidR="003546EE">
        <w:rPr>
          <w:rFonts w:eastAsia="Calibri"/>
          <w:color w:val="000000" w:themeColor="text1"/>
        </w:rPr>
        <w:t xml:space="preserve">previously adopted improvement activities. </w:t>
      </w:r>
    </w:p>
    <w:bookmarkEnd w:id="1"/>
    <w:p w:rsidR="00092C2E" w:rsidP="00730BEF" w:rsidRDefault="00092C2E" w14:paraId="0C5A2936" w14:textId="5E36A8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w:t>
      </w:r>
      <w:r w:rsidR="00B92A08">
        <w:t xml:space="preserve">Additionally, there are information collections related to AAPMs. Please see sections 12 and 15 of the Supporting Statement for details. </w:t>
      </w:r>
    </w:p>
    <w:p w:rsidRPr="00773D83" w:rsidR="006104BA" w:rsidP="00730BEF" w:rsidRDefault="00F24A7F" w14:paraId="45E11F45" w14:textId="7B4A5A5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requesting approval of </w:t>
      </w:r>
      <w:r w:rsidRPr="00580609" w:rsidR="004277EC">
        <w:t>2</w:t>
      </w:r>
      <w:r w:rsidR="001760B2">
        <w:t>3</w:t>
      </w:r>
      <w:r w:rsidR="00092C2E">
        <w:t xml:space="preserve"> information collect</w:t>
      </w:r>
      <w:r>
        <w:t>ions associated with the CY 20</w:t>
      </w:r>
      <w:r w:rsidR="00FA3435">
        <w:t>2</w:t>
      </w:r>
      <w:r w:rsidR="001760B2">
        <w:t>3</w:t>
      </w:r>
      <w:r w:rsidR="00092C2E">
        <w:t xml:space="preserve"> </w:t>
      </w:r>
      <w:r w:rsidR="00AB7DAC">
        <w:t xml:space="preserve">PFS </w:t>
      </w:r>
      <w:r w:rsidR="001760B2">
        <w:t>proposed</w:t>
      </w:r>
      <w:r w:rsidR="001B305E">
        <w:t xml:space="preserve"> </w:t>
      </w:r>
      <w:r>
        <w:t>rule</w:t>
      </w:r>
      <w:r w:rsidR="00092C2E">
        <w:t xml:space="preserve"> as a revision to </w:t>
      </w:r>
      <w:r w:rsidR="005D6106">
        <w:t xml:space="preserve">our </w:t>
      </w:r>
      <w:r w:rsidR="00092C2E">
        <w:t>currently approved</w:t>
      </w:r>
      <w:r w:rsidR="005D6106">
        <w:t xml:space="preser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w:t>
      </w:r>
      <w:r w:rsidR="00464A4C">
        <w:t xml:space="preserve">CMS has </w:t>
      </w:r>
      <w:r w:rsidR="00975413">
        <w:t xml:space="preserve">requested approval of </w:t>
      </w:r>
      <w:r w:rsidR="00464A4C">
        <w:t xml:space="preserve">the </w:t>
      </w:r>
      <w:r w:rsidR="002B6CEF">
        <w:t>collection of information associated with the</w:t>
      </w:r>
      <w:r w:rsidR="00092C2E">
        <w:t xml:space="preserve"> CAHPS for MIPS </w:t>
      </w:r>
      <w:r w:rsidR="00FA3435">
        <w:t>s</w:t>
      </w:r>
      <w:r w:rsidR="00FA08D5">
        <w:t xml:space="preserve">urvey under OMB control number </w:t>
      </w:r>
      <w:r w:rsidR="00092C2E">
        <w:t>0938-1222</w:t>
      </w:r>
      <w:r w:rsidR="00415939">
        <w:t xml:space="preserve"> </w:t>
      </w:r>
      <w:r w:rsidRPr="00415939" w:rsidR="00415939">
        <w:t>(CMS-10450)</w:t>
      </w:r>
      <w:r w:rsidR="00975413">
        <w:t>. CMS has already received approval</w:t>
      </w:r>
      <w:r w:rsidR="00A126D9">
        <w:t xml:space="preserve"> </w:t>
      </w:r>
      <w:r w:rsidR="00092C2E">
        <w:t xml:space="preserve">for collection of information associated with the virtual </w:t>
      </w:r>
      <w:r w:rsidRPr="00773D83" w:rsidR="00092C2E">
        <w:t>group election process under OMB control number 0938-1343</w:t>
      </w:r>
      <w:r w:rsidRPr="00773D83" w:rsidR="00415939">
        <w:t xml:space="preserve"> (CMS-10652)</w:t>
      </w:r>
      <w:r w:rsidRPr="00773D83" w:rsidR="00092C2E">
        <w:t>.</w:t>
      </w:r>
    </w:p>
    <w:p w:rsidRPr="00773D83" w:rsidR="00DE618E" w:rsidP="00730BEF" w:rsidRDefault="00DE618E" w14:paraId="5044EF2B" w14:textId="22579C6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3D83">
        <w:t xml:space="preserve">The changes in this </w:t>
      </w:r>
      <w:r w:rsidRPr="00773D83" w:rsidR="005E24E9">
        <w:t xml:space="preserve">CY </w:t>
      </w:r>
      <w:r w:rsidRPr="00773D83">
        <w:t>202</w:t>
      </w:r>
      <w:r w:rsidR="00001818">
        <w:t>3</w:t>
      </w:r>
      <w:r w:rsidRPr="00773D83">
        <w:t xml:space="preserve"> collection of information request </w:t>
      </w:r>
      <w:r w:rsidRPr="00773D83" w:rsidR="001103DB">
        <w:t xml:space="preserve">are </w:t>
      </w:r>
      <w:r w:rsidRPr="00773D83">
        <w:t xml:space="preserve">associated with our </w:t>
      </w:r>
      <w:r w:rsidRPr="001D56CD" w:rsidR="0072260F">
        <w:t>July</w:t>
      </w:r>
      <w:r w:rsidRPr="001D56CD" w:rsidR="004F684E">
        <w:t xml:space="preserve"> </w:t>
      </w:r>
      <w:r w:rsidRPr="001D56CD" w:rsidR="0045349C">
        <w:t>7</w:t>
      </w:r>
      <w:r w:rsidRPr="001D56CD" w:rsidR="00450CAF">
        <w:t>,</w:t>
      </w:r>
      <w:r w:rsidRPr="001D56CD" w:rsidR="00A148A2">
        <w:t xml:space="preserve"> 202</w:t>
      </w:r>
      <w:r w:rsidRPr="001D56CD" w:rsidR="00001818">
        <w:t>2</w:t>
      </w:r>
      <w:r w:rsidRPr="001D56CD">
        <w:t xml:space="preserve"> </w:t>
      </w:r>
      <w:r w:rsidRPr="001D56CD" w:rsidR="00001818">
        <w:t>proposed</w:t>
      </w:r>
      <w:r w:rsidRPr="001D56CD" w:rsidR="005E24E9">
        <w:t xml:space="preserve"> </w:t>
      </w:r>
      <w:r w:rsidRPr="001D56CD">
        <w:t>rule (CMS-17</w:t>
      </w:r>
      <w:r w:rsidRPr="001D56CD" w:rsidR="00001818">
        <w:t>70</w:t>
      </w:r>
      <w:r w:rsidRPr="001D56CD">
        <w:t>-</w:t>
      </w:r>
      <w:r w:rsidRPr="001D56CD" w:rsidR="00001818">
        <w:t>P</w:t>
      </w:r>
      <w:r w:rsidRPr="001D56CD">
        <w:t xml:space="preserve">, RIN </w:t>
      </w:r>
      <w:r w:rsidRPr="001D56CD" w:rsidR="00714D4F">
        <w:t>0938-AU</w:t>
      </w:r>
      <w:r w:rsidRPr="001D56CD" w:rsidR="00912CC1">
        <w:t>81</w:t>
      </w:r>
      <w:r w:rsidRPr="001D56CD">
        <w:t>).</w:t>
      </w:r>
      <w:r w:rsidRPr="00773D83">
        <w:t xml:space="preserve"> </w:t>
      </w:r>
    </w:p>
    <w:p w:rsidR="00AF4D16" w:rsidP="5FE474A5" w:rsidRDefault="59033EB0" w14:paraId="15345F37" w14:textId="10DE2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3D83">
        <w:t xml:space="preserve">Where updated data and assumptions </w:t>
      </w:r>
      <w:r w:rsidRPr="00773D83" w:rsidR="6D45C891">
        <w:t>w</w:t>
      </w:r>
      <w:r w:rsidRPr="00773D83" w:rsidR="00694107">
        <w:t>ere</w:t>
      </w:r>
      <w:r w:rsidRPr="00773D83" w:rsidR="6D45C891">
        <w:t xml:space="preserve"> available for the</w:t>
      </w:r>
      <w:r w:rsidRPr="00773D83">
        <w:t xml:space="preserve"> CY 202</w:t>
      </w:r>
      <w:r w:rsidR="001D6028">
        <w:t>3</w:t>
      </w:r>
      <w:r w:rsidRPr="00773D83">
        <w:t xml:space="preserve"> </w:t>
      </w:r>
      <w:r w:rsidRPr="00773D83" w:rsidR="00D66416">
        <w:t xml:space="preserve">PFS </w:t>
      </w:r>
      <w:r w:rsidR="001D6028">
        <w:t>proposed</w:t>
      </w:r>
      <w:r w:rsidRPr="00773D83">
        <w:t xml:space="preserve"> rule, we have</w:t>
      </w:r>
      <w:r>
        <w:t xml:space="preserve"> </w:t>
      </w:r>
      <w:proofErr w:type="gramStart"/>
      <w:r>
        <w:t>made adjustments to</w:t>
      </w:r>
      <w:proofErr w:type="gramEnd"/>
      <w:r>
        <w:t xml:space="preserve"> applicable ICRs. </w:t>
      </w:r>
      <w:r w:rsidRPr="5FE474A5" w:rsidR="00C6843A">
        <w:rPr>
          <w:rFonts w:eastAsia="Calibri"/>
        </w:rPr>
        <w:t xml:space="preserve">In aggregate, we estimate </w:t>
      </w:r>
      <w:r w:rsidR="000731E6">
        <w:rPr>
          <w:rFonts w:eastAsia="Calibri"/>
        </w:rPr>
        <w:t xml:space="preserve">that </w:t>
      </w:r>
      <w:r w:rsidRPr="5FE474A5" w:rsidR="00C6843A">
        <w:rPr>
          <w:rFonts w:eastAsia="Calibri"/>
        </w:rPr>
        <w:t xml:space="preserve">the </w:t>
      </w:r>
      <w:r w:rsidR="00D90EFE">
        <w:rPr>
          <w:rFonts w:eastAsia="Calibri"/>
        </w:rPr>
        <w:t>proposed</w:t>
      </w:r>
      <w:r w:rsidR="00116015">
        <w:rPr>
          <w:rFonts w:eastAsia="Calibri"/>
        </w:rPr>
        <w:t xml:space="preserve"> </w:t>
      </w:r>
      <w:r w:rsidRPr="5FE474A5" w:rsidR="00C6843A">
        <w:rPr>
          <w:rFonts w:eastAsia="Calibri"/>
        </w:rPr>
        <w:t xml:space="preserve">policies will result in a net </w:t>
      </w:r>
      <w:r w:rsidR="00172434">
        <w:rPr>
          <w:rFonts w:eastAsia="Calibri"/>
        </w:rPr>
        <w:t>de</w:t>
      </w:r>
      <w:r w:rsidRPr="5FE474A5" w:rsidR="00C6843A">
        <w:rPr>
          <w:rFonts w:eastAsia="Calibri"/>
        </w:rPr>
        <w:t xml:space="preserve">crease in burden of </w:t>
      </w:r>
      <w:r w:rsidR="00A844FF">
        <w:rPr>
          <w:rFonts w:eastAsia="Calibri"/>
        </w:rPr>
        <w:t>11,039</w:t>
      </w:r>
      <w:r w:rsidRPr="5FE474A5" w:rsidR="00C6843A">
        <w:rPr>
          <w:rFonts w:eastAsia="Calibri"/>
        </w:rPr>
        <w:t xml:space="preserve"> hours and $</w:t>
      </w:r>
      <w:r w:rsidR="00A844FF">
        <w:rPr>
          <w:rFonts w:eastAsia="Calibri"/>
        </w:rPr>
        <w:t>1</w:t>
      </w:r>
      <w:r w:rsidR="006B2C02">
        <w:rPr>
          <w:rFonts w:eastAsia="Calibri"/>
        </w:rPr>
        <w:t>,213,933</w:t>
      </w:r>
      <w:r w:rsidRPr="5FE474A5" w:rsidR="00C6843A">
        <w:rPr>
          <w:rFonts w:eastAsia="Calibri"/>
        </w:rPr>
        <w:t xml:space="preserve"> for the </w:t>
      </w:r>
      <w:r w:rsidR="00C52330">
        <w:rPr>
          <w:rFonts w:eastAsia="Calibri"/>
        </w:rPr>
        <w:t xml:space="preserve">CY </w:t>
      </w:r>
      <w:r w:rsidRPr="5FE474A5" w:rsidR="00C6843A">
        <w:rPr>
          <w:rFonts w:eastAsia="Calibri"/>
        </w:rPr>
        <w:t>202</w:t>
      </w:r>
      <w:r w:rsidR="006B2C02">
        <w:rPr>
          <w:rFonts w:eastAsia="Calibri"/>
        </w:rPr>
        <w:t>3</w:t>
      </w:r>
      <w:r w:rsidRPr="5FE474A5" w:rsidR="00C6843A">
        <w:rPr>
          <w:rFonts w:eastAsia="Calibri"/>
        </w:rPr>
        <w:t xml:space="preserve"> performance period</w:t>
      </w:r>
      <w:r w:rsidR="00C52330">
        <w:rPr>
          <w:rFonts w:eastAsia="Calibri"/>
        </w:rPr>
        <w:t>/202</w:t>
      </w:r>
      <w:r w:rsidR="006B2C02">
        <w:rPr>
          <w:rFonts w:eastAsia="Calibri"/>
        </w:rPr>
        <w:t>5</w:t>
      </w:r>
      <w:r w:rsidR="00C52330">
        <w:rPr>
          <w:rFonts w:eastAsia="Calibri"/>
        </w:rPr>
        <w:t xml:space="preserve"> MIPS payment year</w:t>
      </w:r>
      <w:r w:rsidR="001F6D0A">
        <w:rPr>
          <w:rFonts w:eastAsia="Calibri"/>
        </w:rPr>
        <w:t xml:space="preserve">. </w:t>
      </w:r>
      <w:r w:rsidR="47908E26">
        <w:t>In total, we estimate a</w:t>
      </w:r>
      <w:r w:rsidR="006B2C02">
        <w:t>n</w:t>
      </w:r>
      <w:r w:rsidR="00C6843A">
        <w:t xml:space="preserve"> </w:t>
      </w:r>
      <w:r w:rsidR="006B2C02">
        <w:t>in</w:t>
      </w:r>
      <w:r w:rsidR="47908E26">
        <w:t>crease in burden of</w:t>
      </w:r>
      <w:r w:rsidR="00B7342D">
        <w:t xml:space="preserve"> </w:t>
      </w:r>
      <w:r w:rsidR="006B2C02">
        <w:t>79,215</w:t>
      </w:r>
      <w:r w:rsidR="47908E26">
        <w:t xml:space="preserve"> hours and </w:t>
      </w:r>
      <w:r w:rsidRPr="00E53E05" w:rsidR="47908E26">
        <w:t>$</w:t>
      </w:r>
      <w:r w:rsidR="006B2C02">
        <w:t>8,411,851</w:t>
      </w:r>
      <w:r w:rsidR="00364EC2">
        <w:t xml:space="preserve"> </w:t>
      </w:r>
      <w:r w:rsidR="00C6843A">
        <w:t xml:space="preserve">for the </w:t>
      </w:r>
      <w:r w:rsidR="005F0063">
        <w:t xml:space="preserve">CY </w:t>
      </w:r>
      <w:r w:rsidR="00C6843A">
        <w:t>202</w:t>
      </w:r>
      <w:r w:rsidR="006B2C02">
        <w:t>3</w:t>
      </w:r>
      <w:r w:rsidR="00C6843A">
        <w:t xml:space="preserve"> performance period</w:t>
      </w:r>
      <w:r w:rsidR="005F0063">
        <w:t>/202</w:t>
      </w:r>
      <w:r w:rsidR="00031441">
        <w:t>5</w:t>
      </w:r>
      <w:r w:rsidR="005F0063">
        <w:t xml:space="preserve"> MIPS payment year</w:t>
      </w:r>
      <w:r w:rsidR="00B61BE5">
        <w:t xml:space="preserve"> due to updated data and assumptions as well as </w:t>
      </w:r>
      <w:r w:rsidR="00031441">
        <w:t>proposed</w:t>
      </w:r>
      <w:r w:rsidR="00B61BE5">
        <w:t xml:space="preserve"> policies.</w:t>
      </w:r>
      <w:r w:rsidR="00BE2903">
        <w:t xml:space="preserve"> </w:t>
      </w:r>
    </w:p>
    <w:p w:rsidR="00541438" w:rsidP="5FE474A5" w:rsidRDefault="00AF4D16" w14:paraId="5AB2409C" w14:textId="316CB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discussed in sections 12 and 15 of this Supporting Statement, </w:t>
      </w:r>
      <w:r>
        <w:rPr>
          <w:rFonts w:eastAsia="Calibri"/>
        </w:rPr>
        <w:t>t</w:t>
      </w:r>
      <w:r w:rsidRPr="5FE474A5" w:rsidR="00C6843A">
        <w:rPr>
          <w:rFonts w:eastAsia="Calibri"/>
        </w:rPr>
        <w:t xml:space="preserve">he </w:t>
      </w:r>
      <w:r w:rsidR="002515BF">
        <w:rPr>
          <w:rFonts w:eastAsia="Calibri"/>
        </w:rPr>
        <w:t>proposed</w:t>
      </w:r>
      <w:r w:rsidRPr="5FE474A5" w:rsidR="00C6843A">
        <w:rPr>
          <w:rFonts w:eastAsia="Calibri"/>
        </w:rPr>
        <w:t xml:space="preserve"> polic</w:t>
      </w:r>
      <w:r w:rsidR="004020D9">
        <w:rPr>
          <w:rFonts w:eastAsia="Calibri"/>
        </w:rPr>
        <w:t>ies in the CY 202</w:t>
      </w:r>
      <w:r w:rsidR="002515BF">
        <w:rPr>
          <w:rFonts w:eastAsia="Calibri"/>
        </w:rPr>
        <w:t>3</w:t>
      </w:r>
      <w:r w:rsidR="004020D9">
        <w:rPr>
          <w:rFonts w:eastAsia="Calibri"/>
        </w:rPr>
        <w:t xml:space="preserve"> PFS </w:t>
      </w:r>
      <w:r w:rsidR="002515BF">
        <w:rPr>
          <w:rFonts w:eastAsia="Calibri"/>
        </w:rPr>
        <w:t>proposed</w:t>
      </w:r>
      <w:r w:rsidR="004020D9">
        <w:rPr>
          <w:rFonts w:eastAsia="Calibri"/>
        </w:rPr>
        <w:t xml:space="preserve"> rule will result in a</w:t>
      </w:r>
      <w:r w:rsidR="00806A0C">
        <w:rPr>
          <w:rFonts w:eastAsia="Calibri"/>
        </w:rPr>
        <w:t xml:space="preserve"> de</w:t>
      </w:r>
      <w:r w:rsidR="004020D9">
        <w:rPr>
          <w:rFonts w:eastAsia="Calibri"/>
        </w:rPr>
        <w:t xml:space="preserve">crease in burden </w:t>
      </w:r>
      <w:r w:rsidR="00C6464A">
        <w:rPr>
          <w:rFonts w:eastAsia="Calibri"/>
        </w:rPr>
        <w:t xml:space="preserve">for the ICRs related to </w:t>
      </w:r>
      <w:r w:rsidR="00806A0C">
        <w:rPr>
          <w:rFonts w:eastAsia="Calibri"/>
        </w:rPr>
        <w:t xml:space="preserve">the </w:t>
      </w:r>
      <w:r w:rsidR="002F196C">
        <w:t xml:space="preserve">data submission via </w:t>
      </w:r>
      <w:r w:rsidR="6CE663F3">
        <w:t xml:space="preserve">the </w:t>
      </w:r>
      <w:r w:rsidR="00806A0C">
        <w:t>Medicare Part B Claims</w:t>
      </w:r>
      <w:r w:rsidR="004A69A7">
        <w:t xml:space="preserve">, </w:t>
      </w:r>
      <w:r w:rsidR="6CE663F3">
        <w:t>MIPS CQM QCDR</w:t>
      </w:r>
      <w:r w:rsidR="009D71BA">
        <w:t>,</w:t>
      </w:r>
      <w:r w:rsidR="6CE663F3">
        <w:t xml:space="preserve"> and eCQM collection types for the quality performance category</w:t>
      </w:r>
      <w:r w:rsidR="003D47DA">
        <w:t xml:space="preserve"> due</w:t>
      </w:r>
      <w:r w:rsidRPr="002A020B" w:rsidR="002A020B">
        <w:t xml:space="preserve"> to the proposed increase in the number of respondents submitting for the MVP quality performance category</w:t>
      </w:r>
      <w:r w:rsidR="00895741">
        <w:t xml:space="preserve">. </w:t>
      </w:r>
      <w:r w:rsidR="00050DA1">
        <w:t xml:space="preserve">We also estimate that the </w:t>
      </w:r>
      <w:r w:rsidR="00AF6022">
        <w:t>proposed</w:t>
      </w:r>
      <w:r w:rsidR="00050DA1">
        <w:t xml:space="preserve"> policies in the CY 202</w:t>
      </w:r>
      <w:r w:rsidR="00AF6022">
        <w:t>3</w:t>
      </w:r>
      <w:r w:rsidR="00050DA1">
        <w:t xml:space="preserve"> PFS </w:t>
      </w:r>
      <w:r w:rsidR="00AF6022">
        <w:t>proposed</w:t>
      </w:r>
      <w:r w:rsidR="00050DA1">
        <w:t xml:space="preserve"> rule will result in a</w:t>
      </w:r>
      <w:r w:rsidR="00AF6022">
        <w:t>n</w:t>
      </w:r>
      <w:r w:rsidR="00050DA1">
        <w:t xml:space="preserve"> </w:t>
      </w:r>
      <w:r w:rsidR="00AF6022">
        <w:t>in</w:t>
      </w:r>
      <w:r w:rsidR="00050DA1">
        <w:t>crease in burden for the ICR</w:t>
      </w:r>
      <w:r w:rsidR="00AF6022">
        <w:t>s</w:t>
      </w:r>
      <w:r w:rsidR="00050DA1">
        <w:t xml:space="preserve"> related to</w:t>
      </w:r>
      <w:r w:rsidR="00EA5764">
        <w:t xml:space="preserve"> MVP registration, MVP quality submission, and data submission for the Promoting </w:t>
      </w:r>
      <w:r w:rsidR="00EA5764">
        <w:lastRenderedPageBreak/>
        <w:t>Interoperability performance category</w:t>
      </w:r>
      <w:r w:rsidR="00050DA1">
        <w:t xml:space="preserve">. </w:t>
      </w:r>
      <w:r w:rsidR="6CE663F3">
        <w:t>The remaining changes to our currently approved burden estimates are adjustments due to the use of updated data sources</w:t>
      </w:r>
      <w:r w:rsidR="00CC689C">
        <w:t xml:space="preserve"> and assumptions</w:t>
      </w:r>
      <w:r w:rsidR="6CE663F3">
        <w:t>.</w:t>
      </w:r>
    </w:p>
    <w:p w:rsidR="00541438" w:rsidP="37DEA0D4" w:rsidRDefault="00541438" w14:paraId="3A097E81" w14:textId="761BD1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w:t>
      </w:r>
      <w:r w:rsidR="000146DA">
        <w:t xml:space="preserve">are also </w:t>
      </w:r>
      <w:r w:rsidR="0028693F">
        <w:t>requesting</w:t>
      </w:r>
      <w:r w:rsidR="000146DA">
        <w:t xml:space="preserve"> to </w:t>
      </w:r>
      <w:r w:rsidR="00626871">
        <w:t>add</w:t>
      </w:r>
      <w:r>
        <w:t xml:space="preserve"> </w:t>
      </w:r>
      <w:r w:rsidR="003B1274">
        <w:t>one</w:t>
      </w:r>
      <w:r>
        <w:t xml:space="preserve"> new ICR</w:t>
      </w:r>
      <w:r w:rsidR="003B1274">
        <w:t xml:space="preserve"> to capture the</w:t>
      </w:r>
      <w:r w:rsidR="00D90B24">
        <w:t xml:space="preserve"> estimated</w:t>
      </w:r>
      <w:r w:rsidR="003B1274">
        <w:t xml:space="preserve"> burden for </w:t>
      </w:r>
      <w:r w:rsidR="00D90B24">
        <w:t>third party intermediary plan audits</w:t>
      </w:r>
      <w:r w:rsidR="002D5486">
        <w:t xml:space="preserve">. </w:t>
      </w:r>
      <w:r w:rsidR="00AE7279">
        <w:t xml:space="preserve">We added the new ICR to distinctly capture the </w:t>
      </w:r>
      <w:r w:rsidRPr="00B86B38" w:rsidR="00553A88">
        <w:rPr>
          <w:rFonts w:eastAsia="Calibri"/>
          <w:color w:val="000000" w:themeColor="text1"/>
        </w:rPr>
        <w:t>capture the burden for collection of information related to: (</w:t>
      </w:r>
      <w:r w:rsidR="00553A88">
        <w:rPr>
          <w:rFonts w:eastAsia="Calibri"/>
          <w:color w:val="000000" w:themeColor="text1"/>
        </w:rPr>
        <w:t>1</w:t>
      </w:r>
      <w:r w:rsidRPr="00B86B38" w:rsidR="00553A88">
        <w:rPr>
          <w:rFonts w:eastAsia="Calibri"/>
          <w:color w:val="000000" w:themeColor="text1"/>
        </w:rPr>
        <w:t>) QCDR and qualified registry targeted audits as established under the conditions for approval at § 414.1400(b)(3)(vi) through (viii); and (</w:t>
      </w:r>
      <w:r w:rsidR="00553A88">
        <w:rPr>
          <w:rFonts w:eastAsia="Calibri"/>
          <w:color w:val="000000" w:themeColor="text1"/>
        </w:rPr>
        <w:t>2</w:t>
      </w:r>
      <w:r w:rsidRPr="00B86B38" w:rsidR="00553A88">
        <w:rPr>
          <w:rFonts w:eastAsia="Calibri"/>
          <w:color w:val="000000" w:themeColor="text1"/>
        </w:rPr>
        <w:t>) all the requirements for remedial action and termination at § 414.1400(e). For simplicity, we capture the estimated burden for third party intermediaries to submit additional requirements for compliance with both the conditions of approval and remedial action and termination criteria under one ICR. We note that the proposed addition of this ICR is not due to proposed policy changes in this rule, but rather it is a change in our approach to representing the estimated burden for third party intermediaries in the CY 2022 PFS final rule (86 FR 65569 through 65576)</w:t>
      </w:r>
      <w:r w:rsidR="00553A88">
        <w:rPr>
          <w:rFonts w:eastAsia="Calibri"/>
          <w:color w:val="000000" w:themeColor="text1"/>
        </w:rPr>
        <w:t>.</w:t>
      </w:r>
    </w:p>
    <w:p w:rsidR="00A777D6" w:rsidP="37DEA0D4" w:rsidRDefault="00A777D6" w14:paraId="1550D392" w14:textId="041768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Overall, we estimate a</w:t>
      </w:r>
      <w:r w:rsidR="0089051E">
        <w:t>n in</w:t>
      </w:r>
      <w:r>
        <w:t xml:space="preserve">crease of </w:t>
      </w:r>
      <w:r w:rsidRPr="00C03630">
        <w:t>21,</w:t>
      </w:r>
      <w:r w:rsidR="0089051E">
        <w:t>053</w:t>
      </w:r>
      <w:r>
        <w:t xml:space="preserve"> responses, </w:t>
      </w:r>
      <w:r w:rsidR="00DE0BC7">
        <w:t>79,215</w:t>
      </w:r>
      <w:r>
        <w:t xml:space="preserve"> hours, and $</w:t>
      </w:r>
      <w:r w:rsidR="00055324">
        <w:t>8,411,851</w:t>
      </w:r>
      <w:r>
        <w:t>.</w:t>
      </w:r>
    </w:p>
    <w:p w:rsidRPr="00C56C33" w:rsidR="00D26EEF" w:rsidP="00A56476" w:rsidRDefault="00D26EEF" w14:paraId="44BAFCF7" w14:textId="184819FF">
      <w:pPr>
        <w:pStyle w:val="Heading1"/>
        <w:numPr>
          <w:ilvl w:val="0"/>
          <w:numId w:val="9"/>
        </w:numPr>
      </w:pPr>
      <w:r w:rsidRPr="00C56C33">
        <w:t>Justification</w:t>
      </w:r>
    </w:p>
    <w:p w:rsidRPr="00567823" w:rsidR="006803A2" w:rsidP="003D552B" w:rsidRDefault="00D26EEF" w14:paraId="39204A0F" w14:textId="1BAFF907">
      <w:pPr>
        <w:pStyle w:val="Heading2"/>
      </w:pPr>
      <w:r w:rsidRPr="00567823">
        <w:t>Need and Legal Basis</w:t>
      </w:r>
    </w:p>
    <w:p w:rsidRPr="00155C20" w:rsidR="00155C20" w:rsidP="00D4299B" w:rsidRDefault="00EE0F11" w14:paraId="0180353A" w14:textId="543595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Our a</w:t>
      </w:r>
      <w:r w:rsidRPr="00155C20" w:rsidR="00155C20">
        <w:rPr>
          <w:szCs w:val="20"/>
        </w:rPr>
        <w:t>uthority for collect</w:t>
      </w:r>
      <w:r>
        <w:rPr>
          <w:szCs w:val="20"/>
        </w:rPr>
        <w:t>ing</w:t>
      </w:r>
      <w:r w:rsidRPr="00155C20" w:rsidR="00155C20">
        <w:rPr>
          <w:szCs w:val="20"/>
        </w:rPr>
        <w:t xml:space="preserve"> this information is provided </w:t>
      </w:r>
      <w:r w:rsidR="0012498F">
        <w:rPr>
          <w:szCs w:val="20"/>
        </w:rPr>
        <w:t xml:space="preserve">by </w:t>
      </w:r>
      <w:r w:rsidRPr="00DD223D" w:rsidR="00DD223D">
        <w:rPr>
          <w:szCs w:val="20"/>
        </w:rPr>
        <w:t>Medicare Access and CHIP Reauthorization Act of 2015 (MACRA) (Pub. L. 114-10,</w:t>
      </w:r>
      <w:r w:rsidR="00E32485">
        <w:rPr>
          <w:szCs w:val="20"/>
        </w:rPr>
        <w:t xml:space="preserve"> </w:t>
      </w:r>
      <w:r w:rsidRPr="00DD223D" w:rsidR="00DD223D">
        <w:rPr>
          <w:szCs w:val="20"/>
        </w:rPr>
        <w:t>April 16, 2015)</w:t>
      </w:r>
      <w:r w:rsidR="0012498F">
        <w:rPr>
          <w:szCs w:val="20"/>
        </w:rPr>
        <w:t xml:space="preserve"> which further amended </w:t>
      </w:r>
      <w:r w:rsidRPr="00155C20" w:rsidR="00155C20">
        <w:rPr>
          <w:szCs w:val="20"/>
        </w:rPr>
        <w:t>section 1848</w:t>
      </w:r>
      <w:r w:rsidR="0012498F">
        <w:rPr>
          <w:szCs w:val="20"/>
        </w:rPr>
        <w:t xml:space="preserve"> </w:t>
      </w:r>
      <w:r w:rsidRPr="00155C20" w:rsidR="00155C20">
        <w:rPr>
          <w:szCs w:val="20"/>
        </w:rPr>
        <w:t>and 1833 of the Act</w:t>
      </w:r>
      <w:r w:rsidR="0012498F">
        <w:rPr>
          <w:szCs w:val="20"/>
        </w:rPr>
        <w:t>, respectively</w:t>
      </w:r>
      <w:r w:rsidR="00155C20">
        <w:rPr>
          <w:szCs w:val="20"/>
        </w:rPr>
        <w:t xml:space="preserve">. </w:t>
      </w:r>
    </w:p>
    <w:p w:rsidR="00627DDE" w:rsidP="00D4299B" w:rsidRDefault="00155C20" w14:paraId="3B966655" w14:textId="26AC04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Section 1848(q) of the Act requires the establishment of the MIPS beginning with payments for items and services furnished on or after January 1, 20</w:t>
      </w:r>
      <w:r w:rsidR="00FD77E4">
        <w:rPr>
          <w:szCs w:val="20"/>
        </w:rPr>
        <w:t>19</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r w:rsidR="00E45035">
        <w:rPr>
          <w:szCs w:val="20"/>
        </w:rPr>
        <w:t xml:space="preserve">  Section 1833(z) of the Act </w:t>
      </w:r>
      <w:r w:rsidRPr="00E45035" w:rsidR="00E45035">
        <w:rPr>
          <w:szCs w:val="20"/>
        </w:rPr>
        <w:t>establishes incentive payments for clinicians who are qualifying participants in</w:t>
      </w:r>
      <w:r w:rsidR="00E45035">
        <w:rPr>
          <w:szCs w:val="20"/>
        </w:rPr>
        <w:t xml:space="preserve"> </w:t>
      </w:r>
      <w:r w:rsidRPr="00E45035" w:rsidR="00E45035">
        <w:rPr>
          <w:szCs w:val="20"/>
        </w:rPr>
        <w:t>advanced APMs</w:t>
      </w:r>
      <w:r w:rsidR="00E45035">
        <w:rPr>
          <w:szCs w:val="20"/>
        </w:rPr>
        <w:t>.</w:t>
      </w:r>
    </w:p>
    <w:p w:rsidRPr="00B11641" w:rsidR="006803A2" w:rsidP="003D552B" w:rsidRDefault="00D26EEF" w14:paraId="1FB2AB01" w14:textId="72365263">
      <w:pPr>
        <w:pStyle w:val="Heading2"/>
      </w:pPr>
      <w:r w:rsidRPr="00B11641">
        <w:t>Information Users</w:t>
      </w:r>
    </w:p>
    <w:p w:rsidR="00855847" w:rsidP="00D4299B" w:rsidRDefault="00155C20" w14:paraId="12E3B30D" w14:textId="5976864D">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CMS will use data </w:t>
      </w:r>
      <w:r w:rsidR="004306D9">
        <w:rPr>
          <w:szCs w:val="20"/>
        </w:rPr>
        <w:t xml:space="preserve">reported </w:t>
      </w:r>
      <w:r w:rsidR="00F42ABA">
        <w:rPr>
          <w:szCs w:val="20"/>
        </w:rPr>
        <w:t xml:space="preserve">or submitted </w:t>
      </w:r>
      <w:r w:rsidR="004306D9">
        <w:rPr>
          <w:szCs w:val="20"/>
        </w:rPr>
        <w:t xml:space="preserve">by MIPS eligible clinicians </w:t>
      </w:r>
      <w:r w:rsidR="00F42ABA">
        <w:rPr>
          <w:szCs w:val="20"/>
        </w:rPr>
        <w:t>as individual clinicians</w:t>
      </w:r>
      <w:r w:rsidR="00125452">
        <w:rPr>
          <w:szCs w:val="20"/>
        </w:rPr>
        <w:t xml:space="preserve"> (both required and voluntary)</w:t>
      </w:r>
      <w:r w:rsidR="007C52B7">
        <w:rPr>
          <w:szCs w:val="20"/>
        </w:rPr>
        <w:t xml:space="preserve"> or as part of groups</w:t>
      </w:r>
      <w:r w:rsidR="00125452">
        <w:rPr>
          <w:szCs w:val="20"/>
        </w:rPr>
        <w:t xml:space="preserve">, </w:t>
      </w:r>
      <w:r w:rsidR="002C174A">
        <w:rPr>
          <w:szCs w:val="20"/>
        </w:rPr>
        <w:t xml:space="preserve">subgroups, </w:t>
      </w:r>
      <w:r w:rsidR="00125452">
        <w:rPr>
          <w:szCs w:val="20"/>
        </w:rPr>
        <w:t xml:space="preserve">virtual groups, </w:t>
      </w:r>
      <w:r w:rsidR="00DF1CA2">
        <w:rPr>
          <w:szCs w:val="20"/>
        </w:rPr>
        <w:t xml:space="preserve">or APM entities.  CMS will use this data </w:t>
      </w:r>
      <w:r w:rsidRPr="00155C20">
        <w:rPr>
          <w:szCs w:val="20"/>
        </w:rPr>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004306D9">
        <w:rPr>
          <w:szCs w:val="20"/>
        </w:rPr>
        <w:t>Information provided by third party intermediaries</w:t>
      </w:r>
      <w:r w:rsidRPr="00155C20">
        <w:rPr>
          <w:szCs w:val="20"/>
        </w:rPr>
        <w:t xml:space="preserve"> may also be used for administrative purposes such as determining third party </w:t>
      </w:r>
      <w:r w:rsidR="0070637E">
        <w:rPr>
          <w:szCs w:val="20"/>
        </w:rPr>
        <w:t>intermediaries</w:t>
      </w:r>
      <w:r w:rsidRPr="00155C20" w:rsidR="0070637E">
        <w:rPr>
          <w:szCs w:val="20"/>
        </w:rPr>
        <w:t xml:space="preserve"> </w:t>
      </w:r>
      <w:r w:rsidRPr="00155C20">
        <w:rPr>
          <w:szCs w:val="20"/>
        </w:rPr>
        <w:t xml:space="preserve">and </w:t>
      </w:r>
      <w:r w:rsidR="00855847">
        <w:rPr>
          <w:szCs w:val="20"/>
        </w:rPr>
        <w:t xml:space="preserve">QCDR </w:t>
      </w:r>
      <w:r w:rsidRPr="00155C20">
        <w:rPr>
          <w:szCs w:val="20"/>
        </w:rPr>
        <w:t>measures appropriate for the MIPS program</w:t>
      </w:r>
      <w:r w:rsidR="00855847">
        <w:rPr>
          <w:szCs w:val="20"/>
        </w:rPr>
        <w:t xml:space="preserve">. Information provided by clinicians, professional societies, and other respondents will be used to consider </w:t>
      </w:r>
      <w:r w:rsidR="00855847">
        <w:rPr>
          <w:szCs w:val="20"/>
        </w:rPr>
        <w:lastRenderedPageBreak/>
        <w:t>quality and Promoting Interoperability measures, improvement activities, and MVPs for inclusion in the MIPS program.  Information provided by payers, APM Entities, and eligible clinicians will be used to determine</w:t>
      </w:r>
      <w:r w:rsidRPr="00155C20">
        <w:rPr>
          <w:szCs w:val="20"/>
        </w:rPr>
        <w:t xml:space="preserve">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855847" w:rsidP="00D4299B" w:rsidRDefault="00155C20" w14:paraId="0AA4F140" w14:textId="7590C560">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824D4">
        <w:rPr>
          <w:szCs w:val="20"/>
        </w:rPr>
        <w:t xml:space="preserve">We also use this information to provide performance feedback to MIPS eligible clinicians and eligible entities. </w:t>
      </w:r>
      <w:r w:rsidR="00235F2B">
        <w:rPr>
          <w:szCs w:val="20"/>
        </w:rPr>
        <w:t>Clinicians and beneficiaries can view</w:t>
      </w:r>
      <w:r w:rsidRPr="00C824D4" w:rsidR="000638C0">
        <w:rPr>
          <w:szCs w:val="20"/>
        </w:rPr>
        <w:t xml:space="preserve"> </w:t>
      </w:r>
      <w:r w:rsidR="00252258">
        <w:rPr>
          <w:szCs w:val="20"/>
        </w:rPr>
        <w:t>performance category data</w:t>
      </w:r>
      <w:r w:rsidR="00A22A8B">
        <w:rPr>
          <w:szCs w:val="20"/>
        </w:rPr>
        <w:t xml:space="preserve"> </w:t>
      </w:r>
      <w:r w:rsidRPr="00A22A8B" w:rsidR="00A22A8B">
        <w:rPr>
          <w:szCs w:val="20"/>
        </w:rPr>
        <w:t>and final scores</w:t>
      </w:r>
      <w:r w:rsidR="00252258">
        <w:rPr>
          <w:szCs w:val="20"/>
        </w:rPr>
        <w:t xml:space="preserve"> for a </w:t>
      </w:r>
      <w:r w:rsidRPr="00C824D4" w:rsidR="000638C0">
        <w:rPr>
          <w:szCs w:val="20"/>
        </w:rPr>
        <w:t>MIPS performance period</w:t>
      </w:r>
      <w:r w:rsidR="00252258">
        <w:rPr>
          <w:szCs w:val="20"/>
        </w:rPr>
        <w:t>/MIPS payment year</w:t>
      </w:r>
      <w:r w:rsidRPr="00C824D4" w:rsidR="000638C0">
        <w:rPr>
          <w:szCs w:val="20"/>
        </w:rPr>
        <w:t xml:space="preserve"> on </w:t>
      </w:r>
      <w:r w:rsidR="00F77EF4">
        <w:rPr>
          <w:szCs w:val="20"/>
        </w:rPr>
        <w:t>c</w:t>
      </w:r>
      <w:r w:rsidRPr="00C824D4" w:rsidR="000638C0">
        <w:rPr>
          <w:szCs w:val="20"/>
        </w:rPr>
        <w:t>ompare</w:t>
      </w:r>
      <w:r w:rsidR="00F77EF4">
        <w:rPr>
          <w:szCs w:val="20"/>
        </w:rPr>
        <w:t xml:space="preserve"> tools hosted by the </w:t>
      </w:r>
      <w:r w:rsidR="00411E92">
        <w:rPr>
          <w:szCs w:val="20"/>
        </w:rPr>
        <w:t>U.S. Department of Health and Human Services</w:t>
      </w:r>
      <w:r w:rsidR="00235F2B">
        <w:rPr>
          <w:szCs w:val="20"/>
        </w:rPr>
        <w:t xml:space="preserve">. </w:t>
      </w:r>
      <w:r w:rsidRPr="00C824D4">
        <w:rPr>
          <w:szCs w:val="20"/>
        </w:rPr>
        <w:t xml:space="preserve">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and subgroups of MIPS eligible clinicians. </w:t>
      </w:r>
    </w:p>
    <w:p w:rsidRPr="00155C20" w:rsidR="0002497D" w:rsidP="00D4299B" w:rsidRDefault="00155C20" w14:paraId="7A39A250" w14:textId="7AA5FB67">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Relevant data will be provided to federal and state agencies, Quality Improvement Networks, contractors</w:t>
      </w:r>
      <w:r w:rsidR="00402900">
        <w:rPr>
          <w:szCs w:val="20"/>
        </w:rPr>
        <w:t xml:space="preserve"> supporting the Quality Payment Program</w:t>
      </w:r>
      <w:r w:rsidRPr="00155C20">
        <w:rPr>
          <w:szCs w:val="20"/>
        </w:rPr>
        <w:t xml:space="preserve">, and parties assisting consumers, for use in administering or conducting </w:t>
      </w:r>
      <w:r w:rsidRPr="00155C20" w:rsidR="001D5307">
        <w:rPr>
          <w:szCs w:val="20"/>
        </w:rPr>
        <w:t>federally funded</w:t>
      </w:r>
      <w:r w:rsidRPr="00155C20">
        <w:rPr>
          <w:szCs w:val="20"/>
        </w:rPr>
        <w:t xml:space="preserve">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rPr>
          <w:szCs w:val="20"/>
        </w:rPr>
        <w:t xml:space="preserve">  Lastly, CMS </w:t>
      </w:r>
      <w:r w:rsidR="0026206B">
        <w:rPr>
          <w:szCs w:val="20"/>
        </w:rPr>
        <w:t xml:space="preserve">has </w:t>
      </w:r>
      <w:r w:rsidR="00023BCB">
        <w:rPr>
          <w:szCs w:val="20"/>
        </w:rPr>
        <w:t>ma</w:t>
      </w:r>
      <w:r w:rsidR="0026206B">
        <w:rPr>
          <w:szCs w:val="20"/>
        </w:rPr>
        <w:t>d</w:t>
      </w:r>
      <w:r w:rsidR="00023BCB">
        <w:rPr>
          <w:szCs w:val="20"/>
        </w:rPr>
        <w:t>e available a Public Use File present</w:t>
      </w:r>
      <w:r w:rsidR="0026206B">
        <w:rPr>
          <w:szCs w:val="20"/>
        </w:rPr>
        <w:t>ing</w:t>
      </w:r>
      <w:r w:rsidR="00023BCB">
        <w:rPr>
          <w:szCs w:val="20"/>
        </w:rPr>
        <w:t xml:space="preserve"> a comprehensive </w:t>
      </w:r>
      <w:r w:rsidRPr="00023BCB" w:rsidR="00023BCB">
        <w:rPr>
          <w:szCs w:val="20"/>
        </w:rPr>
        <w:t>data set on performance of all clinicians across all categories, measures</w:t>
      </w:r>
      <w:r w:rsidR="00023BCB">
        <w:rPr>
          <w:szCs w:val="20"/>
        </w:rPr>
        <w:t>,</w:t>
      </w:r>
      <w:r w:rsidRPr="00023BCB" w:rsidR="00023BCB">
        <w:rPr>
          <w:szCs w:val="20"/>
        </w:rPr>
        <w:t xml:space="preserve"> and activities for MIPS</w:t>
      </w:r>
      <w:r w:rsidR="0026206B">
        <w:rPr>
          <w:szCs w:val="20"/>
        </w:rPr>
        <w:t xml:space="preserve"> which will be updated annually</w:t>
      </w:r>
      <w:r w:rsidR="00023BCB">
        <w:rPr>
          <w:szCs w:val="20"/>
        </w:rPr>
        <w:t>.</w:t>
      </w:r>
    </w:p>
    <w:p w:rsidRPr="00041A6A" w:rsidR="00855847" w:rsidP="003D552B" w:rsidRDefault="000A1BC2" w14:paraId="408DC725" w14:textId="0FDBFC7C">
      <w:pPr>
        <w:pStyle w:val="Heading2"/>
      </w:pPr>
      <w:r w:rsidRPr="00041A6A">
        <w:t xml:space="preserve">Use of </w:t>
      </w:r>
      <w:r w:rsidRPr="000E7E06">
        <w:t>Information Technology</w:t>
      </w:r>
    </w:p>
    <w:p w:rsidRPr="00155C20" w:rsidR="00932A5A" w:rsidP="00730BEF" w:rsidRDefault="00155C20" w14:paraId="3B4E4A21" w14:textId="094435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form is to be </w:t>
      </w:r>
      <w:r>
        <w:t>conducted</w:t>
      </w:r>
      <w:r w:rsidRPr="0007426C">
        <w:t xml:space="preserve"> electronically.</w:t>
      </w:r>
    </w:p>
    <w:p w:rsidRPr="00041A6A" w:rsidR="000A1BC2" w:rsidP="003D552B" w:rsidRDefault="000A1BC2" w14:paraId="4A5F4C47" w14:textId="79C4AD95">
      <w:pPr>
        <w:pStyle w:val="Heading2"/>
      </w:pPr>
      <w:r w:rsidRPr="00041A6A">
        <w:t>Duplication of Efforts</w:t>
      </w:r>
    </w:p>
    <w:p w:rsidR="00155C20" w:rsidP="00730BEF" w:rsidRDefault="00155C20" w14:paraId="70479869" w14:textId="17451DC4">
      <w:pPr>
        <w:keepNext/>
        <w:keepLines/>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Pr="0059049C" w:rsidR="00155C20" w:rsidP="00730BEF" w:rsidRDefault="00155C20" w14:paraId="05AEF03B" w14:textId="1675E6EC">
      <w:pPr>
        <w:rPr>
          <w:szCs w:val="20"/>
        </w:rPr>
      </w:pPr>
      <w:r w:rsidRPr="0059049C">
        <w:rPr>
          <w:szCs w:val="20"/>
        </w:rPr>
        <w:t>With respect to participating in MIPS for MIPS APM</w:t>
      </w:r>
      <w:r w:rsidR="00416041">
        <w:rPr>
          <w:szCs w:val="20"/>
        </w:rPr>
        <w:t xml:space="preserve"> participant</w:t>
      </w:r>
      <w:r>
        <w:rPr>
          <w:szCs w:val="20"/>
        </w:rPr>
        <w:t>s</w:t>
      </w:r>
      <w:r w:rsidRPr="0059049C">
        <w:rPr>
          <w:szCs w:val="20"/>
        </w:rPr>
        <w:t>, CMS has set forth requirements that</w:t>
      </w:r>
      <w:r w:rsidR="005E6AFC">
        <w:rPr>
          <w:szCs w:val="20"/>
        </w:rPr>
        <w:t xml:space="preserve"> encourage </w:t>
      </w:r>
      <w:r w:rsidRPr="0059049C">
        <w:rPr>
          <w:szCs w:val="20"/>
        </w:rPr>
        <w:t>limit</w:t>
      </w:r>
      <w:r w:rsidR="005E6AFC">
        <w:rPr>
          <w:szCs w:val="20"/>
        </w:rPr>
        <w:t>ing</w:t>
      </w:r>
      <w:r w:rsidRPr="0059049C">
        <w:rPr>
          <w:szCs w:val="20"/>
        </w:rPr>
        <w:t xml:space="preserve"> duplication of effort</w:t>
      </w:r>
      <w:r w:rsidR="005E6AFC">
        <w:rPr>
          <w:szCs w:val="20"/>
        </w:rPr>
        <w:t>, but in the interest of providing flexibility in reporting, we cannot ensure that duplication does not occur</w:t>
      </w:r>
      <w:r w:rsidRPr="0059049C">
        <w:rPr>
          <w:szCs w:val="20"/>
        </w:rPr>
        <w:t xml:space="preserve">. </w:t>
      </w:r>
      <w:r>
        <w:rPr>
          <w:szCs w:val="20"/>
        </w:rPr>
        <w:t xml:space="preserve"> In addition, as discussed in later sections, many APM Entities w</w:t>
      </w:r>
      <w:r w:rsidR="00C06AE8">
        <w:rPr>
          <w:szCs w:val="20"/>
        </w:rPr>
        <w:t>ould</w:t>
      </w:r>
      <w:r>
        <w:rPr>
          <w:szCs w:val="20"/>
        </w:rPr>
        <w:t xml:space="preserve"> not need to submit improvement activities </w:t>
      </w:r>
      <w:r w:rsidRPr="00B27B2B">
        <w:rPr>
          <w:szCs w:val="20"/>
        </w:rPr>
        <w:t>because</w:t>
      </w:r>
      <w:r w:rsidR="00771FF3">
        <w:rPr>
          <w:szCs w:val="20"/>
        </w:rPr>
        <w:t xml:space="preserve"> they will be reporting through the APM Performance Pathway (APP)</w:t>
      </w:r>
      <w:r>
        <w:rPr>
          <w:szCs w:val="20"/>
        </w:rPr>
        <w:t xml:space="preserve">. For </w:t>
      </w:r>
      <w:r w:rsidR="003A2458">
        <w:rPr>
          <w:szCs w:val="20"/>
        </w:rPr>
        <w:t xml:space="preserve">the </w:t>
      </w:r>
      <w:r w:rsidR="005F4066">
        <w:rPr>
          <w:szCs w:val="20"/>
        </w:rPr>
        <w:t>CY 20</w:t>
      </w:r>
      <w:r w:rsidR="00667773">
        <w:rPr>
          <w:szCs w:val="20"/>
        </w:rPr>
        <w:t>2</w:t>
      </w:r>
      <w:r w:rsidR="003A2458">
        <w:rPr>
          <w:szCs w:val="20"/>
        </w:rPr>
        <w:t>3</w:t>
      </w:r>
      <w:r>
        <w:rPr>
          <w:szCs w:val="20"/>
        </w:rPr>
        <w:t xml:space="preserve"> performance period</w:t>
      </w:r>
      <w:r w:rsidR="0032182B">
        <w:rPr>
          <w:szCs w:val="20"/>
        </w:rPr>
        <w:t>/202</w:t>
      </w:r>
      <w:r w:rsidR="003A2458">
        <w:rPr>
          <w:szCs w:val="20"/>
        </w:rPr>
        <w:t>5</w:t>
      </w:r>
      <w:r w:rsidR="0032182B">
        <w:rPr>
          <w:szCs w:val="20"/>
        </w:rPr>
        <w:t xml:space="preserve"> MIPS payment year</w:t>
      </w:r>
      <w:r>
        <w:rPr>
          <w:szCs w:val="20"/>
        </w:rPr>
        <w:t xml:space="preserve">, </w:t>
      </w:r>
      <w:r w:rsidR="000C77D6">
        <w:rPr>
          <w:szCs w:val="20"/>
        </w:rPr>
        <w:t xml:space="preserve">we </w:t>
      </w:r>
      <w:r w:rsidRPr="009C4D33" w:rsidR="00592D6D">
        <w:rPr>
          <w:rFonts w:eastAsia="Calibri"/>
        </w:rPr>
        <w:t xml:space="preserve">assume that </w:t>
      </w:r>
      <w:r w:rsidR="00660171">
        <w:rPr>
          <w:rFonts w:eastAsia="Calibri"/>
        </w:rPr>
        <w:t xml:space="preserve">all </w:t>
      </w:r>
      <w:r w:rsidRPr="009C4D33" w:rsidR="00592D6D">
        <w:rPr>
          <w:rFonts w:eastAsia="Calibri"/>
        </w:rPr>
        <w:t>MIPS APM models w</w:t>
      </w:r>
      <w:r w:rsidR="008B54AA">
        <w:rPr>
          <w:rFonts w:eastAsia="Calibri"/>
        </w:rPr>
        <w:t>ould</w:t>
      </w:r>
      <w:r w:rsidRPr="009C4D33" w:rsidR="00592D6D">
        <w:rPr>
          <w:rFonts w:eastAsia="Calibri"/>
        </w:rPr>
        <w:t xml:space="preserve"> qualify for the maximum improvement activities performance category score and the APM Entities </w:t>
      </w:r>
      <w:r w:rsidR="001E6389">
        <w:rPr>
          <w:rFonts w:eastAsia="Calibri"/>
        </w:rPr>
        <w:t xml:space="preserve">reporting the APP </w:t>
      </w:r>
      <w:r w:rsidRPr="009C4D33" w:rsidR="00592D6D">
        <w:rPr>
          <w:rFonts w:eastAsia="Calibri"/>
        </w:rPr>
        <w:t>w</w:t>
      </w:r>
      <w:r w:rsidR="008B54AA">
        <w:rPr>
          <w:rFonts w:eastAsia="Calibri"/>
        </w:rPr>
        <w:t>ould</w:t>
      </w:r>
      <w:r w:rsidRPr="009C4D33" w:rsidR="00592D6D">
        <w:rPr>
          <w:rFonts w:eastAsia="Calibri"/>
        </w:rPr>
        <w:t xml:space="preserve"> not need to submit any additional improvement activities.</w:t>
      </w:r>
      <w:r w:rsidRPr="005E6AFC" w:rsidR="005E6AFC">
        <w:rPr>
          <w:rFonts w:eastAsia="Calibri"/>
        </w:rPr>
        <w:t xml:space="preserve">  </w:t>
      </w:r>
      <w:r w:rsidR="005E6AFC">
        <w:rPr>
          <w:rFonts w:eastAsia="Calibri"/>
        </w:rPr>
        <w:t>W</w:t>
      </w:r>
      <w:r w:rsidRPr="005E6AFC" w:rsidR="005E6AFC">
        <w:rPr>
          <w:rFonts w:eastAsia="Calibri"/>
        </w:rPr>
        <w:t>e assume ACO APM Entities w</w:t>
      </w:r>
      <w:r w:rsidR="008B54AA">
        <w:rPr>
          <w:rFonts w:eastAsia="Calibri"/>
        </w:rPr>
        <w:t>ould</w:t>
      </w:r>
      <w:r w:rsidRPr="005E6AFC" w:rsidR="005E6AFC">
        <w:rPr>
          <w:rFonts w:eastAsia="Calibri"/>
        </w:rPr>
        <w:t xml:space="preserve"> submit data through the APM Performance Pathway and non-ACO APM Entities would participate through traditional MIPS, thereby submitting as an individual or</w:t>
      </w:r>
      <w:r w:rsidR="00EF4F3E">
        <w:rPr>
          <w:rFonts w:eastAsia="Calibri"/>
        </w:rPr>
        <w:t xml:space="preserve"> a</w:t>
      </w:r>
      <w:r w:rsidRPr="005E6AFC" w:rsidR="005E6AFC">
        <w:rPr>
          <w:rFonts w:eastAsia="Calibri"/>
        </w:rPr>
        <w:t xml:space="preserve"> group rather than as an</w:t>
      </w:r>
      <w:r w:rsidR="009872DE">
        <w:rPr>
          <w:rFonts w:eastAsia="Calibri"/>
        </w:rPr>
        <w:t xml:space="preserve"> APM</w:t>
      </w:r>
      <w:r w:rsidRPr="005E6AFC" w:rsidR="005E6AFC">
        <w:rPr>
          <w:rFonts w:eastAsia="Calibri"/>
        </w:rPr>
        <w:t xml:space="preserve"> entity</w:t>
      </w:r>
      <w:r w:rsidR="005E6AFC">
        <w:rPr>
          <w:rFonts w:eastAsia="Calibri"/>
        </w:rPr>
        <w:t xml:space="preserve">.  </w:t>
      </w:r>
    </w:p>
    <w:p w:rsidRPr="00041A6A" w:rsidR="000C0D05" w:rsidP="003D552B" w:rsidRDefault="000A1BC2" w14:paraId="541D13C1" w14:textId="1EB18D9E">
      <w:pPr>
        <w:pStyle w:val="Heading2"/>
      </w:pPr>
      <w:r w:rsidRPr="00041A6A">
        <w:lastRenderedPageBreak/>
        <w:t>Small Businesses</w:t>
      </w:r>
    </w:p>
    <w:p w:rsidRPr="00530F7F" w:rsidR="005F4066" w:rsidP="00730BEF" w:rsidRDefault="005F4066" w14:paraId="519CD1A7" w14:textId="466D48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Because t</w:t>
      </w:r>
      <w:r w:rsidRPr="00732DAA">
        <w:rPr>
          <w:szCs w:val="20"/>
        </w:rPr>
        <w:t xml:space="preserve">he </w:t>
      </w:r>
      <w:r w:rsidRPr="0007426C">
        <w:rPr>
          <w:szCs w:val="20"/>
        </w:rPr>
        <w:t xml:space="preserve">vast majority of Medicare </w:t>
      </w:r>
      <w:r w:rsidR="00A57196">
        <w:rPr>
          <w:szCs w:val="20"/>
        </w:rPr>
        <w:t>clinicians</w:t>
      </w:r>
      <w:r w:rsidRPr="0007426C" w:rsidR="00A57196">
        <w:rPr>
          <w:szCs w:val="20"/>
        </w:rPr>
        <w:t xml:space="preserve"> </w:t>
      </w:r>
      <w:r w:rsidRPr="00A57196" w:rsidR="00A57196">
        <w:rPr>
          <w:szCs w:val="20"/>
        </w:rPr>
        <w:t xml:space="preserve">that receive Medicare payment under the PFS </w:t>
      </w:r>
      <w:r w:rsidRPr="0007426C">
        <w:rPr>
          <w:szCs w:val="20"/>
        </w:rPr>
        <w:t>(</w:t>
      </w:r>
      <w:r w:rsidR="00A57196">
        <w:rPr>
          <w:szCs w:val="20"/>
        </w:rPr>
        <w:t>approximately</w:t>
      </w:r>
      <w:r w:rsidRPr="006739FD">
        <w:rPr>
          <w:szCs w:val="20"/>
        </w:rPr>
        <w:t xml:space="preserve"> 9</w:t>
      </w:r>
      <w:r w:rsidR="002279F5">
        <w:rPr>
          <w:szCs w:val="20"/>
        </w:rPr>
        <w:t>5</w:t>
      </w:r>
      <w:r w:rsidRPr="006739FD">
        <w:rPr>
          <w:szCs w:val="20"/>
        </w:rPr>
        <w:t xml:space="preserve">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w:t>
      </w:r>
      <w:r w:rsidR="00EF4F3E">
        <w:rPr>
          <w:color w:val="000000"/>
        </w:rPr>
        <w:t>3</w:t>
      </w:r>
      <w:r w:rsidRPr="00530F7F">
        <w:rPr>
          <w:color w:val="000000"/>
        </w:rPr>
        <w:t xml:space="preserve"> </w:t>
      </w:r>
      <w:r w:rsidRPr="00530F7F" w:rsidR="00D8477B">
        <w:rPr>
          <w:color w:val="000000"/>
        </w:rPr>
        <w:t xml:space="preserve">PFS </w:t>
      </w:r>
      <w:r w:rsidR="00EF4F3E">
        <w:rPr>
          <w:color w:val="000000"/>
        </w:rPr>
        <w:t>proposed</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00912725">
        <w:t>8</w:t>
      </w:r>
      <w:r w:rsidR="00931F49">
        <w:t>65,116</w:t>
      </w:r>
      <w:r w:rsidR="00570CD5">
        <w:t xml:space="preserve"> </w:t>
      </w:r>
      <w:r w:rsidRPr="00530F7F">
        <w:t>MIPS eligible clinicians will be subject to MIPS performance requirements.</w:t>
      </w:r>
      <w:r w:rsidRPr="00530F7F">
        <w:rPr>
          <w:rStyle w:val="FootnoteReference"/>
        </w:rPr>
        <w:footnoteReference w:id="4"/>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Pr="00580609" w:rsidR="00AD1357">
        <w:rPr>
          <w:rFonts w:eastAsia="Calibri"/>
        </w:rPr>
        <w:t>10</w:t>
      </w:r>
      <w:r w:rsidR="00850982">
        <w:rPr>
          <w:rFonts w:eastAsia="Calibri"/>
        </w:rPr>
        <w:t>7,995</w:t>
      </w:r>
      <w:r w:rsidRPr="00530F7F">
        <w:t xml:space="preserve"> clinicians in eligible specialties will be excluded from MIPS data submission requirements</w:t>
      </w:r>
      <w:r w:rsidRPr="00530F7F" w:rsidR="004B588A">
        <w:t xml:space="preserve"> because they </w:t>
      </w:r>
      <w:r w:rsidR="00533543">
        <w:t xml:space="preserve">do not have sufficient </w:t>
      </w:r>
      <w:r w:rsidRPr="00530F7F" w:rsidR="004B588A">
        <w:t>charges</w:t>
      </w:r>
      <w:r w:rsidR="0002637C">
        <w:t>, services or benefici</w:t>
      </w:r>
      <w:r w:rsidR="00D53C6A">
        <w:t>a</w:t>
      </w:r>
      <w:r w:rsidR="0002637C">
        <w:t>ries</w:t>
      </w:r>
      <w:r w:rsidRPr="00530F7F" w:rsidR="004B588A">
        <w:t xml:space="preserve"> under the </w:t>
      </w:r>
      <w:r w:rsidRPr="00530F7F" w:rsidR="009A1A8C">
        <w:t xml:space="preserve">PFS </w:t>
      </w:r>
      <w:r w:rsidRPr="00530F7F" w:rsidR="004B588A">
        <w:t>and thus</w:t>
      </w:r>
      <w:r w:rsidRPr="00530F7F" w:rsidR="00480DD5">
        <w:t xml:space="preserve"> </w:t>
      </w:r>
      <w:r w:rsidRPr="00530F7F" w:rsidR="004B588A">
        <w:t>do not meet opt-in volume criteria</w:t>
      </w:r>
      <w:r w:rsidR="00913A9B">
        <w:t xml:space="preserve"> as either a group or individual</w:t>
      </w:r>
      <w:r w:rsidRPr="00530F7F">
        <w:t>.</w:t>
      </w:r>
      <w:r w:rsidR="00913A9B">
        <w:t xml:space="preserve"> Additionally, we exclude </w:t>
      </w:r>
      <w:r w:rsidRPr="00580609" w:rsidR="00913A9B">
        <w:t>4</w:t>
      </w:r>
      <w:r w:rsidR="000151CC">
        <w:t>24,752</w:t>
      </w:r>
      <w:r w:rsidR="00913A9B">
        <w:t xml:space="preserve"> clinicians who are not MIPS eligible as individual clinicians and did not participate as a </w:t>
      </w:r>
      <w:r w:rsidR="001347E0">
        <w:t>group but</w:t>
      </w:r>
      <w:r w:rsidR="00913A9B">
        <w:t xml:space="preserve"> could elect to</w:t>
      </w:r>
      <w:r w:rsidR="006232CD">
        <w:t xml:space="preserve"> participate</w:t>
      </w:r>
      <w:r w:rsidR="00913A9B">
        <w:t xml:space="preserve"> in MIPS through opting in or participating as a group.</w:t>
      </w:r>
      <w:r w:rsidRPr="00530F7F">
        <w:t xml:space="preserve"> </w:t>
      </w:r>
      <w:r w:rsidRPr="00530F7F" w:rsidR="004B588A">
        <w:t xml:space="preserve"> </w:t>
      </w:r>
      <w:r w:rsidRPr="00530F7F">
        <w:t>Further, we exclude</w:t>
      </w:r>
      <w:r w:rsidRPr="00530F7F" w:rsidR="00667814">
        <w:t xml:space="preserve"> an additional </w:t>
      </w:r>
      <w:r w:rsidR="000151CC">
        <w:t>207,477</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w:t>
      </w:r>
      <w:r w:rsidR="00727337">
        <w:t xml:space="preserve"> </w:t>
      </w:r>
      <w:r w:rsidR="006C2725">
        <w:t>do not</w:t>
      </w:r>
      <w:r w:rsidRPr="00530F7F">
        <w:t xml:space="preserve"> meet</w:t>
      </w:r>
      <w:r w:rsidR="00CA3BCF">
        <w:t xml:space="preserve"> </w:t>
      </w:r>
      <w:r w:rsidRPr="00530F7F">
        <w:t>the low-volume threshold,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Pr="00530F7F" w:rsidR="005F4066" w:rsidP="00730BEF" w:rsidRDefault="005F4066" w14:paraId="61955A21" w14:textId="555B93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F7F">
        <w:t xml:space="preserve">In </w:t>
      </w:r>
      <w:r w:rsidR="002C344D">
        <w:t xml:space="preserve">the Regulatory Impact Analysis </w:t>
      </w:r>
      <w:r w:rsidRPr="00530F7F" w:rsidR="003022E0">
        <w:t>section of the CY 20</w:t>
      </w:r>
      <w:r w:rsidR="00374FDB">
        <w:t>2</w:t>
      </w:r>
      <w:r w:rsidR="001E149E">
        <w:t>3</w:t>
      </w:r>
      <w:r w:rsidRPr="00530F7F" w:rsidR="003022E0">
        <w:t xml:space="preserve"> </w:t>
      </w:r>
      <w:r w:rsidRPr="00530F7F" w:rsidR="009A1A8C">
        <w:t xml:space="preserve">PFS </w:t>
      </w:r>
      <w:r w:rsidR="001E149E">
        <w:t>proposed</w:t>
      </w:r>
      <w:r w:rsidRPr="00530F7F" w:rsidR="003022E0">
        <w:t xml:space="preserve"> rule</w:t>
      </w:r>
      <w:r w:rsidRPr="00530F7F">
        <w:t>, w</w:t>
      </w:r>
      <w:r w:rsidRPr="00530F7F" w:rsidR="00667814">
        <w:t xml:space="preserve">e explain that we assume </w:t>
      </w:r>
      <w:r w:rsidRPr="00580609" w:rsidR="00C65343">
        <w:t>8</w:t>
      </w:r>
      <w:r w:rsidR="001E149E">
        <w:t>65,116</w:t>
      </w:r>
      <w:r w:rsidR="00017D3E">
        <w:t xml:space="preserve"> </w:t>
      </w:r>
      <w:r w:rsidRPr="00530F7F">
        <w:t xml:space="preserve">MIPS eligible clinicians will submit data as individual clinicians, or as part of groups or </w:t>
      </w:r>
      <w:r w:rsidRPr="00530F7F" w:rsidR="00162CB6">
        <w:t>as APM entities</w:t>
      </w:r>
      <w:r w:rsidRPr="00530F7F">
        <w:t xml:space="preserve">. </w:t>
      </w:r>
      <w:r w:rsidRPr="00530F7F" w:rsidR="009B503E">
        <w:t xml:space="preserve"> Included in this number, we estimate</w:t>
      </w:r>
      <w:r w:rsidRPr="00530F7F">
        <w:t xml:space="preserve"> </w:t>
      </w:r>
      <w:r w:rsidR="001E149E">
        <w:t>10,933</w:t>
      </w:r>
      <w:r w:rsidRPr="00530F7F">
        <w:t xml:space="preserve"> clinicians </w:t>
      </w:r>
      <w:r w:rsidRPr="00530F7F" w:rsidR="00405E2C">
        <w:t>who exceed</w:t>
      </w:r>
      <w:r w:rsidR="00E27236">
        <w:t>ed</w:t>
      </w:r>
      <w:r w:rsidRPr="00530F7F" w:rsidR="00611F6F">
        <w:t xml:space="preserve"> at least one but not all low-volume threshold</w:t>
      </w:r>
      <w:r w:rsidR="0045137A">
        <w:t>, elected to opt-in</w:t>
      </w:r>
      <w:r w:rsidRPr="00530F7F" w:rsidR="008F3FB6">
        <w:t xml:space="preserve"> and</w:t>
      </w:r>
      <w:r w:rsidRPr="00530F7F" w:rsidR="00405E2C">
        <w:t xml:space="preserve"> submitted</w:t>
      </w:r>
      <w:r w:rsidRPr="00530F7F" w:rsidR="009B6E30">
        <w:t xml:space="preserve"> </w:t>
      </w:r>
      <w:r w:rsidRPr="00530F7F" w:rsidR="00405E2C">
        <w:t xml:space="preserve">data </w:t>
      </w:r>
      <w:r w:rsidRPr="00530F7F" w:rsidR="008F3FB6">
        <w:t xml:space="preserve">in the </w:t>
      </w:r>
      <w:r w:rsidR="009E56B9">
        <w:t xml:space="preserve">CY </w:t>
      </w:r>
      <w:r w:rsidRPr="00530F7F" w:rsidR="008F3FB6">
        <w:t>201</w:t>
      </w:r>
      <w:r w:rsidR="005D37FE">
        <w:t>9</w:t>
      </w:r>
      <w:r w:rsidRPr="00530F7F" w:rsidR="008F3FB6">
        <w:t xml:space="preserve"> performance period</w:t>
      </w:r>
      <w:r w:rsidR="009E56B9">
        <w:t>/2021 MIPS payment year</w:t>
      </w:r>
      <w:r w:rsidRPr="00530F7F" w:rsidR="00020C8A">
        <w:t xml:space="preserve"> w</w:t>
      </w:r>
      <w:r w:rsidR="00BF3711">
        <w:t>ould</w:t>
      </w:r>
      <w:r w:rsidRPr="00530F7F" w:rsidR="00020C8A">
        <w:t xml:space="preserve"> </w:t>
      </w:r>
      <w:r w:rsidRPr="00530F7F" w:rsidR="00842CA3">
        <w:t>elect</w:t>
      </w:r>
      <w:r w:rsidRPr="00530F7F" w:rsidR="00020C8A">
        <w:t xml:space="preserve"> to opt-in </w:t>
      </w:r>
      <w:r w:rsidRPr="00530F7F" w:rsidR="00842CA3">
        <w:t>to M</w:t>
      </w:r>
      <w:r w:rsidRPr="00530F7F" w:rsidR="00405E2C">
        <w:t>IPS</w:t>
      </w:r>
      <w:r w:rsidR="0045137A">
        <w:t xml:space="preserve"> in the </w:t>
      </w:r>
      <w:r w:rsidR="009E56B9">
        <w:t xml:space="preserve">CY </w:t>
      </w:r>
      <w:r w:rsidR="0045137A">
        <w:t>202</w:t>
      </w:r>
      <w:r w:rsidR="006C53C4">
        <w:t>3</w:t>
      </w:r>
      <w:r w:rsidR="000C1859">
        <w:t xml:space="preserve"> </w:t>
      </w:r>
      <w:r w:rsidR="0045137A">
        <w:t>performance period</w:t>
      </w:r>
      <w:r w:rsidR="009E56B9">
        <w:t>/202</w:t>
      </w:r>
      <w:r w:rsidR="006C53C4">
        <w:t>5</w:t>
      </w:r>
      <w:r w:rsidR="009E56B9">
        <w:t xml:space="preserve"> MIPS payment year</w:t>
      </w:r>
      <w:r w:rsidRPr="00530F7F">
        <w:t>.</w:t>
      </w:r>
      <w:r w:rsidR="0058467B">
        <w:t xml:space="preserve"> </w:t>
      </w:r>
      <w:r w:rsidRPr="00530F7F">
        <w:t xml:space="preserve"> </w:t>
      </w:r>
      <w:r w:rsidRPr="00530F7F" w:rsidR="00775E2E">
        <w:t xml:space="preserve"> </w:t>
      </w:r>
      <w:r w:rsidRPr="00530F7F" w:rsidR="003022E0">
        <w:t xml:space="preserve">  </w:t>
      </w:r>
    </w:p>
    <w:p w:rsidR="005563AE" w:rsidP="00D4299B" w:rsidRDefault="005F4066" w14:paraId="17C6CDA2" w14:textId="6F8B53AD">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30F7F">
        <w:t xml:space="preserve">Additionally, </w:t>
      </w:r>
      <w:r w:rsidRPr="00AD364F" w:rsidR="00AD364F">
        <w:t xml:space="preserve">we estimate that for the </w:t>
      </w:r>
      <w:r w:rsidR="00220965">
        <w:t xml:space="preserve">CY </w:t>
      </w:r>
      <w:r w:rsidRPr="00AD364F" w:rsidR="00AD364F">
        <w:t>202</w:t>
      </w:r>
      <w:r w:rsidR="005841C5">
        <w:t>3</w:t>
      </w:r>
      <w:r w:rsidRPr="00AD364F" w:rsidR="00AD364F">
        <w:t xml:space="preserve"> QP Performance Period between </w:t>
      </w:r>
      <w:r w:rsidR="00366D33">
        <w:t>144</w:t>
      </w:r>
      <w:r w:rsidRPr="00AD364F" w:rsidR="00AD364F">
        <w:t>,</w:t>
      </w:r>
      <w:r w:rsidR="00366D33">
        <w:t>7</w:t>
      </w:r>
      <w:r w:rsidRPr="00AD364F" w:rsidR="00AD364F">
        <w:t xml:space="preserve">00 and </w:t>
      </w:r>
      <w:r w:rsidR="00366D33">
        <w:t>186</w:t>
      </w:r>
      <w:r w:rsidRPr="00AD364F" w:rsidR="00AD364F">
        <w:t>,000 eligible clinicians w</w:t>
      </w:r>
      <w:r w:rsidR="00BF3711">
        <w:t>ould</w:t>
      </w:r>
      <w:r w:rsidRPr="00AD364F" w:rsidR="00AD364F">
        <w:t xml:space="preserve"> become QPs,</w:t>
      </w:r>
      <w:r w:rsidR="00F77BBA">
        <w:t xml:space="preserve"> and</w:t>
      </w:r>
      <w:r w:rsidRPr="00AD364F" w:rsidR="00AD364F">
        <w:t xml:space="preserve"> therefore be excluded from MIPS.  </w:t>
      </w:r>
      <w:r>
        <w:t xml:space="preserve"> </w:t>
      </w:r>
    </w:p>
    <w:p w:rsidRPr="00041A6A" w:rsidR="000C0D05" w:rsidP="003D552B" w:rsidRDefault="00D26EEF" w14:paraId="6595E034" w14:textId="2EB2BF82">
      <w:pPr>
        <w:pStyle w:val="Heading2"/>
      </w:pPr>
      <w:r w:rsidRPr="00041A6A">
        <w:t>Less Frequent Collection</w:t>
      </w:r>
    </w:p>
    <w:p w:rsidRPr="0007426C" w:rsidR="00F049CC" w:rsidP="00730BEF" w:rsidRDefault="00AD364F" w14:paraId="6E9B9503" w14:textId="09BF5D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07426C" w:rsidR="00F049CC">
        <w:t>ata on the quality</w:t>
      </w:r>
      <w:r w:rsidR="00F049CC">
        <w:t>, Promoting Interoperability, and improvement activities</w:t>
      </w:r>
      <w:r w:rsidRPr="0007426C" w:rsidR="00F049CC">
        <w:t xml:space="preserve"> </w:t>
      </w:r>
      <w:r w:rsidR="00F049CC">
        <w:t xml:space="preserve">performance categories </w:t>
      </w:r>
      <w:r w:rsidRPr="0007426C" w:rsidR="00F049CC">
        <w:t xml:space="preserve">are collected from individual </w:t>
      </w:r>
      <w:r w:rsidR="00F049CC">
        <w:t xml:space="preserve">MIPS </w:t>
      </w:r>
      <w:r w:rsidRPr="00AC495C" w:rsidR="00F049CC">
        <w:t>eligible clinicia</w:t>
      </w:r>
      <w:r w:rsidR="00F049CC">
        <w:t>ns</w:t>
      </w:r>
      <w:r w:rsidRPr="0007426C" w:rsidR="00F049CC">
        <w:t xml:space="preserve"> or groups</w:t>
      </w:r>
      <w:r w:rsidR="00F049CC">
        <w:t xml:space="preserve"> annually</w:t>
      </w:r>
      <w:r>
        <w:t>.  If this information was collected less frequently</w:t>
      </w:r>
      <w:r w:rsidRPr="0007426C" w:rsidR="00F049CC">
        <w:t xml:space="preserve">, </w:t>
      </w:r>
      <w:r w:rsidR="00F049CC">
        <w:t>we</w:t>
      </w:r>
      <w:r w:rsidRPr="0007426C" w:rsidR="00F049CC">
        <w:t xml:space="preserve"> will have no mechanism to: (1) determine whether a</w:t>
      </w:r>
      <w:r w:rsidR="00F049CC">
        <w:t xml:space="preserve"> MIPS </w:t>
      </w:r>
      <w:r w:rsidRPr="00AC495C" w:rsidR="00F049CC">
        <w:t>eligible clinician</w:t>
      </w:r>
      <w:r w:rsidRPr="0007426C" w:rsidR="00F049CC">
        <w:t xml:space="preserve"> or group meets the performance criteria for a payment adjustment under MIPS</w:t>
      </w:r>
      <w:r w:rsidR="00775E2E">
        <w:t>;</w:t>
      </w:r>
      <w:r w:rsidRPr="0007426C" w:rsidR="00F049CC">
        <w:t xml:space="preserve"> (2) calculate for payment adjustments to</w:t>
      </w:r>
      <w:r w:rsidR="00F049CC">
        <w:t xml:space="preserve"> MIPS</w:t>
      </w:r>
      <w:r w:rsidRPr="0007426C" w:rsidR="00F049CC">
        <w:t xml:space="preserve"> </w:t>
      </w:r>
      <w:r w:rsidRPr="00AC495C" w:rsidR="00F049CC">
        <w:t>eligible clinicia</w:t>
      </w:r>
      <w:r w:rsidR="00F049CC">
        <w:t>ns</w:t>
      </w:r>
      <w:r w:rsidRPr="0007426C" w:rsidR="00F049CC">
        <w:t xml:space="preserve"> or groups</w:t>
      </w:r>
      <w:r w:rsidR="00775E2E">
        <w:t>;</w:t>
      </w:r>
      <w:r w:rsidRPr="0007426C" w:rsidR="00F049CC">
        <w:t xml:space="preserve"> and (3) publicly post </w:t>
      </w:r>
      <w:r w:rsidR="00F049CC">
        <w:t>clinician</w:t>
      </w:r>
      <w:r w:rsidRPr="0007426C" w:rsidR="00F049CC">
        <w:t xml:space="preserve"> performance information on the</w:t>
      </w:r>
      <w:r w:rsidRPr="009C052A" w:rsidR="00F049CC">
        <w:t xml:space="preserve"> </w:t>
      </w:r>
      <w:r w:rsidR="00BB79F7">
        <w:t>c</w:t>
      </w:r>
      <w:r w:rsidRPr="009C052A" w:rsidR="00F049CC">
        <w:t>ompare</w:t>
      </w:r>
      <w:r w:rsidR="00BB79F7">
        <w:t xml:space="preserve"> tools hosted by the </w:t>
      </w:r>
      <w:r w:rsidR="00444FD3">
        <w:t>U.S. Department of Health and Hu</w:t>
      </w:r>
      <w:r w:rsidR="001474D0">
        <w:t>man Services</w:t>
      </w:r>
      <w:r w:rsidRPr="0007426C" w:rsidR="00F049CC">
        <w:t>.</w:t>
      </w:r>
      <w:r w:rsidR="000C0D05">
        <w:t xml:space="preserve"> We require additional data collections to be </w:t>
      </w:r>
      <w:r w:rsidR="000C0D05">
        <w:lastRenderedPageBreak/>
        <w:t xml:space="preserve">performed annually in order to allow us to determine which clinicians are required to report MIPS data. </w:t>
      </w:r>
    </w:p>
    <w:p w:rsidR="00D26EEF" w:rsidP="00730BEF" w:rsidRDefault="00AD364F" w14:paraId="5B5BD3A4" w14:textId="0D747B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registries and </w:t>
      </w:r>
      <w:r w:rsidR="00F049CC">
        <w:t xml:space="preserve">QCDRs </w:t>
      </w:r>
      <w:r w:rsidRPr="0007426C" w:rsidR="00F049CC">
        <w:t>will participate in submitting quality measures</w:t>
      </w:r>
      <w:r w:rsidR="00F049CC">
        <w:t>, improvement activities, or Promoting Interoperability measures, objectives and activities</w:t>
      </w:r>
      <w:r w:rsidRPr="0007426C" w:rsidR="00F049CC">
        <w:t>.</w:t>
      </w:r>
      <w:r w:rsidR="00F049CC">
        <w:t xml:space="preserve"> </w:t>
      </w:r>
      <w:r w:rsidR="00775E2E">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Pr="00041A6A" w:rsidR="000C0D05" w:rsidP="003D552B" w:rsidRDefault="00D26EEF" w14:paraId="4F67B6FB" w14:textId="3212D884">
      <w:pPr>
        <w:pStyle w:val="Heading2"/>
      </w:pPr>
      <w:r w:rsidRPr="00041A6A">
        <w:t>Special Circumstances</w:t>
      </w:r>
    </w:p>
    <w:p w:rsidRPr="0007426C" w:rsidR="00F049CC" w:rsidP="00730BEF" w:rsidRDefault="00F049CC"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Pr="0007426C" w:rsidR="00F049CC" w:rsidP="00A56476" w:rsidRDefault="00F049CC" w14:paraId="1EB3609B" w14:textId="77777777">
      <w:pPr>
        <w:pStyle w:val="MediumGrid1-Accent21"/>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Pr="0007426C" w:rsidR="00F049CC" w:rsidP="00A56476" w:rsidRDefault="00F049CC" w14:paraId="628DE17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Pr="0007426C" w:rsidR="00F049CC" w:rsidP="00A56476" w:rsidRDefault="00F049CC" w14:paraId="781067A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Pr="0007426C" w:rsidR="00F049CC" w:rsidP="00A56476" w:rsidRDefault="00F049CC" w14:paraId="28664DF0"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F049CC" w:rsidP="00A56476" w:rsidRDefault="00F049CC" w14:paraId="77C8ADDA"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Pr="0007426C" w:rsidR="00F049CC" w:rsidP="00A56476" w:rsidRDefault="00F049CC" w14:paraId="68C270D7"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Pr="0007426C" w:rsidR="00F049CC" w:rsidP="00A56476" w:rsidRDefault="00F049CC" w14:paraId="066FD0A2"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P="00A56476" w:rsidRDefault="00F049CC" w14:paraId="6CD71DF8" w14:textId="4EB9D71C">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Pr="005C2EB0" w:rsidR="00D26EEF" w:rsidP="003D552B" w:rsidRDefault="00D26EEF" w14:paraId="29D9A72C" w14:textId="2C165FA0">
      <w:pPr>
        <w:pStyle w:val="Heading2"/>
      </w:pPr>
      <w:r w:rsidRPr="005C2EB0">
        <w:t>Federal Register/Outside Consultation</w:t>
      </w:r>
    </w:p>
    <w:p w:rsidRPr="005C2EB0" w:rsidR="004B7324" w:rsidP="00A04384" w:rsidRDefault="00D97872" w14:paraId="0FBC83B7" w14:textId="1C72A865">
      <w:pPr>
        <w:keepNext/>
        <w:keepLines/>
        <w:spacing w:after="0"/>
      </w:pPr>
      <w:r w:rsidRPr="00B06A38">
        <w:t>Serving as the 60-day notice, t</w:t>
      </w:r>
      <w:r w:rsidRPr="00B06A38" w:rsidR="00982BB1">
        <w:t>he CY 202</w:t>
      </w:r>
      <w:r w:rsidRPr="00B06A38" w:rsidR="003C104C">
        <w:t>3</w:t>
      </w:r>
      <w:r w:rsidRPr="00B06A38" w:rsidR="00982BB1">
        <w:t xml:space="preserve"> PFS proposed</w:t>
      </w:r>
      <w:r w:rsidRPr="00B06A38" w:rsidR="00E5038E">
        <w:t xml:space="preserve"> </w:t>
      </w:r>
      <w:r w:rsidRPr="00B06A38" w:rsidR="00982BB1">
        <w:t>rule</w:t>
      </w:r>
      <w:r w:rsidRPr="00BC3890" w:rsidR="00C81153">
        <w:t xml:space="preserve"> (CMS-17</w:t>
      </w:r>
      <w:r w:rsidRPr="00BC3890" w:rsidR="003C104C">
        <w:t>70</w:t>
      </w:r>
      <w:r w:rsidRPr="00BC3890" w:rsidR="00C81153">
        <w:t>-P, RIN 0938-AU</w:t>
      </w:r>
      <w:r w:rsidRPr="00BC3890" w:rsidR="00671476">
        <w:t>81</w:t>
      </w:r>
      <w:r w:rsidRPr="00B06A38" w:rsidR="00C81153">
        <w:t>)</w:t>
      </w:r>
      <w:r w:rsidRPr="00B06A38" w:rsidR="000A79CB">
        <w:t xml:space="preserve"> </w:t>
      </w:r>
      <w:r w:rsidR="00CE167C">
        <w:t xml:space="preserve">published in the Federal Register on </w:t>
      </w:r>
      <w:r w:rsidRPr="00CE167C" w:rsidR="00CE167C">
        <w:t xml:space="preserve">July 29, 2022 </w:t>
      </w:r>
      <w:r w:rsidR="00CE167C">
        <w:t>(</w:t>
      </w:r>
      <w:r w:rsidRPr="00BC3890" w:rsidR="00CE167C">
        <w:t>8</w:t>
      </w:r>
      <w:r w:rsidR="00CE167C">
        <w:t>7</w:t>
      </w:r>
      <w:r w:rsidRPr="00BC3890" w:rsidR="00CE167C">
        <w:t xml:space="preserve"> FR </w:t>
      </w:r>
      <w:r w:rsidRPr="0013069D" w:rsidR="00CE167C">
        <w:t>45860</w:t>
      </w:r>
      <w:r w:rsidR="00CE167C">
        <w:t>)</w:t>
      </w:r>
      <w:r w:rsidRPr="00B06A38" w:rsidR="000A79CB">
        <w:t>.</w:t>
      </w:r>
      <w:r w:rsidRPr="00B06A38" w:rsidR="00BB47AF">
        <w:t xml:space="preserve"> </w:t>
      </w:r>
      <w:r w:rsidRPr="00B06A38" w:rsidR="00C536A4">
        <w:t>P</w:t>
      </w:r>
      <w:r w:rsidRPr="00B06A38" w:rsidR="004A1880">
        <w:t>ublic comments</w:t>
      </w:r>
      <w:r w:rsidRPr="00B06A38" w:rsidR="00C536A4">
        <w:t xml:space="preserve"> must be received no later than</w:t>
      </w:r>
      <w:r w:rsidRPr="00B06A38" w:rsidR="00B75325">
        <w:t xml:space="preserve"> </w:t>
      </w:r>
      <w:r w:rsidRPr="00B06A38" w:rsidR="000A0331">
        <w:t xml:space="preserve">5 </w:t>
      </w:r>
      <w:r w:rsidRPr="00B06A38" w:rsidR="00880894">
        <w:t xml:space="preserve">p.m. on </w:t>
      </w:r>
      <w:r w:rsidRPr="00B06A38" w:rsidR="00B75325">
        <w:t>September 6,2022</w:t>
      </w:r>
      <w:r w:rsidRPr="00BC3890" w:rsidR="003D2E11">
        <w:t>.</w:t>
      </w:r>
      <w:r w:rsidRPr="005C2EB0" w:rsidR="003D2E11">
        <w:t xml:space="preserve"> </w:t>
      </w:r>
    </w:p>
    <w:p w:rsidRPr="005C2EB0" w:rsidR="00A8000F" w:rsidP="00D4299B" w:rsidRDefault="00A8000F" w14:paraId="26F46EF4" w14:textId="330645C1">
      <w:pPr>
        <w:spacing w:after="0"/>
      </w:pPr>
    </w:p>
    <w:p w:rsidRPr="00041A6A" w:rsidR="000C0D05" w:rsidP="003D552B" w:rsidRDefault="00D26EEF" w14:paraId="6FDC2881" w14:textId="7CF587D9">
      <w:pPr>
        <w:pStyle w:val="Heading2"/>
      </w:pPr>
      <w:r w:rsidRPr="005C2EB0">
        <w:t>P</w:t>
      </w:r>
      <w:r w:rsidRPr="00041A6A">
        <w:t>ayments/Gifts to Respondents</w:t>
      </w:r>
    </w:p>
    <w:p w:rsidR="00D26EEF" w:rsidP="00730BEF" w:rsidRDefault="0078551D" w14:paraId="244F02C5" w14:textId="716324A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w:t>
      </w:r>
      <w:r>
        <w:lastRenderedPageBreak/>
        <w:t xml:space="preserve">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rsidRDefault="00193562"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rsidRDefault="00193562" w14:paraId="072CB7A1" w14:textId="757C8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detail on how the payments are calculated can be foun</w:t>
      </w:r>
      <w:r w:rsidRPr="00BF426B">
        <w:t xml:space="preserve">d in </w:t>
      </w:r>
      <w:r w:rsidRPr="00BF426B" w:rsidR="00331BCC">
        <w:t>42 CFR §414.1405 and §414.1450.</w:t>
      </w:r>
    </w:p>
    <w:p w:rsidRPr="00041A6A" w:rsidR="000C0D05" w:rsidP="003D552B" w:rsidRDefault="00D26EEF" w14:paraId="1F0858E4" w14:textId="43BEC002">
      <w:pPr>
        <w:pStyle w:val="Heading2"/>
      </w:pPr>
      <w:r w:rsidRPr="00041A6A">
        <w:t>Confidentiality</w:t>
      </w:r>
    </w:p>
    <w:p w:rsidR="001114E5" w:rsidP="009674BB" w:rsidRDefault="0078551D" w14:paraId="0E54D4DA" w14:textId="0382F211">
      <w:r>
        <w:t>Consistent with federal government and CMS policies, CMS will protect the confidentiality of the requested proprietary information. 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rsidR="0099451B" w:rsidP="00453FFF" w:rsidRDefault="0099451B" w14:paraId="25A8333C" w14:textId="2640707A">
      <w:r w:rsidRPr="0099451B">
        <w:t>Quality Payment Program (QPP), System No. 09-70-0539 (February 14, 2018; 83 FR 6587).</w:t>
      </w:r>
    </w:p>
    <w:p w:rsidRPr="00041A6A" w:rsidR="00AB349F" w:rsidP="003D552B" w:rsidRDefault="00D26EEF" w14:paraId="2D02CBD4" w14:textId="4D6ABA1E">
      <w:pPr>
        <w:pStyle w:val="Heading2"/>
      </w:pPr>
      <w:r w:rsidRPr="00041A6A">
        <w:t>Sensitive Questions</w:t>
      </w:r>
    </w:p>
    <w:p w:rsidRPr="001B3EA7" w:rsidR="0078551D" w:rsidP="00730BEF" w:rsidRDefault="0078551D" w14:paraId="481BD23B" w14:textId="30D909E5">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r w:rsidRPr="00184F1E" w:rsidR="00184F1E">
        <w:t>Specifically, the collection does not solicit questions of a sensitive nature, such as sexual behavior and attitudes, religious beliefs, and other matters that are commonly considered private.</w:t>
      </w:r>
    </w:p>
    <w:p w:rsidRPr="00FF7AB6" w:rsidR="00BE799C" w:rsidP="003D552B" w:rsidRDefault="00D26EEF" w14:paraId="5EE5987A" w14:textId="0E273118">
      <w:pPr>
        <w:pStyle w:val="Heading2"/>
      </w:pPr>
      <w:r w:rsidRPr="00041A6A">
        <w:t>Burden Estimates</w:t>
      </w:r>
    </w:p>
    <w:p w:rsidRPr="00041A6A" w:rsidR="00705AEB" w:rsidP="00A46175" w:rsidRDefault="00705AEB" w14:paraId="144CBC41" w14:textId="363A831E">
      <w:pPr>
        <w:pStyle w:val="Heading3"/>
      </w:pPr>
      <w:r w:rsidRPr="00041A6A">
        <w:t xml:space="preserve">Wage </w:t>
      </w:r>
      <w:r w:rsidRPr="000E7E06">
        <w:t>Estimates</w:t>
      </w:r>
    </w:p>
    <w:p w:rsidR="00490272" w:rsidP="00730BEF" w:rsidRDefault="00665BC8" w14:paraId="71D3A111" w14:textId="53B722D8">
      <w:r>
        <w:t xml:space="preserve">To derive average costs, we used data from the U.S. Bureau of Labor Statistics’ May </w:t>
      </w:r>
      <w:r w:rsidR="00AE51A4">
        <w:t>20</w:t>
      </w:r>
      <w:r w:rsidR="007B226A">
        <w:t>2</w:t>
      </w:r>
      <w:r w:rsidR="00154E73">
        <w:t>1</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w:t>
      </w:r>
      <w:r w:rsidR="00A04115">
        <w:t>.</w:t>
      </w:r>
    </w:p>
    <w:p w:rsidR="00490272" w:rsidP="00CF5C90" w:rsidRDefault="00665BC8" w14:paraId="530793C9" w14:textId="3D5DD66C">
      <w:pPr>
        <w:keepNext/>
        <w:keepLines/>
      </w:pPr>
      <w:r w:rsidRPr="00665BC8">
        <w:lastRenderedPageBreak/>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With regard to respondents, we selected BLS occupations Billing and Postal Clerks, Computer Systems Analysts, Physicians</w:t>
      </w:r>
      <w:r w:rsidR="00C97B26">
        <w:t xml:space="preserve"> (multiple categories)</w:t>
      </w:r>
      <w:r w:rsidRPr="00665BC8">
        <w:t xml:space="preserve">, </w:t>
      </w:r>
      <w:r w:rsidR="008D7DB5">
        <w:t>Medical and health services manager</w:t>
      </w:r>
      <w:r w:rsidRPr="00665BC8">
        <w:t>, and Licensed Practical Nurse based on a study (</w:t>
      </w:r>
      <w:proofErr w:type="spellStart"/>
      <w:r w:rsidRPr="00665BC8">
        <w:t>Casalino</w:t>
      </w:r>
      <w:proofErr w:type="spellEnd"/>
      <w:r w:rsidRPr="00665BC8">
        <w:t xml:space="preserve"> et al., 2016) that collected data on the staff in physician’s practices involved in the quality data submission process.</w:t>
      </w:r>
      <w:r>
        <w:rPr>
          <w:rStyle w:val="FootnoteReference"/>
        </w:rPr>
        <w:footnoteReference w:id="5"/>
      </w:r>
      <w:r>
        <w:t xml:space="preserve"> </w:t>
      </w:r>
    </w:p>
    <w:p w:rsidR="00051DF6" w:rsidP="00730BEF" w:rsidRDefault="00051DF6" w14:paraId="7271B017" w14:textId="14A09D0C">
      <w:r>
        <w:t>W</w:t>
      </w:r>
      <w:r w:rsidRPr="00051DF6">
        <w:t xml:space="preserve">e </w:t>
      </w:r>
      <w:r>
        <w:t xml:space="preserve">previously </w:t>
      </w:r>
      <w:r w:rsidRPr="00051DF6">
        <w:t>used the BLS wage rate for “Physicians and Surgeons” (occupation code 29-1060) to estimate the burden for Physicians.  In BLS’ most recent set of occupational wage rates</w:t>
      </w:r>
      <w:r w:rsidR="001B77B5">
        <w:t xml:space="preserve"> (dated May 202</w:t>
      </w:r>
      <w:r w:rsidR="00CC21A9">
        <w:t>1</w:t>
      </w:r>
      <w:r w:rsidR="001B77B5">
        <w:t>)</w:t>
      </w:r>
      <w:r w:rsidRPr="00051DF6">
        <w:t xml:space="preserve">, they have discontinued this occupation in their wage data.  As a result, in </w:t>
      </w:r>
      <w:r w:rsidR="00617024">
        <w:t>o</w:t>
      </w:r>
      <w:r w:rsidRPr="00051DF6">
        <w:t>rder to estimate the burden for Physicians, we are using a rate of $2</w:t>
      </w:r>
      <w:r w:rsidR="006D7942">
        <w:t>59</w:t>
      </w:r>
      <w:r w:rsidR="0061309E">
        <w:t>.</w:t>
      </w:r>
      <w:r w:rsidR="006D7942">
        <w:t>98</w:t>
      </w:r>
      <w:r w:rsidRPr="00051DF6">
        <w:t>/</w:t>
      </w:r>
      <w:proofErr w:type="spellStart"/>
      <w:r w:rsidRPr="00051DF6">
        <w:t>hr</w:t>
      </w:r>
      <w:proofErr w:type="spellEnd"/>
      <w:r w:rsidRPr="00051DF6">
        <w:t xml:space="preserve"> which is the average of the mean wage rates for Anesthesiologists; Family Medicine Physicians; General Internal Medicine Physicians; Obstetricians and Gynecologists; Pediatricians, General; Physicians, All Other; and O</w:t>
      </w:r>
      <w:r w:rsidR="00B94217">
        <w:t>rthopedic Surgeons</w:t>
      </w:r>
      <w:r w:rsidRPr="00051DF6">
        <w:t xml:space="preserve">, Except Pediatric; Psychiatrists; </w:t>
      </w:r>
      <w:r w:rsidR="00681B24">
        <w:t>Pediatric Surgeons</w:t>
      </w:r>
      <w:r w:rsidR="0063104A">
        <w:t>;</w:t>
      </w:r>
      <w:r w:rsidR="00681B24">
        <w:t xml:space="preserve"> </w:t>
      </w:r>
      <w:r w:rsidR="00524306">
        <w:t>Surgeons, All Other</w:t>
      </w:r>
      <w:r w:rsidR="0063104A">
        <w:t>;</w:t>
      </w:r>
      <w:r w:rsidR="00524306">
        <w:t xml:space="preserve"> </w:t>
      </w:r>
      <w:r w:rsidRPr="00051DF6">
        <w:t>and Surgeons, Except Ophthalmologists [($</w:t>
      </w:r>
      <w:r w:rsidR="00C91FA1">
        <w:t>318.44</w:t>
      </w:r>
      <w:r w:rsidR="00955FD6">
        <w:t>/</w:t>
      </w:r>
      <w:proofErr w:type="spellStart"/>
      <w:r w:rsidR="00955FD6">
        <w:t>hr</w:t>
      </w:r>
      <w:proofErr w:type="spellEnd"/>
      <w:r w:rsidRPr="00051DF6">
        <w:t xml:space="preserve"> + $</w:t>
      </w:r>
      <w:r w:rsidR="00C91FA1">
        <w:t>226</w:t>
      </w:r>
      <w:r w:rsidR="00264970">
        <w:t>.8</w:t>
      </w:r>
      <w:r w:rsidR="00C91FA1">
        <w:t>6</w:t>
      </w:r>
      <w:r w:rsidRPr="00051DF6">
        <w:t>/</w:t>
      </w:r>
      <w:proofErr w:type="spellStart"/>
      <w:r w:rsidRPr="00051DF6">
        <w:t>hr</w:t>
      </w:r>
      <w:proofErr w:type="spellEnd"/>
      <w:r w:rsidRPr="00051DF6">
        <w:t xml:space="preserve"> + </w:t>
      </w:r>
      <w:r w:rsidR="00D34A41">
        <w:t>$232.88/</w:t>
      </w:r>
      <w:proofErr w:type="spellStart"/>
      <w:r w:rsidR="00D34A41">
        <w:t>hr</w:t>
      </w:r>
      <w:proofErr w:type="spellEnd"/>
      <w:r w:rsidR="00D34A41">
        <w:t xml:space="preserve"> + </w:t>
      </w:r>
      <w:r w:rsidR="004138EB">
        <w:t>$284.82/</w:t>
      </w:r>
      <w:proofErr w:type="spellStart"/>
      <w:r w:rsidR="004138EB">
        <w:t>hr</w:t>
      </w:r>
      <w:proofErr w:type="spellEnd"/>
      <w:r w:rsidR="004138EB">
        <w:t xml:space="preserve"> + $190.80/</w:t>
      </w:r>
      <w:proofErr w:type="spellStart"/>
      <w:r w:rsidR="004138EB">
        <w:t>hr</w:t>
      </w:r>
      <w:proofErr w:type="spellEnd"/>
      <w:r w:rsidR="004138EB">
        <w:t xml:space="preserve"> + </w:t>
      </w:r>
      <w:r w:rsidRPr="00051DF6">
        <w:t>$</w:t>
      </w:r>
      <w:r w:rsidR="00075B8A">
        <w:t>2</w:t>
      </w:r>
      <w:r w:rsidR="00264970">
        <w:t>2</w:t>
      </w:r>
      <w:r w:rsidR="00075B8A">
        <w:t>2.</w:t>
      </w:r>
      <w:r w:rsidR="00264970">
        <w:t>60</w:t>
      </w:r>
      <w:r w:rsidRPr="00051DF6">
        <w:t>/</w:t>
      </w:r>
      <w:proofErr w:type="spellStart"/>
      <w:r w:rsidRPr="00051DF6">
        <w:t>hr</w:t>
      </w:r>
      <w:proofErr w:type="spellEnd"/>
      <w:r w:rsidRPr="00051DF6">
        <w:t xml:space="preserve"> + $2</w:t>
      </w:r>
      <w:r w:rsidR="00075B8A">
        <w:t>9</w:t>
      </w:r>
      <w:r w:rsidR="00A560F2">
        <w:t>4</w:t>
      </w:r>
      <w:r w:rsidR="00075B8A">
        <w:t>.</w:t>
      </w:r>
      <w:r w:rsidR="00A560F2">
        <w:t>44</w:t>
      </w:r>
      <w:r w:rsidRPr="00051DF6">
        <w:t>/</w:t>
      </w:r>
      <w:proofErr w:type="spellStart"/>
      <w:r w:rsidRPr="00051DF6">
        <w:t>hr</w:t>
      </w:r>
      <w:proofErr w:type="spellEnd"/>
      <w:r w:rsidRPr="00051DF6">
        <w:t xml:space="preserve"> + $</w:t>
      </w:r>
      <w:r w:rsidR="00557860">
        <w:t>240.16</w:t>
      </w:r>
      <w:r w:rsidRPr="00051DF6">
        <w:t>/</w:t>
      </w:r>
      <w:proofErr w:type="spellStart"/>
      <w:r w:rsidRPr="00051DF6">
        <w:t>hr</w:t>
      </w:r>
      <w:proofErr w:type="spellEnd"/>
      <w:r w:rsidRPr="00051DF6">
        <w:t xml:space="preserve"> + $</w:t>
      </w:r>
      <w:r w:rsidR="00075B8A">
        <w:t>2</w:t>
      </w:r>
      <w:r w:rsidR="00A417F4">
        <w:t>79</w:t>
      </w:r>
      <w:r w:rsidR="00075B8A">
        <w:t>.</w:t>
      </w:r>
      <w:r w:rsidR="00A417F4">
        <w:t>1</w:t>
      </w:r>
      <w:r w:rsidR="00075B8A">
        <w:t>4</w:t>
      </w:r>
      <w:r w:rsidRPr="00051DF6">
        <w:t>/</w:t>
      </w:r>
      <w:proofErr w:type="spellStart"/>
      <w:r w:rsidRPr="00051DF6">
        <w:t>hr</w:t>
      </w:r>
      <w:proofErr w:type="spellEnd"/>
      <w:r w:rsidRPr="00051DF6">
        <w:t xml:space="preserve"> + $2</w:t>
      </w:r>
      <w:r w:rsidR="00A417F4">
        <w:t>86.34</w:t>
      </w:r>
      <w:r w:rsidR="00955FD6">
        <w:t>/</w:t>
      </w:r>
      <w:proofErr w:type="spellStart"/>
      <w:r w:rsidR="00955FD6">
        <w:t>hr</w:t>
      </w:r>
      <w:proofErr w:type="spellEnd"/>
      <w:r w:rsidRPr="00051DF6">
        <w:t xml:space="preserve"> + $2</w:t>
      </w:r>
      <w:r w:rsidR="00A417F4">
        <w:t>83.20</w:t>
      </w:r>
      <w:r w:rsidRPr="00051DF6">
        <w:t>/</w:t>
      </w:r>
      <w:proofErr w:type="spellStart"/>
      <w:r w:rsidRPr="00051DF6">
        <w:t>hr</w:t>
      </w:r>
      <w:proofErr w:type="spellEnd"/>
      <w:r w:rsidRPr="00051DF6">
        <w:t xml:space="preserve">) ÷ </w:t>
      </w:r>
      <w:r w:rsidR="00565920">
        <w:t>11</w:t>
      </w:r>
      <w:r w:rsidRPr="00051DF6">
        <w:t xml:space="preserve">].  </w:t>
      </w:r>
    </w:p>
    <w:p w:rsidRPr="00171B73" w:rsidR="00665BC8" w:rsidP="00665BC8" w:rsidRDefault="00665BC8" w14:paraId="5FD6F0D3" w14:textId="322A7521">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28"/>
        <w:gridCol w:w="1371"/>
        <w:gridCol w:w="1352"/>
        <w:gridCol w:w="2049"/>
        <w:gridCol w:w="1550"/>
      </w:tblGrid>
      <w:tr w:rsidRPr="00814AD2" w:rsidR="00665BC8" w:rsidTr="00743AF8" w14:paraId="3094D66D" w14:textId="77777777">
        <w:trPr>
          <w:tblHeader/>
          <w:jc w:val="center"/>
        </w:trPr>
        <w:tc>
          <w:tcPr>
            <w:tcW w:w="0" w:type="auto"/>
            <w:vAlign w:val="center"/>
          </w:tcPr>
          <w:p w:rsidRPr="00814AD2" w:rsidR="00665BC8" w:rsidP="00743AF8" w:rsidRDefault="00665BC8" w14:paraId="53E1B17B" w14:textId="77777777">
            <w:pPr>
              <w:spacing w:after="0"/>
              <w:jc w:val="center"/>
              <w:rPr>
                <w:b/>
                <w:bCs/>
                <w:sz w:val="20"/>
                <w:szCs w:val="20"/>
              </w:rPr>
            </w:pPr>
            <w:r w:rsidRPr="00814AD2">
              <w:rPr>
                <w:b/>
                <w:bCs/>
                <w:sz w:val="20"/>
                <w:szCs w:val="20"/>
              </w:rPr>
              <w:t>Occupation Title</w:t>
            </w:r>
          </w:p>
        </w:tc>
        <w:tc>
          <w:tcPr>
            <w:tcW w:w="0" w:type="auto"/>
            <w:vAlign w:val="center"/>
          </w:tcPr>
          <w:p w:rsidRPr="00814AD2" w:rsidR="00665BC8" w:rsidP="00743AF8" w:rsidRDefault="00665BC8" w14:paraId="1462ABEE" w14:textId="77777777">
            <w:pPr>
              <w:spacing w:after="0"/>
              <w:jc w:val="center"/>
              <w:rPr>
                <w:b/>
                <w:bCs/>
                <w:sz w:val="20"/>
                <w:szCs w:val="20"/>
              </w:rPr>
            </w:pPr>
            <w:r w:rsidRPr="00814AD2">
              <w:rPr>
                <w:b/>
                <w:bCs/>
                <w:sz w:val="20"/>
                <w:szCs w:val="20"/>
              </w:rPr>
              <w:t>Occupational Code</w:t>
            </w:r>
          </w:p>
        </w:tc>
        <w:tc>
          <w:tcPr>
            <w:tcW w:w="0" w:type="auto"/>
            <w:vAlign w:val="center"/>
          </w:tcPr>
          <w:p w:rsidRPr="00814AD2" w:rsidR="00665BC8" w:rsidP="00743AF8" w:rsidRDefault="00665BC8" w14:paraId="286A80AF" w14:textId="77777777">
            <w:pPr>
              <w:spacing w:after="0"/>
              <w:jc w:val="center"/>
              <w:rPr>
                <w:b/>
                <w:bCs/>
                <w:sz w:val="20"/>
                <w:szCs w:val="20"/>
              </w:rPr>
            </w:pPr>
            <w:r w:rsidRPr="00814AD2">
              <w:rPr>
                <w:b/>
                <w:bCs/>
                <w:sz w:val="20"/>
                <w:szCs w:val="20"/>
              </w:rPr>
              <w:t>Mean Hourly Wage ($/hr.)</w:t>
            </w:r>
          </w:p>
        </w:tc>
        <w:tc>
          <w:tcPr>
            <w:tcW w:w="0" w:type="auto"/>
            <w:vAlign w:val="center"/>
          </w:tcPr>
          <w:p w:rsidRPr="00814AD2" w:rsidR="00665BC8" w:rsidP="00743AF8" w:rsidRDefault="00665BC8" w14:paraId="18D78E65" w14:textId="77777777">
            <w:pPr>
              <w:spacing w:after="0"/>
              <w:jc w:val="center"/>
              <w:rPr>
                <w:b/>
                <w:bCs/>
                <w:sz w:val="20"/>
                <w:szCs w:val="20"/>
              </w:rPr>
            </w:pPr>
            <w:r w:rsidRPr="00814AD2">
              <w:rPr>
                <w:b/>
                <w:bCs/>
                <w:sz w:val="20"/>
                <w:szCs w:val="20"/>
              </w:rPr>
              <w:t xml:space="preserve">Fringe Benefits and Overhead </w:t>
            </w:r>
            <w:r>
              <w:rPr>
                <w:b/>
                <w:bCs/>
                <w:sz w:val="20"/>
                <w:szCs w:val="20"/>
              </w:rPr>
              <w:t>costs ($/</w:t>
            </w:r>
            <w:proofErr w:type="spellStart"/>
            <w:r>
              <w:rPr>
                <w:b/>
                <w:bCs/>
                <w:sz w:val="20"/>
                <w:szCs w:val="20"/>
              </w:rPr>
              <w:t>hr</w:t>
            </w:r>
            <w:proofErr w:type="spellEnd"/>
            <w:r w:rsidRPr="00814AD2">
              <w:rPr>
                <w:b/>
                <w:bCs/>
                <w:sz w:val="20"/>
                <w:szCs w:val="20"/>
              </w:rPr>
              <w:t>)</w:t>
            </w:r>
          </w:p>
        </w:tc>
        <w:tc>
          <w:tcPr>
            <w:tcW w:w="0" w:type="auto"/>
            <w:vAlign w:val="center"/>
          </w:tcPr>
          <w:p w:rsidRPr="00814AD2" w:rsidR="00665BC8" w:rsidP="00743AF8" w:rsidRDefault="00665BC8" w14:paraId="207E83D9" w14:textId="77777777">
            <w:pPr>
              <w:spacing w:after="0"/>
              <w:jc w:val="center"/>
              <w:rPr>
                <w:b/>
                <w:bCs/>
                <w:sz w:val="20"/>
                <w:szCs w:val="20"/>
              </w:rPr>
            </w:pPr>
            <w:r>
              <w:rPr>
                <w:b/>
                <w:bCs/>
                <w:sz w:val="20"/>
                <w:szCs w:val="20"/>
              </w:rPr>
              <w:t>Adjusted Hourly Wage ($/</w:t>
            </w:r>
            <w:proofErr w:type="spellStart"/>
            <w:r>
              <w:rPr>
                <w:b/>
                <w:bCs/>
                <w:sz w:val="20"/>
                <w:szCs w:val="20"/>
              </w:rPr>
              <w:t>hr</w:t>
            </w:r>
            <w:proofErr w:type="spellEnd"/>
            <w:r w:rsidRPr="00814AD2">
              <w:rPr>
                <w:b/>
                <w:bCs/>
                <w:sz w:val="20"/>
                <w:szCs w:val="20"/>
              </w:rPr>
              <w:t>)</w:t>
            </w:r>
          </w:p>
        </w:tc>
      </w:tr>
      <w:tr w:rsidRPr="00814AD2" w:rsidR="00051DF6" w:rsidTr="00632BE3" w14:paraId="41489A80" w14:textId="77777777">
        <w:trPr>
          <w:jc w:val="center"/>
        </w:trPr>
        <w:tc>
          <w:tcPr>
            <w:tcW w:w="0" w:type="auto"/>
          </w:tcPr>
          <w:p w:rsidRPr="00A82320" w:rsidR="00051DF6" w:rsidP="00051DF6" w:rsidRDefault="00051DF6" w14:paraId="116096FA" w14:textId="198E2A84">
            <w:pPr>
              <w:spacing w:after="0"/>
              <w:rPr>
                <w:sz w:val="20"/>
                <w:szCs w:val="20"/>
              </w:rPr>
            </w:pPr>
            <w:r w:rsidRPr="00632BE3">
              <w:rPr>
                <w:sz w:val="20"/>
                <w:szCs w:val="20"/>
              </w:rPr>
              <w:t>Anesthesiologists</w:t>
            </w:r>
          </w:p>
        </w:tc>
        <w:tc>
          <w:tcPr>
            <w:tcW w:w="0" w:type="auto"/>
            <w:vAlign w:val="center"/>
          </w:tcPr>
          <w:p w:rsidRPr="00A82320" w:rsidR="00051DF6" w:rsidP="00051DF6" w:rsidRDefault="00051DF6" w14:paraId="418CB196" w14:textId="7E01C0F2">
            <w:pPr>
              <w:spacing w:after="0"/>
              <w:jc w:val="center"/>
              <w:rPr>
                <w:sz w:val="20"/>
                <w:szCs w:val="20"/>
              </w:rPr>
            </w:pPr>
            <w:r w:rsidRPr="00632BE3">
              <w:rPr>
                <w:sz w:val="20"/>
                <w:szCs w:val="20"/>
              </w:rPr>
              <w:t>29-1211</w:t>
            </w:r>
          </w:p>
        </w:tc>
        <w:tc>
          <w:tcPr>
            <w:tcW w:w="0" w:type="auto"/>
            <w:vAlign w:val="center"/>
          </w:tcPr>
          <w:p w:rsidRPr="00A82320" w:rsidR="00051DF6" w:rsidP="00051DF6" w:rsidRDefault="002A58D6" w14:paraId="4D85AD3F" w14:textId="08ADF95D">
            <w:pPr>
              <w:spacing w:after="0"/>
              <w:jc w:val="center"/>
              <w:rPr>
                <w:sz w:val="20"/>
                <w:szCs w:val="20"/>
              </w:rPr>
            </w:pPr>
            <w:r>
              <w:rPr>
                <w:sz w:val="20"/>
                <w:szCs w:val="20"/>
              </w:rPr>
              <w:t>1</w:t>
            </w:r>
            <w:r w:rsidR="008C0699">
              <w:rPr>
                <w:sz w:val="20"/>
                <w:szCs w:val="20"/>
              </w:rPr>
              <w:t>59.22</w:t>
            </w:r>
          </w:p>
        </w:tc>
        <w:tc>
          <w:tcPr>
            <w:tcW w:w="0" w:type="auto"/>
            <w:vAlign w:val="center"/>
          </w:tcPr>
          <w:p w:rsidRPr="00A82320" w:rsidR="00051DF6" w:rsidP="00051DF6" w:rsidRDefault="00051DF6" w14:paraId="1C5416FE" w14:textId="40CBC1B8">
            <w:pPr>
              <w:spacing w:after="0"/>
              <w:jc w:val="center"/>
              <w:rPr>
                <w:sz w:val="20"/>
                <w:szCs w:val="20"/>
              </w:rPr>
            </w:pPr>
            <w:r w:rsidRPr="00632BE3">
              <w:rPr>
                <w:sz w:val="20"/>
                <w:szCs w:val="20"/>
              </w:rPr>
              <w:t>1</w:t>
            </w:r>
            <w:r w:rsidR="008C0699">
              <w:rPr>
                <w:sz w:val="20"/>
                <w:szCs w:val="20"/>
              </w:rPr>
              <w:t>59.22</w:t>
            </w:r>
          </w:p>
        </w:tc>
        <w:tc>
          <w:tcPr>
            <w:tcW w:w="0" w:type="auto"/>
            <w:vAlign w:val="center"/>
          </w:tcPr>
          <w:p w:rsidRPr="00A82320" w:rsidR="00051DF6" w:rsidP="00051DF6" w:rsidRDefault="008C0699" w14:paraId="6102BE3A" w14:textId="33C0A9D6">
            <w:pPr>
              <w:spacing w:after="0"/>
              <w:jc w:val="center"/>
              <w:rPr>
                <w:sz w:val="20"/>
                <w:szCs w:val="20"/>
              </w:rPr>
            </w:pPr>
            <w:r>
              <w:rPr>
                <w:sz w:val="20"/>
                <w:szCs w:val="20"/>
              </w:rPr>
              <w:t>31</w:t>
            </w:r>
            <w:r w:rsidR="00D50B11">
              <w:rPr>
                <w:sz w:val="20"/>
                <w:szCs w:val="20"/>
              </w:rPr>
              <w:t>8</w:t>
            </w:r>
            <w:r>
              <w:rPr>
                <w:sz w:val="20"/>
                <w:szCs w:val="20"/>
              </w:rPr>
              <w:t>.44</w:t>
            </w:r>
          </w:p>
        </w:tc>
      </w:tr>
      <w:tr w:rsidRPr="00814AD2" w:rsidR="00051DF6" w:rsidTr="00743AF8" w14:paraId="470D1A39" w14:textId="77777777">
        <w:trPr>
          <w:jc w:val="center"/>
        </w:trPr>
        <w:tc>
          <w:tcPr>
            <w:tcW w:w="0" w:type="auto"/>
            <w:vAlign w:val="center"/>
          </w:tcPr>
          <w:p w:rsidRPr="00A82320" w:rsidR="00051DF6" w:rsidP="00051DF6" w:rsidRDefault="00051DF6" w14:paraId="6EBC0BDB" w14:textId="77777777">
            <w:pPr>
              <w:spacing w:after="0"/>
              <w:rPr>
                <w:sz w:val="20"/>
                <w:szCs w:val="20"/>
              </w:rPr>
            </w:pPr>
            <w:r w:rsidRPr="00A82320">
              <w:rPr>
                <w:sz w:val="20"/>
                <w:szCs w:val="20"/>
              </w:rPr>
              <w:t>Billing and Posting Clerks</w:t>
            </w:r>
          </w:p>
        </w:tc>
        <w:tc>
          <w:tcPr>
            <w:tcW w:w="0" w:type="auto"/>
            <w:vAlign w:val="center"/>
          </w:tcPr>
          <w:p w:rsidRPr="00A82320" w:rsidR="00051DF6" w:rsidP="00051DF6" w:rsidRDefault="00051DF6" w14:paraId="3F1FCB24" w14:textId="77777777">
            <w:pPr>
              <w:spacing w:after="0"/>
              <w:jc w:val="center"/>
              <w:rPr>
                <w:sz w:val="20"/>
                <w:szCs w:val="20"/>
              </w:rPr>
            </w:pPr>
            <w:r w:rsidRPr="00A82320">
              <w:rPr>
                <w:sz w:val="20"/>
                <w:szCs w:val="20"/>
              </w:rPr>
              <w:t>43-3021</w:t>
            </w:r>
          </w:p>
        </w:tc>
        <w:tc>
          <w:tcPr>
            <w:tcW w:w="0" w:type="auto"/>
            <w:vAlign w:val="center"/>
          </w:tcPr>
          <w:p w:rsidRPr="00A82320" w:rsidR="00051DF6" w:rsidP="00051DF6" w:rsidRDefault="00957686" w14:paraId="41C10436" w14:textId="16110036">
            <w:pPr>
              <w:spacing w:after="0"/>
              <w:jc w:val="center"/>
              <w:rPr>
                <w:sz w:val="20"/>
                <w:szCs w:val="20"/>
              </w:rPr>
            </w:pPr>
            <w:r>
              <w:rPr>
                <w:color w:val="000000"/>
                <w:sz w:val="20"/>
                <w:szCs w:val="20"/>
                <w:shd w:val="clear" w:color="auto" w:fill="FFFFFF"/>
              </w:rPr>
              <w:t>20.</w:t>
            </w:r>
            <w:r w:rsidR="00EF7735">
              <w:rPr>
                <w:color w:val="000000"/>
                <w:sz w:val="20"/>
                <w:szCs w:val="20"/>
                <w:shd w:val="clear" w:color="auto" w:fill="FFFFFF"/>
              </w:rPr>
              <w:t>55</w:t>
            </w:r>
          </w:p>
        </w:tc>
        <w:tc>
          <w:tcPr>
            <w:tcW w:w="0" w:type="auto"/>
            <w:vAlign w:val="center"/>
          </w:tcPr>
          <w:p w:rsidRPr="00A82320" w:rsidR="00051DF6" w:rsidP="00051DF6" w:rsidRDefault="00957686" w14:paraId="24CB672E" w14:textId="28A9AD6E">
            <w:pPr>
              <w:spacing w:after="0"/>
              <w:jc w:val="center"/>
              <w:rPr>
                <w:sz w:val="20"/>
                <w:szCs w:val="20"/>
              </w:rPr>
            </w:pPr>
            <w:r>
              <w:rPr>
                <w:color w:val="000000"/>
                <w:sz w:val="20"/>
                <w:szCs w:val="20"/>
                <w:shd w:val="clear" w:color="auto" w:fill="FFFFFF"/>
              </w:rPr>
              <w:t>20.</w:t>
            </w:r>
            <w:r w:rsidR="00EF7735">
              <w:rPr>
                <w:color w:val="000000"/>
                <w:sz w:val="20"/>
                <w:szCs w:val="20"/>
                <w:shd w:val="clear" w:color="auto" w:fill="FFFFFF"/>
              </w:rPr>
              <w:t>55</w:t>
            </w:r>
          </w:p>
        </w:tc>
        <w:tc>
          <w:tcPr>
            <w:tcW w:w="0" w:type="auto"/>
            <w:vAlign w:val="center"/>
          </w:tcPr>
          <w:p w:rsidRPr="00A82320" w:rsidR="00051DF6" w:rsidP="00051DF6" w:rsidRDefault="00621AC9" w14:paraId="2A422834" w14:textId="16924111">
            <w:pPr>
              <w:spacing w:after="0"/>
              <w:jc w:val="center"/>
              <w:rPr>
                <w:sz w:val="20"/>
                <w:szCs w:val="20"/>
              </w:rPr>
            </w:pPr>
            <w:r>
              <w:rPr>
                <w:rFonts w:eastAsia="Calibri"/>
                <w:sz w:val="20"/>
                <w:szCs w:val="20"/>
                <w:lang w:bidi="en-US"/>
              </w:rPr>
              <w:t>4</w:t>
            </w:r>
            <w:r w:rsidR="00EF7735">
              <w:rPr>
                <w:rFonts w:eastAsia="Calibri"/>
                <w:sz w:val="20"/>
                <w:szCs w:val="20"/>
                <w:lang w:bidi="en-US"/>
              </w:rPr>
              <w:t>1.10</w:t>
            </w:r>
          </w:p>
        </w:tc>
      </w:tr>
      <w:tr w:rsidRPr="00814AD2" w:rsidR="00123FC4" w:rsidTr="00123FC4" w14:paraId="3EDF3A1E" w14:textId="77777777">
        <w:trPr>
          <w:jc w:val="center"/>
        </w:trPr>
        <w:tc>
          <w:tcPr>
            <w:tcW w:w="0" w:type="auto"/>
            <w:vAlign w:val="center"/>
          </w:tcPr>
          <w:p w:rsidRPr="00A82320" w:rsidR="00123FC4" w:rsidP="00123FC4" w:rsidRDefault="00123FC4" w14:paraId="5CB3D38C" w14:textId="77777777">
            <w:pPr>
              <w:spacing w:after="0"/>
              <w:rPr>
                <w:sz w:val="20"/>
                <w:szCs w:val="20"/>
              </w:rPr>
            </w:pPr>
            <w:r w:rsidRPr="00A82320">
              <w:rPr>
                <w:sz w:val="20"/>
                <w:szCs w:val="20"/>
              </w:rPr>
              <w:t>Computer Systems Analysts</w:t>
            </w:r>
          </w:p>
        </w:tc>
        <w:tc>
          <w:tcPr>
            <w:tcW w:w="0" w:type="auto"/>
            <w:vAlign w:val="center"/>
          </w:tcPr>
          <w:p w:rsidRPr="00A82320" w:rsidR="00123FC4" w:rsidP="00123FC4" w:rsidRDefault="00123FC4" w14:paraId="79C78FB3" w14:textId="4DDDFF72">
            <w:pPr>
              <w:spacing w:after="0"/>
              <w:jc w:val="center"/>
              <w:rPr>
                <w:sz w:val="20"/>
                <w:szCs w:val="20"/>
              </w:rPr>
            </w:pPr>
            <w:r w:rsidRPr="00A82320">
              <w:rPr>
                <w:sz w:val="20"/>
                <w:szCs w:val="20"/>
              </w:rPr>
              <w:t>15-1</w:t>
            </w:r>
            <w:r>
              <w:rPr>
                <w:sz w:val="20"/>
                <w:szCs w:val="20"/>
              </w:rPr>
              <w:t>21</w:t>
            </w:r>
            <w:r w:rsidRPr="00A82320">
              <w:rPr>
                <w:sz w:val="20"/>
                <w:szCs w:val="20"/>
              </w:rPr>
              <w:t>1</w:t>
            </w:r>
          </w:p>
        </w:tc>
        <w:tc>
          <w:tcPr>
            <w:tcW w:w="0" w:type="auto"/>
            <w:vAlign w:val="center"/>
          </w:tcPr>
          <w:p w:rsidRPr="00A82320" w:rsidR="00123FC4" w:rsidP="00123FC4" w:rsidRDefault="00123FC4" w14:paraId="77E0D12B" w14:textId="3CAD660B">
            <w:pPr>
              <w:spacing w:after="0"/>
              <w:jc w:val="center"/>
              <w:rPr>
                <w:sz w:val="20"/>
                <w:szCs w:val="20"/>
              </w:rPr>
            </w:pPr>
            <w:r w:rsidRPr="00D451BF">
              <w:rPr>
                <w:color w:val="000000"/>
                <w:sz w:val="20"/>
                <w:szCs w:val="20"/>
                <w:shd w:val="clear" w:color="auto" w:fill="FFFFFF"/>
              </w:rPr>
              <w:t>4</w:t>
            </w:r>
            <w:r w:rsidR="0050454A">
              <w:rPr>
                <w:color w:val="000000"/>
                <w:sz w:val="20"/>
                <w:szCs w:val="20"/>
                <w:shd w:val="clear" w:color="auto" w:fill="FFFFFF"/>
              </w:rPr>
              <w:t>9.14</w:t>
            </w:r>
          </w:p>
        </w:tc>
        <w:tc>
          <w:tcPr>
            <w:tcW w:w="0" w:type="auto"/>
            <w:vAlign w:val="center"/>
          </w:tcPr>
          <w:p w:rsidRPr="00A82320" w:rsidR="00123FC4" w:rsidP="00123FC4" w:rsidRDefault="00123FC4" w14:paraId="06C5444D" w14:textId="4A3825A5">
            <w:pPr>
              <w:spacing w:after="0"/>
              <w:jc w:val="center"/>
              <w:rPr>
                <w:sz w:val="20"/>
                <w:szCs w:val="20"/>
              </w:rPr>
            </w:pPr>
            <w:r w:rsidRPr="00D451BF">
              <w:rPr>
                <w:color w:val="000000"/>
                <w:sz w:val="20"/>
                <w:szCs w:val="20"/>
                <w:shd w:val="clear" w:color="auto" w:fill="FFFFFF"/>
              </w:rPr>
              <w:t>4</w:t>
            </w:r>
            <w:r w:rsidR="0050454A">
              <w:rPr>
                <w:color w:val="000000"/>
                <w:sz w:val="20"/>
                <w:szCs w:val="20"/>
                <w:shd w:val="clear" w:color="auto" w:fill="FFFFFF"/>
              </w:rPr>
              <w:t>9.14</w:t>
            </w:r>
          </w:p>
        </w:tc>
        <w:tc>
          <w:tcPr>
            <w:tcW w:w="0" w:type="auto"/>
            <w:vAlign w:val="center"/>
          </w:tcPr>
          <w:p w:rsidRPr="00A82320" w:rsidR="00123FC4" w:rsidP="00123FC4" w:rsidRDefault="00123FC4" w14:paraId="58DA042E" w14:textId="352322F0">
            <w:pPr>
              <w:spacing w:after="0"/>
              <w:jc w:val="center"/>
              <w:rPr>
                <w:sz w:val="20"/>
                <w:szCs w:val="20"/>
              </w:rPr>
            </w:pPr>
            <w:r w:rsidRPr="00D451BF">
              <w:rPr>
                <w:rFonts w:eastAsia="Calibri"/>
                <w:sz w:val="20"/>
                <w:szCs w:val="20"/>
                <w:lang w:bidi="en-US"/>
              </w:rPr>
              <w:t>9</w:t>
            </w:r>
            <w:r w:rsidR="0050454A">
              <w:rPr>
                <w:rFonts w:eastAsia="Calibri"/>
                <w:sz w:val="20"/>
                <w:szCs w:val="20"/>
                <w:lang w:bidi="en-US"/>
              </w:rPr>
              <w:t>8</w:t>
            </w:r>
            <w:r w:rsidRPr="00D451BF">
              <w:rPr>
                <w:rFonts w:eastAsia="Calibri"/>
                <w:sz w:val="20"/>
                <w:szCs w:val="20"/>
                <w:lang w:bidi="en-US"/>
              </w:rPr>
              <w:t>.2</w:t>
            </w:r>
            <w:r w:rsidR="0050454A">
              <w:rPr>
                <w:rFonts w:eastAsia="Calibri"/>
                <w:sz w:val="20"/>
                <w:szCs w:val="20"/>
                <w:lang w:bidi="en-US"/>
              </w:rPr>
              <w:t>8</w:t>
            </w:r>
          </w:p>
        </w:tc>
      </w:tr>
      <w:tr w:rsidRPr="00814AD2" w:rsidR="00117831" w:rsidTr="0095291B" w14:paraId="6FB8F51E" w14:textId="77777777">
        <w:trPr>
          <w:jc w:val="center"/>
        </w:trPr>
        <w:tc>
          <w:tcPr>
            <w:tcW w:w="0" w:type="auto"/>
          </w:tcPr>
          <w:p w:rsidRPr="00A82320" w:rsidR="00117831" w:rsidP="00117831" w:rsidRDefault="00117831" w14:paraId="52155AA7" w14:textId="379A6365">
            <w:pPr>
              <w:spacing w:after="0"/>
              <w:rPr>
                <w:sz w:val="20"/>
                <w:szCs w:val="20"/>
              </w:rPr>
            </w:pPr>
            <w:r w:rsidRPr="0095291B">
              <w:rPr>
                <w:sz w:val="20"/>
                <w:szCs w:val="20"/>
              </w:rPr>
              <w:t>Family Medicine Physicians</w:t>
            </w:r>
          </w:p>
        </w:tc>
        <w:tc>
          <w:tcPr>
            <w:tcW w:w="0" w:type="auto"/>
            <w:vAlign w:val="center"/>
          </w:tcPr>
          <w:p w:rsidRPr="00A82320" w:rsidR="00117831" w:rsidP="00117831" w:rsidRDefault="00117831" w14:paraId="1843A40B" w14:textId="38E3EB4A">
            <w:pPr>
              <w:spacing w:after="0"/>
              <w:jc w:val="center"/>
              <w:rPr>
                <w:sz w:val="20"/>
                <w:szCs w:val="20"/>
              </w:rPr>
            </w:pPr>
            <w:r w:rsidRPr="0095291B">
              <w:rPr>
                <w:sz w:val="20"/>
                <w:szCs w:val="20"/>
              </w:rPr>
              <w:t>29-1215</w:t>
            </w:r>
          </w:p>
        </w:tc>
        <w:tc>
          <w:tcPr>
            <w:tcW w:w="0" w:type="auto"/>
            <w:vAlign w:val="center"/>
          </w:tcPr>
          <w:p w:rsidRPr="00A82320" w:rsidR="00117831" w:rsidP="00117831" w:rsidRDefault="00117831" w14:paraId="75F8F8A2" w14:textId="5E1E6F08">
            <w:pPr>
              <w:spacing w:after="0"/>
              <w:jc w:val="center"/>
              <w:rPr>
                <w:sz w:val="20"/>
                <w:szCs w:val="20"/>
              </w:rPr>
            </w:pPr>
            <w:r w:rsidRPr="00F60B2B">
              <w:rPr>
                <w:rFonts w:eastAsia="Calibri"/>
                <w:sz w:val="20"/>
                <w:szCs w:val="20"/>
                <w:lang w:bidi="en-US"/>
              </w:rPr>
              <w:t>1</w:t>
            </w:r>
            <w:r w:rsidR="001C4765">
              <w:rPr>
                <w:rFonts w:eastAsia="Calibri"/>
                <w:sz w:val="20"/>
                <w:szCs w:val="20"/>
                <w:lang w:bidi="en-US"/>
              </w:rPr>
              <w:t>1</w:t>
            </w:r>
            <w:r w:rsidRPr="00F60B2B">
              <w:rPr>
                <w:rFonts w:eastAsia="Calibri"/>
                <w:sz w:val="20"/>
                <w:szCs w:val="20"/>
                <w:lang w:bidi="en-US"/>
              </w:rPr>
              <w:t>3.</w:t>
            </w:r>
            <w:r w:rsidR="001C4765">
              <w:rPr>
                <w:rFonts w:eastAsia="Calibri"/>
                <w:sz w:val="20"/>
                <w:szCs w:val="20"/>
                <w:lang w:bidi="en-US"/>
              </w:rPr>
              <w:t>43</w:t>
            </w:r>
          </w:p>
        </w:tc>
        <w:tc>
          <w:tcPr>
            <w:tcW w:w="0" w:type="auto"/>
            <w:vAlign w:val="center"/>
          </w:tcPr>
          <w:p w:rsidRPr="00A82320" w:rsidR="00117831" w:rsidP="00117831" w:rsidRDefault="00117831" w14:paraId="6B67595B" w14:textId="20C9D66F">
            <w:pPr>
              <w:spacing w:after="0"/>
              <w:jc w:val="center"/>
              <w:rPr>
                <w:sz w:val="20"/>
                <w:szCs w:val="20"/>
              </w:rPr>
            </w:pPr>
            <w:r w:rsidRPr="00F60B2B">
              <w:rPr>
                <w:rFonts w:eastAsia="Calibri"/>
                <w:sz w:val="20"/>
                <w:szCs w:val="20"/>
                <w:lang w:bidi="en-US"/>
              </w:rPr>
              <w:t>1</w:t>
            </w:r>
            <w:r w:rsidR="001C4765">
              <w:rPr>
                <w:rFonts w:eastAsia="Calibri"/>
                <w:sz w:val="20"/>
                <w:szCs w:val="20"/>
                <w:lang w:bidi="en-US"/>
              </w:rPr>
              <w:t>1</w:t>
            </w:r>
            <w:r w:rsidRPr="00F60B2B">
              <w:rPr>
                <w:rFonts w:eastAsia="Calibri"/>
                <w:sz w:val="20"/>
                <w:szCs w:val="20"/>
                <w:lang w:bidi="en-US"/>
              </w:rPr>
              <w:t>3.</w:t>
            </w:r>
            <w:r w:rsidR="001C4765">
              <w:rPr>
                <w:rFonts w:eastAsia="Calibri"/>
                <w:sz w:val="20"/>
                <w:szCs w:val="20"/>
                <w:lang w:bidi="en-US"/>
              </w:rPr>
              <w:t>43</w:t>
            </w:r>
          </w:p>
        </w:tc>
        <w:tc>
          <w:tcPr>
            <w:tcW w:w="0" w:type="auto"/>
            <w:vAlign w:val="center"/>
          </w:tcPr>
          <w:p w:rsidRPr="00A82320" w:rsidR="00117831" w:rsidP="00117831" w:rsidRDefault="00117831" w14:paraId="76DBF7A9" w14:textId="306A4687">
            <w:pPr>
              <w:spacing w:after="0"/>
              <w:jc w:val="center"/>
              <w:rPr>
                <w:sz w:val="20"/>
                <w:szCs w:val="20"/>
              </w:rPr>
            </w:pPr>
            <w:r>
              <w:rPr>
                <w:rFonts w:eastAsia="Calibri"/>
                <w:sz w:val="20"/>
                <w:szCs w:val="20"/>
                <w:lang w:bidi="en-US"/>
              </w:rPr>
              <w:t>2</w:t>
            </w:r>
            <w:r w:rsidR="001C4765">
              <w:rPr>
                <w:rFonts w:eastAsia="Calibri"/>
                <w:sz w:val="20"/>
                <w:szCs w:val="20"/>
                <w:lang w:bidi="en-US"/>
              </w:rPr>
              <w:t>2</w:t>
            </w:r>
            <w:r>
              <w:rPr>
                <w:rFonts w:eastAsia="Calibri"/>
                <w:sz w:val="20"/>
                <w:szCs w:val="20"/>
                <w:lang w:bidi="en-US"/>
              </w:rPr>
              <w:t>6.</w:t>
            </w:r>
            <w:r w:rsidR="001C4765">
              <w:rPr>
                <w:rFonts w:eastAsia="Calibri"/>
                <w:sz w:val="20"/>
                <w:szCs w:val="20"/>
                <w:lang w:bidi="en-US"/>
              </w:rPr>
              <w:t>86</w:t>
            </w:r>
          </w:p>
        </w:tc>
      </w:tr>
      <w:tr w:rsidRPr="00814AD2" w:rsidR="00C146AF" w:rsidTr="0095291B" w14:paraId="2753831F" w14:textId="77777777">
        <w:trPr>
          <w:jc w:val="center"/>
        </w:trPr>
        <w:tc>
          <w:tcPr>
            <w:tcW w:w="0" w:type="auto"/>
          </w:tcPr>
          <w:p w:rsidRPr="00A82320" w:rsidR="00C146AF" w:rsidP="00C146AF" w:rsidRDefault="00C146AF" w14:paraId="66FF6D90" w14:textId="7344CC56">
            <w:pPr>
              <w:spacing w:after="0"/>
              <w:rPr>
                <w:sz w:val="20"/>
                <w:szCs w:val="20"/>
              </w:rPr>
            </w:pPr>
            <w:r w:rsidRPr="0095291B">
              <w:rPr>
                <w:sz w:val="20"/>
                <w:szCs w:val="20"/>
              </w:rPr>
              <w:t>General Internal Medicine Physicians</w:t>
            </w:r>
          </w:p>
        </w:tc>
        <w:tc>
          <w:tcPr>
            <w:tcW w:w="0" w:type="auto"/>
            <w:vAlign w:val="center"/>
          </w:tcPr>
          <w:p w:rsidRPr="00A82320" w:rsidR="00C146AF" w:rsidP="00C146AF" w:rsidRDefault="00C146AF" w14:paraId="701B244C" w14:textId="315FEBF7">
            <w:pPr>
              <w:spacing w:after="0"/>
              <w:jc w:val="center"/>
              <w:rPr>
                <w:sz w:val="20"/>
                <w:szCs w:val="20"/>
              </w:rPr>
            </w:pPr>
            <w:r w:rsidRPr="0095291B">
              <w:rPr>
                <w:sz w:val="20"/>
                <w:szCs w:val="20"/>
              </w:rPr>
              <w:t>29-1216</w:t>
            </w:r>
          </w:p>
        </w:tc>
        <w:tc>
          <w:tcPr>
            <w:tcW w:w="0" w:type="auto"/>
            <w:vAlign w:val="center"/>
          </w:tcPr>
          <w:p w:rsidRPr="00A82320" w:rsidR="00C146AF" w:rsidP="00C146AF" w:rsidRDefault="00C146AF" w14:paraId="5C4C6288" w14:textId="15D3B816">
            <w:pPr>
              <w:spacing w:after="0"/>
              <w:jc w:val="center"/>
              <w:rPr>
                <w:sz w:val="20"/>
                <w:szCs w:val="20"/>
              </w:rPr>
            </w:pPr>
            <w:r w:rsidRPr="009768EF">
              <w:rPr>
                <w:rFonts w:eastAsia="Calibri"/>
                <w:sz w:val="20"/>
                <w:szCs w:val="20"/>
                <w:lang w:bidi="en-US"/>
              </w:rPr>
              <w:t>11</w:t>
            </w:r>
            <w:r w:rsidR="00D53608">
              <w:rPr>
                <w:rFonts w:eastAsia="Calibri"/>
                <w:sz w:val="20"/>
                <w:szCs w:val="20"/>
                <w:lang w:bidi="en-US"/>
              </w:rPr>
              <w:t>6</w:t>
            </w:r>
            <w:r w:rsidRPr="009768EF">
              <w:rPr>
                <w:rFonts w:eastAsia="Calibri"/>
                <w:sz w:val="20"/>
                <w:szCs w:val="20"/>
                <w:lang w:bidi="en-US"/>
              </w:rPr>
              <w:t>.4</w:t>
            </w:r>
            <w:r w:rsidR="00D53608">
              <w:rPr>
                <w:rFonts w:eastAsia="Calibri"/>
                <w:sz w:val="20"/>
                <w:szCs w:val="20"/>
                <w:lang w:bidi="en-US"/>
              </w:rPr>
              <w:t>4</w:t>
            </w:r>
          </w:p>
        </w:tc>
        <w:tc>
          <w:tcPr>
            <w:tcW w:w="0" w:type="auto"/>
            <w:vAlign w:val="center"/>
          </w:tcPr>
          <w:p w:rsidRPr="00A82320" w:rsidR="00C146AF" w:rsidP="00C146AF" w:rsidRDefault="00C146AF" w14:paraId="796CDD09" w14:textId="6F61EE8C">
            <w:pPr>
              <w:spacing w:after="0"/>
              <w:jc w:val="center"/>
              <w:rPr>
                <w:sz w:val="20"/>
                <w:szCs w:val="20"/>
              </w:rPr>
            </w:pPr>
            <w:r w:rsidRPr="009768EF">
              <w:rPr>
                <w:sz w:val="20"/>
                <w:szCs w:val="20"/>
                <w:lang w:bidi="en-US"/>
              </w:rPr>
              <w:t>11</w:t>
            </w:r>
            <w:r w:rsidR="00D53608">
              <w:rPr>
                <w:sz w:val="20"/>
                <w:szCs w:val="20"/>
                <w:lang w:bidi="en-US"/>
              </w:rPr>
              <w:t>6</w:t>
            </w:r>
            <w:r w:rsidRPr="009768EF">
              <w:rPr>
                <w:sz w:val="20"/>
                <w:szCs w:val="20"/>
                <w:lang w:bidi="en-US"/>
              </w:rPr>
              <w:t>.4</w:t>
            </w:r>
            <w:r w:rsidR="00D53608">
              <w:rPr>
                <w:sz w:val="20"/>
                <w:szCs w:val="20"/>
                <w:lang w:bidi="en-US"/>
              </w:rPr>
              <w:t>4</w:t>
            </w:r>
          </w:p>
        </w:tc>
        <w:tc>
          <w:tcPr>
            <w:tcW w:w="0" w:type="auto"/>
            <w:vAlign w:val="center"/>
          </w:tcPr>
          <w:p w:rsidRPr="00A82320" w:rsidR="00C146AF" w:rsidP="00C146AF" w:rsidRDefault="00C146AF" w14:paraId="6068961B" w14:textId="08B3EAEB">
            <w:pPr>
              <w:spacing w:after="0"/>
              <w:jc w:val="center"/>
              <w:rPr>
                <w:sz w:val="20"/>
                <w:szCs w:val="20"/>
              </w:rPr>
            </w:pPr>
            <w:r>
              <w:rPr>
                <w:sz w:val="20"/>
                <w:szCs w:val="20"/>
                <w:lang w:bidi="en-US"/>
              </w:rPr>
              <w:t>2</w:t>
            </w:r>
            <w:r w:rsidR="00D53608">
              <w:rPr>
                <w:sz w:val="20"/>
                <w:szCs w:val="20"/>
                <w:lang w:bidi="en-US"/>
              </w:rPr>
              <w:t>3</w:t>
            </w:r>
            <w:r>
              <w:rPr>
                <w:sz w:val="20"/>
                <w:szCs w:val="20"/>
                <w:lang w:bidi="en-US"/>
              </w:rPr>
              <w:t>2.8</w:t>
            </w:r>
            <w:r w:rsidR="00D53608">
              <w:rPr>
                <w:sz w:val="20"/>
                <w:szCs w:val="20"/>
                <w:lang w:bidi="en-US"/>
              </w:rPr>
              <w:t>8</w:t>
            </w:r>
          </w:p>
        </w:tc>
      </w:tr>
      <w:tr w:rsidRPr="00814AD2" w:rsidR="005128E9" w:rsidTr="00743AF8" w14:paraId="2A81D7C2" w14:textId="77777777">
        <w:trPr>
          <w:jc w:val="center"/>
        </w:trPr>
        <w:tc>
          <w:tcPr>
            <w:tcW w:w="0" w:type="auto"/>
            <w:vAlign w:val="center"/>
          </w:tcPr>
          <w:p w:rsidRPr="00A82320" w:rsidR="005128E9" w:rsidP="005128E9" w:rsidRDefault="005128E9" w14:paraId="22E61586" w14:textId="77777777">
            <w:pPr>
              <w:spacing w:after="0"/>
              <w:rPr>
                <w:sz w:val="20"/>
                <w:szCs w:val="20"/>
              </w:rPr>
            </w:pPr>
            <w:r w:rsidRPr="00A82320">
              <w:rPr>
                <w:sz w:val="20"/>
                <w:szCs w:val="20"/>
              </w:rPr>
              <w:t>Licensed Practical Nurse (LPN)</w:t>
            </w:r>
          </w:p>
        </w:tc>
        <w:tc>
          <w:tcPr>
            <w:tcW w:w="0" w:type="auto"/>
            <w:vAlign w:val="center"/>
          </w:tcPr>
          <w:p w:rsidRPr="00A82320" w:rsidR="005128E9" w:rsidP="005128E9" w:rsidRDefault="005128E9" w14:paraId="6FD475D1" w14:textId="77777777">
            <w:pPr>
              <w:spacing w:after="0"/>
              <w:jc w:val="center"/>
              <w:rPr>
                <w:sz w:val="20"/>
                <w:szCs w:val="20"/>
              </w:rPr>
            </w:pPr>
            <w:r w:rsidRPr="00A82320">
              <w:rPr>
                <w:sz w:val="20"/>
                <w:szCs w:val="20"/>
              </w:rPr>
              <w:t>29-2061</w:t>
            </w:r>
          </w:p>
        </w:tc>
        <w:tc>
          <w:tcPr>
            <w:tcW w:w="0" w:type="auto"/>
            <w:vAlign w:val="center"/>
          </w:tcPr>
          <w:p w:rsidRPr="00A82320" w:rsidR="005128E9" w:rsidP="005128E9" w:rsidRDefault="005128E9" w14:paraId="44B8BF59" w14:textId="73393884">
            <w:pPr>
              <w:spacing w:after="0"/>
              <w:jc w:val="center"/>
              <w:rPr>
                <w:sz w:val="20"/>
                <w:szCs w:val="20"/>
              </w:rPr>
            </w:pPr>
            <w:r w:rsidRPr="00E32865">
              <w:rPr>
                <w:color w:val="000000"/>
                <w:sz w:val="20"/>
                <w:szCs w:val="20"/>
                <w:shd w:val="clear" w:color="auto" w:fill="FFFFFF"/>
              </w:rPr>
              <w:t>24.</w:t>
            </w:r>
            <w:r w:rsidR="00DA5C5D">
              <w:rPr>
                <w:color w:val="000000"/>
                <w:sz w:val="20"/>
                <w:szCs w:val="20"/>
                <w:shd w:val="clear" w:color="auto" w:fill="FFFFFF"/>
              </w:rPr>
              <w:t>93</w:t>
            </w:r>
          </w:p>
        </w:tc>
        <w:tc>
          <w:tcPr>
            <w:tcW w:w="0" w:type="auto"/>
            <w:vAlign w:val="center"/>
          </w:tcPr>
          <w:p w:rsidRPr="00A82320" w:rsidR="005128E9" w:rsidP="005128E9" w:rsidRDefault="005128E9" w14:paraId="7E918CE0" w14:textId="6CD0B8AF">
            <w:pPr>
              <w:spacing w:after="0"/>
              <w:jc w:val="center"/>
              <w:rPr>
                <w:sz w:val="20"/>
                <w:szCs w:val="20"/>
              </w:rPr>
            </w:pPr>
            <w:r w:rsidRPr="00E32865">
              <w:rPr>
                <w:color w:val="000000"/>
                <w:sz w:val="20"/>
                <w:szCs w:val="20"/>
                <w:shd w:val="clear" w:color="auto" w:fill="FFFFFF"/>
              </w:rPr>
              <w:t>24.</w:t>
            </w:r>
            <w:r w:rsidR="00DA5C5D">
              <w:rPr>
                <w:color w:val="000000"/>
                <w:sz w:val="20"/>
                <w:szCs w:val="20"/>
                <w:shd w:val="clear" w:color="auto" w:fill="FFFFFF"/>
              </w:rPr>
              <w:t>93</w:t>
            </w:r>
          </w:p>
        </w:tc>
        <w:tc>
          <w:tcPr>
            <w:tcW w:w="0" w:type="auto"/>
            <w:vAlign w:val="center"/>
          </w:tcPr>
          <w:p w:rsidRPr="00A82320" w:rsidR="005128E9" w:rsidP="005128E9" w:rsidRDefault="005128E9" w14:paraId="30D65B85" w14:textId="64291F8E">
            <w:pPr>
              <w:spacing w:after="0"/>
              <w:jc w:val="center"/>
              <w:rPr>
                <w:sz w:val="20"/>
                <w:szCs w:val="20"/>
              </w:rPr>
            </w:pPr>
            <w:r>
              <w:rPr>
                <w:rFonts w:eastAsia="Calibri"/>
                <w:sz w:val="20"/>
                <w:szCs w:val="20"/>
                <w:lang w:bidi="en-US"/>
              </w:rPr>
              <w:t>4</w:t>
            </w:r>
            <w:r w:rsidR="00DA5C5D">
              <w:rPr>
                <w:rFonts w:eastAsia="Calibri"/>
                <w:sz w:val="20"/>
                <w:szCs w:val="20"/>
                <w:lang w:bidi="en-US"/>
              </w:rPr>
              <w:t>9</w:t>
            </w:r>
            <w:r>
              <w:rPr>
                <w:rFonts w:eastAsia="Calibri"/>
                <w:sz w:val="20"/>
                <w:szCs w:val="20"/>
                <w:lang w:bidi="en-US"/>
              </w:rPr>
              <w:t>.</w:t>
            </w:r>
            <w:r w:rsidR="00DA5C5D">
              <w:rPr>
                <w:rFonts w:eastAsia="Calibri"/>
                <w:sz w:val="20"/>
                <w:szCs w:val="20"/>
                <w:lang w:bidi="en-US"/>
              </w:rPr>
              <w:t>8</w:t>
            </w:r>
            <w:r>
              <w:rPr>
                <w:rFonts w:eastAsia="Calibri"/>
                <w:sz w:val="20"/>
                <w:szCs w:val="20"/>
                <w:lang w:bidi="en-US"/>
              </w:rPr>
              <w:t>6</w:t>
            </w:r>
          </w:p>
        </w:tc>
      </w:tr>
      <w:tr w:rsidRPr="00814AD2" w:rsidR="00582B8E" w:rsidTr="00582B8E" w14:paraId="0C273DDA" w14:textId="77777777">
        <w:trPr>
          <w:jc w:val="center"/>
        </w:trPr>
        <w:tc>
          <w:tcPr>
            <w:tcW w:w="0" w:type="auto"/>
          </w:tcPr>
          <w:p w:rsidRPr="00A82320" w:rsidR="00582B8E" w:rsidP="00582B8E" w:rsidRDefault="00582B8E" w14:paraId="499F6A7A" w14:textId="10B3B94F">
            <w:pPr>
              <w:spacing w:after="0"/>
              <w:rPr>
                <w:sz w:val="20"/>
                <w:szCs w:val="20"/>
              </w:rPr>
            </w:pPr>
            <w:r w:rsidRPr="0095291B">
              <w:rPr>
                <w:sz w:val="20"/>
                <w:szCs w:val="20"/>
              </w:rPr>
              <w:t>Medical and Health Services Managers</w:t>
            </w:r>
          </w:p>
        </w:tc>
        <w:tc>
          <w:tcPr>
            <w:tcW w:w="0" w:type="auto"/>
          </w:tcPr>
          <w:p w:rsidRPr="00A82320" w:rsidR="00582B8E" w:rsidP="00582B8E" w:rsidRDefault="00582B8E" w14:paraId="03C4B7CB" w14:textId="59D8C731">
            <w:pPr>
              <w:spacing w:after="0"/>
              <w:jc w:val="center"/>
              <w:rPr>
                <w:sz w:val="20"/>
                <w:szCs w:val="20"/>
              </w:rPr>
            </w:pPr>
            <w:r w:rsidRPr="00712384">
              <w:rPr>
                <w:sz w:val="20"/>
                <w:szCs w:val="20"/>
              </w:rPr>
              <w:t>11-9111</w:t>
            </w:r>
          </w:p>
        </w:tc>
        <w:tc>
          <w:tcPr>
            <w:tcW w:w="0" w:type="auto"/>
            <w:vAlign w:val="center"/>
          </w:tcPr>
          <w:p w:rsidRPr="00A82320" w:rsidR="00582B8E" w:rsidP="00582B8E" w:rsidRDefault="00582B8E" w14:paraId="2CCBA8AF" w14:textId="01765BB1">
            <w:pPr>
              <w:spacing w:after="0"/>
              <w:jc w:val="center"/>
              <w:rPr>
                <w:sz w:val="20"/>
                <w:szCs w:val="20"/>
              </w:rPr>
            </w:pPr>
            <w:r w:rsidRPr="00D33E98">
              <w:rPr>
                <w:color w:val="000000"/>
                <w:sz w:val="20"/>
                <w:szCs w:val="20"/>
                <w:shd w:val="clear" w:color="auto" w:fill="FFFFFF"/>
              </w:rPr>
              <w:t>57.</w:t>
            </w:r>
            <w:r w:rsidR="0014007B">
              <w:rPr>
                <w:color w:val="000000"/>
                <w:sz w:val="20"/>
                <w:szCs w:val="20"/>
                <w:shd w:val="clear" w:color="auto" w:fill="FFFFFF"/>
              </w:rPr>
              <w:t>6</w:t>
            </w:r>
            <w:r w:rsidRPr="00D33E98">
              <w:rPr>
                <w:color w:val="000000"/>
                <w:sz w:val="20"/>
                <w:szCs w:val="20"/>
                <w:shd w:val="clear" w:color="auto" w:fill="FFFFFF"/>
              </w:rPr>
              <w:t>1</w:t>
            </w:r>
          </w:p>
        </w:tc>
        <w:tc>
          <w:tcPr>
            <w:tcW w:w="0" w:type="auto"/>
            <w:vAlign w:val="center"/>
          </w:tcPr>
          <w:p w:rsidRPr="00A82320" w:rsidR="00582B8E" w:rsidP="00582B8E" w:rsidRDefault="00582B8E" w14:paraId="1C13156C" w14:textId="35BC4A63">
            <w:pPr>
              <w:spacing w:after="0"/>
              <w:jc w:val="center"/>
              <w:rPr>
                <w:sz w:val="20"/>
                <w:szCs w:val="20"/>
              </w:rPr>
            </w:pPr>
            <w:r w:rsidRPr="00D33E98">
              <w:rPr>
                <w:color w:val="000000"/>
                <w:sz w:val="20"/>
                <w:szCs w:val="20"/>
                <w:shd w:val="clear" w:color="auto" w:fill="FFFFFF"/>
              </w:rPr>
              <w:t>57.</w:t>
            </w:r>
            <w:r w:rsidR="0014007B">
              <w:rPr>
                <w:color w:val="000000"/>
                <w:sz w:val="20"/>
                <w:szCs w:val="20"/>
                <w:shd w:val="clear" w:color="auto" w:fill="FFFFFF"/>
              </w:rPr>
              <w:t>6</w:t>
            </w:r>
            <w:r w:rsidRPr="00D33E98">
              <w:rPr>
                <w:color w:val="000000"/>
                <w:sz w:val="20"/>
                <w:szCs w:val="20"/>
                <w:shd w:val="clear" w:color="auto" w:fill="FFFFFF"/>
              </w:rPr>
              <w:t>1</w:t>
            </w:r>
          </w:p>
        </w:tc>
        <w:tc>
          <w:tcPr>
            <w:tcW w:w="0" w:type="auto"/>
            <w:vAlign w:val="center"/>
          </w:tcPr>
          <w:p w:rsidRPr="00A82320" w:rsidR="00582B8E" w:rsidP="00582B8E" w:rsidRDefault="00582B8E" w14:paraId="23298D87" w14:textId="62936C5D">
            <w:pPr>
              <w:spacing w:after="0"/>
              <w:jc w:val="center"/>
              <w:rPr>
                <w:sz w:val="20"/>
                <w:szCs w:val="20"/>
              </w:rPr>
            </w:pPr>
            <w:r>
              <w:rPr>
                <w:rFonts w:eastAsia="Calibri"/>
                <w:sz w:val="20"/>
                <w:szCs w:val="20"/>
                <w:lang w:bidi="en-US"/>
              </w:rPr>
              <w:t>11</w:t>
            </w:r>
            <w:r w:rsidR="0014007B">
              <w:rPr>
                <w:rFonts w:eastAsia="Calibri"/>
                <w:sz w:val="20"/>
                <w:szCs w:val="20"/>
                <w:lang w:bidi="en-US"/>
              </w:rPr>
              <w:t>5</w:t>
            </w:r>
            <w:r>
              <w:rPr>
                <w:rFonts w:eastAsia="Calibri"/>
                <w:sz w:val="20"/>
                <w:szCs w:val="20"/>
                <w:lang w:bidi="en-US"/>
              </w:rPr>
              <w:t>.2</w:t>
            </w:r>
            <w:r w:rsidR="0014007B">
              <w:rPr>
                <w:rFonts w:eastAsia="Calibri"/>
                <w:sz w:val="20"/>
                <w:szCs w:val="20"/>
                <w:lang w:bidi="en-US"/>
              </w:rPr>
              <w:t>2</w:t>
            </w:r>
          </w:p>
        </w:tc>
      </w:tr>
      <w:tr w:rsidRPr="00814AD2" w:rsidR="00985703" w:rsidTr="0095291B" w14:paraId="51C26C55" w14:textId="77777777">
        <w:trPr>
          <w:jc w:val="center"/>
        </w:trPr>
        <w:tc>
          <w:tcPr>
            <w:tcW w:w="0" w:type="auto"/>
          </w:tcPr>
          <w:p w:rsidRPr="00A82320" w:rsidR="00985703" w:rsidP="00985703" w:rsidRDefault="00985703" w14:paraId="523EEA2B" w14:textId="62BA02BA">
            <w:pPr>
              <w:spacing w:after="0"/>
              <w:rPr>
                <w:sz w:val="20"/>
                <w:szCs w:val="20"/>
              </w:rPr>
            </w:pPr>
            <w:r w:rsidRPr="0095291B">
              <w:rPr>
                <w:sz w:val="20"/>
                <w:szCs w:val="20"/>
              </w:rPr>
              <w:t>Obstetricians and Gynecologists</w:t>
            </w:r>
          </w:p>
        </w:tc>
        <w:tc>
          <w:tcPr>
            <w:tcW w:w="0" w:type="auto"/>
            <w:vAlign w:val="center"/>
          </w:tcPr>
          <w:p w:rsidRPr="00A82320" w:rsidR="00985703" w:rsidP="00985703" w:rsidRDefault="00985703" w14:paraId="52AA5268" w14:textId="150783BF">
            <w:pPr>
              <w:spacing w:after="0"/>
              <w:jc w:val="center"/>
              <w:rPr>
                <w:sz w:val="20"/>
                <w:szCs w:val="20"/>
              </w:rPr>
            </w:pPr>
            <w:r w:rsidRPr="0095291B">
              <w:rPr>
                <w:sz w:val="20"/>
                <w:szCs w:val="20"/>
              </w:rPr>
              <w:t>29-1218</w:t>
            </w:r>
          </w:p>
        </w:tc>
        <w:tc>
          <w:tcPr>
            <w:tcW w:w="0" w:type="auto"/>
            <w:vAlign w:val="center"/>
          </w:tcPr>
          <w:p w:rsidRPr="00A82320" w:rsidR="00985703" w:rsidP="00985703" w:rsidRDefault="00985703" w14:paraId="6B283100" w14:textId="1E0582B7">
            <w:pPr>
              <w:spacing w:after="0"/>
              <w:jc w:val="center"/>
              <w:rPr>
                <w:sz w:val="20"/>
                <w:szCs w:val="20"/>
              </w:rPr>
            </w:pPr>
            <w:r w:rsidRPr="001D25D3">
              <w:rPr>
                <w:rFonts w:eastAsia="Calibri"/>
                <w:sz w:val="20"/>
                <w:szCs w:val="20"/>
                <w:lang w:bidi="en-US"/>
              </w:rPr>
              <w:t>14</w:t>
            </w:r>
            <w:r w:rsidR="00E32A93">
              <w:rPr>
                <w:rFonts w:eastAsia="Calibri"/>
                <w:sz w:val="20"/>
                <w:szCs w:val="20"/>
                <w:lang w:bidi="en-US"/>
              </w:rPr>
              <w:t>2</w:t>
            </w:r>
            <w:r w:rsidRPr="001D25D3">
              <w:rPr>
                <w:rFonts w:eastAsia="Calibri"/>
                <w:sz w:val="20"/>
                <w:szCs w:val="20"/>
                <w:lang w:bidi="en-US"/>
              </w:rPr>
              <w:t>.</w:t>
            </w:r>
            <w:r w:rsidR="00E32A93">
              <w:rPr>
                <w:rFonts w:eastAsia="Calibri"/>
                <w:sz w:val="20"/>
                <w:szCs w:val="20"/>
                <w:lang w:bidi="en-US"/>
              </w:rPr>
              <w:t>41</w:t>
            </w:r>
          </w:p>
        </w:tc>
        <w:tc>
          <w:tcPr>
            <w:tcW w:w="0" w:type="auto"/>
            <w:vAlign w:val="center"/>
          </w:tcPr>
          <w:p w:rsidRPr="00A82320" w:rsidR="00985703" w:rsidP="00985703" w:rsidRDefault="00985703" w14:paraId="7FECC94D" w14:textId="6CD9593D">
            <w:pPr>
              <w:spacing w:after="0"/>
              <w:jc w:val="center"/>
              <w:rPr>
                <w:sz w:val="20"/>
                <w:szCs w:val="20"/>
              </w:rPr>
            </w:pPr>
            <w:r w:rsidRPr="001D25D3">
              <w:rPr>
                <w:rFonts w:eastAsia="Calibri"/>
                <w:sz w:val="20"/>
                <w:szCs w:val="20"/>
                <w:lang w:bidi="en-US"/>
              </w:rPr>
              <w:t>14</w:t>
            </w:r>
            <w:r w:rsidR="00E32A93">
              <w:rPr>
                <w:rFonts w:eastAsia="Calibri"/>
                <w:sz w:val="20"/>
                <w:szCs w:val="20"/>
                <w:lang w:bidi="en-US"/>
              </w:rPr>
              <w:t>2</w:t>
            </w:r>
            <w:r w:rsidRPr="001D25D3">
              <w:rPr>
                <w:rFonts w:eastAsia="Calibri"/>
                <w:sz w:val="20"/>
                <w:szCs w:val="20"/>
                <w:lang w:bidi="en-US"/>
              </w:rPr>
              <w:t>.</w:t>
            </w:r>
            <w:r w:rsidR="00E32A93">
              <w:rPr>
                <w:rFonts w:eastAsia="Calibri"/>
                <w:sz w:val="20"/>
                <w:szCs w:val="20"/>
                <w:lang w:bidi="en-US"/>
              </w:rPr>
              <w:t>41</w:t>
            </w:r>
          </w:p>
        </w:tc>
        <w:tc>
          <w:tcPr>
            <w:tcW w:w="0" w:type="auto"/>
            <w:vAlign w:val="center"/>
          </w:tcPr>
          <w:p w:rsidRPr="00A82320" w:rsidR="00985703" w:rsidP="00985703" w:rsidRDefault="00985703" w14:paraId="39F39C5D" w14:textId="121CA5D1">
            <w:pPr>
              <w:spacing w:after="0"/>
              <w:jc w:val="center"/>
              <w:rPr>
                <w:sz w:val="20"/>
                <w:szCs w:val="20"/>
              </w:rPr>
            </w:pPr>
            <w:r>
              <w:rPr>
                <w:rFonts w:eastAsia="Calibri"/>
                <w:sz w:val="20"/>
                <w:szCs w:val="20"/>
                <w:lang w:bidi="en-US"/>
              </w:rPr>
              <w:t>2</w:t>
            </w:r>
            <w:r w:rsidR="00E32A93">
              <w:rPr>
                <w:rFonts w:eastAsia="Calibri"/>
                <w:sz w:val="20"/>
                <w:szCs w:val="20"/>
                <w:lang w:bidi="en-US"/>
              </w:rPr>
              <w:t>84</w:t>
            </w:r>
            <w:r>
              <w:rPr>
                <w:rFonts w:eastAsia="Calibri"/>
                <w:sz w:val="20"/>
                <w:szCs w:val="20"/>
                <w:lang w:bidi="en-US"/>
              </w:rPr>
              <w:t>.</w:t>
            </w:r>
            <w:r w:rsidR="00E32A93">
              <w:rPr>
                <w:rFonts w:eastAsia="Calibri"/>
                <w:sz w:val="20"/>
                <w:szCs w:val="20"/>
                <w:lang w:bidi="en-US"/>
              </w:rPr>
              <w:t>8</w:t>
            </w:r>
            <w:r>
              <w:rPr>
                <w:rFonts w:eastAsia="Calibri"/>
                <w:sz w:val="20"/>
                <w:szCs w:val="20"/>
                <w:lang w:bidi="en-US"/>
              </w:rPr>
              <w:t>2</w:t>
            </w:r>
          </w:p>
        </w:tc>
      </w:tr>
      <w:tr w:rsidRPr="00814AD2" w:rsidR="00D02650" w:rsidTr="0095291B" w14:paraId="542D6724" w14:textId="77777777">
        <w:trPr>
          <w:jc w:val="center"/>
        </w:trPr>
        <w:tc>
          <w:tcPr>
            <w:tcW w:w="0" w:type="auto"/>
          </w:tcPr>
          <w:p w:rsidRPr="00A82320" w:rsidR="00D02650" w:rsidP="00D02650" w:rsidRDefault="00D02650" w14:paraId="55C56B57" w14:textId="40EC2E26">
            <w:pPr>
              <w:spacing w:after="0"/>
              <w:rPr>
                <w:sz w:val="20"/>
                <w:szCs w:val="20"/>
              </w:rPr>
            </w:pPr>
            <w:r w:rsidRPr="00712384">
              <w:rPr>
                <w:sz w:val="20"/>
                <w:szCs w:val="20"/>
              </w:rPr>
              <w:t>Pediatricians, General</w:t>
            </w:r>
          </w:p>
        </w:tc>
        <w:tc>
          <w:tcPr>
            <w:tcW w:w="0" w:type="auto"/>
            <w:vAlign w:val="center"/>
          </w:tcPr>
          <w:p w:rsidRPr="00A82320" w:rsidR="00D02650" w:rsidP="00D02650" w:rsidRDefault="00D02650" w14:paraId="11B3DE8C" w14:textId="3FB33F79">
            <w:pPr>
              <w:spacing w:after="0"/>
              <w:jc w:val="center"/>
              <w:rPr>
                <w:sz w:val="20"/>
                <w:szCs w:val="20"/>
              </w:rPr>
            </w:pPr>
            <w:r w:rsidRPr="0095291B">
              <w:rPr>
                <w:sz w:val="20"/>
                <w:szCs w:val="20"/>
              </w:rPr>
              <w:t>29-1221</w:t>
            </w:r>
          </w:p>
        </w:tc>
        <w:tc>
          <w:tcPr>
            <w:tcW w:w="0" w:type="auto"/>
            <w:vAlign w:val="center"/>
          </w:tcPr>
          <w:p w:rsidRPr="00A82320" w:rsidR="00D02650" w:rsidP="00D02650" w:rsidRDefault="00C4618D" w14:paraId="3C6D5097" w14:textId="222AA204">
            <w:pPr>
              <w:spacing w:after="0"/>
              <w:jc w:val="center"/>
              <w:rPr>
                <w:sz w:val="20"/>
                <w:szCs w:val="20"/>
              </w:rPr>
            </w:pPr>
            <w:r>
              <w:rPr>
                <w:color w:val="000000"/>
                <w:sz w:val="20"/>
                <w:szCs w:val="20"/>
                <w:shd w:val="clear" w:color="auto" w:fill="FFFFFF"/>
              </w:rPr>
              <w:t>95</w:t>
            </w:r>
            <w:r w:rsidRPr="00147796" w:rsidR="00D02650">
              <w:rPr>
                <w:color w:val="000000"/>
                <w:sz w:val="20"/>
                <w:szCs w:val="20"/>
                <w:shd w:val="clear" w:color="auto" w:fill="FFFFFF"/>
              </w:rPr>
              <w:t>.4</w:t>
            </w:r>
            <w:r>
              <w:rPr>
                <w:color w:val="000000"/>
                <w:sz w:val="20"/>
                <w:szCs w:val="20"/>
                <w:shd w:val="clear" w:color="auto" w:fill="FFFFFF"/>
              </w:rPr>
              <w:t>0</w:t>
            </w:r>
          </w:p>
        </w:tc>
        <w:tc>
          <w:tcPr>
            <w:tcW w:w="0" w:type="auto"/>
            <w:vAlign w:val="center"/>
          </w:tcPr>
          <w:p w:rsidRPr="00A82320" w:rsidR="00D02650" w:rsidP="00D02650" w:rsidRDefault="00C4618D" w14:paraId="48B97F61" w14:textId="0E34B552">
            <w:pPr>
              <w:spacing w:after="0"/>
              <w:jc w:val="center"/>
              <w:rPr>
                <w:sz w:val="20"/>
                <w:szCs w:val="20"/>
              </w:rPr>
            </w:pPr>
            <w:r>
              <w:rPr>
                <w:color w:val="000000"/>
                <w:sz w:val="20"/>
                <w:szCs w:val="20"/>
                <w:shd w:val="clear" w:color="auto" w:fill="FFFFFF"/>
              </w:rPr>
              <w:t>95</w:t>
            </w:r>
            <w:r w:rsidRPr="00147796" w:rsidR="00D02650">
              <w:rPr>
                <w:color w:val="000000"/>
                <w:sz w:val="20"/>
                <w:szCs w:val="20"/>
                <w:shd w:val="clear" w:color="auto" w:fill="FFFFFF"/>
              </w:rPr>
              <w:t>.4</w:t>
            </w:r>
            <w:r>
              <w:rPr>
                <w:color w:val="000000"/>
                <w:sz w:val="20"/>
                <w:szCs w:val="20"/>
                <w:shd w:val="clear" w:color="auto" w:fill="FFFFFF"/>
              </w:rPr>
              <w:t>0</w:t>
            </w:r>
          </w:p>
        </w:tc>
        <w:tc>
          <w:tcPr>
            <w:tcW w:w="0" w:type="auto"/>
            <w:vAlign w:val="center"/>
          </w:tcPr>
          <w:p w:rsidRPr="00A82320" w:rsidR="00D02650" w:rsidP="00D02650" w:rsidRDefault="00D02650" w14:paraId="0F5893DE" w14:textId="1656B7B9">
            <w:pPr>
              <w:spacing w:after="0"/>
              <w:jc w:val="center"/>
              <w:rPr>
                <w:sz w:val="20"/>
                <w:szCs w:val="20"/>
              </w:rPr>
            </w:pPr>
            <w:r>
              <w:rPr>
                <w:rFonts w:eastAsia="Calibri"/>
                <w:sz w:val="20"/>
                <w:szCs w:val="20"/>
                <w:lang w:bidi="en-US"/>
              </w:rPr>
              <w:t>1</w:t>
            </w:r>
            <w:r w:rsidR="00C4618D">
              <w:rPr>
                <w:rFonts w:eastAsia="Calibri"/>
                <w:sz w:val="20"/>
                <w:szCs w:val="20"/>
                <w:lang w:bidi="en-US"/>
              </w:rPr>
              <w:t>90</w:t>
            </w:r>
            <w:r>
              <w:rPr>
                <w:rFonts w:eastAsia="Calibri"/>
                <w:sz w:val="20"/>
                <w:szCs w:val="20"/>
                <w:lang w:bidi="en-US"/>
              </w:rPr>
              <w:t>.8</w:t>
            </w:r>
            <w:r w:rsidR="00C4618D">
              <w:rPr>
                <w:rFonts w:eastAsia="Calibri"/>
                <w:sz w:val="20"/>
                <w:szCs w:val="20"/>
                <w:lang w:bidi="en-US"/>
              </w:rPr>
              <w:t>0</w:t>
            </w:r>
          </w:p>
        </w:tc>
      </w:tr>
      <w:tr w:rsidRPr="00814AD2" w:rsidR="001B62FD" w:rsidTr="0095291B" w14:paraId="6702AFEC" w14:textId="77777777">
        <w:trPr>
          <w:jc w:val="center"/>
        </w:trPr>
        <w:tc>
          <w:tcPr>
            <w:tcW w:w="0" w:type="auto"/>
          </w:tcPr>
          <w:p w:rsidRPr="00A82320" w:rsidR="001B62FD" w:rsidP="001B62FD" w:rsidRDefault="001B62FD" w14:paraId="1ED7A2E6" w14:textId="7FFDE3B3">
            <w:pPr>
              <w:spacing w:after="0"/>
              <w:rPr>
                <w:sz w:val="20"/>
                <w:szCs w:val="20"/>
              </w:rPr>
            </w:pPr>
            <w:r w:rsidRPr="0095291B">
              <w:rPr>
                <w:sz w:val="20"/>
                <w:szCs w:val="20"/>
              </w:rPr>
              <w:t>Physicians, All Other; and Ophthalmologists, Except Pediatric</w:t>
            </w:r>
          </w:p>
        </w:tc>
        <w:tc>
          <w:tcPr>
            <w:tcW w:w="0" w:type="auto"/>
            <w:vAlign w:val="center"/>
          </w:tcPr>
          <w:p w:rsidRPr="00A82320" w:rsidR="001B62FD" w:rsidP="001B62FD" w:rsidRDefault="001B62FD" w14:paraId="519121CD" w14:textId="4A155279">
            <w:pPr>
              <w:spacing w:after="0"/>
              <w:jc w:val="center"/>
              <w:rPr>
                <w:sz w:val="20"/>
                <w:szCs w:val="20"/>
              </w:rPr>
            </w:pPr>
            <w:r w:rsidRPr="0095291B">
              <w:rPr>
                <w:sz w:val="20"/>
                <w:szCs w:val="20"/>
              </w:rPr>
              <w:t>29-1228</w:t>
            </w:r>
          </w:p>
        </w:tc>
        <w:tc>
          <w:tcPr>
            <w:tcW w:w="0" w:type="auto"/>
            <w:vAlign w:val="center"/>
          </w:tcPr>
          <w:p w:rsidRPr="00A82320" w:rsidR="001B62FD" w:rsidP="001B62FD" w:rsidRDefault="001B62FD" w14:paraId="47CAA3EB" w14:textId="33E825EF">
            <w:pPr>
              <w:spacing w:after="0"/>
              <w:jc w:val="center"/>
              <w:rPr>
                <w:sz w:val="20"/>
                <w:szCs w:val="20"/>
              </w:rPr>
            </w:pPr>
            <w:r w:rsidRPr="008C099D">
              <w:rPr>
                <w:color w:val="000000"/>
                <w:sz w:val="20"/>
                <w:szCs w:val="20"/>
                <w:shd w:val="clear" w:color="auto" w:fill="FFFFFF"/>
              </w:rPr>
              <w:t>1</w:t>
            </w:r>
            <w:r w:rsidR="00BE0FA5">
              <w:rPr>
                <w:color w:val="000000"/>
                <w:sz w:val="20"/>
                <w:szCs w:val="20"/>
                <w:shd w:val="clear" w:color="auto" w:fill="FFFFFF"/>
              </w:rPr>
              <w:t>11</w:t>
            </w:r>
            <w:r w:rsidRPr="008C099D">
              <w:rPr>
                <w:color w:val="000000"/>
                <w:sz w:val="20"/>
                <w:szCs w:val="20"/>
                <w:shd w:val="clear" w:color="auto" w:fill="FFFFFF"/>
              </w:rPr>
              <w:t>.</w:t>
            </w:r>
            <w:r w:rsidR="00BE0FA5">
              <w:rPr>
                <w:color w:val="000000"/>
                <w:sz w:val="20"/>
                <w:szCs w:val="20"/>
                <w:shd w:val="clear" w:color="auto" w:fill="FFFFFF"/>
              </w:rPr>
              <w:t>30</w:t>
            </w:r>
          </w:p>
        </w:tc>
        <w:tc>
          <w:tcPr>
            <w:tcW w:w="0" w:type="auto"/>
            <w:vAlign w:val="center"/>
          </w:tcPr>
          <w:p w:rsidRPr="00A82320" w:rsidR="001B62FD" w:rsidP="001B62FD" w:rsidRDefault="001B62FD" w14:paraId="43FF3E2B" w14:textId="273EC227">
            <w:pPr>
              <w:spacing w:after="0"/>
              <w:jc w:val="center"/>
              <w:rPr>
                <w:sz w:val="20"/>
                <w:szCs w:val="20"/>
              </w:rPr>
            </w:pPr>
            <w:r w:rsidRPr="008C099D">
              <w:rPr>
                <w:color w:val="000000"/>
                <w:sz w:val="20"/>
                <w:szCs w:val="20"/>
                <w:shd w:val="clear" w:color="auto" w:fill="FFFFFF"/>
              </w:rPr>
              <w:t>1</w:t>
            </w:r>
            <w:r w:rsidR="00BE0FA5">
              <w:rPr>
                <w:color w:val="000000"/>
                <w:sz w:val="20"/>
                <w:szCs w:val="20"/>
                <w:shd w:val="clear" w:color="auto" w:fill="FFFFFF"/>
              </w:rPr>
              <w:t>11</w:t>
            </w:r>
            <w:r w:rsidRPr="008C099D">
              <w:rPr>
                <w:color w:val="000000"/>
                <w:sz w:val="20"/>
                <w:szCs w:val="20"/>
                <w:shd w:val="clear" w:color="auto" w:fill="FFFFFF"/>
              </w:rPr>
              <w:t>.</w:t>
            </w:r>
            <w:r w:rsidR="00BE0FA5">
              <w:rPr>
                <w:color w:val="000000"/>
                <w:sz w:val="20"/>
                <w:szCs w:val="20"/>
                <w:shd w:val="clear" w:color="auto" w:fill="FFFFFF"/>
              </w:rPr>
              <w:t>30</w:t>
            </w:r>
          </w:p>
        </w:tc>
        <w:tc>
          <w:tcPr>
            <w:tcW w:w="0" w:type="auto"/>
            <w:vAlign w:val="center"/>
          </w:tcPr>
          <w:p w:rsidRPr="00A82320" w:rsidR="001B62FD" w:rsidP="001B62FD" w:rsidRDefault="001B62FD" w14:paraId="3200E29F" w14:textId="167DED0D">
            <w:pPr>
              <w:spacing w:after="0"/>
              <w:jc w:val="center"/>
              <w:rPr>
                <w:sz w:val="20"/>
                <w:szCs w:val="20"/>
              </w:rPr>
            </w:pPr>
            <w:r>
              <w:rPr>
                <w:rFonts w:eastAsia="Calibri"/>
                <w:sz w:val="20"/>
                <w:szCs w:val="20"/>
                <w:lang w:bidi="en-US"/>
              </w:rPr>
              <w:t>2</w:t>
            </w:r>
            <w:r w:rsidR="00BE0FA5">
              <w:rPr>
                <w:rFonts w:eastAsia="Calibri"/>
                <w:sz w:val="20"/>
                <w:szCs w:val="20"/>
                <w:lang w:bidi="en-US"/>
              </w:rPr>
              <w:t>22</w:t>
            </w:r>
            <w:r>
              <w:rPr>
                <w:rFonts w:eastAsia="Calibri"/>
                <w:sz w:val="20"/>
                <w:szCs w:val="20"/>
                <w:lang w:bidi="en-US"/>
              </w:rPr>
              <w:t>.</w:t>
            </w:r>
            <w:r w:rsidR="00BE0FA5">
              <w:rPr>
                <w:rFonts w:eastAsia="Calibri"/>
                <w:sz w:val="20"/>
                <w:szCs w:val="20"/>
                <w:lang w:bidi="en-US"/>
              </w:rPr>
              <w:t>60</w:t>
            </w:r>
          </w:p>
        </w:tc>
      </w:tr>
      <w:tr w:rsidRPr="00814AD2" w:rsidR="00861121" w:rsidTr="0095291B" w14:paraId="78BCBA3D" w14:textId="77777777">
        <w:trPr>
          <w:jc w:val="center"/>
        </w:trPr>
        <w:tc>
          <w:tcPr>
            <w:tcW w:w="0" w:type="auto"/>
          </w:tcPr>
          <w:p w:rsidRPr="00A82320" w:rsidR="00861121" w:rsidP="00861121" w:rsidRDefault="00861121" w14:paraId="7DF6C5AD" w14:textId="75DC80A8">
            <w:pPr>
              <w:spacing w:after="0"/>
              <w:rPr>
                <w:sz w:val="20"/>
                <w:szCs w:val="20"/>
              </w:rPr>
            </w:pPr>
            <w:r w:rsidRPr="0095291B">
              <w:rPr>
                <w:sz w:val="20"/>
                <w:szCs w:val="20"/>
              </w:rPr>
              <w:t>Psychiatrists</w:t>
            </w:r>
          </w:p>
        </w:tc>
        <w:tc>
          <w:tcPr>
            <w:tcW w:w="0" w:type="auto"/>
            <w:vAlign w:val="center"/>
          </w:tcPr>
          <w:p w:rsidRPr="00A82320" w:rsidR="00861121" w:rsidP="00861121" w:rsidRDefault="00861121" w14:paraId="7F0A76B4" w14:textId="274098B4">
            <w:pPr>
              <w:spacing w:after="0"/>
              <w:jc w:val="center"/>
              <w:rPr>
                <w:sz w:val="20"/>
                <w:szCs w:val="20"/>
              </w:rPr>
            </w:pPr>
            <w:r w:rsidRPr="0095291B">
              <w:rPr>
                <w:sz w:val="20"/>
                <w:szCs w:val="20"/>
              </w:rPr>
              <w:t>29-1223</w:t>
            </w:r>
          </w:p>
        </w:tc>
        <w:tc>
          <w:tcPr>
            <w:tcW w:w="0" w:type="auto"/>
            <w:vAlign w:val="center"/>
          </w:tcPr>
          <w:p w:rsidRPr="00A82320" w:rsidR="00861121" w:rsidP="00861121" w:rsidRDefault="00861121" w14:paraId="4F78D725" w14:textId="12FE4A89">
            <w:pPr>
              <w:spacing w:after="0"/>
              <w:jc w:val="center"/>
              <w:rPr>
                <w:sz w:val="20"/>
                <w:szCs w:val="20"/>
              </w:rPr>
            </w:pPr>
            <w:r>
              <w:rPr>
                <w:rFonts w:eastAsia="Calibri"/>
                <w:sz w:val="20"/>
                <w:szCs w:val="20"/>
                <w:lang w:bidi="en-US"/>
              </w:rPr>
              <w:t>1</w:t>
            </w:r>
            <w:r w:rsidR="006D179F">
              <w:rPr>
                <w:rFonts w:eastAsia="Calibri"/>
                <w:sz w:val="20"/>
                <w:szCs w:val="20"/>
                <w:lang w:bidi="en-US"/>
              </w:rPr>
              <w:t>20</w:t>
            </w:r>
            <w:r>
              <w:rPr>
                <w:rFonts w:eastAsia="Calibri"/>
                <w:sz w:val="20"/>
                <w:szCs w:val="20"/>
                <w:lang w:bidi="en-US"/>
              </w:rPr>
              <w:t>.</w:t>
            </w:r>
            <w:r w:rsidR="006D179F">
              <w:rPr>
                <w:rFonts w:eastAsia="Calibri"/>
                <w:sz w:val="20"/>
                <w:szCs w:val="20"/>
                <w:lang w:bidi="en-US"/>
              </w:rPr>
              <w:t>0</w:t>
            </w:r>
            <w:r>
              <w:rPr>
                <w:rFonts w:eastAsia="Calibri"/>
                <w:sz w:val="20"/>
                <w:szCs w:val="20"/>
                <w:lang w:bidi="en-US"/>
              </w:rPr>
              <w:t>8</w:t>
            </w:r>
          </w:p>
        </w:tc>
        <w:tc>
          <w:tcPr>
            <w:tcW w:w="0" w:type="auto"/>
            <w:vAlign w:val="center"/>
          </w:tcPr>
          <w:p w:rsidRPr="00A82320" w:rsidR="00861121" w:rsidP="00861121" w:rsidRDefault="00861121" w14:paraId="69E274BD" w14:textId="2CD1D136">
            <w:pPr>
              <w:spacing w:after="0"/>
              <w:jc w:val="center"/>
              <w:rPr>
                <w:sz w:val="20"/>
                <w:szCs w:val="20"/>
              </w:rPr>
            </w:pPr>
            <w:r>
              <w:rPr>
                <w:rFonts w:eastAsia="Calibri"/>
                <w:sz w:val="20"/>
                <w:szCs w:val="20"/>
                <w:lang w:bidi="en-US"/>
              </w:rPr>
              <w:t>1</w:t>
            </w:r>
            <w:r w:rsidR="006D179F">
              <w:rPr>
                <w:rFonts w:eastAsia="Calibri"/>
                <w:sz w:val="20"/>
                <w:szCs w:val="20"/>
                <w:lang w:bidi="en-US"/>
              </w:rPr>
              <w:t>20</w:t>
            </w:r>
            <w:r>
              <w:rPr>
                <w:rFonts w:eastAsia="Calibri"/>
                <w:sz w:val="20"/>
                <w:szCs w:val="20"/>
                <w:lang w:bidi="en-US"/>
              </w:rPr>
              <w:t>.</w:t>
            </w:r>
            <w:r w:rsidR="006D179F">
              <w:rPr>
                <w:rFonts w:eastAsia="Calibri"/>
                <w:sz w:val="20"/>
                <w:szCs w:val="20"/>
                <w:lang w:bidi="en-US"/>
              </w:rPr>
              <w:t>0</w:t>
            </w:r>
            <w:r>
              <w:rPr>
                <w:rFonts w:eastAsia="Calibri"/>
                <w:sz w:val="20"/>
                <w:szCs w:val="20"/>
                <w:lang w:bidi="en-US"/>
              </w:rPr>
              <w:t>8</w:t>
            </w:r>
          </w:p>
        </w:tc>
        <w:tc>
          <w:tcPr>
            <w:tcW w:w="0" w:type="auto"/>
            <w:vAlign w:val="center"/>
          </w:tcPr>
          <w:p w:rsidRPr="00A82320" w:rsidR="00861121" w:rsidP="00861121" w:rsidRDefault="00861121" w14:paraId="2FA56FBF" w14:textId="263DBCC5">
            <w:pPr>
              <w:spacing w:after="0"/>
              <w:jc w:val="center"/>
              <w:rPr>
                <w:sz w:val="20"/>
                <w:szCs w:val="20"/>
              </w:rPr>
            </w:pPr>
            <w:r>
              <w:rPr>
                <w:rFonts w:eastAsia="Calibri"/>
                <w:sz w:val="20"/>
                <w:szCs w:val="20"/>
                <w:lang w:bidi="en-US"/>
              </w:rPr>
              <w:t>2</w:t>
            </w:r>
            <w:r w:rsidR="006D179F">
              <w:rPr>
                <w:rFonts w:eastAsia="Calibri"/>
                <w:sz w:val="20"/>
                <w:szCs w:val="20"/>
                <w:lang w:bidi="en-US"/>
              </w:rPr>
              <w:t>40</w:t>
            </w:r>
            <w:r>
              <w:rPr>
                <w:rFonts w:eastAsia="Calibri"/>
                <w:sz w:val="20"/>
                <w:szCs w:val="20"/>
                <w:lang w:bidi="en-US"/>
              </w:rPr>
              <w:t>.</w:t>
            </w:r>
            <w:r w:rsidR="006D179F">
              <w:rPr>
                <w:rFonts w:eastAsia="Calibri"/>
                <w:sz w:val="20"/>
                <w:szCs w:val="20"/>
                <w:lang w:bidi="en-US"/>
              </w:rPr>
              <w:t>1</w:t>
            </w:r>
            <w:r>
              <w:rPr>
                <w:rFonts w:eastAsia="Calibri"/>
                <w:sz w:val="20"/>
                <w:szCs w:val="20"/>
                <w:lang w:bidi="en-US"/>
              </w:rPr>
              <w:t>6</w:t>
            </w:r>
          </w:p>
        </w:tc>
      </w:tr>
      <w:tr w:rsidRPr="00814AD2" w:rsidR="00521493" w:rsidTr="0095291B" w14:paraId="257571DF" w14:textId="77777777">
        <w:trPr>
          <w:jc w:val="center"/>
        </w:trPr>
        <w:tc>
          <w:tcPr>
            <w:tcW w:w="0" w:type="auto"/>
          </w:tcPr>
          <w:p w:rsidRPr="00A82320" w:rsidR="00521493" w:rsidP="00521493" w:rsidRDefault="00521493" w14:paraId="2AC2DCD6" w14:textId="69702CDC">
            <w:pPr>
              <w:spacing w:after="0"/>
              <w:rPr>
                <w:sz w:val="20"/>
                <w:szCs w:val="20"/>
              </w:rPr>
            </w:pPr>
            <w:r w:rsidRPr="00712384">
              <w:rPr>
                <w:sz w:val="20"/>
                <w:szCs w:val="20"/>
              </w:rPr>
              <w:t>Surgeons, Except Ophthalmologists</w:t>
            </w:r>
          </w:p>
        </w:tc>
        <w:tc>
          <w:tcPr>
            <w:tcW w:w="0" w:type="auto"/>
            <w:vAlign w:val="center"/>
          </w:tcPr>
          <w:p w:rsidRPr="00A82320" w:rsidR="00521493" w:rsidP="00521493" w:rsidRDefault="00521493" w14:paraId="109EBD0F" w14:textId="0F75E2E5">
            <w:pPr>
              <w:spacing w:after="0"/>
              <w:jc w:val="center"/>
              <w:rPr>
                <w:sz w:val="20"/>
                <w:szCs w:val="20"/>
              </w:rPr>
            </w:pPr>
            <w:r w:rsidRPr="0095291B">
              <w:rPr>
                <w:sz w:val="20"/>
                <w:szCs w:val="20"/>
              </w:rPr>
              <w:t>29-1248</w:t>
            </w:r>
          </w:p>
        </w:tc>
        <w:tc>
          <w:tcPr>
            <w:tcW w:w="0" w:type="auto"/>
            <w:vAlign w:val="center"/>
          </w:tcPr>
          <w:p w:rsidRPr="00A82320" w:rsidR="00521493" w:rsidP="00521493" w:rsidRDefault="00521493" w14:paraId="34C7AE95" w14:textId="62D31592">
            <w:pPr>
              <w:spacing w:after="0"/>
              <w:jc w:val="center"/>
              <w:rPr>
                <w:sz w:val="20"/>
                <w:szCs w:val="20"/>
              </w:rPr>
            </w:pPr>
            <w:r w:rsidRPr="002A4DF2">
              <w:rPr>
                <w:rFonts w:eastAsia="Calibri"/>
                <w:sz w:val="20"/>
                <w:szCs w:val="20"/>
                <w:lang w:bidi="en-US"/>
              </w:rPr>
              <w:t>1</w:t>
            </w:r>
            <w:r w:rsidR="006E2C5E">
              <w:rPr>
                <w:rFonts w:eastAsia="Calibri"/>
                <w:sz w:val="20"/>
                <w:szCs w:val="20"/>
                <w:lang w:bidi="en-US"/>
              </w:rPr>
              <w:t>43</w:t>
            </w:r>
            <w:r w:rsidRPr="002A4DF2">
              <w:rPr>
                <w:rFonts w:eastAsia="Calibri"/>
                <w:sz w:val="20"/>
                <w:szCs w:val="20"/>
                <w:lang w:bidi="en-US"/>
              </w:rPr>
              <w:t>.</w:t>
            </w:r>
            <w:r w:rsidR="006E2C5E">
              <w:rPr>
                <w:rFonts w:eastAsia="Calibri"/>
                <w:sz w:val="20"/>
                <w:szCs w:val="20"/>
                <w:lang w:bidi="en-US"/>
              </w:rPr>
              <w:t>17</w:t>
            </w:r>
          </w:p>
        </w:tc>
        <w:tc>
          <w:tcPr>
            <w:tcW w:w="0" w:type="auto"/>
            <w:vAlign w:val="center"/>
          </w:tcPr>
          <w:p w:rsidRPr="00A82320" w:rsidR="00521493" w:rsidP="00521493" w:rsidRDefault="00521493" w14:paraId="6B816491" w14:textId="2241BE13">
            <w:pPr>
              <w:spacing w:after="0"/>
              <w:jc w:val="center"/>
              <w:rPr>
                <w:sz w:val="20"/>
                <w:szCs w:val="20"/>
              </w:rPr>
            </w:pPr>
            <w:r w:rsidRPr="002A4DF2">
              <w:rPr>
                <w:rFonts w:eastAsia="Calibri"/>
                <w:sz w:val="20"/>
                <w:szCs w:val="20"/>
                <w:lang w:bidi="en-US"/>
              </w:rPr>
              <w:t>1</w:t>
            </w:r>
            <w:r w:rsidR="006E2C5E">
              <w:rPr>
                <w:rFonts w:eastAsia="Calibri"/>
                <w:sz w:val="20"/>
                <w:szCs w:val="20"/>
                <w:lang w:bidi="en-US"/>
              </w:rPr>
              <w:t>43</w:t>
            </w:r>
            <w:r w:rsidRPr="002A4DF2">
              <w:rPr>
                <w:rFonts w:eastAsia="Calibri"/>
                <w:sz w:val="20"/>
                <w:szCs w:val="20"/>
                <w:lang w:bidi="en-US"/>
              </w:rPr>
              <w:t>.</w:t>
            </w:r>
            <w:r w:rsidR="006E2C5E">
              <w:rPr>
                <w:rFonts w:eastAsia="Calibri"/>
                <w:sz w:val="20"/>
                <w:szCs w:val="20"/>
                <w:lang w:bidi="en-US"/>
              </w:rPr>
              <w:t>17</w:t>
            </w:r>
          </w:p>
        </w:tc>
        <w:tc>
          <w:tcPr>
            <w:tcW w:w="0" w:type="auto"/>
            <w:vAlign w:val="center"/>
          </w:tcPr>
          <w:p w:rsidRPr="00A82320" w:rsidR="00521493" w:rsidP="00521493" w:rsidRDefault="00521493" w14:paraId="5DFBF1BB" w14:textId="2ECD9867">
            <w:pPr>
              <w:spacing w:after="0"/>
              <w:jc w:val="center"/>
              <w:rPr>
                <w:sz w:val="20"/>
                <w:szCs w:val="20"/>
              </w:rPr>
            </w:pPr>
            <w:r>
              <w:rPr>
                <w:rFonts w:eastAsia="Calibri"/>
                <w:sz w:val="20"/>
                <w:szCs w:val="20"/>
                <w:lang w:bidi="en-US"/>
              </w:rPr>
              <w:t>2</w:t>
            </w:r>
            <w:r w:rsidR="006E2C5E">
              <w:rPr>
                <w:rFonts w:eastAsia="Calibri"/>
                <w:sz w:val="20"/>
                <w:szCs w:val="20"/>
                <w:lang w:bidi="en-US"/>
              </w:rPr>
              <w:t>86</w:t>
            </w:r>
            <w:r>
              <w:rPr>
                <w:rFonts w:eastAsia="Calibri"/>
                <w:sz w:val="20"/>
                <w:szCs w:val="20"/>
                <w:lang w:bidi="en-US"/>
              </w:rPr>
              <w:t>.</w:t>
            </w:r>
            <w:r w:rsidR="006E2C5E">
              <w:rPr>
                <w:rFonts w:eastAsia="Calibri"/>
                <w:sz w:val="20"/>
                <w:szCs w:val="20"/>
                <w:lang w:bidi="en-US"/>
              </w:rPr>
              <w:t>34</w:t>
            </w:r>
          </w:p>
        </w:tc>
      </w:tr>
    </w:tbl>
    <w:p w:rsidR="005038E4" w:rsidP="00665BC8" w:rsidRDefault="005038E4" w14:paraId="01BC65FB" w14:textId="77777777">
      <w:pPr>
        <w:ind w:left="220" w:right="96"/>
        <w:rPr>
          <w:szCs w:val="20"/>
        </w:rPr>
      </w:pPr>
    </w:p>
    <w:p w:rsidRPr="00041A6A" w:rsidR="00B43534" w:rsidP="003D552B" w:rsidRDefault="005038E4" w14:paraId="020CE0D0" w14:textId="209A3DB6">
      <w:pPr>
        <w:pStyle w:val="Heading3"/>
      </w:pPr>
      <w:r w:rsidRPr="00041A6A">
        <w:t>Framework for Understanding the Burden of MIPS Data Submission</w:t>
      </w:r>
    </w:p>
    <w:p w:rsidRPr="00C21AF3" w:rsidR="005038E4" w:rsidP="00730BEF" w:rsidRDefault="00D54DB9" w14:paraId="4C6BEC3D" w14:textId="0B3049DE">
      <w:pPr>
        <w:spacing w:after="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w:t>
      </w:r>
      <w:r w:rsidRPr="00D54DB9">
        <w:lastRenderedPageBreak/>
        <w:t xml:space="preserve">Advanced APM participant.  </w:t>
      </w:r>
      <w:r w:rsidRPr="009819CC">
        <w:t xml:space="preserve">As </w:t>
      </w:r>
      <w:r w:rsidRPr="00C21AF3">
        <w:t>shown in the first row of Table 2, MIPS eligible clinicians and other clinicians voluntarily submitting data will submit data either as individuals, groups,</w:t>
      </w:r>
      <w:r w:rsidR="002E1E3A">
        <w:t xml:space="preserve">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w:t>
      </w:r>
      <w:r w:rsidR="00CF6541">
        <w:t xml:space="preserve">Beginning with </w:t>
      </w:r>
      <w:r w:rsidRPr="00E46B29" w:rsidR="00E46B29">
        <w:t>the CY 2023 performance period/2025 MIPS payment year</w:t>
      </w:r>
      <w:r w:rsidR="00A976B2">
        <w:t>, clinicians could also participate as subgroups for reporting measures and activities in a</w:t>
      </w:r>
      <w:r w:rsidR="00B979C0">
        <w:t>n</w:t>
      </w:r>
      <w:r w:rsidR="005E2211">
        <w:t xml:space="preserve"> MVP</w:t>
      </w:r>
      <w:r w:rsidRPr="00E46B29" w:rsidR="00E46B29">
        <w:t xml:space="preserve">. </w:t>
      </w:r>
      <w:r w:rsidRPr="00C21AF3">
        <w:t xml:space="preserve">Because MIPS eligible clinicians are not required to submit any additional information for assessment under the cost performance category, the administrative claims data used for the cost performance category is not represented in Table </w:t>
      </w:r>
      <w:r w:rsidRPr="00C21AF3" w:rsidR="005038E4">
        <w:t xml:space="preserve">2.  </w:t>
      </w:r>
    </w:p>
    <w:p w:rsidR="00B22D81" w:rsidP="00B22D81" w:rsidRDefault="00B22D81" w14:paraId="14756833" w14:textId="77777777">
      <w:pPr>
        <w:spacing w:after="0"/>
      </w:pPr>
    </w:p>
    <w:p w:rsidR="00B22D81" w:rsidP="00B22D81" w:rsidRDefault="00B22D81" w14:paraId="2B733054" w14:textId="39DFB2DC">
      <w:pPr>
        <w:spacing w:after="0"/>
        <w:rPr>
          <w:rFonts w:eastAsia="Calibri"/>
        </w:rPr>
      </w:pPr>
      <w:r w:rsidRPr="00B22D81">
        <w:rPr>
          <w:rFonts w:eastAsia="Calibri"/>
        </w:rPr>
        <w:t xml:space="preserve">For MIPS eligible clinicians participating in MIPS APMs, the organizations submitting data on behalf of MIPS eligible clinicians will vary between performance categories and, in some instances, between MIPS APMs.  </w:t>
      </w:r>
      <w:r w:rsidR="00CF38C9">
        <w:rPr>
          <w:rFonts w:eastAsia="Calibri"/>
        </w:rPr>
        <w:t>We previously finalized</w:t>
      </w:r>
      <w:r w:rsidRPr="00B22D81">
        <w:rPr>
          <w:rFonts w:eastAsia="Calibri"/>
        </w:rPr>
        <w:t xml:space="preserve"> in th</w:t>
      </w:r>
      <w:r w:rsidR="00086457">
        <w:rPr>
          <w:rFonts w:eastAsia="Calibri"/>
        </w:rPr>
        <w:t>e CY 202</w:t>
      </w:r>
      <w:r w:rsidR="00CF38C9">
        <w:rPr>
          <w:rFonts w:eastAsia="Calibri"/>
        </w:rPr>
        <w:t>1</w:t>
      </w:r>
      <w:r w:rsidR="00086457">
        <w:rPr>
          <w:rFonts w:eastAsia="Calibri"/>
        </w:rPr>
        <w:t xml:space="preserve"> PFS</w:t>
      </w:r>
      <w:r w:rsidRPr="00B22D81">
        <w:rPr>
          <w:rFonts w:eastAsia="Calibri"/>
        </w:rPr>
        <w:t xml:space="preserve"> </w:t>
      </w:r>
      <w:r w:rsidR="00A8283A">
        <w:rPr>
          <w:rFonts w:eastAsia="Calibri"/>
        </w:rPr>
        <w:t xml:space="preserve">final </w:t>
      </w:r>
      <w:r w:rsidRPr="00B22D81">
        <w:rPr>
          <w:rFonts w:eastAsia="Calibri"/>
        </w:rPr>
        <w:t>rule, for clinicians in APM Entities, the APM Performance Pathway</w:t>
      </w:r>
      <w:r w:rsidR="00D141D6">
        <w:rPr>
          <w:rFonts w:eastAsia="Calibri"/>
        </w:rPr>
        <w:t xml:space="preserve"> (APP)</w:t>
      </w:r>
      <w:r w:rsidRPr="00B22D81">
        <w:rPr>
          <w:rFonts w:eastAsia="Calibri"/>
        </w:rPr>
        <w:t xml:space="preserve"> is available for both ACO and non ACOs to submit quality data</w:t>
      </w:r>
      <w:r w:rsidR="001E5055">
        <w:rPr>
          <w:rFonts w:eastAsia="Calibri"/>
        </w:rPr>
        <w:t xml:space="preserve"> (85 FR 84859 through 84866)</w:t>
      </w:r>
      <w:r w:rsidRPr="00B22D81">
        <w:rPr>
          <w:rFonts w:eastAsia="Calibri"/>
        </w:rPr>
        <w:t>.  Due to data limitations and our inability to determine who would use the AP</w:t>
      </w:r>
      <w:r w:rsidR="003050E7">
        <w:rPr>
          <w:rFonts w:eastAsia="Calibri"/>
        </w:rPr>
        <w:t xml:space="preserve">P </w:t>
      </w:r>
      <w:r w:rsidRPr="00B22D81">
        <w:rPr>
          <w:rFonts w:eastAsia="Calibri"/>
        </w:rPr>
        <w:t xml:space="preserve">versus the traditional MIPS submission mechanism for the </w:t>
      </w:r>
      <w:r w:rsidR="00F21E6F">
        <w:rPr>
          <w:rFonts w:eastAsia="Calibri"/>
        </w:rPr>
        <w:t xml:space="preserve">CY </w:t>
      </w:r>
      <w:r w:rsidRPr="00B22D81">
        <w:rPr>
          <w:rFonts w:eastAsia="Calibri"/>
        </w:rPr>
        <w:t>202</w:t>
      </w:r>
      <w:r w:rsidR="003050E7">
        <w:rPr>
          <w:rFonts w:eastAsia="Calibri"/>
        </w:rPr>
        <w:t>3</w:t>
      </w:r>
      <w:r w:rsidRPr="00B22D81">
        <w:rPr>
          <w:rFonts w:eastAsia="Calibri"/>
        </w:rPr>
        <w:t xml:space="preserve"> performance period</w:t>
      </w:r>
      <w:r w:rsidR="00F21E6F">
        <w:rPr>
          <w:rFonts w:eastAsia="Calibri"/>
        </w:rPr>
        <w:t>/202</w:t>
      </w:r>
      <w:r w:rsidR="003050E7">
        <w:rPr>
          <w:rFonts w:eastAsia="Calibri"/>
        </w:rPr>
        <w:t>5</w:t>
      </w:r>
      <w:r w:rsidR="00F21E6F">
        <w:rPr>
          <w:rFonts w:eastAsia="Calibri"/>
        </w:rPr>
        <w:t xml:space="preserve"> MIPS payment year</w:t>
      </w:r>
      <w:r w:rsidRPr="00B22D81">
        <w:rPr>
          <w:rFonts w:eastAsia="Calibri"/>
        </w:rPr>
        <w:t>, we assume ACO APM Entities will submit data through the APM Performance Pathway, using the CMS Web Interface option, and non-ACO APM Entities would participate through traditional MIPS, thereby submitting as an individual or group rather than as a</w:t>
      </w:r>
      <w:r w:rsidR="00447AD2">
        <w:rPr>
          <w:rFonts w:eastAsia="Calibri"/>
        </w:rPr>
        <w:t>n</w:t>
      </w:r>
      <w:r w:rsidRPr="00B22D81">
        <w:rPr>
          <w:rFonts w:eastAsia="Calibri"/>
        </w:rPr>
        <w:t xml:space="preserve"> entity. </w:t>
      </w:r>
      <w:r w:rsidRPr="000D3F9A" w:rsidR="000D3F9A">
        <w:rPr>
          <w:rFonts w:eastAsia="Calibri"/>
        </w:rPr>
        <w:t>We also want to note that as finalized in the CY 2022 PFS final rule (86 FR 65259 through 65263), the CMS Web Interface collection type is available through the CY 2024 performance period/2026 MIPS payment year only for clinicians participating in the Shared Savings Program.  Per section 1899 of the Act (42 U.S.C. 1395jjj), submissions received from eligible clinicians in ACOs are not included in burden estimates for this proposed rule because quality data submissions to fulfill requirements of the Shared Savings Program are not subject to the PRA.</w:t>
      </w:r>
    </w:p>
    <w:p w:rsidRPr="00B22D81" w:rsidR="00B22D81" w:rsidP="00B22D81" w:rsidRDefault="00B22D81" w14:paraId="2E3FB9F0" w14:textId="77777777">
      <w:pPr>
        <w:spacing w:after="0"/>
        <w:ind w:firstLine="720"/>
        <w:rPr>
          <w:rFonts w:eastAsia="Calibri"/>
        </w:rPr>
      </w:pPr>
    </w:p>
    <w:p w:rsidR="00B22D81" w:rsidP="00B22D81" w:rsidRDefault="00B22D81" w14:paraId="7D11E273" w14:textId="6700295A">
      <w:pPr>
        <w:spacing w:after="0"/>
        <w:rPr>
          <w:rFonts w:eastAsia="Calibri"/>
        </w:rPr>
      </w:pPr>
      <w:r w:rsidRPr="00B22D81">
        <w:rPr>
          <w:rFonts w:eastAsia="Calibri"/>
        </w:rPr>
        <w:t>For the Promoting Interoperability performance category, group TINs may submit data on behalf of eligible clinicians in MIPS APMs, or eligible clinicians in MIPS APMs may submit data individually.</w:t>
      </w:r>
      <w:r w:rsidR="00E90C3F">
        <w:rPr>
          <w:rFonts w:eastAsia="Calibri"/>
        </w:rPr>
        <w:t xml:space="preserve"> In the CY 2023 PFS proposed rule, </w:t>
      </w:r>
      <w:r w:rsidRPr="00E90C3F" w:rsidR="00E90C3F">
        <w:rPr>
          <w:rFonts w:eastAsia="Calibri"/>
        </w:rPr>
        <w:t xml:space="preserve">we are proposing to introduce a voluntary reporting option for APM Entities to report the Promoting Interoperability performance category at the APM Entity level beginning with the CY 2023 performance period/2025 MIPS payment year. </w:t>
      </w:r>
      <w:r w:rsidRPr="00B22D81">
        <w:rPr>
          <w:rFonts w:eastAsia="Calibri"/>
        </w:rPr>
        <w:t xml:space="preserve"> For the improvement activities performance category, we will assume no reporting burden for MIPS APM participants</w:t>
      </w:r>
      <w:r w:rsidR="006D1416">
        <w:rPr>
          <w:rFonts w:eastAsia="Calibri"/>
        </w:rPr>
        <w:t xml:space="preserve"> because they will be report</w:t>
      </w:r>
      <w:r w:rsidR="00CF76A7">
        <w:rPr>
          <w:rFonts w:eastAsia="Calibri"/>
        </w:rPr>
        <w:t xml:space="preserve">ing </w:t>
      </w:r>
      <w:r w:rsidR="00EC4973">
        <w:rPr>
          <w:rFonts w:eastAsia="Calibri"/>
        </w:rPr>
        <w:t>through the APM Performance Pathway</w:t>
      </w:r>
      <w:r w:rsidRPr="00B22D81">
        <w:rPr>
          <w:rFonts w:eastAsia="Calibri"/>
        </w:rPr>
        <w:t xml:space="preserve">.  In the CY 2017 Quality Payment Program final rule, we described that for MIPS APMs, we compare the requirements of the specific MIPS APM with the list of activities in the </w:t>
      </w:r>
      <w:r w:rsidR="00307649">
        <w:rPr>
          <w:rFonts w:eastAsia="Calibri"/>
        </w:rPr>
        <w:t>i</w:t>
      </w:r>
      <w:r w:rsidRPr="00B22D81">
        <w:rPr>
          <w:rFonts w:eastAsia="Calibri"/>
        </w:rPr>
        <w:t xml:space="preserve">mprovement </w:t>
      </w:r>
      <w:r w:rsidR="00307649">
        <w:rPr>
          <w:rFonts w:eastAsia="Calibri"/>
        </w:rPr>
        <w:t>a</w:t>
      </w:r>
      <w:r w:rsidRPr="00B22D81">
        <w:rPr>
          <w:rFonts w:eastAsia="Calibri"/>
        </w:rPr>
        <w:t xml:space="preserve">ctivities </w:t>
      </w:r>
      <w:r w:rsidR="00307649">
        <w:rPr>
          <w:rFonts w:eastAsia="Calibri"/>
        </w:rPr>
        <w:t>i</w:t>
      </w:r>
      <w:r w:rsidRPr="00B22D81">
        <w:rPr>
          <w:rFonts w:eastAsia="Calibri"/>
        </w:rPr>
        <w:t xml:space="preserve">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w:t>
      </w:r>
    </w:p>
    <w:p w:rsidRPr="00B22D81" w:rsidR="00B22D81" w:rsidP="00B22D81" w:rsidRDefault="00B22D81" w14:paraId="1B2E2615" w14:textId="77777777">
      <w:pPr>
        <w:spacing w:after="0"/>
        <w:ind w:firstLine="720"/>
        <w:rPr>
          <w:rFonts w:eastAsia="Calibri"/>
        </w:rPr>
      </w:pPr>
    </w:p>
    <w:p w:rsidRPr="00C47150" w:rsidR="005038E4" w:rsidP="00B22D81" w:rsidRDefault="00B22D81" w14:paraId="5F6E4DF3" w14:textId="3229511C">
      <w:pPr>
        <w:spacing w:after="0"/>
        <w:rPr>
          <w:b/>
          <w:bCs/>
        </w:rPr>
      </w:pPr>
      <w:r w:rsidRPr="00B22D81">
        <w:rPr>
          <w:rFonts w:eastAsia="Calibri"/>
        </w:rPr>
        <w:lastRenderedPageBreak/>
        <w:t>Eligible clinicians who attain Partial QP status may incur additional burden if they elect to participate in MIPS, which is discussed in more detail in the CY 2018 Quality Payment Program final rule (82 FR 53841 through 53844).</w:t>
      </w:r>
    </w:p>
    <w:p w:rsidRPr="00C47150" w:rsidR="005038E4" w:rsidP="007A136F" w:rsidRDefault="005038E4" w14:paraId="543EAEBE" w14:textId="43BDCDFB">
      <w:pPr>
        <w:keepNext/>
        <w:keepLines/>
        <w:spacing w:after="0"/>
        <w:jc w:val="center"/>
        <w:rPr>
          <w:b/>
          <w:bCs/>
        </w:rPr>
      </w:pPr>
      <w:r w:rsidRPr="00C47150">
        <w:rPr>
          <w:b/>
          <w:bCs/>
        </w:rPr>
        <w:t xml:space="preserve">TABLE </w:t>
      </w:r>
      <w:r>
        <w:rPr>
          <w:b/>
          <w:bCs/>
        </w:rPr>
        <w:t>2</w:t>
      </w:r>
      <w:r w:rsidRPr="00C47150">
        <w:rPr>
          <w:b/>
          <w:bCs/>
        </w:rPr>
        <w:t xml:space="preserve">: Clinicians </w:t>
      </w:r>
      <w:r w:rsidR="006B26EC">
        <w:rPr>
          <w:b/>
          <w:bCs/>
        </w:rPr>
        <w:t>and</w:t>
      </w:r>
      <w:r w:rsidRPr="00C47150">
        <w:rPr>
          <w:b/>
          <w:bCs/>
        </w:rPr>
        <w:t xml:space="preserve"> Organizations Submitting MIPS Data on Behalf of Clinicians by Type of Data*</w:t>
      </w:r>
    </w:p>
    <w:tbl>
      <w:tblPr>
        <w:tblW w:w="9445" w:type="dxa"/>
        <w:jc w:val="center"/>
        <w:tblLayout w:type="fixed"/>
        <w:tblLook w:val="04A0" w:firstRow="1" w:lastRow="0" w:firstColumn="1" w:lastColumn="0" w:noHBand="0" w:noVBand="1"/>
      </w:tblPr>
      <w:tblGrid>
        <w:gridCol w:w="2053"/>
        <w:gridCol w:w="1452"/>
        <w:gridCol w:w="2345"/>
        <w:gridCol w:w="1885"/>
        <w:gridCol w:w="1710"/>
      </w:tblGrid>
      <w:tr w:rsidRPr="00C47150" w:rsidR="005038E4" w:rsidTr="00580609" w14:paraId="36B7C4CA"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C393C68" w14:textId="0E45E712">
            <w:pPr>
              <w:spacing w:after="0"/>
              <w:rPr>
                <w:b/>
                <w:bCs/>
                <w:sz w:val="20"/>
                <w:szCs w:val="20"/>
              </w:rPr>
            </w:pPr>
            <w:r w:rsidRPr="000212B8">
              <w:rPr>
                <w:b/>
                <w:bCs/>
                <w:sz w:val="20"/>
                <w:szCs w:val="20"/>
              </w:rPr>
              <w:t>Clinician</w:t>
            </w:r>
            <w:r w:rsidR="0080314E">
              <w:rPr>
                <w:b/>
                <w:bCs/>
                <w:sz w:val="20"/>
                <w:szCs w:val="20"/>
              </w:rPr>
              <w:t>s and Organizations</w:t>
            </w:r>
          </w:p>
        </w:tc>
        <w:tc>
          <w:tcPr>
            <w:tcW w:w="1452"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ACF31E2" w14:textId="042DB748">
            <w:pPr>
              <w:spacing w:after="0"/>
              <w:rPr>
                <w:sz w:val="20"/>
                <w:szCs w:val="20"/>
              </w:rPr>
            </w:pPr>
            <w:r w:rsidRPr="000212B8">
              <w:rPr>
                <w:b/>
                <w:bCs/>
                <w:sz w:val="20"/>
                <w:szCs w:val="20"/>
              </w:rPr>
              <w:t>Quality Performance Category</w:t>
            </w:r>
            <w:r w:rsidR="000A2C4E">
              <w:rPr>
                <w:b/>
                <w:bCs/>
                <w:sz w:val="20"/>
                <w:szCs w:val="20"/>
              </w:rPr>
              <w:t xml:space="preserve"> </w:t>
            </w:r>
            <w:r w:rsidR="00837024">
              <w:rPr>
                <w:b/>
                <w:bCs/>
                <w:sz w:val="20"/>
                <w:szCs w:val="20"/>
              </w:rPr>
              <w:t>Data</w:t>
            </w:r>
          </w:p>
        </w:tc>
        <w:tc>
          <w:tcPr>
            <w:tcW w:w="234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69B97C3F" w14:textId="73FA171E">
            <w:pPr>
              <w:spacing w:after="0"/>
              <w:rPr>
                <w:sz w:val="20"/>
                <w:szCs w:val="20"/>
              </w:rPr>
            </w:pPr>
            <w:r w:rsidRPr="000212B8">
              <w:rPr>
                <w:b/>
                <w:bCs/>
                <w:sz w:val="20"/>
                <w:szCs w:val="20"/>
              </w:rPr>
              <w:t>P</w:t>
            </w:r>
            <w:r w:rsidR="003128F6">
              <w:rPr>
                <w:b/>
                <w:bCs/>
                <w:sz w:val="20"/>
                <w:szCs w:val="20"/>
              </w:rPr>
              <w:t>romoting Interoperability</w:t>
            </w:r>
            <w:r w:rsidRPr="000212B8">
              <w:rPr>
                <w:b/>
                <w:bCs/>
                <w:sz w:val="20"/>
                <w:szCs w:val="20"/>
              </w:rPr>
              <w:t xml:space="preserve"> Performance Category</w:t>
            </w:r>
            <w:r w:rsidR="00837024">
              <w:rPr>
                <w:b/>
                <w:bCs/>
                <w:sz w:val="20"/>
                <w:szCs w:val="20"/>
              </w:rPr>
              <w:t xml:space="preserve"> Data</w:t>
            </w:r>
          </w:p>
        </w:tc>
        <w:tc>
          <w:tcPr>
            <w:tcW w:w="188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BE0723A" w14:textId="5E45564D">
            <w:pPr>
              <w:spacing w:after="0"/>
              <w:rPr>
                <w:sz w:val="20"/>
                <w:szCs w:val="20"/>
              </w:rPr>
            </w:pPr>
            <w:r w:rsidRPr="000212B8">
              <w:rPr>
                <w:b/>
                <w:bCs/>
                <w:sz w:val="20"/>
                <w:szCs w:val="20"/>
              </w:rPr>
              <w:t>Improvement Activities Performance Category</w:t>
            </w:r>
            <w:r w:rsidR="00837024">
              <w:rPr>
                <w:b/>
                <w:bCs/>
                <w:sz w:val="20"/>
                <w:szCs w:val="20"/>
              </w:rPr>
              <w:t xml:space="preserve"> Data</w:t>
            </w:r>
          </w:p>
        </w:tc>
        <w:tc>
          <w:tcPr>
            <w:tcW w:w="1710"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3C8ADFC8" w14:textId="77777777">
            <w:pPr>
              <w:spacing w:after="0"/>
              <w:rPr>
                <w:sz w:val="20"/>
                <w:szCs w:val="20"/>
              </w:rPr>
            </w:pPr>
            <w:r w:rsidRPr="000212B8">
              <w:rPr>
                <w:b/>
                <w:bCs/>
                <w:sz w:val="20"/>
                <w:szCs w:val="20"/>
              </w:rPr>
              <w:t>Other Data Submitted on Behalf of MIPS Eligible Clinicians</w:t>
            </w:r>
          </w:p>
        </w:tc>
      </w:tr>
      <w:tr w:rsidRPr="00C47150" w:rsidR="008D7BCC" w:rsidTr="00580609" w14:paraId="62E2DDAB"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008D7BCC" w:rsidP="008D7BCC" w:rsidRDefault="008D7BCC" w14:paraId="6E19B2A3" w14:textId="6EA3E0E6">
            <w:pPr>
              <w:spacing w:after="0"/>
              <w:rPr>
                <w:b/>
                <w:bCs/>
                <w:sz w:val="20"/>
                <w:szCs w:val="20"/>
              </w:rPr>
            </w:pPr>
            <w:r w:rsidRPr="001A4B2B">
              <w:rPr>
                <w:b/>
                <w:bCs/>
                <w:sz w:val="20"/>
                <w:szCs w:val="20"/>
              </w:rPr>
              <w:t>MIPS Eligible Clinicians and Other Eligible Clinicians Voluntarily Submitting MIPS Data, Participating in Shared Savings Program, and other MIPS APMs that use the APM Performance Pathway for model measures</w:t>
            </w:r>
            <w:r w:rsidR="00A615C5">
              <w:rPr>
                <w:b/>
                <w:bCs/>
                <w:sz w:val="20"/>
                <w:szCs w:val="20"/>
              </w:rPr>
              <w:t>.</w:t>
            </w:r>
          </w:p>
          <w:p w:rsidR="00254763" w:rsidP="008D7BCC" w:rsidRDefault="00254763" w14:paraId="1FF7D630" w14:textId="77777777">
            <w:pPr>
              <w:spacing w:after="0"/>
              <w:rPr>
                <w:b/>
                <w:bCs/>
                <w:sz w:val="20"/>
                <w:szCs w:val="20"/>
              </w:rPr>
            </w:pPr>
          </w:p>
          <w:p w:rsidRPr="00826109" w:rsidR="00A615C5" w:rsidP="00403CB1" w:rsidRDefault="00A72FE9" w14:paraId="430537A6" w14:textId="1A5AA192">
            <w:pPr>
              <w:widowControl w:val="0"/>
              <w:spacing w:after="0"/>
              <w:rPr>
                <w:b/>
                <w:bCs/>
                <w:sz w:val="20"/>
                <w:szCs w:val="20"/>
              </w:rPr>
            </w:pPr>
            <w:r w:rsidRPr="00403CB1">
              <w:rPr>
                <w:sz w:val="20"/>
                <w:szCs w:val="20"/>
              </w:rPr>
              <w:t xml:space="preserve">(CMS Web Interface will be available to only clinicians in ACOs </w:t>
            </w:r>
            <w:r w:rsidR="004A6CAB">
              <w:rPr>
                <w:sz w:val="20"/>
                <w:szCs w:val="20"/>
              </w:rPr>
              <w:t xml:space="preserve">through </w:t>
            </w:r>
            <w:r w:rsidRPr="00403CB1">
              <w:rPr>
                <w:sz w:val="20"/>
                <w:szCs w:val="20"/>
              </w:rPr>
              <w:t>the CY 202</w:t>
            </w:r>
            <w:r w:rsidR="004A6CAB">
              <w:rPr>
                <w:sz w:val="20"/>
                <w:szCs w:val="20"/>
              </w:rPr>
              <w:t>4</w:t>
            </w:r>
            <w:r w:rsidRPr="00403CB1">
              <w:rPr>
                <w:sz w:val="20"/>
                <w:szCs w:val="20"/>
              </w:rPr>
              <w:t xml:space="preserve"> performance period/202</w:t>
            </w:r>
            <w:r w:rsidR="004A6CAB">
              <w:rPr>
                <w:sz w:val="20"/>
                <w:szCs w:val="20"/>
              </w:rPr>
              <w:t>6</w:t>
            </w:r>
            <w:r w:rsidRPr="00403CB1">
              <w:rPr>
                <w:sz w:val="20"/>
                <w:szCs w:val="20"/>
              </w:rPr>
              <w:t xml:space="preserve"> MIPS payment year.)</w:t>
            </w:r>
          </w:p>
        </w:tc>
        <w:tc>
          <w:tcPr>
            <w:tcW w:w="1452" w:type="dxa"/>
            <w:tcBorders>
              <w:top w:val="single" w:color="auto" w:sz="4" w:space="0"/>
              <w:left w:val="single" w:color="auto" w:sz="4" w:space="0"/>
              <w:bottom w:val="single" w:color="auto" w:sz="4" w:space="0"/>
              <w:right w:val="single" w:color="auto" w:sz="4" w:space="0"/>
            </w:tcBorders>
          </w:tcPr>
          <w:p w:rsidRPr="00826109" w:rsidR="008D7BCC" w:rsidP="008D7BCC" w:rsidRDefault="008D7BCC" w14:paraId="3A34B2F9" w14:textId="302CE0EB">
            <w:pPr>
              <w:spacing w:after="0"/>
              <w:rPr>
                <w:sz w:val="20"/>
                <w:szCs w:val="20"/>
              </w:rPr>
            </w:pPr>
            <w:r w:rsidRPr="00B056F2">
              <w:rPr>
                <w:sz w:val="20"/>
                <w:szCs w:val="20"/>
              </w:rPr>
              <w:t>As virtual group</w:t>
            </w:r>
            <w:r>
              <w:rPr>
                <w:sz w:val="20"/>
                <w:szCs w:val="20"/>
              </w:rPr>
              <w:t xml:space="preserve">, </w:t>
            </w:r>
            <w:r w:rsidRPr="00B056F2">
              <w:rPr>
                <w:sz w:val="20"/>
                <w:szCs w:val="20"/>
              </w:rPr>
              <w:t xml:space="preserve">group, </w:t>
            </w:r>
            <w:r w:rsidR="006156C6">
              <w:rPr>
                <w:sz w:val="20"/>
                <w:szCs w:val="20"/>
              </w:rPr>
              <w:t xml:space="preserve">subgroup, </w:t>
            </w:r>
            <w:r w:rsidRPr="00B056F2">
              <w:rPr>
                <w:sz w:val="20"/>
                <w:szCs w:val="20"/>
              </w:rPr>
              <w:t>individual clinicians</w:t>
            </w:r>
            <w:r>
              <w:rPr>
                <w:sz w:val="20"/>
                <w:szCs w:val="20"/>
              </w:rPr>
              <w:t xml:space="preserve">, or APM </w:t>
            </w:r>
            <w:proofErr w:type="spellStart"/>
            <w:r>
              <w:rPr>
                <w:sz w:val="20"/>
                <w:szCs w:val="20"/>
              </w:rPr>
              <w:t>Entity.</w:t>
            </w:r>
            <w:r>
              <w:rPr>
                <w:sz w:val="20"/>
                <w:szCs w:val="20"/>
                <w:vertAlign w:val="superscript"/>
              </w:rPr>
              <w:t>a</w:t>
            </w:r>
            <w:proofErr w:type="spellEnd"/>
          </w:p>
        </w:tc>
        <w:tc>
          <w:tcPr>
            <w:tcW w:w="2345"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63418E12" w14:textId="591739B1">
            <w:pPr>
              <w:keepNext/>
              <w:keepLines/>
              <w:widowControl w:val="0"/>
              <w:spacing w:after="0"/>
              <w:rPr>
                <w:sz w:val="20"/>
                <w:szCs w:val="20"/>
              </w:rPr>
            </w:pPr>
            <w:r w:rsidRPr="00CC1878">
              <w:rPr>
                <w:sz w:val="20"/>
                <w:szCs w:val="20"/>
              </w:rPr>
              <w:t>As virtual group, group,</w:t>
            </w:r>
            <w:r w:rsidR="000F3FCD">
              <w:rPr>
                <w:sz w:val="20"/>
                <w:szCs w:val="20"/>
              </w:rPr>
              <w:t xml:space="preserve"> subgroup,</w:t>
            </w:r>
            <w:r w:rsidRPr="00CC1878">
              <w:rPr>
                <w:sz w:val="20"/>
                <w:szCs w:val="20"/>
              </w:rPr>
              <w:t xml:space="preserve"> individual clinicians, or APM Entity.</w:t>
            </w:r>
          </w:p>
          <w:p w:rsidRPr="00CC1878" w:rsidR="008D7BCC" w:rsidP="008D7BCC" w:rsidRDefault="008D7BCC" w14:paraId="64F4466B" w14:textId="77777777">
            <w:pPr>
              <w:keepNext/>
              <w:keepLines/>
              <w:widowControl w:val="0"/>
              <w:spacing w:after="0"/>
              <w:rPr>
                <w:sz w:val="20"/>
                <w:szCs w:val="20"/>
              </w:rPr>
            </w:pPr>
          </w:p>
          <w:p w:rsidRPr="00CC1878" w:rsidR="008D7BCC" w:rsidP="008D7BCC" w:rsidRDefault="008D7BCC" w14:paraId="0A3E56B5" w14:textId="77777777">
            <w:pPr>
              <w:keepNext/>
              <w:keepLines/>
              <w:widowControl w:val="0"/>
              <w:spacing w:after="0"/>
              <w:rPr>
                <w:sz w:val="20"/>
                <w:szCs w:val="20"/>
              </w:rPr>
            </w:pPr>
            <w:r w:rsidRPr="00CC1878">
              <w:rPr>
                <w:sz w:val="20"/>
                <w:szCs w:val="20"/>
              </w:rPr>
              <w:t xml:space="preserve">Certain MIPS eligible clinicians are automatically eligible for a zero percent weighting for the Promoting Interoperability performance category (please refer to the CY 2020 PFS final rule for a summary of the finalized criteria (84 FR 63111)).  </w:t>
            </w:r>
          </w:p>
          <w:p w:rsidRPr="00CC1878" w:rsidR="008D7BCC" w:rsidP="008D7BCC" w:rsidRDefault="008D7BCC" w14:paraId="14911D72" w14:textId="77777777">
            <w:pPr>
              <w:keepNext/>
              <w:keepLines/>
              <w:widowControl w:val="0"/>
              <w:spacing w:after="0"/>
              <w:rPr>
                <w:sz w:val="20"/>
                <w:szCs w:val="20"/>
              </w:rPr>
            </w:pPr>
          </w:p>
          <w:p w:rsidRPr="00CC1878" w:rsidR="008D7BCC" w:rsidP="008D7BCC" w:rsidRDefault="008D7BCC" w14:paraId="1E236107" w14:textId="77777777">
            <w:pPr>
              <w:keepNext/>
              <w:keepLines/>
              <w:widowControl w:val="0"/>
              <w:spacing w:after="0"/>
              <w:rPr>
                <w:sz w:val="20"/>
                <w:szCs w:val="20"/>
              </w:rPr>
            </w:pPr>
            <w:r w:rsidRPr="00CC1878">
              <w:rPr>
                <w:sz w:val="20"/>
                <w:szCs w:val="20"/>
              </w:rPr>
              <w:t xml:space="preserve">Clinicians who </w:t>
            </w:r>
            <w:proofErr w:type="gramStart"/>
            <w:r w:rsidRPr="00CC1878">
              <w:rPr>
                <w:sz w:val="20"/>
                <w:szCs w:val="20"/>
              </w:rPr>
              <w:t>submit an application</w:t>
            </w:r>
            <w:proofErr w:type="gramEnd"/>
            <w:r w:rsidRPr="00CC1878">
              <w:rPr>
                <w:sz w:val="20"/>
                <w:szCs w:val="20"/>
              </w:rPr>
              <w:t xml:space="preserve"> and are approved for significant hardship or other exceptions are also eligible for a zero percent weighting.</w:t>
            </w:r>
          </w:p>
          <w:p w:rsidRPr="00CC1878" w:rsidR="008D7BCC" w:rsidP="008D7BCC" w:rsidRDefault="008D7BCC" w14:paraId="4E4E0F60" w14:textId="77777777">
            <w:pPr>
              <w:keepNext/>
              <w:keepLines/>
              <w:widowControl w:val="0"/>
              <w:spacing w:after="0"/>
              <w:rPr>
                <w:sz w:val="20"/>
                <w:szCs w:val="20"/>
              </w:rPr>
            </w:pPr>
          </w:p>
          <w:p w:rsidRPr="00826109" w:rsidR="008D7BCC" w:rsidP="008D7BCC" w:rsidRDefault="008D7BCC" w14:paraId="54941918" w14:textId="011C8F77">
            <w:pPr>
              <w:spacing w:after="0"/>
              <w:rPr>
                <w:sz w:val="20"/>
                <w:szCs w:val="20"/>
              </w:rPr>
            </w:pPr>
            <w:r w:rsidRPr="00CC1878">
              <w:rPr>
                <w:sz w:val="20"/>
                <w:szCs w:val="20"/>
              </w:rPr>
              <w:t xml:space="preserve">Each MIPS eligible clinician in the APM Entity reports data for the Promoting Interoperability performance category through either group TIN or </w:t>
            </w:r>
            <w:r w:rsidR="00E03BB4">
              <w:rPr>
                <w:sz w:val="20"/>
                <w:szCs w:val="20"/>
              </w:rPr>
              <w:t xml:space="preserve">APM Entity </w:t>
            </w:r>
            <w:r w:rsidR="00054566">
              <w:rPr>
                <w:sz w:val="20"/>
                <w:szCs w:val="20"/>
              </w:rPr>
              <w:t xml:space="preserve">TIN or </w:t>
            </w:r>
            <w:r w:rsidRPr="00CC1878">
              <w:rPr>
                <w:sz w:val="20"/>
                <w:szCs w:val="20"/>
              </w:rPr>
              <w:t xml:space="preserve">individual reporting.  [The burden estimates for this </w:t>
            </w:r>
            <w:r w:rsidR="00054566">
              <w:rPr>
                <w:sz w:val="20"/>
                <w:szCs w:val="20"/>
              </w:rPr>
              <w:t>proposed</w:t>
            </w:r>
            <w:r w:rsidRPr="00CC1878">
              <w:rPr>
                <w:sz w:val="20"/>
                <w:szCs w:val="20"/>
              </w:rPr>
              <w:t xml:space="preserve"> rule assume group TIN-level reporting]</w:t>
            </w:r>
            <w:r w:rsidR="005B2178">
              <w:rPr>
                <w:sz w:val="20"/>
                <w:szCs w:val="20"/>
              </w:rPr>
              <w:t>.</w:t>
            </w:r>
            <w:r w:rsidRPr="00CC1878">
              <w:rPr>
                <w:sz w:val="20"/>
                <w:szCs w:val="20"/>
                <w:vertAlign w:val="superscript"/>
              </w:rPr>
              <w:t>b</w:t>
            </w:r>
          </w:p>
        </w:tc>
        <w:tc>
          <w:tcPr>
            <w:tcW w:w="1885" w:type="dxa"/>
            <w:tcBorders>
              <w:top w:val="single" w:color="auto" w:sz="4" w:space="0"/>
              <w:left w:val="single" w:color="auto" w:sz="4" w:space="0"/>
              <w:bottom w:val="single" w:color="auto" w:sz="4" w:space="0"/>
              <w:right w:val="single" w:color="auto" w:sz="4" w:space="0"/>
            </w:tcBorders>
          </w:tcPr>
          <w:p w:rsidRPr="00CC1878" w:rsidR="008D7BCC" w:rsidP="008D7BCC" w:rsidRDefault="008D7BCC" w14:paraId="3A86D660" w14:textId="3DD83499">
            <w:pPr>
              <w:keepNext/>
              <w:keepLines/>
              <w:widowControl w:val="0"/>
              <w:spacing w:after="0"/>
              <w:rPr>
                <w:sz w:val="20"/>
                <w:szCs w:val="20"/>
              </w:rPr>
            </w:pPr>
            <w:r w:rsidRPr="00CC1878">
              <w:rPr>
                <w:sz w:val="20"/>
                <w:szCs w:val="20"/>
              </w:rPr>
              <w:t xml:space="preserve">As virtual group, group, </w:t>
            </w:r>
            <w:r w:rsidR="000F3FCD">
              <w:rPr>
                <w:sz w:val="20"/>
                <w:szCs w:val="20"/>
              </w:rPr>
              <w:t xml:space="preserve">subgroup, </w:t>
            </w:r>
            <w:r w:rsidRPr="00CC1878">
              <w:rPr>
                <w:sz w:val="20"/>
                <w:szCs w:val="20"/>
              </w:rPr>
              <w:t>or individual clinicians.</w:t>
            </w:r>
          </w:p>
          <w:p w:rsidRPr="00CC1878" w:rsidR="008D7BCC" w:rsidP="008D7BCC" w:rsidRDefault="008D7BCC" w14:paraId="61DB002F" w14:textId="77777777">
            <w:pPr>
              <w:keepNext/>
              <w:keepLines/>
              <w:widowControl w:val="0"/>
              <w:spacing w:after="0"/>
              <w:rPr>
                <w:sz w:val="20"/>
                <w:szCs w:val="20"/>
              </w:rPr>
            </w:pPr>
          </w:p>
          <w:p w:rsidRPr="00CC1878" w:rsidR="008D7BCC" w:rsidP="008D7BCC" w:rsidRDefault="008D7BCC" w14:paraId="29A2E6B7" w14:textId="77777777">
            <w:pPr>
              <w:keepNext/>
              <w:keepLines/>
              <w:widowControl w:val="0"/>
              <w:spacing w:after="0"/>
              <w:rPr>
                <w:sz w:val="20"/>
                <w:szCs w:val="20"/>
              </w:rPr>
            </w:pPr>
            <w:r w:rsidRPr="00CC1878">
              <w:rPr>
                <w:sz w:val="20"/>
                <w:szCs w:val="20"/>
              </w:rPr>
              <w:t xml:space="preserve">MIPS APMs do not submit information. </w:t>
            </w:r>
          </w:p>
          <w:p w:rsidRPr="00CC1878" w:rsidR="008D7BCC" w:rsidP="008D7BCC" w:rsidRDefault="008D7BCC" w14:paraId="6979B393" w14:textId="77777777">
            <w:pPr>
              <w:keepNext/>
              <w:keepLines/>
              <w:widowControl w:val="0"/>
              <w:spacing w:after="0"/>
              <w:rPr>
                <w:sz w:val="20"/>
                <w:szCs w:val="20"/>
              </w:rPr>
            </w:pPr>
          </w:p>
          <w:p w:rsidRPr="00826109" w:rsidR="008D7BCC" w:rsidP="008D7BCC" w:rsidRDefault="008D7BCC" w14:paraId="50939771" w14:textId="7CEAF7F9">
            <w:pPr>
              <w:spacing w:after="0"/>
              <w:rPr>
                <w:sz w:val="20"/>
                <w:szCs w:val="20"/>
              </w:rPr>
            </w:pPr>
            <w:r w:rsidRPr="00CC1878">
              <w:rPr>
                <w:sz w:val="20"/>
                <w:szCs w:val="20"/>
              </w:rPr>
              <w:t xml:space="preserve">CMS will assign the same improvement activities performance category score to each APM Entity based on the activities involved in participation in the MIPS </w:t>
            </w:r>
            <w:proofErr w:type="spellStart"/>
            <w:r w:rsidRPr="00CC1878">
              <w:rPr>
                <w:sz w:val="20"/>
                <w:szCs w:val="20"/>
              </w:rPr>
              <w:t>APM.</w:t>
            </w:r>
            <w:r w:rsidRPr="00CC1878">
              <w:rPr>
                <w:sz w:val="20"/>
                <w:szCs w:val="20"/>
                <w:vertAlign w:val="superscript"/>
              </w:rPr>
              <w:t>c</w:t>
            </w:r>
            <w:proofErr w:type="spellEnd"/>
            <w:r w:rsidRPr="00CC1878">
              <w:rPr>
                <w:sz w:val="20"/>
                <w:szCs w:val="20"/>
              </w:rPr>
              <w:t xml:space="preserve">  </w:t>
            </w:r>
          </w:p>
        </w:tc>
        <w:tc>
          <w:tcPr>
            <w:tcW w:w="1710" w:type="dxa"/>
            <w:tcBorders>
              <w:top w:val="single" w:color="auto" w:sz="4" w:space="0"/>
              <w:left w:val="single" w:color="auto" w:sz="4" w:space="0"/>
              <w:bottom w:val="single" w:color="auto" w:sz="4" w:space="0"/>
              <w:right w:val="single" w:color="auto" w:sz="4" w:space="0"/>
            </w:tcBorders>
          </w:tcPr>
          <w:p w:rsidR="008D7BCC" w:rsidP="008D7BCC" w:rsidRDefault="008D7BCC" w14:paraId="49BF8898" w14:textId="77777777">
            <w:pPr>
              <w:keepNext/>
              <w:keepLines/>
              <w:widowControl w:val="0"/>
              <w:spacing w:after="0"/>
              <w:rPr>
                <w:sz w:val="20"/>
                <w:szCs w:val="20"/>
              </w:rPr>
            </w:pPr>
            <w:r w:rsidRPr="00CC1878">
              <w:rPr>
                <w:sz w:val="20"/>
                <w:szCs w:val="20"/>
              </w:rPr>
              <w:t xml:space="preserve">Groups electing to use a CMS-approved survey vendor to administer CAHPS must register. </w:t>
            </w:r>
          </w:p>
          <w:p w:rsidR="008D7BCC" w:rsidP="008D7BCC" w:rsidRDefault="008D7BCC" w14:paraId="53E7FF64" w14:textId="77777777">
            <w:pPr>
              <w:keepNext/>
              <w:keepLines/>
              <w:widowControl w:val="0"/>
              <w:spacing w:after="0"/>
              <w:rPr>
                <w:sz w:val="20"/>
                <w:szCs w:val="20"/>
              </w:rPr>
            </w:pPr>
          </w:p>
          <w:p w:rsidRPr="00CC1878" w:rsidR="008D7BCC" w:rsidP="008D7BCC" w:rsidRDefault="008D7BCC" w14:paraId="016960C3" w14:textId="620D5061">
            <w:pPr>
              <w:keepNext/>
              <w:keepLines/>
              <w:widowControl w:val="0"/>
              <w:spacing w:after="0"/>
              <w:rPr>
                <w:sz w:val="20"/>
                <w:szCs w:val="20"/>
              </w:rPr>
            </w:pPr>
          </w:p>
          <w:p w:rsidR="00DF1824" w:rsidP="008D7BCC" w:rsidRDefault="00DF1824" w14:paraId="33D19073" w14:textId="5CF54CE9">
            <w:pPr>
              <w:keepNext/>
              <w:keepLines/>
              <w:widowControl w:val="0"/>
              <w:spacing w:after="0"/>
              <w:rPr>
                <w:sz w:val="20"/>
                <w:szCs w:val="20"/>
              </w:rPr>
            </w:pPr>
            <w:r>
              <w:rPr>
                <w:sz w:val="20"/>
                <w:szCs w:val="20"/>
              </w:rPr>
              <w:t>MVP participants</w:t>
            </w:r>
            <w:r w:rsidR="00F404C6">
              <w:rPr>
                <w:sz w:val="20"/>
                <w:szCs w:val="20"/>
              </w:rPr>
              <w:t xml:space="preserve"> electi</w:t>
            </w:r>
            <w:r w:rsidR="008C5865">
              <w:rPr>
                <w:sz w:val="20"/>
                <w:szCs w:val="20"/>
              </w:rPr>
              <w:t>ng</w:t>
            </w:r>
            <w:r w:rsidR="00F404C6">
              <w:rPr>
                <w:sz w:val="20"/>
                <w:szCs w:val="20"/>
              </w:rPr>
              <w:t xml:space="preserve"> to submit data for the measures and activities in an MVP must register.</w:t>
            </w:r>
          </w:p>
          <w:p w:rsidRPr="00CC1878" w:rsidR="00DF1824" w:rsidP="008D7BCC" w:rsidRDefault="00DF1824" w14:paraId="42FBD0B8" w14:textId="77777777">
            <w:pPr>
              <w:keepNext/>
              <w:keepLines/>
              <w:widowControl w:val="0"/>
              <w:spacing w:after="0"/>
              <w:rPr>
                <w:sz w:val="20"/>
                <w:szCs w:val="20"/>
              </w:rPr>
            </w:pPr>
          </w:p>
          <w:p w:rsidR="008D7BCC" w:rsidP="008D7BCC" w:rsidRDefault="007C08F9" w14:paraId="42B1B6BD" w14:textId="46EEA346">
            <w:pPr>
              <w:keepNext/>
              <w:keepLines/>
              <w:widowControl w:val="0"/>
              <w:spacing w:after="0"/>
              <w:rPr>
                <w:sz w:val="20"/>
                <w:szCs w:val="20"/>
              </w:rPr>
            </w:pPr>
            <w:r>
              <w:rPr>
                <w:sz w:val="20"/>
                <w:szCs w:val="20"/>
              </w:rPr>
              <w:t xml:space="preserve">Clinicians in </w:t>
            </w:r>
            <w:r w:rsidRPr="00CC1878" w:rsidR="008D7BCC">
              <w:rPr>
                <w:sz w:val="20"/>
                <w:szCs w:val="20"/>
              </w:rPr>
              <w:t>MIPS APMs electing the APM Performance Pathway.</w:t>
            </w:r>
          </w:p>
          <w:p w:rsidR="00377D5A" w:rsidP="008D7BCC" w:rsidRDefault="00377D5A" w14:paraId="257DBEA3" w14:textId="77777777">
            <w:pPr>
              <w:keepNext/>
              <w:keepLines/>
              <w:widowControl w:val="0"/>
              <w:spacing w:after="0"/>
              <w:rPr>
                <w:sz w:val="20"/>
                <w:szCs w:val="20"/>
              </w:rPr>
            </w:pPr>
          </w:p>
          <w:p w:rsidRPr="00CC1878" w:rsidR="00E40259" w:rsidP="008D7BCC" w:rsidRDefault="00E40259" w14:paraId="4BFA8B0C" w14:textId="1743F795">
            <w:pPr>
              <w:keepNext/>
              <w:keepLines/>
              <w:widowControl w:val="0"/>
              <w:spacing w:after="0"/>
              <w:rPr>
                <w:sz w:val="20"/>
                <w:szCs w:val="20"/>
              </w:rPr>
            </w:pPr>
            <w:r w:rsidRPr="00E40259">
              <w:rPr>
                <w:sz w:val="20"/>
                <w:szCs w:val="20"/>
              </w:rPr>
              <w:t>(CMS Web Interface will be available to only clinicians in ACOs through the CY 2024 performance period/2026 MIPS payment year.)</w:t>
            </w:r>
          </w:p>
          <w:p w:rsidRPr="00CC1878" w:rsidR="008D7BCC" w:rsidP="008D7BCC" w:rsidRDefault="008D7BCC" w14:paraId="36BC3658" w14:textId="77777777">
            <w:pPr>
              <w:keepNext/>
              <w:keepLines/>
              <w:widowControl w:val="0"/>
              <w:spacing w:after="0"/>
              <w:rPr>
                <w:sz w:val="20"/>
                <w:szCs w:val="20"/>
              </w:rPr>
            </w:pPr>
          </w:p>
          <w:p w:rsidR="008D7BCC" w:rsidP="008D7BCC" w:rsidRDefault="008D7BCC" w14:paraId="6D7DB06C" w14:textId="3003B9D9">
            <w:pPr>
              <w:widowControl w:val="0"/>
              <w:spacing w:after="0"/>
              <w:rPr>
                <w:sz w:val="20"/>
                <w:szCs w:val="20"/>
              </w:rPr>
            </w:pPr>
            <w:r w:rsidRPr="00CC1878">
              <w:rPr>
                <w:sz w:val="20"/>
                <w:szCs w:val="20"/>
              </w:rPr>
              <w:t>APM Entities will make Partial QP election for participating eligible clinicians.</w:t>
            </w:r>
          </w:p>
          <w:p w:rsidR="007D756A" w:rsidP="008D7BCC" w:rsidRDefault="007D756A" w14:paraId="19FD8DFB" w14:textId="2F3C88FD">
            <w:pPr>
              <w:widowControl w:val="0"/>
              <w:spacing w:after="0"/>
              <w:rPr>
                <w:sz w:val="20"/>
                <w:szCs w:val="20"/>
              </w:rPr>
            </w:pPr>
          </w:p>
          <w:p w:rsidRPr="00CC1878" w:rsidR="008D7BCC" w:rsidP="008D7BCC" w:rsidRDefault="008D7BCC" w14:paraId="09E61301" w14:textId="77777777">
            <w:pPr>
              <w:keepNext/>
              <w:keepLines/>
              <w:widowControl w:val="0"/>
              <w:spacing w:after="0"/>
              <w:rPr>
                <w:sz w:val="20"/>
                <w:szCs w:val="20"/>
              </w:rPr>
            </w:pPr>
          </w:p>
          <w:p w:rsidRPr="00826109" w:rsidR="008D7BCC" w:rsidP="008D7BCC" w:rsidRDefault="008D7BCC" w14:paraId="55060461" w14:textId="5A73B2E7">
            <w:pPr>
              <w:spacing w:after="0"/>
              <w:rPr>
                <w:sz w:val="20"/>
                <w:szCs w:val="20"/>
              </w:rPr>
            </w:pPr>
            <w:r w:rsidRPr="00CC1878">
              <w:rPr>
                <w:sz w:val="20"/>
                <w:szCs w:val="20"/>
              </w:rPr>
              <w:t xml:space="preserve">Virtual groups must register via </w:t>
            </w:r>
            <w:proofErr w:type="spellStart"/>
            <w:r w:rsidRPr="00CC1878">
              <w:rPr>
                <w:sz w:val="20"/>
                <w:szCs w:val="20"/>
              </w:rPr>
              <w:t>email.</w:t>
            </w:r>
            <w:r w:rsidRPr="00CC1878">
              <w:rPr>
                <w:sz w:val="20"/>
                <w:szCs w:val="20"/>
                <w:vertAlign w:val="superscript"/>
              </w:rPr>
              <w:t>d</w:t>
            </w:r>
            <w:proofErr w:type="spellEnd"/>
            <w:r w:rsidRPr="00CC1878">
              <w:rPr>
                <w:sz w:val="20"/>
                <w:szCs w:val="20"/>
              </w:rPr>
              <w:t xml:space="preserve"> </w:t>
            </w:r>
          </w:p>
        </w:tc>
      </w:tr>
    </w:tbl>
    <w:p w:rsidRPr="00CC1878" w:rsidR="006A40C3" w:rsidP="00453FFF" w:rsidRDefault="006A40C3" w14:paraId="0476CD46" w14:textId="77777777">
      <w:pPr>
        <w:keepNext/>
        <w:keepLines/>
        <w:widowControl w:val="0"/>
        <w:spacing w:before="120" w:after="0"/>
        <w:rPr>
          <w:rFonts w:eastAsia="Calibri"/>
          <w:sz w:val="20"/>
          <w:szCs w:val="20"/>
        </w:rPr>
      </w:pPr>
      <w:r w:rsidRPr="00CC1878">
        <w:rPr>
          <w:rFonts w:eastAsia="Calibri"/>
          <w:sz w:val="20"/>
          <w:szCs w:val="20"/>
        </w:rPr>
        <w:lastRenderedPageBreak/>
        <w:t xml:space="preserve">* Because the cost performance category relies on administrative claims data, MIPS eligible clinicians are not required to provide any additional information, and therefore, the cost performance category is not represented in this table. </w:t>
      </w:r>
    </w:p>
    <w:p w:rsidRPr="00CC1878" w:rsidR="006A40C3" w:rsidP="004C7425" w:rsidRDefault="006A40C3" w14:paraId="5CAD96F2" w14:textId="115D59A1">
      <w:pPr>
        <w:widowControl w:val="0"/>
        <w:spacing w:after="0"/>
        <w:rPr>
          <w:sz w:val="20"/>
          <w:szCs w:val="20"/>
        </w:rPr>
      </w:pPr>
      <w:bookmarkStart w:name="_Hlk528122275" w:id="2"/>
      <w:r w:rsidRPr="00CC1878">
        <w:rPr>
          <w:sz w:val="20"/>
          <w:szCs w:val="20"/>
          <w:vertAlign w:val="superscript"/>
        </w:rPr>
        <w:t>a</w:t>
      </w:r>
      <w:r w:rsidRPr="00CC1878">
        <w:rPr>
          <w:sz w:val="20"/>
          <w:szCs w:val="20"/>
        </w:rPr>
        <w:t xml:space="preserve"> Submissions by the ACO are not included in burden estimates for this </w:t>
      </w:r>
      <w:r>
        <w:rPr>
          <w:sz w:val="20"/>
          <w:szCs w:val="20"/>
        </w:rPr>
        <w:t>final</w:t>
      </w:r>
      <w:r w:rsidRPr="00CC1878">
        <w:rPr>
          <w:sz w:val="20"/>
          <w:szCs w:val="20"/>
        </w:rPr>
        <w:t xml:space="preserve"> rule because quality data submission</w:t>
      </w:r>
      <w:r>
        <w:rPr>
          <w:sz w:val="20"/>
          <w:szCs w:val="20"/>
        </w:rPr>
        <w:t>s</w:t>
      </w:r>
      <w:r w:rsidRPr="00CC1878">
        <w:rPr>
          <w:sz w:val="20"/>
          <w:szCs w:val="20"/>
        </w:rPr>
        <w:t xml:space="preserve"> to fulfill requirements of the Shared Savings Program are not subject to the PRA. Sections 1899 (42 U.S.C. 1395jjj) state that the Shared Savings Program </w:t>
      </w:r>
      <w:r w:rsidR="00E52BBE">
        <w:rPr>
          <w:sz w:val="20"/>
          <w:szCs w:val="20"/>
        </w:rPr>
        <w:t xml:space="preserve">is </w:t>
      </w:r>
      <w:r w:rsidRPr="00CC1878">
        <w:rPr>
          <w:sz w:val="20"/>
          <w:szCs w:val="20"/>
        </w:rPr>
        <w:t>not subject to the PRA</w:t>
      </w:r>
      <w:bookmarkEnd w:id="2"/>
      <w:r w:rsidRPr="00CC1878">
        <w:rPr>
          <w:sz w:val="20"/>
          <w:szCs w:val="20"/>
        </w:rPr>
        <w:t>.</w:t>
      </w:r>
    </w:p>
    <w:p w:rsidRPr="00CC1878" w:rsidR="006A40C3" w:rsidP="00D64E75" w:rsidRDefault="006A40C3" w14:paraId="0A84BBAD" w14:textId="12F99731">
      <w:pPr>
        <w:keepNext/>
        <w:keepLines/>
        <w:widowControl w:val="0"/>
        <w:spacing w:after="0"/>
        <w:rPr>
          <w:sz w:val="20"/>
          <w:szCs w:val="20"/>
        </w:rPr>
      </w:pPr>
      <w:r w:rsidRPr="00CC1878">
        <w:rPr>
          <w:sz w:val="20"/>
          <w:szCs w:val="20"/>
          <w:vertAlign w:val="superscript"/>
        </w:rPr>
        <w:t>b</w:t>
      </w:r>
      <w:r w:rsidRPr="00CC1878">
        <w:rPr>
          <w:sz w:val="20"/>
          <w:szCs w:val="20"/>
        </w:rPr>
        <w:t xml:space="preserve">  Promoting Interoperability data will be accepted</w:t>
      </w:r>
      <w:r w:rsidR="007A709E">
        <w:rPr>
          <w:sz w:val="20"/>
          <w:szCs w:val="20"/>
        </w:rPr>
        <w:t xml:space="preserve"> at the group TIN, APM Entit</w:t>
      </w:r>
      <w:r w:rsidR="005A7952">
        <w:rPr>
          <w:sz w:val="20"/>
          <w:szCs w:val="20"/>
        </w:rPr>
        <w:t>y level or as individuals</w:t>
      </w:r>
      <w:r w:rsidRPr="00CC1878">
        <w:rPr>
          <w:sz w:val="20"/>
          <w:szCs w:val="20"/>
        </w:rPr>
        <w:t>.  If group TIN</w:t>
      </w:r>
      <w:r w:rsidR="005A7952">
        <w:rPr>
          <w:sz w:val="20"/>
          <w:szCs w:val="20"/>
        </w:rPr>
        <w:t>, APM Entity TIN,</w:t>
      </w:r>
      <w:r w:rsidR="00645436">
        <w:rPr>
          <w:sz w:val="20"/>
          <w:szCs w:val="20"/>
        </w:rPr>
        <w:t xml:space="preserve"> </w:t>
      </w:r>
      <w:r w:rsidRPr="00CC1878">
        <w:rPr>
          <w:sz w:val="20"/>
          <w:szCs w:val="20"/>
        </w:rPr>
        <w:t xml:space="preserve">and individual scores are available for the same APM Entity, CMS </w:t>
      </w:r>
      <w:r w:rsidRPr="00CC1878">
        <w:rPr>
          <w:rFonts w:eastAsia="Calibri"/>
          <w:snapToGrid w:val="0"/>
          <w:sz w:val="20"/>
          <w:szCs w:val="20"/>
        </w:rPr>
        <w:t>will</w:t>
      </w:r>
      <w:r w:rsidRPr="00CC1878">
        <w:rPr>
          <w:sz w:val="20"/>
          <w:szCs w:val="20"/>
        </w:rPr>
        <w:t xml:space="preserve"> use the higher score for each TIN/NPI.  </w:t>
      </w:r>
      <w:r w:rsidR="00645436">
        <w:rPr>
          <w:sz w:val="20"/>
          <w:szCs w:val="20"/>
        </w:rPr>
        <w:t xml:space="preserve">For multi-TIN APM Entities that do not submit </w:t>
      </w:r>
      <w:r w:rsidR="002B399A">
        <w:rPr>
          <w:sz w:val="20"/>
          <w:szCs w:val="20"/>
        </w:rPr>
        <w:t>data at the APM Entity level, t</w:t>
      </w:r>
      <w:r w:rsidRPr="00CC1878">
        <w:rPr>
          <w:sz w:val="20"/>
          <w:szCs w:val="20"/>
        </w:rPr>
        <w:t>he TIN/NPI scores are then aggregated for purposes of calculating the APM Entity score.</w:t>
      </w:r>
    </w:p>
    <w:p w:rsidRPr="00CC1878" w:rsidR="006A40C3" w:rsidP="004C7425" w:rsidRDefault="006A40C3" w14:paraId="212095B2" w14:textId="77777777">
      <w:pPr>
        <w:widowControl w:val="0"/>
        <w:spacing w:after="0"/>
        <w:rPr>
          <w:sz w:val="20"/>
          <w:szCs w:val="20"/>
        </w:rPr>
      </w:pPr>
      <w:r w:rsidRPr="00CC1878">
        <w:rPr>
          <w:sz w:val="20"/>
          <w:szCs w:val="20"/>
          <w:vertAlign w:val="superscript"/>
        </w:rPr>
        <w:t>c</w:t>
      </w:r>
      <w:r w:rsidRPr="00CC1878">
        <w:rPr>
          <w:sz w:val="20"/>
          <w:szCs w:val="20"/>
        </w:rPr>
        <w:t xml:space="preserve"> The burden estimates for this </w:t>
      </w:r>
      <w:r>
        <w:rPr>
          <w:sz w:val="20"/>
          <w:szCs w:val="20"/>
        </w:rPr>
        <w:t>final</w:t>
      </w:r>
      <w:r w:rsidRPr="00CC1878">
        <w:rPr>
          <w:sz w:val="20"/>
          <w:szCs w:val="20"/>
        </w:rPr>
        <w:t xml:space="preserve"> rule assume no improvement activities performance category reporting burden for APM participants because we assume the MIPS APM model provides a maximum improvement activity score.  APM Entities participating in MIPS APMs receive an improvement activities performance category score of at least 50 percent (42 CFR 414.1380) and do not need to submit improvement activities data unless the CMS-assigned improvement activities scores are below the maximum improvement activities score.</w:t>
      </w:r>
    </w:p>
    <w:p w:rsidRPr="00CC1878" w:rsidR="006A40C3" w:rsidP="004C7425" w:rsidRDefault="006A40C3" w14:paraId="7A1B89D4" w14:textId="77777777">
      <w:pPr>
        <w:widowControl w:val="0"/>
        <w:spacing w:after="0"/>
        <w:rPr>
          <w:sz w:val="20"/>
          <w:szCs w:val="20"/>
        </w:rPr>
      </w:pPr>
      <w:r w:rsidRPr="00CC1878">
        <w:rPr>
          <w:sz w:val="20"/>
          <w:szCs w:val="20"/>
          <w:vertAlign w:val="superscript"/>
        </w:rPr>
        <w:t>d</w:t>
      </w:r>
      <w:r w:rsidRPr="00CC1878">
        <w:rPr>
          <w:sz w:val="20"/>
          <w:szCs w:val="20"/>
        </w:rPr>
        <w:t xml:space="preserve"> Virtual group participation is limited to MIPS eligible clinicians, specifically, solo practitioners and groups consisting of 10 eligible clinicians or fewer.</w:t>
      </w:r>
    </w:p>
    <w:p w:rsidR="005038E4" w:rsidP="005038E4" w:rsidRDefault="005038E4" w14:paraId="11F75EB8" w14:textId="4CE0B7F4"/>
    <w:p w:rsidR="00C90045" w:rsidP="00730BEF" w:rsidRDefault="00C90045" w14:paraId="63FDD90A" w14:textId="2A68299B">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326A7">
        <w:t xml:space="preserve"> and CY 2019</w:t>
      </w:r>
      <w:r w:rsidR="006A40C3">
        <w:t xml:space="preserve">, </w:t>
      </w:r>
      <w:r w:rsidR="008A71A5">
        <w:t>2020</w:t>
      </w:r>
      <w:r w:rsidR="006A40C3">
        <w:t>, and 2021</w:t>
      </w:r>
      <w:r w:rsidR="008A71A5">
        <w:t xml:space="preserve"> </w:t>
      </w:r>
      <w:r w:rsidR="009A1A8C">
        <w:t>PFS final rule</w:t>
      </w:r>
      <w:r w:rsidR="008A71A5">
        <w:t>s</w:t>
      </w:r>
      <w:r w:rsidR="00443265">
        <w:t xml:space="preserve">, and continued in the CY 2022 PFS </w:t>
      </w:r>
      <w:r w:rsidR="00240C82">
        <w:t>final</w:t>
      </w:r>
      <w:r w:rsidR="00443265">
        <w:t xml:space="preserve"> rule</w:t>
      </w:r>
      <w:r w:rsidR="009A1A8C">
        <w:t xml:space="preserve"> </w:t>
      </w:r>
      <w:r w:rsidRPr="00C90045">
        <w:t>create some additional data collection re</w:t>
      </w:r>
      <w:r>
        <w:t xml:space="preserve">quirements not listed in Table </w:t>
      </w:r>
      <w:r w:rsidRPr="00C90045">
        <w:t>2. These additional data collections</w:t>
      </w:r>
      <w:r w:rsidR="00DC2761">
        <w:t xml:space="preserve"> </w:t>
      </w:r>
      <w:r w:rsidR="00571D87">
        <w:t>consist of:</w:t>
      </w:r>
    </w:p>
    <w:p w:rsidR="00C90045" w:rsidP="00B41DE5" w:rsidRDefault="00C90045" w14:paraId="075A11CD" w14:textId="3AF1A527">
      <w:pPr>
        <w:pStyle w:val="ListParagraph"/>
        <w:numPr>
          <w:ilvl w:val="0"/>
          <w:numId w:val="3"/>
        </w:numPr>
        <w:spacing w:after="200"/>
      </w:pPr>
      <w:r w:rsidRPr="00DB082D">
        <w:t xml:space="preserve">Self-nomination of new and returning QCDRs </w:t>
      </w:r>
    </w:p>
    <w:p w:rsidR="00D75002" w:rsidP="00B41DE5" w:rsidRDefault="00C90045" w14:paraId="78B99E69" w14:textId="77777777">
      <w:pPr>
        <w:pStyle w:val="ListParagraph"/>
        <w:numPr>
          <w:ilvl w:val="0"/>
          <w:numId w:val="3"/>
        </w:numPr>
        <w:spacing w:after="200"/>
      </w:pPr>
      <w:r>
        <w:t>Self-nomination of new and returning qualified</w:t>
      </w:r>
      <w:r w:rsidRPr="00DB082D">
        <w:t xml:space="preserve"> registries</w:t>
      </w:r>
    </w:p>
    <w:p w:rsidR="00C90045" w:rsidP="00B41DE5" w:rsidRDefault="00D75002" w14:paraId="25699F8B" w14:textId="58B9A8F6">
      <w:pPr>
        <w:pStyle w:val="ListParagraph"/>
        <w:numPr>
          <w:ilvl w:val="0"/>
          <w:numId w:val="3"/>
        </w:numPr>
        <w:spacing w:after="200"/>
      </w:pPr>
      <w:r>
        <w:t>Third party intermediary plan audits (New)</w:t>
      </w:r>
      <w:r w:rsidRPr="00DB082D" w:rsidR="00C90045">
        <w:t xml:space="preserve"> </w:t>
      </w:r>
    </w:p>
    <w:p w:rsidR="00D54DB9" w:rsidP="00B41DE5" w:rsidRDefault="00D54DB9" w14:paraId="2B776315" w14:textId="12CB53C6">
      <w:pPr>
        <w:pStyle w:val="ListParagraph"/>
        <w:numPr>
          <w:ilvl w:val="0"/>
          <w:numId w:val="3"/>
        </w:numPr>
        <w:spacing w:after="200"/>
      </w:pPr>
      <w:r>
        <w:t>Open Authorization Credentialing and Token Request Process</w:t>
      </w:r>
    </w:p>
    <w:p w:rsidR="00C90045" w:rsidP="00B41DE5" w:rsidRDefault="00FD250B" w14:paraId="601A6891" w14:textId="6FEA8C70">
      <w:pPr>
        <w:pStyle w:val="ListParagraph"/>
        <w:numPr>
          <w:ilvl w:val="0"/>
          <w:numId w:val="3"/>
        </w:numPr>
        <w:spacing w:after="200"/>
      </w:pPr>
      <w:r>
        <w:t>Quality Payment Program Identity Management Application Process</w:t>
      </w:r>
    </w:p>
    <w:p w:rsidRPr="00DB082D" w:rsidR="00C90045" w:rsidP="00B41DE5" w:rsidRDefault="00E326A7" w14:paraId="702A710B" w14:textId="23571790">
      <w:pPr>
        <w:pStyle w:val="ListParagraph"/>
        <w:numPr>
          <w:ilvl w:val="0"/>
          <w:numId w:val="3"/>
        </w:numPr>
        <w:spacing w:after="200"/>
      </w:pPr>
      <w:r>
        <w:t xml:space="preserve">Reweighting </w:t>
      </w:r>
      <w:r w:rsidR="00C90045">
        <w:t>Application</w:t>
      </w:r>
      <w:r>
        <w:t>s</w:t>
      </w:r>
      <w:r w:rsidR="00C90045">
        <w:t xml:space="preserve"> for Promot</w:t>
      </w:r>
      <w:r>
        <w:t>ing Interoperability and Other Performance Categories</w:t>
      </w:r>
    </w:p>
    <w:p w:rsidR="00C90045" w:rsidP="00B41DE5" w:rsidRDefault="00C90045" w14:paraId="273FA231" w14:textId="77777777">
      <w:pPr>
        <w:pStyle w:val="ListParagraph"/>
        <w:numPr>
          <w:ilvl w:val="0"/>
          <w:numId w:val="3"/>
        </w:numPr>
        <w:spacing w:after="200"/>
      </w:pPr>
      <w:r>
        <w:t>Call for quality measures</w:t>
      </w:r>
    </w:p>
    <w:p w:rsidR="00C90045" w:rsidP="00B41DE5" w:rsidRDefault="0069322F" w14:paraId="4F3DFA8E" w14:textId="67954B10">
      <w:pPr>
        <w:pStyle w:val="ListParagraph"/>
        <w:numPr>
          <w:ilvl w:val="0"/>
          <w:numId w:val="3"/>
        </w:numPr>
        <w:spacing w:after="200"/>
      </w:pPr>
      <w:r>
        <w:t>Nomination of</w:t>
      </w:r>
      <w:r w:rsidRPr="00DB082D" w:rsidR="00C90045">
        <w:t xml:space="preserve"> new improvement activities</w:t>
      </w:r>
    </w:p>
    <w:p w:rsidR="00C90045" w:rsidP="00B41DE5" w:rsidRDefault="00C90045" w14:paraId="17C201BD" w14:textId="1D59A0C8">
      <w:pPr>
        <w:pStyle w:val="ListParagraph"/>
        <w:numPr>
          <w:ilvl w:val="0"/>
          <w:numId w:val="3"/>
        </w:numPr>
        <w:spacing w:after="200"/>
      </w:pPr>
      <w:r>
        <w:t>Call for Promoting Interoperability measures</w:t>
      </w:r>
    </w:p>
    <w:p w:rsidR="00D54DB9" w:rsidP="00B41DE5" w:rsidRDefault="00D54DB9" w14:paraId="1279E7EF" w14:textId="6C41FBF7">
      <w:pPr>
        <w:pStyle w:val="ListParagraph"/>
        <w:numPr>
          <w:ilvl w:val="0"/>
          <w:numId w:val="3"/>
        </w:numPr>
        <w:spacing w:after="200"/>
      </w:pPr>
      <w:r>
        <w:t>Nomination of MVPs</w:t>
      </w:r>
    </w:p>
    <w:p w:rsidR="00C90045" w:rsidP="00B41DE5" w:rsidRDefault="00C90045" w14:paraId="67B82832" w14:textId="2224A0C7">
      <w:pPr>
        <w:pStyle w:val="ListParagraph"/>
        <w:numPr>
          <w:ilvl w:val="0"/>
          <w:numId w:val="3"/>
        </w:numPr>
        <w:spacing w:after="200"/>
      </w:pPr>
      <w:proofErr w:type="spellStart"/>
      <w:r w:rsidRPr="00DB082D">
        <w:t>Opt</w:t>
      </w:r>
      <w:proofErr w:type="spellEnd"/>
      <w:r w:rsidRPr="00DB082D">
        <w:t xml:space="preserve"> out of performance data display on Physician Compare for</w:t>
      </w:r>
      <w:r>
        <w:t xml:space="preserve"> voluntary reporters under MIPS</w:t>
      </w:r>
    </w:p>
    <w:p w:rsidRPr="00DB082D" w:rsidR="00C90045" w:rsidP="00B41DE5" w:rsidRDefault="00C90045" w14:paraId="51A764B9" w14:textId="77777777">
      <w:pPr>
        <w:pStyle w:val="ListParagraph"/>
        <w:numPr>
          <w:ilvl w:val="0"/>
          <w:numId w:val="3"/>
        </w:numPr>
        <w:spacing w:after="200"/>
      </w:pPr>
      <w:r>
        <w:t>Partial Qualifying APM Participant (Partial QP) election</w:t>
      </w:r>
      <w:r w:rsidRPr="00DB082D">
        <w:t xml:space="preserve"> </w:t>
      </w:r>
    </w:p>
    <w:p w:rsidR="00C90045" w:rsidP="00B41DE5" w:rsidRDefault="00C90045" w14:paraId="1DCFE4A7"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B41DE5" w:rsidRDefault="00C90045" w14:paraId="4B838D2B" w14:textId="53A893D0">
      <w:pPr>
        <w:pStyle w:val="ListParagraph"/>
        <w:numPr>
          <w:ilvl w:val="0"/>
          <w:numId w:val="3"/>
        </w:numPr>
        <w:spacing w:after="200"/>
      </w:pPr>
      <w:r>
        <w:t xml:space="preserve">Other Payer Advanced APM determinations: </w:t>
      </w:r>
      <w:r w:rsidR="0069322F">
        <w:t xml:space="preserve">Eligible </w:t>
      </w:r>
      <w:r>
        <w:t xml:space="preserve">Clinician Initiated Process </w:t>
      </w:r>
    </w:p>
    <w:p w:rsidR="00BB0598" w:rsidP="00B41DE5" w:rsidRDefault="00C90045" w14:paraId="151B99CB" w14:textId="308267AD">
      <w:pPr>
        <w:pStyle w:val="ListParagraph"/>
        <w:numPr>
          <w:ilvl w:val="0"/>
          <w:numId w:val="3"/>
        </w:numPr>
        <w:spacing w:after="200"/>
      </w:pPr>
      <w:r w:rsidRPr="004E01D7">
        <w:t>Submission of Data for All-Payer QP Determinations</w:t>
      </w:r>
      <w:r w:rsidR="00BB0598">
        <w:t xml:space="preserve"> Framework for Understanding the Burden of MIPS Data Submission</w:t>
      </w:r>
    </w:p>
    <w:p w:rsidR="00EB46CF" w:rsidP="003507A9" w:rsidRDefault="00E677CC" w14:paraId="15D02F5E" w14:textId="1910D10D">
      <w:pPr>
        <w:spacing w:after="200"/>
      </w:pPr>
      <w:r>
        <w:t>In the below tables t</w:t>
      </w:r>
      <w:r w:rsidR="00EF2697">
        <w:t>hat d</w:t>
      </w:r>
      <w:r>
        <w:t>escribe our calculations for each ICR</w:t>
      </w:r>
      <w:r w:rsidR="00EF2697">
        <w:t xml:space="preserve"> throughout Section 12</w:t>
      </w:r>
      <w:r>
        <w:t>, d</w:t>
      </w:r>
      <w:r w:rsidRPr="00E677CC">
        <w:t>ue to burden for certain activities being estimated in fractions of hours, totals may not reflect the sum of individual rows due to rounding.</w:t>
      </w:r>
    </w:p>
    <w:p w:rsidRPr="00041A6A" w:rsidR="00BB0598" w:rsidP="003D552B" w:rsidRDefault="0004680F" w14:paraId="37072A9E" w14:textId="6AB4AC07">
      <w:pPr>
        <w:pStyle w:val="Heading3"/>
      </w:pPr>
      <w:r w:rsidRPr="00041A6A">
        <w:lastRenderedPageBreak/>
        <w:t>Burden for Third Party Reporting</w:t>
      </w:r>
    </w:p>
    <w:p w:rsidR="00A14D2B" w:rsidP="00730BEF" w:rsidRDefault="00A14D2B" w14:paraId="1E1876A5" w14:textId="3441ECE3">
      <w:r>
        <w:rPr>
          <w:rStyle w:val="normaltextrun"/>
          <w:color w:val="000000"/>
          <w:shd w:val="clear" w:color="auto" w:fill="FFFFFF"/>
        </w:rPr>
        <w:t>In this rule, we propose changes in our existing approach to capture the estimated burden for third party intermediaries. In the CY 2022 PFS final rule, for the burden related to the third party intermediaries, we combined the burden associated with the submission of targeted audits, corrective action plans, participation plans and transition plans under the ICRs for QCDR and qualified registry self-nomination process (86 FR 65569 through 65573 and 86 FR 65573 through 65576).</w:t>
      </w:r>
      <w:r w:rsidR="0065528E">
        <w:rPr>
          <w:rStyle w:val="normaltextrun"/>
          <w:color w:val="000000"/>
          <w:shd w:val="clear" w:color="auto" w:fill="FFFFFF"/>
        </w:rPr>
        <w:t xml:space="preserve"> Specifically, w</w:t>
      </w:r>
      <w:r w:rsidRPr="0065528E" w:rsidR="0065528E">
        <w:rPr>
          <w:rStyle w:val="normaltextrun"/>
          <w:color w:val="000000"/>
          <w:shd w:val="clear" w:color="auto" w:fill="FFFFFF"/>
        </w:rPr>
        <w:t>e propose to separate the burden for submission of the targeted audits and other plans listed above under the ICR for third party intermediary plan audits</w:t>
      </w:r>
      <w:r w:rsidR="0012571E">
        <w:rPr>
          <w:rStyle w:val="normaltextrun"/>
          <w:color w:val="000000"/>
          <w:shd w:val="clear" w:color="auto" w:fill="FFFFFF"/>
        </w:rPr>
        <w:t xml:space="preserve">. </w:t>
      </w:r>
      <w:r w:rsidRPr="0012571E" w:rsidR="0012571E">
        <w:rPr>
          <w:rStyle w:val="normaltextrun"/>
          <w:color w:val="000000"/>
          <w:shd w:val="clear" w:color="auto" w:fill="FFFFFF"/>
        </w:rPr>
        <w:t>We believe that the proposed change would more accurately capture the associated burden for the QCDR and qualified registry self-nomination process because not every QCDR and qualified registry that submits a self-nomination application would also submit a targeted audit, corrective action plan (CAP), participation plan, or a transition plan. This change is not due to any proposed policies related to third party intermediaries in this rule, rather it is a change in representing the estimated burden from adopted policies.</w:t>
      </w:r>
    </w:p>
    <w:p w:rsidRPr="0004680F" w:rsidR="0004680F" w:rsidP="00730BEF" w:rsidRDefault="00B4313F" w14:paraId="0C6A94E8" w14:textId="21F52ED1">
      <w:r w:rsidRPr="00B4313F">
        <w:t>Under MIPS, the quality, Promoting Interoperability, and improvement activities performance category data may be submitted via relevant third-party intermediaries, such as qualified registries, QCDRs, and health IT vendors. Data on the CAHPS for MIPS survey, which counts as either one quality performance category measure, or towards an improvement activity, can be submitted via CMS-approved survey vendors. Entities seeking approval to submit data on behalf of clinicians as a qualified registry, QCDR, or survey vendor must complete a self-nominat</w:t>
      </w:r>
      <w:r w:rsidR="004F502E">
        <w:t>ion</w:t>
      </w:r>
      <w:r w:rsidRPr="00B4313F">
        <w:t xml:space="preserve"> process annually. The processes for self-nomination for entities seeking approval as qualified registries and QCDRs are similar with the exception that QCDRs have the option to nominate QCDR measures for approval for the reporting of quality performance category data. Therefore, differences between QCDRs and qualified registry self-nomination are associated with the preparation of QCDR measures for approval. </w:t>
      </w:r>
      <w:r w:rsidRPr="00AD3EE3" w:rsidR="00C166D7">
        <w:rPr>
          <w:rFonts w:eastAsia="Calibri"/>
        </w:rPr>
        <w:t>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Pr="00041A6A" w:rsidR="00CB1502" w:rsidP="003D552B" w:rsidRDefault="00691412" w14:paraId="2D8FC7D3" w14:textId="76783159">
      <w:pPr>
        <w:pStyle w:val="Heading4"/>
      </w:pPr>
      <w:r>
        <w:t xml:space="preserve">      </w:t>
      </w:r>
      <w:r w:rsidRPr="00041A6A" w:rsidR="0004680F">
        <w:t>Burden for Qualified Registry Se</w:t>
      </w:r>
      <w:r w:rsidRPr="000E7E06" w:rsidR="0004680F">
        <w:t>lf-Nomination</w:t>
      </w:r>
      <w:r w:rsidRPr="000E7E06" w:rsidR="001351E4">
        <w:t xml:space="preserve"> </w:t>
      </w:r>
      <w:r w:rsidR="00E770C9">
        <w:br/>
      </w:r>
      <w:r w:rsidRPr="000E7E06" w:rsidR="001351E4">
        <w:t>and other Requirements</w:t>
      </w:r>
    </w:p>
    <w:p w:rsidRPr="0076539F" w:rsidR="0076539F" w:rsidP="00730BEF" w:rsidRDefault="0076539F" w14:paraId="3C642C85" w14:textId="06CDED51">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rsidR="0076539F" w:rsidP="00730BEF" w:rsidRDefault="00F46F1D" w14:paraId="6A0CBD43" w14:textId="28419F9D">
      <w:pPr>
        <w:rPr>
          <w:rFonts w:eastAsia="Calibri"/>
        </w:rPr>
      </w:pPr>
      <w:r>
        <w:rPr>
          <w:rFonts w:eastAsia="Calibri"/>
        </w:rPr>
        <w:t>P</w:t>
      </w:r>
      <w:r w:rsidRPr="006C31CB" w:rsidR="006C31CB">
        <w:rPr>
          <w:rFonts w:eastAsia="Calibri"/>
        </w:rPr>
        <w:t xml:space="preserve">reviously approved qualified registries in good standing (i.e., that are not on probation or disqualified)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56224C" w:rsidP="00730BEF" w:rsidRDefault="0009503C" w14:paraId="19260656" w14:textId="66A54CC1">
      <w:pPr>
        <w:rPr>
          <w:rFonts w:eastAsia="Calibri"/>
        </w:rPr>
      </w:pPr>
      <w:r>
        <w:t>W</w:t>
      </w:r>
      <w:r w:rsidR="00C8411E">
        <w:t xml:space="preserve">e </w:t>
      </w:r>
      <w:r>
        <w:t>estimate</w:t>
      </w:r>
      <w:r w:rsidR="00C8411E">
        <w:t xml:space="preserve"> </w:t>
      </w:r>
      <w:r w:rsidR="00BD3C17">
        <w:t xml:space="preserve">that 160 qualified registries </w:t>
      </w:r>
      <w:r w:rsidR="00C8411E">
        <w:t xml:space="preserve">will self-nominate </w:t>
      </w:r>
      <w:r w:rsidR="0063000D">
        <w:t xml:space="preserve">during the CY 2022 self-nomination period </w:t>
      </w:r>
      <w:r w:rsidR="00C8411E">
        <w:t>for the CY</w:t>
      </w:r>
      <w:r w:rsidR="00716461">
        <w:t xml:space="preserve"> </w:t>
      </w:r>
      <w:r w:rsidR="00C8411E">
        <w:t>202</w:t>
      </w:r>
      <w:r w:rsidR="007005D0">
        <w:t>3</w:t>
      </w:r>
      <w:r w:rsidR="00C8411E">
        <w:t xml:space="preserve"> performance period/202</w:t>
      </w:r>
      <w:r w:rsidR="007005D0">
        <w:t>5</w:t>
      </w:r>
      <w:r w:rsidR="00C8411E">
        <w:t xml:space="preserve"> MIPS payment year</w:t>
      </w:r>
      <w:r w:rsidR="00BD3C17">
        <w:t>.</w:t>
      </w:r>
      <w:r w:rsidR="00716461">
        <w:t xml:space="preserve"> </w:t>
      </w:r>
      <w:r w:rsidRPr="00B80F1E" w:rsidR="00B80F1E">
        <w:t>We assume that the staff involved in the qualified registry self-nomination process will continue to be computer systems analysts or their equivalent, who have an average labor rate of $9</w:t>
      </w:r>
      <w:r w:rsidR="00215493">
        <w:t>8</w:t>
      </w:r>
      <w:r w:rsidRPr="00B80F1E" w:rsidR="00B80F1E">
        <w:t>.2</w:t>
      </w:r>
      <w:r w:rsidR="00215493">
        <w:t>8</w:t>
      </w:r>
      <w:r w:rsidRPr="00B80F1E" w:rsidR="00B80F1E">
        <w:t xml:space="preserve">/hr. </w:t>
      </w:r>
      <w:r w:rsidR="00177540">
        <w:t xml:space="preserve">Using </w:t>
      </w:r>
      <w:r w:rsidR="008F7428">
        <w:t xml:space="preserve">the </w:t>
      </w:r>
      <w:r w:rsidR="00177540">
        <w:t xml:space="preserve">unchanged </w:t>
      </w:r>
      <w:r w:rsidR="00C8411E">
        <w:t>estimate</w:t>
      </w:r>
      <w:r w:rsidR="008F7428">
        <w:t>d</w:t>
      </w:r>
      <w:r w:rsidR="00177540">
        <w:t xml:space="preserve"> hourly</w:t>
      </w:r>
      <w:r w:rsidR="00C8411E">
        <w:rPr>
          <w:rFonts w:eastAsia="Calibri"/>
        </w:rPr>
        <w:t xml:space="preserve"> burden per respondent</w:t>
      </w:r>
      <w:r w:rsidR="00531444">
        <w:rPr>
          <w:rFonts w:eastAsia="Calibri"/>
        </w:rPr>
        <w:t xml:space="preserve"> </w:t>
      </w:r>
      <w:r w:rsidR="001E4BF5">
        <w:rPr>
          <w:rFonts w:eastAsia="Calibri"/>
        </w:rPr>
        <w:t>ra</w:t>
      </w:r>
      <w:r w:rsidR="00177540">
        <w:rPr>
          <w:rFonts w:eastAsia="Calibri"/>
        </w:rPr>
        <w:t>nging</w:t>
      </w:r>
      <w:r w:rsidR="001E4BF5">
        <w:rPr>
          <w:rFonts w:eastAsia="Calibri"/>
        </w:rPr>
        <w:t xml:space="preserve"> </w:t>
      </w:r>
      <w:r w:rsidR="00E745FA">
        <w:rPr>
          <w:rFonts w:eastAsia="Calibri"/>
        </w:rPr>
        <w:t xml:space="preserve">from </w:t>
      </w:r>
      <w:r w:rsidR="00C8411E">
        <w:rPr>
          <w:rFonts w:eastAsia="Calibri"/>
        </w:rPr>
        <w:t>0.5 hours for the simplified self-</w:t>
      </w:r>
      <w:r w:rsidR="00C8411E">
        <w:rPr>
          <w:rFonts w:eastAsia="Calibri"/>
        </w:rPr>
        <w:lastRenderedPageBreak/>
        <w:t xml:space="preserve">nomination form to </w:t>
      </w:r>
      <w:r w:rsidR="006A6B9B">
        <w:rPr>
          <w:rFonts w:eastAsia="Calibri"/>
        </w:rPr>
        <w:t>2</w:t>
      </w:r>
      <w:r w:rsidR="00C8411E">
        <w:rPr>
          <w:rFonts w:eastAsia="Calibri"/>
        </w:rPr>
        <w:t xml:space="preserve"> hours for the full self-nomination form</w:t>
      </w:r>
      <w:r w:rsidR="004A4ADA">
        <w:rPr>
          <w:rFonts w:eastAsia="Calibri"/>
        </w:rPr>
        <w:t xml:space="preserve"> and accounting for the estimated increase in the number of qualified registries that would submit a self-nomination application</w:t>
      </w:r>
      <w:r w:rsidR="00177540">
        <w:rPr>
          <w:rFonts w:eastAsia="Calibri"/>
        </w:rPr>
        <w:t>,</w:t>
      </w:r>
      <w:r w:rsidRPr="00094949" w:rsidR="00C8411E">
        <w:rPr>
          <w:rFonts w:eastAsia="Calibri"/>
        </w:rPr>
        <w:t xml:space="preserve"> </w:t>
      </w:r>
      <w:r w:rsidR="00177540">
        <w:rPr>
          <w:rFonts w:eastAsia="Calibri"/>
        </w:rPr>
        <w:t>w</w:t>
      </w:r>
      <w:r w:rsidRPr="00977610" w:rsidR="004E4008">
        <w:rPr>
          <w:rFonts w:eastAsia="Calibri"/>
        </w:rPr>
        <w:t xml:space="preserve">e estimate that the annual burden will range from </w:t>
      </w:r>
      <w:r w:rsidR="00D35AF4">
        <w:rPr>
          <w:rFonts w:eastAsia="Calibri"/>
        </w:rPr>
        <w:t>80</w:t>
      </w:r>
      <w:r w:rsidRPr="00977610" w:rsidR="004E4008">
        <w:rPr>
          <w:rFonts w:eastAsia="Calibri"/>
        </w:rPr>
        <w:t xml:space="preserve"> hours (</w:t>
      </w:r>
      <w:r w:rsidR="00263F15">
        <w:rPr>
          <w:rFonts w:eastAsia="Calibri"/>
        </w:rPr>
        <w:t>1</w:t>
      </w:r>
      <w:r w:rsidR="00D35AF4">
        <w:rPr>
          <w:rFonts w:eastAsia="Calibri"/>
        </w:rPr>
        <w:t>60</w:t>
      </w:r>
      <w:r w:rsidR="004E4008">
        <w:rPr>
          <w:rFonts w:eastAsia="Calibri"/>
        </w:rPr>
        <w:t xml:space="preserve"> </w:t>
      </w:r>
      <w:r w:rsidRPr="00977610" w:rsidR="004E4008">
        <w:rPr>
          <w:rFonts w:eastAsia="Calibri"/>
        </w:rPr>
        <w:t xml:space="preserve">qualified registries x 0.5 </w:t>
      </w:r>
      <w:proofErr w:type="spellStart"/>
      <w:r w:rsidRPr="00977610" w:rsidR="004E4008">
        <w:rPr>
          <w:rFonts w:eastAsia="Calibri"/>
        </w:rPr>
        <w:t>hr</w:t>
      </w:r>
      <w:proofErr w:type="spellEnd"/>
      <w:r w:rsidRPr="00977610" w:rsidR="004E4008">
        <w:rPr>
          <w:rFonts w:eastAsia="Calibri"/>
        </w:rPr>
        <w:t xml:space="preserve">) </w:t>
      </w:r>
      <w:r w:rsidR="00355D36">
        <w:rPr>
          <w:rFonts w:eastAsia="Calibri"/>
        </w:rPr>
        <w:t>at a cost of $</w:t>
      </w:r>
      <w:r w:rsidR="009563D5">
        <w:rPr>
          <w:rFonts w:eastAsia="Calibri"/>
        </w:rPr>
        <w:t>7,</w:t>
      </w:r>
      <w:r w:rsidR="00D35AF4">
        <w:rPr>
          <w:rFonts w:eastAsia="Calibri"/>
        </w:rPr>
        <w:t>862</w:t>
      </w:r>
      <w:r w:rsidR="00355D36">
        <w:rPr>
          <w:rFonts w:eastAsia="Calibri"/>
        </w:rPr>
        <w:t xml:space="preserve"> (</w:t>
      </w:r>
      <w:r w:rsidR="00D35AF4">
        <w:rPr>
          <w:rFonts w:eastAsia="Calibri"/>
        </w:rPr>
        <w:t>80</w:t>
      </w:r>
      <w:r w:rsidR="00355D36">
        <w:rPr>
          <w:rFonts w:eastAsia="Calibri"/>
        </w:rPr>
        <w:t xml:space="preserve"> </w:t>
      </w:r>
      <w:proofErr w:type="spellStart"/>
      <w:r w:rsidR="00355D36">
        <w:rPr>
          <w:rFonts w:eastAsia="Calibri"/>
        </w:rPr>
        <w:t>hr</w:t>
      </w:r>
      <w:proofErr w:type="spellEnd"/>
      <w:r w:rsidR="00355D36">
        <w:rPr>
          <w:rFonts w:eastAsia="Calibri"/>
        </w:rPr>
        <w:t xml:space="preserve"> </w:t>
      </w:r>
      <w:r w:rsidRPr="008A1AAE" w:rsidR="008A1AAE">
        <w:rPr>
          <w:rFonts w:eastAsia="Calibri"/>
        </w:rPr>
        <w:t>x $9</w:t>
      </w:r>
      <w:r w:rsidR="00D35AF4">
        <w:rPr>
          <w:rFonts w:eastAsia="Calibri"/>
        </w:rPr>
        <w:t>8</w:t>
      </w:r>
      <w:r w:rsidRPr="008A1AAE" w:rsidR="008A1AAE">
        <w:rPr>
          <w:rFonts w:eastAsia="Calibri"/>
        </w:rPr>
        <w:t>.2</w:t>
      </w:r>
      <w:r w:rsidR="00D35AF4">
        <w:rPr>
          <w:rFonts w:eastAsia="Calibri"/>
        </w:rPr>
        <w:t>8</w:t>
      </w:r>
      <w:r w:rsidRPr="008A1AAE" w:rsidR="008A1AAE">
        <w:rPr>
          <w:rFonts w:eastAsia="Calibri"/>
        </w:rPr>
        <w:t>/</w:t>
      </w:r>
      <w:proofErr w:type="spellStart"/>
      <w:r w:rsidRPr="008A1AAE" w:rsidR="008A1AAE">
        <w:rPr>
          <w:rFonts w:eastAsia="Calibri"/>
        </w:rPr>
        <w:t>hr</w:t>
      </w:r>
      <w:proofErr w:type="spellEnd"/>
      <w:r w:rsidR="00355D36">
        <w:rPr>
          <w:rFonts w:eastAsia="Calibri"/>
        </w:rPr>
        <w:t>)</w:t>
      </w:r>
      <w:r w:rsidR="008A1AAE">
        <w:rPr>
          <w:rFonts w:eastAsia="Calibri"/>
        </w:rPr>
        <w:t xml:space="preserve"> </w:t>
      </w:r>
      <w:r w:rsidRPr="00977610" w:rsidR="004E4008">
        <w:rPr>
          <w:rFonts w:eastAsia="Calibri"/>
        </w:rPr>
        <w:t xml:space="preserve">to </w:t>
      </w:r>
      <w:r w:rsidR="00423220">
        <w:rPr>
          <w:rFonts w:eastAsia="Calibri"/>
        </w:rPr>
        <w:t>320</w:t>
      </w:r>
      <w:r w:rsidRPr="00977610" w:rsidR="004E4008">
        <w:rPr>
          <w:rFonts w:eastAsia="Calibri"/>
        </w:rPr>
        <w:t xml:space="preserve"> hours (</w:t>
      </w:r>
      <w:r w:rsidR="009563D5">
        <w:rPr>
          <w:rFonts w:eastAsia="Calibri"/>
        </w:rPr>
        <w:t>1</w:t>
      </w:r>
      <w:r w:rsidR="00423220">
        <w:rPr>
          <w:rFonts w:eastAsia="Calibri"/>
        </w:rPr>
        <w:t>60</w:t>
      </w:r>
      <w:r w:rsidRPr="00977610" w:rsidR="004E4008">
        <w:rPr>
          <w:rFonts w:eastAsia="Calibri"/>
        </w:rPr>
        <w:t xml:space="preserve"> qualified registries x </w:t>
      </w:r>
      <w:r w:rsidR="004E4008">
        <w:rPr>
          <w:rFonts w:eastAsia="Calibri"/>
        </w:rPr>
        <w:t>2</w:t>
      </w:r>
      <w:r w:rsidRPr="00977610" w:rsidR="004E4008">
        <w:rPr>
          <w:rFonts w:eastAsia="Calibri"/>
        </w:rPr>
        <w:t xml:space="preserve"> </w:t>
      </w:r>
      <w:proofErr w:type="spellStart"/>
      <w:r w:rsidRPr="00977610" w:rsidR="004E4008">
        <w:rPr>
          <w:rFonts w:eastAsia="Calibri"/>
        </w:rPr>
        <w:t>hr</w:t>
      </w:r>
      <w:proofErr w:type="spellEnd"/>
      <w:r w:rsidRPr="00977610" w:rsidR="004E4008">
        <w:rPr>
          <w:rFonts w:eastAsia="Calibri"/>
        </w:rPr>
        <w:t xml:space="preserve">) at a cost </w:t>
      </w:r>
      <w:r w:rsidR="00C034E9">
        <w:rPr>
          <w:rFonts w:eastAsia="Calibri"/>
        </w:rPr>
        <w:t xml:space="preserve">of </w:t>
      </w:r>
      <w:r w:rsidRPr="00977610" w:rsidR="004E4008">
        <w:rPr>
          <w:rFonts w:eastAsia="Calibri"/>
        </w:rPr>
        <w:t>$</w:t>
      </w:r>
      <w:r w:rsidR="00423220">
        <w:rPr>
          <w:rFonts w:eastAsia="Calibri"/>
        </w:rPr>
        <w:t>31,450</w:t>
      </w:r>
      <w:r w:rsidRPr="00977610" w:rsidR="004E4008">
        <w:rPr>
          <w:rFonts w:eastAsia="Calibri"/>
        </w:rPr>
        <w:t xml:space="preserve"> (</w:t>
      </w:r>
      <w:r w:rsidR="00423220">
        <w:rPr>
          <w:rFonts w:eastAsia="Calibri"/>
        </w:rPr>
        <w:t>320</w:t>
      </w:r>
      <w:r w:rsidRPr="00977610" w:rsidR="004E4008">
        <w:rPr>
          <w:rFonts w:eastAsia="Calibri"/>
        </w:rPr>
        <w:t xml:space="preserve"> </w:t>
      </w:r>
      <w:proofErr w:type="spellStart"/>
      <w:r w:rsidRPr="00977610" w:rsidR="004E4008">
        <w:rPr>
          <w:rFonts w:eastAsia="Calibri"/>
        </w:rPr>
        <w:t>hr</w:t>
      </w:r>
      <w:proofErr w:type="spellEnd"/>
      <w:r w:rsidRPr="00977610" w:rsidR="004E4008">
        <w:rPr>
          <w:rFonts w:eastAsia="Calibri"/>
        </w:rPr>
        <w:t xml:space="preserve"> </w:t>
      </w:r>
      <w:bookmarkStart w:name="_Hlk75793569" w:id="3"/>
      <w:r w:rsidRPr="00977610" w:rsidR="004E4008">
        <w:rPr>
          <w:rFonts w:eastAsia="Calibri"/>
        </w:rPr>
        <w:t>x $9</w:t>
      </w:r>
      <w:r w:rsidR="00423220">
        <w:rPr>
          <w:rFonts w:eastAsia="Calibri"/>
        </w:rPr>
        <w:t>8</w:t>
      </w:r>
      <w:r w:rsidR="004E4008">
        <w:rPr>
          <w:rFonts w:eastAsia="Calibri"/>
        </w:rPr>
        <w:t>.2</w:t>
      </w:r>
      <w:r w:rsidR="00423220">
        <w:rPr>
          <w:rFonts w:eastAsia="Calibri"/>
        </w:rPr>
        <w:t>8</w:t>
      </w:r>
      <w:r w:rsidRPr="00977610" w:rsidR="004E4008">
        <w:rPr>
          <w:rFonts w:eastAsia="Calibri"/>
        </w:rPr>
        <w:t>/</w:t>
      </w:r>
      <w:proofErr w:type="spellStart"/>
      <w:r w:rsidRPr="00977610" w:rsidR="004E4008">
        <w:rPr>
          <w:rFonts w:eastAsia="Calibri"/>
        </w:rPr>
        <w:t>hr</w:t>
      </w:r>
      <w:bookmarkEnd w:id="3"/>
      <w:proofErr w:type="spellEnd"/>
      <w:r w:rsidRPr="00977610" w:rsidR="004E4008">
        <w:rPr>
          <w:rFonts w:eastAsia="Calibri"/>
        </w:rPr>
        <w:t>)</w:t>
      </w:r>
      <w:r w:rsidR="00226EB4">
        <w:rPr>
          <w:rFonts w:eastAsia="Calibri"/>
        </w:rPr>
        <w:t xml:space="preserve"> for the simplified </w:t>
      </w:r>
      <w:r w:rsidR="00CF261C">
        <w:rPr>
          <w:rFonts w:eastAsia="Calibri"/>
        </w:rPr>
        <w:t>and full self-nomination process, respectively</w:t>
      </w:r>
      <w:r w:rsidR="00123B05">
        <w:rPr>
          <w:rFonts w:eastAsia="Calibri"/>
        </w:rPr>
        <w:t xml:space="preserve"> (See table 3)</w:t>
      </w:r>
      <w:r w:rsidR="003A1091">
        <w:rPr>
          <w:rFonts w:eastAsia="Calibri"/>
        </w:rPr>
        <w:t>.</w:t>
      </w:r>
      <w:r w:rsidRPr="00977610" w:rsidR="004E4008">
        <w:rPr>
          <w:rFonts w:eastAsia="Calibri"/>
        </w:rPr>
        <w:t xml:space="preserve"> </w:t>
      </w:r>
    </w:p>
    <w:p w:rsidRPr="00640806" w:rsidR="00640806" w:rsidP="00730BEF" w:rsidRDefault="00C8411E" w14:paraId="644E040E" w14:textId="20DDBAC9">
      <w:pPr>
        <w:rPr>
          <w:rFonts w:eastAsia="Calibri"/>
        </w:rPr>
      </w:pPr>
      <w:r w:rsidRPr="009D25D0">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QPP Self-Nomination Form is submitted electronically using a web-based tool.</w:t>
      </w:r>
      <w:r>
        <w:rPr>
          <w:rFonts w:eastAsia="Calibri"/>
        </w:rPr>
        <w:t xml:space="preserve"> </w:t>
      </w:r>
      <w:r w:rsidRPr="009D25D0">
        <w:rPr>
          <w:rFonts w:eastAsia="Calibri"/>
        </w:rPr>
        <w:t>We will be submitting a revised version of the form for approval under OMB control number 0938-1314 (CMS-10621).</w:t>
      </w:r>
      <w:r>
        <w:rPr>
          <w:rFonts w:eastAsia="Calibri"/>
        </w:rPr>
        <w:t xml:space="preserve"> </w:t>
      </w:r>
      <w:r w:rsidRPr="00514BE6" w:rsidR="00514BE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w:t>
      </w:r>
      <w:r w:rsidR="00AD09B2">
        <w:rPr>
          <w:rFonts w:eastAsia="Calibri"/>
        </w:rPr>
        <w:t xml:space="preserve">as </w:t>
      </w:r>
      <w:r w:rsidRPr="00514BE6" w:rsidR="00514BE6">
        <w:rPr>
          <w:rFonts w:eastAsia="Calibri"/>
        </w:rPr>
        <w:t xml:space="preserve">shown in Table </w:t>
      </w:r>
      <w:r w:rsidR="00640806">
        <w:rPr>
          <w:rFonts w:eastAsia="Calibri"/>
        </w:rPr>
        <w:t>3</w:t>
      </w:r>
      <w:r w:rsidR="00AD09B2">
        <w:rPr>
          <w:rFonts w:eastAsia="Calibri"/>
        </w:rPr>
        <w:t xml:space="preserve">, </w:t>
      </w:r>
      <w:r w:rsidR="006D2541">
        <w:rPr>
          <w:rFonts w:eastAsia="Calibri"/>
        </w:rPr>
        <w:t xml:space="preserve">the </w:t>
      </w:r>
      <w:r w:rsidR="0090545A">
        <w:rPr>
          <w:rFonts w:eastAsia="Calibri"/>
        </w:rPr>
        <w:t>320</w:t>
      </w:r>
      <w:r w:rsidR="001F4DAF">
        <w:rPr>
          <w:rFonts w:eastAsia="Calibri"/>
        </w:rPr>
        <w:t>-hour</w:t>
      </w:r>
      <w:r w:rsidR="004B4C85">
        <w:rPr>
          <w:rFonts w:eastAsia="Calibri"/>
        </w:rPr>
        <w:t xml:space="preserve"> estimate</w:t>
      </w:r>
      <w:r w:rsidRPr="00640806" w:rsidR="00640806">
        <w:rPr>
          <w:rFonts w:eastAsia="Calibri"/>
        </w:rPr>
        <w:t xml:space="preserve"> represent</w:t>
      </w:r>
      <w:r w:rsidR="004B4C85">
        <w:rPr>
          <w:rFonts w:eastAsia="Calibri"/>
        </w:rPr>
        <w:t>s</w:t>
      </w:r>
      <w:r w:rsidRPr="00640806" w:rsidR="00640806">
        <w:rPr>
          <w:rFonts w:eastAsia="Calibri"/>
        </w:rPr>
        <w:t xml:space="preserve"> the upper bound for qualified registry burden, with the potential for less additional MIPS burden if the qualified registry already provides similar data submission services.</w:t>
      </w:r>
    </w:p>
    <w:p w:rsidR="00CF1883" w:rsidP="00730BEF" w:rsidRDefault="0076539F" w14:paraId="24B64F3C" w14:textId="3CA94AB4">
      <w:pPr>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rsidRPr="00C47150" w:rsidR="00B05B18" w:rsidP="008F4B62" w:rsidRDefault="00B05B18" w14:paraId="1D6183E4" w14:textId="6C4A5895">
      <w:pPr>
        <w:spacing w:after="0"/>
        <w:jc w:val="center"/>
        <w:rPr>
          <w:b/>
          <w:bCs/>
        </w:rPr>
      </w:pPr>
      <w:r w:rsidRPr="00C47150">
        <w:rPr>
          <w:b/>
          <w:bCs/>
        </w:rPr>
        <w:t xml:space="preserve">TABLE </w:t>
      </w:r>
      <w:r>
        <w:rPr>
          <w:b/>
          <w:bCs/>
        </w:rPr>
        <w:t>3</w:t>
      </w:r>
      <w:r w:rsidRPr="00C47150">
        <w:rPr>
          <w:b/>
          <w:bCs/>
        </w:rPr>
        <w:t xml:space="preserve">: </w:t>
      </w:r>
      <w:r w:rsidRPr="00732012">
        <w:rPr>
          <w:b/>
          <w:bCs/>
        </w:rPr>
        <w:t xml:space="preserve">Estimated </w:t>
      </w:r>
      <w:r w:rsidRPr="00C47150">
        <w:rPr>
          <w:b/>
          <w:bCs/>
        </w:rPr>
        <w:t>Burden for Qualified Registry Self-Nomination</w:t>
      </w:r>
      <w:r w:rsidR="00473661">
        <w:rPr>
          <w:b/>
          <w:bCs/>
        </w:rPr>
        <w:t xml:space="preserve"> </w:t>
      </w:r>
    </w:p>
    <w:tbl>
      <w:tblPr>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10"/>
        <w:gridCol w:w="1530"/>
        <w:gridCol w:w="1170"/>
      </w:tblGrid>
      <w:tr w:rsidRPr="00C47150" w:rsidR="00D95EF7" w:rsidTr="00D11F3C" w14:paraId="189B07F8" w14:textId="77777777">
        <w:trPr>
          <w:trHeight w:val="540"/>
          <w:tblHeader/>
        </w:trPr>
        <w:tc>
          <w:tcPr>
            <w:tcW w:w="7010" w:type="dxa"/>
            <w:shd w:val="clear" w:color="auto" w:fill="auto"/>
            <w:vAlign w:val="center"/>
          </w:tcPr>
          <w:p w:rsidRPr="00B05B18" w:rsidR="00D95EF7" w:rsidP="00D95EF7" w:rsidRDefault="00050464" w14:paraId="410D7BE6" w14:textId="0410811C">
            <w:pPr>
              <w:spacing w:after="0"/>
              <w:rPr>
                <w:b/>
                <w:sz w:val="20"/>
                <w:szCs w:val="20"/>
              </w:rPr>
            </w:pPr>
            <w:r>
              <w:rPr>
                <w:b/>
                <w:sz w:val="20"/>
                <w:szCs w:val="20"/>
              </w:rPr>
              <w:t>Burden and Respondent Descriptions</w:t>
            </w:r>
          </w:p>
        </w:tc>
        <w:tc>
          <w:tcPr>
            <w:tcW w:w="1530" w:type="dxa"/>
            <w:vAlign w:val="center"/>
          </w:tcPr>
          <w:p w:rsidRPr="007C52BE" w:rsidR="00D95EF7" w:rsidP="00D95EF7" w:rsidRDefault="00D95EF7" w14:paraId="3D56F7A1" w14:textId="610465B4">
            <w:pPr>
              <w:spacing w:after="0"/>
              <w:jc w:val="center"/>
              <w:rPr>
                <w:b/>
                <w:bCs/>
                <w:sz w:val="20"/>
                <w:szCs w:val="20"/>
              </w:rPr>
            </w:pPr>
            <w:r w:rsidRPr="00871E51">
              <w:rPr>
                <w:rFonts w:eastAsia="Calibri"/>
                <w:b/>
                <w:bCs/>
                <w:sz w:val="20"/>
                <w:szCs w:val="20"/>
              </w:rPr>
              <w:t>Minimum</w:t>
            </w:r>
            <w:r w:rsidR="00DD0D93">
              <w:rPr>
                <w:rFonts w:eastAsia="Calibri"/>
                <w:b/>
                <w:bCs/>
                <w:sz w:val="20"/>
                <w:szCs w:val="20"/>
              </w:rPr>
              <w:t xml:space="preserve"> Burden Estimate</w:t>
            </w:r>
          </w:p>
        </w:tc>
        <w:tc>
          <w:tcPr>
            <w:tcW w:w="1170" w:type="dxa"/>
            <w:shd w:val="clear" w:color="auto" w:fill="auto"/>
            <w:vAlign w:val="center"/>
          </w:tcPr>
          <w:p w:rsidRPr="007C52BE" w:rsidR="00D95EF7" w:rsidP="00D95EF7" w:rsidRDefault="00D95EF7" w14:paraId="4C66A37E" w14:textId="04802469">
            <w:pPr>
              <w:spacing w:after="0"/>
              <w:jc w:val="center"/>
              <w:rPr>
                <w:b/>
                <w:bCs/>
                <w:sz w:val="20"/>
                <w:szCs w:val="20"/>
              </w:rPr>
            </w:pPr>
            <w:r w:rsidRPr="00871E51">
              <w:rPr>
                <w:rFonts w:eastAsia="Calibri"/>
                <w:b/>
                <w:bCs/>
                <w:sz w:val="20"/>
                <w:szCs w:val="20"/>
              </w:rPr>
              <w:t>Maximum</w:t>
            </w:r>
            <w:r w:rsidR="00DD0D93">
              <w:rPr>
                <w:rFonts w:eastAsia="Calibri"/>
                <w:b/>
                <w:bCs/>
                <w:sz w:val="20"/>
                <w:szCs w:val="20"/>
              </w:rPr>
              <w:t xml:space="preserve"> Burden Estimate</w:t>
            </w:r>
          </w:p>
        </w:tc>
      </w:tr>
      <w:tr w:rsidRPr="00C47150" w:rsidR="00D95EF7" w:rsidTr="00D11F3C" w14:paraId="49A15009" w14:textId="77777777">
        <w:trPr>
          <w:trHeight w:val="268"/>
        </w:trPr>
        <w:tc>
          <w:tcPr>
            <w:tcW w:w="7010" w:type="dxa"/>
            <w:shd w:val="clear" w:color="auto" w:fill="auto"/>
          </w:tcPr>
          <w:p w:rsidRPr="007C52BE" w:rsidR="00D95EF7" w:rsidP="00D95EF7" w:rsidRDefault="00D95EF7" w14:paraId="0E8D7DDA" w14:textId="72876B95">
            <w:pPr>
              <w:spacing w:after="0"/>
              <w:rPr>
                <w:sz w:val="20"/>
                <w:szCs w:val="20"/>
              </w:rPr>
            </w:pPr>
            <w:r w:rsidRPr="00871E51">
              <w:rPr>
                <w:rFonts w:eastAsia="Calibri"/>
                <w:sz w:val="20"/>
                <w:szCs w:val="20"/>
              </w:rPr>
              <w:t># of Qualified Registry Simplified Self-Nomination Applications submitted (a)</w:t>
            </w:r>
          </w:p>
        </w:tc>
        <w:tc>
          <w:tcPr>
            <w:tcW w:w="1530" w:type="dxa"/>
            <w:vAlign w:val="center"/>
          </w:tcPr>
          <w:p w:rsidRPr="007C52BE" w:rsidR="00D95EF7" w:rsidP="00D95EF7" w:rsidRDefault="001A1DE5" w14:paraId="6521D5FB" w14:textId="7B3537F3">
            <w:pPr>
              <w:spacing w:after="0"/>
              <w:rPr>
                <w:sz w:val="20"/>
                <w:szCs w:val="20"/>
              </w:rPr>
            </w:pPr>
            <w:r>
              <w:rPr>
                <w:rFonts w:eastAsia="Calibri"/>
                <w:sz w:val="20"/>
                <w:szCs w:val="20"/>
              </w:rPr>
              <w:t>1</w:t>
            </w:r>
            <w:r w:rsidR="003937BB">
              <w:rPr>
                <w:rFonts w:eastAsia="Calibri"/>
                <w:sz w:val="20"/>
                <w:szCs w:val="20"/>
              </w:rPr>
              <w:t>60</w:t>
            </w:r>
          </w:p>
        </w:tc>
        <w:tc>
          <w:tcPr>
            <w:tcW w:w="1170" w:type="dxa"/>
            <w:shd w:val="clear" w:color="auto" w:fill="auto"/>
            <w:vAlign w:val="center"/>
          </w:tcPr>
          <w:p w:rsidRPr="007C52BE" w:rsidR="00D95EF7" w:rsidP="00D95EF7" w:rsidRDefault="00D95EF7" w14:paraId="5E1AEA74" w14:textId="6C66677D">
            <w:pPr>
              <w:spacing w:after="0"/>
              <w:rPr>
                <w:sz w:val="20"/>
                <w:szCs w:val="20"/>
              </w:rPr>
            </w:pPr>
            <w:r w:rsidRPr="00871E51">
              <w:rPr>
                <w:rFonts w:eastAsia="Calibri"/>
                <w:sz w:val="20"/>
                <w:szCs w:val="20"/>
              </w:rPr>
              <w:t>0</w:t>
            </w:r>
          </w:p>
        </w:tc>
      </w:tr>
      <w:tr w:rsidRPr="00C47150" w:rsidR="00D95EF7" w:rsidTr="00D11F3C" w14:paraId="1F32A58C" w14:textId="77777777">
        <w:trPr>
          <w:trHeight w:val="268"/>
        </w:trPr>
        <w:tc>
          <w:tcPr>
            <w:tcW w:w="7010" w:type="dxa"/>
            <w:shd w:val="clear" w:color="auto" w:fill="auto"/>
          </w:tcPr>
          <w:p w:rsidRPr="007C52BE" w:rsidR="00D95EF7" w:rsidP="00D95EF7" w:rsidRDefault="00D95EF7" w14:paraId="4C8858B0" w14:textId="56B7F680">
            <w:pPr>
              <w:spacing w:after="0"/>
              <w:rPr>
                <w:sz w:val="20"/>
                <w:szCs w:val="20"/>
              </w:rPr>
            </w:pPr>
            <w:r w:rsidRPr="00871E51">
              <w:rPr>
                <w:rFonts w:eastAsia="Calibri"/>
                <w:sz w:val="20"/>
                <w:szCs w:val="20"/>
              </w:rPr>
              <w:t># of Qualified Registry Full Self-Nomination Applications submitted (b)</w:t>
            </w:r>
          </w:p>
        </w:tc>
        <w:tc>
          <w:tcPr>
            <w:tcW w:w="1530" w:type="dxa"/>
            <w:vAlign w:val="center"/>
          </w:tcPr>
          <w:p w:rsidRPr="007C52BE" w:rsidR="00D95EF7" w:rsidP="00D95EF7" w:rsidRDefault="00D95EF7" w14:paraId="25BF359A" w14:textId="6A787313">
            <w:pPr>
              <w:spacing w:after="0"/>
              <w:rPr>
                <w:sz w:val="20"/>
                <w:szCs w:val="20"/>
              </w:rPr>
            </w:pPr>
            <w:r w:rsidRPr="00871E51">
              <w:rPr>
                <w:rFonts w:eastAsia="Calibri"/>
                <w:sz w:val="20"/>
                <w:szCs w:val="20"/>
              </w:rPr>
              <w:t>0</w:t>
            </w:r>
          </w:p>
        </w:tc>
        <w:tc>
          <w:tcPr>
            <w:tcW w:w="1170" w:type="dxa"/>
            <w:shd w:val="clear" w:color="auto" w:fill="auto"/>
            <w:vAlign w:val="center"/>
          </w:tcPr>
          <w:p w:rsidRPr="007C52BE" w:rsidR="00D95EF7" w:rsidP="00D95EF7" w:rsidRDefault="001A1DE5" w14:paraId="33780A5F" w14:textId="43B04DCD">
            <w:pPr>
              <w:spacing w:after="0"/>
              <w:rPr>
                <w:sz w:val="20"/>
                <w:szCs w:val="20"/>
              </w:rPr>
            </w:pPr>
            <w:r>
              <w:rPr>
                <w:rFonts w:eastAsia="Calibri"/>
                <w:sz w:val="20"/>
                <w:szCs w:val="20"/>
              </w:rPr>
              <w:t>1</w:t>
            </w:r>
            <w:r w:rsidR="003937BB">
              <w:rPr>
                <w:rFonts w:eastAsia="Calibri"/>
                <w:sz w:val="20"/>
                <w:szCs w:val="20"/>
              </w:rPr>
              <w:t>60</w:t>
            </w:r>
          </w:p>
        </w:tc>
      </w:tr>
      <w:tr w:rsidRPr="00C47150" w:rsidR="00D95EF7" w:rsidTr="00D11F3C" w14:paraId="09F4ED01" w14:textId="77777777">
        <w:trPr>
          <w:trHeight w:val="233"/>
        </w:trPr>
        <w:tc>
          <w:tcPr>
            <w:tcW w:w="7010" w:type="dxa"/>
            <w:shd w:val="clear" w:color="auto" w:fill="D9D9D9" w:themeFill="background1" w:themeFillShade="D9"/>
          </w:tcPr>
          <w:p w:rsidRPr="00270824" w:rsidR="00D95EF7" w:rsidP="00D95EF7" w:rsidRDefault="00D95EF7" w14:paraId="670F51EC" w14:textId="18DD75C6">
            <w:pPr>
              <w:spacing w:after="0"/>
              <w:rPr>
                <w:b/>
                <w:bCs/>
                <w:sz w:val="20"/>
                <w:szCs w:val="20"/>
              </w:rPr>
            </w:pPr>
            <w:r w:rsidRPr="00871E51">
              <w:rPr>
                <w:rFonts w:eastAsia="Calibri"/>
                <w:b/>
                <w:bCs/>
                <w:sz w:val="20"/>
                <w:szCs w:val="20"/>
              </w:rPr>
              <w:t>Total Applications (c)</w:t>
            </w:r>
          </w:p>
        </w:tc>
        <w:tc>
          <w:tcPr>
            <w:tcW w:w="1530" w:type="dxa"/>
            <w:shd w:val="clear" w:color="auto" w:fill="D9D9D9" w:themeFill="background1" w:themeFillShade="D9"/>
            <w:vAlign w:val="center"/>
          </w:tcPr>
          <w:p w:rsidRPr="00270824" w:rsidR="00D95EF7" w:rsidP="00D95EF7" w:rsidRDefault="004751BF" w14:paraId="51C6AFBD" w14:textId="5DA59A4C">
            <w:pPr>
              <w:spacing w:after="0"/>
              <w:rPr>
                <w:rFonts w:eastAsia="Calibri"/>
                <w:b/>
                <w:bCs/>
                <w:sz w:val="20"/>
                <w:szCs w:val="20"/>
              </w:rPr>
            </w:pPr>
            <w:r>
              <w:rPr>
                <w:rFonts w:eastAsia="Calibri"/>
                <w:b/>
                <w:bCs/>
                <w:sz w:val="20"/>
                <w:szCs w:val="20"/>
              </w:rPr>
              <w:t>1</w:t>
            </w:r>
            <w:r w:rsidR="003937BB">
              <w:rPr>
                <w:rFonts w:eastAsia="Calibri"/>
                <w:b/>
                <w:bCs/>
                <w:sz w:val="20"/>
                <w:szCs w:val="20"/>
              </w:rPr>
              <w:t>60</w:t>
            </w:r>
          </w:p>
        </w:tc>
        <w:tc>
          <w:tcPr>
            <w:tcW w:w="1170" w:type="dxa"/>
            <w:shd w:val="clear" w:color="auto" w:fill="D9D9D9" w:themeFill="background1" w:themeFillShade="D9"/>
            <w:vAlign w:val="center"/>
          </w:tcPr>
          <w:p w:rsidRPr="00270824" w:rsidR="00D95EF7" w:rsidP="00D95EF7" w:rsidRDefault="004751BF" w14:paraId="4E50B9CE" w14:textId="351D33DF">
            <w:pPr>
              <w:spacing w:after="0"/>
              <w:rPr>
                <w:rFonts w:eastAsia="Calibri"/>
                <w:b/>
                <w:bCs/>
                <w:sz w:val="20"/>
                <w:szCs w:val="20"/>
              </w:rPr>
            </w:pPr>
            <w:r>
              <w:rPr>
                <w:rFonts w:eastAsia="Calibri"/>
                <w:b/>
                <w:bCs/>
                <w:sz w:val="20"/>
                <w:szCs w:val="20"/>
              </w:rPr>
              <w:t>1</w:t>
            </w:r>
            <w:r w:rsidR="003937BB">
              <w:rPr>
                <w:rFonts w:eastAsia="Calibri"/>
                <w:b/>
                <w:bCs/>
                <w:sz w:val="20"/>
                <w:szCs w:val="20"/>
              </w:rPr>
              <w:t>60</w:t>
            </w:r>
          </w:p>
        </w:tc>
      </w:tr>
      <w:tr w:rsidRPr="00C47150" w:rsidR="00D95EF7" w:rsidTr="00D11F3C" w14:paraId="297B9C60" w14:textId="77777777">
        <w:trPr>
          <w:trHeight w:val="233"/>
        </w:trPr>
        <w:tc>
          <w:tcPr>
            <w:tcW w:w="7010" w:type="dxa"/>
            <w:shd w:val="clear" w:color="auto" w:fill="auto"/>
          </w:tcPr>
          <w:p w:rsidRPr="007C52BE" w:rsidR="00D95EF7" w:rsidP="00D95EF7" w:rsidRDefault="00D95EF7" w14:paraId="7505A6D3" w14:textId="426F22D0">
            <w:pPr>
              <w:spacing w:after="0"/>
              <w:rPr>
                <w:sz w:val="20"/>
                <w:szCs w:val="20"/>
              </w:rPr>
            </w:pPr>
            <w:r w:rsidRPr="00871E51">
              <w:rPr>
                <w:rFonts w:eastAsia="Calibri"/>
                <w:sz w:val="20"/>
                <w:szCs w:val="20"/>
              </w:rPr>
              <w:t>Total Annual Hours Per Qualified Registry for Simplified Process (d)</w:t>
            </w:r>
          </w:p>
        </w:tc>
        <w:tc>
          <w:tcPr>
            <w:tcW w:w="1530" w:type="dxa"/>
            <w:vAlign w:val="center"/>
          </w:tcPr>
          <w:p w:rsidRPr="007C52BE" w:rsidR="00D95EF7" w:rsidP="00D95EF7" w:rsidRDefault="00D95EF7" w14:paraId="74DDEAFB" w14:textId="3C976925">
            <w:pPr>
              <w:spacing w:after="0"/>
              <w:rPr>
                <w:sz w:val="20"/>
                <w:szCs w:val="20"/>
              </w:rPr>
            </w:pPr>
            <w:r w:rsidRPr="00871E51">
              <w:rPr>
                <w:rFonts w:eastAsia="Calibri"/>
                <w:sz w:val="20"/>
                <w:szCs w:val="20"/>
              </w:rPr>
              <w:t>0.5</w:t>
            </w:r>
          </w:p>
        </w:tc>
        <w:tc>
          <w:tcPr>
            <w:tcW w:w="1170" w:type="dxa"/>
            <w:shd w:val="clear" w:color="auto" w:fill="auto"/>
            <w:vAlign w:val="center"/>
          </w:tcPr>
          <w:p w:rsidRPr="007C52BE" w:rsidR="00D95EF7" w:rsidP="00D95EF7" w:rsidRDefault="00D95EF7" w14:paraId="008C829E" w14:textId="17A97348">
            <w:pPr>
              <w:spacing w:after="0"/>
              <w:rPr>
                <w:sz w:val="20"/>
                <w:szCs w:val="20"/>
              </w:rPr>
            </w:pPr>
            <w:r w:rsidRPr="00871E51">
              <w:rPr>
                <w:rFonts w:eastAsia="Calibri"/>
                <w:sz w:val="20"/>
                <w:szCs w:val="20"/>
              </w:rPr>
              <w:t>0</w:t>
            </w:r>
          </w:p>
        </w:tc>
      </w:tr>
      <w:tr w:rsidRPr="00C47150" w:rsidR="00D95EF7" w:rsidTr="00D11F3C" w14:paraId="2957312C" w14:textId="77777777">
        <w:trPr>
          <w:trHeight w:val="233"/>
        </w:trPr>
        <w:tc>
          <w:tcPr>
            <w:tcW w:w="7010" w:type="dxa"/>
            <w:shd w:val="clear" w:color="auto" w:fill="auto"/>
            <w:hideMark/>
          </w:tcPr>
          <w:p w:rsidRPr="007C52BE" w:rsidR="00D95EF7" w:rsidP="00D95EF7" w:rsidRDefault="00D95EF7" w14:paraId="062AD277" w14:textId="392B9D62">
            <w:pPr>
              <w:spacing w:after="0"/>
              <w:rPr>
                <w:sz w:val="20"/>
                <w:szCs w:val="20"/>
              </w:rPr>
            </w:pPr>
            <w:r w:rsidRPr="00871E51">
              <w:rPr>
                <w:rFonts w:eastAsia="Calibri"/>
                <w:sz w:val="20"/>
                <w:szCs w:val="20"/>
              </w:rPr>
              <w:t>Total Annual Hours Per Qualified Registry for Full Process (e)</w:t>
            </w:r>
          </w:p>
        </w:tc>
        <w:tc>
          <w:tcPr>
            <w:tcW w:w="1530" w:type="dxa"/>
            <w:vAlign w:val="center"/>
          </w:tcPr>
          <w:p w:rsidRPr="007C52BE" w:rsidR="00D95EF7" w:rsidP="00D95EF7" w:rsidRDefault="00D95EF7" w14:paraId="33D8D811" w14:textId="594199DB">
            <w:pPr>
              <w:spacing w:after="0"/>
              <w:rPr>
                <w:sz w:val="20"/>
                <w:szCs w:val="20"/>
              </w:rPr>
            </w:pPr>
            <w:r w:rsidRPr="00871E51">
              <w:rPr>
                <w:rFonts w:eastAsia="Calibri"/>
                <w:sz w:val="20"/>
                <w:szCs w:val="20"/>
              </w:rPr>
              <w:t>0</w:t>
            </w:r>
          </w:p>
        </w:tc>
        <w:tc>
          <w:tcPr>
            <w:tcW w:w="1170" w:type="dxa"/>
            <w:shd w:val="clear" w:color="auto" w:fill="auto"/>
            <w:vAlign w:val="center"/>
            <w:hideMark/>
          </w:tcPr>
          <w:p w:rsidRPr="007C52BE" w:rsidR="00D95EF7" w:rsidP="00D95EF7" w:rsidRDefault="00D95EF7" w14:paraId="20E5C22E" w14:textId="44B85DEB">
            <w:pPr>
              <w:spacing w:after="0"/>
              <w:rPr>
                <w:sz w:val="20"/>
                <w:szCs w:val="20"/>
              </w:rPr>
            </w:pPr>
            <w:r w:rsidRPr="00871E51">
              <w:rPr>
                <w:rFonts w:eastAsia="Calibri"/>
                <w:sz w:val="20"/>
                <w:szCs w:val="20"/>
              </w:rPr>
              <w:t>2</w:t>
            </w:r>
          </w:p>
        </w:tc>
      </w:tr>
      <w:tr w:rsidRPr="00C47150" w:rsidR="00D95EF7" w:rsidTr="00D11F3C" w14:paraId="7B8756F6" w14:textId="77777777">
        <w:trPr>
          <w:trHeight w:val="260"/>
        </w:trPr>
        <w:tc>
          <w:tcPr>
            <w:tcW w:w="7010" w:type="dxa"/>
            <w:shd w:val="clear" w:color="auto" w:fill="D9D9D9" w:themeFill="background1" w:themeFillShade="D9"/>
            <w:hideMark/>
          </w:tcPr>
          <w:p w:rsidRPr="007C52BE" w:rsidR="00D95EF7" w:rsidP="00D95EF7" w:rsidRDefault="00D95EF7" w14:paraId="110627A3" w14:textId="375DD400">
            <w:pPr>
              <w:spacing w:after="0"/>
              <w:rPr>
                <w:b/>
                <w:bCs/>
                <w:sz w:val="20"/>
                <w:szCs w:val="20"/>
              </w:rPr>
            </w:pPr>
            <w:r w:rsidRPr="00871E51">
              <w:rPr>
                <w:rFonts w:eastAsia="Calibri"/>
                <w:b/>
                <w:bCs/>
                <w:sz w:val="20"/>
                <w:szCs w:val="20"/>
              </w:rPr>
              <w:t>Total Annual Hours for Self-Nomination for min. (f) = (a) * (d)</w:t>
            </w:r>
            <w:r w:rsidRPr="00871E51" w:rsidDel="00D13AA5">
              <w:rPr>
                <w:rFonts w:eastAsia="Calibri"/>
                <w:b/>
                <w:bCs/>
                <w:sz w:val="20"/>
                <w:szCs w:val="20"/>
              </w:rPr>
              <w:t xml:space="preserve"> </w:t>
            </w:r>
            <w:r w:rsidRPr="00871E51">
              <w:rPr>
                <w:rFonts w:eastAsia="Calibri"/>
                <w:b/>
                <w:bCs/>
                <w:sz w:val="20"/>
                <w:szCs w:val="20"/>
              </w:rPr>
              <w:t xml:space="preserve">and max. (b) * (e) </w:t>
            </w:r>
          </w:p>
        </w:tc>
        <w:tc>
          <w:tcPr>
            <w:tcW w:w="1530" w:type="dxa"/>
            <w:shd w:val="clear" w:color="auto" w:fill="D9D9D9" w:themeFill="background1" w:themeFillShade="D9"/>
            <w:vAlign w:val="center"/>
          </w:tcPr>
          <w:p w:rsidRPr="007C52BE" w:rsidR="00D95EF7" w:rsidP="00D95EF7" w:rsidRDefault="003937BB" w14:paraId="342B4E5A" w14:textId="3C5BB8D2">
            <w:pPr>
              <w:spacing w:after="0"/>
              <w:rPr>
                <w:b/>
                <w:bCs/>
                <w:sz w:val="20"/>
                <w:szCs w:val="20"/>
              </w:rPr>
            </w:pPr>
            <w:r>
              <w:rPr>
                <w:rFonts w:eastAsia="Calibri"/>
                <w:b/>
                <w:bCs/>
                <w:sz w:val="20"/>
                <w:szCs w:val="20"/>
              </w:rPr>
              <w:t>80</w:t>
            </w:r>
          </w:p>
        </w:tc>
        <w:tc>
          <w:tcPr>
            <w:tcW w:w="1170" w:type="dxa"/>
            <w:shd w:val="clear" w:color="auto" w:fill="D9D9D9" w:themeFill="background1" w:themeFillShade="D9"/>
            <w:vAlign w:val="center"/>
            <w:hideMark/>
          </w:tcPr>
          <w:p w:rsidRPr="007C52BE" w:rsidR="00D95EF7" w:rsidP="00D95EF7" w:rsidRDefault="003937BB" w14:paraId="7C69A261" w14:textId="25CE1CB8">
            <w:pPr>
              <w:spacing w:after="0"/>
              <w:rPr>
                <w:b/>
                <w:bCs/>
                <w:sz w:val="20"/>
                <w:szCs w:val="20"/>
              </w:rPr>
            </w:pPr>
            <w:r>
              <w:rPr>
                <w:rFonts w:eastAsia="Calibri"/>
                <w:b/>
                <w:bCs/>
                <w:sz w:val="20"/>
                <w:szCs w:val="20"/>
              </w:rPr>
              <w:t>320</w:t>
            </w:r>
          </w:p>
        </w:tc>
      </w:tr>
      <w:tr w:rsidRPr="00464E1E" w:rsidR="00D95EF7" w:rsidTr="00D11F3C" w14:paraId="6883D6FB" w14:textId="77777777">
        <w:trPr>
          <w:trHeight w:val="188"/>
        </w:trPr>
        <w:tc>
          <w:tcPr>
            <w:tcW w:w="7010" w:type="dxa"/>
            <w:shd w:val="clear" w:color="auto" w:fill="auto"/>
          </w:tcPr>
          <w:p w:rsidRPr="001376EC" w:rsidR="00D95EF7" w:rsidP="00D95EF7" w:rsidRDefault="00D95EF7" w14:paraId="441FAE79" w14:textId="31324AEB">
            <w:pPr>
              <w:spacing w:after="0"/>
              <w:rPr>
                <w:sz w:val="20"/>
                <w:szCs w:val="20"/>
              </w:rPr>
            </w:pPr>
            <w:r w:rsidRPr="00871E51">
              <w:rPr>
                <w:rFonts w:eastAsia="Calibri"/>
                <w:sz w:val="20"/>
                <w:szCs w:val="20"/>
              </w:rPr>
              <w:t>Cost Per Simplified Process Per Qualified Registry (@ computer systems analyst’s labor rate of $9</w:t>
            </w:r>
            <w:r w:rsidR="003937BB">
              <w:rPr>
                <w:rFonts w:eastAsia="Calibri"/>
                <w:sz w:val="20"/>
                <w:szCs w:val="20"/>
              </w:rPr>
              <w:t>8</w:t>
            </w:r>
            <w:r w:rsidRPr="00871E51">
              <w:rPr>
                <w:rFonts w:eastAsia="Calibri"/>
                <w:sz w:val="20"/>
                <w:szCs w:val="20"/>
              </w:rPr>
              <w:t>.2</w:t>
            </w:r>
            <w:r w:rsidR="003937BB">
              <w:rPr>
                <w:rFonts w:eastAsia="Calibri"/>
                <w:sz w:val="20"/>
                <w:szCs w:val="20"/>
              </w:rPr>
              <w:t>8</w:t>
            </w:r>
            <w:r w:rsidRPr="00871E51">
              <w:rPr>
                <w:rFonts w:eastAsia="Calibri"/>
                <w:sz w:val="20"/>
                <w:szCs w:val="20"/>
              </w:rPr>
              <w:t>/</w:t>
            </w:r>
            <w:proofErr w:type="spellStart"/>
            <w:r w:rsidRPr="00871E51">
              <w:rPr>
                <w:rFonts w:eastAsia="Calibri"/>
                <w:sz w:val="20"/>
                <w:szCs w:val="20"/>
              </w:rPr>
              <w:t>hr</w:t>
            </w:r>
            <w:proofErr w:type="spellEnd"/>
            <w:r w:rsidRPr="00871E51">
              <w:rPr>
                <w:rFonts w:eastAsia="Calibri"/>
                <w:sz w:val="20"/>
                <w:szCs w:val="20"/>
              </w:rPr>
              <w:t>) (</w:t>
            </w:r>
            <w:r w:rsidR="00972546">
              <w:rPr>
                <w:rFonts w:eastAsia="Calibri"/>
                <w:sz w:val="20"/>
                <w:szCs w:val="20"/>
              </w:rPr>
              <w:t>g</w:t>
            </w:r>
            <w:r w:rsidRPr="00871E51">
              <w:rPr>
                <w:rFonts w:eastAsia="Calibri"/>
                <w:sz w:val="20"/>
                <w:szCs w:val="20"/>
              </w:rPr>
              <w:t>)</w:t>
            </w:r>
          </w:p>
        </w:tc>
        <w:tc>
          <w:tcPr>
            <w:tcW w:w="1530" w:type="dxa"/>
            <w:shd w:val="clear" w:color="auto" w:fill="auto"/>
            <w:vAlign w:val="center"/>
          </w:tcPr>
          <w:p w:rsidRPr="001376EC" w:rsidR="00D95EF7" w:rsidP="00D95EF7" w:rsidRDefault="00D95EF7" w14:paraId="0E7533E6" w14:textId="135205C3">
            <w:pPr>
              <w:spacing w:after="0"/>
              <w:rPr>
                <w:sz w:val="20"/>
                <w:szCs w:val="20"/>
              </w:rPr>
            </w:pPr>
            <w:r w:rsidRPr="00871E51">
              <w:rPr>
                <w:rFonts w:eastAsia="Calibri"/>
                <w:sz w:val="20"/>
                <w:szCs w:val="20"/>
              </w:rPr>
              <w:t>$4</w:t>
            </w:r>
            <w:r w:rsidR="00DB3461">
              <w:rPr>
                <w:rFonts w:eastAsia="Calibri"/>
                <w:sz w:val="20"/>
                <w:szCs w:val="20"/>
              </w:rPr>
              <w:t>9</w:t>
            </w:r>
            <w:r w:rsidRPr="00871E51">
              <w:rPr>
                <w:rFonts w:eastAsia="Calibri"/>
                <w:sz w:val="20"/>
                <w:szCs w:val="20"/>
              </w:rPr>
              <w:t>.</w:t>
            </w:r>
            <w:r w:rsidR="00DB3461">
              <w:rPr>
                <w:rFonts w:eastAsia="Calibri"/>
                <w:sz w:val="20"/>
                <w:szCs w:val="20"/>
              </w:rPr>
              <w:t>14</w:t>
            </w:r>
          </w:p>
        </w:tc>
        <w:tc>
          <w:tcPr>
            <w:tcW w:w="1170" w:type="dxa"/>
            <w:shd w:val="clear" w:color="auto" w:fill="auto"/>
            <w:vAlign w:val="center"/>
          </w:tcPr>
          <w:p w:rsidRPr="001376EC" w:rsidR="00D95EF7" w:rsidP="00D95EF7" w:rsidRDefault="00DB3461" w14:paraId="4154AD29" w14:textId="4CB3B66C">
            <w:pPr>
              <w:spacing w:after="0"/>
              <w:rPr>
                <w:sz w:val="20"/>
                <w:szCs w:val="20"/>
              </w:rPr>
            </w:pPr>
            <w:r>
              <w:rPr>
                <w:rFonts w:eastAsia="Calibri"/>
                <w:sz w:val="20"/>
                <w:szCs w:val="20"/>
              </w:rPr>
              <w:t>0</w:t>
            </w:r>
          </w:p>
        </w:tc>
      </w:tr>
      <w:tr w:rsidRPr="00C47150" w:rsidR="00D95EF7" w:rsidTr="00D11F3C" w14:paraId="3F351D73" w14:textId="77777777">
        <w:trPr>
          <w:trHeight w:val="70"/>
        </w:trPr>
        <w:tc>
          <w:tcPr>
            <w:tcW w:w="7010" w:type="dxa"/>
            <w:shd w:val="clear" w:color="auto" w:fill="D9D9D9" w:themeFill="background1" w:themeFillShade="D9"/>
            <w:hideMark/>
          </w:tcPr>
          <w:p w:rsidRPr="00004791" w:rsidR="00D95EF7" w:rsidP="00D95EF7" w:rsidRDefault="00D95EF7" w14:paraId="53D30921" w14:textId="67ED6387">
            <w:pPr>
              <w:spacing w:after="0"/>
              <w:rPr>
                <w:b/>
                <w:bCs/>
                <w:sz w:val="20"/>
              </w:rPr>
            </w:pPr>
            <w:r w:rsidRPr="00871E51">
              <w:rPr>
                <w:rFonts w:eastAsia="Calibri"/>
                <w:sz w:val="20"/>
                <w:szCs w:val="20"/>
              </w:rPr>
              <w:t>Cost Per Full Process Per Qualified Registry (@ computer systems analyst’s labor rate of $9</w:t>
            </w:r>
            <w:r w:rsidR="00DB3461">
              <w:rPr>
                <w:rFonts w:eastAsia="Calibri"/>
                <w:sz w:val="20"/>
                <w:szCs w:val="20"/>
              </w:rPr>
              <w:t>8</w:t>
            </w:r>
            <w:r w:rsidRPr="00871E51">
              <w:rPr>
                <w:rFonts w:eastAsia="Calibri"/>
                <w:sz w:val="20"/>
                <w:szCs w:val="20"/>
              </w:rPr>
              <w:t>.2</w:t>
            </w:r>
            <w:r w:rsidR="00DB3461">
              <w:rPr>
                <w:rFonts w:eastAsia="Calibri"/>
                <w:sz w:val="20"/>
                <w:szCs w:val="20"/>
              </w:rPr>
              <w:t>8</w:t>
            </w:r>
            <w:r w:rsidRPr="00871E51">
              <w:rPr>
                <w:rFonts w:eastAsia="Calibri"/>
                <w:sz w:val="20"/>
                <w:szCs w:val="20"/>
              </w:rPr>
              <w:t>/</w:t>
            </w:r>
            <w:proofErr w:type="spellStart"/>
            <w:r w:rsidRPr="00871E51">
              <w:rPr>
                <w:rFonts w:eastAsia="Calibri"/>
                <w:sz w:val="20"/>
                <w:szCs w:val="20"/>
              </w:rPr>
              <w:t>hr</w:t>
            </w:r>
            <w:proofErr w:type="spellEnd"/>
            <w:r w:rsidRPr="00871E51">
              <w:rPr>
                <w:rFonts w:eastAsia="Calibri"/>
                <w:sz w:val="20"/>
                <w:szCs w:val="20"/>
              </w:rPr>
              <w:t>) (</w:t>
            </w:r>
            <w:r w:rsidR="00972546">
              <w:rPr>
                <w:rFonts w:eastAsia="Calibri"/>
                <w:sz w:val="20"/>
                <w:szCs w:val="20"/>
              </w:rPr>
              <w:t>h</w:t>
            </w:r>
            <w:r w:rsidRPr="00871E51">
              <w:rPr>
                <w:rFonts w:eastAsia="Calibri"/>
                <w:sz w:val="20"/>
                <w:szCs w:val="20"/>
              </w:rPr>
              <w:t>)</w:t>
            </w:r>
          </w:p>
        </w:tc>
        <w:tc>
          <w:tcPr>
            <w:tcW w:w="1530" w:type="dxa"/>
            <w:shd w:val="clear" w:color="auto" w:fill="D9D9D9" w:themeFill="background1" w:themeFillShade="D9"/>
            <w:vAlign w:val="center"/>
          </w:tcPr>
          <w:p w:rsidRPr="00862D78" w:rsidR="00D95EF7" w:rsidP="00D95EF7" w:rsidRDefault="00DB3461" w14:paraId="62120CA1" w14:textId="19100EE2">
            <w:pPr>
              <w:spacing w:after="0"/>
              <w:rPr>
                <w:b/>
                <w:bCs/>
                <w:sz w:val="20"/>
              </w:rPr>
            </w:pPr>
            <w:r>
              <w:rPr>
                <w:rFonts w:eastAsia="Calibri"/>
                <w:sz w:val="20"/>
                <w:szCs w:val="20"/>
              </w:rPr>
              <w:t>0</w:t>
            </w:r>
          </w:p>
        </w:tc>
        <w:tc>
          <w:tcPr>
            <w:tcW w:w="1170" w:type="dxa"/>
            <w:shd w:val="clear" w:color="auto" w:fill="D9D9D9" w:themeFill="background1" w:themeFillShade="D9"/>
            <w:vAlign w:val="center"/>
            <w:hideMark/>
          </w:tcPr>
          <w:p w:rsidRPr="00004791" w:rsidR="00D95EF7" w:rsidP="00D95EF7" w:rsidRDefault="00D95EF7" w14:paraId="697B6DED" w14:textId="5ED246F2">
            <w:pPr>
              <w:spacing w:after="0"/>
              <w:rPr>
                <w:b/>
                <w:bCs/>
                <w:sz w:val="20"/>
              </w:rPr>
            </w:pPr>
            <w:r w:rsidRPr="00871E51">
              <w:rPr>
                <w:rFonts w:eastAsia="Calibri"/>
                <w:sz w:val="20"/>
                <w:szCs w:val="20"/>
              </w:rPr>
              <w:t>$19</w:t>
            </w:r>
            <w:r w:rsidR="00DB3461">
              <w:rPr>
                <w:rFonts w:eastAsia="Calibri"/>
                <w:sz w:val="20"/>
                <w:szCs w:val="20"/>
              </w:rPr>
              <w:t>6</w:t>
            </w:r>
            <w:r w:rsidRPr="00871E51">
              <w:rPr>
                <w:rFonts w:eastAsia="Calibri"/>
                <w:sz w:val="20"/>
                <w:szCs w:val="20"/>
              </w:rPr>
              <w:t>.</w:t>
            </w:r>
            <w:r w:rsidR="00DB3461">
              <w:rPr>
                <w:rFonts w:eastAsia="Calibri"/>
                <w:sz w:val="20"/>
                <w:szCs w:val="20"/>
              </w:rPr>
              <w:t>56</w:t>
            </w:r>
          </w:p>
        </w:tc>
      </w:tr>
      <w:tr w:rsidRPr="00871E51" w:rsidR="00604F87" w:rsidTr="00D11F3C" w14:paraId="6B44768B" w14:textId="77777777">
        <w:trPr>
          <w:trHeight w:val="70"/>
        </w:trPr>
        <w:tc>
          <w:tcPr>
            <w:tcW w:w="7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376EC" w:rsidR="00604F87" w:rsidP="00604F87" w:rsidRDefault="00604F87" w14:paraId="7274044E" w14:textId="29768D9A">
            <w:pPr>
              <w:spacing w:after="0"/>
              <w:rPr>
                <w:rFonts w:eastAsia="Calibri"/>
                <w:b/>
                <w:bCs/>
                <w:sz w:val="20"/>
                <w:szCs w:val="20"/>
              </w:rPr>
            </w:pPr>
            <w:r w:rsidRPr="001376EC">
              <w:rPr>
                <w:rFonts w:eastAsia="Calibri"/>
                <w:b/>
                <w:bCs/>
                <w:sz w:val="20"/>
                <w:szCs w:val="20"/>
              </w:rPr>
              <w:t xml:space="preserve">Total Annual </w:t>
            </w:r>
            <w:r w:rsidRPr="001376EC" w:rsidR="00440933">
              <w:rPr>
                <w:rFonts w:eastAsia="Calibri"/>
                <w:b/>
                <w:bCs/>
                <w:sz w:val="20"/>
                <w:szCs w:val="20"/>
              </w:rPr>
              <w:t>Cost (</w:t>
            </w:r>
            <w:r w:rsidR="00972546">
              <w:rPr>
                <w:rFonts w:eastAsia="Calibri"/>
                <w:b/>
                <w:bCs/>
                <w:sz w:val="20"/>
                <w:szCs w:val="20"/>
              </w:rPr>
              <w:t>i</w:t>
            </w:r>
            <w:r w:rsidRPr="001376EC">
              <w:rPr>
                <w:rFonts w:eastAsia="Calibri"/>
                <w:b/>
                <w:bCs/>
                <w:sz w:val="20"/>
                <w:szCs w:val="20"/>
              </w:rPr>
              <w:t>) = (a) * (</w:t>
            </w:r>
            <w:r w:rsidR="00972546">
              <w:rPr>
                <w:rFonts w:eastAsia="Calibri"/>
                <w:b/>
                <w:bCs/>
                <w:sz w:val="20"/>
                <w:szCs w:val="20"/>
              </w:rPr>
              <w:t>g</w:t>
            </w:r>
            <w:r w:rsidRPr="001376EC">
              <w:rPr>
                <w:rFonts w:eastAsia="Calibri"/>
                <w:b/>
                <w:bCs/>
                <w:sz w:val="20"/>
                <w:szCs w:val="20"/>
              </w:rPr>
              <w:t>)</w:t>
            </w:r>
            <w:r w:rsidR="00EA3A81">
              <w:rPr>
                <w:rFonts w:eastAsia="Calibri"/>
                <w:b/>
                <w:bCs/>
                <w:sz w:val="20"/>
                <w:szCs w:val="20"/>
              </w:rPr>
              <w:t xml:space="preserve"> (min.)</w:t>
            </w:r>
            <w:r w:rsidRPr="001376EC">
              <w:rPr>
                <w:rFonts w:eastAsia="Calibri"/>
                <w:b/>
                <w:bCs/>
                <w:sz w:val="20"/>
                <w:szCs w:val="20"/>
              </w:rPr>
              <w:t xml:space="preserve"> and (b) * (</w:t>
            </w:r>
            <w:r w:rsidR="00537DFD">
              <w:rPr>
                <w:rFonts w:eastAsia="Calibri"/>
                <w:b/>
                <w:bCs/>
                <w:sz w:val="20"/>
                <w:szCs w:val="20"/>
              </w:rPr>
              <w:t>h</w:t>
            </w:r>
            <w:r w:rsidRPr="001376EC">
              <w:rPr>
                <w:rFonts w:eastAsia="Calibri"/>
                <w:b/>
                <w:bCs/>
                <w:sz w:val="20"/>
                <w:szCs w:val="20"/>
              </w:rPr>
              <w:t>)</w:t>
            </w:r>
            <w:r w:rsidR="00537DFD">
              <w:rPr>
                <w:rFonts w:eastAsia="Calibri"/>
                <w:b/>
                <w:bCs/>
                <w:sz w:val="20"/>
                <w:szCs w:val="20"/>
              </w:rPr>
              <w:t xml:space="preserve"> (max.)</w:t>
            </w:r>
            <w:r w:rsidRPr="001376EC">
              <w:rPr>
                <w:rFonts w:eastAsia="Calibri"/>
                <w:b/>
                <w:bCs/>
                <w:sz w:val="20"/>
                <w:szCs w:val="20"/>
              </w:rPr>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376EC" w:rsidR="00604F87" w:rsidP="00604F87" w:rsidRDefault="00604F87" w14:paraId="67D615ED" w14:textId="3BBDEDB5">
            <w:pPr>
              <w:spacing w:after="0"/>
              <w:rPr>
                <w:rFonts w:eastAsia="Calibri"/>
                <w:b/>
                <w:bCs/>
                <w:sz w:val="20"/>
                <w:szCs w:val="20"/>
              </w:rPr>
            </w:pPr>
            <w:r w:rsidRPr="001376EC">
              <w:rPr>
                <w:rFonts w:eastAsia="Calibri"/>
                <w:b/>
                <w:bCs/>
                <w:sz w:val="20"/>
                <w:szCs w:val="20"/>
              </w:rPr>
              <w:t>$</w:t>
            </w:r>
            <w:r w:rsidR="0093326E">
              <w:rPr>
                <w:rFonts w:eastAsia="Calibri"/>
                <w:b/>
                <w:bCs/>
                <w:sz w:val="20"/>
                <w:szCs w:val="20"/>
              </w:rPr>
              <w:t>7,</w:t>
            </w:r>
            <w:r w:rsidR="0083282A">
              <w:rPr>
                <w:rFonts w:eastAsia="Calibri"/>
                <w:b/>
                <w:bCs/>
                <w:sz w:val="20"/>
                <w:szCs w:val="20"/>
              </w:rPr>
              <w:t>86</w:t>
            </w:r>
            <w:r w:rsidR="0093326E">
              <w:rPr>
                <w:rFonts w:eastAsia="Calibri"/>
                <w:b/>
                <w:bCs/>
                <w:sz w:val="20"/>
                <w:szCs w:val="20"/>
              </w:rPr>
              <w:t>2</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376EC" w:rsidR="00604F87" w:rsidP="00604F87" w:rsidRDefault="00604F87" w14:paraId="1B140D07" w14:textId="00551572">
            <w:pPr>
              <w:spacing w:after="0"/>
              <w:rPr>
                <w:rFonts w:eastAsia="Calibri"/>
                <w:b/>
                <w:bCs/>
                <w:sz w:val="20"/>
                <w:szCs w:val="20"/>
              </w:rPr>
            </w:pPr>
            <w:r w:rsidRPr="001376EC">
              <w:rPr>
                <w:rFonts w:eastAsia="Calibri"/>
                <w:b/>
                <w:bCs/>
                <w:sz w:val="20"/>
                <w:szCs w:val="20"/>
              </w:rPr>
              <w:t>$</w:t>
            </w:r>
            <w:r w:rsidR="0083282A">
              <w:rPr>
                <w:rFonts w:eastAsia="Calibri"/>
                <w:b/>
                <w:bCs/>
                <w:sz w:val="20"/>
                <w:szCs w:val="20"/>
              </w:rPr>
              <w:t>31,450</w:t>
            </w:r>
          </w:p>
        </w:tc>
      </w:tr>
    </w:tbl>
    <w:p w:rsidRPr="00CF1883" w:rsidR="00B05B18" w:rsidP="00CF1883" w:rsidRDefault="00B05B18" w14:paraId="1DE459FF" w14:textId="77777777"/>
    <w:p w:rsidRPr="00041A6A" w:rsidR="008D7566" w:rsidP="003D552B" w:rsidRDefault="00667B1B" w14:paraId="19707942" w14:textId="510C0F5F">
      <w:pPr>
        <w:pStyle w:val="Heading4"/>
      </w:pPr>
      <w:r>
        <w:lastRenderedPageBreak/>
        <w:t xml:space="preserve">   </w:t>
      </w:r>
      <w:r w:rsidRPr="00041A6A" w:rsidR="0004680F">
        <w:t>Burden for QCDR Self-Nomination</w:t>
      </w:r>
      <w:r w:rsidRPr="00041A6A" w:rsidR="00891A14">
        <w:t xml:space="preserve"> and Other Requirements</w:t>
      </w:r>
      <w:r w:rsidRPr="00041A6A" w:rsidR="00B05B18">
        <w:rPr>
          <w:vertAlign w:val="superscript"/>
        </w:rPr>
        <w:footnoteReference w:id="6"/>
      </w:r>
    </w:p>
    <w:p w:rsidRPr="00DB53F8" w:rsidR="00DB53F8" w:rsidP="00730BEF" w:rsidRDefault="00DB53F8" w14:paraId="1574D652" w14:textId="75879735">
      <w:pPr>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rsidRPr="00DB53F8" w:rsidR="00DB53F8" w:rsidP="00730BEF" w:rsidRDefault="00306AA5" w14:paraId="3E4EBEC9" w14:textId="0F5A62DF">
      <w:pPr>
        <w:rPr>
          <w:rFonts w:eastAsia="Calibri"/>
        </w:rPr>
      </w:pPr>
      <w:r>
        <w:rPr>
          <w:rFonts w:eastAsia="Calibri"/>
        </w:rPr>
        <w:t>P</w:t>
      </w:r>
      <w:r w:rsidRPr="002F0EDC" w:rsidR="002F0EDC">
        <w:rPr>
          <w:rFonts w:eastAsia="Calibri"/>
        </w:rPr>
        <w:t>reviously approved QCDRs in good standing (that are not on probation or disqualified) that wish to self-nominate using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sidR="00DB53F8">
        <w:rPr>
          <w:rFonts w:eastAsia="Calibri"/>
        </w:rPr>
        <w:t>).</w:t>
      </w:r>
    </w:p>
    <w:p w:rsidRPr="00DB53F8" w:rsidR="00DB53F8" w:rsidP="00730BEF" w:rsidRDefault="0063000D" w14:paraId="6DFA0B4B" w14:textId="304B8539">
      <w:pPr>
        <w:rPr>
          <w:rFonts w:eastAsia="Calibri"/>
        </w:rPr>
      </w:pPr>
      <w:r>
        <w:rPr>
          <w:rFonts w:eastAsia="Calibri"/>
        </w:rPr>
        <w:t>W</w:t>
      </w:r>
      <w:r w:rsidR="00976ADA">
        <w:rPr>
          <w:rFonts w:eastAsia="Calibri"/>
        </w:rPr>
        <w:t xml:space="preserve">e estimate that </w:t>
      </w:r>
      <w:r w:rsidR="00E22B72">
        <w:rPr>
          <w:rFonts w:eastAsia="Calibri"/>
        </w:rPr>
        <w:t>a</w:t>
      </w:r>
      <w:r w:rsidR="00976ADA">
        <w:rPr>
          <w:rFonts w:eastAsia="Calibri"/>
        </w:rPr>
        <w:t xml:space="preserve"> tot</w:t>
      </w:r>
      <w:r w:rsidR="00E240DC">
        <w:rPr>
          <w:rFonts w:eastAsia="Calibri"/>
        </w:rPr>
        <w:t xml:space="preserve">al </w:t>
      </w:r>
      <w:r w:rsidR="00E22B72">
        <w:rPr>
          <w:rFonts w:eastAsia="Calibri"/>
        </w:rPr>
        <w:t>of 90 QCDRs would submit self-nomination applications during the CY 202</w:t>
      </w:r>
      <w:r>
        <w:rPr>
          <w:rFonts w:eastAsia="Calibri"/>
        </w:rPr>
        <w:t>2</w:t>
      </w:r>
      <w:r w:rsidR="00E22B72">
        <w:rPr>
          <w:rFonts w:eastAsia="Calibri"/>
        </w:rPr>
        <w:t xml:space="preserve"> self-nomination period </w:t>
      </w:r>
      <w:r>
        <w:rPr>
          <w:rFonts w:eastAsia="Calibri"/>
        </w:rPr>
        <w:t>for the CY 2023 performance period/2025 MIPS payment year</w:t>
      </w:r>
      <w:r w:rsidR="0069103B">
        <w:rPr>
          <w:rFonts w:eastAsia="Calibri"/>
        </w:rPr>
        <w:t>.</w:t>
      </w:r>
    </w:p>
    <w:p w:rsidR="0079053D" w:rsidP="00730BEF" w:rsidRDefault="00AF10FF" w14:paraId="029ECC59" w14:textId="28A8D70F">
      <w:r w:rsidRPr="00AF10FF">
        <w:rPr>
          <w:rFonts w:eastAsia="Calibri"/>
        </w:rPr>
        <w:t xml:space="preserve">QCDRs </w:t>
      </w:r>
      <w:r w:rsidR="00306AA5">
        <w:rPr>
          <w:rFonts w:eastAsia="Calibri"/>
        </w:rPr>
        <w:t xml:space="preserve">must </w:t>
      </w:r>
      <w:r w:rsidRPr="00AF10FF">
        <w:rPr>
          <w:rFonts w:eastAsia="Calibri"/>
        </w:rPr>
        <w:t xml:space="preserve">calculate their measure results and also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w:t>
      </w:r>
      <w:r w:rsidR="00AF6D5B">
        <w:rPr>
          <w:rFonts w:eastAsia="Calibri"/>
        </w:rPr>
        <w:t xml:space="preserve">CY </w:t>
      </w:r>
      <w:r w:rsidRPr="00AF10FF">
        <w:rPr>
          <w:rFonts w:eastAsia="Calibri"/>
        </w:rPr>
        <w:t>2019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r w:rsidRPr="009A3E54" w:rsidR="009A3E54">
        <w:t xml:space="preserve">QCDRs </w:t>
      </w:r>
      <w:r w:rsidR="00325FF4">
        <w:t xml:space="preserve">are </w:t>
      </w:r>
      <w:r w:rsidR="00A82320">
        <w:t xml:space="preserve">also </w:t>
      </w:r>
      <w:r w:rsidR="00325FF4">
        <w:t>required to</w:t>
      </w:r>
      <w:r w:rsidRPr="009A3E54" w:rsidR="009A3E54">
        <w:t xml:space="preserve"> link their QCDR measures as feasible to </w:t>
      </w:r>
      <w:r w:rsidR="00325FF4">
        <w:t xml:space="preserve">at least </w:t>
      </w:r>
      <w:r w:rsidR="0082319A">
        <w:t xml:space="preserve">one of </w:t>
      </w:r>
      <w:r w:rsidRPr="009A3E54" w:rsidR="009A3E54">
        <w:t>the following, at the time of self-nomination: (a) cost measures</w:t>
      </w:r>
      <w:r w:rsidR="00A82320">
        <w:t xml:space="preserve">, </w:t>
      </w:r>
      <w:r w:rsidRPr="009A3E54" w:rsidR="009A3E54">
        <w:t>(b) improvement activities</w:t>
      </w:r>
      <w:r w:rsidR="00A82320">
        <w:t>,</w:t>
      </w:r>
      <w:r w:rsidRPr="009A3E54" w:rsidR="009A3E54">
        <w:t xml:space="preserve"> or (c) MIPS Value Pathways.  We estimate that a QCDR will spend an additional 1 hour performing these activities per measure, on average</w:t>
      </w:r>
      <w:r w:rsidR="00A82320">
        <w:t xml:space="preserve">.  </w:t>
      </w:r>
    </w:p>
    <w:p w:rsidRPr="006302F1" w:rsidR="006302F1" w:rsidP="00730BEF" w:rsidRDefault="00785B1E" w14:paraId="376F3082" w14:textId="75537D25">
      <w:pPr>
        <w:rPr>
          <w:rFonts w:eastAsia="Calibri"/>
        </w:rPr>
      </w:pPr>
      <w:r w:rsidRPr="00785B1E">
        <w:rPr>
          <w:rFonts w:eastAsia="Calibri"/>
        </w:rPr>
        <w:t>We assume that the staff involved in the QCDR self-nomination process will continue to be computer systems analysts or their equivalent, who have an average labor rate of $9</w:t>
      </w:r>
      <w:r w:rsidR="00CE696E">
        <w:rPr>
          <w:rFonts w:eastAsia="Calibri"/>
        </w:rPr>
        <w:t>8.28</w:t>
      </w:r>
      <w:r w:rsidRPr="00785B1E">
        <w:rPr>
          <w:rFonts w:eastAsia="Calibri"/>
        </w:rPr>
        <w:t xml:space="preserve">/hr. </w:t>
      </w:r>
      <w:r w:rsidR="00080AB9">
        <w:rPr>
          <w:rFonts w:eastAsia="Calibri"/>
        </w:rPr>
        <w:t>Using the unchanged estimated hourly burden</w:t>
      </w:r>
      <w:r w:rsidR="004A4ADA">
        <w:rPr>
          <w:rFonts w:eastAsia="Calibri"/>
        </w:rPr>
        <w:t xml:space="preserve"> per respondent</w:t>
      </w:r>
      <w:r w:rsidR="00637C50">
        <w:rPr>
          <w:rFonts w:eastAsia="Calibri"/>
        </w:rPr>
        <w:t xml:space="preserve"> ranging from 9.5 hours for the simpli</w:t>
      </w:r>
      <w:r w:rsidR="006956E7">
        <w:rPr>
          <w:rFonts w:eastAsia="Calibri"/>
        </w:rPr>
        <w:t>fi</w:t>
      </w:r>
      <w:r w:rsidR="00637C50">
        <w:rPr>
          <w:rFonts w:eastAsia="Calibri"/>
        </w:rPr>
        <w:t>ed sel</w:t>
      </w:r>
      <w:r w:rsidR="006956E7">
        <w:rPr>
          <w:rFonts w:eastAsia="Calibri"/>
        </w:rPr>
        <w:t xml:space="preserve">f-nomination process to 11.5 hours for the full self-nomination process, </w:t>
      </w:r>
      <w:r w:rsidR="004A4ADA">
        <w:rPr>
          <w:rFonts w:eastAsia="Calibri"/>
        </w:rPr>
        <w:t>and accounting for the estimated increase in the number of QCDRs that would submit a self-nomination application</w:t>
      </w:r>
      <w:r w:rsidRPr="00785B1E">
        <w:rPr>
          <w:rFonts w:eastAsia="Calibri"/>
        </w:rPr>
        <w:t xml:space="preserve">, we estimate that the annual burden will range from </w:t>
      </w:r>
      <w:r w:rsidR="00637C50">
        <w:rPr>
          <w:rFonts w:eastAsia="Calibri"/>
        </w:rPr>
        <w:t>855</w:t>
      </w:r>
      <w:r w:rsidRPr="00785B1E">
        <w:rPr>
          <w:rFonts w:eastAsia="Calibri"/>
        </w:rPr>
        <w:t xml:space="preserve"> hours (</w:t>
      </w:r>
      <w:r w:rsidR="00637C50">
        <w:rPr>
          <w:rFonts w:eastAsia="Calibri"/>
        </w:rPr>
        <w:t>90</w:t>
      </w:r>
      <w:r w:rsidRPr="00785B1E">
        <w:rPr>
          <w:rFonts w:eastAsia="Calibri"/>
        </w:rPr>
        <w:t xml:space="preserve"> QCDRs x </w:t>
      </w:r>
      <w:r w:rsidR="00E32759">
        <w:rPr>
          <w:rFonts w:eastAsia="Calibri"/>
        </w:rPr>
        <w:t>9</w:t>
      </w:r>
      <w:r w:rsidRPr="00785B1E">
        <w:rPr>
          <w:rFonts w:eastAsia="Calibri"/>
        </w:rPr>
        <w:t xml:space="preserve">.5 </w:t>
      </w:r>
      <w:proofErr w:type="spellStart"/>
      <w:r w:rsidRPr="00785B1E">
        <w:rPr>
          <w:rFonts w:eastAsia="Calibri"/>
        </w:rPr>
        <w:t>hr</w:t>
      </w:r>
      <w:proofErr w:type="spellEnd"/>
      <w:r w:rsidRPr="00785B1E">
        <w:rPr>
          <w:rFonts w:eastAsia="Calibri"/>
        </w:rPr>
        <w:t xml:space="preserve">) to </w:t>
      </w:r>
      <w:r w:rsidR="00637C50">
        <w:rPr>
          <w:rFonts w:eastAsia="Calibri"/>
        </w:rPr>
        <w:t>1,035</w:t>
      </w:r>
      <w:r w:rsidRPr="00785B1E">
        <w:rPr>
          <w:rFonts w:eastAsia="Calibri"/>
        </w:rPr>
        <w:t xml:space="preserve"> hours (</w:t>
      </w:r>
      <w:r w:rsidR="00637C50">
        <w:rPr>
          <w:rFonts w:eastAsia="Calibri"/>
        </w:rPr>
        <w:t>90</w:t>
      </w:r>
      <w:r w:rsidRPr="00785B1E">
        <w:rPr>
          <w:rFonts w:eastAsia="Calibri"/>
        </w:rPr>
        <w:t xml:space="preserve"> QCDRs x </w:t>
      </w:r>
      <w:r w:rsidR="00A92E75">
        <w:rPr>
          <w:rFonts w:eastAsia="Calibri"/>
        </w:rPr>
        <w:t>11.5</w:t>
      </w:r>
      <w:r w:rsidRPr="00785B1E">
        <w:rPr>
          <w:rFonts w:eastAsia="Calibri"/>
        </w:rPr>
        <w:t xml:space="preserve"> </w:t>
      </w:r>
      <w:proofErr w:type="spellStart"/>
      <w:r w:rsidRPr="00785B1E">
        <w:rPr>
          <w:rFonts w:eastAsia="Calibri"/>
        </w:rPr>
        <w:t>hr</w:t>
      </w:r>
      <w:proofErr w:type="spellEnd"/>
      <w:r w:rsidRPr="00785B1E">
        <w:rPr>
          <w:rFonts w:eastAsia="Calibri"/>
        </w:rPr>
        <w:t xml:space="preserve">) at a cost ranging from </w:t>
      </w:r>
      <w:r w:rsidRPr="00C67A07" w:rsidR="00C67A07">
        <w:rPr>
          <w:rFonts w:eastAsia="Calibri"/>
        </w:rPr>
        <w:t>$</w:t>
      </w:r>
      <w:r w:rsidR="002F3B21">
        <w:rPr>
          <w:rFonts w:eastAsia="Calibri"/>
        </w:rPr>
        <w:t>84,029</w:t>
      </w:r>
      <w:r w:rsidRPr="00C67A07" w:rsidR="00C67A07">
        <w:rPr>
          <w:rFonts w:eastAsia="Calibri"/>
        </w:rPr>
        <w:t xml:space="preserve"> </w:t>
      </w:r>
      <w:r w:rsidRPr="00785B1E">
        <w:rPr>
          <w:rFonts w:eastAsia="Calibri"/>
        </w:rPr>
        <w:t>(</w:t>
      </w:r>
      <w:r w:rsidR="002F3B21">
        <w:rPr>
          <w:rFonts w:eastAsia="Calibri"/>
        </w:rPr>
        <w:t>855</w:t>
      </w:r>
      <w:r w:rsidRPr="00785B1E">
        <w:rPr>
          <w:rFonts w:eastAsia="Calibri"/>
        </w:rPr>
        <w:t xml:space="preserve"> </w:t>
      </w:r>
      <w:proofErr w:type="spellStart"/>
      <w:r w:rsidRPr="00785B1E">
        <w:rPr>
          <w:rFonts w:eastAsia="Calibri"/>
        </w:rPr>
        <w:t>hr</w:t>
      </w:r>
      <w:proofErr w:type="spellEnd"/>
      <w:r w:rsidRPr="00785B1E">
        <w:rPr>
          <w:rFonts w:eastAsia="Calibri"/>
        </w:rPr>
        <w:t xml:space="preserve"> x $9</w:t>
      </w:r>
      <w:r w:rsidR="002F3B21">
        <w:rPr>
          <w:rFonts w:eastAsia="Calibri"/>
        </w:rPr>
        <w:t>8</w:t>
      </w:r>
      <w:r w:rsidR="00C34A01">
        <w:rPr>
          <w:rFonts w:eastAsia="Calibri"/>
        </w:rPr>
        <w:t>.2</w:t>
      </w:r>
      <w:r w:rsidR="002F3B21">
        <w:rPr>
          <w:rFonts w:eastAsia="Calibri"/>
        </w:rPr>
        <w:t>8</w:t>
      </w:r>
      <w:r w:rsidRPr="00785B1E">
        <w:rPr>
          <w:rFonts w:eastAsia="Calibri"/>
        </w:rPr>
        <w:t>/</w:t>
      </w:r>
      <w:proofErr w:type="spellStart"/>
      <w:r w:rsidRPr="00785B1E">
        <w:rPr>
          <w:rFonts w:eastAsia="Calibri"/>
        </w:rPr>
        <w:t>hr</w:t>
      </w:r>
      <w:proofErr w:type="spellEnd"/>
      <w:r w:rsidRPr="00785B1E">
        <w:rPr>
          <w:rFonts w:eastAsia="Calibri"/>
        </w:rPr>
        <w:t xml:space="preserve">) </w:t>
      </w:r>
      <w:r w:rsidR="001D598C">
        <w:rPr>
          <w:rFonts w:eastAsia="Calibri"/>
        </w:rPr>
        <w:t>to</w:t>
      </w:r>
      <w:r w:rsidRPr="00785B1E">
        <w:rPr>
          <w:rFonts w:eastAsia="Calibri"/>
        </w:rPr>
        <w:t xml:space="preserve"> </w:t>
      </w:r>
      <w:r w:rsidRPr="00157851" w:rsidR="00157851">
        <w:rPr>
          <w:rFonts w:eastAsia="Calibri"/>
        </w:rPr>
        <w:t>$</w:t>
      </w:r>
      <w:r w:rsidR="002F3B21">
        <w:rPr>
          <w:rFonts w:eastAsia="Calibri"/>
        </w:rPr>
        <w:t>101,720</w:t>
      </w:r>
      <w:r w:rsidRPr="00157851" w:rsidR="00157851">
        <w:rPr>
          <w:rFonts w:eastAsia="Calibri"/>
        </w:rPr>
        <w:t xml:space="preserve"> </w:t>
      </w:r>
      <w:r w:rsidRPr="00785B1E">
        <w:rPr>
          <w:rFonts w:eastAsia="Calibri"/>
        </w:rPr>
        <w:t>(</w:t>
      </w:r>
      <w:r w:rsidR="00C67EE3">
        <w:rPr>
          <w:rFonts w:eastAsia="Calibri"/>
        </w:rPr>
        <w:t>1,035</w:t>
      </w:r>
      <w:r w:rsidRPr="00785B1E">
        <w:rPr>
          <w:rFonts w:eastAsia="Calibri"/>
        </w:rPr>
        <w:t xml:space="preserve"> </w:t>
      </w:r>
      <w:proofErr w:type="spellStart"/>
      <w:r w:rsidRPr="00785B1E">
        <w:rPr>
          <w:rFonts w:eastAsia="Calibri"/>
        </w:rPr>
        <w:t>hr</w:t>
      </w:r>
      <w:proofErr w:type="spellEnd"/>
      <w:r w:rsidRPr="00785B1E">
        <w:rPr>
          <w:rFonts w:eastAsia="Calibri"/>
        </w:rPr>
        <w:t xml:space="preserve"> x $9</w:t>
      </w:r>
      <w:r w:rsidR="00C67EE3">
        <w:rPr>
          <w:rFonts w:eastAsia="Calibri"/>
        </w:rPr>
        <w:t>8</w:t>
      </w:r>
      <w:r w:rsidR="00157851">
        <w:rPr>
          <w:rFonts w:eastAsia="Calibri"/>
        </w:rPr>
        <w:t>.2</w:t>
      </w:r>
      <w:r w:rsidR="00C67EE3">
        <w:rPr>
          <w:rFonts w:eastAsia="Calibri"/>
        </w:rPr>
        <w:t>8</w:t>
      </w:r>
      <w:r w:rsidRPr="00785B1E">
        <w:rPr>
          <w:rFonts w:eastAsia="Calibri"/>
        </w:rPr>
        <w:t>/</w:t>
      </w:r>
      <w:proofErr w:type="spellStart"/>
      <w:r w:rsidRPr="00785B1E">
        <w:rPr>
          <w:rFonts w:eastAsia="Calibri"/>
        </w:rPr>
        <w:t>hr</w:t>
      </w:r>
      <w:proofErr w:type="spellEnd"/>
      <w:r w:rsidRPr="00785B1E">
        <w:rPr>
          <w:rFonts w:eastAsia="Calibri"/>
        </w:rPr>
        <w:t>)</w:t>
      </w:r>
      <w:r w:rsidR="001D598C">
        <w:rPr>
          <w:rFonts w:eastAsia="Calibri"/>
        </w:rPr>
        <w:t xml:space="preserve"> for the simplified self-nomination process and the full self-nomination process</w:t>
      </w:r>
      <w:r w:rsidRPr="00785B1E">
        <w:rPr>
          <w:rFonts w:eastAsia="Calibri"/>
        </w:rPr>
        <w:t>, respectively</w:t>
      </w:r>
      <w:r w:rsidR="007C446A">
        <w:rPr>
          <w:rFonts w:eastAsia="Calibri"/>
        </w:rPr>
        <w:t xml:space="preserve"> </w:t>
      </w:r>
      <w:r w:rsidR="002670B3">
        <w:t>(</w:t>
      </w:r>
      <w:r w:rsidR="004950D3">
        <w:rPr>
          <w:rFonts w:eastAsia="Calibri"/>
        </w:rPr>
        <w:t>S</w:t>
      </w:r>
      <w:r w:rsidRPr="006302F1" w:rsidR="006302F1">
        <w:rPr>
          <w:rFonts w:eastAsia="Calibri"/>
        </w:rPr>
        <w:t>ee Table</w:t>
      </w:r>
      <w:r w:rsidR="006302F1">
        <w:rPr>
          <w:rFonts w:eastAsia="Calibri"/>
        </w:rPr>
        <w:t xml:space="preserve"> 4</w:t>
      </w:r>
      <w:r w:rsidRPr="006302F1" w:rsidR="006302F1">
        <w:rPr>
          <w:rFonts w:eastAsia="Calibri"/>
        </w:rPr>
        <w:t xml:space="preserve">).  </w:t>
      </w:r>
    </w:p>
    <w:p w:rsidRPr="00E74114" w:rsidR="00E74114" w:rsidP="007C47AB" w:rsidRDefault="001C4C7C" w14:paraId="38A3A143" w14:textId="126364A9">
      <w:pPr>
        <w:keepNext/>
        <w:keepLines/>
        <w:rPr>
          <w:rFonts w:eastAsia="Calibri"/>
        </w:rPr>
      </w:pPr>
      <w:r w:rsidRPr="001C4C7C">
        <w:rPr>
          <w:rFonts w:eastAsia="Calibri"/>
        </w:rPr>
        <w:lastRenderedPageBreak/>
        <w:t xml:space="preserve">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Therefore, we believe the </w:t>
      </w:r>
      <w:r w:rsidR="00AB1AE3">
        <w:rPr>
          <w:rFonts w:eastAsia="Calibri"/>
        </w:rPr>
        <w:t>1,</w:t>
      </w:r>
      <w:r w:rsidR="00400206">
        <w:rPr>
          <w:rFonts w:eastAsia="Calibri"/>
        </w:rPr>
        <w:t>035</w:t>
      </w:r>
      <w:r w:rsidRPr="001C4C7C" w:rsidR="00AB1AE3">
        <w:rPr>
          <w:rFonts w:eastAsia="Calibri"/>
        </w:rPr>
        <w:t>-hour</w:t>
      </w:r>
      <w:r w:rsidRPr="001C4C7C">
        <w:rPr>
          <w:rFonts w:eastAsia="Calibri"/>
        </w:rPr>
        <w:t xml:space="preserve"> estimate represents the upper bound of QCDR burden, with the potential for less additional MIPS burden if the QCDR already provides similar data submission services</w:t>
      </w:r>
      <w:r w:rsidRPr="00E74114" w:rsidR="00E74114">
        <w:rPr>
          <w:rFonts w:eastAsia="Calibri"/>
        </w:rPr>
        <w:t>.</w:t>
      </w:r>
    </w:p>
    <w:p w:rsidR="00B05B18" w:rsidP="00730BEF" w:rsidRDefault="00DB53F8" w14:paraId="3393B32A" w14:textId="2232BF5D">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rsidRPr="00732012" w:rsidR="00B05B18" w:rsidP="007F35A5" w:rsidRDefault="00B05B18" w14:paraId="0DAD826A" w14:textId="47BCBA4A">
      <w:pPr>
        <w:spacing w:after="0"/>
        <w:jc w:val="center"/>
        <w:rPr>
          <w:b/>
          <w:bCs/>
        </w:rPr>
      </w:pPr>
      <w:r>
        <w:rPr>
          <w:b/>
          <w:bCs/>
        </w:rPr>
        <w:t>TABLE 4</w:t>
      </w:r>
      <w:r w:rsidRPr="00732012">
        <w:rPr>
          <w:b/>
          <w:bCs/>
        </w:rPr>
        <w:t>: Estimated Burden for QCDR Self-Nomination</w:t>
      </w:r>
      <w:r w:rsidR="002F7695">
        <w:rPr>
          <w:b/>
          <w:bCs/>
        </w:rPr>
        <w:t xml:space="preserve"> </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0"/>
        <w:gridCol w:w="1530"/>
        <w:gridCol w:w="1530"/>
      </w:tblGrid>
      <w:tr w:rsidRPr="00C47150" w:rsidR="00B05B18" w:rsidTr="004B3AFB" w14:paraId="0A5EC646" w14:textId="77777777">
        <w:trPr>
          <w:trHeight w:val="540"/>
          <w:tblHeader/>
        </w:trPr>
        <w:tc>
          <w:tcPr>
            <w:tcW w:w="6290" w:type="dxa"/>
            <w:shd w:val="clear" w:color="auto" w:fill="auto"/>
            <w:vAlign w:val="center"/>
          </w:tcPr>
          <w:p w:rsidRPr="00B05B18" w:rsidR="00B05B18" w:rsidP="00743AF8" w:rsidRDefault="00B05B18" w14:paraId="5470D3F4" w14:textId="0CAD45A2">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0780215E" w14:textId="7DE94E31">
            <w:pPr>
              <w:spacing w:after="0"/>
              <w:rPr>
                <w:b/>
                <w:bCs/>
                <w:sz w:val="20"/>
                <w:szCs w:val="20"/>
              </w:rPr>
            </w:pPr>
            <w:r>
              <w:rPr>
                <w:b/>
                <w:bCs/>
                <w:sz w:val="20"/>
                <w:szCs w:val="20"/>
              </w:rPr>
              <w:t>Minimum Burden</w:t>
            </w:r>
            <w:r w:rsidR="00DD0D93">
              <w:rPr>
                <w:b/>
                <w:bCs/>
                <w:sz w:val="20"/>
                <w:szCs w:val="20"/>
              </w:rPr>
              <w:t xml:space="preserve"> Estimate</w:t>
            </w:r>
          </w:p>
        </w:tc>
        <w:tc>
          <w:tcPr>
            <w:tcW w:w="1530" w:type="dxa"/>
            <w:shd w:val="clear" w:color="auto" w:fill="auto"/>
            <w:vAlign w:val="center"/>
          </w:tcPr>
          <w:p w:rsidRPr="007C52BE" w:rsidR="00B05B18" w:rsidP="00743AF8" w:rsidRDefault="00B05B18" w14:paraId="598CD1F0" w14:textId="65D5E639">
            <w:pPr>
              <w:spacing w:after="0"/>
              <w:rPr>
                <w:b/>
                <w:bCs/>
                <w:sz w:val="20"/>
                <w:szCs w:val="20"/>
              </w:rPr>
            </w:pPr>
            <w:r>
              <w:rPr>
                <w:b/>
                <w:bCs/>
                <w:sz w:val="20"/>
                <w:szCs w:val="20"/>
              </w:rPr>
              <w:t xml:space="preserve">Maximum </w:t>
            </w:r>
            <w:r w:rsidRPr="007C52BE">
              <w:rPr>
                <w:b/>
                <w:bCs/>
                <w:sz w:val="20"/>
                <w:szCs w:val="20"/>
              </w:rPr>
              <w:t>Burden</w:t>
            </w:r>
            <w:r w:rsidR="00DD0D93">
              <w:rPr>
                <w:b/>
                <w:bCs/>
                <w:sz w:val="20"/>
                <w:szCs w:val="20"/>
              </w:rPr>
              <w:t xml:space="preserve"> Estimate</w:t>
            </w:r>
          </w:p>
        </w:tc>
      </w:tr>
      <w:tr w:rsidRPr="00C47150" w:rsidR="009668CC" w:rsidTr="004B3AFB" w14:paraId="7BA1ADDF" w14:textId="77777777">
        <w:trPr>
          <w:trHeight w:val="268"/>
        </w:trPr>
        <w:tc>
          <w:tcPr>
            <w:tcW w:w="6290" w:type="dxa"/>
            <w:shd w:val="clear" w:color="auto" w:fill="auto"/>
          </w:tcPr>
          <w:p w:rsidRPr="007C52BE" w:rsidR="009668CC" w:rsidP="009668CC" w:rsidRDefault="009668CC" w14:paraId="70E915FC" w14:textId="77777777">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530" w:type="dxa"/>
          </w:tcPr>
          <w:p w:rsidR="009668CC" w:rsidP="009668CC" w:rsidRDefault="0085362F" w14:paraId="38FD6B58" w14:textId="2E437ED4">
            <w:pPr>
              <w:spacing w:after="0"/>
              <w:rPr>
                <w:sz w:val="20"/>
                <w:szCs w:val="20"/>
              </w:rPr>
            </w:pPr>
            <w:r>
              <w:rPr>
                <w:rFonts w:eastAsia="Calibri"/>
                <w:sz w:val="20"/>
                <w:szCs w:val="20"/>
              </w:rPr>
              <w:t>90</w:t>
            </w:r>
          </w:p>
        </w:tc>
        <w:tc>
          <w:tcPr>
            <w:tcW w:w="1530" w:type="dxa"/>
            <w:shd w:val="clear" w:color="auto" w:fill="auto"/>
          </w:tcPr>
          <w:p w:rsidR="009668CC" w:rsidP="009668CC" w:rsidRDefault="009668CC" w14:paraId="6D0BE01D" w14:textId="252BB98B">
            <w:pPr>
              <w:spacing w:after="0"/>
              <w:rPr>
                <w:sz w:val="20"/>
                <w:szCs w:val="20"/>
              </w:rPr>
            </w:pPr>
            <w:r w:rsidRPr="009C4D33">
              <w:rPr>
                <w:rFonts w:eastAsia="Calibri"/>
                <w:sz w:val="20"/>
                <w:szCs w:val="20"/>
              </w:rPr>
              <w:t>0</w:t>
            </w:r>
          </w:p>
        </w:tc>
      </w:tr>
      <w:tr w:rsidRPr="00C47150" w:rsidR="009668CC" w:rsidTr="004B3AFB" w14:paraId="029539CB" w14:textId="77777777">
        <w:trPr>
          <w:trHeight w:val="268"/>
        </w:trPr>
        <w:tc>
          <w:tcPr>
            <w:tcW w:w="6290" w:type="dxa"/>
            <w:shd w:val="clear" w:color="auto" w:fill="auto"/>
          </w:tcPr>
          <w:p w:rsidRPr="007C52BE" w:rsidR="009668CC" w:rsidP="009668CC" w:rsidRDefault="009668CC" w14:paraId="04982F3D" w14:textId="77777777">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530" w:type="dxa"/>
          </w:tcPr>
          <w:p w:rsidR="009668CC" w:rsidP="009668CC" w:rsidRDefault="001C4C7C" w14:paraId="5D58E7F0" w14:textId="43F28F57">
            <w:pPr>
              <w:spacing w:after="0"/>
              <w:rPr>
                <w:sz w:val="20"/>
                <w:szCs w:val="20"/>
              </w:rPr>
            </w:pPr>
            <w:r>
              <w:rPr>
                <w:rFonts w:eastAsia="Calibri"/>
                <w:sz w:val="20"/>
                <w:szCs w:val="20"/>
              </w:rPr>
              <w:t>0</w:t>
            </w:r>
          </w:p>
        </w:tc>
        <w:tc>
          <w:tcPr>
            <w:tcW w:w="1530" w:type="dxa"/>
            <w:shd w:val="clear" w:color="auto" w:fill="auto"/>
          </w:tcPr>
          <w:p w:rsidRPr="007C52BE" w:rsidR="009668CC" w:rsidP="009668CC" w:rsidRDefault="0085362F" w14:paraId="36C6C58B" w14:textId="6E654B9A">
            <w:pPr>
              <w:spacing w:after="0"/>
              <w:rPr>
                <w:sz w:val="20"/>
                <w:szCs w:val="20"/>
              </w:rPr>
            </w:pPr>
            <w:r>
              <w:rPr>
                <w:rFonts w:eastAsia="Calibri"/>
                <w:sz w:val="20"/>
                <w:szCs w:val="20"/>
              </w:rPr>
              <w:t>90</w:t>
            </w:r>
          </w:p>
        </w:tc>
      </w:tr>
      <w:tr w:rsidRPr="00C47150" w:rsidR="00127A77" w:rsidTr="004B3AFB" w14:paraId="4F125F86" w14:textId="77777777">
        <w:trPr>
          <w:trHeight w:val="233"/>
        </w:trPr>
        <w:tc>
          <w:tcPr>
            <w:tcW w:w="6290" w:type="dxa"/>
            <w:shd w:val="clear" w:color="auto" w:fill="D9D9D9" w:themeFill="background1" w:themeFillShade="D9"/>
          </w:tcPr>
          <w:p w:rsidRPr="00127A77" w:rsidR="00127A77" w:rsidP="009668CC" w:rsidRDefault="00127A77" w14:paraId="5D9F27BF" w14:textId="4C7DC113">
            <w:pPr>
              <w:spacing w:after="0"/>
              <w:rPr>
                <w:b/>
                <w:bCs/>
                <w:sz w:val="20"/>
                <w:szCs w:val="20"/>
              </w:rPr>
            </w:pPr>
            <w:r w:rsidRPr="00127A77">
              <w:rPr>
                <w:b/>
                <w:bCs/>
                <w:sz w:val="20"/>
                <w:szCs w:val="20"/>
              </w:rPr>
              <w:t>Total Applications</w:t>
            </w:r>
            <w:r w:rsidR="009B3F0A">
              <w:rPr>
                <w:b/>
                <w:bCs/>
                <w:sz w:val="20"/>
                <w:szCs w:val="20"/>
              </w:rPr>
              <w:t xml:space="preserve"> </w:t>
            </w:r>
            <w:r w:rsidR="00836DE2">
              <w:rPr>
                <w:b/>
                <w:bCs/>
                <w:sz w:val="20"/>
                <w:szCs w:val="20"/>
              </w:rPr>
              <w:t>(c)</w:t>
            </w:r>
          </w:p>
        </w:tc>
        <w:tc>
          <w:tcPr>
            <w:tcW w:w="1530" w:type="dxa"/>
            <w:shd w:val="clear" w:color="auto" w:fill="D9D9D9" w:themeFill="background1" w:themeFillShade="D9"/>
          </w:tcPr>
          <w:p w:rsidRPr="00127A77" w:rsidR="00127A77" w:rsidP="009668CC" w:rsidRDefault="0085362F" w14:paraId="3DC4A8F2" w14:textId="3F1242D0">
            <w:pPr>
              <w:spacing w:after="0"/>
              <w:rPr>
                <w:rFonts w:eastAsia="Calibri"/>
                <w:b/>
                <w:bCs/>
                <w:sz w:val="20"/>
                <w:szCs w:val="20"/>
              </w:rPr>
            </w:pPr>
            <w:r>
              <w:rPr>
                <w:rFonts w:eastAsia="Calibri"/>
                <w:b/>
                <w:bCs/>
                <w:sz w:val="20"/>
                <w:szCs w:val="20"/>
              </w:rPr>
              <w:t>90</w:t>
            </w:r>
          </w:p>
        </w:tc>
        <w:tc>
          <w:tcPr>
            <w:tcW w:w="1530" w:type="dxa"/>
            <w:shd w:val="clear" w:color="auto" w:fill="D9D9D9" w:themeFill="background1" w:themeFillShade="D9"/>
          </w:tcPr>
          <w:p w:rsidRPr="00127A77" w:rsidR="00127A77" w:rsidP="009668CC" w:rsidRDefault="0085362F" w14:paraId="3C922E98" w14:textId="3A9A06BF">
            <w:pPr>
              <w:spacing w:after="0"/>
              <w:rPr>
                <w:rFonts w:eastAsia="Calibri"/>
                <w:b/>
                <w:bCs/>
                <w:sz w:val="20"/>
                <w:szCs w:val="20"/>
              </w:rPr>
            </w:pPr>
            <w:r>
              <w:rPr>
                <w:rFonts w:eastAsia="Calibri"/>
                <w:b/>
                <w:bCs/>
                <w:sz w:val="20"/>
                <w:szCs w:val="20"/>
              </w:rPr>
              <w:t>90</w:t>
            </w:r>
          </w:p>
        </w:tc>
      </w:tr>
      <w:tr w:rsidRPr="00C47150" w:rsidR="009668CC" w:rsidTr="004B3AFB" w14:paraId="075CD4E7" w14:textId="77777777">
        <w:trPr>
          <w:trHeight w:val="233"/>
        </w:trPr>
        <w:tc>
          <w:tcPr>
            <w:tcW w:w="6290" w:type="dxa"/>
            <w:shd w:val="clear" w:color="auto" w:fill="auto"/>
          </w:tcPr>
          <w:p w:rsidRPr="007C52BE" w:rsidR="009668CC" w:rsidP="009668CC" w:rsidRDefault="009668CC" w14:paraId="31D6E17C" w14:textId="6AE43E8B">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w:t>
            </w:r>
            <w:r w:rsidR="00836DE2">
              <w:rPr>
                <w:sz w:val="20"/>
                <w:szCs w:val="20"/>
              </w:rPr>
              <w:t>d</w:t>
            </w:r>
            <w:r w:rsidRPr="007C52BE">
              <w:rPr>
                <w:sz w:val="20"/>
                <w:szCs w:val="20"/>
              </w:rPr>
              <w:t>)</w:t>
            </w:r>
          </w:p>
        </w:tc>
        <w:tc>
          <w:tcPr>
            <w:tcW w:w="1530" w:type="dxa"/>
          </w:tcPr>
          <w:p w:rsidR="009668CC" w:rsidP="009668CC" w:rsidRDefault="00906CDC" w14:paraId="1B95297E" w14:textId="20D8972B">
            <w:pPr>
              <w:spacing w:after="0"/>
              <w:rPr>
                <w:sz w:val="20"/>
                <w:szCs w:val="20"/>
              </w:rPr>
            </w:pPr>
            <w:r>
              <w:rPr>
                <w:rFonts w:eastAsia="Calibri"/>
                <w:sz w:val="20"/>
                <w:szCs w:val="20"/>
              </w:rPr>
              <w:t>9</w:t>
            </w:r>
            <w:r w:rsidR="005E5277">
              <w:rPr>
                <w:rFonts w:eastAsia="Calibri"/>
                <w:sz w:val="20"/>
                <w:szCs w:val="20"/>
              </w:rPr>
              <w:t>.5</w:t>
            </w:r>
          </w:p>
        </w:tc>
        <w:tc>
          <w:tcPr>
            <w:tcW w:w="1530" w:type="dxa"/>
            <w:shd w:val="clear" w:color="auto" w:fill="auto"/>
          </w:tcPr>
          <w:p w:rsidR="009668CC" w:rsidP="009668CC" w:rsidRDefault="00716B0A" w14:paraId="44659047" w14:textId="292A01B6">
            <w:pPr>
              <w:spacing w:after="0"/>
              <w:rPr>
                <w:sz w:val="20"/>
                <w:szCs w:val="20"/>
              </w:rPr>
            </w:pPr>
            <w:r>
              <w:rPr>
                <w:rFonts w:eastAsia="Calibri"/>
                <w:sz w:val="20"/>
                <w:szCs w:val="20"/>
              </w:rPr>
              <w:t>0</w:t>
            </w:r>
          </w:p>
        </w:tc>
      </w:tr>
      <w:tr w:rsidRPr="00C47150" w:rsidR="009668CC" w:rsidTr="004B3AFB" w14:paraId="3205F8C0" w14:textId="77777777">
        <w:trPr>
          <w:trHeight w:val="233"/>
        </w:trPr>
        <w:tc>
          <w:tcPr>
            <w:tcW w:w="6290" w:type="dxa"/>
            <w:shd w:val="clear" w:color="auto" w:fill="auto"/>
            <w:hideMark/>
          </w:tcPr>
          <w:p w:rsidRPr="007C52BE" w:rsidR="009668CC" w:rsidP="009668CC" w:rsidRDefault="009668CC" w14:paraId="0F6064FB" w14:textId="4B907696">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sidR="00836DE2">
              <w:rPr>
                <w:sz w:val="20"/>
                <w:szCs w:val="20"/>
              </w:rPr>
              <w:t>e</w:t>
            </w:r>
            <w:r w:rsidRPr="007C52BE">
              <w:rPr>
                <w:sz w:val="20"/>
                <w:szCs w:val="20"/>
              </w:rPr>
              <w:t>)</w:t>
            </w:r>
          </w:p>
        </w:tc>
        <w:tc>
          <w:tcPr>
            <w:tcW w:w="1530" w:type="dxa"/>
          </w:tcPr>
          <w:p w:rsidR="009668CC" w:rsidP="009668CC" w:rsidRDefault="00C62705" w14:paraId="000EBA78" w14:textId="00223FAC">
            <w:pPr>
              <w:spacing w:after="0"/>
              <w:rPr>
                <w:sz w:val="20"/>
                <w:szCs w:val="20"/>
              </w:rPr>
            </w:pPr>
            <w:r>
              <w:rPr>
                <w:rFonts w:eastAsia="Calibri"/>
                <w:sz w:val="20"/>
                <w:szCs w:val="20"/>
              </w:rPr>
              <w:t>0</w:t>
            </w:r>
          </w:p>
        </w:tc>
        <w:tc>
          <w:tcPr>
            <w:tcW w:w="1530" w:type="dxa"/>
            <w:shd w:val="clear" w:color="auto" w:fill="auto"/>
            <w:hideMark/>
          </w:tcPr>
          <w:p w:rsidRPr="007C52BE" w:rsidR="009668CC" w:rsidP="009668CC" w:rsidRDefault="00906CDC" w14:paraId="5014336F" w14:textId="62F69A1A">
            <w:pPr>
              <w:spacing w:after="0"/>
              <w:rPr>
                <w:sz w:val="20"/>
                <w:szCs w:val="20"/>
              </w:rPr>
            </w:pPr>
            <w:r>
              <w:rPr>
                <w:rFonts w:eastAsia="Calibri"/>
                <w:sz w:val="20"/>
                <w:szCs w:val="20"/>
              </w:rPr>
              <w:t>11.5</w:t>
            </w:r>
          </w:p>
        </w:tc>
      </w:tr>
      <w:tr w:rsidRPr="00C47150" w:rsidR="00440E8D" w:rsidTr="00E53E05" w14:paraId="7EF03E0C" w14:textId="77777777">
        <w:trPr>
          <w:trHeight w:val="260"/>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85362F" w14:paraId="2CB167A2" w14:textId="577B6ED2">
            <w:pPr>
              <w:spacing w:after="0"/>
              <w:rPr>
                <w:sz w:val="20"/>
                <w:szCs w:val="20"/>
              </w:rPr>
            </w:pPr>
            <w:r>
              <w:rPr>
                <w:rFonts w:eastAsia="Calibri"/>
                <w:b/>
                <w:bCs/>
                <w:sz w:val="20"/>
                <w:szCs w:val="20"/>
              </w:rPr>
              <w:t xml:space="preserve">Total </w:t>
            </w:r>
            <w:r w:rsidRPr="00871E51" w:rsidR="00440E8D">
              <w:rPr>
                <w:rFonts w:eastAsia="Calibri"/>
                <w:b/>
                <w:bCs/>
                <w:sz w:val="20"/>
                <w:szCs w:val="20"/>
              </w:rPr>
              <w:t>Annual Hours for Self-nomination (</w:t>
            </w:r>
            <w:r w:rsidR="00836DE2">
              <w:rPr>
                <w:rFonts w:eastAsia="Calibri"/>
                <w:b/>
                <w:bCs/>
                <w:sz w:val="20"/>
                <w:szCs w:val="20"/>
              </w:rPr>
              <w:t>f</w:t>
            </w:r>
            <w:r w:rsidRPr="00871E51" w:rsidR="00440E8D">
              <w:rPr>
                <w:rFonts w:eastAsia="Calibri"/>
                <w:b/>
                <w:bCs/>
                <w:sz w:val="20"/>
                <w:szCs w:val="20"/>
              </w:rPr>
              <w:t>) = (a) * (</w:t>
            </w:r>
            <w:r w:rsidR="00CE3655">
              <w:rPr>
                <w:rFonts w:eastAsia="Calibri"/>
                <w:b/>
                <w:bCs/>
                <w:sz w:val="20"/>
                <w:szCs w:val="20"/>
              </w:rPr>
              <w:t>d</w:t>
            </w:r>
            <w:r w:rsidRPr="00871E51" w:rsidR="00440E8D">
              <w:rPr>
                <w:rFonts w:eastAsia="Calibri"/>
                <w:b/>
                <w:bCs/>
                <w:sz w:val="20"/>
                <w:szCs w:val="20"/>
              </w:rPr>
              <w:t>) and (b) * (</w:t>
            </w:r>
            <w:r w:rsidR="00CE3655">
              <w:rPr>
                <w:rFonts w:eastAsia="Calibri"/>
                <w:b/>
                <w:bCs/>
                <w:sz w:val="20"/>
                <w:szCs w:val="20"/>
              </w:rPr>
              <w:t>e</w:t>
            </w:r>
            <w:r w:rsidRPr="00871E51" w:rsidR="00440E8D">
              <w:rPr>
                <w:rFonts w:eastAsia="Calibri"/>
                <w:b/>
                <w:bCs/>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85362F" w14:paraId="2CE16EC5" w14:textId="4201976B">
            <w:pPr>
              <w:spacing w:after="0"/>
              <w:rPr>
                <w:rFonts w:eastAsia="Calibri"/>
                <w:sz w:val="20"/>
                <w:szCs w:val="20"/>
              </w:rPr>
            </w:pPr>
            <w:r>
              <w:rPr>
                <w:rFonts w:eastAsia="Calibri"/>
                <w:b/>
                <w:bCs/>
                <w:sz w:val="20"/>
                <w:szCs w:val="20"/>
              </w:rPr>
              <w:t>855</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C34F8" w:rsidR="00440E8D" w:rsidP="00440E8D" w:rsidRDefault="0085362F" w14:paraId="5F6348E4" w14:textId="521AA907">
            <w:pPr>
              <w:spacing w:after="0"/>
              <w:rPr>
                <w:rFonts w:eastAsia="Calibri"/>
                <w:sz w:val="20"/>
                <w:szCs w:val="20"/>
              </w:rPr>
            </w:pPr>
            <w:r>
              <w:rPr>
                <w:rFonts w:eastAsia="Calibri"/>
                <w:b/>
                <w:bCs/>
                <w:sz w:val="20"/>
                <w:szCs w:val="20"/>
              </w:rPr>
              <w:t>1,035</w:t>
            </w:r>
          </w:p>
        </w:tc>
      </w:tr>
      <w:tr w:rsidRPr="00996931" w:rsidR="00102ED0" w:rsidTr="001376EC" w14:paraId="4D5AEEBF"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64DFB30B" w14:textId="06D7B8F7">
            <w:pPr>
              <w:spacing w:after="0"/>
              <w:rPr>
                <w:rFonts w:eastAsia="Calibri"/>
                <w:sz w:val="20"/>
                <w:szCs w:val="20"/>
              </w:rPr>
            </w:pPr>
            <w:r w:rsidRPr="001376EC">
              <w:rPr>
                <w:rFonts w:eastAsia="Calibri"/>
                <w:sz w:val="20"/>
                <w:szCs w:val="20"/>
              </w:rPr>
              <w:t>Cost Per Simplified Process Per QCDR (@ computer systems analyst’s labor rate of $9</w:t>
            </w:r>
            <w:r w:rsidR="00517BAD">
              <w:rPr>
                <w:rFonts w:eastAsia="Calibri"/>
                <w:sz w:val="20"/>
                <w:szCs w:val="20"/>
              </w:rPr>
              <w:t>8</w:t>
            </w:r>
            <w:r w:rsidRPr="001376EC">
              <w:rPr>
                <w:rFonts w:eastAsia="Calibri"/>
                <w:sz w:val="20"/>
                <w:szCs w:val="20"/>
              </w:rPr>
              <w:t>.2</w:t>
            </w:r>
            <w:r w:rsidR="00517BAD">
              <w:rPr>
                <w:rFonts w:eastAsia="Calibri"/>
                <w:sz w:val="20"/>
                <w:szCs w:val="20"/>
              </w:rPr>
              <w:t>8</w:t>
            </w:r>
            <w:r w:rsidRPr="001376EC">
              <w:rPr>
                <w:rFonts w:eastAsia="Calibri"/>
                <w:sz w:val="20"/>
                <w:szCs w:val="20"/>
              </w:rPr>
              <w:t>/</w:t>
            </w:r>
            <w:proofErr w:type="spellStart"/>
            <w:r w:rsidRPr="001376EC">
              <w:rPr>
                <w:rFonts w:eastAsia="Calibri"/>
                <w:sz w:val="20"/>
                <w:szCs w:val="20"/>
              </w:rPr>
              <w:t>hr</w:t>
            </w:r>
            <w:proofErr w:type="spellEnd"/>
            <w:r w:rsidRPr="001376EC">
              <w:rPr>
                <w:rFonts w:eastAsia="Calibri"/>
                <w:sz w:val="20"/>
                <w:szCs w:val="20"/>
              </w:rPr>
              <w:t>) (</w:t>
            </w:r>
            <w:r w:rsidR="00F66994">
              <w:rPr>
                <w:rFonts w:eastAsia="Calibri"/>
                <w:sz w:val="20"/>
                <w:szCs w:val="20"/>
              </w:rPr>
              <w:t>g</w:t>
            </w:r>
            <w:r w:rsidRPr="001376EC">
              <w:rPr>
                <w:rFonts w:eastAsia="Calibri"/>
                <w:sz w:val="20"/>
                <w:szCs w:val="20"/>
              </w:rPr>
              <w:t>) = (</w:t>
            </w:r>
            <w:r w:rsidR="009545E0">
              <w:rPr>
                <w:rFonts w:eastAsia="Calibri"/>
                <w:sz w:val="20"/>
                <w:szCs w:val="20"/>
              </w:rPr>
              <w:t>d</w:t>
            </w:r>
            <w:r w:rsidRPr="001376EC">
              <w:rPr>
                <w:rFonts w:eastAsia="Calibri"/>
                <w:sz w:val="20"/>
                <w:szCs w:val="20"/>
              </w:rPr>
              <w:t>) * $9</w:t>
            </w:r>
            <w:r w:rsidR="002A0030">
              <w:rPr>
                <w:rFonts w:eastAsia="Calibri"/>
                <w:sz w:val="20"/>
                <w:szCs w:val="20"/>
              </w:rPr>
              <w:t>8</w:t>
            </w:r>
            <w:r w:rsidRPr="001376EC">
              <w:rPr>
                <w:rFonts w:eastAsia="Calibri"/>
                <w:sz w:val="20"/>
                <w:szCs w:val="20"/>
              </w:rPr>
              <w:t>.2</w:t>
            </w:r>
            <w:r w:rsidR="002A0030">
              <w:rPr>
                <w:rFonts w:eastAsia="Calibri"/>
                <w:sz w:val="20"/>
                <w:szCs w:val="20"/>
              </w:rPr>
              <w:t>8</w:t>
            </w:r>
            <w:r w:rsidRPr="001376EC">
              <w:rPr>
                <w:rFonts w:eastAsia="Calibri"/>
                <w:sz w:val="20"/>
                <w:szCs w:val="20"/>
              </w:rPr>
              <w:t>/</w:t>
            </w:r>
            <w:proofErr w:type="spellStart"/>
            <w:r w:rsidRPr="001376EC">
              <w:rPr>
                <w:rFonts w:eastAsia="Calibri"/>
                <w:sz w:val="20"/>
                <w:szCs w:val="20"/>
              </w:rPr>
              <w:t>hr</w:t>
            </w:r>
            <w:proofErr w:type="spellEnd"/>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102ED0" w14:paraId="74E494B2" w14:textId="2DC2AB05">
            <w:pPr>
              <w:spacing w:after="0"/>
              <w:rPr>
                <w:rFonts w:eastAsia="Calibri"/>
                <w:sz w:val="20"/>
                <w:szCs w:val="20"/>
              </w:rPr>
            </w:pPr>
            <w:r w:rsidRPr="001376EC">
              <w:rPr>
                <w:rFonts w:eastAsia="Calibri"/>
                <w:sz w:val="20"/>
                <w:szCs w:val="20"/>
              </w:rPr>
              <w:t>$9</w:t>
            </w:r>
            <w:r w:rsidR="00F66994">
              <w:rPr>
                <w:rFonts w:eastAsia="Calibri"/>
                <w:sz w:val="20"/>
                <w:szCs w:val="20"/>
              </w:rPr>
              <w:t>33</w:t>
            </w:r>
            <w:r w:rsidRPr="001376EC">
              <w:rPr>
                <w:rFonts w:eastAsia="Calibri"/>
                <w:sz w:val="20"/>
                <w:szCs w:val="20"/>
              </w:rPr>
              <w:t>.6</w:t>
            </w:r>
            <w:r w:rsidR="00F66994">
              <w:rPr>
                <w:rFonts w:eastAsia="Calibri"/>
                <w:sz w:val="20"/>
                <w:szCs w:val="20"/>
              </w:rPr>
              <w:t>6</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F66994" w14:paraId="0029597E" w14:textId="2027B450">
            <w:pPr>
              <w:spacing w:after="0"/>
              <w:rPr>
                <w:rFonts w:eastAsia="Calibri"/>
                <w:sz w:val="20"/>
                <w:szCs w:val="20"/>
              </w:rPr>
            </w:pPr>
            <w:r>
              <w:rPr>
                <w:rFonts w:eastAsia="Calibri"/>
                <w:sz w:val="20"/>
                <w:szCs w:val="20"/>
              </w:rPr>
              <w:t>0</w:t>
            </w:r>
          </w:p>
        </w:tc>
      </w:tr>
      <w:tr w:rsidRPr="00996931" w:rsidR="00102ED0" w:rsidTr="001376EC" w14:paraId="064F3219"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3485E32A" w14:textId="453E302E">
            <w:pPr>
              <w:spacing w:after="0"/>
              <w:rPr>
                <w:rFonts w:eastAsia="Calibri"/>
                <w:sz w:val="20"/>
                <w:szCs w:val="20"/>
              </w:rPr>
            </w:pPr>
            <w:r w:rsidRPr="001376EC">
              <w:rPr>
                <w:rFonts w:eastAsia="Calibri"/>
                <w:sz w:val="20"/>
                <w:szCs w:val="20"/>
              </w:rPr>
              <w:t>Cost Per Full Process Per QCDR (@ computer systems analyst’s labor rate of $9</w:t>
            </w:r>
            <w:r w:rsidR="008A79A4">
              <w:rPr>
                <w:rFonts w:eastAsia="Calibri"/>
                <w:sz w:val="20"/>
                <w:szCs w:val="20"/>
              </w:rPr>
              <w:t>8</w:t>
            </w:r>
            <w:r w:rsidRPr="001376EC">
              <w:rPr>
                <w:rFonts w:eastAsia="Calibri"/>
                <w:sz w:val="20"/>
                <w:szCs w:val="20"/>
              </w:rPr>
              <w:t>.2</w:t>
            </w:r>
            <w:r w:rsidR="008A79A4">
              <w:rPr>
                <w:rFonts w:eastAsia="Calibri"/>
                <w:sz w:val="20"/>
                <w:szCs w:val="20"/>
              </w:rPr>
              <w:t>8</w:t>
            </w:r>
            <w:r w:rsidRPr="001376EC">
              <w:rPr>
                <w:rFonts w:eastAsia="Calibri"/>
                <w:sz w:val="20"/>
                <w:szCs w:val="20"/>
              </w:rPr>
              <w:t>/</w:t>
            </w:r>
            <w:proofErr w:type="spellStart"/>
            <w:r w:rsidRPr="001376EC">
              <w:rPr>
                <w:rFonts w:eastAsia="Calibri"/>
                <w:sz w:val="20"/>
                <w:szCs w:val="20"/>
              </w:rPr>
              <w:t>hr</w:t>
            </w:r>
            <w:proofErr w:type="spellEnd"/>
            <w:r w:rsidRPr="001376EC">
              <w:rPr>
                <w:rFonts w:eastAsia="Calibri"/>
                <w:sz w:val="20"/>
                <w:szCs w:val="20"/>
              </w:rPr>
              <w:t>) (</w:t>
            </w:r>
            <w:r w:rsidR="00F66994">
              <w:rPr>
                <w:rFonts w:eastAsia="Calibri"/>
                <w:sz w:val="20"/>
                <w:szCs w:val="20"/>
              </w:rPr>
              <w:t>h</w:t>
            </w:r>
            <w:r w:rsidRPr="001376EC">
              <w:rPr>
                <w:rFonts w:eastAsia="Calibri"/>
                <w:sz w:val="20"/>
                <w:szCs w:val="20"/>
              </w:rPr>
              <w:t>) = (</w:t>
            </w:r>
            <w:r w:rsidR="002036BE">
              <w:rPr>
                <w:rFonts w:eastAsia="Calibri"/>
                <w:sz w:val="20"/>
                <w:szCs w:val="20"/>
              </w:rPr>
              <w:t>e</w:t>
            </w:r>
            <w:r w:rsidRPr="001376EC">
              <w:rPr>
                <w:rFonts w:eastAsia="Calibri"/>
                <w:sz w:val="20"/>
                <w:szCs w:val="20"/>
              </w:rPr>
              <w:t>) * $9</w:t>
            </w:r>
            <w:r w:rsidR="002A0030">
              <w:rPr>
                <w:rFonts w:eastAsia="Calibri"/>
                <w:sz w:val="20"/>
                <w:szCs w:val="20"/>
              </w:rPr>
              <w:t>8</w:t>
            </w:r>
            <w:r w:rsidRPr="001376EC">
              <w:rPr>
                <w:rFonts w:eastAsia="Calibri"/>
                <w:sz w:val="20"/>
                <w:szCs w:val="20"/>
              </w:rPr>
              <w:t>.2</w:t>
            </w:r>
            <w:r w:rsidR="002A0030">
              <w:rPr>
                <w:rFonts w:eastAsia="Calibri"/>
                <w:sz w:val="20"/>
                <w:szCs w:val="20"/>
              </w:rPr>
              <w:t>8</w:t>
            </w:r>
            <w:r w:rsidRPr="001376EC">
              <w:rPr>
                <w:rFonts w:eastAsia="Calibri"/>
                <w:sz w:val="20"/>
                <w:szCs w:val="20"/>
              </w:rPr>
              <w:t>/</w:t>
            </w:r>
            <w:proofErr w:type="spellStart"/>
            <w:r w:rsidRPr="001376EC">
              <w:rPr>
                <w:rFonts w:eastAsia="Calibri"/>
                <w:sz w:val="20"/>
                <w:szCs w:val="20"/>
              </w:rPr>
              <w:t>hr</w:t>
            </w:r>
            <w:proofErr w:type="spellEnd"/>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376EC" w:rsidR="00102ED0" w:rsidP="00102ED0" w:rsidRDefault="00F66994" w14:paraId="0F6898F4" w14:textId="049CDC9B">
            <w:pPr>
              <w:spacing w:after="0"/>
              <w:rPr>
                <w:rFonts w:eastAsia="Calibri"/>
                <w:sz w:val="20"/>
                <w:szCs w:val="20"/>
              </w:rPr>
            </w:pPr>
            <w:r>
              <w:rPr>
                <w:rFonts w:eastAsia="Calibri"/>
                <w:sz w:val="20"/>
                <w:szCs w:val="20"/>
              </w:rPr>
              <w:t>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1376EC" w:rsidR="00102ED0" w:rsidP="00102ED0" w:rsidRDefault="00102ED0" w14:paraId="3AC08230" w14:textId="10C7DFB5">
            <w:pPr>
              <w:spacing w:after="0"/>
              <w:rPr>
                <w:rFonts w:eastAsia="Calibri"/>
                <w:sz w:val="20"/>
                <w:szCs w:val="20"/>
              </w:rPr>
            </w:pPr>
            <w:r w:rsidRPr="001376EC">
              <w:rPr>
                <w:rFonts w:eastAsia="Calibri"/>
                <w:sz w:val="20"/>
                <w:szCs w:val="20"/>
              </w:rPr>
              <w:t>$1,</w:t>
            </w:r>
            <w:r w:rsidR="00F66994">
              <w:rPr>
                <w:rFonts w:eastAsia="Calibri"/>
                <w:sz w:val="20"/>
                <w:szCs w:val="20"/>
              </w:rPr>
              <w:t>130.22</w:t>
            </w:r>
          </w:p>
        </w:tc>
      </w:tr>
      <w:tr w:rsidRPr="00871E51" w:rsidR="00102ED0" w:rsidTr="00102ED0" w14:paraId="0F9E131F" w14:textId="77777777">
        <w:trPr>
          <w:trHeight w:val="233"/>
        </w:trPr>
        <w:tc>
          <w:tcPr>
            <w:tcW w:w="6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3D0E770B" w14:textId="6676DF42">
            <w:pPr>
              <w:spacing w:after="0"/>
              <w:rPr>
                <w:rFonts w:eastAsia="Calibri"/>
                <w:b/>
                <w:bCs/>
                <w:sz w:val="20"/>
                <w:szCs w:val="20"/>
              </w:rPr>
            </w:pPr>
            <w:r w:rsidRPr="00871E51">
              <w:rPr>
                <w:rFonts w:eastAsia="Calibri"/>
                <w:b/>
                <w:bCs/>
                <w:sz w:val="20"/>
                <w:szCs w:val="20"/>
              </w:rPr>
              <w:t>Total Annual Cost (</w:t>
            </w:r>
            <w:r w:rsidR="00D919A4">
              <w:rPr>
                <w:rFonts w:eastAsia="Calibri"/>
                <w:b/>
                <w:bCs/>
                <w:sz w:val="20"/>
                <w:szCs w:val="20"/>
              </w:rPr>
              <w:t>i</w:t>
            </w:r>
            <w:r w:rsidRPr="00871E51">
              <w:rPr>
                <w:rFonts w:eastAsia="Calibri"/>
                <w:b/>
                <w:bCs/>
                <w:sz w:val="20"/>
                <w:szCs w:val="20"/>
              </w:rPr>
              <w:t>) = (a) * (</w:t>
            </w:r>
            <w:r w:rsidR="00D919A4">
              <w:rPr>
                <w:rFonts w:eastAsia="Calibri"/>
                <w:b/>
                <w:bCs/>
                <w:sz w:val="20"/>
                <w:szCs w:val="20"/>
              </w:rPr>
              <w:t>g</w:t>
            </w:r>
            <w:r w:rsidRPr="00871E51">
              <w:rPr>
                <w:rFonts w:eastAsia="Calibri"/>
                <w:b/>
                <w:bCs/>
                <w:sz w:val="20"/>
                <w:szCs w:val="20"/>
              </w:rPr>
              <w:t>)</w:t>
            </w:r>
            <w:r w:rsidR="00077766">
              <w:rPr>
                <w:rFonts w:eastAsia="Calibri"/>
                <w:b/>
                <w:bCs/>
                <w:sz w:val="20"/>
                <w:szCs w:val="20"/>
              </w:rPr>
              <w:t xml:space="preserve"> (min</w:t>
            </w:r>
            <w:r w:rsidR="00D74D26">
              <w:rPr>
                <w:rFonts w:eastAsia="Calibri"/>
                <w:b/>
                <w:bCs/>
                <w:sz w:val="20"/>
                <w:szCs w:val="20"/>
              </w:rPr>
              <w:t>.</w:t>
            </w:r>
            <w:r w:rsidR="00077766">
              <w:rPr>
                <w:rFonts w:eastAsia="Calibri"/>
                <w:b/>
                <w:bCs/>
                <w:sz w:val="20"/>
                <w:szCs w:val="20"/>
              </w:rPr>
              <w:t>)</w:t>
            </w:r>
            <w:r w:rsidRPr="00871E51">
              <w:rPr>
                <w:rFonts w:eastAsia="Calibri"/>
                <w:b/>
                <w:bCs/>
                <w:sz w:val="20"/>
                <w:szCs w:val="20"/>
              </w:rPr>
              <w:t xml:space="preserve"> </w:t>
            </w:r>
            <w:r w:rsidR="008E7E69">
              <w:rPr>
                <w:rFonts w:eastAsia="Calibri"/>
                <w:b/>
                <w:bCs/>
                <w:sz w:val="20"/>
                <w:szCs w:val="20"/>
              </w:rPr>
              <w:t>and</w:t>
            </w:r>
            <w:r w:rsidR="004A6487">
              <w:rPr>
                <w:rFonts w:eastAsia="Calibri"/>
                <w:b/>
                <w:bCs/>
                <w:sz w:val="20"/>
                <w:szCs w:val="20"/>
              </w:rPr>
              <w:t xml:space="preserve"> (b)</w:t>
            </w:r>
            <w:r w:rsidR="0078481B">
              <w:rPr>
                <w:rFonts w:eastAsia="Calibri"/>
                <w:b/>
                <w:bCs/>
                <w:sz w:val="20"/>
                <w:szCs w:val="20"/>
              </w:rPr>
              <w:t>*</w:t>
            </w:r>
            <w:r w:rsidR="008E7E69">
              <w:rPr>
                <w:rFonts w:eastAsia="Calibri"/>
                <w:b/>
                <w:bCs/>
                <w:sz w:val="20"/>
                <w:szCs w:val="20"/>
              </w:rPr>
              <w:t>(</w:t>
            </w:r>
            <w:r w:rsidR="00D919A4">
              <w:rPr>
                <w:rFonts w:eastAsia="Calibri"/>
                <w:b/>
                <w:bCs/>
                <w:sz w:val="20"/>
                <w:szCs w:val="20"/>
              </w:rPr>
              <w:t>e</w:t>
            </w:r>
            <w:r w:rsidR="008E7E69">
              <w:rPr>
                <w:rFonts w:eastAsia="Calibri"/>
                <w:b/>
                <w:bCs/>
                <w:sz w:val="20"/>
                <w:szCs w:val="20"/>
              </w:rPr>
              <w:t>)</w:t>
            </w:r>
            <w:r w:rsidR="00D919A4">
              <w:rPr>
                <w:rFonts w:eastAsia="Calibri"/>
                <w:b/>
                <w:bCs/>
                <w:sz w:val="20"/>
                <w:szCs w:val="20"/>
              </w:rPr>
              <w:t xml:space="preserve"> </w:t>
            </w:r>
            <w:r w:rsidR="00D74D26">
              <w:rPr>
                <w:rFonts w:eastAsia="Calibri"/>
                <w:b/>
                <w:bCs/>
                <w:sz w:val="20"/>
                <w:szCs w:val="20"/>
              </w:rPr>
              <w:t>(max.)</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1E51" w:rsidR="00102ED0" w:rsidP="00102ED0" w:rsidRDefault="00102ED0" w14:paraId="6EF9C71F" w14:textId="795FD0B2">
            <w:pPr>
              <w:spacing w:after="0"/>
              <w:rPr>
                <w:rFonts w:eastAsia="Calibri"/>
                <w:b/>
                <w:bCs/>
                <w:sz w:val="20"/>
                <w:szCs w:val="20"/>
              </w:rPr>
            </w:pPr>
            <w:r w:rsidRPr="00871E51">
              <w:rPr>
                <w:rFonts w:eastAsia="Calibri"/>
                <w:b/>
                <w:bCs/>
                <w:sz w:val="20"/>
                <w:szCs w:val="20"/>
              </w:rPr>
              <w:t>$</w:t>
            </w:r>
            <w:r w:rsidR="00053F3D">
              <w:rPr>
                <w:rFonts w:eastAsia="Calibri"/>
                <w:b/>
                <w:bCs/>
                <w:sz w:val="20"/>
                <w:szCs w:val="20"/>
              </w:rPr>
              <w:t>8</w:t>
            </w:r>
            <w:r w:rsidR="00D919A4">
              <w:rPr>
                <w:rFonts w:eastAsia="Calibri"/>
                <w:b/>
                <w:bCs/>
                <w:sz w:val="20"/>
                <w:szCs w:val="20"/>
              </w:rPr>
              <w:t>4,029</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71E51" w:rsidR="00102ED0" w:rsidP="00102ED0" w:rsidRDefault="00102ED0" w14:paraId="7F58E033" w14:textId="6BD6482E">
            <w:pPr>
              <w:spacing w:after="0"/>
              <w:rPr>
                <w:rFonts w:eastAsia="Calibri"/>
                <w:b/>
                <w:bCs/>
                <w:sz w:val="20"/>
                <w:szCs w:val="20"/>
              </w:rPr>
            </w:pPr>
            <w:r w:rsidRPr="00871E51">
              <w:rPr>
                <w:rFonts w:eastAsia="Calibri"/>
                <w:b/>
                <w:bCs/>
                <w:sz w:val="20"/>
                <w:szCs w:val="20"/>
              </w:rPr>
              <w:t>$1</w:t>
            </w:r>
            <w:r w:rsidR="00D919A4">
              <w:rPr>
                <w:rFonts w:eastAsia="Calibri"/>
                <w:b/>
                <w:bCs/>
                <w:sz w:val="20"/>
                <w:szCs w:val="20"/>
              </w:rPr>
              <w:t>01,720</w:t>
            </w:r>
          </w:p>
        </w:tc>
      </w:tr>
    </w:tbl>
    <w:p w:rsidRPr="00620B1B" w:rsidR="00620B1B" w:rsidP="00620B1B" w:rsidRDefault="00620B1B" w14:paraId="27200C79" w14:textId="77777777"/>
    <w:p w:rsidR="00620B1B" w:rsidP="003D552B" w:rsidRDefault="00051326" w14:paraId="65357044" w14:textId="209B15C3">
      <w:pPr>
        <w:pStyle w:val="Heading4"/>
      </w:pPr>
      <w:r>
        <w:t xml:space="preserve">   </w:t>
      </w:r>
      <w:r w:rsidR="00234D99">
        <w:t>Third Party Intermediary Plan Audits</w:t>
      </w:r>
    </w:p>
    <w:p w:rsidR="00234D99" w:rsidP="00234D99" w:rsidRDefault="009E1B0A" w14:paraId="5C98BD49" w14:textId="21DC318E">
      <w:r>
        <w:t>As discussed above in this section, we propose to add a new ICR to disti</w:t>
      </w:r>
      <w:r w:rsidR="003A2551">
        <w:t xml:space="preserve">nctly capture the burden for collection of information related to QCDR and qualified registry </w:t>
      </w:r>
      <w:r w:rsidR="007B5CF3">
        <w:t xml:space="preserve">targeted audits at </w:t>
      </w:r>
      <w:r w:rsidRPr="002D4A77" w:rsidR="002D4A77">
        <w:t>§ 414.1400(b)(3)(vi) through (viii) and the requirements for remedial action and termination of third party intermediaries at § 414.1400(e) during the third party intermediary self-nomination process. We note that we capture the estimated burden for third party intermediaries to submit additional requirements for compliance with both the conditions of approval and remedial action and termination criteria under one ICR.</w:t>
      </w:r>
    </w:p>
    <w:p w:rsidR="006D49B9" w:rsidP="00234D99" w:rsidRDefault="006D49B9" w14:paraId="412A56CB" w14:textId="71BC1710">
      <w:r w:rsidRPr="006D49B9">
        <w:t>In the CY 2022 PFS final rule, we combined the burden associated with the submission of the targeted audits, corrective action plans, participation plans and transition plans with the ICR for QCDR self-nomination process and other requirements (86 FR 65569 through 65573) and the ICR for qualified registry self-nomination process and other requirements (86 FR 65573 through 65576). For the purposes of this ICR, we refer to these audits and plans collectively as “plan audits.” For this proposed rule, we determined that it is necessary to separately estimate the burden for</w:t>
      </w:r>
      <w:r>
        <w:t xml:space="preserve"> QCDR and qualified registry </w:t>
      </w:r>
      <w:r w:rsidR="000F28AD">
        <w:t>targeted audits from their self-nomination application burden because it would more accurately re</w:t>
      </w:r>
      <w:r w:rsidR="004D289E">
        <w:t>present the burden.</w:t>
      </w:r>
    </w:p>
    <w:p w:rsidR="0025451F" w:rsidP="0010613E" w:rsidRDefault="0010613E" w14:paraId="57CDB241" w14:textId="4B456F60">
      <w:pPr>
        <w:pStyle w:val="ListParagraph"/>
        <w:numPr>
          <w:ilvl w:val="0"/>
          <w:numId w:val="43"/>
        </w:numPr>
      </w:pPr>
      <w:r>
        <w:lastRenderedPageBreak/>
        <w:t>Targeted Audits</w:t>
      </w:r>
    </w:p>
    <w:p w:rsidR="001A20C8" w:rsidP="001A20C8" w:rsidRDefault="001A20C8" w14:paraId="41CE8885" w14:textId="380D3CCC">
      <w:r w:rsidRPr="001A20C8">
        <w:t xml:space="preserve">In the CY 2022 PFS final rule (86 FR 65547 through 65548), we finalized that beginning with the CY 2021 performance period/2023 MIPS payment year, the QCDR or qualified registry must conduct targeted audits in accordance with requirements at § 414.1400(b)(3)(vi). Consistent with our assumptions in the CY 2022 PFS final rule for the QCDRs (86 FR 65574) and qualified registries (86 FR 65571) that would submit targeted audits, we estimate that the time required for a QCDR or qualified registry to submit a targeted audit ranges between 5 and 10 hours for the simplified and full self-nomination process, respectively. We assume that the staff involved in submitting the targeted audits will continue to be computer systems analysts or their equivalent, who have an average labor rate of $98.28/hr.  </w:t>
      </w:r>
    </w:p>
    <w:p w:rsidR="001A4F37" w:rsidP="001A20C8" w:rsidRDefault="001A4F37" w14:paraId="6EE23639" w14:textId="26463A04">
      <w:pPr>
        <w:rPr>
          <w:rStyle w:val="normaltextrun"/>
          <w:color w:val="000000"/>
          <w:shd w:val="clear" w:color="auto" w:fill="FFFFFF"/>
        </w:rPr>
      </w:pPr>
      <w:r>
        <w:rPr>
          <w:rStyle w:val="normaltextrun"/>
          <w:color w:val="000000"/>
          <w:shd w:val="clear" w:color="auto" w:fill="FFFFFF"/>
        </w:rPr>
        <w:t xml:space="preserve">Using the proposed adjustments to the number of QCDRs and qualified registries expected to submit self-nomination applications in the CY 2022 self-nomination period, </w:t>
      </w:r>
      <w:r w:rsidRPr="00764EF8" w:rsidR="00764EF8">
        <w:rPr>
          <w:rStyle w:val="normaltextrun"/>
          <w:color w:val="000000"/>
          <w:shd w:val="clear" w:color="auto" w:fill="FFFFFF"/>
        </w:rPr>
        <w:t>we estimate that 70 third party intermediaries (20 QCDRs and 50 qualified registries) would submit targeted audits for the CY 2023 performance period/2025 MIPS payment year</w:t>
      </w:r>
      <w:r w:rsidR="00764EF8">
        <w:rPr>
          <w:rStyle w:val="normaltextrun"/>
          <w:color w:val="000000"/>
          <w:shd w:val="clear" w:color="auto" w:fill="FFFFFF"/>
        </w:rPr>
        <w:t>.</w:t>
      </w:r>
      <w:r w:rsidR="00AE31CD">
        <w:rPr>
          <w:rStyle w:val="normaltextrun"/>
          <w:color w:val="000000"/>
          <w:shd w:val="clear" w:color="auto" w:fill="FFFFFF"/>
        </w:rPr>
        <w:t xml:space="preserve"> </w:t>
      </w:r>
      <w:r w:rsidRPr="00AE31CD" w:rsidR="00AE31CD">
        <w:rPr>
          <w:rStyle w:val="normaltextrun"/>
          <w:color w:val="000000"/>
          <w:shd w:val="clear" w:color="auto" w:fill="FFFFFF"/>
        </w:rPr>
        <w:t>Using the unchanged currently approved time per respondent (86 FR 65572), we estimate the total impact associated with QCDRs and qualified registries completing targeted audits will range from 350 hours (70 respondents × 5 hours/audit) at a cost of $34,398 (70 respondents × $491.40/audit) to 700 hours (70 respondents × 10 hours/audit) at a cost of $68,796 (70 respondents × $982.80/audit) for the simplified and full self-nomination process, respectively</w:t>
      </w:r>
      <w:r w:rsidR="00AE31CD">
        <w:rPr>
          <w:rStyle w:val="normaltextrun"/>
          <w:color w:val="000000"/>
          <w:shd w:val="clear" w:color="auto" w:fill="FFFFFF"/>
        </w:rPr>
        <w:t xml:space="preserve"> (See </w:t>
      </w:r>
      <w:r w:rsidR="009651EF">
        <w:rPr>
          <w:rStyle w:val="normaltextrun"/>
          <w:color w:val="000000"/>
          <w:shd w:val="clear" w:color="auto" w:fill="FFFFFF"/>
        </w:rPr>
        <w:t>T</w:t>
      </w:r>
      <w:r w:rsidR="00AE31CD">
        <w:rPr>
          <w:rStyle w:val="normaltextrun"/>
          <w:color w:val="000000"/>
          <w:shd w:val="clear" w:color="auto" w:fill="FFFFFF"/>
        </w:rPr>
        <w:t>able</w:t>
      </w:r>
      <w:r w:rsidR="00941451">
        <w:rPr>
          <w:rStyle w:val="normaltextrun"/>
          <w:color w:val="000000"/>
          <w:shd w:val="clear" w:color="auto" w:fill="FFFFFF"/>
        </w:rPr>
        <w:t>s 5 and</w:t>
      </w:r>
      <w:r w:rsidR="00AE31CD">
        <w:rPr>
          <w:rStyle w:val="normaltextrun"/>
          <w:color w:val="000000"/>
          <w:shd w:val="clear" w:color="auto" w:fill="FFFFFF"/>
        </w:rPr>
        <w:t xml:space="preserve"> </w:t>
      </w:r>
      <w:r w:rsidR="00941451">
        <w:rPr>
          <w:rStyle w:val="normaltextrun"/>
          <w:color w:val="000000"/>
          <w:shd w:val="clear" w:color="auto" w:fill="FFFFFF"/>
        </w:rPr>
        <w:t>6</w:t>
      </w:r>
      <w:r w:rsidR="00AE31CD">
        <w:rPr>
          <w:rStyle w:val="normaltextrun"/>
          <w:color w:val="000000"/>
          <w:shd w:val="clear" w:color="auto" w:fill="FFFFFF"/>
        </w:rPr>
        <w:t xml:space="preserve">). </w:t>
      </w:r>
    </w:p>
    <w:p w:rsidR="00BF33B5" w:rsidP="00BF33B5" w:rsidRDefault="00BF33B5" w14:paraId="4D758CC3" w14:textId="68F8B7E4">
      <w:pPr>
        <w:pStyle w:val="ListParagraph"/>
        <w:numPr>
          <w:ilvl w:val="0"/>
          <w:numId w:val="43"/>
        </w:numPr>
      </w:pPr>
      <w:r>
        <w:t>Participation Plans</w:t>
      </w:r>
    </w:p>
    <w:p w:rsidR="00ED2C0F" w:rsidP="00ED2C0F" w:rsidRDefault="00ED2C0F" w14:paraId="28B39E04" w14:textId="08FC820F">
      <w:r w:rsidRPr="00ED2C0F">
        <w:t>In the CY 2022 PFS final rule (86 FR 65546), we finalized requirements for approved QCDRs and qualified registries that have not submitted performance data to submit a participation plan as part of their self-nomination process.</w:t>
      </w:r>
      <w:r w:rsidR="00594793">
        <w:t xml:space="preserve"> </w:t>
      </w:r>
      <w:r w:rsidRPr="00594793" w:rsidR="00594793">
        <w:t>Consistent with our assumptions in the CY 2022 PFS final rule for the QCDRs (86 FR 65574) and qualified registries (86 FR 65571) that would submit participation plans, we estimate that it would take 3 hours for a QCDR or qualified registry to submit a participation plan during the self-nomination process. We assume that the staff involved in submitting a participation plan will continue to be computer systems analysts or their equivalent, who have an average labor rate of $98.28/hr.</w:t>
      </w:r>
      <w:r w:rsidR="007F50B3">
        <w:t xml:space="preserve"> </w:t>
      </w:r>
    </w:p>
    <w:p w:rsidR="00A20E26" w:rsidP="00ED2C0F" w:rsidRDefault="00A20E26" w14:paraId="5A162BBA" w14:textId="6F2C831E">
      <w:r>
        <w:t>W</w:t>
      </w:r>
      <w:r w:rsidRPr="00A20E26">
        <w:t>e estimate that 29 third party intermediaries (10 QCDRs and 19 qualified registries) would submit participation plans for the CY 2023 performance period/2025 MIPS payment year. Therefore, we estimate the total impact associated with QCDRs and qualified registries to submit participation plans would be 87 hours (29 respondents × 3 hours/plan) at a cost of $8,550 (29 respondents × $294.84/plan)</w:t>
      </w:r>
      <w:r w:rsidR="00C36DEB">
        <w:t xml:space="preserve"> (See </w:t>
      </w:r>
      <w:r w:rsidR="009651EF">
        <w:t>T</w:t>
      </w:r>
      <w:r w:rsidR="00C36DEB">
        <w:t>ables 5 and 6)</w:t>
      </w:r>
      <w:r w:rsidRPr="00A20E26">
        <w:t>.</w:t>
      </w:r>
    </w:p>
    <w:p w:rsidR="00232BE8" w:rsidP="00232BE8" w:rsidRDefault="00232BE8" w14:paraId="38FF0035" w14:textId="0D643784">
      <w:pPr>
        <w:pStyle w:val="ListParagraph"/>
        <w:numPr>
          <w:ilvl w:val="0"/>
          <w:numId w:val="43"/>
        </w:numPr>
      </w:pPr>
      <w:r>
        <w:t>Corrective Action Plans (CAPs)</w:t>
      </w:r>
    </w:p>
    <w:p w:rsidR="003429B0" w:rsidP="003429B0" w:rsidRDefault="00F67DCD" w14:paraId="58B27EBF" w14:textId="4063BE70">
      <w:r w:rsidRPr="00F67DCD">
        <w:t xml:space="preserve">As described in § 414.1400(e)(1)(i) and (ii), the remedial actions CMS may take against a third party intermediary include requiring the third party intermediary to submit to CMS </w:t>
      </w:r>
      <w:r w:rsidR="0006542C">
        <w:t xml:space="preserve">a CAP </w:t>
      </w:r>
      <w:r w:rsidRPr="00F67DCD">
        <w:t>by a date specified by the agency and publicly disclosing an entity’s data error rate on the CMS website until the data error rate falls below 3 percent.</w:t>
      </w:r>
      <w:r w:rsidR="009F6327">
        <w:t xml:space="preserve"> </w:t>
      </w:r>
      <w:r w:rsidR="00DE5E26">
        <w:t>W</w:t>
      </w:r>
      <w:r w:rsidR="003429B0">
        <w:t xml:space="preserve">e estimate that 10 third party intermediaries would submit CAPs for the CY 2023 performance period/2025 MIPS payment year. Additionally, we estimate that it would take 3 hours for a QCDR or qualified registry to submit a participation plan. We assume that the staff involved in submitting the </w:t>
      </w:r>
      <w:r w:rsidR="00DE5E26">
        <w:t>CAPs</w:t>
      </w:r>
      <w:r w:rsidR="003429B0">
        <w:t xml:space="preserve"> will continue to be computer systems analysts or their equivalent, who have an average labor rate of </w:t>
      </w:r>
      <w:r w:rsidR="003429B0">
        <w:lastRenderedPageBreak/>
        <w:t>$98.28/hr. Therefore, we estimate the total impact associated with QCDRs and qualified registries to CAPs would be 30 hours (10 respondents × 3 hours/plan) at a cost of $2,948 (10 respondents × $294.84/plan)</w:t>
      </w:r>
      <w:r w:rsidR="009651EF">
        <w:t xml:space="preserve"> (See Tables 5 and 6)</w:t>
      </w:r>
      <w:r w:rsidR="003429B0">
        <w:t>.</w:t>
      </w:r>
    </w:p>
    <w:p w:rsidR="00CC5E5E" w:rsidP="00CC5E5E" w:rsidRDefault="00CC5E5E" w14:paraId="6A64E619" w14:textId="14314B67">
      <w:pPr>
        <w:pStyle w:val="ListParagraph"/>
        <w:numPr>
          <w:ilvl w:val="0"/>
          <w:numId w:val="43"/>
        </w:numPr>
      </w:pPr>
      <w:r>
        <w:t>Transition Plans</w:t>
      </w:r>
    </w:p>
    <w:p w:rsidR="00610CB4" w:rsidP="00CC5E5E" w:rsidRDefault="00082C6F" w14:paraId="097B8C0B" w14:textId="77777777">
      <w:r w:rsidRPr="00082C6F">
        <w:t xml:space="preserve">In the CY 2020 PFS final rule (84 FR 63052 through 63053), we established a policy at § 414.1400(a)(4)(vi) that a condition of approval for the third party intermediary is 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w:t>
      </w:r>
    </w:p>
    <w:p w:rsidR="00CC5E5E" w:rsidP="00CC5E5E" w:rsidRDefault="00082C6F" w14:paraId="42267719" w14:textId="3D3FF3D6">
      <w:r w:rsidRPr="00082C6F">
        <w:t>In the CY 2020 PFS final rule (84 FR 63115), we did not estimate the total burden associated with the development of CMS approved transition plans because of the uncertain, but low frequency (less than 10 per year historically) with which third party intermediaries have elected to discontinue services during a performance period. Based on updated data received for the transition plans submitted by the registries and QCDRs beginning with the CY 2020 performance period/2022 MIPS payment year, we estimate to receive 15 transition plans from QCDRs and qualified registries for the CY 2023 performance period/2025 MIPS payment year. We estimate that it would take 1 hour for a computer system analyst or their equivalent at a labor rate of $98.28/</w:t>
      </w:r>
      <w:proofErr w:type="spellStart"/>
      <w:r w:rsidRPr="00082C6F">
        <w:t>hr</w:t>
      </w:r>
      <w:proofErr w:type="spellEnd"/>
      <w:r w:rsidRPr="00082C6F">
        <w:t xml:space="preserve"> to develop a transition plan on behalf of each QCDR or qualified registry during the self-nomination period. However, we are unable to estimate the burden for implementing the actions in the transition plan because the level of effort may vary for each QCDR or qualified registry. Therefore, we estimate the total impact associated with qualified registries completing transition plans is 15 hours (15 transition plans × 1 hour/plan) at a cost of $1,474 (15 </w:t>
      </w:r>
      <w:proofErr w:type="spellStart"/>
      <w:r w:rsidRPr="00082C6F">
        <w:t>hr</w:t>
      </w:r>
      <w:proofErr w:type="spellEnd"/>
      <w:r w:rsidRPr="00082C6F">
        <w:t xml:space="preserve"> × $98.28/</w:t>
      </w:r>
      <w:proofErr w:type="spellStart"/>
      <w:r w:rsidRPr="00082C6F">
        <w:t>hr</w:t>
      </w:r>
      <w:proofErr w:type="spellEnd"/>
      <w:r w:rsidRPr="00082C6F">
        <w:t>).</w:t>
      </w:r>
    </w:p>
    <w:p w:rsidRPr="00732012" w:rsidR="00E55187" w:rsidP="00E55187" w:rsidRDefault="00E55187" w14:paraId="0B317F50" w14:textId="315817B7">
      <w:pPr>
        <w:spacing w:after="0"/>
        <w:jc w:val="center"/>
        <w:rPr>
          <w:b/>
          <w:bCs/>
        </w:rPr>
      </w:pPr>
      <w:r>
        <w:rPr>
          <w:b/>
          <w:bCs/>
        </w:rPr>
        <w:t>TABLE 5</w:t>
      </w:r>
      <w:r w:rsidRPr="00732012">
        <w:rPr>
          <w:b/>
          <w:bCs/>
        </w:rPr>
        <w:t xml:space="preserve">: Estimated </w:t>
      </w:r>
      <w:r w:rsidR="009C3D5F">
        <w:rPr>
          <w:b/>
          <w:bCs/>
        </w:rPr>
        <w:t>Number of Respondents to Submit Plan Audits</w:t>
      </w:r>
    </w:p>
    <w:tbl>
      <w:tblPr>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0"/>
        <w:gridCol w:w="2790"/>
      </w:tblGrid>
      <w:tr w:rsidRPr="00C47150" w:rsidR="009C3D5F" w:rsidTr="00925EE7" w14:paraId="251EEE25" w14:textId="77777777">
        <w:trPr>
          <w:trHeight w:val="540"/>
          <w:tblHeader/>
        </w:trPr>
        <w:tc>
          <w:tcPr>
            <w:tcW w:w="6290" w:type="dxa"/>
            <w:shd w:val="clear" w:color="auto" w:fill="auto"/>
            <w:vAlign w:val="center"/>
          </w:tcPr>
          <w:p w:rsidRPr="00B05B18" w:rsidR="009C3D5F" w:rsidP="006330BC" w:rsidRDefault="009C3D5F" w14:paraId="04EDDFAE" w14:textId="77777777">
            <w:pPr>
              <w:spacing w:after="0"/>
              <w:rPr>
                <w:b/>
                <w:sz w:val="20"/>
                <w:szCs w:val="20"/>
              </w:rPr>
            </w:pPr>
            <w:r w:rsidRPr="00B05B18">
              <w:rPr>
                <w:b/>
                <w:sz w:val="20"/>
                <w:szCs w:val="20"/>
              </w:rPr>
              <w:t>Burden and Respondent Descriptions</w:t>
            </w:r>
          </w:p>
        </w:tc>
        <w:tc>
          <w:tcPr>
            <w:tcW w:w="2790" w:type="dxa"/>
          </w:tcPr>
          <w:p w:rsidRPr="007C52BE" w:rsidR="009C3D5F" w:rsidP="006330BC" w:rsidRDefault="009C3D5F" w14:paraId="34AAD1DB" w14:textId="108442AF">
            <w:pPr>
              <w:spacing w:after="0"/>
              <w:rPr>
                <w:b/>
                <w:bCs/>
                <w:sz w:val="20"/>
                <w:szCs w:val="20"/>
              </w:rPr>
            </w:pPr>
            <w:r>
              <w:rPr>
                <w:b/>
                <w:bCs/>
                <w:sz w:val="20"/>
                <w:szCs w:val="20"/>
              </w:rPr>
              <w:t># of Respondents</w:t>
            </w:r>
          </w:p>
        </w:tc>
      </w:tr>
      <w:tr w:rsidRPr="00C47150" w:rsidR="009C3D5F" w:rsidTr="00925EE7" w14:paraId="04A58B46" w14:textId="77777777">
        <w:trPr>
          <w:trHeight w:val="268"/>
        </w:trPr>
        <w:tc>
          <w:tcPr>
            <w:tcW w:w="6290" w:type="dxa"/>
            <w:shd w:val="clear" w:color="auto" w:fill="auto"/>
          </w:tcPr>
          <w:p w:rsidRPr="007C52BE" w:rsidR="009C3D5F" w:rsidP="006330BC" w:rsidRDefault="009C3D5F" w14:paraId="2EA2D224" w14:textId="4F521E38">
            <w:pPr>
              <w:spacing w:after="0"/>
              <w:rPr>
                <w:sz w:val="20"/>
                <w:szCs w:val="20"/>
              </w:rPr>
            </w:pPr>
            <w:r>
              <w:rPr>
                <w:sz w:val="20"/>
                <w:szCs w:val="20"/>
              </w:rPr>
              <w:t xml:space="preserve"># of Targeted Audits </w:t>
            </w:r>
            <w:r w:rsidRPr="007C52BE">
              <w:rPr>
                <w:sz w:val="20"/>
                <w:szCs w:val="20"/>
              </w:rPr>
              <w:t>(a)</w:t>
            </w:r>
          </w:p>
        </w:tc>
        <w:tc>
          <w:tcPr>
            <w:tcW w:w="2790" w:type="dxa"/>
          </w:tcPr>
          <w:p w:rsidR="009C3D5F" w:rsidP="006330BC" w:rsidRDefault="00D40851" w14:paraId="37647A9B" w14:textId="1C5E2D54">
            <w:pPr>
              <w:spacing w:after="0"/>
              <w:rPr>
                <w:sz w:val="20"/>
                <w:szCs w:val="20"/>
              </w:rPr>
            </w:pPr>
            <w:r>
              <w:rPr>
                <w:rFonts w:eastAsia="Calibri"/>
                <w:sz w:val="20"/>
                <w:szCs w:val="20"/>
              </w:rPr>
              <w:t>7</w:t>
            </w:r>
            <w:r w:rsidR="009C3D5F">
              <w:rPr>
                <w:rFonts w:eastAsia="Calibri"/>
                <w:sz w:val="20"/>
                <w:szCs w:val="20"/>
              </w:rPr>
              <w:t>0</w:t>
            </w:r>
          </w:p>
        </w:tc>
      </w:tr>
      <w:tr w:rsidRPr="00C47150" w:rsidR="009C3D5F" w:rsidTr="00925EE7" w14:paraId="557EF9C4" w14:textId="77777777">
        <w:trPr>
          <w:trHeight w:val="268"/>
        </w:trPr>
        <w:tc>
          <w:tcPr>
            <w:tcW w:w="6290" w:type="dxa"/>
            <w:tcBorders>
              <w:bottom w:val="single" w:color="auto" w:sz="4" w:space="0"/>
            </w:tcBorders>
            <w:shd w:val="clear" w:color="auto" w:fill="auto"/>
          </w:tcPr>
          <w:p w:rsidRPr="007C52BE" w:rsidR="009C3D5F" w:rsidP="006330BC" w:rsidRDefault="009C3D5F" w14:paraId="5DDCA976" w14:textId="4AC3DB1A">
            <w:pPr>
              <w:spacing w:after="0"/>
              <w:rPr>
                <w:sz w:val="20"/>
                <w:szCs w:val="20"/>
              </w:rPr>
            </w:pPr>
            <w:r w:rsidRPr="007C52BE">
              <w:rPr>
                <w:sz w:val="20"/>
                <w:szCs w:val="20"/>
              </w:rPr>
              <w:t xml:space="preserve"># of </w:t>
            </w:r>
            <w:r w:rsidR="002D51E2">
              <w:rPr>
                <w:sz w:val="20"/>
                <w:szCs w:val="20"/>
              </w:rPr>
              <w:t>Participation Plans</w:t>
            </w:r>
            <w:r>
              <w:rPr>
                <w:sz w:val="20"/>
                <w:szCs w:val="20"/>
              </w:rPr>
              <w:t xml:space="preserve"> </w:t>
            </w:r>
            <w:r w:rsidRPr="007C52BE">
              <w:rPr>
                <w:sz w:val="20"/>
                <w:szCs w:val="20"/>
              </w:rPr>
              <w:t>(</w:t>
            </w:r>
            <w:r>
              <w:rPr>
                <w:sz w:val="20"/>
                <w:szCs w:val="20"/>
              </w:rPr>
              <w:t>b</w:t>
            </w:r>
            <w:r w:rsidRPr="007C52BE">
              <w:rPr>
                <w:sz w:val="20"/>
                <w:szCs w:val="20"/>
              </w:rPr>
              <w:t>)</w:t>
            </w:r>
          </w:p>
        </w:tc>
        <w:tc>
          <w:tcPr>
            <w:tcW w:w="2790" w:type="dxa"/>
            <w:tcBorders>
              <w:bottom w:val="single" w:color="auto" w:sz="4" w:space="0"/>
            </w:tcBorders>
          </w:tcPr>
          <w:p w:rsidR="009C3D5F" w:rsidP="006330BC" w:rsidRDefault="00D40851" w14:paraId="755DF412" w14:textId="56B953AE">
            <w:pPr>
              <w:spacing w:after="0"/>
              <w:rPr>
                <w:sz w:val="20"/>
                <w:szCs w:val="20"/>
              </w:rPr>
            </w:pPr>
            <w:r>
              <w:rPr>
                <w:rFonts w:eastAsia="Calibri"/>
                <w:sz w:val="20"/>
                <w:szCs w:val="20"/>
              </w:rPr>
              <w:t>29</w:t>
            </w:r>
          </w:p>
        </w:tc>
      </w:tr>
      <w:tr w:rsidRPr="00C47150" w:rsidR="009C3D5F" w:rsidTr="00925EE7" w14:paraId="12B00A6D" w14:textId="77777777">
        <w:trPr>
          <w:trHeight w:val="233"/>
        </w:trPr>
        <w:tc>
          <w:tcPr>
            <w:tcW w:w="6290" w:type="dxa"/>
            <w:shd w:val="clear" w:color="auto" w:fill="FFFFFF" w:themeFill="background1"/>
          </w:tcPr>
          <w:p w:rsidRPr="00925EE7" w:rsidR="009C3D5F" w:rsidP="006330BC" w:rsidRDefault="002D51E2" w14:paraId="0340C93F" w14:textId="1ECC0EE2">
            <w:pPr>
              <w:spacing w:after="0"/>
              <w:rPr>
                <w:sz w:val="20"/>
                <w:szCs w:val="20"/>
              </w:rPr>
            </w:pPr>
            <w:r>
              <w:rPr>
                <w:sz w:val="20"/>
                <w:szCs w:val="20"/>
              </w:rPr>
              <w:t># of Corrective Action Plans</w:t>
            </w:r>
            <w:r w:rsidR="00F10B60">
              <w:rPr>
                <w:sz w:val="20"/>
                <w:szCs w:val="20"/>
              </w:rPr>
              <w:t xml:space="preserve"> (CAPs)</w:t>
            </w:r>
            <w:r w:rsidRPr="00925EE7" w:rsidR="009C3D5F">
              <w:rPr>
                <w:sz w:val="20"/>
                <w:szCs w:val="20"/>
              </w:rPr>
              <w:t xml:space="preserve"> (c)</w:t>
            </w:r>
          </w:p>
        </w:tc>
        <w:tc>
          <w:tcPr>
            <w:tcW w:w="2790" w:type="dxa"/>
            <w:shd w:val="clear" w:color="auto" w:fill="FFFFFF" w:themeFill="background1"/>
          </w:tcPr>
          <w:p w:rsidRPr="00925EE7" w:rsidR="009C3D5F" w:rsidP="006330BC" w:rsidRDefault="00D40851" w14:paraId="67751EB8" w14:textId="1563B152">
            <w:pPr>
              <w:spacing w:after="0"/>
              <w:rPr>
                <w:rFonts w:eastAsia="Calibri"/>
                <w:sz w:val="20"/>
                <w:szCs w:val="20"/>
              </w:rPr>
            </w:pPr>
            <w:r>
              <w:rPr>
                <w:rFonts w:eastAsia="Calibri"/>
                <w:sz w:val="20"/>
                <w:szCs w:val="20"/>
              </w:rPr>
              <w:t>10</w:t>
            </w:r>
          </w:p>
        </w:tc>
      </w:tr>
      <w:tr w:rsidRPr="00C47150" w:rsidR="009C3D5F" w:rsidTr="00925EE7" w14:paraId="3E9052AD" w14:textId="77777777">
        <w:trPr>
          <w:trHeight w:val="233"/>
        </w:trPr>
        <w:tc>
          <w:tcPr>
            <w:tcW w:w="6290" w:type="dxa"/>
            <w:tcBorders>
              <w:bottom w:val="single" w:color="auto" w:sz="4" w:space="0"/>
            </w:tcBorders>
            <w:shd w:val="clear" w:color="auto" w:fill="auto"/>
          </w:tcPr>
          <w:p w:rsidRPr="007C52BE" w:rsidR="009C3D5F" w:rsidP="006330BC" w:rsidRDefault="00F10B60" w14:paraId="068CADED" w14:textId="57C7DBD9">
            <w:pPr>
              <w:spacing w:after="0"/>
              <w:rPr>
                <w:sz w:val="20"/>
                <w:szCs w:val="20"/>
              </w:rPr>
            </w:pPr>
            <w:r>
              <w:rPr>
                <w:sz w:val="20"/>
                <w:szCs w:val="20"/>
              </w:rPr>
              <w:t># of Transition Plans</w:t>
            </w:r>
            <w:r w:rsidR="009C3D5F">
              <w:rPr>
                <w:sz w:val="20"/>
                <w:szCs w:val="20"/>
              </w:rPr>
              <w:t xml:space="preserve"> (d</w:t>
            </w:r>
            <w:r w:rsidRPr="007C52BE" w:rsidR="009C3D5F">
              <w:rPr>
                <w:sz w:val="20"/>
                <w:szCs w:val="20"/>
              </w:rPr>
              <w:t>)</w:t>
            </w:r>
          </w:p>
        </w:tc>
        <w:tc>
          <w:tcPr>
            <w:tcW w:w="2790" w:type="dxa"/>
            <w:tcBorders>
              <w:bottom w:val="single" w:color="auto" w:sz="4" w:space="0"/>
            </w:tcBorders>
          </w:tcPr>
          <w:p w:rsidR="009C3D5F" w:rsidP="006330BC" w:rsidRDefault="00D40851" w14:paraId="5DF904A9" w14:textId="294A087F">
            <w:pPr>
              <w:spacing w:after="0"/>
              <w:rPr>
                <w:sz w:val="20"/>
                <w:szCs w:val="20"/>
              </w:rPr>
            </w:pPr>
            <w:r>
              <w:rPr>
                <w:rFonts w:eastAsia="Calibri"/>
                <w:sz w:val="20"/>
                <w:szCs w:val="20"/>
              </w:rPr>
              <w:t>15</w:t>
            </w:r>
          </w:p>
        </w:tc>
      </w:tr>
      <w:tr w:rsidRPr="00C47150" w:rsidR="009C3D5F" w:rsidTr="00925EE7" w14:paraId="0518BE0C" w14:textId="77777777">
        <w:trPr>
          <w:trHeight w:val="233"/>
        </w:trPr>
        <w:tc>
          <w:tcPr>
            <w:tcW w:w="6290" w:type="dxa"/>
            <w:shd w:val="clear" w:color="auto" w:fill="E7E6E6" w:themeFill="background2"/>
            <w:hideMark/>
          </w:tcPr>
          <w:p w:rsidRPr="00925EE7" w:rsidR="009C3D5F" w:rsidP="006330BC" w:rsidRDefault="009C3D5F" w14:paraId="41C0963B" w14:textId="3B2439C7">
            <w:pPr>
              <w:spacing w:after="0"/>
              <w:rPr>
                <w:b/>
                <w:bCs/>
                <w:sz w:val="20"/>
                <w:szCs w:val="20"/>
              </w:rPr>
            </w:pPr>
            <w:r w:rsidRPr="00925EE7">
              <w:rPr>
                <w:b/>
                <w:bCs/>
                <w:sz w:val="20"/>
                <w:szCs w:val="20"/>
              </w:rPr>
              <w:t xml:space="preserve">Total </w:t>
            </w:r>
            <w:r w:rsidRPr="00925EE7" w:rsidR="00F10B60">
              <w:rPr>
                <w:b/>
                <w:bCs/>
                <w:sz w:val="20"/>
                <w:szCs w:val="20"/>
              </w:rPr>
              <w:t>Respondents</w:t>
            </w:r>
            <w:r w:rsidRPr="00925EE7">
              <w:rPr>
                <w:b/>
                <w:bCs/>
                <w:sz w:val="20"/>
                <w:szCs w:val="20"/>
              </w:rPr>
              <w:t xml:space="preserve"> (e)</w:t>
            </w:r>
            <w:r w:rsidR="00FA1DF5">
              <w:rPr>
                <w:b/>
                <w:bCs/>
                <w:sz w:val="20"/>
                <w:szCs w:val="20"/>
              </w:rPr>
              <w:t xml:space="preserve"> = (a) + (b) + (c)</w:t>
            </w:r>
            <w:r w:rsidR="004C12FD">
              <w:rPr>
                <w:b/>
                <w:bCs/>
                <w:sz w:val="20"/>
                <w:szCs w:val="20"/>
              </w:rPr>
              <w:t xml:space="preserve"> + (d)</w:t>
            </w:r>
          </w:p>
        </w:tc>
        <w:tc>
          <w:tcPr>
            <w:tcW w:w="2790" w:type="dxa"/>
            <w:shd w:val="clear" w:color="auto" w:fill="E7E6E6" w:themeFill="background2"/>
          </w:tcPr>
          <w:p w:rsidRPr="00925EE7" w:rsidR="009C3D5F" w:rsidP="006330BC" w:rsidRDefault="00D40851" w14:paraId="1450380B" w14:textId="77C9688C">
            <w:pPr>
              <w:spacing w:after="0"/>
              <w:rPr>
                <w:b/>
                <w:bCs/>
                <w:sz w:val="20"/>
                <w:szCs w:val="20"/>
              </w:rPr>
            </w:pPr>
            <w:r w:rsidRPr="00925EE7">
              <w:rPr>
                <w:rFonts w:eastAsia="Calibri"/>
                <w:b/>
                <w:bCs/>
                <w:sz w:val="20"/>
                <w:szCs w:val="20"/>
              </w:rPr>
              <w:t>124</w:t>
            </w:r>
          </w:p>
        </w:tc>
      </w:tr>
    </w:tbl>
    <w:p w:rsidR="00E55187" w:rsidP="00CC5E5E" w:rsidRDefault="00E55187" w14:paraId="597A2CE3" w14:textId="776DFFEA"/>
    <w:p w:rsidR="005437CB" w:rsidP="00C038CB" w:rsidRDefault="00C038CB" w14:paraId="61BEC30C" w14:textId="3A92D320">
      <w:pPr>
        <w:spacing w:after="0"/>
        <w:textAlignment w:val="baseline"/>
        <w:rPr>
          <w:color w:val="000000"/>
        </w:rPr>
      </w:pPr>
      <w:r w:rsidRPr="00C038CB">
        <w:rPr>
          <w:color w:val="000000"/>
        </w:rPr>
        <w:t>For the CY 2023 performance period/2025 MIPS payment year, in aggregate, the proposed estimated annual burden for the simplified (or minimum) and full (or maximum) self-nomination process will range from 482 hours to 832 hours at a cost ranging from $</w:t>
      </w:r>
      <w:r w:rsidR="003514C7">
        <w:rPr>
          <w:color w:val="000000"/>
        </w:rPr>
        <w:t>47</w:t>
      </w:r>
      <w:r w:rsidRPr="00C038CB">
        <w:rPr>
          <w:color w:val="000000"/>
        </w:rPr>
        <w:t>,37</w:t>
      </w:r>
      <w:r w:rsidR="003514C7">
        <w:rPr>
          <w:color w:val="000000"/>
        </w:rPr>
        <w:t>1</w:t>
      </w:r>
      <w:r w:rsidRPr="00C038CB">
        <w:rPr>
          <w:color w:val="000000"/>
        </w:rPr>
        <w:t xml:space="preserve"> (482 </w:t>
      </w:r>
      <w:proofErr w:type="spellStart"/>
      <w:r w:rsidRPr="00C038CB">
        <w:rPr>
          <w:color w:val="000000"/>
        </w:rPr>
        <w:t>hr</w:t>
      </w:r>
      <w:proofErr w:type="spellEnd"/>
      <w:r w:rsidRPr="00C038CB">
        <w:rPr>
          <w:color w:val="000000"/>
        </w:rPr>
        <w:t xml:space="preserve"> x $98.28 /</w:t>
      </w:r>
      <w:proofErr w:type="spellStart"/>
      <w:r w:rsidRPr="00C038CB">
        <w:rPr>
          <w:color w:val="000000"/>
        </w:rPr>
        <w:t>hr</w:t>
      </w:r>
      <w:proofErr w:type="spellEnd"/>
      <w:r w:rsidRPr="00C038CB">
        <w:rPr>
          <w:color w:val="000000"/>
        </w:rPr>
        <w:t xml:space="preserve">) and $81,769 (832 </w:t>
      </w:r>
      <w:proofErr w:type="spellStart"/>
      <w:r w:rsidRPr="00C038CB">
        <w:rPr>
          <w:color w:val="000000"/>
        </w:rPr>
        <w:t>hr</w:t>
      </w:r>
      <w:proofErr w:type="spellEnd"/>
      <w:r w:rsidRPr="00C038CB">
        <w:rPr>
          <w:color w:val="000000"/>
        </w:rPr>
        <w:t xml:space="preserve"> x $98.28 /</w:t>
      </w:r>
      <w:proofErr w:type="spellStart"/>
      <w:r w:rsidRPr="00C038CB">
        <w:rPr>
          <w:color w:val="000000"/>
        </w:rPr>
        <w:t>hr</w:t>
      </w:r>
      <w:proofErr w:type="spellEnd"/>
      <w:r w:rsidRPr="00C038CB">
        <w:rPr>
          <w:color w:val="000000"/>
        </w:rPr>
        <w:t>), respectively.</w:t>
      </w:r>
    </w:p>
    <w:p w:rsidRPr="00C038CB" w:rsidR="00C038CB" w:rsidP="00925EE7" w:rsidRDefault="00C038CB" w14:paraId="0C49190F" w14:textId="396B3AE2">
      <w:pPr>
        <w:spacing w:after="0"/>
        <w:textAlignment w:val="baseline"/>
        <w:rPr>
          <w:rFonts w:ascii="Segoe UI" w:hAnsi="Segoe UI" w:cs="Segoe UI"/>
          <w:sz w:val="18"/>
          <w:szCs w:val="18"/>
        </w:rPr>
      </w:pPr>
      <w:r w:rsidRPr="00C038CB">
        <w:rPr>
          <w:color w:val="000000"/>
        </w:rPr>
        <w:t>  </w:t>
      </w:r>
    </w:p>
    <w:p w:rsidRPr="00C038CB" w:rsidR="00C038CB" w:rsidP="00C038CB" w:rsidRDefault="00C038CB" w14:paraId="6B530959" w14:textId="16406FA1">
      <w:pPr>
        <w:spacing w:after="0"/>
        <w:jc w:val="center"/>
        <w:textAlignment w:val="baseline"/>
        <w:rPr>
          <w:rFonts w:ascii="Segoe UI" w:hAnsi="Segoe UI" w:cs="Segoe UI"/>
          <w:sz w:val="18"/>
          <w:szCs w:val="18"/>
        </w:rPr>
      </w:pPr>
      <w:r w:rsidRPr="00C038CB">
        <w:rPr>
          <w:b/>
          <w:bCs/>
          <w:color w:val="000000"/>
        </w:rPr>
        <w:t xml:space="preserve">TABLE </w:t>
      </w:r>
      <w:r w:rsidRPr="00925EE7" w:rsidR="002D0CEA">
        <w:rPr>
          <w:b/>
          <w:bCs/>
          <w:color w:val="000000"/>
        </w:rPr>
        <w:t>6</w:t>
      </w:r>
      <w:r w:rsidRPr="00A65A41">
        <w:rPr>
          <w:b/>
          <w:bCs/>
          <w:color w:val="000000"/>
        </w:rPr>
        <w:t>:</w:t>
      </w:r>
      <w:r w:rsidRPr="00C038CB">
        <w:rPr>
          <w:b/>
          <w:bCs/>
          <w:color w:val="000000"/>
        </w:rPr>
        <w:t xml:space="preserve"> Estimated Burden for Third Party Intermediary Plan Audits</w:t>
      </w:r>
      <w:r w:rsidRPr="00C038CB">
        <w:rPr>
          <w:color w:val="00000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25"/>
        <w:gridCol w:w="1236"/>
        <w:gridCol w:w="1183"/>
      </w:tblGrid>
      <w:tr w:rsidRPr="00C038CB" w:rsidR="00331A1D" w:rsidTr="005A00DB" w14:paraId="2C0EBD50" w14:textId="77777777">
        <w:trPr>
          <w:cantSplit/>
          <w:trHeight w:val="540"/>
          <w:tblHeader/>
        </w:trPr>
        <w:tc>
          <w:tcPr>
            <w:tcW w:w="73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6B9A7E4F" w14:textId="77777777">
            <w:pPr>
              <w:spacing w:after="0"/>
              <w:textAlignment w:val="baseline"/>
            </w:pPr>
            <w:r w:rsidRPr="00C038CB">
              <w:rPr>
                <w:b/>
                <w:bCs/>
                <w:color w:val="000000"/>
                <w:sz w:val="20"/>
                <w:szCs w:val="20"/>
              </w:rPr>
              <w:t>Burden and Respondent Descriptions</w:t>
            </w:r>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20EC9AF5" w14:textId="77777777">
            <w:pPr>
              <w:spacing w:after="0"/>
              <w:jc w:val="center"/>
              <w:textAlignment w:val="baseline"/>
            </w:pPr>
            <w:r w:rsidRPr="00C038CB">
              <w:rPr>
                <w:b/>
                <w:bCs/>
                <w:color w:val="000000"/>
                <w:sz w:val="20"/>
                <w:szCs w:val="20"/>
              </w:rPr>
              <w:t>Minimum</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30015F07" w14:textId="77777777">
            <w:pPr>
              <w:spacing w:after="0"/>
              <w:jc w:val="center"/>
              <w:textAlignment w:val="baseline"/>
            </w:pPr>
            <w:r w:rsidRPr="00C038CB">
              <w:rPr>
                <w:b/>
                <w:bCs/>
                <w:color w:val="000000"/>
                <w:sz w:val="20"/>
                <w:szCs w:val="20"/>
              </w:rPr>
              <w:t>Maximum</w:t>
            </w:r>
            <w:r w:rsidRPr="00C038CB">
              <w:rPr>
                <w:color w:val="000000"/>
                <w:sz w:val="20"/>
                <w:szCs w:val="20"/>
              </w:rPr>
              <w:t> </w:t>
            </w:r>
          </w:p>
        </w:tc>
      </w:tr>
      <w:tr w:rsidRPr="00C038CB" w:rsidR="00C038CB" w:rsidTr="005A00DB" w14:paraId="02B7C9B3" w14:textId="77777777">
        <w:trPr>
          <w:cantSplit/>
          <w:trHeight w:val="255"/>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144C08BC" w14:textId="77777777">
            <w:pPr>
              <w:spacing w:after="0"/>
              <w:textAlignment w:val="baseline"/>
            </w:pPr>
            <w:r w:rsidRPr="00C038CB">
              <w:rPr>
                <w:color w:val="000000"/>
                <w:sz w:val="20"/>
                <w:szCs w:val="20"/>
              </w:rPr>
              <w:t># of Hours per Completion of Targeted Audit (a)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43F7C8E6" w14:textId="77777777">
            <w:pPr>
              <w:spacing w:after="0"/>
              <w:jc w:val="center"/>
              <w:textAlignment w:val="baseline"/>
            </w:pPr>
            <w:r w:rsidRPr="00C038CB">
              <w:rPr>
                <w:color w:val="000000"/>
                <w:sz w:val="20"/>
                <w:szCs w:val="20"/>
              </w:rPr>
              <w:t>5 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13E2E6AA" w14:textId="77777777">
            <w:pPr>
              <w:spacing w:after="0"/>
              <w:jc w:val="center"/>
              <w:textAlignment w:val="baseline"/>
            </w:pPr>
            <w:r w:rsidRPr="00C038CB">
              <w:rPr>
                <w:color w:val="000000"/>
                <w:sz w:val="20"/>
                <w:szCs w:val="20"/>
              </w:rPr>
              <w:t>10 </w:t>
            </w:r>
          </w:p>
        </w:tc>
      </w:tr>
      <w:tr w:rsidRPr="00C038CB" w:rsidR="00C038CB" w:rsidTr="005A00DB" w14:paraId="6CDE2531" w14:textId="77777777">
        <w:trPr>
          <w:cantSplit/>
          <w:trHeight w:val="255"/>
        </w:trPr>
        <w:tc>
          <w:tcPr>
            <w:tcW w:w="7365"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5FC18582" w14:textId="77777777">
            <w:pPr>
              <w:spacing w:after="0"/>
              <w:textAlignment w:val="baseline"/>
            </w:pPr>
            <w:r w:rsidRPr="00C038CB">
              <w:rPr>
                <w:b/>
                <w:bCs/>
                <w:color w:val="000000"/>
                <w:sz w:val="20"/>
                <w:szCs w:val="20"/>
              </w:rPr>
              <w:t>Total Annual Hours for Completion of 70 Targeted Audits (b)</w:t>
            </w:r>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1E2BAFE3" w14:textId="77777777">
            <w:pPr>
              <w:spacing w:after="0"/>
              <w:jc w:val="center"/>
              <w:textAlignment w:val="baseline"/>
            </w:pPr>
            <w:r w:rsidRPr="00C038CB">
              <w:rPr>
                <w:b/>
                <w:bCs/>
                <w:color w:val="000000"/>
                <w:sz w:val="20"/>
                <w:szCs w:val="20"/>
              </w:rPr>
              <w:t>350</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0D0751EA" w14:textId="77777777">
            <w:pPr>
              <w:spacing w:after="0"/>
              <w:jc w:val="center"/>
              <w:textAlignment w:val="baseline"/>
            </w:pPr>
            <w:r w:rsidRPr="00C038CB">
              <w:rPr>
                <w:b/>
                <w:bCs/>
                <w:color w:val="000000"/>
                <w:sz w:val="20"/>
                <w:szCs w:val="20"/>
              </w:rPr>
              <w:t>700</w:t>
            </w:r>
            <w:r w:rsidRPr="00C038CB">
              <w:rPr>
                <w:color w:val="000000"/>
                <w:sz w:val="20"/>
                <w:szCs w:val="20"/>
              </w:rPr>
              <w:t> </w:t>
            </w:r>
          </w:p>
        </w:tc>
      </w:tr>
      <w:tr w:rsidRPr="00C038CB" w:rsidR="00C038CB" w:rsidTr="005A00DB" w14:paraId="12A67434" w14:textId="77777777">
        <w:trPr>
          <w:cantSplit/>
          <w:trHeight w:val="255"/>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2145C8EE" w14:textId="77777777">
            <w:pPr>
              <w:spacing w:after="0"/>
              <w:textAlignment w:val="baseline"/>
            </w:pPr>
            <w:r w:rsidRPr="00C038CB">
              <w:rPr>
                <w:color w:val="000000"/>
                <w:sz w:val="20"/>
                <w:szCs w:val="20"/>
              </w:rPr>
              <w:lastRenderedPageBreak/>
              <w:t># of Hours per Submission of Participation Plan (c)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0D3A1D51" w14:textId="77777777">
            <w:pPr>
              <w:spacing w:after="0"/>
              <w:jc w:val="center"/>
              <w:textAlignment w:val="baseline"/>
            </w:pPr>
            <w:r w:rsidRPr="00C038CB">
              <w:rPr>
                <w:color w:val="000000"/>
                <w:sz w:val="20"/>
                <w:szCs w:val="20"/>
              </w:rPr>
              <w:t>3 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09837183" w14:textId="77777777">
            <w:pPr>
              <w:spacing w:after="0"/>
              <w:jc w:val="center"/>
              <w:textAlignment w:val="baseline"/>
            </w:pPr>
            <w:r w:rsidRPr="00C038CB">
              <w:rPr>
                <w:color w:val="000000"/>
                <w:sz w:val="20"/>
                <w:szCs w:val="20"/>
              </w:rPr>
              <w:t>3 </w:t>
            </w:r>
          </w:p>
        </w:tc>
      </w:tr>
      <w:tr w:rsidRPr="00C038CB" w:rsidR="00C038CB" w:rsidTr="005A00DB" w14:paraId="724ACCDF" w14:textId="77777777">
        <w:trPr>
          <w:cantSplit/>
          <w:trHeight w:val="255"/>
        </w:trPr>
        <w:tc>
          <w:tcPr>
            <w:tcW w:w="7365"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16C4988E" w14:textId="77777777">
            <w:pPr>
              <w:spacing w:after="0"/>
              <w:textAlignment w:val="baseline"/>
            </w:pPr>
            <w:r w:rsidRPr="00C038CB">
              <w:rPr>
                <w:b/>
                <w:bCs/>
                <w:color w:val="000000"/>
                <w:sz w:val="20"/>
                <w:szCs w:val="20"/>
              </w:rPr>
              <w:t>Total Annual Hours for Submission of 29 Participation Plans</w:t>
            </w:r>
            <w:r w:rsidRPr="00C038CB">
              <w:rPr>
                <w:color w:val="000000"/>
                <w:sz w:val="20"/>
                <w:szCs w:val="20"/>
              </w:rPr>
              <w:t xml:space="preserve"> (d) </w:t>
            </w:r>
          </w:p>
        </w:tc>
        <w:tc>
          <w:tcPr>
            <w:tcW w:w="1260"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0F1D32C4" w14:textId="77777777">
            <w:pPr>
              <w:spacing w:after="0"/>
              <w:jc w:val="center"/>
              <w:textAlignment w:val="baseline"/>
            </w:pPr>
            <w:r w:rsidRPr="00C038CB">
              <w:rPr>
                <w:b/>
                <w:bCs/>
                <w:color w:val="000000"/>
                <w:sz w:val="20"/>
                <w:szCs w:val="20"/>
              </w:rPr>
              <w:t>87</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6E313F00" w14:textId="77777777">
            <w:pPr>
              <w:spacing w:after="0"/>
              <w:jc w:val="center"/>
              <w:textAlignment w:val="baseline"/>
            </w:pPr>
            <w:r w:rsidRPr="00C038CB">
              <w:rPr>
                <w:b/>
                <w:bCs/>
                <w:color w:val="000000"/>
                <w:sz w:val="20"/>
                <w:szCs w:val="20"/>
              </w:rPr>
              <w:t>87</w:t>
            </w:r>
            <w:r w:rsidRPr="00C038CB">
              <w:rPr>
                <w:color w:val="000000"/>
                <w:sz w:val="20"/>
                <w:szCs w:val="20"/>
              </w:rPr>
              <w:t> </w:t>
            </w:r>
          </w:p>
        </w:tc>
      </w:tr>
      <w:tr w:rsidRPr="00C038CB" w:rsidR="00C038CB" w:rsidTr="005A00DB" w14:paraId="2BB9BE49" w14:textId="77777777">
        <w:trPr>
          <w:cantSplit/>
          <w:trHeight w:val="165"/>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3AA27A2D" w14:textId="77777777">
            <w:pPr>
              <w:spacing w:after="0"/>
              <w:textAlignment w:val="baseline"/>
            </w:pPr>
            <w:r w:rsidRPr="00C038CB">
              <w:rPr>
                <w:color w:val="000000"/>
                <w:sz w:val="20"/>
                <w:szCs w:val="20"/>
              </w:rPr>
              <w:t># of Hours per Submission of CAP (e)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0635F13C" w14:textId="77777777">
            <w:pPr>
              <w:spacing w:after="0"/>
              <w:jc w:val="center"/>
              <w:textAlignment w:val="baseline"/>
            </w:pPr>
            <w:r w:rsidRPr="00C038CB">
              <w:rPr>
                <w:color w:val="000000"/>
                <w:sz w:val="20"/>
                <w:szCs w:val="20"/>
              </w:rPr>
              <w:t>3 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5E7438F4" w14:textId="77777777">
            <w:pPr>
              <w:spacing w:after="0"/>
              <w:jc w:val="center"/>
              <w:textAlignment w:val="baseline"/>
            </w:pPr>
            <w:r w:rsidRPr="00C038CB">
              <w:rPr>
                <w:color w:val="000000"/>
                <w:sz w:val="20"/>
                <w:szCs w:val="20"/>
              </w:rPr>
              <w:t>3 </w:t>
            </w:r>
          </w:p>
        </w:tc>
      </w:tr>
      <w:tr w:rsidRPr="00C038CB" w:rsidR="00C038CB" w:rsidTr="005A00DB" w14:paraId="31EC7574" w14:textId="77777777">
        <w:trPr>
          <w:cantSplit/>
          <w:trHeight w:val="255"/>
        </w:trPr>
        <w:tc>
          <w:tcPr>
            <w:tcW w:w="7365"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0FC5C19A" w14:textId="77777777">
            <w:pPr>
              <w:spacing w:after="0"/>
              <w:textAlignment w:val="baseline"/>
            </w:pPr>
            <w:r w:rsidRPr="00C038CB">
              <w:rPr>
                <w:b/>
                <w:bCs/>
                <w:color w:val="000000"/>
                <w:sz w:val="20"/>
                <w:szCs w:val="20"/>
              </w:rPr>
              <w:t>Total Annual Hours for Submission of 10 CAPs (f)</w:t>
            </w:r>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C038CB" w:rsidR="00C038CB" w:rsidP="00C038CB" w:rsidRDefault="00C038CB" w14:paraId="30A0E492" w14:textId="77777777">
            <w:pPr>
              <w:spacing w:after="0"/>
              <w:jc w:val="center"/>
              <w:textAlignment w:val="baseline"/>
            </w:pPr>
            <w:r w:rsidRPr="00C038CB">
              <w:rPr>
                <w:b/>
                <w:bCs/>
                <w:color w:val="000000"/>
                <w:sz w:val="20"/>
                <w:szCs w:val="20"/>
              </w:rPr>
              <w:t>30</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D9D9D9"/>
            <w:vAlign w:val="center"/>
            <w:hideMark/>
          </w:tcPr>
          <w:p w:rsidRPr="00C038CB" w:rsidR="00C038CB" w:rsidP="00C038CB" w:rsidRDefault="00C038CB" w14:paraId="276D94A6" w14:textId="77777777">
            <w:pPr>
              <w:spacing w:after="0"/>
              <w:jc w:val="center"/>
              <w:textAlignment w:val="baseline"/>
            </w:pPr>
            <w:r w:rsidRPr="00C038CB">
              <w:rPr>
                <w:b/>
                <w:bCs/>
                <w:color w:val="000000"/>
                <w:sz w:val="20"/>
                <w:szCs w:val="20"/>
              </w:rPr>
              <w:t>30</w:t>
            </w:r>
            <w:r w:rsidRPr="00C038CB">
              <w:rPr>
                <w:color w:val="000000"/>
                <w:sz w:val="20"/>
                <w:szCs w:val="20"/>
              </w:rPr>
              <w:t> </w:t>
            </w:r>
          </w:p>
        </w:tc>
      </w:tr>
      <w:tr w:rsidRPr="00C038CB" w:rsidR="00C038CB" w:rsidTr="005A00DB" w14:paraId="5766971A" w14:textId="77777777">
        <w:trPr>
          <w:cantSplit/>
          <w:trHeight w:val="255"/>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5762B21D" w14:textId="77777777">
            <w:pPr>
              <w:spacing w:after="0"/>
              <w:textAlignment w:val="baseline"/>
            </w:pPr>
            <w:r w:rsidRPr="00C038CB">
              <w:rPr>
                <w:color w:val="000000"/>
                <w:sz w:val="20"/>
                <w:szCs w:val="20"/>
              </w:rPr>
              <w:t># of Hours per Submission of Transition Plan (g)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0057ED9D" w14:textId="77777777">
            <w:pPr>
              <w:spacing w:after="0"/>
              <w:jc w:val="center"/>
              <w:textAlignment w:val="baseline"/>
            </w:pPr>
            <w:r w:rsidRPr="00C038CB">
              <w:rPr>
                <w:color w:val="000000"/>
                <w:sz w:val="20"/>
                <w:szCs w:val="20"/>
              </w:rPr>
              <w:t>1 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484342CD" w14:textId="77777777">
            <w:pPr>
              <w:spacing w:after="0"/>
              <w:jc w:val="center"/>
              <w:textAlignment w:val="baseline"/>
            </w:pPr>
            <w:r w:rsidRPr="00C038CB">
              <w:rPr>
                <w:color w:val="000000"/>
                <w:sz w:val="20"/>
                <w:szCs w:val="20"/>
              </w:rPr>
              <w:t>1 </w:t>
            </w:r>
          </w:p>
        </w:tc>
      </w:tr>
      <w:tr w:rsidRPr="00C038CB" w:rsidR="00C038CB" w:rsidTr="005A00DB" w14:paraId="23365814" w14:textId="77777777">
        <w:trPr>
          <w:cantSplit/>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15BFA680" w14:textId="77777777">
            <w:pPr>
              <w:spacing w:after="0"/>
              <w:textAlignment w:val="baseline"/>
            </w:pPr>
            <w:r w:rsidRPr="00C038CB">
              <w:rPr>
                <w:b/>
                <w:bCs/>
                <w:color w:val="000000"/>
                <w:sz w:val="20"/>
                <w:szCs w:val="20"/>
              </w:rPr>
              <w:t>Total Annual Hours for Submission of 15 Transition Plans (h)</w:t>
            </w:r>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74633F1C" w14:textId="77777777">
            <w:pPr>
              <w:spacing w:after="0"/>
              <w:jc w:val="center"/>
              <w:textAlignment w:val="baseline"/>
            </w:pPr>
            <w:r w:rsidRPr="00C038CB">
              <w:rPr>
                <w:b/>
                <w:bCs/>
                <w:color w:val="000000"/>
                <w:sz w:val="20"/>
                <w:szCs w:val="20"/>
              </w:rPr>
              <w:t>15</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1E79015F" w14:textId="77777777">
            <w:pPr>
              <w:spacing w:after="0"/>
              <w:jc w:val="center"/>
              <w:textAlignment w:val="baseline"/>
            </w:pPr>
            <w:r w:rsidRPr="00C038CB">
              <w:rPr>
                <w:b/>
                <w:bCs/>
                <w:color w:val="000000"/>
                <w:sz w:val="20"/>
                <w:szCs w:val="20"/>
              </w:rPr>
              <w:t>15</w:t>
            </w:r>
            <w:r w:rsidRPr="00C038CB">
              <w:rPr>
                <w:color w:val="000000"/>
                <w:sz w:val="20"/>
                <w:szCs w:val="20"/>
              </w:rPr>
              <w:t> </w:t>
            </w:r>
          </w:p>
        </w:tc>
      </w:tr>
      <w:tr w:rsidRPr="00C038CB" w:rsidR="00C038CB" w:rsidTr="005A00DB" w14:paraId="63C256BB" w14:textId="77777777">
        <w:trPr>
          <w:cantSplit/>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76DDC470" w14:textId="77777777">
            <w:pPr>
              <w:spacing w:after="0"/>
              <w:textAlignment w:val="baseline"/>
            </w:pPr>
            <w:r w:rsidRPr="00C038CB">
              <w:rPr>
                <w:b/>
                <w:bCs/>
                <w:color w:val="000000"/>
                <w:sz w:val="20"/>
                <w:szCs w:val="20"/>
              </w:rPr>
              <w:t>Total Annual Hours for Submission of Plan Audits (i) = (b) + (d) + (f) + (h)</w:t>
            </w:r>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34C60056" w14:textId="77777777">
            <w:pPr>
              <w:spacing w:after="0"/>
              <w:jc w:val="center"/>
              <w:textAlignment w:val="baseline"/>
            </w:pPr>
            <w:r w:rsidRPr="00C038CB">
              <w:rPr>
                <w:b/>
                <w:bCs/>
                <w:color w:val="000000"/>
                <w:sz w:val="20"/>
                <w:szCs w:val="20"/>
              </w:rPr>
              <w:t>482</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2B07C2A1" w14:textId="77777777">
            <w:pPr>
              <w:spacing w:after="0"/>
              <w:jc w:val="center"/>
              <w:textAlignment w:val="baseline"/>
            </w:pPr>
            <w:r w:rsidRPr="00C038CB">
              <w:rPr>
                <w:b/>
                <w:bCs/>
                <w:color w:val="000000"/>
                <w:sz w:val="20"/>
                <w:szCs w:val="20"/>
              </w:rPr>
              <w:t>832</w:t>
            </w:r>
            <w:r w:rsidRPr="00C038CB">
              <w:rPr>
                <w:color w:val="000000"/>
                <w:sz w:val="20"/>
                <w:szCs w:val="20"/>
              </w:rPr>
              <w:t> </w:t>
            </w:r>
          </w:p>
        </w:tc>
      </w:tr>
      <w:tr w:rsidRPr="00C038CB" w:rsidR="00C038CB" w:rsidTr="005A00DB" w14:paraId="2936C487" w14:textId="77777777">
        <w:trPr>
          <w:cantSplit/>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31861F46" w14:textId="77777777">
            <w:pPr>
              <w:spacing w:after="0"/>
              <w:textAlignment w:val="baseline"/>
            </w:pPr>
            <w:r w:rsidRPr="00C038CB">
              <w:rPr>
                <w:color w:val="000000"/>
                <w:sz w:val="20"/>
                <w:szCs w:val="20"/>
              </w:rPr>
              <w:t>Cost Per Targeted Audit (@ computer systems analyst’s labor rate of $98.28/</w:t>
            </w:r>
            <w:proofErr w:type="spellStart"/>
            <w:r w:rsidRPr="00C038CB">
              <w:rPr>
                <w:color w:val="000000"/>
                <w:sz w:val="20"/>
                <w:szCs w:val="20"/>
              </w:rPr>
              <w:t>hr</w:t>
            </w:r>
            <w:proofErr w:type="spellEnd"/>
            <w:r w:rsidRPr="00C038CB">
              <w:rPr>
                <w:color w:val="000000"/>
                <w:sz w:val="20"/>
                <w:szCs w:val="20"/>
              </w:rPr>
              <w:t>) (j) = (a) * $98.28/</w:t>
            </w:r>
            <w:proofErr w:type="spellStart"/>
            <w:r w:rsidRPr="00C038CB">
              <w:rPr>
                <w:color w:val="000000"/>
                <w:sz w:val="20"/>
                <w:szCs w:val="20"/>
              </w:rPr>
              <w:t>hr</w:t>
            </w:r>
            <w:proofErr w:type="spellEnd"/>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016A8405" w14:textId="77777777">
            <w:pPr>
              <w:spacing w:after="0"/>
              <w:jc w:val="center"/>
              <w:textAlignment w:val="baseline"/>
            </w:pPr>
            <w:r w:rsidRPr="00C038CB">
              <w:rPr>
                <w:color w:val="000000"/>
                <w:sz w:val="20"/>
                <w:szCs w:val="20"/>
              </w:rPr>
              <w:t>$491.40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6E576125" w14:textId="77777777">
            <w:pPr>
              <w:spacing w:after="0"/>
              <w:jc w:val="center"/>
              <w:textAlignment w:val="baseline"/>
            </w:pPr>
            <w:r w:rsidRPr="00C038CB">
              <w:rPr>
                <w:color w:val="000000"/>
                <w:sz w:val="20"/>
                <w:szCs w:val="20"/>
              </w:rPr>
              <w:t>$982.80 </w:t>
            </w:r>
          </w:p>
        </w:tc>
      </w:tr>
      <w:tr w:rsidRPr="00C038CB" w:rsidR="00C038CB" w:rsidTr="005A00DB" w14:paraId="3F427A56" w14:textId="77777777">
        <w:trPr>
          <w:cantSplit/>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351E2644" w14:textId="77777777">
            <w:pPr>
              <w:spacing w:after="0"/>
              <w:textAlignment w:val="baseline"/>
            </w:pPr>
            <w:r w:rsidRPr="00C038CB">
              <w:rPr>
                <w:color w:val="000000"/>
                <w:sz w:val="20"/>
                <w:szCs w:val="20"/>
              </w:rPr>
              <w:t>Cost Per Participation Plan (@ computer systems analyst’s labor rate of $98.28/</w:t>
            </w:r>
            <w:proofErr w:type="spellStart"/>
            <w:r w:rsidRPr="00C038CB">
              <w:rPr>
                <w:color w:val="000000"/>
                <w:sz w:val="20"/>
                <w:szCs w:val="20"/>
              </w:rPr>
              <w:t>hr</w:t>
            </w:r>
            <w:proofErr w:type="spellEnd"/>
            <w:r w:rsidRPr="00C038CB">
              <w:rPr>
                <w:color w:val="000000"/>
                <w:sz w:val="20"/>
                <w:szCs w:val="20"/>
              </w:rPr>
              <w:t>) (k) = (c) * $98.28/</w:t>
            </w:r>
            <w:proofErr w:type="spellStart"/>
            <w:r w:rsidRPr="00C038CB">
              <w:rPr>
                <w:color w:val="000000"/>
                <w:sz w:val="20"/>
                <w:szCs w:val="20"/>
              </w:rPr>
              <w:t>hr</w:t>
            </w:r>
            <w:proofErr w:type="spellEnd"/>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60AED385" w14:textId="77777777">
            <w:pPr>
              <w:spacing w:after="0"/>
              <w:jc w:val="center"/>
              <w:textAlignment w:val="baseline"/>
            </w:pPr>
            <w:r w:rsidRPr="00C038CB">
              <w:rPr>
                <w:color w:val="000000"/>
                <w:sz w:val="20"/>
                <w:szCs w:val="20"/>
              </w:rPr>
              <w:t>$294.84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2DF586D6" w14:textId="77777777">
            <w:pPr>
              <w:spacing w:after="0"/>
              <w:jc w:val="center"/>
              <w:textAlignment w:val="baseline"/>
            </w:pPr>
            <w:r w:rsidRPr="00C038CB">
              <w:rPr>
                <w:color w:val="000000"/>
                <w:sz w:val="20"/>
                <w:szCs w:val="20"/>
              </w:rPr>
              <w:t>$294.84 </w:t>
            </w:r>
          </w:p>
        </w:tc>
      </w:tr>
      <w:tr w:rsidRPr="00C038CB" w:rsidR="00C038CB" w:rsidTr="005A00DB" w14:paraId="3A9FD379" w14:textId="77777777">
        <w:trPr>
          <w:cantSplit/>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745C10BA" w14:textId="77777777">
            <w:pPr>
              <w:spacing w:after="0"/>
              <w:textAlignment w:val="baseline"/>
            </w:pPr>
            <w:r w:rsidRPr="00C038CB">
              <w:rPr>
                <w:color w:val="000000"/>
                <w:sz w:val="20"/>
                <w:szCs w:val="20"/>
              </w:rPr>
              <w:t>Cost per CAP (@ computer systems analyst’s labor rate of $98.28/</w:t>
            </w:r>
            <w:proofErr w:type="spellStart"/>
            <w:r w:rsidRPr="00C038CB">
              <w:rPr>
                <w:color w:val="000000"/>
                <w:sz w:val="20"/>
                <w:szCs w:val="20"/>
              </w:rPr>
              <w:t>hr</w:t>
            </w:r>
            <w:proofErr w:type="spellEnd"/>
            <w:r w:rsidRPr="00C038CB">
              <w:rPr>
                <w:color w:val="000000"/>
                <w:sz w:val="20"/>
                <w:szCs w:val="20"/>
              </w:rPr>
              <w:t>) (l) = (e) * $98.28/</w:t>
            </w:r>
            <w:proofErr w:type="spellStart"/>
            <w:r w:rsidRPr="00C038CB">
              <w:rPr>
                <w:color w:val="000000"/>
                <w:sz w:val="20"/>
                <w:szCs w:val="20"/>
              </w:rPr>
              <w:t>hr</w:t>
            </w:r>
            <w:proofErr w:type="spellEnd"/>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0AFAA776" w14:textId="77777777">
            <w:pPr>
              <w:spacing w:after="0"/>
              <w:jc w:val="center"/>
              <w:textAlignment w:val="baseline"/>
            </w:pPr>
            <w:r w:rsidRPr="00C038CB">
              <w:rPr>
                <w:color w:val="000000"/>
                <w:sz w:val="20"/>
                <w:szCs w:val="20"/>
              </w:rPr>
              <w:t>$294.84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4CF6FEF5" w14:textId="77777777">
            <w:pPr>
              <w:spacing w:after="0"/>
              <w:jc w:val="center"/>
              <w:textAlignment w:val="baseline"/>
            </w:pPr>
            <w:r w:rsidRPr="00C038CB">
              <w:rPr>
                <w:color w:val="000000"/>
                <w:sz w:val="20"/>
                <w:szCs w:val="20"/>
              </w:rPr>
              <w:t>$294.84 </w:t>
            </w:r>
          </w:p>
        </w:tc>
      </w:tr>
      <w:tr w:rsidRPr="00C038CB" w:rsidR="00C038CB" w:rsidTr="005A00DB" w14:paraId="28FDC183" w14:textId="77777777">
        <w:trPr>
          <w:cantSplit/>
        </w:trPr>
        <w:tc>
          <w:tcPr>
            <w:tcW w:w="7365" w:type="dxa"/>
            <w:tcBorders>
              <w:top w:val="single" w:color="auto" w:sz="6" w:space="0"/>
              <w:left w:val="single" w:color="auto" w:sz="6" w:space="0"/>
              <w:bottom w:val="single" w:color="auto" w:sz="6" w:space="0"/>
              <w:right w:val="single" w:color="auto" w:sz="6" w:space="0"/>
            </w:tcBorders>
            <w:shd w:val="clear" w:color="auto" w:fill="auto"/>
            <w:hideMark/>
          </w:tcPr>
          <w:p w:rsidRPr="00C038CB" w:rsidR="00C038CB" w:rsidP="00C038CB" w:rsidRDefault="00C038CB" w14:paraId="208093F6" w14:textId="77777777">
            <w:pPr>
              <w:spacing w:after="0"/>
              <w:textAlignment w:val="baseline"/>
            </w:pPr>
            <w:r w:rsidRPr="00C038CB">
              <w:rPr>
                <w:color w:val="000000"/>
                <w:sz w:val="20"/>
                <w:szCs w:val="20"/>
              </w:rPr>
              <w:t>Cost per Transition Plan @computer systems analyst’s labor rate of $98.28/</w:t>
            </w:r>
            <w:proofErr w:type="spellStart"/>
            <w:r w:rsidRPr="00C038CB">
              <w:rPr>
                <w:color w:val="000000"/>
                <w:sz w:val="20"/>
                <w:szCs w:val="20"/>
              </w:rPr>
              <w:t>hr</w:t>
            </w:r>
            <w:proofErr w:type="spellEnd"/>
            <w:r w:rsidRPr="00C038CB">
              <w:rPr>
                <w:color w:val="000000"/>
                <w:sz w:val="20"/>
                <w:szCs w:val="20"/>
              </w:rPr>
              <w:t xml:space="preserve"> (m) = (g) * $98.28/</w:t>
            </w:r>
            <w:proofErr w:type="spellStart"/>
            <w:r w:rsidRPr="00C038CB">
              <w:rPr>
                <w:color w:val="000000"/>
                <w:sz w:val="20"/>
                <w:szCs w:val="20"/>
              </w:rPr>
              <w:t>hr</w:t>
            </w:r>
            <w:proofErr w:type="spellEnd"/>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7FB91762" w14:textId="77777777">
            <w:pPr>
              <w:spacing w:after="0"/>
              <w:jc w:val="center"/>
              <w:textAlignment w:val="baseline"/>
            </w:pPr>
            <w:r w:rsidRPr="00C038CB">
              <w:rPr>
                <w:color w:val="000000"/>
                <w:sz w:val="20"/>
                <w:szCs w:val="20"/>
              </w:rPr>
              <w:t>$98.28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038CB" w:rsidR="00C038CB" w:rsidP="00C038CB" w:rsidRDefault="00C038CB" w14:paraId="7AC314B1" w14:textId="77777777">
            <w:pPr>
              <w:spacing w:after="0"/>
              <w:jc w:val="center"/>
              <w:textAlignment w:val="baseline"/>
            </w:pPr>
            <w:r w:rsidRPr="00C038CB">
              <w:rPr>
                <w:color w:val="000000"/>
                <w:sz w:val="20"/>
                <w:szCs w:val="20"/>
              </w:rPr>
              <w:t>$98.28 </w:t>
            </w:r>
          </w:p>
        </w:tc>
      </w:tr>
      <w:tr w:rsidRPr="00C038CB" w:rsidR="00C038CB" w:rsidTr="005A00DB" w14:paraId="4487E4F0" w14:textId="77777777">
        <w:trPr>
          <w:cantSplit/>
          <w:trHeight w:val="225"/>
        </w:trPr>
        <w:tc>
          <w:tcPr>
            <w:tcW w:w="7365"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29F59821" w14:textId="77777777">
            <w:pPr>
              <w:spacing w:after="0"/>
              <w:textAlignment w:val="baseline"/>
            </w:pPr>
            <w:r w:rsidRPr="00C038CB">
              <w:rPr>
                <w:b/>
                <w:bCs/>
                <w:color w:val="000000"/>
                <w:sz w:val="20"/>
                <w:szCs w:val="20"/>
              </w:rPr>
              <w:t>Total Annual Cost (n) = 70 * (j) + 29 * (k) + 10 * (l) + 15 * (m) (min) and 70 * (j) + 29 * (k) + 10 * (l) + 15 * (m) (max)</w:t>
            </w:r>
            <w:r w:rsidRPr="00C038CB">
              <w:rPr>
                <w:color w:val="000000"/>
                <w:sz w:val="20"/>
                <w:szCs w:val="20"/>
              </w:rPr>
              <w:t> </w:t>
            </w:r>
          </w:p>
        </w:tc>
        <w:tc>
          <w:tcPr>
            <w:tcW w:w="1260"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4DDA0626" w14:textId="5FE61976">
            <w:pPr>
              <w:spacing w:after="0"/>
              <w:jc w:val="center"/>
              <w:textAlignment w:val="baseline"/>
            </w:pPr>
            <w:r w:rsidRPr="00C038CB">
              <w:rPr>
                <w:b/>
                <w:bCs/>
                <w:color w:val="000000"/>
                <w:sz w:val="20"/>
                <w:szCs w:val="20"/>
              </w:rPr>
              <w:t>$</w:t>
            </w:r>
            <w:r w:rsidR="00591FED">
              <w:rPr>
                <w:b/>
                <w:bCs/>
                <w:color w:val="000000"/>
                <w:sz w:val="20"/>
                <w:szCs w:val="20"/>
              </w:rPr>
              <w:t>47</w:t>
            </w:r>
            <w:r w:rsidRPr="00C038CB">
              <w:rPr>
                <w:b/>
                <w:bCs/>
                <w:color w:val="000000"/>
                <w:sz w:val="20"/>
                <w:szCs w:val="20"/>
              </w:rPr>
              <w:t>,37</w:t>
            </w:r>
            <w:r w:rsidR="00591FED">
              <w:rPr>
                <w:b/>
                <w:bCs/>
                <w:color w:val="000000"/>
                <w:sz w:val="20"/>
                <w:szCs w:val="20"/>
              </w:rPr>
              <w:t>1</w:t>
            </w:r>
            <w:r w:rsidRPr="00C038CB">
              <w:rPr>
                <w:color w:val="000000"/>
                <w:sz w:val="20"/>
                <w:szCs w:val="20"/>
              </w:rPr>
              <w:t> </w:t>
            </w:r>
          </w:p>
        </w:tc>
        <w:tc>
          <w:tcPr>
            <w:tcW w:w="1200" w:type="dxa"/>
            <w:tcBorders>
              <w:top w:val="single" w:color="auto" w:sz="6" w:space="0"/>
              <w:left w:val="single" w:color="auto" w:sz="6" w:space="0"/>
              <w:bottom w:val="single" w:color="auto" w:sz="6" w:space="0"/>
              <w:right w:val="single" w:color="auto" w:sz="6" w:space="0"/>
            </w:tcBorders>
            <w:shd w:val="clear" w:color="auto" w:fill="D9D9D9"/>
            <w:hideMark/>
          </w:tcPr>
          <w:p w:rsidRPr="00C038CB" w:rsidR="00C038CB" w:rsidP="00C038CB" w:rsidRDefault="00C038CB" w14:paraId="402AC9AE" w14:textId="77777777">
            <w:pPr>
              <w:spacing w:after="0"/>
              <w:textAlignment w:val="baseline"/>
            </w:pPr>
            <w:r w:rsidRPr="00C038CB">
              <w:rPr>
                <w:b/>
                <w:bCs/>
                <w:color w:val="000000"/>
                <w:sz w:val="20"/>
                <w:szCs w:val="20"/>
              </w:rPr>
              <w:t>  $81,769</w:t>
            </w:r>
            <w:r w:rsidRPr="00C038CB">
              <w:rPr>
                <w:color w:val="000000"/>
                <w:sz w:val="20"/>
                <w:szCs w:val="20"/>
              </w:rPr>
              <w:t> </w:t>
            </w:r>
          </w:p>
        </w:tc>
      </w:tr>
    </w:tbl>
    <w:p w:rsidRPr="00234D99" w:rsidR="00C038CB" w:rsidP="006C4F1A" w:rsidRDefault="00C038CB" w14:paraId="51FFBCAD" w14:textId="77777777"/>
    <w:p w:rsidRPr="00041A6A" w:rsidR="002A669C" w:rsidP="003D552B" w:rsidRDefault="000E7E06" w14:paraId="14BACB7A" w14:textId="4EB086EF">
      <w:pPr>
        <w:pStyle w:val="Heading3"/>
      </w:pPr>
      <w:r>
        <w:t xml:space="preserve">Burden Estimate for the </w:t>
      </w:r>
      <w:r w:rsidRPr="00041A6A" w:rsidR="002A669C">
        <w:t xml:space="preserve">Open Authorization </w:t>
      </w:r>
      <w:r w:rsidRPr="00041A6A" w:rsidR="00360243">
        <w:t xml:space="preserve">(OAuth) </w:t>
      </w:r>
      <w:r w:rsidRPr="00041A6A" w:rsidR="002A669C">
        <w:t>Credentialing and Token Request Process</w:t>
      </w:r>
    </w:p>
    <w:p w:rsidR="002A669C" w:rsidP="002A669C" w:rsidRDefault="00F237AB" w14:paraId="07174314" w14:textId="7F6E43F2">
      <w:r>
        <w:t xml:space="preserve">Beginning with the CY </w:t>
      </w:r>
      <w:r w:rsidR="00E92AC0">
        <w:t>202</w:t>
      </w:r>
      <w:r w:rsidR="00E076A2">
        <w:t>1</w:t>
      </w:r>
      <w:r w:rsidR="00E92AC0">
        <w:t xml:space="preserve"> performance period/2023 MIPS payment year, t</w:t>
      </w:r>
      <w:r w:rsidR="00E933A5">
        <w:t xml:space="preserve">he </w:t>
      </w:r>
      <w:r w:rsidR="00F45B05">
        <w:t xml:space="preserve">OAuth Credentialing and </w:t>
      </w:r>
      <w:r w:rsidR="007F2C6B">
        <w:t xml:space="preserve">Token Request Process </w:t>
      </w:r>
      <w:r w:rsidR="00BF7A88">
        <w:t xml:space="preserve">is available to all </w:t>
      </w:r>
      <w:r w:rsidR="00AC5FEC">
        <w:t>submitter type</w:t>
      </w:r>
      <w:r w:rsidR="002A537D">
        <w:t xml:space="preserve">s </w:t>
      </w:r>
      <w:r w:rsidR="00990EFA">
        <w:t>who are approved to submit data via the direct submission type.</w:t>
      </w:r>
      <w:r w:rsidR="00925227">
        <w:t xml:space="preserve"> </w:t>
      </w:r>
      <w:r w:rsidR="002A669C">
        <w:t xml:space="preserve">Individual </w:t>
      </w:r>
      <w:r w:rsidRPr="003B2895" w:rsidR="003B2895">
        <w:t>clinicians or groups may submit their quality measures using the direct submission type via the MIPS CQM</w:t>
      </w:r>
      <w:r w:rsidR="00DD147F">
        <w:t xml:space="preserve">, </w:t>
      </w:r>
      <w:r w:rsidRPr="003B2895" w:rsidR="003B2895">
        <w:t xml:space="preserve">QCDR or eCQM collection types as well as their Promoting Interoperability measures and improvement activities through the same direct submission type.  </w:t>
      </w:r>
      <w:r w:rsidRPr="00E12445" w:rsidR="00E12445">
        <w:t>The burden associated with this ICR belongs only to the application developer; QPP participants will not be required to do anything additional to submit their data.  For third party intermediaries, OAuth Credentialing will allow QPP participants to use their own QPP credentials to login through the third</w:t>
      </w:r>
      <w:r w:rsidR="00EC3279">
        <w:t>-</w:t>
      </w:r>
      <w:r w:rsidRPr="00E12445" w:rsidR="00E12445">
        <w:t>party intermediary’s application to submit their data and view performance feedback from QPP</w:t>
      </w:r>
      <w:r w:rsidR="00E12445">
        <w:t>.</w:t>
      </w:r>
      <w:r w:rsidR="002A669C">
        <w:t xml:space="preserve"> </w:t>
      </w:r>
      <w:r w:rsidRPr="00397C02" w:rsidR="00397C02">
        <w:t>Entities that receive approval for their applications through this process will be able to provide QPP participants a more comprehensive and less administratively burdensome experience using the direct submission type</w:t>
      </w:r>
      <w:r w:rsidR="002A669C">
        <w:t xml:space="preserve">.  </w:t>
      </w:r>
    </w:p>
    <w:p w:rsidR="002A669C" w:rsidP="002A669C" w:rsidRDefault="00DF3539" w14:paraId="2275088B" w14:textId="13FE82E8">
      <w:r w:rsidRPr="00DF3539">
        <w:t xml:space="preserve">Beginning with the CY 2023 performance period/2025 MIPS payment year, we made administrative changes in the process for interested parties to submit their application for OAuth credentialing and token process. Based on the changes to the workflows, the CMS Office of Information Technology (OIT) has centralized Okta Administrator privileges. In previous years, the Quality Payment Program maintained the privileges for Administrator roles. As a result of this change, interested parties that would submit their information for OAuth Credentialing and Token request process are now required to meet with both Quality Payment Program and OIT for final approvals to have their applications integrated with the CMS Okta production environment. Therefore, we propose to revise our estimates </w:t>
      </w:r>
      <w:r w:rsidR="002B7DC2">
        <w:t xml:space="preserve">to </w:t>
      </w:r>
      <w:r w:rsidR="00405E92">
        <w:t>re</w:t>
      </w:r>
      <w:r w:rsidR="003A33BD">
        <w:t xml:space="preserve">flect </w:t>
      </w:r>
      <w:r w:rsidRPr="00DF3539">
        <w:t xml:space="preserve">that it would </w:t>
      </w:r>
      <w:r w:rsidR="003A33BD">
        <w:t xml:space="preserve">now </w:t>
      </w:r>
      <w:r w:rsidRPr="00DF3539">
        <w:t>take 2 hours for a computer systems analyst (or their equivalent)</w:t>
      </w:r>
      <w:r w:rsidR="00D84269">
        <w:t xml:space="preserve"> at $98.28/</w:t>
      </w:r>
      <w:proofErr w:type="spellStart"/>
      <w:r w:rsidR="00D84269">
        <w:t>hr</w:t>
      </w:r>
      <w:proofErr w:type="spellEnd"/>
      <w:r w:rsidRPr="00DF3539">
        <w:t xml:space="preserve"> to provide documentation and any follow-up communication via email.</w:t>
      </w:r>
      <w:r>
        <w:t xml:space="preserve"> </w:t>
      </w:r>
    </w:p>
    <w:p w:rsidRPr="002A669C" w:rsidR="002A669C" w:rsidP="002A669C" w:rsidRDefault="00C31EAA" w14:paraId="363367DF" w14:textId="41ED0F42">
      <w:r>
        <w:lastRenderedPageBreak/>
        <w:t xml:space="preserve">As shown in Table </w:t>
      </w:r>
      <w:r w:rsidR="008A4420">
        <w:t>7</w:t>
      </w:r>
      <w:r>
        <w:t>, w</w:t>
      </w:r>
      <w:r w:rsidR="002A669C">
        <w:t xml:space="preserve">e </w:t>
      </w:r>
      <w:r>
        <w:t xml:space="preserve">are not making any changes to </w:t>
      </w:r>
      <w:r w:rsidR="007B7A7B">
        <w:t xml:space="preserve">our </w:t>
      </w:r>
      <w:r>
        <w:t xml:space="preserve">currently </w:t>
      </w:r>
      <w:r w:rsidR="007B7A7B">
        <w:t xml:space="preserve">approved estimate </w:t>
      </w:r>
      <w:r w:rsidR="00976E76">
        <w:t xml:space="preserve">of </w:t>
      </w:r>
      <w:r w:rsidR="00EE368E">
        <w:t xml:space="preserve">15 </w:t>
      </w:r>
      <w:r w:rsidR="00271A64">
        <w:t>submitter type</w:t>
      </w:r>
      <w:r w:rsidR="008E692F">
        <w:t xml:space="preserve">s to complete this process </w:t>
      </w:r>
      <w:r w:rsidR="002A669C">
        <w:t xml:space="preserve">for the </w:t>
      </w:r>
      <w:r w:rsidR="00135074">
        <w:t xml:space="preserve">CY </w:t>
      </w:r>
      <w:r w:rsidR="002A669C">
        <w:t>202</w:t>
      </w:r>
      <w:r w:rsidR="008A4420">
        <w:t>3</w:t>
      </w:r>
      <w:r w:rsidR="002A669C">
        <w:t xml:space="preserve"> performance period</w:t>
      </w:r>
      <w:r w:rsidR="00135074">
        <w:t>/202</w:t>
      </w:r>
      <w:r w:rsidR="008A4420">
        <w:t>5</w:t>
      </w:r>
      <w:r w:rsidR="00135074">
        <w:t xml:space="preserve"> MIPS payment year</w:t>
      </w:r>
      <w:r w:rsidR="00135A30">
        <w:t>.</w:t>
      </w:r>
      <w:r w:rsidR="002A669C">
        <w:t xml:space="preserve"> </w:t>
      </w:r>
      <w:r w:rsidR="00135A30">
        <w:t xml:space="preserve"> In aggregate</w:t>
      </w:r>
      <w:r w:rsidR="002A669C">
        <w:t xml:space="preserve">, </w:t>
      </w:r>
      <w:r w:rsidR="000D1381">
        <w:t xml:space="preserve">we estimate </w:t>
      </w:r>
      <w:r w:rsidR="002A669C">
        <w:t xml:space="preserve">it would take </w:t>
      </w:r>
      <w:r w:rsidR="008A4420">
        <w:t>2</w:t>
      </w:r>
      <w:r w:rsidR="002A669C">
        <w:t xml:space="preserve"> hour</w:t>
      </w:r>
      <w:r w:rsidR="008A4420">
        <w:t>s</w:t>
      </w:r>
      <w:r w:rsidR="002A669C">
        <w:t xml:space="preserve"> at $9</w:t>
      </w:r>
      <w:r w:rsidR="008A4420">
        <w:t>8</w:t>
      </w:r>
      <w:r w:rsidR="00FE1C5A">
        <w:t>.2</w:t>
      </w:r>
      <w:r w:rsidR="008A4420">
        <w:t>8</w:t>
      </w:r>
      <w:r w:rsidR="002A669C">
        <w:t>/</w:t>
      </w:r>
      <w:proofErr w:type="spellStart"/>
      <w:r w:rsidR="002A669C">
        <w:t>hr</w:t>
      </w:r>
      <w:proofErr w:type="spellEnd"/>
      <w:r w:rsidR="002A669C">
        <w:t xml:space="preserve"> for a computer systems analyst (or their equivalent) to complete the process.  We estimate an annual burden of </w:t>
      </w:r>
      <w:r w:rsidR="00926603">
        <w:t>30</w:t>
      </w:r>
      <w:r w:rsidR="002A669C">
        <w:t xml:space="preserve"> hours (15 vendors x </w:t>
      </w:r>
      <w:r w:rsidR="00926603">
        <w:t>2</w:t>
      </w:r>
      <w:r w:rsidR="002A669C">
        <w:t xml:space="preserve"> </w:t>
      </w:r>
      <w:proofErr w:type="spellStart"/>
      <w:r w:rsidR="002A669C">
        <w:t>hr</w:t>
      </w:r>
      <w:r w:rsidR="00926603">
        <w:t>s</w:t>
      </w:r>
      <w:proofErr w:type="spellEnd"/>
      <w:r w:rsidR="002A669C">
        <w:t>) at a cost of $</w:t>
      </w:r>
      <w:r w:rsidR="00926603">
        <w:t>2,948</w:t>
      </w:r>
      <w:r w:rsidR="002A669C">
        <w:t xml:space="preserve"> (</w:t>
      </w:r>
      <w:r w:rsidR="00926603">
        <w:t>30</w:t>
      </w:r>
      <w:r w:rsidR="002A669C">
        <w:t xml:space="preserve"> </w:t>
      </w:r>
      <w:proofErr w:type="spellStart"/>
      <w:r w:rsidR="002A669C">
        <w:t>hr</w:t>
      </w:r>
      <w:r w:rsidR="00926603">
        <w:t>s</w:t>
      </w:r>
      <w:proofErr w:type="spellEnd"/>
      <w:r w:rsidR="002A669C">
        <w:t xml:space="preserve"> x $9</w:t>
      </w:r>
      <w:r w:rsidR="00926603">
        <w:t>8</w:t>
      </w:r>
      <w:r w:rsidR="00FE1C5A">
        <w:t>.2</w:t>
      </w:r>
      <w:r w:rsidR="00926603">
        <w:t>8</w:t>
      </w:r>
      <w:r w:rsidR="002A669C">
        <w:t>/</w:t>
      </w:r>
      <w:proofErr w:type="spellStart"/>
      <w:r w:rsidR="002A669C">
        <w:t>hr</w:t>
      </w:r>
      <w:proofErr w:type="spellEnd"/>
      <w:r w:rsidR="004545C0">
        <w:t>)</w:t>
      </w:r>
      <w:r w:rsidR="002A669C">
        <w:t>.</w:t>
      </w:r>
    </w:p>
    <w:p w:rsidRPr="00284473" w:rsidR="002B769B" w:rsidP="002B769B" w:rsidRDefault="002B769B" w14:paraId="5C79ED9A" w14:textId="7A66C2DE">
      <w:pPr>
        <w:keepNext/>
        <w:spacing w:after="0"/>
        <w:jc w:val="center"/>
        <w:rPr>
          <w:rFonts w:eastAsia="Calibri"/>
          <w:b/>
          <w:bCs/>
        </w:rPr>
      </w:pPr>
      <w:r w:rsidRPr="00927D80">
        <w:rPr>
          <w:rFonts w:eastAsia="Calibri"/>
          <w:b/>
          <w:bCs/>
        </w:rPr>
        <w:t xml:space="preserve">TABLE </w:t>
      </w:r>
      <w:r w:rsidR="00CD19EA">
        <w:rPr>
          <w:rFonts w:eastAsia="Calibri"/>
          <w:b/>
          <w:bCs/>
        </w:rPr>
        <w:t>7</w:t>
      </w:r>
      <w:r w:rsidRPr="00927D80">
        <w:rPr>
          <w:rFonts w:eastAsia="Calibri"/>
          <w:b/>
          <w:bCs/>
        </w:rPr>
        <w:t>:  Estimated Burden for the OAuth Credentialing and Token Request</w:t>
      </w:r>
      <w:r w:rsidRPr="00284473">
        <w:rPr>
          <w:rFonts w:eastAsia="Calibri"/>
          <w:b/>
          <w:bCs/>
        </w:rPr>
        <w:t xml:space="preserve"> Process</w:t>
      </w:r>
      <w:r w:rsidR="002F7695">
        <w:rPr>
          <w:b/>
          <w:bCs/>
        </w:rPr>
        <w:t xml:space="preserve">  </w:t>
      </w:r>
    </w:p>
    <w:tbl>
      <w:tblPr>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35"/>
        <w:gridCol w:w="1319"/>
      </w:tblGrid>
      <w:tr w:rsidRPr="00B52AB3" w:rsidR="002B769B" w:rsidTr="00580609" w14:paraId="30E58231" w14:textId="77777777">
        <w:trPr>
          <w:tblHeade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493F4D" w:rsidRDefault="00493F4D" w14:paraId="4C9D092E" w14:textId="2401872A">
            <w:pPr>
              <w:keepNext/>
              <w:spacing w:after="0"/>
              <w:rPr>
                <w:rFonts w:eastAsia="Calibri"/>
                <w:b/>
                <w:bCs/>
                <w:sz w:val="20"/>
                <w:szCs w:val="20"/>
              </w:rPr>
            </w:pPr>
            <w:r w:rsidRPr="00B05B18">
              <w:rPr>
                <w:b/>
                <w:sz w:val="20"/>
                <w:szCs w:val="20"/>
              </w:rPr>
              <w:t>Burden and Respondent Descriptions</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F761A8E" w14:textId="77777777">
            <w:pPr>
              <w:keepNext/>
              <w:spacing w:after="0"/>
              <w:jc w:val="center"/>
              <w:rPr>
                <w:rFonts w:eastAsia="Calibri"/>
                <w:b/>
                <w:bCs/>
                <w:sz w:val="20"/>
                <w:szCs w:val="20"/>
              </w:rPr>
            </w:pPr>
            <w:r w:rsidRPr="00284473">
              <w:rPr>
                <w:rFonts w:eastAsia="Calibri"/>
                <w:b/>
                <w:bCs/>
                <w:sz w:val="20"/>
                <w:szCs w:val="20"/>
              </w:rPr>
              <w:t>Burden Estimate</w:t>
            </w:r>
          </w:p>
        </w:tc>
      </w:tr>
      <w:tr w:rsidRPr="00B52AB3" w:rsidR="002B769B" w:rsidTr="00580609" w14:paraId="4E1D362B" w14:textId="77777777">
        <w:trP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6FC06C03" w14:textId="4E96212B">
            <w:pPr>
              <w:keepNext/>
              <w:spacing w:after="0"/>
              <w:rPr>
                <w:rFonts w:eastAsia="Calibri"/>
                <w:sz w:val="20"/>
                <w:szCs w:val="20"/>
              </w:rPr>
            </w:pPr>
            <w:r w:rsidRPr="00284473">
              <w:rPr>
                <w:rFonts w:eastAsia="Calibri"/>
                <w:sz w:val="20"/>
                <w:szCs w:val="20"/>
              </w:rPr>
              <w:t xml:space="preserve"># of </w:t>
            </w:r>
            <w:r>
              <w:rPr>
                <w:rFonts w:eastAsia="Calibri"/>
                <w:sz w:val="20"/>
                <w:szCs w:val="20"/>
              </w:rPr>
              <w:t xml:space="preserve">Organizations </w:t>
            </w:r>
            <w:r w:rsidRPr="00284473">
              <w:rPr>
                <w:rFonts w:eastAsia="Calibri"/>
                <w:sz w:val="20"/>
                <w:szCs w:val="20"/>
              </w:rPr>
              <w:t>(a)</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43FCA39A" w14:textId="77777777">
            <w:pPr>
              <w:keepNext/>
              <w:spacing w:after="0"/>
              <w:jc w:val="right"/>
              <w:rPr>
                <w:rFonts w:eastAsia="Calibri"/>
                <w:sz w:val="20"/>
                <w:szCs w:val="20"/>
              </w:rPr>
            </w:pPr>
            <w:r w:rsidRPr="00284473">
              <w:rPr>
                <w:rFonts w:eastAsia="Calibri"/>
                <w:sz w:val="20"/>
                <w:szCs w:val="20"/>
              </w:rPr>
              <w:t>15</w:t>
            </w:r>
          </w:p>
        </w:tc>
      </w:tr>
      <w:tr w:rsidRPr="00B52AB3" w:rsidR="002B769B" w:rsidTr="00580609" w14:paraId="5C4FAA91" w14:textId="77777777">
        <w:trP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1B3E6B0" w14:textId="77777777">
            <w:pPr>
              <w:keepNext/>
              <w:spacing w:after="0"/>
              <w:rPr>
                <w:rFonts w:eastAsia="Calibri"/>
                <w:sz w:val="20"/>
                <w:szCs w:val="20"/>
              </w:rPr>
            </w:pPr>
            <w:r w:rsidRPr="00284473">
              <w:rPr>
                <w:rFonts w:eastAsia="Calibri"/>
                <w:sz w:val="20"/>
                <w:szCs w:val="20"/>
              </w:rPr>
              <w:t xml:space="preserve">Total Annual Hours Per Organization to Submit (b)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CD19EA" w14:paraId="7DA5CA52" w14:textId="534EC24C">
            <w:pPr>
              <w:keepNext/>
              <w:spacing w:after="0"/>
              <w:jc w:val="right"/>
              <w:rPr>
                <w:rFonts w:eastAsia="Calibri"/>
                <w:sz w:val="20"/>
                <w:szCs w:val="20"/>
              </w:rPr>
            </w:pPr>
            <w:r>
              <w:rPr>
                <w:rFonts w:eastAsia="Calibri"/>
                <w:sz w:val="20"/>
                <w:szCs w:val="20"/>
              </w:rPr>
              <w:t>2</w:t>
            </w:r>
          </w:p>
        </w:tc>
      </w:tr>
      <w:tr w:rsidRPr="00B52AB3" w:rsidR="002B769B" w:rsidTr="00580609" w14:paraId="4DCA13DC" w14:textId="77777777">
        <w:trPr>
          <w:jc w:val="center"/>
        </w:trPr>
        <w:tc>
          <w:tcPr>
            <w:tcW w:w="78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774F6366" w14:textId="77777777">
            <w:pPr>
              <w:keepNext/>
              <w:spacing w:after="0"/>
              <w:rPr>
                <w:rFonts w:eastAsia="Calibri"/>
                <w:b/>
                <w:bCs/>
                <w:sz w:val="20"/>
                <w:szCs w:val="20"/>
              </w:rPr>
            </w:pPr>
            <w:r w:rsidRPr="00284473">
              <w:rPr>
                <w:rFonts w:eastAsia="Calibri"/>
                <w:b/>
                <w:bCs/>
                <w:sz w:val="20"/>
                <w:szCs w:val="20"/>
              </w:rPr>
              <w:t>Total Annual Hours (c) = (a)*(b)</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CD19EA" w14:paraId="3BA54162" w14:textId="0F80BCFF">
            <w:pPr>
              <w:keepNext/>
              <w:spacing w:after="0"/>
              <w:jc w:val="right"/>
              <w:rPr>
                <w:rFonts w:eastAsia="Calibri"/>
                <w:b/>
                <w:bCs/>
                <w:sz w:val="20"/>
                <w:szCs w:val="20"/>
              </w:rPr>
            </w:pPr>
            <w:r>
              <w:rPr>
                <w:rFonts w:eastAsia="Calibri"/>
                <w:b/>
                <w:bCs/>
                <w:sz w:val="20"/>
                <w:szCs w:val="20"/>
              </w:rPr>
              <w:t>30</w:t>
            </w:r>
          </w:p>
        </w:tc>
      </w:tr>
      <w:tr w:rsidRPr="00B52AB3" w:rsidR="002B769B" w:rsidTr="00580609" w14:paraId="125D9186" w14:textId="77777777">
        <w:trPr>
          <w:jc w:val="center"/>
        </w:trPr>
        <w:tc>
          <w:tcPr>
            <w:tcW w:w="7835"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C68AECB" w14:textId="077C1914">
            <w:pPr>
              <w:keepNext/>
              <w:spacing w:after="0"/>
              <w:rPr>
                <w:rFonts w:eastAsia="Calibri"/>
                <w:sz w:val="20"/>
                <w:szCs w:val="20"/>
              </w:rPr>
            </w:pPr>
            <w:r w:rsidRPr="00284473">
              <w:rPr>
                <w:rFonts w:eastAsia="Calibri"/>
                <w:sz w:val="20"/>
                <w:szCs w:val="20"/>
              </w:rPr>
              <w:t>Cost Per Organization (@ computer systems analyst’s labor rate of $9</w:t>
            </w:r>
            <w:r w:rsidR="00CD19EA">
              <w:rPr>
                <w:rFonts w:eastAsia="Calibri"/>
                <w:sz w:val="20"/>
                <w:szCs w:val="20"/>
              </w:rPr>
              <w:t>8</w:t>
            </w:r>
            <w:r w:rsidR="00FB62D7">
              <w:rPr>
                <w:rFonts w:eastAsia="Calibri"/>
                <w:sz w:val="20"/>
                <w:szCs w:val="20"/>
              </w:rPr>
              <w:t>.2</w:t>
            </w:r>
            <w:r w:rsidR="00CD19EA">
              <w:rPr>
                <w:rFonts w:eastAsia="Calibri"/>
                <w:sz w:val="20"/>
                <w:szCs w:val="20"/>
              </w:rPr>
              <w:t>8</w:t>
            </w:r>
            <w:r w:rsidRPr="00284473">
              <w:rPr>
                <w:rFonts w:eastAsia="Calibri"/>
                <w:sz w:val="20"/>
                <w:szCs w:val="20"/>
              </w:rPr>
              <w:t xml:space="preserve">/hr.) (d)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70693B7" w14:textId="6C9799E3">
            <w:pPr>
              <w:keepNext/>
              <w:spacing w:after="0"/>
              <w:jc w:val="right"/>
              <w:rPr>
                <w:rFonts w:eastAsia="Calibri"/>
                <w:sz w:val="20"/>
                <w:szCs w:val="20"/>
              </w:rPr>
            </w:pPr>
            <w:r w:rsidRPr="00284473">
              <w:rPr>
                <w:rFonts w:eastAsia="Calibri"/>
                <w:sz w:val="20"/>
                <w:szCs w:val="20"/>
              </w:rPr>
              <w:t>$9</w:t>
            </w:r>
            <w:r w:rsidR="00CD19EA">
              <w:rPr>
                <w:rFonts w:eastAsia="Calibri"/>
                <w:sz w:val="20"/>
                <w:szCs w:val="20"/>
              </w:rPr>
              <w:t>8</w:t>
            </w:r>
            <w:r w:rsidRPr="00284473">
              <w:rPr>
                <w:rFonts w:eastAsia="Calibri"/>
                <w:sz w:val="20"/>
                <w:szCs w:val="20"/>
              </w:rPr>
              <w:t>.</w:t>
            </w:r>
            <w:r w:rsidR="00623EB4">
              <w:rPr>
                <w:rFonts w:eastAsia="Calibri"/>
                <w:sz w:val="20"/>
                <w:szCs w:val="20"/>
              </w:rPr>
              <w:t>2</w:t>
            </w:r>
            <w:r w:rsidR="00CD19EA">
              <w:rPr>
                <w:rFonts w:eastAsia="Calibri"/>
                <w:sz w:val="20"/>
                <w:szCs w:val="20"/>
              </w:rPr>
              <w:t>8</w:t>
            </w:r>
            <w:r w:rsidRPr="00284473">
              <w:rPr>
                <w:rFonts w:eastAsia="Calibri"/>
                <w:sz w:val="20"/>
                <w:szCs w:val="20"/>
              </w:rPr>
              <w:t>/</w:t>
            </w:r>
            <w:proofErr w:type="spellStart"/>
            <w:r w:rsidRPr="00284473">
              <w:rPr>
                <w:rFonts w:eastAsia="Calibri"/>
                <w:sz w:val="20"/>
                <w:szCs w:val="20"/>
              </w:rPr>
              <w:t>hr</w:t>
            </w:r>
            <w:proofErr w:type="spellEnd"/>
            <w:r w:rsidRPr="00284473">
              <w:rPr>
                <w:rFonts w:eastAsia="Calibri"/>
                <w:sz w:val="20"/>
                <w:szCs w:val="20"/>
              </w:rPr>
              <w:t xml:space="preserve"> </w:t>
            </w:r>
          </w:p>
        </w:tc>
      </w:tr>
      <w:tr w:rsidRPr="002B769B" w:rsidR="002B769B" w:rsidTr="00580609" w14:paraId="4C6772FA" w14:textId="77777777">
        <w:trPr>
          <w:jc w:val="center"/>
        </w:trPr>
        <w:tc>
          <w:tcPr>
            <w:tcW w:w="78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2AA48471" w14:textId="77777777">
            <w:pPr>
              <w:keepNext/>
              <w:spacing w:after="0"/>
              <w:rPr>
                <w:rFonts w:eastAsia="Calibri"/>
                <w:b/>
                <w:bCs/>
                <w:sz w:val="20"/>
                <w:szCs w:val="20"/>
              </w:rPr>
            </w:pPr>
            <w:r w:rsidRPr="002B769B">
              <w:rPr>
                <w:rFonts w:eastAsia="Calibri"/>
                <w:b/>
                <w:bCs/>
                <w:sz w:val="20"/>
                <w:szCs w:val="20"/>
              </w:rPr>
              <w:t>Total Annual Cost (e) = (a)*(d)</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0479B6D3" w14:textId="4B30EDE8">
            <w:pPr>
              <w:keepNext/>
              <w:spacing w:after="0"/>
              <w:jc w:val="right"/>
              <w:rPr>
                <w:rFonts w:eastAsia="Calibri"/>
                <w:b/>
                <w:bCs/>
                <w:sz w:val="20"/>
                <w:szCs w:val="20"/>
              </w:rPr>
            </w:pPr>
            <w:r w:rsidRPr="002B769B">
              <w:rPr>
                <w:rFonts w:eastAsia="Calibri"/>
                <w:b/>
                <w:bCs/>
                <w:sz w:val="20"/>
                <w:szCs w:val="20"/>
              </w:rPr>
              <w:t>$</w:t>
            </w:r>
            <w:r w:rsidR="00CD19EA">
              <w:rPr>
                <w:rFonts w:eastAsia="Calibri"/>
                <w:b/>
                <w:bCs/>
                <w:sz w:val="20"/>
                <w:szCs w:val="20"/>
              </w:rPr>
              <w:t>2,94</w:t>
            </w:r>
            <w:r w:rsidR="00623EB4">
              <w:rPr>
                <w:rFonts w:eastAsia="Calibri"/>
                <w:b/>
                <w:bCs/>
                <w:sz w:val="20"/>
                <w:szCs w:val="20"/>
              </w:rPr>
              <w:t>8</w:t>
            </w:r>
          </w:p>
        </w:tc>
      </w:tr>
    </w:tbl>
    <w:p w:rsidRPr="002B769B" w:rsidR="002A669C" w:rsidP="00B05B18" w:rsidRDefault="002A669C" w14:paraId="0D2BFD57" w14:textId="77777777">
      <w:pPr>
        <w:rPr>
          <w:b/>
          <w:bCs/>
        </w:rPr>
      </w:pPr>
    </w:p>
    <w:p w:rsidRPr="00041A6A" w:rsidR="00B05B18" w:rsidP="003D552B" w:rsidRDefault="00B05B18" w14:paraId="50273D17" w14:textId="38A64CA3">
      <w:pPr>
        <w:pStyle w:val="Heading3"/>
      </w:pPr>
      <w:r w:rsidRPr="00041A6A">
        <w:t>Burden Estimate for the Quality Performance Category</w:t>
      </w:r>
    </w:p>
    <w:p w:rsidR="002B769B" w:rsidP="00730BEF" w:rsidRDefault="00BD098D" w14:paraId="0E782F13" w14:textId="38CE87B6">
      <w:pPr>
        <w:rPr>
          <w:rFonts w:eastAsia="Calibri"/>
        </w:rPr>
      </w:pPr>
      <w:r w:rsidRPr="00BD098D">
        <w:rPr>
          <w:rFonts w:eastAsia="Calibri"/>
        </w:rPr>
        <w:t>Under our current policies, two groups of clinicians must submit quality data under MIPS: those who submit as MIPS eligible clinicians and those who opt to submit data voluntarily but are not subject to MIPS payment adjustments.  Clinicians are ineligible for MIPS payment adjustments if they are newly enrolled to Medicare; are QPs; are partial QPs who elect to not participate in MIPS; are not one of the clinician types included in the definition for MIPS eligible clinician; or do not exceed the low-volume threshold as an individual or as a group</w:t>
      </w:r>
      <w:r w:rsidR="002B769B">
        <w:rPr>
          <w:rFonts w:eastAsia="Calibri"/>
        </w:rPr>
        <w:t>.</w:t>
      </w:r>
    </w:p>
    <w:p w:rsidRPr="00617569" w:rsidR="00617569" w:rsidP="00730BEF" w:rsidRDefault="0016102D" w14:paraId="2CADF926" w14:textId="01207923">
      <w:pPr>
        <w:rPr>
          <w:rFonts w:eastAsia="Calibri"/>
        </w:rPr>
      </w:pPr>
      <w:r w:rsidRPr="0016102D">
        <w:rPr>
          <w:rFonts w:eastAsia="Calibri"/>
        </w:rPr>
        <w:t>To determine which QPs should be excluded from MIPS, we used the</w:t>
      </w:r>
      <w:r w:rsidR="00F403A8">
        <w:rPr>
          <w:rFonts w:eastAsia="Calibri"/>
        </w:rPr>
        <w:t xml:space="preserve"> </w:t>
      </w:r>
      <w:r w:rsidRPr="00E610CD" w:rsidR="00F403A8">
        <w:rPr>
          <w:rFonts w:eastAsia="Calibri"/>
          <w:snapToGrid w:val="0"/>
        </w:rPr>
        <w:t xml:space="preserve">Advanced APM payment and patient percentages from the APM Participant List for the </w:t>
      </w:r>
      <w:r w:rsidR="00D671B8">
        <w:rPr>
          <w:rFonts w:eastAsia="Calibri"/>
          <w:snapToGrid w:val="0"/>
        </w:rPr>
        <w:t>third</w:t>
      </w:r>
      <w:r w:rsidRPr="00E610CD" w:rsidR="00F403A8">
        <w:rPr>
          <w:rFonts w:eastAsia="Calibri"/>
          <w:snapToGrid w:val="0"/>
        </w:rPr>
        <w:t xml:space="preserve"> snapshot date for the </w:t>
      </w:r>
      <w:r w:rsidR="00615426">
        <w:rPr>
          <w:rFonts w:eastAsia="Calibri"/>
          <w:snapToGrid w:val="0"/>
        </w:rPr>
        <w:t xml:space="preserve">CY </w:t>
      </w:r>
      <w:r w:rsidRPr="00E610CD" w:rsidR="00F403A8">
        <w:rPr>
          <w:rFonts w:eastAsia="Calibri"/>
          <w:snapToGrid w:val="0"/>
        </w:rPr>
        <w:t>20</w:t>
      </w:r>
      <w:r w:rsidR="0097023D">
        <w:rPr>
          <w:rFonts w:eastAsia="Calibri"/>
          <w:snapToGrid w:val="0"/>
        </w:rPr>
        <w:t>2</w:t>
      </w:r>
      <w:r w:rsidRPr="00E610CD" w:rsidR="00F403A8">
        <w:rPr>
          <w:rFonts w:eastAsia="Calibri"/>
          <w:snapToGrid w:val="0"/>
        </w:rPr>
        <w:t>1 QP performance period.</w:t>
      </w:r>
      <w:r w:rsidRPr="0016102D">
        <w:rPr>
          <w:rFonts w:eastAsia="Calibri"/>
        </w:rPr>
        <w:t xml:space="preserve"> From this data, we calculated the QP determinations as described in the Qualifying APM Participant (QP) definition at § 414.1305 for the </w:t>
      </w:r>
      <w:r w:rsidR="000624FE">
        <w:rPr>
          <w:rFonts w:eastAsia="Calibri"/>
        </w:rPr>
        <w:t xml:space="preserve">CY </w:t>
      </w:r>
      <w:r w:rsidRPr="0016102D">
        <w:rPr>
          <w:rFonts w:eastAsia="Calibri"/>
        </w:rPr>
        <w:t>202</w:t>
      </w:r>
      <w:r w:rsidR="00F45281">
        <w:rPr>
          <w:rFonts w:eastAsia="Calibri"/>
        </w:rPr>
        <w:t>3</w:t>
      </w:r>
      <w:r w:rsidRPr="0016102D">
        <w:rPr>
          <w:rFonts w:eastAsia="Calibri"/>
        </w:rPr>
        <w:t xml:space="preserve"> QP </w:t>
      </w:r>
      <w:r w:rsidR="00D8279B">
        <w:rPr>
          <w:rFonts w:eastAsia="Calibri"/>
        </w:rPr>
        <w:t>p</w:t>
      </w:r>
      <w:r w:rsidRPr="0016102D">
        <w:rPr>
          <w:rFonts w:eastAsia="Calibri"/>
        </w:rPr>
        <w:t xml:space="preserve">erformance </w:t>
      </w:r>
      <w:r w:rsidR="00D8279B">
        <w:rPr>
          <w:rFonts w:eastAsia="Calibri"/>
        </w:rPr>
        <w:t>p</w:t>
      </w:r>
      <w:r w:rsidRPr="0016102D">
        <w:rPr>
          <w:rFonts w:eastAsia="Calibri"/>
        </w:rPr>
        <w:t xml:space="preserve">eriod. Due to data limitations, we could not identify specific clinicians who have not yet enrolled in APMs, but who may become QPs in the </w:t>
      </w:r>
      <w:r w:rsidR="006653AC">
        <w:rPr>
          <w:rFonts w:eastAsia="Calibri"/>
        </w:rPr>
        <w:t xml:space="preserve">CY </w:t>
      </w:r>
      <w:r w:rsidRPr="0016102D">
        <w:rPr>
          <w:rFonts w:eastAsia="Calibri"/>
        </w:rPr>
        <w:t>202</w:t>
      </w:r>
      <w:r w:rsidR="000624FE">
        <w:rPr>
          <w:rFonts w:eastAsia="Calibri"/>
        </w:rPr>
        <w:t>3</w:t>
      </w:r>
      <w:r w:rsidR="00F47A81">
        <w:rPr>
          <w:rFonts w:eastAsia="Calibri"/>
        </w:rPr>
        <w:t xml:space="preserve"> </w:t>
      </w:r>
      <w:r w:rsidR="00D8279B">
        <w:rPr>
          <w:rFonts w:eastAsia="Calibri"/>
        </w:rPr>
        <w:t>p</w:t>
      </w:r>
      <w:r w:rsidRPr="0016102D">
        <w:rPr>
          <w:rFonts w:eastAsia="Calibri"/>
        </w:rPr>
        <w:t xml:space="preserve">erformance </w:t>
      </w:r>
      <w:r w:rsidR="00D8279B">
        <w:rPr>
          <w:rFonts w:eastAsia="Calibri"/>
        </w:rPr>
        <w:t>p</w:t>
      </w:r>
      <w:r w:rsidRPr="0016102D">
        <w:rPr>
          <w:rFonts w:eastAsia="Calibri"/>
        </w:rPr>
        <w:t>eriod</w:t>
      </w:r>
      <w:r w:rsidR="00F40360">
        <w:rPr>
          <w:rFonts w:eastAsia="Calibri"/>
        </w:rPr>
        <w:t>/202</w:t>
      </w:r>
      <w:r w:rsidR="000624FE">
        <w:rPr>
          <w:rFonts w:eastAsia="Calibri"/>
        </w:rPr>
        <w:t>5</w:t>
      </w:r>
      <w:r w:rsidR="00F40360">
        <w:rPr>
          <w:rFonts w:eastAsia="Calibri"/>
        </w:rPr>
        <w:t xml:space="preserve"> MIPS payment year </w:t>
      </w:r>
      <w:r w:rsidRPr="0016102D">
        <w:rPr>
          <w:rFonts w:eastAsia="Calibri"/>
        </w:rPr>
        <w:t>(and therefore will no longer need to submit data to MIPS); hence, our model may underestimate or overestimate the number of respondents</w:t>
      </w:r>
      <w:r w:rsidRPr="00617569" w:rsidR="00617569">
        <w:rPr>
          <w:rFonts w:eastAsia="Calibri"/>
        </w:rPr>
        <w:t xml:space="preserve">. </w:t>
      </w:r>
    </w:p>
    <w:p w:rsidRPr="003428D4" w:rsidR="00FD19D7" w:rsidP="00730BEF" w:rsidRDefault="00E86703" w14:paraId="66171B01" w14:textId="196BA354">
      <w:pPr>
        <w:rPr>
          <w:rFonts w:eastAsia="Calibri"/>
        </w:rPr>
      </w:pPr>
      <w:r w:rsidRPr="00E86703">
        <w:rPr>
          <w:rFonts w:eastAsia="Calibri"/>
        </w:rPr>
        <w:t>The burden associated with the submission of quality performance category data ha</w:t>
      </w:r>
      <w:r w:rsidR="0014173D">
        <w:rPr>
          <w:rFonts w:eastAsia="Calibri"/>
        </w:rPr>
        <w:t>s</w:t>
      </w:r>
      <w:r w:rsidRPr="00E86703">
        <w:rPr>
          <w:rFonts w:eastAsia="Calibri"/>
        </w:rPr>
        <w:t xml:space="preser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eCQM collection types may have quality measures automated as part of their EHR implementation</w:t>
      </w:r>
      <w:r w:rsidR="00FD19D7">
        <w:rPr>
          <w:rFonts w:eastAsia="Calibri"/>
        </w:rPr>
        <w:t>.</w:t>
      </w:r>
    </w:p>
    <w:p w:rsidRPr="00B17713" w:rsidR="00FD19D7" w:rsidP="000B16B7" w:rsidRDefault="00311FB2" w14:paraId="7F9A24FB" w14:textId="1B0DD0CE">
      <w:pPr>
        <w:keepNext/>
        <w:keepLines/>
        <w:rPr>
          <w:rFonts w:eastAsia="Calibri"/>
        </w:rPr>
      </w:pPr>
      <w:r w:rsidRPr="00311FB2">
        <w:rPr>
          <w:rFonts w:eastAsia="Calibri"/>
        </w:rPr>
        <w:lastRenderedPageBreak/>
        <w:t>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eCQM collection types, we also assume that, on average, each clinician or group will submit 6 quality measures</w:t>
      </w:r>
      <w:r w:rsidRPr="00AD36DE" w:rsidR="00AD36DE">
        <w:rPr>
          <w:rFonts w:eastAsia="Calibri"/>
        </w:rPr>
        <w:t xml:space="preserve">. </w:t>
      </w:r>
      <w:r w:rsidRPr="008667F9" w:rsidR="008667F9">
        <w:rPr>
          <w:rFonts w:eastAsia="Calibri"/>
        </w:rPr>
        <w:t>Additionally, we capture the burden for clinicians who choose to submit via these collection types for the quality performance category of MVPs.</w:t>
      </w:r>
      <w:r w:rsidR="008667F9">
        <w:rPr>
          <w:rFonts w:eastAsia="Calibri"/>
        </w:rPr>
        <w:t xml:space="preserve"> </w:t>
      </w:r>
      <w:r w:rsidR="00927146">
        <w:rPr>
          <w:rFonts w:eastAsia="Calibri"/>
        </w:rPr>
        <w:t>We finalized i</w:t>
      </w:r>
      <w:r w:rsidR="00A3749B">
        <w:rPr>
          <w:rFonts w:eastAsia="Calibri"/>
        </w:rPr>
        <w:t xml:space="preserve">n the CY 2022 PFS </w:t>
      </w:r>
      <w:r w:rsidR="00325F29">
        <w:rPr>
          <w:rFonts w:eastAsia="Calibri"/>
        </w:rPr>
        <w:t>final</w:t>
      </w:r>
      <w:r w:rsidR="00A3749B">
        <w:rPr>
          <w:rFonts w:eastAsia="Calibri"/>
        </w:rPr>
        <w:t xml:space="preserve"> rule</w:t>
      </w:r>
      <w:r w:rsidR="00830DDB">
        <w:rPr>
          <w:rFonts w:eastAsia="Calibri"/>
        </w:rPr>
        <w:t xml:space="preserve"> (</w:t>
      </w:r>
      <w:r w:rsidR="00E2068C">
        <w:rPr>
          <w:rFonts w:eastAsia="Calibri"/>
        </w:rPr>
        <w:t>86 FR</w:t>
      </w:r>
      <w:r w:rsidR="009A5A87">
        <w:rPr>
          <w:rFonts w:eastAsia="Calibri"/>
        </w:rPr>
        <w:t xml:space="preserve"> 65411 through 65412</w:t>
      </w:r>
      <w:r w:rsidR="00830DDB">
        <w:rPr>
          <w:rFonts w:eastAsia="Calibri"/>
        </w:rPr>
        <w:t>)</w:t>
      </w:r>
      <w:r w:rsidR="00B07CA9">
        <w:t xml:space="preserve"> </w:t>
      </w:r>
      <w:r w:rsidRPr="00871E51" w:rsidR="00A3749B">
        <w:t xml:space="preserve">that except as provided in paragraph § 414.1365(c)(1)(i), an MVP Participant must select and report 4 quality measures, including 1 outcome measure (or, if an outcome measure is not available, 1 high priority measure, included in the MVP.  </w:t>
      </w:r>
    </w:p>
    <w:p w:rsidR="006B22A9" w:rsidP="003D552B" w:rsidRDefault="00C351ED" w14:paraId="12E32A07" w14:textId="35737421">
      <w:pPr>
        <w:pStyle w:val="Heading4"/>
        <w:numPr>
          <w:ilvl w:val="3"/>
          <w:numId w:val="23"/>
        </w:numPr>
      </w:pPr>
      <w:r w:rsidRPr="00041A6A">
        <w:t xml:space="preserve">Burden </w:t>
      </w:r>
      <w:r w:rsidRPr="000E7E06">
        <w:t xml:space="preserve">for </w:t>
      </w:r>
      <w:r w:rsidRPr="000E7E06" w:rsidR="006B4818">
        <w:t>Quality Payment Program Identity Management Application Process</w:t>
      </w:r>
    </w:p>
    <w:p w:rsidR="00FD19D7" w:rsidP="00730BEF" w:rsidRDefault="00FD19D7" w14:paraId="353B1117" w14:textId="4D145CA9">
      <w:pPr>
        <w:rPr>
          <w:rFonts w:eastAsia="Calibri"/>
        </w:rPr>
      </w:pPr>
      <w:r w:rsidRPr="003428D4">
        <w:rPr>
          <w:rFonts w:eastAsia="Calibri"/>
        </w:rPr>
        <w:t>For an individual, group, or third</w:t>
      </w:r>
      <w:r w:rsidR="003C43FE">
        <w:rPr>
          <w:rFonts w:eastAsia="Calibri"/>
        </w:rPr>
        <w:t xml:space="preserve"> </w:t>
      </w:r>
      <w:r w:rsidRPr="003428D4">
        <w:rPr>
          <w:rFonts w:eastAsia="Calibri"/>
        </w:rPr>
        <w:t>party to submit MIPS quality, improvement activities, or Promoting Interoperability performance category data using either the log in and upload or the log in and attest submission type or to access feedback reports, the submitter must have a CMS</w:t>
      </w:r>
      <w:r w:rsidR="002B68CF">
        <w:rPr>
          <w:rFonts w:eastAsia="Calibri"/>
        </w:rPr>
        <w:t xml:space="preserve"> </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rsidRDefault="00554E7A" w14:paraId="12E1517F" w14:textId="64FE839D">
      <w:r w:rsidRPr="00554E7A">
        <w:t>Based on historical trends for the number of eligible clinicians, groups, or third parties that register for new accounts, we noticed that we inadvertently underestimated our assumptions in the CY 2022 PFS final rule (86 FR 65582). In order to accurately capture the incremental change in the number of respondents in previous years, we are using a rolling average of the number of respondents that would register for obtaining new accounts. Therefore, we are proposing to adjust our estimates from 3,741 to 6,500 for the number of respondents that would submit their information to obtain new user accounts in the HARP system for the CY 2023 performance period/2025 MIPS payment year.</w:t>
      </w:r>
      <w:r w:rsidR="00FD19D7">
        <w:t xml:space="preserve"> As shown in Table </w:t>
      </w:r>
      <w:r w:rsidR="00DA25DF">
        <w:t>8</w:t>
      </w:r>
      <w:r w:rsidR="00EF3F3F">
        <w:t>,</w:t>
      </w:r>
      <w:r w:rsidRPr="006B4818" w:rsidR="006B4818">
        <w:t xml:space="preserve"> it would take 1 hour at $</w:t>
      </w:r>
      <w:r w:rsidR="004B6DDE">
        <w:t>9</w:t>
      </w:r>
      <w:r w:rsidR="00DA25DF">
        <w:t>8</w:t>
      </w:r>
      <w:r w:rsidR="00EF3F3F">
        <w:t>.2</w:t>
      </w:r>
      <w:r w:rsidR="00DA25DF">
        <w:t>8</w:t>
      </w:r>
      <w:r w:rsidRPr="006B4818" w:rsidR="006B4818">
        <w:t>/</w:t>
      </w:r>
      <w:proofErr w:type="spellStart"/>
      <w:r w:rsidRPr="006B4818" w:rsidR="006B4818">
        <w:t>hr</w:t>
      </w:r>
      <w:proofErr w:type="spellEnd"/>
      <w:r w:rsidRPr="006B4818" w:rsidR="006B4818">
        <w:t xml:space="preserve"> for a computer systems analyst (or their equivalent) to obtain an account for the </w:t>
      </w:r>
      <w:r w:rsidR="004E1925">
        <w:t>HARP system</w:t>
      </w:r>
      <w:r w:rsidRPr="006B4818" w:rsidR="006B4818">
        <w:t xml:space="preserve">.  In aggregate we estimate an annual burden of </w:t>
      </w:r>
      <w:r w:rsidR="00B47B3F">
        <w:t>6</w:t>
      </w:r>
      <w:r w:rsidRPr="006B4818" w:rsidR="006B4818">
        <w:t>,</w:t>
      </w:r>
      <w:r w:rsidR="00B47B3F">
        <w:t>500</w:t>
      </w:r>
      <w:r w:rsidRPr="006B4818" w:rsidR="006B4818">
        <w:t xml:space="preserve"> hours (</w:t>
      </w:r>
      <w:r w:rsidR="00330D0C">
        <w:t>6,500</w:t>
      </w:r>
      <w:r w:rsidRPr="006B4818" w:rsidR="006B4818">
        <w:t xml:space="preserve"> registrations x 1 </w:t>
      </w:r>
      <w:proofErr w:type="spellStart"/>
      <w:r w:rsidRPr="006B4818" w:rsidR="006B4818">
        <w:t>hr</w:t>
      </w:r>
      <w:proofErr w:type="spellEnd"/>
      <w:r w:rsidRPr="006B4818" w:rsidR="006B4818">
        <w:t>/registration) at a cost of $</w:t>
      </w:r>
      <w:r w:rsidR="00330D0C">
        <w:t>638,820</w:t>
      </w:r>
      <w:r w:rsidRPr="006B4818" w:rsidR="006B4818">
        <w:t xml:space="preserve"> (</w:t>
      </w:r>
      <w:r w:rsidR="00330D0C">
        <w:t>6,500</w:t>
      </w:r>
      <w:r w:rsidRPr="006B4818" w:rsidR="006B4818">
        <w:t xml:space="preserve"> </w:t>
      </w:r>
      <w:proofErr w:type="spellStart"/>
      <w:r w:rsidRPr="006B4818" w:rsidR="006B4818">
        <w:t>hr</w:t>
      </w:r>
      <w:proofErr w:type="spellEnd"/>
      <w:r w:rsidRPr="006B4818" w:rsidR="006B4818">
        <w:t xml:space="preserve"> x $</w:t>
      </w:r>
      <w:r w:rsidR="004B6DDE">
        <w:t>9</w:t>
      </w:r>
      <w:r w:rsidR="00330D0C">
        <w:t>8</w:t>
      </w:r>
      <w:r w:rsidR="00EF3F3F">
        <w:t>.2</w:t>
      </w:r>
      <w:r w:rsidR="00330D0C">
        <w:t>8</w:t>
      </w:r>
      <w:r w:rsidRPr="006B4818" w:rsidR="006B4818">
        <w:t>/</w:t>
      </w:r>
      <w:proofErr w:type="spellStart"/>
      <w:r w:rsidRPr="006B4818" w:rsidR="006B4818">
        <w:t>hr</w:t>
      </w:r>
      <w:proofErr w:type="spellEnd"/>
      <w:r w:rsidRPr="006B4818" w:rsidR="006B4818">
        <w:t>) or $</w:t>
      </w:r>
      <w:r w:rsidR="004B6DDE">
        <w:t>9</w:t>
      </w:r>
      <w:r w:rsidR="00330D0C">
        <w:t>8</w:t>
      </w:r>
      <w:r w:rsidR="00107D7D">
        <w:t>.2</w:t>
      </w:r>
      <w:r w:rsidR="00330D0C">
        <w:t>8</w:t>
      </w:r>
      <w:r w:rsidRPr="006B4818" w:rsidR="006B4818">
        <w:t xml:space="preserve"> per registration.</w:t>
      </w:r>
      <w:r w:rsidR="00C351ED">
        <w:t xml:space="preserve"> </w:t>
      </w:r>
    </w:p>
    <w:p w:rsidRPr="00732012" w:rsidR="00C351ED" w:rsidP="00F37138" w:rsidRDefault="00C351ED" w14:paraId="48EC091E" w14:textId="7DADE717">
      <w:pPr>
        <w:keepNext/>
        <w:keepLines/>
        <w:spacing w:after="0"/>
        <w:jc w:val="center"/>
        <w:rPr>
          <w:b/>
          <w:bCs/>
        </w:rPr>
      </w:pPr>
      <w:r w:rsidRPr="00C47150">
        <w:rPr>
          <w:b/>
          <w:bCs/>
        </w:rPr>
        <w:t xml:space="preserve">TABLE </w:t>
      </w:r>
      <w:r w:rsidR="00DA25DF">
        <w:rPr>
          <w:b/>
          <w:bCs/>
        </w:rPr>
        <w:t>8</w:t>
      </w:r>
      <w:r w:rsidRPr="00C47150">
        <w:rPr>
          <w:b/>
          <w:bCs/>
        </w:rPr>
        <w:t xml:space="preserve">:  </w:t>
      </w:r>
      <w:r w:rsidRPr="00732012">
        <w:rPr>
          <w:b/>
          <w:bCs/>
        </w:rPr>
        <w:t xml:space="preserve">Estimated Burden for </w:t>
      </w:r>
      <w:r w:rsidR="006B4818">
        <w:rPr>
          <w:b/>
          <w:bCs/>
        </w:rPr>
        <w:t>Quality Payment Program Identity Management Application Process</w:t>
      </w:r>
      <w:r w:rsidR="004004F7">
        <w:rPr>
          <w:b/>
          <w:bCs/>
        </w:rPr>
        <w:t xml:space="preserve"> </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97"/>
        <w:gridCol w:w="1123"/>
      </w:tblGrid>
      <w:tr w:rsidRPr="00732012" w:rsidR="00C351ED" w:rsidTr="007F64F4" w14:paraId="3A9F9226" w14:textId="77777777">
        <w:trPr>
          <w:cantSplit/>
          <w:trHeight w:val="315"/>
        </w:trPr>
        <w:tc>
          <w:tcPr>
            <w:tcW w:w="8597" w:type="dxa"/>
            <w:shd w:val="clear" w:color="auto" w:fill="auto"/>
            <w:vAlign w:val="center"/>
            <w:hideMark/>
          </w:tcPr>
          <w:p w:rsidRPr="00C351ED" w:rsidR="00C351ED" w:rsidP="00F37138" w:rsidRDefault="00C351ED" w14:paraId="2226A6BB" w14:textId="6889A0D7">
            <w:pPr>
              <w:keepNext/>
              <w:keepLines/>
              <w:spacing w:after="0"/>
              <w:rPr>
                <w:b/>
                <w:sz w:val="20"/>
                <w:szCs w:val="20"/>
              </w:rPr>
            </w:pPr>
            <w:r w:rsidRPr="00C351ED">
              <w:rPr>
                <w:b/>
                <w:sz w:val="20"/>
                <w:szCs w:val="20"/>
              </w:rPr>
              <w:t>Burden and Respondent Descriptions</w:t>
            </w:r>
          </w:p>
        </w:tc>
        <w:tc>
          <w:tcPr>
            <w:tcW w:w="1123" w:type="dxa"/>
            <w:shd w:val="clear" w:color="auto" w:fill="auto"/>
            <w:vAlign w:val="center"/>
            <w:hideMark/>
          </w:tcPr>
          <w:p w:rsidRPr="00732012" w:rsidR="00C351ED" w:rsidP="00F37138" w:rsidRDefault="00C351ED" w14:paraId="3FD71DD0" w14:textId="77777777">
            <w:pPr>
              <w:keepNext/>
              <w:keepLines/>
              <w:spacing w:after="0"/>
              <w:jc w:val="center"/>
              <w:rPr>
                <w:b/>
                <w:bCs/>
                <w:sz w:val="20"/>
                <w:szCs w:val="20"/>
              </w:rPr>
            </w:pPr>
            <w:r w:rsidRPr="00732012">
              <w:rPr>
                <w:b/>
                <w:bCs/>
                <w:sz w:val="20"/>
                <w:szCs w:val="20"/>
              </w:rPr>
              <w:t>Burden Estimate</w:t>
            </w:r>
          </w:p>
        </w:tc>
      </w:tr>
      <w:tr w:rsidRPr="00732012" w:rsidR="00C351ED" w:rsidTr="007F64F4" w14:paraId="7A5825BF" w14:textId="77777777">
        <w:trPr>
          <w:cantSplit/>
          <w:trHeight w:val="188"/>
        </w:trPr>
        <w:tc>
          <w:tcPr>
            <w:tcW w:w="8597" w:type="dxa"/>
            <w:shd w:val="clear" w:color="auto" w:fill="auto"/>
            <w:hideMark/>
          </w:tcPr>
          <w:p w:rsidRPr="00732012" w:rsidR="00C351ED" w:rsidP="00F37138" w:rsidRDefault="00C351ED" w14:paraId="16B690A0" w14:textId="70EA2AE6">
            <w:pPr>
              <w:keepNext/>
              <w:keepLines/>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Pr="00732012" w:rsidR="00C351ED" w:rsidP="00F37138" w:rsidRDefault="00D53B72" w14:paraId="74D71546" w14:textId="13876009">
            <w:pPr>
              <w:keepNext/>
              <w:keepLines/>
              <w:spacing w:after="0"/>
              <w:rPr>
                <w:sz w:val="20"/>
                <w:szCs w:val="20"/>
              </w:rPr>
            </w:pPr>
            <w:r>
              <w:rPr>
                <w:sz w:val="20"/>
                <w:szCs w:val="20"/>
              </w:rPr>
              <w:t>6,500</w:t>
            </w:r>
          </w:p>
        </w:tc>
      </w:tr>
      <w:tr w:rsidRPr="00732012" w:rsidR="00C351ED" w:rsidTr="007F64F4" w14:paraId="7F3BDBAD" w14:textId="77777777">
        <w:trPr>
          <w:cantSplit/>
          <w:trHeight w:val="215"/>
        </w:trPr>
        <w:tc>
          <w:tcPr>
            <w:tcW w:w="8597" w:type="dxa"/>
            <w:shd w:val="clear" w:color="auto" w:fill="auto"/>
            <w:hideMark/>
          </w:tcPr>
          <w:p w:rsidRPr="00732012" w:rsidR="00C351ED" w:rsidP="00F37138" w:rsidRDefault="006B4818" w14:paraId="22AD1264" w14:textId="3E35EA56">
            <w:pPr>
              <w:keepNext/>
              <w:keepLines/>
              <w:spacing w:after="0"/>
              <w:rPr>
                <w:sz w:val="20"/>
                <w:szCs w:val="20"/>
              </w:rPr>
            </w:pPr>
            <w:r>
              <w:rPr>
                <w:sz w:val="20"/>
                <w:szCs w:val="20"/>
              </w:rPr>
              <w:t>Total Hours Per Application</w:t>
            </w:r>
            <w:r w:rsidRPr="00732012" w:rsidR="00C351ED">
              <w:rPr>
                <w:sz w:val="20"/>
                <w:szCs w:val="20"/>
              </w:rPr>
              <w:t xml:space="preserve"> (b)</w:t>
            </w:r>
          </w:p>
        </w:tc>
        <w:tc>
          <w:tcPr>
            <w:tcW w:w="1123" w:type="dxa"/>
            <w:shd w:val="clear" w:color="auto" w:fill="auto"/>
            <w:hideMark/>
          </w:tcPr>
          <w:p w:rsidRPr="00732012" w:rsidR="00C351ED" w:rsidP="00F37138" w:rsidRDefault="00C351ED" w14:paraId="64A73F7F" w14:textId="77777777">
            <w:pPr>
              <w:keepNext/>
              <w:keepLines/>
              <w:spacing w:after="0"/>
              <w:rPr>
                <w:sz w:val="20"/>
                <w:szCs w:val="20"/>
              </w:rPr>
            </w:pPr>
            <w:r w:rsidRPr="00732012">
              <w:rPr>
                <w:sz w:val="20"/>
                <w:szCs w:val="20"/>
              </w:rPr>
              <w:t>1</w:t>
            </w:r>
          </w:p>
        </w:tc>
      </w:tr>
      <w:tr w:rsidRPr="00732012" w:rsidR="00C351ED" w:rsidTr="007F64F4" w14:paraId="7D9F31CA" w14:textId="77777777">
        <w:trPr>
          <w:cantSplit/>
          <w:trHeight w:val="260"/>
        </w:trPr>
        <w:tc>
          <w:tcPr>
            <w:tcW w:w="8597" w:type="dxa"/>
            <w:shd w:val="clear" w:color="auto" w:fill="D9D9D9" w:themeFill="background1" w:themeFillShade="D9"/>
            <w:hideMark/>
          </w:tcPr>
          <w:p w:rsidRPr="006C4F1A" w:rsidR="00C351ED" w:rsidP="00F37138" w:rsidRDefault="006B4818" w14:paraId="3667754F" w14:textId="6E92F186">
            <w:pPr>
              <w:keepNext/>
              <w:keepLines/>
              <w:spacing w:after="0"/>
              <w:rPr>
                <w:b/>
                <w:bCs/>
                <w:sz w:val="20"/>
                <w:szCs w:val="20"/>
              </w:rPr>
            </w:pPr>
            <w:r w:rsidRPr="006C4F1A">
              <w:rPr>
                <w:b/>
                <w:bCs/>
                <w:sz w:val="20"/>
                <w:szCs w:val="20"/>
              </w:rPr>
              <w:t>Total Annual Hours for completing the Identity Management Application Process (c) = (a)*(b)</w:t>
            </w:r>
          </w:p>
        </w:tc>
        <w:tc>
          <w:tcPr>
            <w:tcW w:w="1123" w:type="dxa"/>
            <w:shd w:val="clear" w:color="auto" w:fill="D9D9D9" w:themeFill="background1" w:themeFillShade="D9"/>
            <w:hideMark/>
          </w:tcPr>
          <w:p w:rsidRPr="006C4F1A" w:rsidR="00C351ED" w:rsidP="00F37138" w:rsidRDefault="00D53B72" w14:paraId="3A0C1C1C" w14:textId="369D1E16">
            <w:pPr>
              <w:keepNext/>
              <w:keepLines/>
              <w:spacing w:after="0"/>
              <w:rPr>
                <w:b/>
                <w:bCs/>
                <w:sz w:val="20"/>
                <w:szCs w:val="20"/>
              </w:rPr>
            </w:pPr>
            <w:r w:rsidRPr="006C4F1A">
              <w:rPr>
                <w:b/>
                <w:bCs/>
                <w:sz w:val="20"/>
                <w:szCs w:val="20"/>
              </w:rPr>
              <w:t>6,500</w:t>
            </w:r>
          </w:p>
        </w:tc>
      </w:tr>
      <w:tr w:rsidRPr="00732012" w:rsidR="00C351ED" w:rsidTr="007F64F4" w14:paraId="6AC98AB3" w14:textId="77777777">
        <w:trPr>
          <w:cantSplit/>
          <w:trHeight w:val="314"/>
        </w:trPr>
        <w:tc>
          <w:tcPr>
            <w:tcW w:w="8597" w:type="dxa"/>
            <w:shd w:val="clear" w:color="auto" w:fill="auto"/>
            <w:hideMark/>
          </w:tcPr>
          <w:p w:rsidRPr="00732012" w:rsidR="00C351ED" w:rsidP="00C351ED" w:rsidRDefault="00C351ED" w14:paraId="5F46077F" w14:textId="15C6162D">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w:t>
            </w:r>
            <w:r w:rsidR="00B17713">
              <w:rPr>
                <w:sz w:val="20"/>
                <w:szCs w:val="20"/>
              </w:rPr>
              <w:t>9</w:t>
            </w:r>
            <w:r w:rsidR="00D53B72">
              <w:rPr>
                <w:sz w:val="20"/>
                <w:szCs w:val="20"/>
              </w:rPr>
              <w:t>8</w:t>
            </w:r>
            <w:r w:rsidR="00F56609">
              <w:rPr>
                <w:sz w:val="20"/>
                <w:szCs w:val="20"/>
              </w:rPr>
              <w:t>.2</w:t>
            </w:r>
            <w:r w:rsidR="00D53B72">
              <w:rPr>
                <w:sz w:val="20"/>
                <w:szCs w:val="20"/>
              </w:rPr>
              <w:t>8</w:t>
            </w:r>
            <w:r w:rsidRPr="00732012">
              <w:rPr>
                <w:sz w:val="20"/>
                <w:szCs w:val="20"/>
              </w:rPr>
              <w:t>/hr.) (d)</w:t>
            </w:r>
          </w:p>
        </w:tc>
        <w:tc>
          <w:tcPr>
            <w:tcW w:w="1123" w:type="dxa"/>
            <w:shd w:val="clear" w:color="auto" w:fill="auto"/>
            <w:hideMark/>
          </w:tcPr>
          <w:p w:rsidRPr="00732012" w:rsidR="00C351ED" w:rsidP="00C351ED" w:rsidRDefault="00C351ED" w14:paraId="1C9A6962" w14:textId="18BB95CE">
            <w:pPr>
              <w:spacing w:after="0"/>
              <w:rPr>
                <w:sz w:val="20"/>
                <w:szCs w:val="20"/>
              </w:rPr>
            </w:pPr>
            <w:r w:rsidRPr="00732012">
              <w:rPr>
                <w:sz w:val="20"/>
                <w:szCs w:val="20"/>
              </w:rPr>
              <w:t>$</w:t>
            </w:r>
            <w:r w:rsidR="0091252A">
              <w:rPr>
                <w:sz w:val="20"/>
                <w:szCs w:val="20"/>
              </w:rPr>
              <w:t>9</w:t>
            </w:r>
            <w:r w:rsidR="00D53B72">
              <w:rPr>
                <w:sz w:val="20"/>
                <w:szCs w:val="20"/>
              </w:rPr>
              <w:t>8</w:t>
            </w:r>
            <w:r w:rsidR="00357E02">
              <w:rPr>
                <w:sz w:val="20"/>
                <w:szCs w:val="20"/>
              </w:rPr>
              <w:t>.2</w:t>
            </w:r>
            <w:r w:rsidR="00D53B72">
              <w:rPr>
                <w:sz w:val="20"/>
                <w:szCs w:val="20"/>
              </w:rPr>
              <w:t>8</w:t>
            </w:r>
          </w:p>
        </w:tc>
      </w:tr>
      <w:tr w:rsidRPr="00732012" w:rsidR="00C351ED" w:rsidTr="007F64F4" w14:paraId="6A5A5AF5" w14:textId="77777777">
        <w:trPr>
          <w:cantSplit/>
          <w:trHeight w:val="242"/>
        </w:trPr>
        <w:tc>
          <w:tcPr>
            <w:tcW w:w="8597" w:type="dxa"/>
            <w:shd w:val="clear" w:color="auto" w:fill="D9D9D9" w:themeFill="background1" w:themeFillShade="D9"/>
            <w:hideMark/>
          </w:tcPr>
          <w:p w:rsidRPr="006C4F1A" w:rsidR="00C351ED" w:rsidP="00C351ED" w:rsidRDefault="00C351ED" w14:paraId="50DAD469" w14:textId="0042BBE6">
            <w:pPr>
              <w:spacing w:after="0"/>
              <w:rPr>
                <w:b/>
                <w:bCs/>
                <w:sz w:val="20"/>
                <w:szCs w:val="20"/>
              </w:rPr>
            </w:pPr>
            <w:r w:rsidRPr="006C4F1A">
              <w:rPr>
                <w:b/>
                <w:bCs/>
                <w:sz w:val="20"/>
                <w:szCs w:val="20"/>
              </w:rPr>
              <w:t xml:space="preserve">Total Annual Cost for </w:t>
            </w:r>
            <w:r w:rsidRPr="006C4F1A" w:rsidR="006B4818">
              <w:rPr>
                <w:b/>
                <w:bCs/>
                <w:sz w:val="20"/>
                <w:szCs w:val="20"/>
              </w:rPr>
              <w:t xml:space="preserve">completing the Identity Management Application Process </w:t>
            </w:r>
            <w:r w:rsidRPr="006C4F1A">
              <w:rPr>
                <w:b/>
                <w:bCs/>
                <w:sz w:val="20"/>
                <w:szCs w:val="20"/>
              </w:rPr>
              <w:t>(e) = (a)*(d)</w:t>
            </w:r>
          </w:p>
        </w:tc>
        <w:tc>
          <w:tcPr>
            <w:tcW w:w="1123" w:type="dxa"/>
            <w:shd w:val="clear" w:color="auto" w:fill="D9D9D9" w:themeFill="background1" w:themeFillShade="D9"/>
            <w:hideMark/>
          </w:tcPr>
          <w:p w:rsidRPr="006C4F1A" w:rsidR="00C351ED" w:rsidP="00C351ED" w:rsidRDefault="00C351ED" w14:paraId="7613A2D2" w14:textId="05EA49D7">
            <w:pPr>
              <w:spacing w:after="0"/>
              <w:rPr>
                <w:b/>
                <w:bCs/>
                <w:sz w:val="20"/>
                <w:szCs w:val="20"/>
              </w:rPr>
            </w:pPr>
            <w:r w:rsidRPr="006C4F1A">
              <w:rPr>
                <w:b/>
                <w:bCs/>
                <w:sz w:val="20"/>
                <w:szCs w:val="20"/>
              </w:rPr>
              <w:t>$</w:t>
            </w:r>
            <w:r w:rsidRPr="006C4F1A" w:rsidR="00940290">
              <w:rPr>
                <w:b/>
                <w:bCs/>
                <w:sz w:val="20"/>
                <w:szCs w:val="20"/>
              </w:rPr>
              <w:t>638,820</w:t>
            </w:r>
          </w:p>
        </w:tc>
      </w:tr>
    </w:tbl>
    <w:p w:rsidR="00677E06" w:rsidP="003D552B" w:rsidRDefault="00677E06" w14:paraId="347C1C18" w14:textId="77777777">
      <w:pPr>
        <w:pStyle w:val="Heading4"/>
        <w:numPr>
          <w:ilvl w:val="0"/>
          <w:numId w:val="0"/>
        </w:numPr>
      </w:pPr>
    </w:p>
    <w:p w:rsidRPr="0043521C" w:rsidR="00C351ED" w:rsidP="00A46175" w:rsidRDefault="00C351ED" w14:paraId="028821FD" w14:textId="060CCF5F">
      <w:pPr>
        <w:pStyle w:val="Heading4"/>
        <w:numPr>
          <w:ilvl w:val="3"/>
          <w:numId w:val="23"/>
        </w:numPr>
      </w:pPr>
      <w:r w:rsidRPr="0043521C">
        <w:t xml:space="preserve">Burden for Quality Data Submission by Clinicians: </w:t>
      </w:r>
      <w:r w:rsidRPr="0043521C" w:rsidR="00532B06">
        <w:br/>
      </w:r>
      <w:r w:rsidRPr="0043521C" w:rsidR="00925739">
        <w:t xml:space="preserve">Medicare Part B </w:t>
      </w:r>
      <w:r w:rsidRPr="0043521C">
        <w:t>Claims-Based Collection Type</w:t>
      </w:r>
    </w:p>
    <w:p w:rsidRPr="00942FC4" w:rsidR="00942FC4" w:rsidP="00730BEF" w:rsidRDefault="00942FC4" w14:paraId="3210B6B5" w14:textId="61369012">
      <w:pPr>
        <w:rPr>
          <w:rFonts w:eastAsia="Calibri"/>
        </w:rPr>
      </w:pPr>
      <w:r w:rsidRPr="00942FC4">
        <w:rPr>
          <w:rFonts w:eastAsia="Calibri"/>
        </w:rPr>
        <w:t xml:space="preserve">As noted in Table </w:t>
      </w:r>
      <w:r w:rsidR="00577657">
        <w:rPr>
          <w:rFonts w:eastAsia="Calibri"/>
        </w:rPr>
        <w:t>9</w:t>
      </w:r>
      <w:r w:rsidRPr="00942FC4">
        <w:rPr>
          <w:rFonts w:eastAsia="Calibri"/>
        </w:rPr>
        <w:t xml:space="preserve"> </w:t>
      </w:r>
      <w:r w:rsidRPr="00B17713" w:rsidR="00B17713">
        <w:rPr>
          <w:rFonts w:eastAsia="Calibri"/>
        </w:rPr>
        <w:t xml:space="preserve">based on </w:t>
      </w:r>
      <w:r w:rsidR="003014BE">
        <w:rPr>
          <w:rFonts w:eastAsia="Calibri"/>
        </w:rPr>
        <w:t xml:space="preserve">CY </w:t>
      </w:r>
      <w:r w:rsidRPr="00B17713" w:rsidR="00B17713">
        <w:rPr>
          <w:rFonts w:eastAsia="Calibri"/>
        </w:rPr>
        <w:t>201</w:t>
      </w:r>
      <w:r w:rsidR="003014BE">
        <w:rPr>
          <w:rFonts w:eastAsia="Calibri"/>
        </w:rPr>
        <w:t>9</w:t>
      </w:r>
      <w:r w:rsidRPr="00B17713" w:rsidR="00B17713">
        <w:rPr>
          <w:rFonts w:eastAsia="Calibri"/>
        </w:rPr>
        <w:t xml:space="preserve"> performance period</w:t>
      </w:r>
      <w:r w:rsidR="003014BE">
        <w:rPr>
          <w:rFonts w:eastAsia="Calibri"/>
        </w:rPr>
        <w:t>/2021 MIPS payment year</w:t>
      </w:r>
      <w:r w:rsidRPr="00B17713" w:rsidR="00B17713">
        <w:rPr>
          <w:rFonts w:eastAsia="Calibri"/>
        </w:rPr>
        <w:t xml:space="preserve"> data, we assume that </w:t>
      </w:r>
      <w:r w:rsidR="00810D9C">
        <w:rPr>
          <w:rFonts w:eastAsia="Calibri"/>
        </w:rPr>
        <w:t>2</w:t>
      </w:r>
      <w:r w:rsidR="00A156D5">
        <w:rPr>
          <w:rFonts w:eastAsia="Calibri"/>
        </w:rPr>
        <w:t>7,006</w:t>
      </w:r>
      <w:r w:rsidRPr="00B17713" w:rsidR="00B17713">
        <w:rPr>
          <w:rFonts w:eastAsia="Calibri"/>
        </w:rPr>
        <w:t xml:space="preserve"> individual clinicians will collect and submit quality data via the Medicare Part B claims collection type</w:t>
      </w:r>
      <w:r w:rsidR="00B17713">
        <w:rPr>
          <w:rFonts w:eastAsia="Calibri"/>
        </w:rPr>
        <w:t>, a</w:t>
      </w:r>
      <w:r w:rsidR="00A156D5">
        <w:rPr>
          <w:rFonts w:eastAsia="Calibri"/>
        </w:rPr>
        <w:t>n</w:t>
      </w:r>
      <w:r w:rsidR="00B17713">
        <w:rPr>
          <w:rFonts w:eastAsia="Calibri"/>
        </w:rPr>
        <w:t xml:space="preserve"> </w:t>
      </w:r>
      <w:r w:rsidR="0012545D">
        <w:rPr>
          <w:rFonts w:eastAsia="Calibri"/>
        </w:rPr>
        <w:t>in</w:t>
      </w:r>
      <w:r w:rsidR="00B17713">
        <w:rPr>
          <w:rFonts w:eastAsia="Calibri"/>
        </w:rPr>
        <w:t xml:space="preserve">crease of </w:t>
      </w:r>
      <w:r w:rsidR="002649E1">
        <w:rPr>
          <w:rFonts w:eastAsia="Calibri"/>
        </w:rPr>
        <w:t>1,</w:t>
      </w:r>
      <w:r w:rsidR="0012545D">
        <w:rPr>
          <w:rFonts w:eastAsia="Calibri"/>
        </w:rPr>
        <w:t>579</w:t>
      </w:r>
      <w:r w:rsidRPr="00B17713" w:rsidR="00B17713">
        <w:rPr>
          <w:rFonts w:eastAsia="Calibri"/>
        </w:rPr>
        <w:t xml:space="preserve"> from </w:t>
      </w:r>
      <w:r w:rsidR="00B17713">
        <w:rPr>
          <w:rFonts w:eastAsia="Calibri"/>
        </w:rPr>
        <w:t xml:space="preserve">the currently approved estimate of </w:t>
      </w:r>
      <w:r w:rsidR="00D4006F">
        <w:rPr>
          <w:rFonts w:eastAsia="Calibri"/>
        </w:rPr>
        <w:lastRenderedPageBreak/>
        <w:t>2</w:t>
      </w:r>
      <w:r w:rsidR="000F51EC">
        <w:rPr>
          <w:rFonts w:eastAsia="Calibri"/>
        </w:rPr>
        <w:t>5,427</w:t>
      </w:r>
      <w:r w:rsidR="00D4006F">
        <w:rPr>
          <w:rFonts w:eastAsia="Calibri"/>
        </w:rPr>
        <w:t xml:space="preserve"> </w:t>
      </w:r>
      <w:r w:rsidR="00C52260">
        <w:rPr>
          <w:rFonts w:eastAsia="Calibri"/>
        </w:rPr>
        <w:t xml:space="preserve">respondents </w:t>
      </w:r>
      <w:r w:rsidRPr="00B17713" w:rsidR="00B17713">
        <w:rPr>
          <w:rFonts w:eastAsia="Calibri"/>
        </w:rPr>
        <w:t xml:space="preserve">based on more recent data and our methodology of accounting only for clinicians in small practices who submitted such claims data in the </w:t>
      </w:r>
      <w:r w:rsidR="00E9578D">
        <w:rPr>
          <w:rFonts w:eastAsia="Calibri"/>
        </w:rPr>
        <w:t xml:space="preserve">CY </w:t>
      </w:r>
      <w:r w:rsidRPr="00B17713" w:rsidR="00B17713">
        <w:rPr>
          <w:rFonts w:eastAsia="Calibri"/>
        </w:rPr>
        <w:t>201</w:t>
      </w:r>
      <w:r w:rsidR="00E9578D">
        <w:rPr>
          <w:rFonts w:eastAsia="Calibri"/>
        </w:rPr>
        <w:t>9</w:t>
      </w:r>
      <w:r w:rsidRPr="00B17713" w:rsidR="00B17713">
        <w:rPr>
          <w:rFonts w:eastAsia="Calibri"/>
        </w:rPr>
        <w:t xml:space="preserve"> performance period</w:t>
      </w:r>
      <w:r w:rsidR="00294A46">
        <w:rPr>
          <w:rFonts w:eastAsia="Calibri"/>
        </w:rPr>
        <w:t>/2021 MIPS payment year</w:t>
      </w:r>
      <w:r w:rsidRPr="00B17713" w:rsidR="00B17713">
        <w:rPr>
          <w:rFonts w:eastAsia="Calibri"/>
        </w:rPr>
        <w:t xml:space="preserve"> rather than all clinicians who submitted quality data codes to us for the Medicare Part B claims collection type</w:t>
      </w:r>
      <w:r w:rsidRPr="001B6F36" w:rsidR="001B6F36">
        <w:rPr>
          <w:rFonts w:eastAsia="Calibri"/>
        </w:rPr>
        <w:t xml:space="preserve">.  </w:t>
      </w:r>
    </w:p>
    <w:p w:rsidRPr="00942FC4" w:rsidR="00942FC4" w:rsidP="00730BEF" w:rsidRDefault="00942FC4" w14:paraId="5386FD25" w14:textId="03CA0AC7">
      <w:pPr>
        <w:rPr>
          <w:rFonts w:eastAsia="Calibri"/>
        </w:rPr>
      </w:pPr>
      <w:r w:rsidRPr="00942FC4">
        <w:rPr>
          <w:rFonts w:eastAsia="Calibri"/>
        </w:rPr>
        <w:t xml:space="preserve">As shown in Table </w:t>
      </w:r>
      <w:r w:rsidR="00044FE3">
        <w:rPr>
          <w:rFonts w:eastAsia="Calibri"/>
        </w:rPr>
        <w:t>9</w:t>
      </w:r>
      <w:r w:rsidRPr="00942FC4">
        <w:rPr>
          <w:rFonts w:eastAsia="Calibri"/>
        </w:rPr>
        <w:t xml:space="preserve">, </w:t>
      </w:r>
      <w:r w:rsidRPr="00B17713" w:rsidR="00B17713">
        <w:rPr>
          <w:rFonts w:eastAsia="Calibri"/>
        </w:rPr>
        <w:t>consistent with our currently approved per response time figures, we estimate that the burden of quality data submission using Medicare Part B claims will range from 0.15 hours (9 minutes) at a cost of $1</w:t>
      </w:r>
      <w:r w:rsidR="00BF01B7">
        <w:rPr>
          <w:rFonts w:eastAsia="Calibri"/>
        </w:rPr>
        <w:t>4.</w:t>
      </w:r>
      <w:r w:rsidR="00044FE3">
        <w:rPr>
          <w:rFonts w:eastAsia="Calibri"/>
        </w:rPr>
        <w:t>74</w:t>
      </w:r>
      <w:r w:rsidRPr="00B17713" w:rsidR="00B17713">
        <w:rPr>
          <w:rFonts w:eastAsia="Calibri"/>
        </w:rPr>
        <w:t xml:space="preserve"> (0.15 </w:t>
      </w:r>
      <w:proofErr w:type="spellStart"/>
      <w:r w:rsidRPr="00B17713" w:rsidR="00B17713">
        <w:rPr>
          <w:rFonts w:eastAsia="Calibri"/>
        </w:rPr>
        <w:t>hr</w:t>
      </w:r>
      <w:proofErr w:type="spellEnd"/>
      <w:r w:rsidRPr="00B17713" w:rsidR="00B17713">
        <w:rPr>
          <w:rFonts w:eastAsia="Calibri"/>
        </w:rPr>
        <w:t xml:space="preserve"> x $9</w:t>
      </w:r>
      <w:r w:rsidR="00044FE3">
        <w:rPr>
          <w:rFonts w:eastAsia="Calibri"/>
        </w:rPr>
        <w:t>8</w:t>
      </w:r>
      <w:r w:rsidR="00BF01B7">
        <w:rPr>
          <w:rFonts w:eastAsia="Calibri"/>
        </w:rPr>
        <w:t>.2</w:t>
      </w:r>
      <w:r w:rsidR="00044FE3">
        <w:rPr>
          <w:rFonts w:eastAsia="Calibri"/>
        </w:rPr>
        <w:t>8</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to 7.2 hours at a cost of $</w:t>
      </w:r>
      <w:r w:rsidR="00A311B4">
        <w:rPr>
          <w:rFonts w:eastAsia="Calibri"/>
        </w:rPr>
        <w:t>707</w:t>
      </w:r>
      <w:r w:rsidR="00A63696">
        <w:rPr>
          <w:rFonts w:eastAsia="Calibri"/>
        </w:rPr>
        <w:t>.</w:t>
      </w:r>
      <w:r w:rsidR="00A311B4">
        <w:rPr>
          <w:rFonts w:eastAsia="Calibri"/>
        </w:rPr>
        <w:t>61</w:t>
      </w:r>
      <w:r w:rsidRPr="00B17713" w:rsidR="00B17713">
        <w:rPr>
          <w:rFonts w:eastAsia="Calibri"/>
        </w:rPr>
        <w:t xml:space="preserve"> (7.2 </w:t>
      </w:r>
      <w:proofErr w:type="spellStart"/>
      <w:r w:rsidRPr="00B17713" w:rsidR="00B17713">
        <w:rPr>
          <w:rFonts w:eastAsia="Calibri"/>
        </w:rPr>
        <w:t>hr</w:t>
      </w:r>
      <w:proofErr w:type="spellEnd"/>
      <w:r w:rsidRPr="00B17713" w:rsidR="00B17713">
        <w:rPr>
          <w:rFonts w:eastAsia="Calibri"/>
        </w:rPr>
        <w:t xml:space="preserve"> x $9</w:t>
      </w:r>
      <w:r w:rsidR="00044FE3">
        <w:rPr>
          <w:rFonts w:eastAsia="Calibri"/>
        </w:rPr>
        <w:t>8</w:t>
      </w:r>
      <w:r w:rsidR="00260B76">
        <w:rPr>
          <w:rFonts w:eastAsia="Calibri"/>
        </w:rPr>
        <w:t>.2</w:t>
      </w:r>
      <w:r w:rsidR="00044FE3">
        <w:rPr>
          <w:rFonts w:eastAsia="Calibri"/>
        </w:rPr>
        <w:t>8</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The burden will involve becoming familiar with MIPS quality measure specifications. We believe that the start-up cost for a clinician’s practice to review measure specifications is 7 hours, consisting of 3 hours at $11</w:t>
      </w:r>
      <w:r w:rsidR="00E6280E">
        <w:rPr>
          <w:rFonts w:eastAsia="Calibri"/>
        </w:rPr>
        <w:t>5</w:t>
      </w:r>
      <w:r w:rsidR="009C396E">
        <w:rPr>
          <w:rFonts w:eastAsia="Calibri"/>
        </w:rPr>
        <w:t>.2</w:t>
      </w:r>
      <w:r w:rsidR="00E6280E">
        <w:rPr>
          <w:rFonts w:eastAsia="Calibri"/>
        </w:rPr>
        <w:t>2</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xml:space="preserve"> for a medical and health services manager, 1 hour at $2</w:t>
      </w:r>
      <w:r w:rsidR="00E6280E">
        <w:rPr>
          <w:rFonts w:eastAsia="Calibri"/>
        </w:rPr>
        <w:t>59</w:t>
      </w:r>
      <w:r w:rsidR="006E2653">
        <w:rPr>
          <w:rFonts w:eastAsia="Calibri"/>
        </w:rPr>
        <w:t>.</w:t>
      </w:r>
      <w:r w:rsidR="00E6280E">
        <w:rPr>
          <w:rFonts w:eastAsia="Calibri"/>
        </w:rPr>
        <w:t>98</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xml:space="preserve"> for a physician, 1 hour at $4</w:t>
      </w:r>
      <w:r w:rsidR="00E6280E">
        <w:rPr>
          <w:rFonts w:eastAsia="Calibri"/>
        </w:rPr>
        <w:t>9</w:t>
      </w:r>
      <w:r w:rsidR="00C67FE0">
        <w:rPr>
          <w:rFonts w:eastAsia="Calibri"/>
        </w:rPr>
        <w:t>.</w:t>
      </w:r>
      <w:r w:rsidR="00E6280E">
        <w:rPr>
          <w:rFonts w:eastAsia="Calibri"/>
        </w:rPr>
        <w:t>8</w:t>
      </w:r>
      <w:r w:rsidR="00C67FE0">
        <w:rPr>
          <w:rFonts w:eastAsia="Calibri"/>
        </w:rPr>
        <w:t>6</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xml:space="preserve"> for an LPN, 1 hour at $9</w:t>
      </w:r>
      <w:r w:rsidR="00E6280E">
        <w:rPr>
          <w:rFonts w:eastAsia="Calibri"/>
        </w:rPr>
        <w:t>8</w:t>
      </w:r>
      <w:r w:rsidR="00EF21DD">
        <w:rPr>
          <w:rFonts w:eastAsia="Calibri"/>
        </w:rPr>
        <w:t>.2</w:t>
      </w:r>
      <w:r w:rsidR="00E6280E">
        <w:rPr>
          <w:rFonts w:eastAsia="Calibri"/>
        </w:rPr>
        <w:t>8</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xml:space="preserve"> for a computer systems analyst, and 1 hour at $</w:t>
      </w:r>
      <w:r w:rsidR="00BD0177">
        <w:rPr>
          <w:rFonts w:eastAsia="Calibri"/>
        </w:rPr>
        <w:t>4</w:t>
      </w:r>
      <w:r w:rsidR="00E6280E">
        <w:rPr>
          <w:rFonts w:eastAsia="Calibri"/>
        </w:rPr>
        <w:t>1</w:t>
      </w:r>
      <w:r w:rsidR="00BD0177">
        <w:rPr>
          <w:rFonts w:eastAsia="Calibri"/>
        </w:rPr>
        <w:t>.</w:t>
      </w:r>
      <w:r w:rsidR="00E6280E">
        <w:rPr>
          <w:rFonts w:eastAsia="Calibri"/>
        </w:rPr>
        <w:t>1</w:t>
      </w:r>
      <w:r w:rsidR="00BD0177">
        <w:rPr>
          <w:rFonts w:eastAsia="Calibri"/>
        </w:rPr>
        <w:t>0</w:t>
      </w:r>
      <w:r w:rsidRPr="00B17713" w:rsidR="00B17713">
        <w:rPr>
          <w:rFonts w:eastAsia="Calibri"/>
        </w:rPr>
        <w:t>/</w:t>
      </w:r>
      <w:proofErr w:type="spellStart"/>
      <w:r w:rsidRPr="00B17713" w:rsidR="00B17713">
        <w:rPr>
          <w:rFonts w:eastAsia="Calibri"/>
        </w:rPr>
        <w:t>hr</w:t>
      </w:r>
      <w:proofErr w:type="spellEnd"/>
      <w:r w:rsidRPr="00B17713" w:rsidR="00B17713">
        <w:rPr>
          <w:rFonts w:eastAsia="Calibri"/>
        </w:rPr>
        <w:t xml:space="preserve"> for a billing and posting clerk.  We are not revising our currently approved per response time estimates</w:t>
      </w:r>
      <w:r w:rsidRPr="005B4144" w:rsidR="005B4144">
        <w:rPr>
          <w:rFonts w:eastAsia="Calibri"/>
        </w:rPr>
        <w:t>.</w:t>
      </w:r>
    </w:p>
    <w:p w:rsidRPr="00942FC4" w:rsidR="00942FC4" w:rsidP="00730BEF" w:rsidRDefault="00942FC4" w14:paraId="7CAA5818" w14:textId="230E64F5">
      <w:pPr>
        <w:rPr>
          <w:rFonts w:eastAsia="Calibri"/>
        </w:rPr>
      </w:pPr>
      <w:r w:rsidRPr="00942FC4">
        <w:rPr>
          <w:rFonts w:eastAsia="Calibri"/>
        </w:rPr>
        <w:t>The estimate for reviewing and incorporating measure specifications for the claims collection type is higher than that of QCDRs/</w:t>
      </w:r>
      <w:r w:rsidR="00036231">
        <w:rPr>
          <w:rFonts w:eastAsia="Calibri"/>
        </w:rPr>
        <w:t>r</w:t>
      </w:r>
      <w:r w:rsidRPr="00942FC4">
        <w:rPr>
          <w:rFonts w:eastAsia="Calibri"/>
        </w:rPr>
        <w:t xml:space="preserve">egistries or eCQM collection types due to the more manual, and therefore, more burdensome nature of Medicare Part B claims measures. </w:t>
      </w:r>
    </w:p>
    <w:p w:rsidR="00B17713" w:rsidP="00730BEF" w:rsidRDefault="00EB7F95" w14:paraId="48F38D92" w14:textId="353EAF29">
      <w:pPr>
        <w:rPr>
          <w:rFonts w:eastAsia="Calibri"/>
        </w:rPr>
      </w:pPr>
      <w:r>
        <w:rPr>
          <w:rFonts w:eastAsia="Calibri"/>
        </w:rPr>
        <w:t xml:space="preserve">As shown in Table 9, </w:t>
      </w:r>
      <w:r w:rsidR="00EC6DA2">
        <w:rPr>
          <w:rFonts w:eastAsia="Calibri"/>
        </w:rPr>
        <w:t>f</w:t>
      </w:r>
      <w:r w:rsidR="00E85FD2">
        <w:rPr>
          <w:rFonts w:eastAsia="Calibri"/>
        </w:rPr>
        <w:t>or the CY 202</w:t>
      </w:r>
      <w:r w:rsidR="00530FDB">
        <w:rPr>
          <w:rFonts w:eastAsia="Calibri"/>
        </w:rPr>
        <w:t>3</w:t>
      </w:r>
      <w:r w:rsidR="00E85FD2">
        <w:rPr>
          <w:rFonts w:eastAsia="Calibri"/>
        </w:rPr>
        <w:t xml:space="preserve"> performance period/202</w:t>
      </w:r>
      <w:r w:rsidR="00530FDB">
        <w:rPr>
          <w:rFonts w:eastAsia="Calibri"/>
        </w:rPr>
        <w:t>5</w:t>
      </w:r>
      <w:r w:rsidR="00E85FD2">
        <w:rPr>
          <w:rFonts w:eastAsia="Calibri"/>
        </w:rPr>
        <w:t xml:space="preserve"> MIPS payment year, c</w:t>
      </w:r>
      <w:r w:rsidRPr="000709BE" w:rsidR="000709BE">
        <w:rPr>
          <w:rFonts w:eastAsia="Calibri"/>
        </w:rPr>
        <w:t xml:space="preserve">onsidering both data submission and start-up requirements, the estimated time (per clinician) ranges from a minimum of 7.15 hours (0.15 </w:t>
      </w:r>
      <w:proofErr w:type="spellStart"/>
      <w:r w:rsidRPr="000709BE" w:rsidR="000709BE">
        <w:rPr>
          <w:rFonts w:eastAsia="Calibri"/>
        </w:rPr>
        <w:t>hr</w:t>
      </w:r>
      <w:proofErr w:type="spellEnd"/>
      <w:r w:rsidRPr="000709BE" w:rsidR="000709BE">
        <w:rPr>
          <w:rFonts w:eastAsia="Calibri"/>
        </w:rPr>
        <w:t xml:space="preserve"> + 7 </w:t>
      </w:r>
      <w:proofErr w:type="spellStart"/>
      <w:r w:rsidRPr="000709BE" w:rsidR="000709BE">
        <w:rPr>
          <w:rFonts w:eastAsia="Calibri"/>
        </w:rPr>
        <w:t>hr</w:t>
      </w:r>
      <w:proofErr w:type="spellEnd"/>
      <w:r w:rsidRPr="000709BE" w:rsidR="000709BE">
        <w:rPr>
          <w:rFonts w:eastAsia="Calibri"/>
        </w:rPr>
        <w:t xml:space="preserve">) to a maximum of 14.2 hours (7.2 </w:t>
      </w:r>
      <w:proofErr w:type="spellStart"/>
      <w:r w:rsidRPr="000709BE" w:rsidR="000709BE">
        <w:rPr>
          <w:rFonts w:eastAsia="Calibri"/>
        </w:rPr>
        <w:t>hr</w:t>
      </w:r>
      <w:proofErr w:type="spellEnd"/>
      <w:r w:rsidRPr="000709BE" w:rsidR="000709BE">
        <w:rPr>
          <w:rFonts w:eastAsia="Calibri"/>
        </w:rPr>
        <w:t xml:space="preserve"> + 7 </w:t>
      </w:r>
      <w:proofErr w:type="spellStart"/>
      <w:r w:rsidRPr="000709BE" w:rsidR="000709BE">
        <w:rPr>
          <w:rFonts w:eastAsia="Calibri"/>
        </w:rPr>
        <w:t>hr</w:t>
      </w:r>
      <w:proofErr w:type="spellEnd"/>
      <w:r w:rsidRPr="000709BE" w:rsidR="000709BE">
        <w:rPr>
          <w:rFonts w:eastAsia="Calibri"/>
        </w:rPr>
        <w:t xml:space="preserve">). In </w:t>
      </w:r>
      <w:r w:rsidR="006477EC">
        <w:rPr>
          <w:rFonts w:eastAsia="Calibri"/>
        </w:rPr>
        <w:t>aggregate,</w:t>
      </w:r>
      <w:r w:rsidRPr="000709BE" w:rsidR="000709BE">
        <w:rPr>
          <w:rFonts w:eastAsia="Calibri"/>
        </w:rPr>
        <w:t xml:space="preserve"> the total annual time ranges from </w:t>
      </w:r>
      <w:r w:rsidR="002471B6">
        <w:rPr>
          <w:rFonts w:eastAsia="Calibri"/>
        </w:rPr>
        <w:t>193,093</w:t>
      </w:r>
      <w:r w:rsidRPr="00306E88" w:rsidR="00306E88">
        <w:rPr>
          <w:rFonts w:eastAsia="Calibri"/>
        </w:rPr>
        <w:t xml:space="preserve"> hours (7.15 </w:t>
      </w:r>
      <w:proofErr w:type="spellStart"/>
      <w:r w:rsidRPr="00306E88" w:rsidR="00306E88">
        <w:rPr>
          <w:rFonts w:eastAsia="Calibri"/>
        </w:rPr>
        <w:t>hr</w:t>
      </w:r>
      <w:proofErr w:type="spellEnd"/>
      <w:r w:rsidRPr="00306E88" w:rsidR="00306E88">
        <w:rPr>
          <w:rFonts w:eastAsia="Calibri"/>
        </w:rPr>
        <w:t xml:space="preserve"> x 2</w:t>
      </w:r>
      <w:r w:rsidR="002471B6">
        <w:rPr>
          <w:rFonts w:eastAsia="Calibri"/>
        </w:rPr>
        <w:t>7,006</w:t>
      </w:r>
      <w:r w:rsidRPr="00306E88" w:rsidR="00306E88">
        <w:rPr>
          <w:rFonts w:eastAsia="Calibri"/>
        </w:rPr>
        <w:t xml:space="preserve"> clinicians) to </w:t>
      </w:r>
      <w:r w:rsidR="008B587C">
        <w:rPr>
          <w:rFonts w:eastAsia="Calibri"/>
        </w:rPr>
        <w:t>383,485</w:t>
      </w:r>
      <w:r w:rsidRPr="00306E88" w:rsidR="00306E88">
        <w:rPr>
          <w:rFonts w:eastAsia="Calibri"/>
        </w:rPr>
        <w:t xml:space="preserve"> hours (14.2 </w:t>
      </w:r>
      <w:proofErr w:type="spellStart"/>
      <w:r w:rsidRPr="00306E88" w:rsidR="00306E88">
        <w:rPr>
          <w:rFonts w:eastAsia="Calibri"/>
        </w:rPr>
        <w:t>hr</w:t>
      </w:r>
      <w:proofErr w:type="spellEnd"/>
      <w:r w:rsidRPr="00306E88" w:rsidR="00306E88">
        <w:rPr>
          <w:rFonts w:eastAsia="Calibri"/>
        </w:rPr>
        <w:t xml:space="preserve"> x 2</w:t>
      </w:r>
      <w:r w:rsidR="002471B6">
        <w:rPr>
          <w:rFonts w:eastAsia="Calibri"/>
        </w:rPr>
        <w:t>7,006</w:t>
      </w:r>
      <w:r w:rsidRPr="00306E88" w:rsidR="00306E88">
        <w:rPr>
          <w:rFonts w:eastAsia="Calibri"/>
        </w:rPr>
        <w:t xml:space="preserve"> clinicians)</w:t>
      </w:r>
      <w:r w:rsidRPr="000709BE" w:rsidR="000709BE">
        <w:rPr>
          <w:rFonts w:eastAsia="Calibri"/>
        </w:rPr>
        <w:t>.  The estimated annual cost (per clinician) ranges from $</w:t>
      </w:r>
      <w:r w:rsidR="008B587C">
        <w:rPr>
          <w:rFonts w:eastAsia="Calibri"/>
        </w:rPr>
        <w:t>8</w:t>
      </w:r>
      <w:r w:rsidR="00E63E92">
        <w:rPr>
          <w:rFonts w:eastAsia="Calibri"/>
        </w:rPr>
        <w:t>09.62</w:t>
      </w:r>
      <w:r w:rsidRPr="000709BE" w:rsidR="000709BE">
        <w:rPr>
          <w:rFonts w:eastAsia="Calibri"/>
        </w:rPr>
        <w:t xml:space="preserve"> [(0.15 </w:t>
      </w:r>
      <w:proofErr w:type="spellStart"/>
      <w:r w:rsidRPr="000709BE" w:rsidR="000709BE">
        <w:rPr>
          <w:rFonts w:eastAsia="Calibri"/>
        </w:rPr>
        <w:t>hr</w:t>
      </w:r>
      <w:proofErr w:type="spellEnd"/>
      <w:r w:rsidRPr="000709BE" w:rsidR="000709BE">
        <w:rPr>
          <w:rFonts w:eastAsia="Calibri"/>
        </w:rPr>
        <w:t xml:space="preserve"> x $9</w:t>
      </w:r>
      <w:r w:rsidR="008B587C">
        <w:rPr>
          <w:rFonts w:eastAsia="Calibri"/>
        </w:rPr>
        <w:t>8</w:t>
      </w:r>
      <w:r w:rsidR="005E0176">
        <w:rPr>
          <w:rFonts w:eastAsia="Calibri"/>
        </w:rPr>
        <w:t>.2</w:t>
      </w:r>
      <w:r w:rsidR="008B587C">
        <w:rPr>
          <w:rFonts w:eastAsia="Calibri"/>
        </w:rPr>
        <w:t>8</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(3 </w:t>
      </w:r>
      <w:proofErr w:type="spellStart"/>
      <w:r w:rsidRPr="000709BE" w:rsidR="000709BE">
        <w:rPr>
          <w:rFonts w:eastAsia="Calibri"/>
        </w:rPr>
        <w:t>hr</w:t>
      </w:r>
      <w:proofErr w:type="spellEnd"/>
      <w:r w:rsidRPr="000709BE" w:rsidR="000709BE">
        <w:rPr>
          <w:rFonts w:eastAsia="Calibri"/>
        </w:rPr>
        <w:t xml:space="preserve"> x $11</w:t>
      </w:r>
      <w:r w:rsidR="00435EE9">
        <w:rPr>
          <w:rFonts w:eastAsia="Calibri"/>
        </w:rPr>
        <w:t>5</w:t>
      </w:r>
      <w:r w:rsidR="001C6451">
        <w:rPr>
          <w:rFonts w:eastAsia="Calibri"/>
        </w:rPr>
        <w:t>.2</w:t>
      </w:r>
      <w:r w:rsidR="00435EE9">
        <w:rPr>
          <w:rFonts w:eastAsia="Calibri"/>
        </w:rPr>
        <w:t>2</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$9</w:t>
      </w:r>
      <w:r w:rsidR="00435EE9">
        <w:rPr>
          <w:rFonts w:eastAsia="Calibri"/>
        </w:rPr>
        <w:t>8</w:t>
      </w:r>
      <w:r w:rsidR="001C6451">
        <w:rPr>
          <w:rFonts w:eastAsia="Calibri"/>
        </w:rPr>
        <w:t>.2</w:t>
      </w:r>
      <w:r w:rsidR="00435EE9">
        <w:rPr>
          <w:rFonts w:eastAsia="Calibri"/>
        </w:rPr>
        <w:t>8</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$4</w:t>
      </w:r>
      <w:r w:rsidR="00435EE9">
        <w:rPr>
          <w:rFonts w:eastAsia="Calibri"/>
        </w:rPr>
        <w:t>9</w:t>
      </w:r>
      <w:r w:rsidR="001C6451">
        <w:rPr>
          <w:rFonts w:eastAsia="Calibri"/>
        </w:rPr>
        <w:t>.</w:t>
      </w:r>
      <w:r w:rsidR="00435EE9">
        <w:rPr>
          <w:rFonts w:eastAsia="Calibri"/>
        </w:rPr>
        <w:t>8</w:t>
      </w:r>
      <w:r w:rsidR="001C6451">
        <w:rPr>
          <w:rFonts w:eastAsia="Calibri"/>
        </w:rPr>
        <w:t>6</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w:t>
      </w:r>
      <w:r w:rsidR="001C6451">
        <w:rPr>
          <w:rFonts w:eastAsia="Calibri"/>
        </w:rPr>
        <w:t>4</w:t>
      </w:r>
      <w:r w:rsidR="00435EE9">
        <w:rPr>
          <w:rFonts w:eastAsia="Calibri"/>
        </w:rPr>
        <w:t>1</w:t>
      </w:r>
      <w:r w:rsidR="001C6451">
        <w:rPr>
          <w:rFonts w:eastAsia="Calibri"/>
        </w:rPr>
        <w:t>.</w:t>
      </w:r>
      <w:r w:rsidR="00435EE9">
        <w:rPr>
          <w:rFonts w:eastAsia="Calibri"/>
        </w:rPr>
        <w:t>1</w:t>
      </w:r>
      <w:r w:rsidR="001C6451">
        <w:rPr>
          <w:rFonts w:eastAsia="Calibri"/>
        </w:rPr>
        <w:t>0</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$2</w:t>
      </w:r>
      <w:r w:rsidR="009A5D05">
        <w:rPr>
          <w:rFonts w:eastAsia="Calibri"/>
        </w:rPr>
        <w:t>59</w:t>
      </w:r>
      <w:r w:rsidR="00E570BE">
        <w:rPr>
          <w:rFonts w:eastAsia="Calibri"/>
        </w:rPr>
        <w:t>.</w:t>
      </w:r>
      <w:r w:rsidR="009A5D05">
        <w:rPr>
          <w:rFonts w:eastAsia="Calibri"/>
        </w:rPr>
        <w:t>98</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to a maximum of $1,</w:t>
      </w:r>
      <w:r w:rsidR="009A5D05">
        <w:rPr>
          <w:rFonts w:eastAsia="Calibri"/>
        </w:rPr>
        <w:t>502.49</w:t>
      </w:r>
      <w:r w:rsidRPr="000709BE" w:rsidR="000709BE">
        <w:rPr>
          <w:rFonts w:eastAsia="Calibri"/>
        </w:rPr>
        <w:t xml:space="preserve"> [(7.2 </w:t>
      </w:r>
      <w:proofErr w:type="spellStart"/>
      <w:r w:rsidRPr="000709BE" w:rsidR="000709BE">
        <w:rPr>
          <w:rFonts w:eastAsia="Calibri"/>
        </w:rPr>
        <w:t>hr</w:t>
      </w:r>
      <w:proofErr w:type="spellEnd"/>
      <w:r w:rsidRPr="000709BE" w:rsidR="000709BE">
        <w:rPr>
          <w:rFonts w:eastAsia="Calibri"/>
        </w:rPr>
        <w:t xml:space="preserve"> x $9</w:t>
      </w:r>
      <w:r w:rsidR="00A501AC">
        <w:rPr>
          <w:rFonts w:eastAsia="Calibri"/>
        </w:rPr>
        <w:t>8</w:t>
      </w:r>
      <w:r w:rsidR="00DE2B70">
        <w:rPr>
          <w:rFonts w:eastAsia="Calibri"/>
        </w:rPr>
        <w:t>.2</w:t>
      </w:r>
      <w:r w:rsidR="00A501AC">
        <w:rPr>
          <w:rFonts w:eastAsia="Calibri"/>
        </w:rPr>
        <w:t>8</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(3 </w:t>
      </w:r>
      <w:proofErr w:type="spellStart"/>
      <w:r w:rsidRPr="000709BE" w:rsidR="000709BE">
        <w:rPr>
          <w:rFonts w:eastAsia="Calibri"/>
        </w:rPr>
        <w:t>hr</w:t>
      </w:r>
      <w:proofErr w:type="spellEnd"/>
      <w:r w:rsidRPr="000709BE" w:rsidR="000709BE">
        <w:rPr>
          <w:rFonts w:eastAsia="Calibri"/>
        </w:rPr>
        <w:t xml:space="preserve"> x $11</w:t>
      </w:r>
      <w:r w:rsidR="00A501AC">
        <w:rPr>
          <w:rFonts w:eastAsia="Calibri"/>
        </w:rPr>
        <w:t>5</w:t>
      </w:r>
      <w:r w:rsidR="00EB64AF">
        <w:rPr>
          <w:rFonts w:eastAsia="Calibri"/>
        </w:rPr>
        <w:t>.2</w:t>
      </w:r>
      <w:r w:rsidR="00A501AC">
        <w:rPr>
          <w:rFonts w:eastAsia="Calibri"/>
        </w:rPr>
        <w:t>2</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$9</w:t>
      </w:r>
      <w:r w:rsidR="00A501AC">
        <w:rPr>
          <w:rFonts w:eastAsia="Calibri"/>
        </w:rPr>
        <w:t>8</w:t>
      </w:r>
      <w:r w:rsidR="00EB64AF">
        <w:rPr>
          <w:rFonts w:eastAsia="Calibri"/>
        </w:rPr>
        <w:t>.2</w:t>
      </w:r>
      <w:r w:rsidR="00A501AC">
        <w:rPr>
          <w:rFonts w:eastAsia="Calibri"/>
        </w:rPr>
        <w:t>8</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w:t>
      </w:r>
      <w:r w:rsidR="00933FBD">
        <w:rPr>
          <w:rFonts w:eastAsia="Calibri"/>
        </w:rPr>
        <w:t>4</w:t>
      </w:r>
      <w:r w:rsidR="00E066ED">
        <w:rPr>
          <w:rFonts w:eastAsia="Calibri"/>
        </w:rPr>
        <w:t>9</w:t>
      </w:r>
      <w:r w:rsidR="00933FBD">
        <w:rPr>
          <w:rFonts w:eastAsia="Calibri"/>
        </w:rPr>
        <w:t>.</w:t>
      </w:r>
      <w:r w:rsidR="00E066ED">
        <w:rPr>
          <w:rFonts w:eastAsia="Calibri"/>
        </w:rPr>
        <w:t>8</w:t>
      </w:r>
      <w:r w:rsidR="00933FBD">
        <w:rPr>
          <w:rFonts w:eastAsia="Calibri"/>
        </w:rPr>
        <w:t>6</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w:t>
      </w:r>
      <w:r w:rsidR="00933FBD">
        <w:rPr>
          <w:rFonts w:eastAsia="Calibri"/>
        </w:rPr>
        <w:t>4</w:t>
      </w:r>
      <w:r w:rsidR="00E066ED">
        <w:rPr>
          <w:rFonts w:eastAsia="Calibri"/>
        </w:rPr>
        <w:t>1</w:t>
      </w:r>
      <w:r w:rsidR="00933FBD">
        <w:rPr>
          <w:rFonts w:eastAsia="Calibri"/>
        </w:rPr>
        <w:t>.</w:t>
      </w:r>
      <w:r w:rsidR="00E066ED">
        <w:rPr>
          <w:rFonts w:eastAsia="Calibri"/>
        </w:rPr>
        <w:t>1</w:t>
      </w:r>
      <w:r w:rsidR="00933FBD">
        <w:rPr>
          <w:rFonts w:eastAsia="Calibri"/>
        </w:rPr>
        <w:t>0</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xml:space="preserve">) + (1 </w:t>
      </w:r>
      <w:proofErr w:type="spellStart"/>
      <w:r w:rsidRPr="000709BE" w:rsidR="000709BE">
        <w:rPr>
          <w:rFonts w:eastAsia="Calibri"/>
        </w:rPr>
        <w:t>hr</w:t>
      </w:r>
      <w:proofErr w:type="spellEnd"/>
      <w:r w:rsidRPr="000709BE" w:rsidR="000709BE">
        <w:rPr>
          <w:rFonts w:eastAsia="Calibri"/>
        </w:rPr>
        <w:t xml:space="preserve"> x $2</w:t>
      </w:r>
      <w:r w:rsidR="00E066ED">
        <w:rPr>
          <w:rFonts w:eastAsia="Calibri"/>
        </w:rPr>
        <w:t>59</w:t>
      </w:r>
      <w:r w:rsidR="00933FBD">
        <w:rPr>
          <w:rFonts w:eastAsia="Calibri"/>
        </w:rPr>
        <w:t>.</w:t>
      </w:r>
      <w:r w:rsidR="00E066ED">
        <w:rPr>
          <w:rFonts w:eastAsia="Calibri"/>
        </w:rPr>
        <w:t>98</w:t>
      </w:r>
      <w:r w:rsidRPr="000709BE" w:rsidR="000709BE">
        <w:rPr>
          <w:rFonts w:eastAsia="Calibri"/>
        </w:rPr>
        <w:t>/</w:t>
      </w:r>
      <w:proofErr w:type="spellStart"/>
      <w:r w:rsidRPr="000709BE" w:rsidR="000709BE">
        <w:rPr>
          <w:rFonts w:eastAsia="Calibri"/>
        </w:rPr>
        <w:t>hr</w:t>
      </w:r>
      <w:proofErr w:type="spellEnd"/>
      <w:r w:rsidRPr="000709BE" w:rsidR="000709BE">
        <w:rPr>
          <w:rFonts w:eastAsia="Calibri"/>
        </w:rPr>
        <w:t>)].  The total annual cost ranges from a minimum of $21,</w:t>
      </w:r>
      <w:r w:rsidR="0091728B">
        <w:rPr>
          <w:rFonts w:eastAsia="Calibri"/>
        </w:rPr>
        <w:t>864,598</w:t>
      </w:r>
      <w:r w:rsidRPr="000709BE" w:rsidR="000709BE">
        <w:rPr>
          <w:rFonts w:eastAsia="Calibri"/>
        </w:rPr>
        <w:t xml:space="preserve"> (2</w:t>
      </w:r>
      <w:r w:rsidR="009F1F3A">
        <w:rPr>
          <w:rFonts w:eastAsia="Calibri"/>
        </w:rPr>
        <w:t>7,006</w:t>
      </w:r>
      <w:r w:rsidRPr="000709BE" w:rsidR="000709BE">
        <w:rPr>
          <w:rFonts w:eastAsia="Calibri"/>
        </w:rPr>
        <w:t xml:space="preserve"> clinicians x $</w:t>
      </w:r>
      <w:r w:rsidR="00D21700">
        <w:rPr>
          <w:rFonts w:eastAsia="Calibri"/>
        </w:rPr>
        <w:t>80</w:t>
      </w:r>
      <w:r w:rsidR="00EB4C05">
        <w:rPr>
          <w:rFonts w:eastAsia="Calibri"/>
        </w:rPr>
        <w:t>9.62</w:t>
      </w:r>
      <w:r w:rsidRPr="000709BE" w:rsidR="000709BE">
        <w:rPr>
          <w:rFonts w:eastAsia="Calibri"/>
        </w:rPr>
        <w:t>) to a maximum of $40,</w:t>
      </w:r>
      <w:r w:rsidR="00506CF8">
        <w:rPr>
          <w:rFonts w:eastAsia="Calibri"/>
        </w:rPr>
        <w:t>576</w:t>
      </w:r>
      <w:r w:rsidR="007A590A">
        <w:rPr>
          <w:rFonts w:eastAsia="Calibri"/>
        </w:rPr>
        <w:t>,</w:t>
      </w:r>
      <w:r w:rsidR="00506CF8">
        <w:rPr>
          <w:rFonts w:eastAsia="Calibri"/>
        </w:rPr>
        <w:t>245</w:t>
      </w:r>
      <w:r w:rsidRPr="000709BE" w:rsidR="000709BE">
        <w:rPr>
          <w:rFonts w:eastAsia="Calibri"/>
        </w:rPr>
        <w:t xml:space="preserve"> (2</w:t>
      </w:r>
      <w:r w:rsidR="00506CF8">
        <w:rPr>
          <w:rFonts w:eastAsia="Calibri"/>
        </w:rPr>
        <w:t>7</w:t>
      </w:r>
      <w:r w:rsidR="00AA4839">
        <w:rPr>
          <w:rFonts w:eastAsia="Calibri"/>
        </w:rPr>
        <w:t>,</w:t>
      </w:r>
      <w:r w:rsidR="00506CF8">
        <w:rPr>
          <w:rFonts w:eastAsia="Calibri"/>
        </w:rPr>
        <w:t>006</w:t>
      </w:r>
      <w:r w:rsidRPr="000709BE" w:rsidR="000709BE">
        <w:rPr>
          <w:rFonts w:eastAsia="Calibri"/>
        </w:rPr>
        <w:t xml:space="preserve"> clinicians x $1,</w:t>
      </w:r>
      <w:r w:rsidR="00506CF8">
        <w:rPr>
          <w:rFonts w:eastAsia="Calibri"/>
        </w:rPr>
        <w:t>502</w:t>
      </w:r>
      <w:r w:rsidR="00FA5CDC">
        <w:rPr>
          <w:rFonts w:eastAsia="Calibri"/>
        </w:rPr>
        <w:t>.</w:t>
      </w:r>
      <w:r w:rsidR="00506CF8">
        <w:rPr>
          <w:rFonts w:eastAsia="Calibri"/>
        </w:rPr>
        <w:t>49</w:t>
      </w:r>
      <w:r w:rsidRPr="000709BE" w:rsidR="000709BE">
        <w:rPr>
          <w:rFonts w:eastAsia="Calibri"/>
        </w:rPr>
        <w:t>)</w:t>
      </w:r>
      <w:r w:rsidR="00B17713">
        <w:rPr>
          <w:rFonts w:eastAsia="Calibri"/>
        </w:rPr>
        <w:t>.</w:t>
      </w:r>
    </w:p>
    <w:p w:rsidRPr="00732012" w:rsidR="00C351ED" w:rsidP="00380B9C" w:rsidRDefault="00C351ED" w14:paraId="4A56D872" w14:textId="1B136FD9">
      <w:pPr>
        <w:keepNext/>
        <w:keepLines/>
        <w:spacing w:after="0"/>
        <w:jc w:val="center"/>
        <w:rPr>
          <w:b/>
          <w:bCs/>
        </w:rPr>
      </w:pPr>
      <w:r w:rsidRPr="00C47150">
        <w:rPr>
          <w:b/>
          <w:bCs/>
        </w:rPr>
        <w:t xml:space="preserve">TABLE </w:t>
      </w:r>
      <w:r w:rsidR="00577657">
        <w:rPr>
          <w:b/>
          <w:bCs/>
        </w:rPr>
        <w:t>9</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3"/>
        <w:gridCol w:w="1816"/>
        <w:gridCol w:w="1916"/>
        <w:gridCol w:w="2430"/>
      </w:tblGrid>
      <w:tr w:rsidRPr="00732012" w:rsidR="002753EA" w:rsidTr="002F1361" w14:paraId="654BD251" w14:textId="73ABC69B">
        <w:trPr>
          <w:cantSplit/>
          <w:trHeight w:val="530"/>
          <w:tblHeader/>
          <w:jc w:val="center"/>
        </w:trPr>
        <w:tc>
          <w:tcPr>
            <w:tcW w:w="2383" w:type="dxa"/>
            <w:shd w:val="clear" w:color="auto" w:fill="auto"/>
            <w:vAlign w:val="center"/>
            <w:hideMark/>
          </w:tcPr>
          <w:p w:rsidRPr="00C351ED" w:rsidR="002753EA" w:rsidP="00380B9C" w:rsidRDefault="002753EA" w14:paraId="00BA7BA3" w14:textId="69830F03">
            <w:pPr>
              <w:keepNext/>
              <w:keepLines/>
              <w:spacing w:after="0"/>
              <w:rPr>
                <w:b/>
                <w:sz w:val="20"/>
                <w:szCs w:val="20"/>
              </w:rPr>
            </w:pPr>
            <w:r w:rsidRPr="00732012">
              <w:rPr>
                <w:sz w:val="20"/>
                <w:szCs w:val="20"/>
              </w:rPr>
              <w:t> </w:t>
            </w:r>
            <w:r w:rsidRPr="00C351ED">
              <w:rPr>
                <w:b/>
                <w:sz w:val="20"/>
                <w:szCs w:val="20"/>
              </w:rPr>
              <w:t>Burden and Respondent Descriptions</w:t>
            </w:r>
          </w:p>
        </w:tc>
        <w:tc>
          <w:tcPr>
            <w:tcW w:w="1816" w:type="dxa"/>
            <w:shd w:val="clear" w:color="auto" w:fill="auto"/>
            <w:vAlign w:val="center"/>
            <w:hideMark/>
          </w:tcPr>
          <w:p w:rsidRPr="00732012" w:rsidR="002753EA" w:rsidP="00380B9C" w:rsidRDefault="002753EA" w14:paraId="0D25D71D" w14:textId="70BFCA6D">
            <w:pPr>
              <w:keepNext/>
              <w:keepLines/>
              <w:spacing w:after="0"/>
              <w:rPr>
                <w:b/>
                <w:bCs/>
                <w:sz w:val="20"/>
                <w:szCs w:val="20"/>
              </w:rPr>
            </w:pPr>
            <w:r w:rsidRPr="00732012">
              <w:rPr>
                <w:b/>
                <w:bCs/>
                <w:sz w:val="20"/>
                <w:szCs w:val="20"/>
              </w:rPr>
              <w:t>Minimum Burden</w:t>
            </w:r>
            <w:r>
              <w:rPr>
                <w:b/>
                <w:bCs/>
                <w:sz w:val="20"/>
                <w:szCs w:val="20"/>
              </w:rPr>
              <w:t xml:space="preserve"> Estimate</w:t>
            </w:r>
          </w:p>
        </w:tc>
        <w:tc>
          <w:tcPr>
            <w:tcW w:w="1916" w:type="dxa"/>
            <w:shd w:val="clear" w:color="auto" w:fill="auto"/>
            <w:vAlign w:val="center"/>
            <w:hideMark/>
          </w:tcPr>
          <w:p w:rsidRPr="00732012" w:rsidR="002753EA" w:rsidP="00380B9C" w:rsidRDefault="002753EA" w14:paraId="7FBA1E2B" w14:textId="574B0D2F">
            <w:pPr>
              <w:keepNext/>
              <w:keepLines/>
              <w:spacing w:after="0"/>
              <w:rPr>
                <w:b/>
                <w:bCs/>
                <w:sz w:val="20"/>
                <w:szCs w:val="20"/>
              </w:rPr>
            </w:pPr>
            <w:r w:rsidRPr="00732012">
              <w:rPr>
                <w:b/>
                <w:bCs/>
                <w:sz w:val="20"/>
                <w:szCs w:val="20"/>
              </w:rPr>
              <w:t>Median Burden</w:t>
            </w:r>
            <w:r>
              <w:rPr>
                <w:b/>
                <w:bCs/>
                <w:sz w:val="20"/>
                <w:szCs w:val="20"/>
              </w:rPr>
              <w:t xml:space="preserve"> Estimate</w:t>
            </w:r>
          </w:p>
        </w:tc>
        <w:tc>
          <w:tcPr>
            <w:tcW w:w="2430" w:type="dxa"/>
            <w:shd w:val="clear" w:color="auto" w:fill="auto"/>
            <w:vAlign w:val="center"/>
            <w:hideMark/>
          </w:tcPr>
          <w:p w:rsidRPr="00732012" w:rsidR="002753EA" w:rsidP="00380B9C" w:rsidRDefault="002753EA" w14:paraId="22244A87" w14:textId="53B69C9E">
            <w:pPr>
              <w:keepNext/>
              <w:keepLines/>
              <w:spacing w:after="0"/>
              <w:rPr>
                <w:b/>
                <w:bCs/>
                <w:sz w:val="20"/>
                <w:szCs w:val="20"/>
              </w:rPr>
            </w:pPr>
            <w:r w:rsidRPr="00732012">
              <w:rPr>
                <w:b/>
                <w:bCs/>
                <w:sz w:val="20"/>
                <w:szCs w:val="20"/>
              </w:rPr>
              <w:t>Maximum Burden Estimate</w:t>
            </w:r>
            <w:r>
              <w:rPr>
                <w:b/>
                <w:bCs/>
                <w:sz w:val="20"/>
                <w:szCs w:val="20"/>
              </w:rPr>
              <w:t xml:space="preserve"> </w:t>
            </w:r>
          </w:p>
        </w:tc>
      </w:tr>
      <w:tr w:rsidRPr="00732012" w:rsidR="002753EA" w:rsidTr="002F1361" w14:paraId="1AA9F1F7" w14:textId="34A3CAC7">
        <w:trPr>
          <w:cantSplit/>
          <w:trHeight w:val="315"/>
          <w:jc w:val="center"/>
        </w:trPr>
        <w:tc>
          <w:tcPr>
            <w:tcW w:w="2383" w:type="dxa"/>
            <w:tcBorders>
              <w:top w:val="single" w:color="auto" w:sz="4" w:space="0"/>
              <w:left w:val="single" w:color="auto" w:sz="4" w:space="0"/>
              <w:bottom w:val="single" w:color="auto" w:sz="4" w:space="0"/>
              <w:right w:val="single" w:color="auto" w:sz="4" w:space="0"/>
            </w:tcBorders>
            <w:shd w:val="clear" w:color="auto" w:fill="auto"/>
            <w:hideMark/>
          </w:tcPr>
          <w:p w:rsidRPr="00732012" w:rsidR="002753EA" w:rsidP="00B26904" w:rsidRDefault="002753EA" w14:paraId="28D04CE3" w14:textId="77777777">
            <w:pPr>
              <w:keepLines/>
              <w:spacing w:after="0"/>
              <w:rPr>
                <w:sz w:val="20"/>
                <w:szCs w:val="20"/>
              </w:rPr>
            </w:pPr>
            <w:r w:rsidRPr="00732012">
              <w:rPr>
                <w:sz w:val="20"/>
                <w:szCs w:val="20"/>
              </w:rPr>
              <w:t># of Clinicians (a)</w:t>
            </w:r>
          </w:p>
        </w:tc>
        <w:tc>
          <w:tcPr>
            <w:tcW w:w="1816" w:type="dxa"/>
            <w:tcBorders>
              <w:top w:val="single" w:color="auto" w:sz="4" w:space="0"/>
              <w:left w:val="single" w:color="auto" w:sz="4" w:space="0"/>
              <w:bottom w:val="single" w:color="auto" w:sz="4" w:space="0"/>
              <w:right w:val="single" w:color="auto" w:sz="4" w:space="0"/>
            </w:tcBorders>
            <w:shd w:val="clear" w:color="auto" w:fill="auto"/>
            <w:noWrap/>
          </w:tcPr>
          <w:p w:rsidRPr="00E538DA" w:rsidR="002753EA" w:rsidP="00B26904" w:rsidRDefault="002753EA" w14:paraId="5A2263AD" w14:textId="1FA32980">
            <w:pPr>
              <w:keepLines/>
              <w:spacing w:after="0"/>
              <w:rPr>
                <w:sz w:val="20"/>
                <w:szCs w:val="20"/>
              </w:rPr>
            </w:pPr>
            <w:r w:rsidRPr="00871E51">
              <w:rPr>
                <w:rFonts w:eastAsia="Calibri"/>
                <w:sz w:val="20"/>
                <w:szCs w:val="20"/>
              </w:rPr>
              <w:t>2</w:t>
            </w:r>
            <w:r w:rsidR="00711620">
              <w:rPr>
                <w:rFonts w:eastAsia="Calibri"/>
                <w:sz w:val="20"/>
                <w:szCs w:val="20"/>
              </w:rPr>
              <w:t>7,006</w:t>
            </w:r>
          </w:p>
        </w:tc>
        <w:tc>
          <w:tcPr>
            <w:tcW w:w="1916" w:type="dxa"/>
            <w:tcBorders>
              <w:top w:val="single" w:color="auto" w:sz="4" w:space="0"/>
              <w:left w:val="single" w:color="auto" w:sz="4" w:space="0"/>
              <w:bottom w:val="single" w:color="auto" w:sz="4" w:space="0"/>
              <w:right w:val="single" w:color="auto" w:sz="4" w:space="0"/>
            </w:tcBorders>
            <w:shd w:val="clear" w:color="auto" w:fill="auto"/>
            <w:noWrap/>
          </w:tcPr>
          <w:p w:rsidRPr="00E538DA" w:rsidR="002753EA" w:rsidP="00B26904" w:rsidRDefault="002753EA" w14:paraId="7456BB10" w14:textId="517BCDA5">
            <w:pPr>
              <w:keepLines/>
              <w:spacing w:after="0"/>
              <w:rPr>
                <w:sz w:val="20"/>
                <w:szCs w:val="20"/>
              </w:rPr>
            </w:pPr>
            <w:r w:rsidRPr="00871E51">
              <w:rPr>
                <w:rFonts w:eastAsia="Calibri"/>
                <w:sz w:val="20"/>
                <w:szCs w:val="20"/>
              </w:rPr>
              <w:t>2</w:t>
            </w:r>
            <w:r w:rsidR="00711620">
              <w:rPr>
                <w:rFonts w:eastAsia="Calibri"/>
                <w:sz w:val="20"/>
                <w:szCs w:val="20"/>
              </w:rPr>
              <w:t>7,006</w:t>
            </w:r>
          </w:p>
        </w:tc>
        <w:tc>
          <w:tcPr>
            <w:tcW w:w="2430" w:type="dxa"/>
            <w:tcBorders>
              <w:top w:val="single" w:color="auto" w:sz="4" w:space="0"/>
              <w:left w:val="single" w:color="auto" w:sz="4" w:space="0"/>
              <w:bottom w:val="single" w:color="auto" w:sz="4" w:space="0"/>
              <w:right w:val="single" w:color="auto" w:sz="4" w:space="0"/>
            </w:tcBorders>
            <w:shd w:val="clear" w:color="auto" w:fill="auto"/>
            <w:noWrap/>
          </w:tcPr>
          <w:p w:rsidRPr="00E538DA" w:rsidR="002753EA" w:rsidP="00B26904" w:rsidRDefault="002753EA" w14:paraId="3E533F23" w14:textId="158D0AFC">
            <w:pPr>
              <w:keepLines/>
              <w:spacing w:after="0"/>
              <w:rPr>
                <w:sz w:val="20"/>
                <w:szCs w:val="20"/>
              </w:rPr>
            </w:pPr>
            <w:r w:rsidRPr="00871E51">
              <w:rPr>
                <w:rFonts w:eastAsia="Calibri"/>
                <w:sz w:val="20"/>
                <w:szCs w:val="20"/>
              </w:rPr>
              <w:t>2</w:t>
            </w:r>
            <w:r w:rsidR="00711620">
              <w:rPr>
                <w:rFonts w:eastAsia="Calibri"/>
                <w:sz w:val="20"/>
                <w:szCs w:val="20"/>
              </w:rPr>
              <w:t>7,006</w:t>
            </w:r>
          </w:p>
        </w:tc>
      </w:tr>
      <w:tr w:rsidRPr="00732012" w:rsidR="002753EA" w:rsidTr="002F1361" w14:paraId="36D8AB84" w14:textId="2D91D0A0">
        <w:trPr>
          <w:cantSplit/>
          <w:trHeight w:val="358"/>
          <w:jc w:val="center"/>
        </w:trPr>
        <w:tc>
          <w:tcPr>
            <w:tcW w:w="2383" w:type="dxa"/>
            <w:shd w:val="clear" w:color="auto" w:fill="auto"/>
            <w:hideMark/>
          </w:tcPr>
          <w:p w:rsidRPr="00732012" w:rsidR="002753EA" w:rsidP="00591967" w:rsidRDefault="002753EA" w14:paraId="04B458D1" w14:textId="65217394">
            <w:pPr>
              <w:keepLines/>
              <w:spacing w:after="0"/>
              <w:rPr>
                <w:sz w:val="20"/>
                <w:szCs w:val="20"/>
              </w:rPr>
            </w:pPr>
            <w:r w:rsidRPr="00732012">
              <w:rPr>
                <w:sz w:val="20"/>
                <w:szCs w:val="20"/>
              </w:rPr>
              <w:t>Hours Per Clinician to Submit Quality Data (b)</w:t>
            </w:r>
          </w:p>
        </w:tc>
        <w:tc>
          <w:tcPr>
            <w:tcW w:w="1816" w:type="dxa"/>
            <w:shd w:val="clear" w:color="auto" w:fill="auto"/>
            <w:hideMark/>
          </w:tcPr>
          <w:p w:rsidRPr="00732012" w:rsidR="002753EA" w:rsidP="00591967" w:rsidRDefault="002753EA" w14:paraId="15BFF35D" w14:textId="5DDDFCEB">
            <w:pPr>
              <w:keepLines/>
              <w:spacing w:after="0"/>
              <w:rPr>
                <w:sz w:val="20"/>
                <w:szCs w:val="20"/>
              </w:rPr>
            </w:pPr>
            <w:r w:rsidRPr="003428D4">
              <w:rPr>
                <w:rFonts w:eastAsia="Calibri"/>
                <w:sz w:val="20"/>
                <w:szCs w:val="20"/>
              </w:rPr>
              <w:t>0.15</w:t>
            </w:r>
          </w:p>
        </w:tc>
        <w:tc>
          <w:tcPr>
            <w:tcW w:w="1916" w:type="dxa"/>
            <w:shd w:val="clear" w:color="auto" w:fill="auto"/>
            <w:hideMark/>
          </w:tcPr>
          <w:p w:rsidRPr="00732012" w:rsidR="002753EA" w:rsidP="00591967" w:rsidRDefault="002753EA" w14:paraId="7FE7FB6A" w14:textId="39FD400E">
            <w:pPr>
              <w:keepLines/>
              <w:spacing w:after="0"/>
              <w:rPr>
                <w:sz w:val="20"/>
                <w:szCs w:val="20"/>
              </w:rPr>
            </w:pPr>
            <w:r w:rsidRPr="003428D4">
              <w:rPr>
                <w:rFonts w:eastAsia="Calibri"/>
                <w:sz w:val="20"/>
                <w:szCs w:val="20"/>
              </w:rPr>
              <w:t>1.05</w:t>
            </w:r>
          </w:p>
        </w:tc>
        <w:tc>
          <w:tcPr>
            <w:tcW w:w="2430" w:type="dxa"/>
            <w:shd w:val="clear" w:color="auto" w:fill="auto"/>
            <w:hideMark/>
          </w:tcPr>
          <w:p w:rsidRPr="00732012" w:rsidR="002753EA" w:rsidP="00591967" w:rsidRDefault="002753EA" w14:paraId="01A52066" w14:textId="66B8AA3E">
            <w:pPr>
              <w:keepLines/>
              <w:spacing w:after="0"/>
              <w:rPr>
                <w:sz w:val="20"/>
                <w:szCs w:val="20"/>
              </w:rPr>
            </w:pPr>
            <w:r w:rsidRPr="003428D4">
              <w:rPr>
                <w:rFonts w:eastAsia="Calibri"/>
                <w:sz w:val="20"/>
                <w:szCs w:val="20"/>
              </w:rPr>
              <w:t>7.2</w:t>
            </w:r>
          </w:p>
        </w:tc>
      </w:tr>
      <w:tr w:rsidRPr="00732012" w:rsidR="002753EA" w:rsidTr="002F1361" w14:paraId="2BC8F339" w14:textId="47AD0FE2">
        <w:trPr>
          <w:cantSplit/>
          <w:trHeight w:val="525"/>
          <w:jc w:val="center"/>
        </w:trPr>
        <w:tc>
          <w:tcPr>
            <w:tcW w:w="2383" w:type="dxa"/>
            <w:shd w:val="clear" w:color="auto" w:fill="auto"/>
            <w:hideMark/>
          </w:tcPr>
          <w:p w:rsidRPr="00732012" w:rsidR="002753EA" w:rsidP="00591967" w:rsidRDefault="002753EA" w14:paraId="3138C537" w14:textId="4D4212E7">
            <w:pPr>
              <w:keepLines/>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(c)</w:t>
            </w:r>
          </w:p>
        </w:tc>
        <w:tc>
          <w:tcPr>
            <w:tcW w:w="1816" w:type="dxa"/>
            <w:shd w:val="clear" w:color="auto" w:fill="auto"/>
            <w:hideMark/>
          </w:tcPr>
          <w:p w:rsidRPr="00732012" w:rsidR="002753EA" w:rsidP="00591967" w:rsidRDefault="002753EA" w14:paraId="69F2A140" w14:textId="11F401CF">
            <w:pPr>
              <w:keepLines/>
              <w:spacing w:after="0"/>
              <w:rPr>
                <w:sz w:val="20"/>
                <w:szCs w:val="20"/>
              </w:rPr>
            </w:pPr>
            <w:r w:rsidRPr="003428D4">
              <w:rPr>
                <w:rFonts w:eastAsia="Calibri"/>
                <w:sz w:val="20"/>
                <w:szCs w:val="20"/>
              </w:rPr>
              <w:t>3</w:t>
            </w:r>
          </w:p>
        </w:tc>
        <w:tc>
          <w:tcPr>
            <w:tcW w:w="1916" w:type="dxa"/>
            <w:shd w:val="clear" w:color="auto" w:fill="auto"/>
            <w:hideMark/>
          </w:tcPr>
          <w:p w:rsidRPr="00732012" w:rsidR="002753EA" w:rsidP="00591967" w:rsidRDefault="002753EA" w14:paraId="1C20FF06" w14:textId="740EFAFE">
            <w:pPr>
              <w:keepLines/>
              <w:spacing w:after="0"/>
              <w:rPr>
                <w:sz w:val="20"/>
                <w:szCs w:val="20"/>
              </w:rPr>
            </w:pPr>
            <w:r w:rsidRPr="003428D4">
              <w:rPr>
                <w:rFonts w:eastAsia="Calibri"/>
                <w:sz w:val="20"/>
                <w:szCs w:val="20"/>
              </w:rPr>
              <w:t>3</w:t>
            </w:r>
          </w:p>
        </w:tc>
        <w:tc>
          <w:tcPr>
            <w:tcW w:w="2430" w:type="dxa"/>
            <w:shd w:val="clear" w:color="auto" w:fill="auto"/>
            <w:hideMark/>
          </w:tcPr>
          <w:p w:rsidRPr="00732012" w:rsidR="002753EA" w:rsidP="00591967" w:rsidRDefault="002753EA" w14:paraId="38E45CCD" w14:textId="40F0C713">
            <w:pPr>
              <w:keepLines/>
              <w:spacing w:after="0"/>
              <w:rPr>
                <w:sz w:val="20"/>
                <w:szCs w:val="20"/>
              </w:rPr>
            </w:pPr>
            <w:r w:rsidRPr="003428D4">
              <w:rPr>
                <w:rFonts w:eastAsia="Calibri"/>
                <w:sz w:val="20"/>
                <w:szCs w:val="20"/>
              </w:rPr>
              <w:t>3</w:t>
            </w:r>
          </w:p>
        </w:tc>
      </w:tr>
      <w:tr w:rsidRPr="00732012" w:rsidR="002753EA" w:rsidTr="002F1361" w14:paraId="507376EA" w14:textId="4F21E1A9">
        <w:trPr>
          <w:cantSplit/>
          <w:trHeight w:val="520"/>
          <w:jc w:val="center"/>
        </w:trPr>
        <w:tc>
          <w:tcPr>
            <w:tcW w:w="2383" w:type="dxa"/>
            <w:shd w:val="clear" w:color="auto" w:fill="auto"/>
            <w:hideMark/>
          </w:tcPr>
          <w:p w:rsidRPr="00732012" w:rsidR="002753EA" w:rsidP="00591967" w:rsidRDefault="002753EA" w14:paraId="5727A7E0" w14:textId="77777777">
            <w:pPr>
              <w:keepLines/>
              <w:spacing w:after="0"/>
              <w:rPr>
                <w:sz w:val="20"/>
                <w:szCs w:val="20"/>
              </w:rPr>
            </w:pPr>
            <w:r w:rsidRPr="00732012">
              <w:rPr>
                <w:sz w:val="20"/>
                <w:szCs w:val="20"/>
              </w:rPr>
              <w:t># of Hours Computer Systems Analyst Review Measure Specifications (d)</w:t>
            </w:r>
          </w:p>
        </w:tc>
        <w:tc>
          <w:tcPr>
            <w:tcW w:w="1816" w:type="dxa"/>
            <w:shd w:val="clear" w:color="auto" w:fill="auto"/>
            <w:hideMark/>
          </w:tcPr>
          <w:p w:rsidRPr="00732012" w:rsidR="002753EA" w:rsidP="00591967" w:rsidRDefault="002753EA" w14:paraId="276011DF" w14:textId="7FAD17C2">
            <w:pPr>
              <w:keepLines/>
              <w:spacing w:after="0"/>
              <w:rPr>
                <w:sz w:val="20"/>
                <w:szCs w:val="20"/>
              </w:rPr>
            </w:pPr>
            <w:r w:rsidRPr="003428D4">
              <w:rPr>
                <w:rFonts w:eastAsia="Calibri"/>
                <w:sz w:val="20"/>
                <w:szCs w:val="20"/>
              </w:rPr>
              <w:t>1</w:t>
            </w:r>
          </w:p>
        </w:tc>
        <w:tc>
          <w:tcPr>
            <w:tcW w:w="1916" w:type="dxa"/>
            <w:shd w:val="clear" w:color="auto" w:fill="auto"/>
            <w:hideMark/>
          </w:tcPr>
          <w:p w:rsidRPr="00732012" w:rsidR="002753EA" w:rsidP="00591967" w:rsidRDefault="002753EA" w14:paraId="2B9A5528" w14:textId="68C70BEC">
            <w:pPr>
              <w:keepLines/>
              <w:spacing w:after="0"/>
              <w:rPr>
                <w:sz w:val="20"/>
                <w:szCs w:val="20"/>
              </w:rPr>
            </w:pPr>
            <w:r w:rsidRPr="003428D4">
              <w:rPr>
                <w:rFonts w:eastAsia="Calibri"/>
                <w:sz w:val="20"/>
                <w:szCs w:val="20"/>
              </w:rPr>
              <w:t>1</w:t>
            </w:r>
          </w:p>
        </w:tc>
        <w:tc>
          <w:tcPr>
            <w:tcW w:w="2430" w:type="dxa"/>
            <w:shd w:val="clear" w:color="auto" w:fill="auto"/>
            <w:hideMark/>
          </w:tcPr>
          <w:p w:rsidRPr="00732012" w:rsidR="002753EA" w:rsidP="00591967" w:rsidRDefault="002753EA" w14:paraId="5AC19B66" w14:textId="14A6E3FE">
            <w:pPr>
              <w:keepLines/>
              <w:spacing w:after="0"/>
              <w:rPr>
                <w:sz w:val="20"/>
                <w:szCs w:val="20"/>
              </w:rPr>
            </w:pPr>
            <w:r w:rsidRPr="003428D4">
              <w:rPr>
                <w:rFonts w:eastAsia="Calibri"/>
                <w:sz w:val="20"/>
                <w:szCs w:val="20"/>
              </w:rPr>
              <w:t>1</w:t>
            </w:r>
          </w:p>
        </w:tc>
      </w:tr>
      <w:tr w:rsidRPr="00732012" w:rsidR="002753EA" w:rsidTr="002F1361" w14:paraId="214A14BE" w14:textId="6C3E7A2E">
        <w:trPr>
          <w:cantSplit/>
          <w:trHeight w:val="525"/>
          <w:jc w:val="center"/>
        </w:trPr>
        <w:tc>
          <w:tcPr>
            <w:tcW w:w="2383" w:type="dxa"/>
            <w:shd w:val="clear" w:color="auto" w:fill="auto"/>
            <w:hideMark/>
          </w:tcPr>
          <w:p w:rsidRPr="00732012" w:rsidR="002753EA" w:rsidP="00591967" w:rsidRDefault="002753EA" w14:paraId="78A5C732" w14:textId="77777777">
            <w:pPr>
              <w:keepLines/>
              <w:spacing w:after="0"/>
              <w:rPr>
                <w:sz w:val="20"/>
                <w:szCs w:val="20"/>
              </w:rPr>
            </w:pPr>
            <w:r w:rsidRPr="00732012">
              <w:rPr>
                <w:sz w:val="20"/>
                <w:szCs w:val="20"/>
              </w:rPr>
              <w:t xml:space="preserve"> # of Hours LPN Review Measure Specifications (e)</w:t>
            </w:r>
          </w:p>
        </w:tc>
        <w:tc>
          <w:tcPr>
            <w:tcW w:w="1816" w:type="dxa"/>
            <w:shd w:val="clear" w:color="auto" w:fill="auto"/>
            <w:hideMark/>
          </w:tcPr>
          <w:p w:rsidRPr="00732012" w:rsidR="002753EA" w:rsidP="00591967" w:rsidRDefault="002753EA" w14:paraId="0AD7C15A" w14:textId="525EE490">
            <w:pPr>
              <w:keepLines/>
              <w:spacing w:after="0"/>
              <w:rPr>
                <w:sz w:val="20"/>
                <w:szCs w:val="20"/>
              </w:rPr>
            </w:pPr>
            <w:r w:rsidRPr="003428D4">
              <w:rPr>
                <w:rFonts w:eastAsia="Calibri"/>
                <w:sz w:val="20"/>
                <w:szCs w:val="20"/>
              </w:rPr>
              <w:t>1</w:t>
            </w:r>
          </w:p>
        </w:tc>
        <w:tc>
          <w:tcPr>
            <w:tcW w:w="1916" w:type="dxa"/>
            <w:shd w:val="clear" w:color="auto" w:fill="auto"/>
            <w:hideMark/>
          </w:tcPr>
          <w:p w:rsidRPr="00732012" w:rsidR="002753EA" w:rsidP="00591967" w:rsidRDefault="002753EA" w14:paraId="12215AA9" w14:textId="6BE2AB23">
            <w:pPr>
              <w:keepLines/>
              <w:spacing w:after="0"/>
              <w:rPr>
                <w:sz w:val="20"/>
                <w:szCs w:val="20"/>
              </w:rPr>
            </w:pPr>
            <w:r w:rsidRPr="003428D4">
              <w:rPr>
                <w:rFonts w:eastAsia="Calibri"/>
                <w:sz w:val="20"/>
                <w:szCs w:val="20"/>
              </w:rPr>
              <w:t>1</w:t>
            </w:r>
          </w:p>
        </w:tc>
        <w:tc>
          <w:tcPr>
            <w:tcW w:w="2430" w:type="dxa"/>
            <w:shd w:val="clear" w:color="auto" w:fill="auto"/>
            <w:hideMark/>
          </w:tcPr>
          <w:p w:rsidRPr="00732012" w:rsidR="002753EA" w:rsidP="00591967" w:rsidRDefault="002753EA" w14:paraId="249FCB61" w14:textId="4530D517">
            <w:pPr>
              <w:keepLines/>
              <w:spacing w:after="0"/>
              <w:rPr>
                <w:sz w:val="20"/>
                <w:szCs w:val="20"/>
              </w:rPr>
            </w:pPr>
            <w:r w:rsidRPr="003428D4">
              <w:rPr>
                <w:rFonts w:eastAsia="Calibri"/>
                <w:sz w:val="20"/>
                <w:szCs w:val="20"/>
              </w:rPr>
              <w:t>1</w:t>
            </w:r>
          </w:p>
        </w:tc>
      </w:tr>
      <w:tr w:rsidRPr="00732012" w:rsidR="002753EA" w:rsidTr="002F1361" w14:paraId="0681AC2D" w14:textId="03B18CE5">
        <w:trPr>
          <w:cantSplit/>
          <w:trHeight w:val="525"/>
          <w:jc w:val="center"/>
        </w:trPr>
        <w:tc>
          <w:tcPr>
            <w:tcW w:w="2383" w:type="dxa"/>
            <w:shd w:val="clear" w:color="auto" w:fill="auto"/>
            <w:hideMark/>
          </w:tcPr>
          <w:p w:rsidRPr="00732012" w:rsidR="002753EA" w:rsidP="00591967" w:rsidRDefault="002753EA" w14:paraId="320A81F5" w14:textId="77777777">
            <w:pPr>
              <w:keepLines/>
              <w:spacing w:after="0"/>
              <w:rPr>
                <w:sz w:val="20"/>
                <w:szCs w:val="20"/>
              </w:rPr>
            </w:pPr>
            <w:r w:rsidRPr="00732012">
              <w:rPr>
                <w:sz w:val="20"/>
                <w:szCs w:val="20"/>
              </w:rPr>
              <w:t xml:space="preserve"> # of Hours Billing Clerk Review Measure Specifications (f)</w:t>
            </w:r>
          </w:p>
        </w:tc>
        <w:tc>
          <w:tcPr>
            <w:tcW w:w="1816" w:type="dxa"/>
            <w:shd w:val="clear" w:color="auto" w:fill="auto"/>
            <w:hideMark/>
          </w:tcPr>
          <w:p w:rsidRPr="00732012" w:rsidR="002753EA" w:rsidP="00591967" w:rsidRDefault="002753EA" w14:paraId="5828720A" w14:textId="2775A21D">
            <w:pPr>
              <w:keepLines/>
              <w:spacing w:after="0"/>
              <w:rPr>
                <w:sz w:val="20"/>
                <w:szCs w:val="20"/>
              </w:rPr>
            </w:pPr>
            <w:r w:rsidRPr="003428D4">
              <w:rPr>
                <w:rFonts w:eastAsia="Calibri"/>
                <w:sz w:val="20"/>
                <w:szCs w:val="20"/>
              </w:rPr>
              <w:t>1</w:t>
            </w:r>
          </w:p>
        </w:tc>
        <w:tc>
          <w:tcPr>
            <w:tcW w:w="1916" w:type="dxa"/>
            <w:shd w:val="clear" w:color="auto" w:fill="auto"/>
            <w:hideMark/>
          </w:tcPr>
          <w:p w:rsidRPr="00732012" w:rsidR="002753EA" w:rsidP="00591967" w:rsidRDefault="002753EA" w14:paraId="22ABC1E7" w14:textId="2C52B7DD">
            <w:pPr>
              <w:keepLines/>
              <w:spacing w:after="0"/>
              <w:rPr>
                <w:sz w:val="20"/>
                <w:szCs w:val="20"/>
              </w:rPr>
            </w:pPr>
            <w:r w:rsidRPr="003428D4">
              <w:rPr>
                <w:rFonts w:eastAsia="Calibri"/>
                <w:sz w:val="20"/>
                <w:szCs w:val="20"/>
              </w:rPr>
              <w:t>1</w:t>
            </w:r>
          </w:p>
        </w:tc>
        <w:tc>
          <w:tcPr>
            <w:tcW w:w="2430" w:type="dxa"/>
            <w:shd w:val="clear" w:color="auto" w:fill="auto"/>
            <w:hideMark/>
          </w:tcPr>
          <w:p w:rsidRPr="00732012" w:rsidR="002753EA" w:rsidP="00591967" w:rsidRDefault="002753EA" w14:paraId="323A6D59" w14:textId="32963BD6">
            <w:pPr>
              <w:keepLines/>
              <w:spacing w:after="0"/>
              <w:rPr>
                <w:sz w:val="20"/>
                <w:szCs w:val="20"/>
              </w:rPr>
            </w:pPr>
            <w:r w:rsidRPr="003428D4">
              <w:rPr>
                <w:rFonts w:eastAsia="Calibri"/>
                <w:sz w:val="20"/>
                <w:szCs w:val="20"/>
              </w:rPr>
              <w:t>1</w:t>
            </w:r>
          </w:p>
        </w:tc>
      </w:tr>
      <w:tr w:rsidRPr="00732012" w:rsidR="002753EA" w:rsidTr="002F1361" w14:paraId="289074F4" w14:textId="0A512110">
        <w:trPr>
          <w:cantSplit/>
          <w:trHeight w:val="502"/>
          <w:jc w:val="center"/>
        </w:trPr>
        <w:tc>
          <w:tcPr>
            <w:tcW w:w="2383" w:type="dxa"/>
            <w:shd w:val="clear" w:color="auto" w:fill="auto"/>
            <w:hideMark/>
          </w:tcPr>
          <w:p w:rsidRPr="00732012" w:rsidR="002753EA" w:rsidP="00591967" w:rsidRDefault="002753EA" w14:paraId="37B700B5" w14:textId="77777777">
            <w:pPr>
              <w:keepLines/>
              <w:spacing w:after="0"/>
              <w:rPr>
                <w:sz w:val="20"/>
                <w:szCs w:val="20"/>
              </w:rPr>
            </w:pPr>
            <w:r w:rsidRPr="00732012">
              <w:rPr>
                <w:sz w:val="20"/>
                <w:szCs w:val="20"/>
              </w:rPr>
              <w:lastRenderedPageBreak/>
              <w:t># of Hours Clinician Review Measure Specifications (g)</w:t>
            </w:r>
          </w:p>
        </w:tc>
        <w:tc>
          <w:tcPr>
            <w:tcW w:w="1816" w:type="dxa"/>
            <w:shd w:val="clear" w:color="auto" w:fill="auto"/>
            <w:hideMark/>
          </w:tcPr>
          <w:p w:rsidRPr="00732012" w:rsidR="002753EA" w:rsidP="00591967" w:rsidRDefault="002753EA" w14:paraId="02A2E8BD" w14:textId="49337652">
            <w:pPr>
              <w:keepLines/>
              <w:spacing w:after="0"/>
              <w:rPr>
                <w:sz w:val="20"/>
                <w:szCs w:val="20"/>
              </w:rPr>
            </w:pPr>
            <w:r w:rsidRPr="003428D4">
              <w:rPr>
                <w:rFonts w:eastAsia="Calibri"/>
                <w:sz w:val="20"/>
                <w:szCs w:val="20"/>
              </w:rPr>
              <w:t>1</w:t>
            </w:r>
          </w:p>
        </w:tc>
        <w:tc>
          <w:tcPr>
            <w:tcW w:w="1916" w:type="dxa"/>
            <w:shd w:val="clear" w:color="auto" w:fill="auto"/>
            <w:hideMark/>
          </w:tcPr>
          <w:p w:rsidRPr="00732012" w:rsidR="002753EA" w:rsidP="00591967" w:rsidRDefault="002753EA" w14:paraId="3EC74AFD" w14:textId="31F278A9">
            <w:pPr>
              <w:keepLines/>
              <w:spacing w:after="0"/>
              <w:rPr>
                <w:sz w:val="20"/>
                <w:szCs w:val="20"/>
              </w:rPr>
            </w:pPr>
            <w:r w:rsidRPr="003428D4">
              <w:rPr>
                <w:rFonts w:eastAsia="Calibri"/>
                <w:sz w:val="20"/>
                <w:szCs w:val="20"/>
              </w:rPr>
              <w:t>1</w:t>
            </w:r>
          </w:p>
        </w:tc>
        <w:tc>
          <w:tcPr>
            <w:tcW w:w="2430" w:type="dxa"/>
            <w:shd w:val="clear" w:color="auto" w:fill="auto"/>
            <w:hideMark/>
          </w:tcPr>
          <w:p w:rsidRPr="00732012" w:rsidR="002753EA" w:rsidP="00591967" w:rsidRDefault="002753EA" w14:paraId="7E94ABD1" w14:textId="608F8F06">
            <w:pPr>
              <w:keepLines/>
              <w:spacing w:after="0"/>
              <w:rPr>
                <w:sz w:val="20"/>
                <w:szCs w:val="20"/>
              </w:rPr>
            </w:pPr>
            <w:r w:rsidRPr="003428D4">
              <w:rPr>
                <w:rFonts w:eastAsia="Calibri"/>
                <w:sz w:val="20"/>
                <w:szCs w:val="20"/>
              </w:rPr>
              <w:t>1</w:t>
            </w:r>
          </w:p>
        </w:tc>
      </w:tr>
      <w:tr w:rsidRPr="00732012" w:rsidR="002753EA" w:rsidTr="002F1361" w14:paraId="3D37EF86" w14:textId="1BBEC9AA">
        <w:trPr>
          <w:cantSplit/>
          <w:trHeight w:val="525"/>
          <w:jc w:val="center"/>
        </w:trPr>
        <w:tc>
          <w:tcPr>
            <w:tcW w:w="2383" w:type="dxa"/>
            <w:shd w:val="clear" w:color="auto" w:fill="auto"/>
            <w:hideMark/>
          </w:tcPr>
          <w:p w:rsidRPr="00732012" w:rsidR="002753EA" w:rsidP="00591967" w:rsidRDefault="002753EA" w14:paraId="48E36A37" w14:textId="77777777">
            <w:pPr>
              <w:keepLines/>
              <w:spacing w:after="0"/>
              <w:rPr>
                <w:sz w:val="20"/>
                <w:szCs w:val="20"/>
              </w:rPr>
            </w:pPr>
            <w:r w:rsidRPr="00732012">
              <w:rPr>
                <w:sz w:val="20"/>
                <w:szCs w:val="20"/>
              </w:rPr>
              <w:t>Annual Hours per Clinician (h) = (b)+(c)+(d)+(e)+(f)+(g)</w:t>
            </w:r>
          </w:p>
        </w:tc>
        <w:tc>
          <w:tcPr>
            <w:tcW w:w="1816" w:type="dxa"/>
            <w:shd w:val="clear" w:color="auto" w:fill="auto"/>
            <w:hideMark/>
          </w:tcPr>
          <w:p w:rsidRPr="00732012" w:rsidR="002753EA" w:rsidP="00591967" w:rsidRDefault="002753EA" w14:paraId="576E94F3" w14:textId="7BA22CC6">
            <w:pPr>
              <w:keepLines/>
              <w:spacing w:after="0"/>
              <w:rPr>
                <w:sz w:val="20"/>
                <w:szCs w:val="20"/>
              </w:rPr>
            </w:pPr>
            <w:r w:rsidRPr="003428D4">
              <w:rPr>
                <w:rFonts w:eastAsia="Calibri"/>
                <w:sz w:val="20"/>
                <w:szCs w:val="20"/>
              </w:rPr>
              <w:t>7.15</w:t>
            </w:r>
          </w:p>
        </w:tc>
        <w:tc>
          <w:tcPr>
            <w:tcW w:w="1916" w:type="dxa"/>
            <w:shd w:val="clear" w:color="auto" w:fill="auto"/>
            <w:hideMark/>
          </w:tcPr>
          <w:p w:rsidRPr="00732012" w:rsidR="002753EA" w:rsidP="00591967" w:rsidRDefault="002753EA" w14:paraId="4855075E" w14:textId="6E13874E">
            <w:pPr>
              <w:keepLines/>
              <w:spacing w:after="0"/>
              <w:rPr>
                <w:sz w:val="20"/>
                <w:szCs w:val="20"/>
              </w:rPr>
            </w:pPr>
            <w:r w:rsidRPr="003428D4">
              <w:rPr>
                <w:rFonts w:eastAsia="Calibri"/>
                <w:sz w:val="20"/>
                <w:szCs w:val="20"/>
              </w:rPr>
              <w:t>8.05</w:t>
            </w:r>
          </w:p>
        </w:tc>
        <w:tc>
          <w:tcPr>
            <w:tcW w:w="2430" w:type="dxa"/>
            <w:shd w:val="clear" w:color="auto" w:fill="auto"/>
            <w:hideMark/>
          </w:tcPr>
          <w:p w:rsidRPr="00732012" w:rsidR="002753EA" w:rsidP="00591967" w:rsidRDefault="002753EA" w14:paraId="010879DE" w14:textId="01F7B31B">
            <w:pPr>
              <w:keepLines/>
              <w:spacing w:after="0"/>
              <w:rPr>
                <w:sz w:val="20"/>
                <w:szCs w:val="20"/>
              </w:rPr>
            </w:pPr>
            <w:r w:rsidRPr="003428D4">
              <w:rPr>
                <w:rFonts w:eastAsia="Calibri"/>
                <w:sz w:val="20"/>
                <w:szCs w:val="20"/>
              </w:rPr>
              <w:t>14.2</w:t>
            </w:r>
          </w:p>
        </w:tc>
      </w:tr>
      <w:tr w:rsidRPr="00732012" w:rsidR="002753EA" w:rsidTr="002F1361" w14:paraId="6D6A47A8" w14:textId="6A17E254">
        <w:trPr>
          <w:cantSplit/>
          <w:trHeight w:val="525"/>
          <w:jc w:val="center"/>
        </w:trPr>
        <w:tc>
          <w:tcPr>
            <w:tcW w:w="2383" w:type="dxa"/>
            <w:shd w:val="clear" w:color="auto" w:fill="E7E6E6" w:themeFill="background2"/>
            <w:hideMark/>
          </w:tcPr>
          <w:p w:rsidRPr="00732012" w:rsidR="002753EA" w:rsidP="006A7BF8" w:rsidRDefault="002753EA" w14:paraId="25ECB229" w14:textId="695E44B2">
            <w:pPr>
              <w:keepLines/>
              <w:spacing w:after="0"/>
              <w:rPr>
                <w:b/>
                <w:bCs/>
                <w:sz w:val="20"/>
                <w:szCs w:val="20"/>
              </w:rPr>
            </w:pPr>
            <w:r w:rsidRPr="00732012">
              <w:rPr>
                <w:b/>
                <w:bCs/>
                <w:sz w:val="20"/>
                <w:szCs w:val="20"/>
              </w:rPr>
              <w:t>Total Annual Hours (i) = (a)*(h)</w:t>
            </w:r>
          </w:p>
        </w:tc>
        <w:tc>
          <w:tcPr>
            <w:tcW w:w="181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2753EA" w:rsidP="006A7BF8" w:rsidRDefault="00A364E0" w14:paraId="047BA2F8" w14:textId="5EEB296E">
            <w:pPr>
              <w:keepLines/>
              <w:spacing w:after="0"/>
              <w:rPr>
                <w:b/>
                <w:bCs/>
                <w:sz w:val="20"/>
                <w:szCs w:val="20"/>
              </w:rPr>
            </w:pPr>
            <w:r>
              <w:rPr>
                <w:rFonts w:eastAsia="Calibri"/>
                <w:b/>
                <w:bCs/>
                <w:sz w:val="20"/>
                <w:szCs w:val="20"/>
              </w:rPr>
              <w:t>193,093</w:t>
            </w:r>
          </w:p>
        </w:tc>
        <w:tc>
          <w:tcPr>
            <w:tcW w:w="191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2753EA" w:rsidP="006A7BF8" w:rsidRDefault="002753EA" w14:paraId="1627AFEE" w14:textId="0D9B36A5">
            <w:pPr>
              <w:keepLines/>
              <w:spacing w:after="0"/>
              <w:rPr>
                <w:b/>
                <w:bCs/>
                <w:sz w:val="20"/>
                <w:szCs w:val="20"/>
              </w:rPr>
            </w:pPr>
            <w:r w:rsidRPr="00871E51">
              <w:rPr>
                <w:rFonts w:eastAsia="Calibri"/>
                <w:b/>
                <w:bCs/>
                <w:sz w:val="20"/>
                <w:szCs w:val="20"/>
              </w:rPr>
              <w:t>2</w:t>
            </w:r>
            <w:r w:rsidR="00A364E0">
              <w:rPr>
                <w:rFonts w:eastAsia="Calibri"/>
                <w:b/>
                <w:bCs/>
                <w:sz w:val="20"/>
                <w:szCs w:val="20"/>
              </w:rPr>
              <w:t>1</w:t>
            </w:r>
            <w:r w:rsidRPr="00871E51">
              <w:rPr>
                <w:rFonts w:eastAsia="Calibri"/>
                <w:b/>
                <w:bCs/>
                <w:sz w:val="20"/>
                <w:szCs w:val="20"/>
              </w:rPr>
              <w:t>7,</w:t>
            </w:r>
            <w:r w:rsidR="00A364E0">
              <w:rPr>
                <w:rFonts w:eastAsia="Calibri"/>
                <w:b/>
                <w:bCs/>
                <w:sz w:val="20"/>
                <w:szCs w:val="20"/>
              </w:rPr>
              <w:t>398</w:t>
            </w:r>
          </w:p>
        </w:tc>
        <w:tc>
          <w:tcPr>
            <w:tcW w:w="24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04D97" w:rsidR="002753EA" w:rsidP="006A7BF8" w:rsidRDefault="00A364E0" w14:paraId="0B94FAE8" w14:textId="14AD6469">
            <w:pPr>
              <w:keepLines/>
              <w:spacing w:after="0"/>
              <w:rPr>
                <w:b/>
                <w:bCs/>
                <w:sz w:val="20"/>
                <w:szCs w:val="20"/>
              </w:rPr>
            </w:pPr>
            <w:r>
              <w:rPr>
                <w:rFonts w:eastAsia="Calibri"/>
                <w:b/>
                <w:bCs/>
                <w:sz w:val="20"/>
                <w:szCs w:val="20"/>
              </w:rPr>
              <w:t>383</w:t>
            </w:r>
            <w:r w:rsidRPr="00871E51" w:rsidR="002753EA">
              <w:rPr>
                <w:rFonts w:eastAsia="Calibri"/>
                <w:b/>
                <w:bCs/>
                <w:sz w:val="20"/>
                <w:szCs w:val="20"/>
              </w:rPr>
              <w:t>,</w:t>
            </w:r>
            <w:r>
              <w:rPr>
                <w:rFonts w:eastAsia="Calibri"/>
                <w:b/>
                <w:bCs/>
                <w:sz w:val="20"/>
                <w:szCs w:val="20"/>
              </w:rPr>
              <w:t>485</w:t>
            </w:r>
          </w:p>
        </w:tc>
      </w:tr>
      <w:tr w:rsidRPr="00732012" w:rsidR="002753EA" w:rsidTr="002F1361" w14:paraId="3637C460" w14:textId="2AEC5869">
        <w:trPr>
          <w:cantSplit/>
          <w:trHeight w:val="520"/>
          <w:jc w:val="center"/>
        </w:trPr>
        <w:tc>
          <w:tcPr>
            <w:tcW w:w="2383" w:type="dxa"/>
            <w:shd w:val="clear" w:color="auto" w:fill="auto"/>
            <w:hideMark/>
          </w:tcPr>
          <w:p w:rsidRPr="00B17713" w:rsidR="002753EA" w:rsidP="00641D6E" w:rsidRDefault="002753EA" w14:paraId="214BECC6" w14:textId="07FBBBA9">
            <w:pPr>
              <w:keepLines/>
              <w:spacing w:after="0"/>
              <w:rPr>
                <w:sz w:val="20"/>
                <w:szCs w:val="20"/>
              </w:rPr>
            </w:pPr>
            <w:r w:rsidRPr="00B17713">
              <w:rPr>
                <w:sz w:val="20"/>
                <w:szCs w:val="20"/>
              </w:rPr>
              <w:t>Cost to Submit Quality Data (@ computer systems analyst’s labor rate of $9</w:t>
            </w:r>
            <w:r w:rsidR="00EF28CF">
              <w:rPr>
                <w:sz w:val="20"/>
                <w:szCs w:val="20"/>
              </w:rPr>
              <w:t>8</w:t>
            </w:r>
            <w:r>
              <w:rPr>
                <w:sz w:val="20"/>
                <w:szCs w:val="20"/>
              </w:rPr>
              <w:t>.2</w:t>
            </w:r>
            <w:r w:rsidR="00EF28CF">
              <w:rPr>
                <w:sz w:val="20"/>
                <w:szCs w:val="20"/>
              </w:rPr>
              <w:t>8</w:t>
            </w:r>
            <w:r w:rsidRPr="00B17713">
              <w:rPr>
                <w:sz w:val="20"/>
                <w:szCs w:val="20"/>
              </w:rPr>
              <w:t>/</w:t>
            </w:r>
            <w:proofErr w:type="spellStart"/>
            <w:r w:rsidRPr="00B17713">
              <w:rPr>
                <w:sz w:val="20"/>
                <w:szCs w:val="20"/>
              </w:rPr>
              <w:t>hr</w:t>
            </w:r>
            <w:proofErr w:type="spellEnd"/>
            <w:r w:rsidRPr="00B17713">
              <w:rPr>
                <w:sz w:val="20"/>
                <w:szCs w:val="20"/>
              </w:rPr>
              <w:t xml:space="preserve"> @ varying times) (j)</w:t>
            </w:r>
          </w:p>
        </w:tc>
        <w:tc>
          <w:tcPr>
            <w:tcW w:w="18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641D6E" w:rsidRDefault="002753EA" w14:paraId="78C71B67" w14:textId="5F5B030E">
            <w:pPr>
              <w:keepLines/>
              <w:spacing w:after="0"/>
              <w:rPr>
                <w:sz w:val="20"/>
                <w:szCs w:val="20"/>
              </w:rPr>
            </w:pPr>
            <w:r w:rsidRPr="00871E51">
              <w:rPr>
                <w:rFonts w:eastAsia="Calibri"/>
                <w:sz w:val="20"/>
                <w:szCs w:val="20"/>
              </w:rPr>
              <w:t>$14.</w:t>
            </w:r>
            <w:r w:rsidR="00EF28CF">
              <w:rPr>
                <w:rFonts w:eastAsia="Calibri"/>
                <w:sz w:val="20"/>
                <w:szCs w:val="20"/>
              </w:rPr>
              <w:t>74</w:t>
            </w:r>
          </w:p>
        </w:tc>
        <w:tc>
          <w:tcPr>
            <w:tcW w:w="19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641D6E" w:rsidRDefault="002753EA" w14:paraId="09733675" w14:textId="788F08B8">
            <w:pPr>
              <w:keepLines/>
              <w:spacing w:after="0"/>
              <w:rPr>
                <w:sz w:val="20"/>
                <w:szCs w:val="20"/>
              </w:rPr>
            </w:pPr>
            <w:r w:rsidRPr="00871E51">
              <w:rPr>
                <w:rFonts w:eastAsia="Calibri"/>
                <w:sz w:val="20"/>
                <w:szCs w:val="20"/>
              </w:rPr>
              <w:t>$</w:t>
            </w:r>
            <w:r w:rsidR="00EF28CF">
              <w:rPr>
                <w:rFonts w:eastAsia="Calibri"/>
                <w:sz w:val="20"/>
                <w:szCs w:val="20"/>
              </w:rPr>
              <w:t>103</w:t>
            </w:r>
            <w:r w:rsidRPr="00871E51">
              <w:rPr>
                <w:rFonts w:eastAsia="Calibri"/>
                <w:sz w:val="20"/>
                <w:szCs w:val="20"/>
              </w:rPr>
              <w:t>.</w:t>
            </w:r>
            <w:r w:rsidR="00EF28CF">
              <w:rPr>
                <w:rFonts w:eastAsia="Calibri"/>
                <w:sz w:val="20"/>
                <w:szCs w:val="20"/>
              </w:rPr>
              <w:t>1</w:t>
            </w:r>
            <w:r w:rsidRPr="00871E51">
              <w:rPr>
                <w:rFonts w:eastAsia="Calibri"/>
                <w:sz w:val="20"/>
                <w:szCs w:val="20"/>
              </w:rPr>
              <w:t>9</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641D6E" w:rsidRDefault="002753EA" w14:paraId="23FCD9AF" w14:textId="3477D3B3">
            <w:pPr>
              <w:keepLines/>
              <w:spacing w:after="0"/>
              <w:rPr>
                <w:sz w:val="20"/>
                <w:szCs w:val="20"/>
              </w:rPr>
            </w:pPr>
            <w:r w:rsidRPr="00871E51">
              <w:rPr>
                <w:rFonts w:eastAsia="Calibri"/>
                <w:sz w:val="20"/>
                <w:szCs w:val="20"/>
              </w:rPr>
              <w:t>$</w:t>
            </w:r>
            <w:r w:rsidR="00EF28CF">
              <w:rPr>
                <w:rFonts w:eastAsia="Calibri"/>
                <w:sz w:val="20"/>
                <w:szCs w:val="20"/>
              </w:rPr>
              <w:t>707</w:t>
            </w:r>
            <w:r w:rsidRPr="00871E51">
              <w:rPr>
                <w:rFonts w:eastAsia="Calibri"/>
                <w:sz w:val="20"/>
                <w:szCs w:val="20"/>
              </w:rPr>
              <w:t>.</w:t>
            </w:r>
            <w:r w:rsidR="00EF28CF">
              <w:rPr>
                <w:rFonts w:eastAsia="Calibri"/>
                <w:sz w:val="20"/>
                <w:szCs w:val="20"/>
              </w:rPr>
              <w:t>61</w:t>
            </w:r>
          </w:p>
        </w:tc>
      </w:tr>
      <w:tr w:rsidRPr="00732012" w:rsidR="002753EA" w:rsidTr="002F1361" w14:paraId="77B72102" w14:textId="400C5969">
        <w:trPr>
          <w:cantSplit/>
          <w:trHeight w:val="520"/>
          <w:jc w:val="center"/>
        </w:trPr>
        <w:tc>
          <w:tcPr>
            <w:tcW w:w="2383" w:type="dxa"/>
            <w:shd w:val="clear" w:color="auto" w:fill="auto"/>
            <w:hideMark/>
          </w:tcPr>
          <w:p w:rsidRPr="00B17713" w:rsidR="002753EA" w:rsidP="00775480" w:rsidRDefault="002753EA" w14:paraId="14755A63" w14:textId="72995634">
            <w:pPr>
              <w:keepLines/>
              <w:spacing w:after="0"/>
              <w:rPr>
                <w:sz w:val="20"/>
                <w:szCs w:val="20"/>
              </w:rPr>
            </w:pPr>
            <w:r w:rsidRPr="00B17713">
              <w:rPr>
                <w:sz w:val="20"/>
                <w:szCs w:val="20"/>
              </w:rPr>
              <w:t>Cost to Review Measure Specifications (@ medical and health services manager's labor rate of $1</w:t>
            </w:r>
            <w:r>
              <w:rPr>
                <w:sz w:val="20"/>
                <w:szCs w:val="20"/>
              </w:rPr>
              <w:t>1</w:t>
            </w:r>
            <w:r w:rsidR="001A5A85">
              <w:rPr>
                <w:sz w:val="20"/>
                <w:szCs w:val="20"/>
              </w:rPr>
              <w:t>5</w:t>
            </w:r>
            <w:r>
              <w:rPr>
                <w:sz w:val="20"/>
                <w:szCs w:val="20"/>
              </w:rPr>
              <w:t>.2</w:t>
            </w:r>
            <w:r w:rsidR="001A5A85">
              <w:rPr>
                <w:sz w:val="20"/>
                <w:szCs w:val="20"/>
              </w:rPr>
              <w:t>2</w:t>
            </w:r>
            <w:r w:rsidRPr="00B17713">
              <w:rPr>
                <w:sz w:val="20"/>
                <w:szCs w:val="20"/>
              </w:rPr>
              <w:t>/</w:t>
            </w:r>
            <w:proofErr w:type="spellStart"/>
            <w:r w:rsidRPr="00B17713">
              <w:rPr>
                <w:sz w:val="20"/>
                <w:szCs w:val="20"/>
              </w:rPr>
              <w:t>hr</w:t>
            </w:r>
            <w:proofErr w:type="spellEnd"/>
            <w:r w:rsidRPr="00B17713">
              <w:rPr>
                <w:sz w:val="20"/>
                <w:szCs w:val="20"/>
              </w:rPr>
              <w:t xml:space="preserve"> @ 3 </w:t>
            </w:r>
            <w:proofErr w:type="spellStart"/>
            <w:r w:rsidRPr="00B17713">
              <w:rPr>
                <w:sz w:val="20"/>
                <w:szCs w:val="20"/>
              </w:rPr>
              <w:t>hr</w:t>
            </w:r>
            <w:proofErr w:type="spellEnd"/>
            <w:r w:rsidRPr="00B17713">
              <w:rPr>
                <w:sz w:val="20"/>
                <w:szCs w:val="20"/>
              </w:rPr>
              <w:t>) (k)</w:t>
            </w:r>
          </w:p>
        </w:tc>
        <w:tc>
          <w:tcPr>
            <w:tcW w:w="1816" w:type="dxa"/>
            <w:shd w:val="clear" w:color="auto" w:fill="auto"/>
          </w:tcPr>
          <w:p w:rsidRPr="00B17713" w:rsidR="002753EA" w:rsidP="00775480" w:rsidRDefault="002753EA" w14:paraId="751954B0" w14:textId="611B6A08">
            <w:pPr>
              <w:keepLines/>
              <w:spacing w:after="0"/>
              <w:rPr>
                <w:sz w:val="20"/>
                <w:szCs w:val="20"/>
              </w:rPr>
            </w:pPr>
            <w:r w:rsidRPr="00871E51">
              <w:rPr>
                <w:rFonts w:eastAsia="Calibri"/>
                <w:sz w:val="20"/>
                <w:szCs w:val="20"/>
              </w:rPr>
              <w:t>$34</w:t>
            </w:r>
            <w:r w:rsidR="001A5A85">
              <w:rPr>
                <w:rFonts w:eastAsia="Calibri"/>
                <w:sz w:val="20"/>
                <w:szCs w:val="20"/>
              </w:rPr>
              <w:t>5</w:t>
            </w:r>
            <w:r w:rsidRPr="00871E51">
              <w:rPr>
                <w:rFonts w:eastAsia="Calibri"/>
                <w:sz w:val="20"/>
                <w:szCs w:val="20"/>
              </w:rPr>
              <w:t>.</w:t>
            </w:r>
            <w:r w:rsidR="001A5A85">
              <w:rPr>
                <w:rFonts w:eastAsia="Calibri"/>
                <w:sz w:val="20"/>
                <w:szCs w:val="20"/>
              </w:rPr>
              <w:t>66</w:t>
            </w:r>
          </w:p>
        </w:tc>
        <w:tc>
          <w:tcPr>
            <w:tcW w:w="1916" w:type="dxa"/>
            <w:shd w:val="clear" w:color="auto" w:fill="auto"/>
          </w:tcPr>
          <w:p w:rsidRPr="00B17713" w:rsidR="002753EA" w:rsidP="00775480" w:rsidRDefault="002753EA" w14:paraId="67D2E423" w14:textId="1A9F9B59">
            <w:pPr>
              <w:keepLines/>
              <w:spacing w:after="0"/>
              <w:rPr>
                <w:sz w:val="20"/>
                <w:szCs w:val="20"/>
              </w:rPr>
            </w:pPr>
            <w:r w:rsidRPr="00871E51">
              <w:rPr>
                <w:rFonts w:eastAsia="Calibri"/>
                <w:sz w:val="20"/>
                <w:szCs w:val="20"/>
              </w:rPr>
              <w:t>$34</w:t>
            </w:r>
            <w:r w:rsidR="001A5A85">
              <w:rPr>
                <w:rFonts w:eastAsia="Calibri"/>
                <w:sz w:val="20"/>
                <w:szCs w:val="20"/>
              </w:rPr>
              <w:t>5</w:t>
            </w:r>
            <w:r w:rsidRPr="00871E51">
              <w:rPr>
                <w:rFonts w:eastAsia="Calibri"/>
                <w:sz w:val="20"/>
                <w:szCs w:val="20"/>
              </w:rPr>
              <w:t>.</w:t>
            </w:r>
            <w:r w:rsidR="001A5A85">
              <w:rPr>
                <w:rFonts w:eastAsia="Calibri"/>
                <w:sz w:val="20"/>
                <w:szCs w:val="20"/>
              </w:rPr>
              <w:t>66</w:t>
            </w:r>
          </w:p>
        </w:tc>
        <w:tc>
          <w:tcPr>
            <w:tcW w:w="2430" w:type="dxa"/>
            <w:shd w:val="clear" w:color="auto" w:fill="auto"/>
          </w:tcPr>
          <w:p w:rsidRPr="00B17713" w:rsidR="002753EA" w:rsidP="00775480" w:rsidRDefault="002753EA" w14:paraId="20870AD4" w14:textId="369F21DE">
            <w:pPr>
              <w:keepLines/>
              <w:spacing w:after="0"/>
              <w:rPr>
                <w:sz w:val="20"/>
                <w:szCs w:val="20"/>
              </w:rPr>
            </w:pPr>
            <w:r w:rsidRPr="00871E51">
              <w:rPr>
                <w:rFonts w:eastAsia="Calibri"/>
                <w:sz w:val="20"/>
                <w:szCs w:val="20"/>
              </w:rPr>
              <w:t>$34</w:t>
            </w:r>
            <w:r w:rsidR="001A5A85">
              <w:rPr>
                <w:rFonts w:eastAsia="Calibri"/>
                <w:sz w:val="20"/>
                <w:szCs w:val="20"/>
              </w:rPr>
              <w:t>5</w:t>
            </w:r>
            <w:r w:rsidRPr="00871E51">
              <w:rPr>
                <w:rFonts w:eastAsia="Calibri"/>
                <w:sz w:val="20"/>
                <w:szCs w:val="20"/>
              </w:rPr>
              <w:t>.</w:t>
            </w:r>
            <w:r w:rsidR="001A5A85">
              <w:rPr>
                <w:rFonts w:eastAsia="Calibri"/>
                <w:sz w:val="20"/>
                <w:szCs w:val="20"/>
              </w:rPr>
              <w:t>66</w:t>
            </w:r>
          </w:p>
        </w:tc>
      </w:tr>
      <w:tr w:rsidRPr="00732012" w:rsidR="002753EA" w:rsidTr="002F1361" w14:paraId="470510B7" w14:textId="06019229">
        <w:trPr>
          <w:cantSplit/>
          <w:trHeight w:val="520"/>
          <w:jc w:val="center"/>
        </w:trPr>
        <w:tc>
          <w:tcPr>
            <w:tcW w:w="2383" w:type="dxa"/>
            <w:shd w:val="clear" w:color="auto" w:fill="auto"/>
            <w:hideMark/>
          </w:tcPr>
          <w:p w:rsidRPr="00B17713" w:rsidR="002753EA" w:rsidP="00BC5BDD" w:rsidRDefault="002753EA" w14:paraId="477A3A32" w14:textId="4E6375F2">
            <w:pPr>
              <w:keepLines/>
              <w:spacing w:after="0"/>
              <w:rPr>
                <w:sz w:val="20"/>
                <w:szCs w:val="20"/>
              </w:rPr>
            </w:pPr>
            <w:r w:rsidRPr="00B17713">
              <w:rPr>
                <w:sz w:val="20"/>
                <w:szCs w:val="20"/>
              </w:rPr>
              <w:t>Cost to Review Measure Specifications (@ computer systems analyst’s labor rate of $9</w:t>
            </w:r>
            <w:r w:rsidR="006B0084">
              <w:rPr>
                <w:sz w:val="20"/>
                <w:szCs w:val="20"/>
              </w:rPr>
              <w:t>8</w:t>
            </w:r>
            <w:r>
              <w:rPr>
                <w:sz w:val="20"/>
                <w:szCs w:val="20"/>
              </w:rPr>
              <w:t>.2</w:t>
            </w:r>
            <w:r w:rsidR="006B0084">
              <w:rPr>
                <w:sz w:val="20"/>
                <w:szCs w:val="20"/>
              </w:rPr>
              <w:t>8</w:t>
            </w:r>
            <w:r w:rsidRPr="00B17713">
              <w:rPr>
                <w:sz w:val="20"/>
                <w:szCs w:val="20"/>
              </w:rPr>
              <w:t>/</w:t>
            </w:r>
            <w:proofErr w:type="spellStart"/>
            <w:r w:rsidRPr="00B17713">
              <w:rPr>
                <w:sz w:val="20"/>
                <w:szCs w:val="20"/>
              </w:rPr>
              <w:t>hr</w:t>
            </w:r>
            <w:proofErr w:type="spellEnd"/>
            <w:r w:rsidRPr="00B17713">
              <w:rPr>
                <w:sz w:val="20"/>
                <w:szCs w:val="20"/>
              </w:rPr>
              <w:t xml:space="preserve"> @ 1 </w:t>
            </w:r>
            <w:proofErr w:type="spellStart"/>
            <w:r w:rsidRPr="00B17713">
              <w:rPr>
                <w:sz w:val="20"/>
                <w:szCs w:val="20"/>
              </w:rPr>
              <w:t>hr</w:t>
            </w:r>
            <w:proofErr w:type="spellEnd"/>
            <w:r w:rsidRPr="00B17713">
              <w:rPr>
                <w:sz w:val="20"/>
                <w:szCs w:val="20"/>
              </w:rPr>
              <w:t>) (l)</w:t>
            </w:r>
          </w:p>
        </w:tc>
        <w:tc>
          <w:tcPr>
            <w:tcW w:w="1816" w:type="dxa"/>
            <w:shd w:val="clear" w:color="auto" w:fill="auto"/>
          </w:tcPr>
          <w:p w:rsidRPr="00B17713" w:rsidR="002753EA" w:rsidP="00BC5BDD" w:rsidRDefault="002753EA" w14:paraId="37175C5E" w14:textId="0D7EC47E">
            <w:pPr>
              <w:keepLines/>
              <w:spacing w:after="0"/>
              <w:rPr>
                <w:sz w:val="20"/>
                <w:szCs w:val="20"/>
              </w:rPr>
            </w:pPr>
            <w:r w:rsidRPr="00871E51">
              <w:rPr>
                <w:rFonts w:eastAsia="Calibri"/>
                <w:sz w:val="20"/>
                <w:szCs w:val="20"/>
              </w:rPr>
              <w:t>$9</w:t>
            </w:r>
            <w:r w:rsidR="006B0084">
              <w:rPr>
                <w:rFonts w:eastAsia="Calibri"/>
                <w:sz w:val="20"/>
                <w:szCs w:val="20"/>
              </w:rPr>
              <w:t>8</w:t>
            </w:r>
            <w:r w:rsidRPr="00871E51">
              <w:rPr>
                <w:rFonts w:eastAsia="Calibri"/>
                <w:sz w:val="20"/>
                <w:szCs w:val="20"/>
              </w:rPr>
              <w:t>.2</w:t>
            </w:r>
            <w:r w:rsidR="006B0084">
              <w:rPr>
                <w:rFonts w:eastAsia="Calibri"/>
                <w:sz w:val="20"/>
                <w:szCs w:val="20"/>
              </w:rPr>
              <w:t>8</w:t>
            </w:r>
          </w:p>
        </w:tc>
        <w:tc>
          <w:tcPr>
            <w:tcW w:w="1916" w:type="dxa"/>
            <w:shd w:val="clear" w:color="auto" w:fill="auto"/>
          </w:tcPr>
          <w:p w:rsidRPr="00B17713" w:rsidR="002753EA" w:rsidP="00BC5BDD" w:rsidRDefault="002753EA" w14:paraId="163F5193" w14:textId="10DDEE71">
            <w:pPr>
              <w:keepLines/>
              <w:spacing w:after="0"/>
              <w:rPr>
                <w:sz w:val="20"/>
                <w:szCs w:val="20"/>
              </w:rPr>
            </w:pPr>
            <w:r w:rsidRPr="00871E51">
              <w:rPr>
                <w:rFonts w:eastAsia="Calibri"/>
                <w:sz w:val="20"/>
                <w:szCs w:val="20"/>
              </w:rPr>
              <w:t>$9</w:t>
            </w:r>
            <w:r w:rsidR="006B0084">
              <w:rPr>
                <w:rFonts w:eastAsia="Calibri"/>
                <w:sz w:val="20"/>
                <w:szCs w:val="20"/>
              </w:rPr>
              <w:t>8</w:t>
            </w:r>
            <w:r w:rsidRPr="00871E51">
              <w:rPr>
                <w:rFonts w:eastAsia="Calibri"/>
                <w:sz w:val="20"/>
                <w:szCs w:val="20"/>
              </w:rPr>
              <w:t>.2</w:t>
            </w:r>
            <w:r w:rsidR="006B0084">
              <w:rPr>
                <w:rFonts w:eastAsia="Calibri"/>
                <w:sz w:val="20"/>
                <w:szCs w:val="20"/>
              </w:rPr>
              <w:t>8</w:t>
            </w:r>
          </w:p>
        </w:tc>
        <w:tc>
          <w:tcPr>
            <w:tcW w:w="2430" w:type="dxa"/>
            <w:shd w:val="clear" w:color="auto" w:fill="auto"/>
          </w:tcPr>
          <w:p w:rsidRPr="00B17713" w:rsidR="002753EA" w:rsidP="00BC5BDD" w:rsidRDefault="002753EA" w14:paraId="16293C90" w14:textId="064DE90B">
            <w:pPr>
              <w:keepLines/>
              <w:spacing w:after="0"/>
              <w:rPr>
                <w:sz w:val="20"/>
                <w:szCs w:val="20"/>
              </w:rPr>
            </w:pPr>
            <w:r w:rsidRPr="00871E51">
              <w:rPr>
                <w:rFonts w:eastAsia="Calibri"/>
                <w:sz w:val="20"/>
                <w:szCs w:val="20"/>
              </w:rPr>
              <w:t>$9</w:t>
            </w:r>
            <w:r w:rsidR="006B0084">
              <w:rPr>
                <w:rFonts w:eastAsia="Calibri"/>
                <w:sz w:val="20"/>
                <w:szCs w:val="20"/>
              </w:rPr>
              <w:t>8</w:t>
            </w:r>
            <w:r w:rsidRPr="00871E51">
              <w:rPr>
                <w:rFonts w:eastAsia="Calibri"/>
                <w:sz w:val="20"/>
                <w:szCs w:val="20"/>
              </w:rPr>
              <w:t>.2</w:t>
            </w:r>
            <w:r w:rsidR="006B0084">
              <w:rPr>
                <w:rFonts w:eastAsia="Calibri"/>
                <w:sz w:val="20"/>
                <w:szCs w:val="20"/>
              </w:rPr>
              <w:t>8</w:t>
            </w:r>
          </w:p>
        </w:tc>
      </w:tr>
      <w:tr w:rsidRPr="00732012" w:rsidR="002753EA" w:rsidTr="002F1361" w14:paraId="7C82E7FF" w14:textId="14F5E9B9">
        <w:trPr>
          <w:cantSplit/>
          <w:trHeight w:val="520"/>
          <w:jc w:val="center"/>
        </w:trPr>
        <w:tc>
          <w:tcPr>
            <w:tcW w:w="2383" w:type="dxa"/>
            <w:shd w:val="clear" w:color="auto" w:fill="auto"/>
            <w:hideMark/>
          </w:tcPr>
          <w:p w:rsidRPr="00B17713" w:rsidR="002753EA" w:rsidP="00E6194A" w:rsidRDefault="002753EA" w14:paraId="285F235C" w14:textId="5FBC39A1">
            <w:pPr>
              <w:keepLines/>
              <w:spacing w:after="0"/>
              <w:rPr>
                <w:sz w:val="20"/>
                <w:szCs w:val="20"/>
              </w:rPr>
            </w:pPr>
            <w:r w:rsidRPr="00B17713">
              <w:rPr>
                <w:sz w:val="20"/>
                <w:szCs w:val="20"/>
              </w:rPr>
              <w:t>Cost to Review Measu</w:t>
            </w:r>
            <w:r>
              <w:rPr>
                <w:sz w:val="20"/>
                <w:szCs w:val="20"/>
              </w:rPr>
              <w:t>r</w:t>
            </w:r>
            <w:r w:rsidRPr="00B17713">
              <w:rPr>
                <w:sz w:val="20"/>
                <w:szCs w:val="20"/>
              </w:rPr>
              <w:t>e Specifications (@ LPN's labor rate of $4</w:t>
            </w:r>
            <w:r w:rsidR="006B0084">
              <w:rPr>
                <w:sz w:val="20"/>
                <w:szCs w:val="20"/>
              </w:rPr>
              <w:t>9</w:t>
            </w:r>
            <w:r>
              <w:rPr>
                <w:sz w:val="20"/>
                <w:szCs w:val="20"/>
              </w:rPr>
              <w:t>.</w:t>
            </w:r>
            <w:r w:rsidR="006B0084">
              <w:rPr>
                <w:sz w:val="20"/>
                <w:szCs w:val="20"/>
              </w:rPr>
              <w:t>8</w:t>
            </w:r>
            <w:r>
              <w:rPr>
                <w:sz w:val="20"/>
                <w:szCs w:val="20"/>
              </w:rPr>
              <w:t>6</w:t>
            </w:r>
            <w:r w:rsidRPr="00B17713">
              <w:rPr>
                <w:sz w:val="20"/>
                <w:szCs w:val="20"/>
              </w:rPr>
              <w:t>/</w:t>
            </w:r>
            <w:proofErr w:type="spellStart"/>
            <w:r w:rsidRPr="00B17713">
              <w:rPr>
                <w:sz w:val="20"/>
                <w:szCs w:val="20"/>
              </w:rPr>
              <w:t>hr</w:t>
            </w:r>
            <w:proofErr w:type="spellEnd"/>
            <w:r w:rsidRPr="00B17713">
              <w:rPr>
                <w:sz w:val="20"/>
                <w:szCs w:val="20"/>
              </w:rPr>
              <w:t xml:space="preserve"> @1 </w:t>
            </w:r>
            <w:proofErr w:type="spellStart"/>
            <w:r w:rsidRPr="00B17713">
              <w:rPr>
                <w:sz w:val="20"/>
                <w:szCs w:val="20"/>
              </w:rPr>
              <w:t>hr</w:t>
            </w:r>
            <w:proofErr w:type="spellEnd"/>
            <w:r w:rsidRPr="00B17713">
              <w:rPr>
                <w:sz w:val="20"/>
                <w:szCs w:val="20"/>
              </w:rPr>
              <w:t>) (m)</w:t>
            </w:r>
          </w:p>
        </w:tc>
        <w:tc>
          <w:tcPr>
            <w:tcW w:w="18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E6194A" w:rsidRDefault="002753EA" w14:paraId="64DC42F5" w14:textId="1C767BB5">
            <w:pPr>
              <w:keepLines/>
              <w:spacing w:after="0"/>
              <w:rPr>
                <w:sz w:val="20"/>
                <w:szCs w:val="20"/>
              </w:rPr>
            </w:pPr>
            <w:r w:rsidRPr="00871E51">
              <w:rPr>
                <w:rFonts w:eastAsia="Calibri"/>
                <w:sz w:val="20"/>
                <w:szCs w:val="20"/>
              </w:rPr>
              <w:t>$4</w:t>
            </w:r>
            <w:r w:rsidR="006B0084">
              <w:rPr>
                <w:rFonts w:eastAsia="Calibri"/>
                <w:sz w:val="20"/>
                <w:szCs w:val="20"/>
              </w:rPr>
              <w:t>9</w:t>
            </w:r>
            <w:r w:rsidRPr="00871E51">
              <w:rPr>
                <w:rFonts w:eastAsia="Calibri"/>
                <w:sz w:val="20"/>
                <w:szCs w:val="20"/>
              </w:rPr>
              <w:t>.</w:t>
            </w:r>
            <w:r w:rsidR="006B0084">
              <w:rPr>
                <w:rFonts w:eastAsia="Calibri"/>
                <w:sz w:val="20"/>
                <w:szCs w:val="20"/>
              </w:rPr>
              <w:t>8</w:t>
            </w:r>
            <w:r w:rsidRPr="00871E51">
              <w:rPr>
                <w:rFonts w:eastAsia="Calibri"/>
                <w:sz w:val="20"/>
                <w:szCs w:val="20"/>
              </w:rPr>
              <w:t>6</w:t>
            </w:r>
          </w:p>
        </w:tc>
        <w:tc>
          <w:tcPr>
            <w:tcW w:w="19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E6194A" w:rsidRDefault="002753EA" w14:paraId="7101963B" w14:textId="7B1C076D">
            <w:pPr>
              <w:keepLines/>
              <w:spacing w:after="0"/>
              <w:rPr>
                <w:sz w:val="20"/>
                <w:szCs w:val="20"/>
              </w:rPr>
            </w:pPr>
            <w:r w:rsidRPr="00871E51">
              <w:rPr>
                <w:rFonts w:eastAsia="Calibri"/>
                <w:sz w:val="20"/>
                <w:szCs w:val="20"/>
              </w:rPr>
              <w:t>$4</w:t>
            </w:r>
            <w:r w:rsidR="006B0084">
              <w:rPr>
                <w:rFonts w:eastAsia="Calibri"/>
                <w:sz w:val="20"/>
                <w:szCs w:val="20"/>
              </w:rPr>
              <w:t>9</w:t>
            </w:r>
            <w:r w:rsidRPr="00871E51">
              <w:rPr>
                <w:rFonts w:eastAsia="Calibri"/>
                <w:sz w:val="20"/>
                <w:szCs w:val="20"/>
              </w:rPr>
              <w:t>.</w:t>
            </w:r>
            <w:r w:rsidR="006B0084">
              <w:rPr>
                <w:rFonts w:eastAsia="Calibri"/>
                <w:sz w:val="20"/>
                <w:szCs w:val="20"/>
              </w:rPr>
              <w:t>8</w:t>
            </w:r>
            <w:r w:rsidRPr="00871E51">
              <w:rPr>
                <w:rFonts w:eastAsia="Calibri"/>
                <w:sz w:val="20"/>
                <w:szCs w:val="20"/>
              </w:rPr>
              <w:t>6</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E6194A" w:rsidRDefault="002753EA" w14:paraId="64ED3E7B" w14:textId="629DEA38">
            <w:pPr>
              <w:keepLines/>
              <w:spacing w:after="0"/>
              <w:rPr>
                <w:sz w:val="20"/>
                <w:szCs w:val="20"/>
              </w:rPr>
            </w:pPr>
            <w:r w:rsidRPr="00871E51">
              <w:rPr>
                <w:rFonts w:eastAsia="Calibri"/>
                <w:sz w:val="20"/>
                <w:szCs w:val="20"/>
              </w:rPr>
              <w:t>$4</w:t>
            </w:r>
            <w:r w:rsidR="006B0084">
              <w:rPr>
                <w:rFonts w:eastAsia="Calibri"/>
                <w:sz w:val="20"/>
                <w:szCs w:val="20"/>
              </w:rPr>
              <w:t>9</w:t>
            </w:r>
            <w:r w:rsidRPr="00871E51">
              <w:rPr>
                <w:rFonts w:eastAsia="Calibri"/>
                <w:sz w:val="20"/>
                <w:szCs w:val="20"/>
              </w:rPr>
              <w:t>.</w:t>
            </w:r>
            <w:r w:rsidR="006B0084">
              <w:rPr>
                <w:rFonts w:eastAsia="Calibri"/>
                <w:sz w:val="20"/>
                <w:szCs w:val="20"/>
              </w:rPr>
              <w:t>8</w:t>
            </w:r>
            <w:r w:rsidRPr="00871E51">
              <w:rPr>
                <w:rFonts w:eastAsia="Calibri"/>
                <w:sz w:val="20"/>
                <w:szCs w:val="20"/>
              </w:rPr>
              <w:t>6</w:t>
            </w:r>
          </w:p>
        </w:tc>
      </w:tr>
      <w:tr w:rsidRPr="00732012" w:rsidR="002753EA" w:rsidTr="002F1361" w14:paraId="459D0BA8" w14:textId="123C7C1F">
        <w:trPr>
          <w:cantSplit/>
          <w:trHeight w:val="520"/>
          <w:jc w:val="center"/>
        </w:trPr>
        <w:tc>
          <w:tcPr>
            <w:tcW w:w="2383" w:type="dxa"/>
            <w:shd w:val="clear" w:color="auto" w:fill="auto"/>
            <w:hideMark/>
          </w:tcPr>
          <w:p w:rsidRPr="00B17713" w:rsidR="002753EA" w:rsidP="00E6782E" w:rsidRDefault="002753EA" w14:paraId="450B1061" w14:textId="33BB115E">
            <w:pPr>
              <w:keepLines/>
              <w:spacing w:after="0"/>
              <w:rPr>
                <w:sz w:val="20"/>
                <w:szCs w:val="20"/>
              </w:rPr>
            </w:pPr>
            <w:r w:rsidRPr="00B17713">
              <w:rPr>
                <w:sz w:val="20"/>
                <w:szCs w:val="20"/>
              </w:rPr>
              <w:t>Cost to Review Measure Specifications (@ billing clerk’s labor rate of $</w:t>
            </w:r>
            <w:r>
              <w:rPr>
                <w:sz w:val="20"/>
                <w:szCs w:val="20"/>
              </w:rPr>
              <w:t>4</w:t>
            </w:r>
            <w:r w:rsidR="006B0084">
              <w:rPr>
                <w:sz w:val="20"/>
                <w:szCs w:val="20"/>
              </w:rPr>
              <w:t>1</w:t>
            </w:r>
            <w:r>
              <w:rPr>
                <w:sz w:val="20"/>
                <w:szCs w:val="20"/>
              </w:rPr>
              <w:t>.</w:t>
            </w:r>
            <w:r w:rsidR="006B0084">
              <w:rPr>
                <w:sz w:val="20"/>
                <w:szCs w:val="20"/>
              </w:rPr>
              <w:t>1</w:t>
            </w:r>
            <w:r>
              <w:rPr>
                <w:sz w:val="20"/>
                <w:szCs w:val="20"/>
              </w:rPr>
              <w:t>0</w:t>
            </w:r>
            <w:r w:rsidRPr="00B17713">
              <w:rPr>
                <w:sz w:val="20"/>
                <w:szCs w:val="20"/>
              </w:rPr>
              <w:t>/</w:t>
            </w:r>
            <w:proofErr w:type="spellStart"/>
            <w:r w:rsidRPr="00B17713">
              <w:rPr>
                <w:sz w:val="20"/>
                <w:szCs w:val="20"/>
              </w:rPr>
              <w:t>hr</w:t>
            </w:r>
            <w:proofErr w:type="spellEnd"/>
            <w:r w:rsidRPr="00B17713">
              <w:rPr>
                <w:sz w:val="20"/>
                <w:szCs w:val="20"/>
              </w:rPr>
              <w:t xml:space="preserve"> @ 1 </w:t>
            </w:r>
            <w:proofErr w:type="spellStart"/>
            <w:r w:rsidRPr="00B17713">
              <w:rPr>
                <w:sz w:val="20"/>
                <w:szCs w:val="20"/>
              </w:rPr>
              <w:t>hr</w:t>
            </w:r>
            <w:proofErr w:type="spellEnd"/>
            <w:r w:rsidRPr="00B17713">
              <w:rPr>
                <w:sz w:val="20"/>
                <w:szCs w:val="20"/>
              </w:rPr>
              <w:t>) (n)</w:t>
            </w:r>
          </w:p>
        </w:tc>
        <w:tc>
          <w:tcPr>
            <w:tcW w:w="18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E6782E" w:rsidRDefault="002753EA" w14:paraId="5480450F" w14:textId="5936C65C">
            <w:pPr>
              <w:keepLines/>
              <w:spacing w:after="0"/>
              <w:rPr>
                <w:sz w:val="20"/>
                <w:szCs w:val="20"/>
              </w:rPr>
            </w:pPr>
            <w:r w:rsidRPr="00871E51">
              <w:rPr>
                <w:rFonts w:eastAsia="Calibri"/>
                <w:sz w:val="20"/>
                <w:szCs w:val="20"/>
              </w:rPr>
              <w:t>$4</w:t>
            </w:r>
            <w:r w:rsidR="006B0084">
              <w:rPr>
                <w:rFonts w:eastAsia="Calibri"/>
                <w:sz w:val="20"/>
                <w:szCs w:val="20"/>
              </w:rPr>
              <w:t>1</w:t>
            </w:r>
            <w:r w:rsidRPr="00871E51">
              <w:rPr>
                <w:rFonts w:eastAsia="Calibri"/>
                <w:sz w:val="20"/>
                <w:szCs w:val="20"/>
              </w:rPr>
              <w:t>.</w:t>
            </w:r>
            <w:r w:rsidR="006B0084">
              <w:rPr>
                <w:rFonts w:eastAsia="Calibri"/>
                <w:sz w:val="20"/>
                <w:szCs w:val="20"/>
              </w:rPr>
              <w:t>1</w:t>
            </w:r>
            <w:r w:rsidRPr="00871E51">
              <w:rPr>
                <w:rFonts w:eastAsia="Calibri"/>
                <w:sz w:val="20"/>
                <w:szCs w:val="20"/>
              </w:rPr>
              <w:t>0</w:t>
            </w:r>
          </w:p>
        </w:tc>
        <w:tc>
          <w:tcPr>
            <w:tcW w:w="19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E6782E" w:rsidRDefault="002753EA" w14:paraId="57E638E6" w14:textId="2155E449">
            <w:pPr>
              <w:keepLines/>
              <w:spacing w:after="0"/>
              <w:rPr>
                <w:sz w:val="20"/>
                <w:szCs w:val="20"/>
              </w:rPr>
            </w:pPr>
            <w:r w:rsidRPr="00871E51">
              <w:rPr>
                <w:rFonts w:eastAsia="Calibri"/>
                <w:sz w:val="20"/>
                <w:szCs w:val="20"/>
              </w:rPr>
              <w:t>$4</w:t>
            </w:r>
            <w:r w:rsidR="006B0084">
              <w:rPr>
                <w:rFonts w:eastAsia="Calibri"/>
                <w:sz w:val="20"/>
                <w:szCs w:val="20"/>
              </w:rPr>
              <w:t>1</w:t>
            </w:r>
            <w:r w:rsidRPr="00871E51">
              <w:rPr>
                <w:rFonts w:eastAsia="Calibri"/>
                <w:sz w:val="20"/>
                <w:szCs w:val="20"/>
              </w:rPr>
              <w:t>.</w:t>
            </w:r>
            <w:r w:rsidR="006B0084">
              <w:rPr>
                <w:rFonts w:eastAsia="Calibri"/>
                <w:sz w:val="20"/>
                <w:szCs w:val="20"/>
              </w:rPr>
              <w:t>1</w:t>
            </w:r>
            <w:r w:rsidRPr="00871E51">
              <w:rPr>
                <w:rFonts w:eastAsia="Calibri"/>
                <w:sz w:val="20"/>
                <w:szCs w:val="20"/>
              </w:rPr>
              <w:t>0</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E6782E" w:rsidRDefault="002753EA" w14:paraId="3621B156" w14:textId="2982637F">
            <w:pPr>
              <w:keepLines/>
              <w:spacing w:after="0"/>
              <w:rPr>
                <w:sz w:val="20"/>
                <w:szCs w:val="20"/>
              </w:rPr>
            </w:pPr>
            <w:r w:rsidRPr="00871E51">
              <w:rPr>
                <w:rFonts w:eastAsia="Calibri"/>
                <w:sz w:val="20"/>
                <w:szCs w:val="20"/>
              </w:rPr>
              <w:t>$4</w:t>
            </w:r>
            <w:r w:rsidR="006B0084">
              <w:rPr>
                <w:rFonts w:eastAsia="Calibri"/>
                <w:sz w:val="20"/>
                <w:szCs w:val="20"/>
              </w:rPr>
              <w:t>1</w:t>
            </w:r>
            <w:r w:rsidRPr="00871E51">
              <w:rPr>
                <w:rFonts w:eastAsia="Calibri"/>
                <w:sz w:val="20"/>
                <w:szCs w:val="20"/>
              </w:rPr>
              <w:t>.</w:t>
            </w:r>
            <w:r w:rsidR="006B0084">
              <w:rPr>
                <w:rFonts w:eastAsia="Calibri"/>
                <w:sz w:val="20"/>
                <w:szCs w:val="20"/>
              </w:rPr>
              <w:t>1</w:t>
            </w:r>
            <w:r w:rsidRPr="00871E51">
              <w:rPr>
                <w:rFonts w:eastAsia="Calibri"/>
                <w:sz w:val="20"/>
                <w:szCs w:val="20"/>
              </w:rPr>
              <w:t>0</w:t>
            </w:r>
          </w:p>
        </w:tc>
      </w:tr>
      <w:tr w:rsidRPr="00732012" w:rsidR="002753EA" w:rsidTr="002F1361" w14:paraId="42CF337B" w14:textId="39632B92">
        <w:trPr>
          <w:cantSplit/>
          <w:trHeight w:val="520"/>
          <w:jc w:val="center"/>
        </w:trPr>
        <w:tc>
          <w:tcPr>
            <w:tcW w:w="2383" w:type="dxa"/>
            <w:shd w:val="clear" w:color="auto" w:fill="auto"/>
            <w:hideMark/>
          </w:tcPr>
          <w:p w:rsidRPr="00B17713" w:rsidR="002753EA" w:rsidP="00485EFA" w:rsidRDefault="002753EA" w14:paraId="34D4F696" w14:textId="6F7FD3A7">
            <w:pPr>
              <w:keepLines/>
              <w:spacing w:after="0"/>
              <w:rPr>
                <w:sz w:val="20"/>
                <w:szCs w:val="20"/>
              </w:rPr>
            </w:pPr>
            <w:r w:rsidRPr="00B17713">
              <w:rPr>
                <w:sz w:val="20"/>
                <w:szCs w:val="20"/>
              </w:rPr>
              <w:t>Cost to Review Measure Specifications (@ physician’s labor rate of $2</w:t>
            </w:r>
            <w:r w:rsidR="006B0084">
              <w:rPr>
                <w:sz w:val="20"/>
                <w:szCs w:val="20"/>
              </w:rPr>
              <w:t>59</w:t>
            </w:r>
            <w:r>
              <w:rPr>
                <w:sz w:val="20"/>
                <w:szCs w:val="20"/>
              </w:rPr>
              <w:t>.</w:t>
            </w:r>
            <w:r w:rsidR="006B0084">
              <w:rPr>
                <w:sz w:val="20"/>
                <w:szCs w:val="20"/>
              </w:rPr>
              <w:t>98</w:t>
            </w:r>
            <w:r w:rsidRPr="00B17713">
              <w:rPr>
                <w:sz w:val="20"/>
                <w:szCs w:val="20"/>
              </w:rPr>
              <w:t>/</w:t>
            </w:r>
            <w:proofErr w:type="spellStart"/>
            <w:r w:rsidRPr="00B17713">
              <w:rPr>
                <w:sz w:val="20"/>
                <w:szCs w:val="20"/>
              </w:rPr>
              <w:t>hr</w:t>
            </w:r>
            <w:proofErr w:type="spellEnd"/>
            <w:r w:rsidRPr="00B17713">
              <w:rPr>
                <w:sz w:val="20"/>
                <w:szCs w:val="20"/>
              </w:rPr>
              <w:t xml:space="preserve"> @ 1 </w:t>
            </w:r>
            <w:proofErr w:type="spellStart"/>
            <w:r w:rsidRPr="00B17713">
              <w:rPr>
                <w:sz w:val="20"/>
                <w:szCs w:val="20"/>
              </w:rPr>
              <w:t>hr</w:t>
            </w:r>
            <w:proofErr w:type="spellEnd"/>
            <w:r w:rsidRPr="00B17713">
              <w:rPr>
                <w:sz w:val="20"/>
                <w:szCs w:val="20"/>
              </w:rPr>
              <w:t>) (o)</w:t>
            </w:r>
          </w:p>
        </w:tc>
        <w:tc>
          <w:tcPr>
            <w:tcW w:w="18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485EFA" w:rsidRDefault="002753EA" w14:paraId="6904A810" w14:textId="0970E169">
            <w:pPr>
              <w:keepLines/>
              <w:spacing w:after="0"/>
              <w:rPr>
                <w:sz w:val="20"/>
                <w:szCs w:val="20"/>
              </w:rPr>
            </w:pPr>
            <w:r w:rsidRPr="00871E51">
              <w:rPr>
                <w:rFonts w:eastAsia="Calibri"/>
                <w:sz w:val="20"/>
                <w:szCs w:val="20"/>
              </w:rPr>
              <w:t>$2</w:t>
            </w:r>
            <w:r w:rsidR="006B0084">
              <w:rPr>
                <w:rFonts w:eastAsia="Calibri"/>
                <w:sz w:val="20"/>
                <w:szCs w:val="20"/>
              </w:rPr>
              <w:t>59</w:t>
            </w:r>
            <w:r>
              <w:rPr>
                <w:rFonts w:eastAsia="Calibri"/>
                <w:sz w:val="20"/>
                <w:szCs w:val="20"/>
              </w:rPr>
              <w:t>.</w:t>
            </w:r>
            <w:r w:rsidR="006B0084">
              <w:rPr>
                <w:rFonts w:eastAsia="Calibri"/>
                <w:sz w:val="20"/>
                <w:szCs w:val="20"/>
              </w:rPr>
              <w:t>98</w:t>
            </w:r>
          </w:p>
        </w:tc>
        <w:tc>
          <w:tcPr>
            <w:tcW w:w="19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485EFA" w:rsidRDefault="002753EA" w14:paraId="72B06A44" w14:textId="7562EAB7">
            <w:pPr>
              <w:keepLines/>
              <w:spacing w:after="0"/>
              <w:rPr>
                <w:sz w:val="20"/>
                <w:szCs w:val="20"/>
              </w:rPr>
            </w:pPr>
            <w:r w:rsidRPr="00871E51">
              <w:rPr>
                <w:rFonts w:eastAsia="Calibri"/>
                <w:sz w:val="20"/>
                <w:szCs w:val="20"/>
              </w:rPr>
              <w:t>$2</w:t>
            </w:r>
            <w:r w:rsidR="006B0084">
              <w:rPr>
                <w:rFonts w:eastAsia="Calibri"/>
                <w:sz w:val="20"/>
                <w:szCs w:val="20"/>
              </w:rPr>
              <w:t>59</w:t>
            </w:r>
            <w:r>
              <w:rPr>
                <w:rFonts w:eastAsia="Calibri"/>
                <w:sz w:val="20"/>
                <w:szCs w:val="20"/>
              </w:rPr>
              <w:t>.</w:t>
            </w:r>
            <w:r w:rsidR="006B0084">
              <w:rPr>
                <w:rFonts w:eastAsia="Calibri"/>
                <w:sz w:val="20"/>
                <w:szCs w:val="20"/>
              </w:rPr>
              <w:t>98</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485EFA" w:rsidRDefault="002753EA" w14:paraId="74E9A797" w14:textId="50B17C4D">
            <w:pPr>
              <w:keepLines/>
              <w:spacing w:after="0"/>
              <w:rPr>
                <w:sz w:val="20"/>
                <w:szCs w:val="20"/>
              </w:rPr>
            </w:pPr>
            <w:r w:rsidRPr="00871E51">
              <w:rPr>
                <w:rFonts w:eastAsia="Calibri"/>
                <w:sz w:val="20"/>
                <w:szCs w:val="20"/>
              </w:rPr>
              <w:t>$2</w:t>
            </w:r>
            <w:r w:rsidR="006B0084">
              <w:rPr>
                <w:rFonts w:eastAsia="Calibri"/>
                <w:sz w:val="20"/>
                <w:szCs w:val="20"/>
              </w:rPr>
              <w:t>59</w:t>
            </w:r>
            <w:r>
              <w:rPr>
                <w:rFonts w:eastAsia="Calibri"/>
                <w:sz w:val="20"/>
                <w:szCs w:val="20"/>
              </w:rPr>
              <w:t>.</w:t>
            </w:r>
            <w:r w:rsidR="006B0084">
              <w:rPr>
                <w:rFonts w:eastAsia="Calibri"/>
                <w:sz w:val="20"/>
                <w:szCs w:val="20"/>
              </w:rPr>
              <w:t>98</w:t>
            </w:r>
          </w:p>
        </w:tc>
      </w:tr>
      <w:tr w:rsidRPr="00732012" w:rsidR="002753EA" w:rsidTr="002F1361" w14:paraId="37ED80F3" w14:textId="1F51E4B0">
        <w:trPr>
          <w:cantSplit/>
          <w:trHeight w:val="525"/>
          <w:jc w:val="center"/>
        </w:trPr>
        <w:tc>
          <w:tcPr>
            <w:tcW w:w="2383" w:type="dxa"/>
            <w:shd w:val="clear" w:color="auto" w:fill="auto"/>
            <w:hideMark/>
          </w:tcPr>
          <w:p w:rsidRPr="00B17713" w:rsidR="002753EA" w:rsidP="0076514A" w:rsidRDefault="002753EA" w14:paraId="21F6D79E" w14:textId="6520E512">
            <w:pPr>
              <w:keepLines/>
              <w:spacing w:after="0"/>
              <w:rPr>
                <w:sz w:val="20"/>
                <w:szCs w:val="20"/>
              </w:rPr>
            </w:pPr>
            <w:r w:rsidRPr="00B17713">
              <w:rPr>
                <w:sz w:val="20"/>
                <w:szCs w:val="20"/>
              </w:rPr>
              <w:t>Total Annual Cost Per Clinician (p) = (j)+(k)+(l)+(m)+(n)+(o)</w:t>
            </w:r>
          </w:p>
        </w:tc>
        <w:tc>
          <w:tcPr>
            <w:tcW w:w="18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76514A" w:rsidRDefault="002753EA" w14:paraId="15BA8B63" w14:textId="7D29C77E">
            <w:pPr>
              <w:keepLines/>
              <w:spacing w:after="0"/>
              <w:rPr>
                <w:sz w:val="20"/>
                <w:szCs w:val="20"/>
              </w:rPr>
            </w:pPr>
            <w:r w:rsidRPr="00871E51">
              <w:rPr>
                <w:rFonts w:eastAsia="Calibri"/>
                <w:sz w:val="20"/>
                <w:szCs w:val="20"/>
              </w:rPr>
              <w:t>$</w:t>
            </w:r>
            <w:r w:rsidR="00824480">
              <w:rPr>
                <w:rFonts w:eastAsia="Calibri"/>
                <w:sz w:val="20"/>
                <w:szCs w:val="20"/>
              </w:rPr>
              <w:t>809.62</w:t>
            </w:r>
          </w:p>
        </w:tc>
        <w:tc>
          <w:tcPr>
            <w:tcW w:w="1916"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76514A" w:rsidRDefault="002753EA" w14:paraId="30821747" w14:textId="46D732BF">
            <w:pPr>
              <w:keepLines/>
              <w:spacing w:after="0"/>
              <w:rPr>
                <w:sz w:val="20"/>
                <w:szCs w:val="20"/>
              </w:rPr>
            </w:pPr>
            <w:r w:rsidRPr="00871E51">
              <w:rPr>
                <w:rFonts w:eastAsia="Calibri"/>
                <w:sz w:val="20"/>
                <w:szCs w:val="20"/>
              </w:rPr>
              <w:t>$8</w:t>
            </w:r>
            <w:r w:rsidR="00824480">
              <w:rPr>
                <w:rFonts w:eastAsia="Calibri"/>
                <w:sz w:val="20"/>
                <w:szCs w:val="20"/>
              </w:rPr>
              <w:t>98.07</w:t>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Pr="00B17713" w:rsidR="002753EA" w:rsidP="0076514A" w:rsidRDefault="002753EA" w14:paraId="09C3CF1F" w14:textId="1B868C19">
            <w:pPr>
              <w:keepLines/>
              <w:spacing w:after="0"/>
              <w:rPr>
                <w:sz w:val="20"/>
                <w:szCs w:val="20"/>
              </w:rPr>
            </w:pPr>
            <w:r w:rsidRPr="00871E51">
              <w:rPr>
                <w:rFonts w:eastAsia="Calibri"/>
                <w:sz w:val="20"/>
                <w:szCs w:val="20"/>
              </w:rPr>
              <w:t>$1,</w:t>
            </w:r>
            <w:r w:rsidR="00824480">
              <w:rPr>
                <w:rFonts w:eastAsia="Calibri"/>
                <w:sz w:val="20"/>
                <w:szCs w:val="20"/>
              </w:rPr>
              <w:t>502</w:t>
            </w:r>
            <w:r>
              <w:rPr>
                <w:rFonts w:eastAsia="Calibri"/>
                <w:sz w:val="20"/>
                <w:szCs w:val="20"/>
              </w:rPr>
              <w:t>.</w:t>
            </w:r>
            <w:r w:rsidR="00824480">
              <w:rPr>
                <w:rFonts w:eastAsia="Calibri"/>
                <w:sz w:val="20"/>
                <w:szCs w:val="20"/>
              </w:rPr>
              <w:t>49</w:t>
            </w:r>
          </w:p>
        </w:tc>
      </w:tr>
      <w:tr w:rsidRPr="00732012" w:rsidR="002753EA" w:rsidTr="002F1361" w14:paraId="54D57C73" w14:textId="753A39FA">
        <w:trPr>
          <w:cantSplit/>
          <w:trHeight w:val="305"/>
          <w:jc w:val="center"/>
        </w:trPr>
        <w:tc>
          <w:tcPr>
            <w:tcW w:w="238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732012" w:rsidR="002753EA" w:rsidP="00DA40CA" w:rsidRDefault="002753EA" w14:paraId="2D78B5F5" w14:textId="3A00CACA">
            <w:pPr>
              <w:keepLines/>
              <w:spacing w:after="0"/>
              <w:rPr>
                <w:b/>
                <w:bCs/>
                <w:sz w:val="20"/>
                <w:szCs w:val="20"/>
              </w:rPr>
            </w:pPr>
            <w:r w:rsidRPr="00732012">
              <w:rPr>
                <w:b/>
                <w:bCs/>
                <w:sz w:val="20"/>
                <w:szCs w:val="20"/>
              </w:rPr>
              <w:t>Total Annual Cost (q) = (a)*(p)</w:t>
            </w:r>
          </w:p>
        </w:tc>
        <w:tc>
          <w:tcPr>
            <w:tcW w:w="181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2753EA" w:rsidP="00DA40CA" w:rsidRDefault="002753EA" w14:paraId="0AE93D04" w14:textId="4A49301E">
            <w:pPr>
              <w:keepLines/>
              <w:spacing w:after="0"/>
              <w:rPr>
                <w:b/>
                <w:bCs/>
                <w:sz w:val="20"/>
                <w:szCs w:val="20"/>
              </w:rPr>
            </w:pPr>
            <w:r w:rsidRPr="00871E51">
              <w:rPr>
                <w:rFonts w:eastAsia="Calibri"/>
                <w:b/>
                <w:sz w:val="20"/>
                <w:szCs w:val="20"/>
              </w:rPr>
              <w:t>$</w:t>
            </w:r>
            <w:r w:rsidRPr="00871E51">
              <w:rPr>
                <w:rFonts w:eastAsia="Calibri"/>
                <w:b/>
                <w:bCs/>
                <w:sz w:val="20"/>
                <w:szCs w:val="20"/>
              </w:rPr>
              <w:t>21,</w:t>
            </w:r>
            <w:r w:rsidR="00824480">
              <w:rPr>
                <w:rFonts w:eastAsia="Calibri"/>
                <w:b/>
                <w:bCs/>
                <w:sz w:val="20"/>
                <w:szCs w:val="20"/>
              </w:rPr>
              <w:t>864</w:t>
            </w:r>
            <w:r>
              <w:rPr>
                <w:rFonts w:eastAsia="Calibri"/>
                <w:b/>
                <w:bCs/>
                <w:sz w:val="20"/>
                <w:szCs w:val="20"/>
              </w:rPr>
              <w:t>,</w:t>
            </w:r>
            <w:r w:rsidR="00824480">
              <w:rPr>
                <w:rFonts w:eastAsia="Calibri"/>
                <w:b/>
                <w:bCs/>
                <w:sz w:val="20"/>
                <w:szCs w:val="20"/>
              </w:rPr>
              <w:t>598</w:t>
            </w:r>
          </w:p>
        </w:tc>
        <w:tc>
          <w:tcPr>
            <w:tcW w:w="191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2753EA" w:rsidP="00DA40CA" w:rsidRDefault="002753EA" w14:paraId="30D68118" w14:textId="4CCCF39A">
            <w:pPr>
              <w:keepLines/>
              <w:spacing w:after="0"/>
              <w:rPr>
                <w:b/>
                <w:bCs/>
                <w:sz w:val="20"/>
                <w:szCs w:val="20"/>
              </w:rPr>
            </w:pPr>
            <w:r w:rsidRPr="00871E51">
              <w:rPr>
                <w:rFonts w:eastAsia="Calibri"/>
                <w:b/>
                <w:sz w:val="20"/>
                <w:szCs w:val="20"/>
              </w:rPr>
              <w:t>$2</w:t>
            </w:r>
            <w:r w:rsidR="00824480">
              <w:rPr>
                <w:rFonts w:eastAsia="Calibri"/>
                <w:b/>
                <w:sz w:val="20"/>
                <w:szCs w:val="20"/>
              </w:rPr>
              <w:t>4</w:t>
            </w:r>
            <w:r w:rsidRPr="00871E51">
              <w:rPr>
                <w:rFonts w:eastAsia="Calibri"/>
                <w:b/>
                <w:sz w:val="20"/>
                <w:szCs w:val="20"/>
              </w:rPr>
              <w:t>,</w:t>
            </w:r>
            <w:r w:rsidR="00824480">
              <w:rPr>
                <w:rFonts w:eastAsia="Calibri"/>
                <w:b/>
                <w:sz w:val="20"/>
                <w:szCs w:val="20"/>
              </w:rPr>
              <w:t>253</w:t>
            </w:r>
            <w:r>
              <w:rPr>
                <w:rFonts w:eastAsia="Calibri"/>
                <w:b/>
                <w:sz w:val="20"/>
                <w:szCs w:val="20"/>
              </w:rPr>
              <w:t>,</w:t>
            </w:r>
            <w:r w:rsidR="00824480">
              <w:rPr>
                <w:rFonts w:eastAsia="Calibri"/>
                <w:b/>
                <w:sz w:val="20"/>
                <w:szCs w:val="20"/>
              </w:rPr>
              <w:t>278</w:t>
            </w:r>
          </w:p>
        </w:tc>
        <w:tc>
          <w:tcPr>
            <w:tcW w:w="24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17713" w:rsidR="002753EA" w:rsidP="00DA40CA" w:rsidRDefault="002753EA" w14:paraId="302349DD" w14:textId="371964C9">
            <w:pPr>
              <w:keepLines/>
              <w:spacing w:after="0"/>
              <w:rPr>
                <w:b/>
                <w:bCs/>
                <w:sz w:val="20"/>
                <w:szCs w:val="20"/>
              </w:rPr>
            </w:pPr>
            <w:r w:rsidRPr="00871E51">
              <w:rPr>
                <w:rFonts w:eastAsia="Calibri"/>
                <w:b/>
                <w:sz w:val="20"/>
                <w:szCs w:val="20"/>
              </w:rPr>
              <w:t>$40,</w:t>
            </w:r>
            <w:r w:rsidR="00824480">
              <w:rPr>
                <w:rFonts w:eastAsia="Calibri"/>
                <w:b/>
                <w:sz w:val="20"/>
                <w:szCs w:val="20"/>
              </w:rPr>
              <w:t>576</w:t>
            </w:r>
            <w:r>
              <w:rPr>
                <w:rFonts w:eastAsia="Calibri"/>
                <w:b/>
                <w:sz w:val="20"/>
                <w:szCs w:val="20"/>
              </w:rPr>
              <w:t>,</w:t>
            </w:r>
            <w:r w:rsidR="00824480">
              <w:rPr>
                <w:rFonts w:eastAsia="Calibri"/>
                <w:b/>
                <w:sz w:val="20"/>
                <w:szCs w:val="20"/>
              </w:rPr>
              <w:t>245</w:t>
            </w:r>
          </w:p>
        </w:tc>
      </w:tr>
    </w:tbl>
    <w:p w:rsidRPr="00041A6A" w:rsidR="00C351ED" w:rsidP="003D552B" w:rsidRDefault="00C351ED" w14:paraId="66F748FE" w14:textId="6DBEF460">
      <w:pPr>
        <w:pStyle w:val="Heading4"/>
        <w:numPr>
          <w:ilvl w:val="3"/>
          <w:numId w:val="23"/>
        </w:numPr>
      </w:pPr>
      <w:r w:rsidRPr="00041A6A">
        <w:t>Burden for Quality Data Submission by Individuals</w:t>
      </w:r>
      <w:r w:rsidRPr="00041A6A" w:rsidR="001964ED">
        <w:t xml:space="preserve"> and</w:t>
      </w:r>
      <w:r w:rsidRPr="00041A6A">
        <w:t xml:space="preserve"> Groups: </w:t>
      </w:r>
      <w:r w:rsidR="00532B06">
        <w:br/>
      </w:r>
      <w:r w:rsidRPr="00041A6A" w:rsidR="00037FF8">
        <w:t>MIPS CQM</w:t>
      </w:r>
      <w:r w:rsidRPr="00041A6A">
        <w:t xml:space="preserve"> and QCDR Collection Types</w:t>
      </w:r>
    </w:p>
    <w:p w:rsidRPr="00423A87" w:rsidR="00423A87" w:rsidP="00CF4BB7" w:rsidRDefault="00D713FB" w14:paraId="51A7F991" w14:textId="7DCB26AE">
      <w:pPr>
        <w:rPr>
          <w:rFonts w:eastAsia="Calibri"/>
        </w:rPr>
      </w:pPr>
      <w:r>
        <w:rPr>
          <w:rFonts w:eastAsia="Calibri"/>
        </w:rPr>
        <w:t>B</w:t>
      </w:r>
      <w:r w:rsidRPr="00F13BBE" w:rsidR="00F13BBE">
        <w:rPr>
          <w:rFonts w:eastAsia="Calibri"/>
        </w:rPr>
        <w:t xml:space="preserve">ased on </w:t>
      </w:r>
      <w:r w:rsidR="00397B58">
        <w:rPr>
          <w:rFonts w:eastAsia="Calibri"/>
        </w:rPr>
        <w:t xml:space="preserve">CY </w:t>
      </w:r>
      <w:r w:rsidRPr="00F13BBE" w:rsidR="00F13BBE">
        <w:rPr>
          <w:rFonts w:eastAsia="Calibri"/>
        </w:rPr>
        <w:t>2019 performance period</w:t>
      </w:r>
      <w:r w:rsidR="00397B58">
        <w:rPr>
          <w:rFonts w:eastAsia="Calibri"/>
        </w:rPr>
        <w:t>/2021 MIPS payment year</w:t>
      </w:r>
      <w:r w:rsidRPr="00F13BBE" w:rsidR="00F13BBE">
        <w:rPr>
          <w:rFonts w:eastAsia="Calibri"/>
        </w:rPr>
        <w:t xml:space="preserve"> data, we assume that </w:t>
      </w:r>
      <w:r w:rsidR="0091798F">
        <w:rPr>
          <w:rFonts w:eastAsia="Calibri"/>
        </w:rPr>
        <w:t>37,306</w:t>
      </w:r>
      <w:r w:rsidRPr="00F13BBE" w:rsidR="00F13BBE">
        <w:rPr>
          <w:rFonts w:eastAsia="Calibri"/>
        </w:rPr>
        <w:t xml:space="preserve"> </w:t>
      </w:r>
      <w:r w:rsidR="00F51E87">
        <w:rPr>
          <w:rFonts w:eastAsia="Calibri"/>
        </w:rPr>
        <w:t xml:space="preserve">individual </w:t>
      </w:r>
      <w:r w:rsidRPr="00F13BBE" w:rsidR="00F13BBE">
        <w:rPr>
          <w:rFonts w:eastAsia="Calibri"/>
        </w:rPr>
        <w:t>clinicians and 1</w:t>
      </w:r>
      <w:r w:rsidR="0091798F">
        <w:rPr>
          <w:rFonts w:eastAsia="Calibri"/>
        </w:rPr>
        <w:t>0,278</w:t>
      </w:r>
      <w:r w:rsidRPr="00F13BBE" w:rsidR="00F13BBE">
        <w:rPr>
          <w:rFonts w:eastAsia="Calibri"/>
        </w:rPr>
        <w:t xml:space="preserve"> groups and virtual groups</w:t>
      </w:r>
      <w:r w:rsidR="00F51E87">
        <w:rPr>
          <w:rFonts w:eastAsia="Calibri"/>
        </w:rPr>
        <w:t xml:space="preserve"> will submit quality data for the MIPS CQM and QCDR collection types </w:t>
      </w:r>
      <w:r w:rsidR="00512AED">
        <w:rPr>
          <w:rFonts w:eastAsia="Calibri"/>
        </w:rPr>
        <w:t>for</w:t>
      </w:r>
      <w:r w:rsidRPr="00F13BBE" w:rsidR="00F51E87">
        <w:rPr>
          <w:rFonts w:eastAsia="Calibri"/>
        </w:rPr>
        <w:t xml:space="preserve"> </w:t>
      </w:r>
      <w:r w:rsidRPr="00F13BBE" w:rsidR="00F13BBE">
        <w:rPr>
          <w:rFonts w:eastAsia="Calibri"/>
        </w:rPr>
        <w:t xml:space="preserve">the </w:t>
      </w:r>
      <w:r w:rsidR="009203DD">
        <w:rPr>
          <w:rFonts w:eastAsia="Calibri"/>
        </w:rPr>
        <w:t xml:space="preserve">CY </w:t>
      </w:r>
      <w:r w:rsidRPr="00F13BBE" w:rsidR="00F13BBE">
        <w:rPr>
          <w:rFonts w:eastAsia="Calibri"/>
        </w:rPr>
        <w:t>202</w:t>
      </w:r>
      <w:r w:rsidR="009203DD">
        <w:rPr>
          <w:rFonts w:eastAsia="Calibri"/>
        </w:rPr>
        <w:t>3</w:t>
      </w:r>
      <w:r w:rsidRPr="00F13BBE" w:rsidR="00F13BBE">
        <w:rPr>
          <w:rFonts w:eastAsia="Calibri"/>
        </w:rPr>
        <w:t xml:space="preserve"> performance period</w:t>
      </w:r>
      <w:r w:rsidR="009203DD">
        <w:rPr>
          <w:rFonts w:eastAsia="Calibri"/>
        </w:rPr>
        <w:t>/2025 MIPS payment year</w:t>
      </w:r>
      <w:r w:rsidR="00880913">
        <w:rPr>
          <w:rFonts w:eastAsia="Calibri"/>
        </w:rPr>
        <w:t>.</w:t>
      </w:r>
      <w:r w:rsidRPr="00F13BBE" w:rsidR="00F13BBE">
        <w:rPr>
          <w:rFonts w:eastAsia="Calibri"/>
        </w:rPr>
        <w:t xml:space="preserve"> Given that the number of measures required is the same for clinicians and groups, we expect the burden to be the same for each respondent collecting data via MIPS CQM or QCDR, whether the clinician is participating in MIPS as an individual or group</w:t>
      </w:r>
      <w:r w:rsidR="00B17713">
        <w:rPr>
          <w:rFonts w:eastAsia="Calibri"/>
        </w:rPr>
        <w:t>.</w:t>
      </w:r>
    </w:p>
    <w:p w:rsidR="00350382" w:rsidP="00B17713" w:rsidRDefault="00B17713" w14:paraId="4CE15E62" w14:textId="1758C6C4">
      <w:pPr>
        <w:rPr>
          <w:rFonts w:eastAsia="Calibri"/>
        </w:rPr>
      </w:pPr>
      <w:r w:rsidRPr="00B17713">
        <w:rPr>
          <w:rFonts w:eastAsia="Calibri"/>
        </w:rPr>
        <w:lastRenderedPageBreak/>
        <w:t>Under the MIPS CQM and QCDR collection types, the individual clinician or group may either submit the quality measures data directly to us, log in and upload a file, or utilize a third-party intermediary to submit the data to us on the clinician’s or group’s behalf. 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 or group to review measure specifications and submit quality data total</w:t>
      </w:r>
      <w:r w:rsidR="002136EE">
        <w:rPr>
          <w:rFonts w:eastAsia="Calibri"/>
        </w:rPr>
        <w:t>s</w:t>
      </w:r>
      <w:r w:rsidRPr="00B17713">
        <w:rPr>
          <w:rFonts w:eastAsia="Calibri"/>
        </w:rPr>
        <w:t xml:space="preserve"> 9</w:t>
      </w:r>
      <w:r w:rsidR="00530D01">
        <w:rPr>
          <w:rFonts w:eastAsia="Calibri"/>
        </w:rPr>
        <w:t>.08</w:t>
      </w:r>
      <w:r w:rsidRPr="00B17713">
        <w:rPr>
          <w:rFonts w:eastAsia="Calibri"/>
        </w:rPr>
        <w:t xml:space="preserve"> hours at </w:t>
      </w:r>
      <w:r w:rsidR="0055738B">
        <w:rPr>
          <w:rFonts w:eastAsia="Calibri"/>
        </w:rPr>
        <w:t xml:space="preserve">a cost of </w:t>
      </w:r>
      <w:r w:rsidRPr="00B17713">
        <w:rPr>
          <w:rFonts w:eastAsia="Calibri"/>
        </w:rPr>
        <w:t>$</w:t>
      </w:r>
      <w:r w:rsidR="0055738B">
        <w:rPr>
          <w:rFonts w:eastAsia="Calibri"/>
        </w:rPr>
        <w:t>9</w:t>
      </w:r>
      <w:r w:rsidR="005A1559">
        <w:rPr>
          <w:rFonts w:eastAsia="Calibri"/>
        </w:rPr>
        <w:t>8</w:t>
      </w:r>
      <w:r w:rsidR="0055738B">
        <w:rPr>
          <w:rFonts w:eastAsia="Calibri"/>
        </w:rPr>
        <w:t>2.6</w:t>
      </w:r>
      <w:r w:rsidR="005A1559">
        <w:rPr>
          <w:rFonts w:eastAsia="Calibri"/>
        </w:rPr>
        <w:t>5</w:t>
      </w:r>
      <w:r w:rsidR="00112DDF">
        <w:rPr>
          <w:rFonts w:eastAsia="Calibri"/>
        </w:rPr>
        <w:t xml:space="preserve"> per response</w:t>
      </w:r>
      <w:r w:rsidRPr="00B17713">
        <w:rPr>
          <w:rFonts w:eastAsia="Calibri"/>
        </w:rPr>
        <w:t>. This consists of 3 hours at $9</w:t>
      </w:r>
      <w:r w:rsidR="00436D3D">
        <w:rPr>
          <w:rFonts w:eastAsia="Calibri"/>
        </w:rPr>
        <w:t>8</w:t>
      </w:r>
      <w:r w:rsidR="0025773B">
        <w:rPr>
          <w:rFonts w:eastAsia="Calibri"/>
        </w:rPr>
        <w:t>.2</w:t>
      </w:r>
      <w:r w:rsidR="00436D3D">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 xml:space="preserve"> for a computer systems analyst (or their equivalent) to submit quality data along with 2 hours at $11</w:t>
      </w:r>
      <w:r w:rsidR="00436D3D">
        <w:rPr>
          <w:rFonts w:eastAsia="Calibri"/>
        </w:rPr>
        <w:t>5</w:t>
      </w:r>
      <w:r w:rsidR="0025773B">
        <w:rPr>
          <w:rFonts w:eastAsia="Calibri"/>
        </w:rPr>
        <w:t>.2</w:t>
      </w:r>
      <w:r w:rsidR="00436D3D">
        <w:rPr>
          <w:rFonts w:eastAsia="Calibri"/>
        </w:rPr>
        <w:t>2</w:t>
      </w:r>
      <w:r w:rsidRPr="00B17713">
        <w:rPr>
          <w:rFonts w:eastAsia="Calibri"/>
        </w:rPr>
        <w:t>/</w:t>
      </w:r>
      <w:proofErr w:type="spellStart"/>
      <w:r w:rsidRPr="00B17713">
        <w:rPr>
          <w:rFonts w:eastAsia="Calibri"/>
        </w:rPr>
        <w:t>hr</w:t>
      </w:r>
      <w:proofErr w:type="spellEnd"/>
      <w:r w:rsidRPr="00B17713">
        <w:rPr>
          <w:rFonts w:eastAsia="Calibri"/>
        </w:rPr>
        <w:t xml:space="preserve"> for a medical and health services manager, 1 hour at $9</w:t>
      </w:r>
      <w:r w:rsidR="00436D3D">
        <w:rPr>
          <w:rFonts w:eastAsia="Calibri"/>
        </w:rPr>
        <w:t>8</w:t>
      </w:r>
      <w:r w:rsidR="0025773B">
        <w:rPr>
          <w:rFonts w:eastAsia="Calibri"/>
        </w:rPr>
        <w:t>.2</w:t>
      </w:r>
      <w:r w:rsidR="00436D3D">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 xml:space="preserve"> for a computer systems analyst, 1 hour at $4</w:t>
      </w:r>
      <w:r w:rsidR="00436D3D">
        <w:rPr>
          <w:rFonts w:eastAsia="Calibri"/>
        </w:rPr>
        <w:t>9</w:t>
      </w:r>
      <w:r w:rsidR="00E74637">
        <w:rPr>
          <w:rFonts w:eastAsia="Calibri"/>
        </w:rPr>
        <w:t>.</w:t>
      </w:r>
      <w:r w:rsidR="00436D3D">
        <w:rPr>
          <w:rFonts w:eastAsia="Calibri"/>
        </w:rPr>
        <w:t>8</w:t>
      </w:r>
      <w:r w:rsidR="00E74637">
        <w:rPr>
          <w:rFonts w:eastAsia="Calibri"/>
        </w:rPr>
        <w:t>6</w:t>
      </w:r>
      <w:r w:rsidRPr="00B17713">
        <w:rPr>
          <w:rFonts w:eastAsia="Calibri"/>
        </w:rPr>
        <w:t>/</w:t>
      </w:r>
      <w:proofErr w:type="spellStart"/>
      <w:r w:rsidRPr="00B17713">
        <w:rPr>
          <w:rFonts w:eastAsia="Calibri"/>
        </w:rPr>
        <w:t>hr</w:t>
      </w:r>
      <w:proofErr w:type="spellEnd"/>
      <w:r w:rsidRPr="00B17713">
        <w:rPr>
          <w:rFonts w:eastAsia="Calibri"/>
        </w:rPr>
        <w:t xml:space="preserve"> for a LPN, 1 hour at $</w:t>
      </w:r>
      <w:r w:rsidR="00E74637">
        <w:rPr>
          <w:rFonts w:eastAsia="Calibri"/>
        </w:rPr>
        <w:t>4</w:t>
      </w:r>
      <w:r w:rsidR="00436D3D">
        <w:rPr>
          <w:rFonts w:eastAsia="Calibri"/>
        </w:rPr>
        <w:t>1</w:t>
      </w:r>
      <w:r w:rsidR="00E74637">
        <w:rPr>
          <w:rFonts w:eastAsia="Calibri"/>
        </w:rPr>
        <w:t>.</w:t>
      </w:r>
      <w:r w:rsidR="00436D3D">
        <w:rPr>
          <w:rFonts w:eastAsia="Calibri"/>
        </w:rPr>
        <w:t>1</w:t>
      </w:r>
      <w:r w:rsidR="00E74637">
        <w:rPr>
          <w:rFonts w:eastAsia="Calibri"/>
        </w:rPr>
        <w:t>0</w:t>
      </w:r>
      <w:r w:rsidRPr="00B17713">
        <w:rPr>
          <w:rFonts w:eastAsia="Calibri"/>
        </w:rPr>
        <w:t>/</w:t>
      </w:r>
      <w:proofErr w:type="spellStart"/>
      <w:r w:rsidRPr="00B17713">
        <w:rPr>
          <w:rFonts w:eastAsia="Calibri"/>
        </w:rPr>
        <w:t>hr</w:t>
      </w:r>
      <w:proofErr w:type="spellEnd"/>
      <w:r w:rsidRPr="00B17713">
        <w:rPr>
          <w:rFonts w:eastAsia="Calibri"/>
        </w:rPr>
        <w:t xml:space="preserve"> for a billing clerk, and 1 hour at $2</w:t>
      </w:r>
      <w:r w:rsidR="00F42C4C">
        <w:rPr>
          <w:rFonts w:eastAsia="Calibri"/>
        </w:rPr>
        <w:t>59</w:t>
      </w:r>
      <w:r w:rsidR="00E74637">
        <w:rPr>
          <w:rFonts w:eastAsia="Calibri"/>
        </w:rPr>
        <w:t>.</w:t>
      </w:r>
      <w:r w:rsidR="00F42C4C">
        <w:rPr>
          <w:rFonts w:eastAsia="Calibri"/>
        </w:rPr>
        <w:t>98</w:t>
      </w:r>
      <w:r w:rsidRPr="00B17713">
        <w:rPr>
          <w:rFonts w:eastAsia="Calibri"/>
        </w:rPr>
        <w:t>/</w:t>
      </w:r>
      <w:proofErr w:type="spellStart"/>
      <w:r w:rsidRPr="00B17713">
        <w:rPr>
          <w:rFonts w:eastAsia="Calibri"/>
        </w:rPr>
        <w:t>hr</w:t>
      </w:r>
      <w:proofErr w:type="spellEnd"/>
      <w:r w:rsidRPr="00B17713">
        <w:rPr>
          <w:rFonts w:eastAsia="Calibri"/>
        </w:rPr>
        <w:t xml:space="preserve">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$9</w:t>
      </w:r>
      <w:r w:rsidR="00EC568D">
        <w:rPr>
          <w:rFonts w:eastAsia="Calibri"/>
        </w:rPr>
        <w:t>8</w:t>
      </w:r>
      <w:r w:rsidR="00A33926">
        <w:rPr>
          <w:rFonts w:eastAsia="Calibri"/>
        </w:rPr>
        <w:t>.2</w:t>
      </w:r>
      <w:r w:rsidR="00EC568D">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 xml:space="preserve"> for a computer systems analyst at a cost of $</w:t>
      </w:r>
      <w:r w:rsidR="00EC568D">
        <w:rPr>
          <w:rFonts w:eastAsia="Calibri"/>
        </w:rPr>
        <w:t>8</w:t>
      </w:r>
      <w:r w:rsidRPr="00B17713">
        <w:rPr>
          <w:rFonts w:eastAsia="Calibri"/>
        </w:rPr>
        <w:t>.</w:t>
      </w:r>
      <w:r w:rsidR="00EC568D">
        <w:rPr>
          <w:rFonts w:eastAsia="Calibri"/>
        </w:rPr>
        <w:t>15</w:t>
      </w:r>
      <w:r w:rsidRPr="00B17713">
        <w:rPr>
          <w:rFonts w:eastAsia="Calibri"/>
        </w:rPr>
        <w:t xml:space="preserve"> (0.083 </w:t>
      </w:r>
      <w:proofErr w:type="spellStart"/>
      <w:r w:rsidRPr="00B17713">
        <w:rPr>
          <w:rFonts w:eastAsia="Calibri"/>
        </w:rPr>
        <w:t>hr</w:t>
      </w:r>
      <w:proofErr w:type="spellEnd"/>
      <w:r w:rsidRPr="00B17713">
        <w:rPr>
          <w:rFonts w:eastAsia="Calibri"/>
        </w:rPr>
        <w:t xml:space="preserve"> x $9</w:t>
      </w:r>
      <w:r w:rsidR="00EC568D">
        <w:rPr>
          <w:rFonts w:eastAsia="Calibri"/>
        </w:rPr>
        <w:t>8</w:t>
      </w:r>
      <w:r w:rsidR="00066FB6">
        <w:rPr>
          <w:rFonts w:eastAsia="Calibri"/>
        </w:rPr>
        <w:t>.2</w:t>
      </w:r>
      <w:r w:rsidR="00EC568D">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 Overall</w:t>
      </w:r>
      <w:r w:rsidR="00E36F4F">
        <w:rPr>
          <w:rFonts w:eastAsia="Calibri"/>
        </w:rPr>
        <w:t>,</w:t>
      </w:r>
      <w:r w:rsidRPr="00B17713">
        <w:rPr>
          <w:rFonts w:eastAsia="Calibri"/>
        </w:rPr>
        <w:t xml:space="preserve"> we estimate</w:t>
      </w:r>
      <w:r w:rsidR="005F4145">
        <w:rPr>
          <w:rFonts w:eastAsia="Calibri"/>
        </w:rPr>
        <w:t xml:space="preserve"> </w:t>
      </w:r>
      <w:r w:rsidR="005F4145">
        <w:rPr>
          <w:rStyle w:val="normaltextrun"/>
          <w:color w:val="000000"/>
          <w:shd w:val="clear" w:color="auto" w:fill="FFFFFF"/>
        </w:rPr>
        <w:t xml:space="preserve">9.083 </w:t>
      </w:r>
      <w:proofErr w:type="spellStart"/>
      <w:r w:rsidR="005F4145">
        <w:rPr>
          <w:rStyle w:val="normaltextrun"/>
          <w:color w:val="000000"/>
          <w:shd w:val="clear" w:color="auto" w:fill="FFFFFF"/>
        </w:rPr>
        <w:t>hrs</w:t>
      </w:r>
      <w:proofErr w:type="spellEnd"/>
      <w:r w:rsidR="005F4145">
        <w:rPr>
          <w:rStyle w:val="normaltextrun"/>
          <w:color w:val="000000"/>
          <w:shd w:val="clear" w:color="auto" w:fill="FFFFFF"/>
        </w:rPr>
        <w:t xml:space="preserve">/response (3 </w:t>
      </w:r>
      <w:proofErr w:type="spellStart"/>
      <w:r w:rsidR="005F4145">
        <w:rPr>
          <w:rStyle w:val="normaltextrun"/>
          <w:color w:val="000000"/>
          <w:shd w:val="clear" w:color="auto" w:fill="FFFFFF"/>
        </w:rPr>
        <w:t>hrs</w:t>
      </w:r>
      <w:proofErr w:type="spellEnd"/>
      <w:r w:rsidR="005F4145">
        <w:rPr>
          <w:rStyle w:val="normaltextrun"/>
          <w:color w:val="000000"/>
          <w:shd w:val="clear" w:color="auto" w:fill="FFFFFF"/>
        </w:rPr>
        <w:t xml:space="preserve"> + 2 </w:t>
      </w:r>
      <w:proofErr w:type="spellStart"/>
      <w:r w:rsidR="005F4145">
        <w:rPr>
          <w:rStyle w:val="normaltextrun"/>
          <w:color w:val="000000"/>
          <w:shd w:val="clear" w:color="auto" w:fill="FFFFFF"/>
        </w:rPr>
        <w:t>hrs</w:t>
      </w:r>
      <w:proofErr w:type="spellEnd"/>
      <w:r w:rsidR="005F4145">
        <w:rPr>
          <w:rStyle w:val="normaltextrun"/>
          <w:color w:val="000000"/>
          <w:shd w:val="clear" w:color="auto" w:fill="FFFFFF"/>
        </w:rPr>
        <w:t xml:space="preserve"> + 1 </w:t>
      </w:r>
      <w:proofErr w:type="spellStart"/>
      <w:r w:rsidR="005F4145">
        <w:rPr>
          <w:rStyle w:val="normaltextrun"/>
          <w:color w:val="000000"/>
          <w:shd w:val="clear" w:color="auto" w:fill="FFFFFF"/>
        </w:rPr>
        <w:t>hr</w:t>
      </w:r>
      <w:proofErr w:type="spellEnd"/>
      <w:r w:rsidR="005F4145">
        <w:rPr>
          <w:rStyle w:val="normaltextrun"/>
          <w:color w:val="000000"/>
          <w:shd w:val="clear" w:color="auto" w:fill="FFFFFF"/>
        </w:rPr>
        <w:t xml:space="preserve"> + 1 </w:t>
      </w:r>
      <w:proofErr w:type="spellStart"/>
      <w:r w:rsidR="005F4145">
        <w:rPr>
          <w:rStyle w:val="normaltextrun"/>
          <w:color w:val="000000"/>
          <w:shd w:val="clear" w:color="auto" w:fill="FFFFFF"/>
        </w:rPr>
        <w:t>hr</w:t>
      </w:r>
      <w:proofErr w:type="spellEnd"/>
      <w:r w:rsidR="005F4145">
        <w:rPr>
          <w:rStyle w:val="normaltextrun"/>
          <w:color w:val="000000"/>
          <w:shd w:val="clear" w:color="auto" w:fill="FFFFFF"/>
        </w:rPr>
        <w:t xml:space="preserve"> + 1 </w:t>
      </w:r>
      <w:proofErr w:type="spellStart"/>
      <w:r w:rsidR="005F4145">
        <w:rPr>
          <w:rStyle w:val="normaltextrun"/>
          <w:color w:val="000000"/>
          <w:shd w:val="clear" w:color="auto" w:fill="FFFFFF"/>
        </w:rPr>
        <w:t>hr</w:t>
      </w:r>
      <w:proofErr w:type="spellEnd"/>
      <w:r w:rsidR="005F4145">
        <w:rPr>
          <w:rStyle w:val="normaltextrun"/>
          <w:color w:val="000000"/>
          <w:shd w:val="clear" w:color="auto" w:fill="FFFFFF"/>
        </w:rPr>
        <w:t xml:space="preserve"> + 1 </w:t>
      </w:r>
      <w:proofErr w:type="spellStart"/>
      <w:r w:rsidR="005F4145">
        <w:rPr>
          <w:rStyle w:val="normaltextrun"/>
          <w:color w:val="000000"/>
          <w:shd w:val="clear" w:color="auto" w:fill="FFFFFF"/>
        </w:rPr>
        <w:t>hr</w:t>
      </w:r>
      <w:proofErr w:type="spellEnd"/>
      <w:r w:rsidR="005F4145">
        <w:rPr>
          <w:rStyle w:val="normaltextrun"/>
          <w:color w:val="000000"/>
          <w:shd w:val="clear" w:color="auto" w:fill="FFFFFF"/>
        </w:rPr>
        <w:t xml:space="preserve"> + 0.083 </w:t>
      </w:r>
      <w:proofErr w:type="spellStart"/>
      <w:r w:rsidR="005F4145">
        <w:rPr>
          <w:rStyle w:val="normaltextrun"/>
          <w:color w:val="000000"/>
          <w:shd w:val="clear" w:color="auto" w:fill="FFFFFF"/>
        </w:rPr>
        <w:t>hrs</w:t>
      </w:r>
      <w:proofErr w:type="spellEnd"/>
      <w:r w:rsidR="005F4145">
        <w:rPr>
          <w:rStyle w:val="normaltextrun"/>
          <w:color w:val="000000"/>
          <w:shd w:val="clear" w:color="auto" w:fill="FFFFFF"/>
        </w:rPr>
        <w:t>) at</w:t>
      </w:r>
      <w:r w:rsidRPr="00B17713">
        <w:rPr>
          <w:rFonts w:eastAsia="Calibri"/>
        </w:rPr>
        <w:t xml:space="preserve"> a cost of $</w:t>
      </w:r>
      <w:r w:rsidR="004E6D65">
        <w:rPr>
          <w:rFonts w:eastAsia="Calibri"/>
        </w:rPr>
        <w:t>9</w:t>
      </w:r>
      <w:r w:rsidR="00955438">
        <w:rPr>
          <w:rFonts w:eastAsia="Calibri"/>
        </w:rPr>
        <w:t>8</w:t>
      </w:r>
      <w:r w:rsidR="004E6D65">
        <w:rPr>
          <w:rFonts w:eastAsia="Calibri"/>
        </w:rPr>
        <w:t>2.6</w:t>
      </w:r>
      <w:r w:rsidR="00955438">
        <w:rPr>
          <w:rFonts w:eastAsia="Calibri"/>
        </w:rPr>
        <w:t>5</w:t>
      </w:r>
      <w:r w:rsidRPr="00B17713">
        <w:rPr>
          <w:rFonts w:eastAsia="Calibri"/>
        </w:rPr>
        <w:t xml:space="preserve">/response [(3 </w:t>
      </w:r>
      <w:proofErr w:type="spellStart"/>
      <w:r w:rsidRPr="00B17713">
        <w:rPr>
          <w:rFonts w:eastAsia="Calibri"/>
        </w:rPr>
        <w:t>hr</w:t>
      </w:r>
      <w:proofErr w:type="spellEnd"/>
      <w:r w:rsidRPr="00B17713">
        <w:rPr>
          <w:rFonts w:eastAsia="Calibri"/>
        </w:rPr>
        <w:t xml:space="preserve"> x $9</w:t>
      </w:r>
      <w:r w:rsidR="002D1705">
        <w:rPr>
          <w:rFonts w:eastAsia="Calibri"/>
        </w:rPr>
        <w:t>8</w:t>
      </w:r>
      <w:r w:rsidR="004E6D65">
        <w:rPr>
          <w:rFonts w:eastAsia="Calibri"/>
        </w:rPr>
        <w:t>.2</w:t>
      </w:r>
      <w:r w:rsidR="002D1705">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 xml:space="preserve">) + (2 </w:t>
      </w:r>
      <w:proofErr w:type="spellStart"/>
      <w:r w:rsidRPr="00B17713">
        <w:rPr>
          <w:rFonts w:eastAsia="Calibri"/>
        </w:rPr>
        <w:t>hr</w:t>
      </w:r>
      <w:proofErr w:type="spellEnd"/>
      <w:r w:rsidRPr="00B17713">
        <w:rPr>
          <w:rFonts w:eastAsia="Calibri"/>
        </w:rPr>
        <w:t xml:space="preserve"> x $11</w:t>
      </w:r>
      <w:r w:rsidR="002D1705">
        <w:rPr>
          <w:rFonts w:eastAsia="Calibri"/>
        </w:rPr>
        <w:t>5</w:t>
      </w:r>
      <w:r w:rsidR="004E6D65">
        <w:rPr>
          <w:rFonts w:eastAsia="Calibri"/>
        </w:rPr>
        <w:t>.2</w:t>
      </w:r>
      <w:r w:rsidR="002D1705">
        <w:rPr>
          <w:rFonts w:eastAsia="Calibri"/>
        </w:rPr>
        <w:t>2</w:t>
      </w:r>
      <w:r w:rsidRPr="00B17713">
        <w:rPr>
          <w:rFonts w:eastAsia="Calibri"/>
        </w:rPr>
        <w:t>/</w:t>
      </w:r>
      <w:proofErr w:type="spellStart"/>
      <w:r w:rsidRPr="00B17713">
        <w:rPr>
          <w:rFonts w:eastAsia="Calibri"/>
        </w:rPr>
        <w:t>hr</w:t>
      </w:r>
      <w:proofErr w:type="spellEnd"/>
      <w:r w:rsidRPr="00B17713">
        <w:rPr>
          <w:rFonts w:eastAsia="Calibri"/>
        </w:rPr>
        <w:t xml:space="preserve">) + (1 </w:t>
      </w:r>
      <w:proofErr w:type="spellStart"/>
      <w:r w:rsidRPr="00B17713">
        <w:rPr>
          <w:rFonts w:eastAsia="Calibri"/>
        </w:rPr>
        <w:t>hr</w:t>
      </w:r>
      <w:proofErr w:type="spellEnd"/>
      <w:r w:rsidRPr="00B17713">
        <w:rPr>
          <w:rFonts w:eastAsia="Calibri"/>
        </w:rPr>
        <w:t xml:space="preserve"> x $2</w:t>
      </w:r>
      <w:r w:rsidR="002D1705">
        <w:rPr>
          <w:rFonts w:eastAsia="Calibri"/>
        </w:rPr>
        <w:t>59</w:t>
      </w:r>
      <w:r w:rsidR="004E6D65">
        <w:rPr>
          <w:rFonts w:eastAsia="Calibri"/>
        </w:rPr>
        <w:t>.</w:t>
      </w:r>
      <w:r w:rsidR="002D1705">
        <w:rPr>
          <w:rFonts w:eastAsia="Calibri"/>
        </w:rPr>
        <w:t>98</w:t>
      </w:r>
      <w:r w:rsidRPr="00B17713">
        <w:rPr>
          <w:rFonts w:eastAsia="Calibri"/>
        </w:rPr>
        <w:t>/</w:t>
      </w:r>
      <w:proofErr w:type="spellStart"/>
      <w:r w:rsidRPr="00B17713">
        <w:rPr>
          <w:rFonts w:eastAsia="Calibri"/>
        </w:rPr>
        <w:t>hr</w:t>
      </w:r>
      <w:proofErr w:type="spellEnd"/>
      <w:r w:rsidRPr="00B17713">
        <w:rPr>
          <w:rFonts w:eastAsia="Calibri"/>
        </w:rPr>
        <w:t xml:space="preserve">) + (1 </w:t>
      </w:r>
      <w:proofErr w:type="spellStart"/>
      <w:r w:rsidRPr="00B17713">
        <w:rPr>
          <w:rFonts w:eastAsia="Calibri"/>
        </w:rPr>
        <w:t>hr</w:t>
      </w:r>
      <w:proofErr w:type="spellEnd"/>
      <w:r w:rsidRPr="00B17713">
        <w:rPr>
          <w:rFonts w:eastAsia="Calibri"/>
        </w:rPr>
        <w:t xml:space="preserve"> x $9</w:t>
      </w:r>
      <w:r w:rsidR="002D1705">
        <w:rPr>
          <w:rFonts w:eastAsia="Calibri"/>
        </w:rPr>
        <w:t>8</w:t>
      </w:r>
      <w:r w:rsidR="004E6D65">
        <w:rPr>
          <w:rFonts w:eastAsia="Calibri"/>
        </w:rPr>
        <w:t>.2</w:t>
      </w:r>
      <w:r w:rsidR="002D1705">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 xml:space="preserve">) + (1 </w:t>
      </w:r>
      <w:proofErr w:type="spellStart"/>
      <w:r w:rsidRPr="00B17713">
        <w:rPr>
          <w:rFonts w:eastAsia="Calibri"/>
        </w:rPr>
        <w:t>hr</w:t>
      </w:r>
      <w:proofErr w:type="spellEnd"/>
      <w:r w:rsidRPr="00B17713">
        <w:rPr>
          <w:rFonts w:eastAsia="Calibri"/>
        </w:rPr>
        <w:t xml:space="preserve"> x $4</w:t>
      </w:r>
      <w:r w:rsidR="002D1705">
        <w:rPr>
          <w:rFonts w:eastAsia="Calibri"/>
        </w:rPr>
        <w:t>9</w:t>
      </w:r>
      <w:r w:rsidR="004E6D65">
        <w:rPr>
          <w:rFonts w:eastAsia="Calibri"/>
        </w:rPr>
        <w:t>.</w:t>
      </w:r>
      <w:r w:rsidR="002D1705">
        <w:rPr>
          <w:rFonts w:eastAsia="Calibri"/>
        </w:rPr>
        <w:t>8</w:t>
      </w:r>
      <w:r w:rsidR="009871F7">
        <w:rPr>
          <w:rFonts w:eastAsia="Calibri"/>
        </w:rPr>
        <w:t>6</w:t>
      </w:r>
      <w:r w:rsidRPr="00B17713">
        <w:rPr>
          <w:rFonts w:eastAsia="Calibri"/>
        </w:rPr>
        <w:t>/</w:t>
      </w:r>
      <w:proofErr w:type="spellStart"/>
      <w:r w:rsidRPr="00B17713">
        <w:rPr>
          <w:rFonts w:eastAsia="Calibri"/>
        </w:rPr>
        <w:t>hr</w:t>
      </w:r>
      <w:proofErr w:type="spellEnd"/>
      <w:r w:rsidRPr="00B17713">
        <w:rPr>
          <w:rFonts w:eastAsia="Calibri"/>
        </w:rPr>
        <w:t xml:space="preserve">) + (1 </w:t>
      </w:r>
      <w:proofErr w:type="spellStart"/>
      <w:r w:rsidRPr="00B17713">
        <w:rPr>
          <w:rFonts w:eastAsia="Calibri"/>
        </w:rPr>
        <w:t>hr</w:t>
      </w:r>
      <w:proofErr w:type="spellEnd"/>
      <w:r w:rsidRPr="00B17713">
        <w:rPr>
          <w:rFonts w:eastAsia="Calibri"/>
        </w:rPr>
        <w:t xml:space="preserve"> x $</w:t>
      </w:r>
      <w:r w:rsidR="009871F7">
        <w:rPr>
          <w:rFonts w:eastAsia="Calibri"/>
        </w:rPr>
        <w:t>4</w:t>
      </w:r>
      <w:r w:rsidR="002D1705">
        <w:rPr>
          <w:rFonts w:eastAsia="Calibri"/>
        </w:rPr>
        <w:t>1</w:t>
      </w:r>
      <w:r w:rsidR="009871F7">
        <w:rPr>
          <w:rFonts w:eastAsia="Calibri"/>
        </w:rPr>
        <w:t>.</w:t>
      </w:r>
      <w:r w:rsidR="002D1705">
        <w:rPr>
          <w:rFonts w:eastAsia="Calibri"/>
        </w:rPr>
        <w:t>1</w:t>
      </w:r>
      <w:r w:rsidR="009871F7">
        <w:rPr>
          <w:rFonts w:eastAsia="Calibri"/>
        </w:rPr>
        <w:t>0</w:t>
      </w:r>
      <w:r w:rsidRPr="00B17713">
        <w:rPr>
          <w:rFonts w:eastAsia="Calibri"/>
        </w:rPr>
        <w:t>/</w:t>
      </w:r>
      <w:proofErr w:type="spellStart"/>
      <w:r w:rsidRPr="00B17713">
        <w:rPr>
          <w:rFonts w:eastAsia="Calibri"/>
        </w:rPr>
        <w:t>hr</w:t>
      </w:r>
      <w:proofErr w:type="spellEnd"/>
      <w:r w:rsidRPr="00B17713">
        <w:rPr>
          <w:rFonts w:eastAsia="Calibri"/>
        </w:rPr>
        <w:t xml:space="preserve">) + (0.083 </w:t>
      </w:r>
      <w:proofErr w:type="spellStart"/>
      <w:r w:rsidRPr="00B17713">
        <w:rPr>
          <w:rFonts w:eastAsia="Calibri"/>
        </w:rPr>
        <w:t>hr</w:t>
      </w:r>
      <w:proofErr w:type="spellEnd"/>
      <w:r w:rsidRPr="00B17713">
        <w:rPr>
          <w:rFonts w:eastAsia="Calibri"/>
        </w:rPr>
        <w:t xml:space="preserve"> x $9</w:t>
      </w:r>
      <w:r w:rsidR="00316BEB">
        <w:rPr>
          <w:rFonts w:eastAsia="Calibri"/>
        </w:rPr>
        <w:t>8</w:t>
      </w:r>
      <w:r w:rsidR="009871F7">
        <w:rPr>
          <w:rFonts w:eastAsia="Calibri"/>
        </w:rPr>
        <w:t>.2</w:t>
      </w:r>
      <w:r w:rsidR="00316BEB">
        <w:rPr>
          <w:rFonts w:eastAsia="Calibri"/>
        </w:rPr>
        <w:t>8</w:t>
      </w:r>
      <w:r w:rsidRPr="00B17713">
        <w:rPr>
          <w:rFonts w:eastAsia="Calibri"/>
        </w:rPr>
        <w:t>/</w:t>
      </w:r>
      <w:proofErr w:type="spellStart"/>
      <w:r w:rsidRPr="00B17713">
        <w:rPr>
          <w:rFonts w:eastAsia="Calibri"/>
        </w:rPr>
        <w:t>hr</w:t>
      </w:r>
      <w:proofErr w:type="spellEnd"/>
      <w:r w:rsidRPr="00B17713">
        <w:rPr>
          <w:rFonts w:eastAsia="Calibri"/>
        </w:rPr>
        <w:t>)]</w:t>
      </w:r>
      <w:r w:rsidRPr="00350382" w:rsidR="00350382">
        <w:rPr>
          <w:rFonts w:eastAsia="Calibri"/>
        </w:rPr>
        <w:t xml:space="preserve">.  </w:t>
      </w:r>
    </w:p>
    <w:p w:rsidRPr="00871E51" w:rsidR="002D76B5" w:rsidP="00380B9C" w:rsidRDefault="00C800A1" w14:paraId="4962B367" w14:textId="4DDDB966">
      <w:pPr>
        <w:rPr>
          <w:rFonts w:eastAsia="Calibri"/>
        </w:rPr>
      </w:pPr>
      <w:r>
        <w:rPr>
          <w:rFonts w:eastAsia="Calibri"/>
        </w:rPr>
        <w:t>As shown in Table 10, f</w:t>
      </w:r>
      <w:r w:rsidRPr="00584388" w:rsidR="00584388">
        <w:rPr>
          <w:rFonts w:eastAsia="Calibri"/>
        </w:rPr>
        <w:t>or the CY 202</w:t>
      </w:r>
      <w:r>
        <w:rPr>
          <w:rFonts w:eastAsia="Calibri"/>
        </w:rPr>
        <w:t>3</w:t>
      </w:r>
      <w:r w:rsidRPr="00584388" w:rsidR="00584388">
        <w:rPr>
          <w:rFonts w:eastAsia="Calibri"/>
        </w:rPr>
        <w:t xml:space="preserve"> performance period/202</w:t>
      </w:r>
      <w:r>
        <w:rPr>
          <w:rFonts w:eastAsia="Calibri"/>
        </w:rPr>
        <w:t>5</w:t>
      </w:r>
      <w:r w:rsidRPr="00584388" w:rsidR="00584388">
        <w:rPr>
          <w:rFonts w:eastAsia="Calibri"/>
        </w:rPr>
        <w:t xml:space="preserve"> MIPS payment year</w:t>
      </w:r>
      <w:r w:rsidR="00584388">
        <w:rPr>
          <w:rFonts w:eastAsia="Calibri"/>
        </w:rPr>
        <w:t>, i</w:t>
      </w:r>
      <w:r w:rsidRPr="006B20F0" w:rsidR="006B20F0">
        <w:rPr>
          <w:rFonts w:eastAsia="Calibri"/>
        </w:rPr>
        <w:t xml:space="preserve">n aggregate, we estimate a burden of </w:t>
      </w:r>
      <w:r w:rsidRPr="00871E51" w:rsidR="00C26A3A">
        <w:rPr>
          <w:rFonts w:eastAsia="Calibri"/>
        </w:rPr>
        <w:t>4</w:t>
      </w:r>
      <w:r>
        <w:rPr>
          <w:rFonts w:eastAsia="Calibri"/>
        </w:rPr>
        <w:t>3</w:t>
      </w:r>
      <w:r w:rsidRPr="00871E51" w:rsidR="00C26A3A">
        <w:rPr>
          <w:rFonts w:eastAsia="Calibri"/>
        </w:rPr>
        <w:t>2,</w:t>
      </w:r>
      <w:r>
        <w:rPr>
          <w:rFonts w:eastAsia="Calibri"/>
        </w:rPr>
        <w:t>205</w:t>
      </w:r>
      <w:r w:rsidRPr="00871E51" w:rsidR="00C26A3A">
        <w:rPr>
          <w:rFonts w:eastAsia="Calibri"/>
        </w:rPr>
        <w:t xml:space="preserve"> </w:t>
      </w:r>
      <w:r w:rsidRPr="006B20F0" w:rsidR="006B20F0">
        <w:rPr>
          <w:rFonts w:eastAsia="Calibri"/>
        </w:rPr>
        <w:t>hours [9.08</w:t>
      </w:r>
      <w:r>
        <w:rPr>
          <w:rFonts w:eastAsia="Calibri"/>
        </w:rPr>
        <w:t>3</w:t>
      </w:r>
      <w:r w:rsidR="00A66D31">
        <w:rPr>
          <w:rFonts w:eastAsia="Calibri"/>
        </w:rPr>
        <w:t xml:space="preserve"> </w:t>
      </w:r>
      <w:proofErr w:type="spellStart"/>
      <w:r w:rsidRPr="006B20F0" w:rsidR="006B20F0">
        <w:rPr>
          <w:rFonts w:eastAsia="Calibri"/>
        </w:rPr>
        <w:t>hr</w:t>
      </w:r>
      <w:proofErr w:type="spellEnd"/>
      <w:r w:rsidRPr="006B20F0" w:rsidR="006B20F0">
        <w:rPr>
          <w:rFonts w:eastAsia="Calibri"/>
        </w:rPr>
        <w:t>/response x (</w:t>
      </w:r>
      <w:r w:rsidR="001F3CFA">
        <w:rPr>
          <w:rFonts w:eastAsia="Calibri"/>
        </w:rPr>
        <w:t>37</w:t>
      </w:r>
      <w:r w:rsidR="00547BF0">
        <w:rPr>
          <w:rFonts w:eastAsia="Calibri"/>
        </w:rPr>
        <w:t>,</w:t>
      </w:r>
      <w:r w:rsidR="001F3CFA">
        <w:rPr>
          <w:rFonts w:eastAsia="Calibri"/>
        </w:rPr>
        <w:t>3</w:t>
      </w:r>
      <w:r w:rsidR="00547BF0">
        <w:rPr>
          <w:rFonts w:eastAsia="Calibri"/>
        </w:rPr>
        <w:t>0</w:t>
      </w:r>
      <w:r w:rsidR="001F3CFA">
        <w:rPr>
          <w:rFonts w:eastAsia="Calibri"/>
        </w:rPr>
        <w:t>6</w:t>
      </w:r>
      <w:r w:rsidRPr="006B20F0" w:rsidR="006B20F0">
        <w:rPr>
          <w:rFonts w:eastAsia="Calibri"/>
        </w:rPr>
        <w:t xml:space="preserve"> clinicians submitting as individuals + 1</w:t>
      </w:r>
      <w:r w:rsidR="00652D98">
        <w:rPr>
          <w:rFonts w:eastAsia="Calibri"/>
        </w:rPr>
        <w:t>0</w:t>
      </w:r>
      <w:r w:rsidRPr="006B20F0" w:rsidR="006B20F0">
        <w:rPr>
          <w:rFonts w:eastAsia="Calibri"/>
        </w:rPr>
        <w:t>,</w:t>
      </w:r>
      <w:r w:rsidR="00652D98">
        <w:rPr>
          <w:rFonts w:eastAsia="Calibri"/>
        </w:rPr>
        <w:t>278</w:t>
      </w:r>
      <w:r w:rsidR="00B40762">
        <w:rPr>
          <w:rFonts w:eastAsia="Calibri"/>
        </w:rPr>
        <w:t xml:space="preserve"> </w:t>
      </w:r>
      <w:r w:rsidRPr="006B20F0" w:rsidR="006B20F0">
        <w:rPr>
          <w:rFonts w:eastAsia="Calibri"/>
        </w:rPr>
        <w:t xml:space="preserve">groups submitting via QCDR or MIPS CQM on behalf of individual clinicians or </w:t>
      </w:r>
      <w:r w:rsidR="00652D98">
        <w:rPr>
          <w:rFonts w:eastAsia="Calibri"/>
        </w:rPr>
        <w:t>47</w:t>
      </w:r>
      <w:r w:rsidRPr="006B20F0" w:rsidR="006B20F0">
        <w:rPr>
          <w:rFonts w:eastAsia="Calibri"/>
        </w:rPr>
        <w:t>,</w:t>
      </w:r>
      <w:r w:rsidR="00652D98">
        <w:rPr>
          <w:rFonts w:eastAsia="Calibri"/>
        </w:rPr>
        <w:t>584</w:t>
      </w:r>
      <w:r w:rsidRPr="006B20F0" w:rsidR="006B20F0">
        <w:rPr>
          <w:rFonts w:eastAsia="Calibri"/>
        </w:rPr>
        <w:t xml:space="preserve"> responses)] at a cost of $4</w:t>
      </w:r>
      <w:r w:rsidR="00964282">
        <w:rPr>
          <w:rFonts w:eastAsia="Calibri"/>
        </w:rPr>
        <w:t>6</w:t>
      </w:r>
      <w:r w:rsidR="00A835FC">
        <w:rPr>
          <w:rFonts w:eastAsia="Calibri"/>
        </w:rPr>
        <w:t>,</w:t>
      </w:r>
      <w:r w:rsidR="00964282">
        <w:rPr>
          <w:rFonts w:eastAsia="Calibri"/>
        </w:rPr>
        <w:t>758</w:t>
      </w:r>
      <w:r w:rsidR="00A835FC">
        <w:rPr>
          <w:rFonts w:eastAsia="Calibri"/>
        </w:rPr>
        <w:t>,</w:t>
      </w:r>
      <w:r w:rsidR="00964282">
        <w:rPr>
          <w:rFonts w:eastAsia="Calibri"/>
        </w:rPr>
        <w:t>418</w:t>
      </w:r>
      <w:r w:rsidR="00A835FC">
        <w:rPr>
          <w:rFonts w:eastAsia="Calibri"/>
        </w:rPr>
        <w:t xml:space="preserve"> </w:t>
      </w:r>
      <w:r w:rsidRPr="006B20F0" w:rsidR="006B20F0">
        <w:rPr>
          <w:rFonts w:eastAsia="Calibri"/>
        </w:rPr>
        <w:t>(</w:t>
      </w:r>
      <w:r w:rsidR="00964282">
        <w:rPr>
          <w:rFonts w:eastAsia="Calibri"/>
        </w:rPr>
        <w:t>47</w:t>
      </w:r>
      <w:r w:rsidR="00530D01">
        <w:rPr>
          <w:rFonts w:eastAsia="Calibri"/>
        </w:rPr>
        <w:t>,</w:t>
      </w:r>
      <w:r w:rsidR="00964282">
        <w:rPr>
          <w:rFonts w:eastAsia="Calibri"/>
        </w:rPr>
        <w:t>584</w:t>
      </w:r>
      <w:r w:rsidRPr="006B20F0" w:rsidR="006B20F0">
        <w:rPr>
          <w:rFonts w:eastAsia="Calibri"/>
        </w:rPr>
        <w:t xml:space="preserve"> responses x $</w:t>
      </w:r>
      <w:r w:rsidR="00530D01">
        <w:rPr>
          <w:rFonts w:eastAsia="Calibri"/>
        </w:rPr>
        <w:t>9</w:t>
      </w:r>
      <w:r w:rsidR="00A5044E">
        <w:rPr>
          <w:rFonts w:eastAsia="Calibri"/>
        </w:rPr>
        <w:t>8</w:t>
      </w:r>
      <w:r w:rsidR="00530D01">
        <w:rPr>
          <w:rFonts w:eastAsia="Calibri"/>
        </w:rPr>
        <w:t>2.6</w:t>
      </w:r>
      <w:r w:rsidR="00A5044E">
        <w:rPr>
          <w:rFonts w:eastAsia="Calibri"/>
        </w:rPr>
        <w:t>5</w:t>
      </w:r>
      <w:r w:rsidRPr="006B20F0" w:rsidR="006B20F0">
        <w:rPr>
          <w:rFonts w:eastAsia="Calibri"/>
        </w:rPr>
        <w:t>/response)</w:t>
      </w:r>
      <w:r w:rsidR="002D76B5">
        <w:rPr>
          <w:rFonts w:eastAsia="Calibri"/>
        </w:rPr>
        <w:t>.</w:t>
      </w:r>
      <w:r w:rsidRPr="002D76B5" w:rsidR="002D76B5">
        <w:rPr>
          <w:rFonts w:eastAsia="Calibri"/>
        </w:rPr>
        <w:t xml:space="preserve"> </w:t>
      </w:r>
    </w:p>
    <w:p w:rsidRPr="00C47150" w:rsidR="00C351ED" w:rsidP="00F37138" w:rsidRDefault="00C351ED" w14:paraId="3F53AADF" w14:textId="2D6B327A">
      <w:pPr>
        <w:keepNext/>
        <w:keepLines/>
        <w:spacing w:after="0"/>
        <w:jc w:val="center"/>
        <w:rPr>
          <w:b/>
        </w:rPr>
      </w:pPr>
      <w:r w:rsidRPr="00C47150">
        <w:rPr>
          <w:b/>
        </w:rPr>
        <w:t xml:space="preserve">TABLE </w:t>
      </w:r>
      <w:r w:rsidR="00CA1C83">
        <w:rPr>
          <w:b/>
        </w:rPr>
        <w:t>10</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0052171D">
        <w:rPr>
          <w:b/>
        </w:rPr>
        <w:t xml:space="preserve"> and </w:t>
      </w:r>
      <w:r w:rsidRPr="00C47150">
        <w:rPr>
          <w:b/>
        </w:rPr>
        <w:t>QCDR Collection Type</w:t>
      </w:r>
    </w:p>
    <w:tbl>
      <w:tblPr>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5"/>
        <w:gridCol w:w="2430"/>
      </w:tblGrid>
      <w:tr w:rsidRPr="00C47150" w:rsidR="00045313" w:rsidTr="00143674" w14:paraId="14827F76" w14:textId="6DDA0092">
        <w:trPr>
          <w:cantSplit/>
          <w:trHeight w:val="467"/>
          <w:tblHeader/>
          <w:jc w:val="center"/>
        </w:trPr>
        <w:tc>
          <w:tcPr>
            <w:tcW w:w="6305" w:type="dxa"/>
            <w:shd w:val="clear" w:color="auto" w:fill="auto"/>
            <w:vAlign w:val="center"/>
            <w:hideMark/>
          </w:tcPr>
          <w:p w:rsidRPr="00C351ED" w:rsidR="00045313" w:rsidP="00F37138" w:rsidRDefault="00045313" w14:paraId="07CF05E1" w14:textId="035601BB">
            <w:pPr>
              <w:keepNext/>
              <w:keepLines/>
              <w:spacing w:after="0"/>
              <w:rPr>
                <w:b/>
                <w:sz w:val="20"/>
                <w:szCs w:val="20"/>
              </w:rPr>
            </w:pPr>
            <w:r w:rsidRPr="001742C7">
              <w:rPr>
                <w:sz w:val="20"/>
                <w:szCs w:val="20"/>
              </w:rPr>
              <w:t> </w:t>
            </w:r>
            <w:r w:rsidRPr="00C351ED">
              <w:rPr>
                <w:b/>
                <w:sz w:val="20"/>
                <w:szCs w:val="20"/>
              </w:rPr>
              <w:t>Burden and Respondent Descriptions</w:t>
            </w:r>
          </w:p>
        </w:tc>
        <w:tc>
          <w:tcPr>
            <w:tcW w:w="2430" w:type="dxa"/>
          </w:tcPr>
          <w:p w:rsidRPr="001742C7" w:rsidR="00045313" w:rsidP="00F37138" w:rsidRDefault="00045313" w14:paraId="5F54DCBE" w14:textId="047C3EFA">
            <w:pPr>
              <w:keepNext/>
              <w:keepLines/>
              <w:spacing w:after="0"/>
              <w:jc w:val="center"/>
              <w:rPr>
                <w:b/>
                <w:sz w:val="20"/>
                <w:szCs w:val="20"/>
              </w:rPr>
            </w:pPr>
            <w:r w:rsidRPr="00CC1878">
              <w:rPr>
                <w:b/>
                <w:sz w:val="20"/>
                <w:szCs w:val="20"/>
              </w:rPr>
              <w:t>Burden Estimate</w:t>
            </w:r>
          </w:p>
        </w:tc>
      </w:tr>
      <w:tr w:rsidRPr="00C47150" w:rsidR="00045313" w:rsidTr="00143674" w14:paraId="7607FF30" w14:textId="394BAF89">
        <w:trPr>
          <w:cantSplit/>
          <w:trHeight w:val="315"/>
          <w:jc w:val="center"/>
        </w:trPr>
        <w:tc>
          <w:tcPr>
            <w:tcW w:w="6305" w:type="dxa"/>
            <w:tcBorders>
              <w:top w:val="single" w:color="auto" w:sz="4" w:space="0"/>
              <w:left w:val="single" w:color="auto" w:sz="4" w:space="0"/>
              <w:bottom w:val="single" w:color="auto" w:sz="4" w:space="0"/>
              <w:right w:val="single" w:color="auto" w:sz="4" w:space="0"/>
            </w:tcBorders>
            <w:shd w:val="clear" w:color="auto" w:fill="auto"/>
            <w:hideMark/>
          </w:tcPr>
          <w:p w:rsidRPr="001742C7" w:rsidR="00045313" w:rsidP="00F37138" w:rsidRDefault="00045313" w14:paraId="6D609B38" w14:textId="77777777">
            <w:pPr>
              <w:keepNext/>
              <w:keepLines/>
              <w:spacing w:after="0"/>
              <w:rPr>
                <w:sz w:val="20"/>
                <w:szCs w:val="20"/>
              </w:rPr>
            </w:pPr>
            <w:r w:rsidRPr="00732012">
              <w:rPr>
                <w:sz w:val="20"/>
                <w:szCs w:val="20"/>
              </w:rPr>
              <w:t># of clinicians submitting as individuals (a)</w:t>
            </w:r>
          </w:p>
        </w:tc>
        <w:tc>
          <w:tcPr>
            <w:tcW w:w="2430" w:type="dxa"/>
            <w:tcBorders>
              <w:top w:val="single" w:color="auto" w:sz="4" w:space="0"/>
              <w:left w:val="single" w:color="auto" w:sz="4" w:space="0"/>
              <w:bottom w:val="single" w:color="auto" w:sz="4" w:space="0"/>
              <w:right w:val="single" w:color="auto" w:sz="4" w:space="0"/>
            </w:tcBorders>
          </w:tcPr>
          <w:p w:rsidRPr="00EC04A5" w:rsidR="00045313" w:rsidP="00F37138" w:rsidRDefault="00045313" w14:paraId="2799FA61" w14:textId="6ED4D14E">
            <w:pPr>
              <w:keepNext/>
              <w:keepLines/>
              <w:spacing w:after="0"/>
              <w:rPr>
                <w:sz w:val="20"/>
                <w:szCs w:val="20"/>
              </w:rPr>
            </w:pPr>
            <w:r>
              <w:rPr>
                <w:sz w:val="20"/>
                <w:szCs w:val="20"/>
              </w:rPr>
              <w:t>3</w:t>
            </w:r>
            <w:r w:rsidR="00A15F53">
              <w:rPr>
                <w:sz w:val="20"/>
                <w:szCs w:val="20"/>
              </w:rPr>
              <w:t>7</w:t>
            </w:r>
            <w:r>
              <w:rPr>
                <w:sz w:val="20"/>
                <w:szCs w:val="20"/>
              </w:rPr>
              <w:t>,</w:t>
            </w:r>
            <w:r w:rsidR="00A15F53">
              <w:rPr>
                <w:sz w:val="20"/>
                <w:szCs w:val="20"/>
              </w:rPr>
              <w:t>30</w:t>
            </w:r>
            <w:r>
              <w:rPr>
                <w:sz w:val="20"/>
                <w:szCs w:val="20"/>
              </w:rPr>
              <w:t>6</w:t>
            </w:r>
          </w:p>
        </w:tc>
      </w:tr>
      <w:tr w:rsidRPr="00C47150" w:rsidR="00045313" w:rsidTr="00143674" w14:paraId="16B6B84E" w14:textId="4DD10242">
        <w:trPr>
          <w:cantSplit/>
          <w:trHeight w:val="525"/>
          <w:jc w:val="center"/>
        </w:trPr>
        <w:tc>
          <w:tcPr>
            <w:tcW w:w="6305" w:type="dxa"/>
            <w:tcBorders>
              <w:top w:val="single" w:color="auto" w:sz="4" w:space="0"/>
              <w:left w:val="single" w:color="auto" w:sz="4" w:space="0"/>
              <w:bottom w:val="single" w:color="auto" w:sz="4" w:space="0"/>
              <w:right w:val="single" w:color="auto" w:sz="4" w:space="0"/>
            </w:tcBorders>
            <w:shd w:val="clear" w:color="auto" w:fill="auto"/>
            <w:hideMark/>
          </w:tcPr>
          <w:p w:rsidRPr="001742C7" w:rsidR="00045313" w:rsidP="00F37138" w:rsidRDefault="00045313" w14:paraId="2BD5D145" w14:textId="33964798">
            <w:pPr>
              <w:keepNext/>
              <w:keepLines/>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2430" w:type="dxa"/>
            <w:tcBorders>
              <w:top w:val="single" w:color="auto" w:sz="4" w:space="0"/>
              <w:left w:val="single" w:color="auto" w:sz="4" w:space="0"/>
              <w:bottom w:val="single" w:color="auto" w:sz="4" w:space="0"/>
              <w:right w:val="single" w:color="auto" w:sz="4" w:space="0"/>
            </w:tcBorders>
          </w:tcPr>
          <w:p w:rsidRPr="00EC04A5" w:rsidR="00045313" w:rsidP="00F37138" w:rsidRDefault="00045313" w14:paraId="66508D78" w14:textId="756E9CB6">
            <w:pPr>
              <w:keepNext/>
              <w:keepLines/>
              <w:spacing w:after="0"/>
              <w:rPr>
                <w:sz w:val="20"/>
                <w:szCs w:val="20"/>
              </w:rPr>
            </w:pPr>
            <w:r w:rsidRPr="00A84883">
              <w:rPr>
                <w:sz w:val="20"/>
                <w:szCs w:val="20"/>
              </w:rPr>
              <w:t>1</w:t>
            </w:r>
            <w:r>
              <w:rPr>
                <w:sz w:val="20"/>
                <w:szCs w:val="20"/>
              </w:rPr>
              <w:t>0,</w:t>
            </w:r>
            <w:r w:rsidR="00A15F53">
              <w:rPr>
                <w:sz w:val="20"/>
                <w:szCs w:val="20"/>
              </w:rPr>
              <w:t>278</w:t>
            </w:r>
          </w:p>
        </w:tc>
      </w:tr>
      <w:tr w:rsidRPr="00C47150" w:rsidR="00045313" w:rsidTr="00143674" w14:paraId="793A2CC7" w14:textId="614D04E4">
        <w:trPr>
          <w:cantSplit/>
          <w:trHeight w:val="525"/>
          <w:jc w:val="center"/>
        </w:trPr>
        <w:tc>
          <w:tcPr>
            <w:tcW w:w="6305" w:type="dxa"/>
            <w:tcBorders>
              <w:top w:val="single" w:color="auto" w:sz="4" w:space="0"/>
              <w:left w:val="single" w:color="auto" w:sz="4" w:space="0"/>
              <w:bottom w:val="single" w:color="auto" w:sz="4" w:space="0"/>
              <w:right w:val="single" w:color="auto" w:sz="4" w:space="0"/>
            </w:tcBorders>
            <w:shd w:val="clear" w:color="auto" w:fill="auto"/>
            <w:hideMark/>
          </w:tcPr>
          <w:p w:rsidRPr="001B2C82" w:rsidR="00045313" w:rsidP="005F2E2C" w:rsidRDefault="00045313" w14:paraId="7AC93D75" w14:textId="274559ED">
            <w:pPr>
              <w:spacing w:after="0"/>
              <w:rPr>
                <w:sz w:val="20"/>
                <w:szCs w:val="20"/>
              </w:rPr>
            </w:pPr>
            <w:r w:rsidRPr="001B2C82">
              <w:rPr>
                <w:sz w:val="20"/>
                <w:szCs w:val="20"/>
              </w:rPr>
              <w:t># of Respondents (groups and clinicians submitting as individuals) (c)=(a)+(b)</w:t>
            </w:r>
          </w:p>
        </w:tc>
        <w:tc>
          <w:tcPr>
            <w:tcW w:w="2430" w:type="dxa"/>
            <w:tcBorders>
              <w:top w:val="single" w:color="auto" w:sz="4" w:space="0"/>
              <w:left w:val="single" w:color="auto" w:sz="4" w:space="0"/>
              <w:bottom w:val="single" w:color="auto" w:sz="4" w:space="0"/>
              <w:right w:val="single" w:color="auto" w:sz="4" w:space="0"/>
            </w:tcBorders>
          </w:tcPr>
          <w:p w:rsidR="00045313" w:rsidP="005F2E2C" w:rsidRDefault="00045313" w14:paraId="6CE9B022" w14:textId="32EC9381">
            <w:pPr>
              <w:spacing w:after="0"/>
              <w:rPr>
                <w:sz w:val="20"/>
                <w:szCs w:val="20"/>
              </w:rPr>
            </w:pPr>
            <w:r w:rsidRPr="001B2C82">
              <w:rPr>
                <w:sz w:val="20"/>
                <w:szCs w:val="20"/>
              </w:rPr>
              <w:t>4</w:t>
            </w:r>
            <w:r w:rsidR="00A15F53">
              <w:rPr>
                <w:sz w:val="20"/>
                <w:szCs w:val="20"/>
              </w:rPr>
              <w:t>7,584</w:t>
            </w:r>
          </w:p>
          <w:p w:rsidRPr="00EC04A5" w:rsidR="00045313" w:rsidP="005F2E2C" w:rsidRDefault="00045313" w14:paraId="62C18301" w14:textId="0884E249">
            <w:pPr>
              <w:spacing w:after="0"/>
              <w:rPr>
                <w:sz w:val="20"/>
                <w:szCs w:val="20"/>
              </w:rPr>
            </w:pPr>
          </w:p>
        </w:tc>
      </w:tr>
      <w:tr w:rsidRPr="00C47150" w:rsidR="00045313" w:rsidTr="00143674" w14:paraId="01C49441" w14:textId="2A4E6AEC">
        <w:trPr>
          <w:cantSplit/>
          <w:trHeight w:val="350"/>
          <w:jc w:val="center"/>
        </w:trPr>
        <w:tc>
          <w:tcPr>
            <w:tcW w:w="6305" w:type="dxa"/>
            <w:shd w:val="clear" w:color="auto" w:fill="auto"/>
            <w:hideMark/>
          </w:tcPr>
          <w:p w:rsidRPr="001742C7" w:rsidR="00045313" w:rsidP="005F2E2C" w:rsidRDefault="00045313" w14:paraId="47D4CB20" w14:textId="77777777">
            <w:pPr>
              <w:spacing w:after="0"/>
              <w:rPr>
                <w:sz w:val="20"/>
                <w:szCs w:val="20"/>
              </w:rPr>
            </w:pPr>
            <w:r w:rsidRPr="00732012">
              <w:rPr>
                <w:sz w:val="20"/>
                <w:szCs w:val="20"/>
              </w:rPr>
              <w:t xml:space="preserve">Hours Per Respondent to Report Quality Data (d) </w:t>
            </w:r>
          </w:p>
        </w:tc>
        <w:tc>
          <w:tcPr>
            <w:tcW w:w="2430" w:type="dxa"/>
            <w:vAlign w:val="center"/>
          </w:tcPr>
          <w:p w:rsidRPr="003428D4" w:rsidR="00045313" w:rsidP="005F2E2C" w:rsidRDefault="00045313" w14:paraId="1D68B83A" w14:textId="4AC2CC3A">
            <w:pPr>
              <w:spacing w:after="0"/>
              <w:rPr>
                <w:rFonts w:eastAsia="Calibri"/>
                <w:sz w:val="20"/>
                <w:szCs w:val="20"/>
              </w:rPr>
            </w:pPr>
            <w:r w:rsidRPr="003428D4">
              <w:rPr>
                <w:rFonts w:eastAsia="Calibri"/>
                <w:sz w:val="20"/>
                <w:szCs w:val="20"/>
              </w:rPr>
              <w:t>3</w:t>
            </w:r>
          </w:p>
        </w:tc>
      </w:tr>
      <w:tr w:rsidRPr="00C47150" w:rsidR="00045313" w:rsidTr="00143674" w14:paraId="119E679C" w14:textId="56FF0FD2">
        <w:trPr>
          <w:cantSplit/>
          <w:trHeight w:val="350"/>
          <w:jc w:val="center"/>
        </w:trPr>
        <w:tc>
          <w:tcPr>
            <w:tcW w:w="6305" w:type="dxa"/>
            <w:shd w:val="clear" w:color="auto" w:fill="auto"/>
            <w:hideMark/>
          </w:tcPr>
          <w:p w:rsidRPr="001742C7" w:rsidR="00045313" w:rsidP="005F2E2C" w:rsidRDefault="00045313" w14:paraId="6D7836BC" w14:textId="667B52CB">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430" w:type="dxa"/>
            <w:vAlign w:val="center"/>
          </w:tcPr>
          <w:p w:rsidRPr="003428D4" w:rsidR="00045313" w:rsidP="005F2E2C" w:rsidRDefault="00045313" w14:paraId="120ED012" w14:textId="2E21B85E">
            <w:pPr>
              <w:spacing w:after="0"/>
              <w:rPr>
                <w:rFonts w:eastAsia="Calibri"/>
                <w:sz w:val="20"/>
                <w:szCs w:val="20"/>
              </w:rPr>
            </w:pPr>
            <w:r w:rsidRPr="003428D4">
              <w:rPr>
                <w:rFonts w:eastAsia="Calibri"/>
                <w:sz w:val="20"/>
                <w:szCs w:val="20"/>
              </w:rPr>
              <w:t>2</w:t>
            </w:r>
          </w:p>
        </w:tc>
      </w:tr>
      <w:tr w:rsidRPr="00C47150" w:rsidR="00045313" w:rsidTr="00143674" w14:paraId="19DE3DB2" w14:textId="22319ADA">
        <w:trPr>
          <w:cantSplit/>
          <w:trHeight w:val="525"/>
          <w:jc w:val="center"/>
        </w:trPr>
        <w:tc>
          <w:tcPr>
            <w:tcW w:w="6305" w:type="dxa"/>
            <w:shd w:val="clear" w:color="auto" w:fill="auto"/>
            <w:hideMark/>
          </w:tcPr>
          <w:p w:rsidRPr="001742C7" w:rsidR="00045313" w:rsidP="005F2E2C" w:rsidRDefault="00045313" w14:paraId="04F979AF" w14:textId="77777777">
            <w:pPr>
              <w:spacing w:after="0"/>
              <w:rPr>
                <w:sz w:val="20"/>
                <w:szCs w:val="20"/>
              </w:rPr>
            </w:pPr>
            <w:r w:rsidRPr="00732012">
              <w:rPr>
                <w:sz w:val="20"/>
                <w:szCs w:val="20"/>
              </w:rPr>
              <w:t># of Hours Computer Systems Analyst Review Measure Specifications (f)</w:t>
            </w:r>
          </w:p>
        </w:tc>
        <w:tc>
          <w:tcPr>
            <w:tcW w:w="2430" w:type="dxa"/>
            <w:vAlign w:val="center"/>
          </w:tcPr>
          <w:p w:rsidRPr="003428D4" w:rsidR="00045313" w:rsidP="005F2E2C" w:rsidRDefault="00045313" w14:paraId="640E5983" w14:textId="5EAACC2F">
            <w:pPr>
              <w:spacing w:after="0"/>
              <w:rPr>
                <w:rFonts w:eastAsia="Calibri"/>
                <w:sz w:val="20"/>
                <w:szCs w:val="20"/>
              </w:rPr>
            </w:pPr>
            <w:r w:rsidRPr="003428D4">
              <w:rPr>
                <w:rFonts w:eastAsia="Calibri"/>
                <w:sz w:val="20"/>
                <w:szCs w:val="20"/>
              </w:rPr>
              <w:t>1</w:t>
            </w:r>
          </w:p>
        </w:tc>
      </w:tr>
      <w:tr w:rsidRPr="00C47150" w:rsidR="00045313" w:rsidTr="00143674" w14:paraId="1E617F2B" w14:textId="0C6C26E4">
        <w:trPr>
          <w:cantSplit/>
          <w:trHeight w:val="315"/>
          <w:jc w:val="center"/>
        </w:trPr>
        <w:tc>
          <w:tcPr>
            <w:tcW w:w="6305" w:type="dxa"/>
            <w:shd w:val="clear" w:color="auto" w:fill="auto"/>
            <w:hideMark/>
          </w:tcPr>
          <w:p w:rsidRPr="001742C7" w:rsidR="00045313" w:rsidP="005F2E2C" w:rsidRDefault="00045313" w14:paraId="7DF18889" w14:textId="77777777">
            <w:pPr>
              <w:spacing w:after="0"/>
              <w:rPr>
                <w:sz w:val="20"/>
                <w:szCs w:val="20"/>
              </w:rPr>
            </w:pPr>
            <w:r w:rsidRPr="00732012">
              <w:rPr>
                <w:sz w:val="20"/>
                <w:szCs w:val="20"/>
              </w:rPr>
              <w:t># of Hours LPN Review Measure Specifications (g)</w:t>
            </w:r>
          </w:p>
        </w:tc>
        <w:tc>
          <w:tcPr>
            <w:tcW w:w="2430" w:type="dxa"/>
            <w:vAlign w:val="center"/>
          </w:tcPr>
          <w:p w:rsidRPr="003428D4" w:rsidR="00045313" w:rsidP="005F2E2C" w:rsidRDefault="00045313" w14:paraId="2C1CA4AA" w14:textId="5967FF57">
            <w:pPr>
              <w:spacing w:after="0"/>
              <w:rPr>
                <w:rFonts w:eastAsia="Calibri"/>
                <w:sz w:val="20"/>
                <w:szCs w:val="20"/>
              </w:rPr>
            </w:pPr>
            <w:r w:rsidRPr="003428D4">
              <w:rPr>
                <w:rFonts w:eastAsia="Calibri"/>
                <w:sz w:val="20"/>
                <w:szCs w:val="20"/>
              </w:rPr>
              <w:t>1</w:t>
            </w:r>
          </w:p>
        </w:tc>
      </w:tr>
      <w:tr w:rsidRPr="00C47150" w:rsidR="00045313" w:rsidTr="00143674" w14:paraId="748CE47C" w14:textId="753B9470">
        <w:trPr>
          <w:cantSplit/>
          <w:trHeight w:val="305"/>
          <w:jc w:val="center"/>
        </w:trPr>
        <w:tc>
          <w:tcPr>
            <w:tcW w:w="6305" w:type="dxa"/>
            <w:shd w:val="clear" w:color="auto" w:fill="auto"/>
            <w:hideMark/>
          </w:tcPr>
          <w:p w:rsidRPr="001742C7" w:rsidR="00045313" w:rsidP="005F2E2C" w:rsidRDefault="00045313" w14:paraId="1D58476D" w14:textId="77777777">
            <w:pPr>
              <w:spacing w:after="0"/>
              <w:rPr>
                <w:sz w:val="20"/>
                <w:szCs w:val="20"/>
              </w:rPr>
            </w:pPr>
            <w:r w:rsidRPr="00732012">
              <w:rPr>
                <w:sz w:val="20"/>
                <w:szCs w:val="20"/>
              </w:rPr>
              <w:t># of Hours Billing Clerk Review Measure Specifications (h)</w:t>
            </w:r>
          </w:p>
        </w:tc>
        <w:tc>
          <w:tcPr>
            <w:tcW w:w="2430" w:type="dxa"/>
            <w:vAlign w:val="center"/>
          </w:tcPr>
          <w:p w:rsidRPr="003428D4" w:rsidR="00045313" w:rsidP="005F2E2C" w:rsidRDefault="00045313" w14:paraId="09BA8CBE" w14:textId="05BB8566">
            <w:pPr>
              <w:spacing w:after="0"/>
              <w:rPr>
                <w:rFonts w:eastAsia="Calibri"/>
                <w:sz w:val="20"/>
                <w:szCs w:val="20"/>
              </w:rPr>
            </w:pPr>
            <w:r w:rsidRPr="003428D4">
              <w:rPr>
                <w:rFonts w:eastAsia="Calibri"/>
                <w:sz w:val="20"/>
                <w:szCs w:val="20"/>
              </w:rPr>
              <w:t>1</w:t>
            </w:r>
          </w:p>
        </w:tc>
      </w:tr>
      <w:tr w:rsidRPr="00C47150" w:rsidR="00045313" w:rsidTr="00143674" w14:paraId="2B7195DD" w14:textId="7C7DE589">
        <w:trPr>
          <w:cantSplit/>
          <w:trHeight w:val="350"/>
          <w:jc w:val="center"/>
        </w:trPr>
        <w:tc>
          <w:tcPr>
            <w:tcW w:w="6305" w:type="dxa"/>
            <w:shd w:val="clear" w:color="auto" w:fill="auto"/>
            <w:hideMark/>
          </w:tcPr>
          <w:p w:rsidRPr="001742C7" w:rsidR="00045313" w:rsidP="005F2E2C" w:rsidRDefault="00045313" w14:paraId="5C265A43" w14:textId="77777777">
            <w:pPr>
              <w:spacing w:after="0"/>
              <w:rPr>
                <w:sz w:val="20"/>
                <w:szCs w:val="20"/>
              </w:rPr>
            </w:pPr>
            <w:r w:rsidRPr="00732012">
              <w:rPr>
                <w:sz w:val="20"/>
                <w:szCs w:val="20"/>
              </w:rPr>
              <w:t># of Hours Clinician Review Measure Specifications (i)</w:t>
            </w:r>
          </w:p>
        </w:tc>
        <w:tc>
          <w:tcPr>
            <w:tcW w:w="2430" w:type="dxa"/>
            <w:vAlign w:val="center"/>
          </w:tcPr>
          <w:p w:rsidRPr="003428D4" w:rsidR="00045313" w:rsidP="005F2E2C" w:rsidRDefault="00045313" w14:paraId="04DBB24F" w14:textId="38E38CF0">
            <w:pPr>
              <w:spacing w:after="0"/>
              <w:rPr>
                <w:rFonts w:eastAsia="Calibri"/>
                <w:sz w:val="20"/>
                <w:szCs w:val="20"/>
              </w:rPr>
            </w:pPr>
          </w:p>
        </w:tc>
      </w:tr>
      <w:tr w:rsidRPr="00C47150" w:rsidR="00045313" w:rsidTr="00143674" w14:paraId="2272F756" w14:textId="6F3A5259">
        <w:trPr>
          <w:cantSplit/>
          <w:trHeight w:val="525"/>
          <w:jc w:val="center"/>
        </w:trPr>
        <w:tc>
          <w:tcPr>
            <w:tcW w:w="6305" w:type="dxa"/>
            <w:shd w:val="clear" w:color="auto" w:fill="auto"/>
            <w:hideMark/>
          </w:tcPr>
          <w:p w:rsidRPr="001742C7" w:rsidR="00045313" w:rsidP="005F2E2C" w:rsidRDefault="00045313" w14:paraId="3F8F0B30" w14:textId="77777777">
            <w:pPr>
              <w:spacing w:after="0"/>
              <w:rPr>
                <w:sz w:val="20"/>
                <w:szCs w:val="20"/>
              </w:rPr>
            </w:pPr>
            <w:r w:rsidRPr="00732012">
              <w:rPr>
                <w:sz w:val="20"/>
                <w:szCs w:val="20"/>
              </w:rPr>
              <w:lastRenderedPageBreak/>
              <w:t># of Hours Per Respondent to Authorize Qualified Registry to Report on Respondent's Behalf (j)</w:t>
            </w:r>
          </w:p>
        </w:tc>
        <w:tc>
          <w:tcPr>
            <w:tcW w:w="2430" w:type="dxa"/>
            <w:vAlign w:val="center"/>
          </w:tcPr>
          <w:p w:rsidRPr="003428D4" w:rsidR="00045313" w:rsidP="005F2E2C" w:rsidRDefault="00045313" w14:paraId="2B76014A" w14:textId="025DAF25">
            <w:pPr>
              <w:spacing w:after="0"/>
              <w:rPr>
                <w:rFonts w:eastAsia="Calibri"/>
                <w:sz w:val="20"/>
                <w:szCs w:val="20"/>
              </w:rPr>
            </w:pPr>
            <w:r w:rsidRPr="003428D4">
              <w:rPr>
                <w:rFonts w:eastAsia="Calibri"/>
                <w:sz w:val="20"/>
                <w:szCs w:val="20"/>
              </w:rPr>
              <w:t>0.08</w:t>
            </w:r>
            <w:r>
              <w:rPr>
                <w:rFonts w:eastAsia="Calibri"/>
                <w:sz w:val="20"/>
                <w:szCs w:val="20"/>
              </w:rPr>
              <w:t>3</w:t>
            </w:r>
          </w:p>
        </w:tc>
      </w:tr>
      <w:tr w:rsidRPr="00C47150" w:rsidR="00045313" w:rsidTr="00143674" w14:paraId="530384EC" w14:textId="33101581">
        <w:trPr>
          <w:cantSplit/>
          <w:trHeight w:val="350"/>
          <w:jc w:val="center"/>
        </w:trPr>
        <w:tc>
          <w:tcPr>
            <w:tcW w:w="6305" w:type="dxa"/>
            <w:shd w:val="clear" w:color="auto" w:fill="D9D9D9" w:themeFill="background1" w:themeFillShade="D9"/>
            <w:hideMark/>
          </w:tcPr>
          <w:p w:rsidRPr="001742C7" w:rsidR="00045313" w:rsidP="005F2E2C" w:rsidRDefault="00045313" w14:paraId="2F877396" w14:textId="77777777">
            <w:pPr>
              <w:spacing w:after="0"/>
              <w:rPr>
                <w:sz w:val="20"/>
                <w:szCs w:val="20"/>
              </w:rPr>
            </w:pPr>
            <w:r w:rsidRPr="00732012">
              <w:rPr>
                <w:sz w:val="20"/>
                <w:szCs w:val="20"/>
              </w:rPr>
              <w:t>Annual Hours Per Respondent (k)= (d)+(e)+(f)+(g)+(h)+(i)+(j)</w:t>
            </w:r>
          </w:p>
        </w:tc>
        <w:tc>
          <w:tcPr>
            <w:tcW w:w="2430" w:type="dxa"/>
            <w:shd w:val="clear" w:color="auto" w:fill="D9D9D9" w:themeFill="background1" w:themeFillShade="D9"/>
            <w:vAlign w:val="center"/>
          </w:tcPr>
          <w:p w:rsidRPr="003428D4" w:rsidR="00045313" w:rsidP="005F2E2C" w:rsidRDefault="00045313" w14:paraId="0B15CD29" w14:textId="75364CA3">
            <w:pPr>
              <w:spacing w:after="0"/>
              <w:rPr>
                <w:rFonts w:eastAsia="Calibri"/>
                <w:sz w:val="20"/>
                <w:szCs w:val="20"/>
              </w:rPr>
            </w:pPr>
            <w:r w:rsidRPr="003428D4">
              <w:rPr>
                <w:rFonts w:eastAsia="Calibri"/>
                <w:sz w:val="20"/>
                <w:szCs w:val="20"/>
              </w:rPr>
              <w:t>9.08</w:t>
            </w:r>
            <w:r>
              <w:rPr>
                <w:rFonts w:eastAsia="Calibri"/>
                <w:sz w:val="20"/>
                <w:szCs w:val="20"/>
              </w:rPr>
              <w:t>3</w:t>
            </w:r>
          </w:p>
        </w:tc>
      </w:tr>
      <w:tr w:rsidRPr="00C47150" w:rsidR="00045313" w:rsidTr="00143674" w14:paraId="438A47F3" w14:textId="49184339">
        <w:trPr>
          <w:cantSplit/>
          <w:trHeight w:val="315"/>
          <w:jc w:val="center"/>
        </w:trPr>
        <w:tc>
          <w:tcPr>
            <w:tcW w:w="6305" w:type="dxa"/>
            <w:shd w:val="clear" w:color="auto" w:fill="D9D9D9" w:themeFill="background1" w:themeFillShade="D9"/>
            <w:hideMark/>
          </w:tcPr>
          <w:p w:rsidRPr="001B2C82" w:rsidR="00045313" w:rsidP="00B35D3F" w:rsidRDefault="00045313" w14:paraId="490F2FEB" w14:textId="77777777">
            <w:pPr>
              <w:spacing w:after="0"/>
              <w:rPr>
                <w:b/>
                <w:bCs/>
                <w:sz w:val="20"/>
                <w:szCs w:val="20"/>
              </w:rPr>
            </w:pPr>
            <w:r w:rsidRPr="001B2C82">
              <w:rPr>
                <w:b/>
                <w:bCs/>
                <w:sz w:val="20"/>
                <w:szCs w:val="20"/>
              </w:rPr>
              <w:t>Total Annual Hours (l) = (c)*(k)</w:t>
            </w:r>
          </w:p>
        </w:tc>
        <w:tc>
          <w:tcPr>
            <w:tcW w:w="2430" w:type="dxa"/>
            <w:shd w:val="clear" w:color="auto" w:fill="D9D9D9" w:themeFill="background1" w:themeFillShade="D9"/>
          </w:tcPr>
          <w:p w:rsidRPr="000146D2" w:rsidR="00045313" w:rsidP="00B35D3F" w:rsidRDefault="00045313" w14:paraId="42D7B241" w14:textId="552895FE">
            <w:pPr>
              <w:spacing w:after="0"/>
              <w:rPr>
                <w:b/>
                <w:bCs/>
                <w:sz w:val="20"/>
                <w:szCs w:val="20"/>
              </w:rPr>
            </w:pPr>
            <w:r>
              <w:rPr>
                <w:b/>
                <w:sz w:val="20"/>
                <w:szCs w:val="20"/>
              </w:rPr>
              <w:t>4</w:t>
            </w:r>
            <w:r w:rsidR="008005FC">
              <w:rPr>
                <w:b/>
                <w:sz w:val="20"/>
                <w:szCs w:val="20"/>
              </w:rPr>
              <w:t>3</w:t>
            </w:r>
            <w:r>
              <w:rPr>
                <w:b/>
                <w:sz w:val="20"/>
                <w:szCs w:val="20"/>
              </w:rPr>
              <w:t>2,</w:t>
            </w:r>
            <w:r w:rsidR="008005FC">
              <w:rPr>
                <w:b/>
                <w:sz w:val="20"/>
                <w:szCs w:val="20"/>
              </w:rPr>
              <w:t>205</w:t>
            </w:r>
          </w:p>
        </w:tc>
      </w:tr>
      <w:tr w:rsidRPr="00C47150" w:rsidR="00045313" w:rsidTr="00143674" w14:paraId="5F248A75" w14:textId="3A566C31">
        <w:trPr>
          <w:cantSplit/>
          <w:trHeight w:val="436"/>
          <w:jc w:val="center"/>
        </w:trPr>
        <w:tc>
          <w:tcPr>
            <w:tcW w:w="6305" w:type="dxa"/>
            <w:shd w:val="clear" w:color="auto" w:fill="auto"/>
          </w:tcPr>
          <w:p w:rsidRPr="000146D2" w:rsidR="00045313" w:rsidP="00534251" w:rsidRDefault="00045313" w14:paraId="150B3614" w14:textId="0C5A847B">
            <w:pPr>
              <w:spacing w:after="0"/>
              <w:rPr>
                <w:sz w:val="20"/>
                <w:szCs w:val="20"/>
              </w:rPr>
            </w:pPr>
            <w:r w:rsidRPr="000146D2">
              <w:rPr>
                <w:sz w:val="20"/>
                <w:szCs w:val="20"/>
              </w:rPr>
              <w:t>Cost Per Respondent to Submit Quality Data (@ computer systems analyst’s labor rate of $9</w:t>
            </w:r>
            <w:r w:rsidR="00F2456C">
              <w:rPr>
                <w:sz w:val="20"/>
                <w:szCs w:val="20"/>
              </w:rPr>
              <w:t>8</w:t>
            </w:r>
            <w:r>
              <w:rPr>
                <w:sz w:val="20"/>
                <w:szCs w:val="20"/>
              </w:rPr>
              <w:t>.2</w:t>
            </w:r>
            <w:r w:rsidR="00F2456C">
              <w:rPr>
                <w:sz w:val="20"/>
                <w:szCs w:val="20"/>
              </w:rPr>
              <w:t>8</w:t>
            </w:r>
            <w:r w:rsidRPr="000146D2">
              <w:rPr>
                <w:sz w:val="20"/>
                <w:szCs w:val="20"/>
              </w:rPr>
              <w:t>/</w:t>
            </w:r>
            <w:proofErr w:type="spellStart"/>
            <w:r w:rsidRPr="000146D2">
              <w:rPr>
                <w:sz w:val="20"/>
                <w:szCs w:val="20"/>
              </w:rPr>
              <w:t>hr</w:t>
            </w:r>
            <w:proofErr w:type="spellEnd"/>
            <w:r w:rsidRPr="000146D2">
              <w:rPr>
                <w:sz w:val="20"/>
                <w:szCs w:val="20"/>
              </w:rPr>
              <w:t>) (m)</w:t>
            </w:r>
          </w:p>
        </w:tc>
        <w:tc>
          <w:tcPr>
            <w:tcW w:w="2430" w:type="dxa"/>
            <w:vAlign w:val="center"/>
          </w:tcPr>
          <w:p w:rsidRPr="000146D2" w:rsidR="00045313" w:rsidP="00534251" w:rsidRDefault="00045313" w14:paraId="20816E3E" w14:textId="19B714C1">
            <w:pPr>
              <w:spacing w:after="0"/>
              <w:rPr>
                <w:sz w:val="20"/>
                <w:szCs w:val="20"/>
              </w:rPr>
            </w:pPr>
            <w:r w:rsidRPr="00871E51">
              <w:rPr>
                <w:sz w:val="20"/>
                <w:szCs w:val="20"/>
              </w:rPr>
              <w:t>$2</w:t>
            </w:r>
            <w:r w:rsidR="00F2456C">
              <w:rPr>
                <w:sz w:val="20"/>
                <w:szCs w:val="20"/>
              </w:rPr>
              <w:t>94</w:t>
            </w:r>
            <w:r w:rsidRPr="00871E51">
              <w:rPr>
                <w:sz w:val="20"/>
                <w:szCs w:val="20"/>
              </w:rPr>
              <w:t>.</w:t>
            </w:r>
            <w:r w:rsidR="00F2456C">
              <w:rPr>
                <w:sz w:val="20"/>
                <w:szCs w:val="20"/>
              </w:rPr>
              <w:t>84</w:t>
            </w:r>
          </w:p>
        </w:tc>
      </w:tr>
      <w:tr w:rsidRPr="00C47150" w:rsidR="00045313" w:rsidTr="00143674" w14:paraId="7C7C68AA" w14:textId="3EEB016D">
        <w:trPr>
          <w:cantSplit/>
          <w:trHeight w:val="436"/>
          <w:jc w:val="center"/>
        </w:trPr>
        <w:tc>
          <w:tcPr>
            <w:tcW w:w="6305" w:type="dxa"/>
            <w:shd w:val="clear" w:color="auto" w:fill="auto"/>
            <w:hideMark/>
          </w:tcPr>
          <w:p w:rsidRPr="000146D2" w:rsidR="00045313" w:rsidP="00B35D3F" w:rsidRDefault="00045313" w14:paraId="2AF7193C" w14:textId="709AC447">
            <w:pPr>
              <w:spacing w:after="0"/>
              <w:rPr>
                <w:sz w:val="20"/>
                <w:szCs w:val="20"/>
              </w:rPr>
            </w:pPr>
            <w:r w:rsidRPr="000146D2">
              <w:rPr>
                <w:sz w:val="20"/>
                <w:szCs w:val="20"/>
              </w:rPr>
              <w:t>Cost to Review Measure Specifications (@ medical and health services manager's labor rate of $11</w:t>
            </w:r>
            <w:r w:rsidR="00F2456C">
              <w:rPr>
                <w:sz w:val="20"/>
                <w:szCs w:val="20"/>
              </w:rPr>
              <w:t>5</w:t>
            </w:r>
            <w:r>
              <w:rPr>
                <w:sz w:val="20"/>
                <w:szCs w:val="20"/>
              </w:rPr>
              <w:t>.2</w:t>
            </w:r>
            <w:r w:rsidR="00F2456C">
              <w:rPr>
                <w:sz w:val="20"/>
                <w:szCs w:val="20"/>
              </w:rPr>
              <w:t>2</w:t>
            </w:r>
            <w:r w:rsidRPr="000146D2">
              <w:rPr>
                <w:sz w:val="20"/>
                <w:szCs w:val="20"/>
              </w:rPr>
              <w:t>/</w:t>
            </w:r>
            <w:proofErr w:type="spellStart"/>
            <w:r w:rsidRPr="000146D2">
              <w:rPr>
                <w:sz w:val="20"/>
                <w:szCs w:val="20"/>
              </w:rPr>
              <w:t>hr</w:t>
            </w:r>
            <w:proofErr w:type="spellEnd"/>
            <w:r w:rsidRPr="000146D2">
              <w:rPr>
                <w:sz w:val="20"/>
                <w:szCs w:val="20"/>
              </w:rPr>
              <w:t>) (n)</w:t>
            </w:r>
          </w:p>
        </w:tc>
        <w:tc>
          <w:tcPr>
            <w:tcW w:w="2430" w:type="dxa"/>
          </w:tcPr>
          <w:p w:rsidRPr="000146D2" w:rsidR="00045313" w:rsidP="00B35D3F" w:rsidRDefault="00045313" w14:paraId="58A2888A" w14:textId="41080831">
            <w:pPr>
              <w:spacing w:after="0"/>
              <w:rPr>
                <w:sz w:val="20"/>
                <w:szCs w:val="20"/>
              </w:rPr>
            </w:pPr>
            <w:r w:rsidRPr="000146D2">
              <w:rPr>
                <w:sz w:val="20"/>
                <w:szCs w:val="20"/>
              </w:rPr>
              <w:t>$2</w:t>
            </w:r>
            <w:r w:rsidR="00F2456C">
              <w:rPr>
                <w:sz w:val="20"/>
                <w:szCs w:val="20"/>
              </w:rPr>
              <w:t>30</w:t>
            </w:r>
            <w:r w:rsidRPr="000146D2">
              <w:rPr>
                <w:sz w:val="20"/>
                <w:szCs w:val="20"/>
              </w:rPr>
              <w:t>.4</w:t>
            </w:r>
            <w:r w:rsidR="00F2456C">
              <w:rPr>
                <w:sz w:val="20"/>
                <w:szCs w:val="20"/>
              </w:rPr>
              <w:t>4</w:t>
            </w:r>
          </w:p>
        </w:tc>
      </w:tr>
      <w:tr w:rsidRPr="00C47150" w:rsidR="00045313" w:rsidTr="00143674" w14:paraId="2B389C5E" w14:textId="6CDD64F7">
        <w:trPr>
          <w:cantSplit/>
          <w:trHeight w:val="525"/>
          <w:jc w:val="center"/>
        </w:trPr>
        <w:tc>
          <w:tcPr>
            <w:tcW w:w="6305" w:type="dxa"/>
            <w:shd w:val="clear" w:color="auto" w:fill="auto"/>
            <w:hideMark/>
          </w:tcPr>
          <w:p w:rsidRPr="000146D2" w:rsidR="00045313" w:rsidP="00B35D3F" w:rsidRDefault="00045313" w14:paraId="3309A0EB" w14:textId="661CD891">
            <w:pPr>
              <w:spacing w:after="0"/>
              <w:rPr>
                <w:sz w:val="20"/>
                <w:szCs w:val="20"/>
              </w:rPr>
            </w:pPr>
            <w:r w:rsidRPr="000146D2">
              <w:rPr>
                <w:sz w:val="20"/>
                <w:szCs w:val="20"/>
              </w:rPr>
              <w:t>Cost Computer System’s Analyst Review Measure Specifications (@ computer systems analyst’s labor rate of $9</w:t>
            </w:r>
            <w:r w:rsidR="00F2456C">
              <w:rPr>
                <w:sz w:val="20"/>
                <w:szCs w:val="20"/>
              </w:rPr>
              <w:t>8</w:t>
            </w:r>
            <w:r>
              <w:rPr>
                <w:sz w:val="20"/>
                <w:szCs w:val="20"/>
              </w:rPr>
              <w:t>.2</w:t>
            </w:r>
            <w:r w:rsidR="00F2456C">
              <w:rPr>
                <w:sz w:val="20"/>
                <w:szCs w:val="20"/>
              </w:rPr>
              <w:t>8</w:t>
            </w:r>
            <w:r w:rsidRPr="000146D2">
              <w:rPr>
                <w:sz w:val="20"/>
                <w:szCs w:val="20"/>
              </w:rPr>
              <w:t>/</w:t>
            </w:r>
            <w:proofErr w:type="spellStart"/>
            <w:r w:rsidRPr="000146D2">
              <w:rPr>
                <w:sz w:val="20"/>
                <w:szCs w:val="20"/>
              </w:rPr>
              <w:t>hr</w:t>
            </w:r>
            <w:proofErr w:type="spellEnd"/>
            <w:r w:rsidRPr="000146D2">
              <w:rPr>
                <w:sz w:val="20"/>
                <w:szCs w:val="20"/>
              </w:rPr>
              <w:t>) (o)</w:t>
            </w:r>
          </w:p>
        </w:tc>
        <w:tc>
          <w:tcPr>
            <w:tcW w:w="2430" w:type="dxa"/>
          </w:tcPr>
          <w:p w:rsidRPr="000146D2" w:rsidR="00045313" w:rsidP="00B35D3F" w:rsidRDefault="00045313" w14:paraId="04775337" w14:textId="110A936E">
            <w:pPr>
              <w:spacing w:after="0"/>
              <w:rPr>
                <w:sz w:val="20"/>
                <w:szCs w:val="20"/>
              </w:rPr>
            </w:pPr>
            <w:r w:rsidRPr="000146D2">
              <w:rPr>
                <w:sz w:val="20"/>
                <w:szCs w:val="20"/>
              </w:rPr>
              <w:t>$9</w:t>
            </w:r>
            <w:r w:rsidR="00F2456C">
              <w:rPr>
                <w:sz w:val="20"/>
                <w:szCs w:val="20"/>
              </w:rPr>
              <w:t>8</w:t>
            </w:r>
            <w:r>
              <w:rPr>
                <w:sz w:val="20"/>
                <w:szCs w:val="20"/>
              </w:rPr>
              <w:t>.2</w:t>
            </w:r>
            <w:r w:rsidR="00F2456C">
              <w:rPr>
                <w:sz w:val="20"/>
                <w:szCs w:val="20"/>
              </w:rPr>
              <w:t>8</w:t>
            </w:r>
          </w:p>
        </w:tc>
      </w:tr>
      <w:tr w:rsidRPr="00C47150" w:rsidR="00045313" w:rsidTr="00143674" w14:paraId="5520AB71" w14:textId="0769EEA6">
        <w:trPr>
          <w:cantSplit/>
          <w:trHeight w:val="602"/>
          <w:jc w:val="center"/>
        </w:trPr>
        <w:tc>
          <w:tcPr>
            <w:tcW w:w="6305" w:type="dxa"/>
            <w:shd w:val="clear" w:color="auto" w:fill="auto"/>
            <w:hideMark/>
          </w:tcPr>
          <w:p w:rsidRPr="000146D2" w:rsidR="00045313" w:rsidP="00B35D3F" w:rsidRDefault="00045313" w14:paraId="35D39D69" w14:textId="26B1366C">
            <w:pPr>
              <w:spacing w:after="0"/>
              <w:rPr>
                <w:sz w:val="20"/>
                <w:szCs w:val="20"/>
              </w:rPr>
            </w:pPr>
            <w:r w:rsidRPr="000146D2">
              <w:rPr>
                <w:sz w:val="20"/>
                <w:szCs w:val="20"/>
              </w:rPr>
              <w:t>Cost LPN Review Measure Specifications (@ LPN's labor rate of $4</w:t>
            </w:r>
            <w:r w:rsidR="008014CE">
              <w:rPr>
                <w:sz w:val="20"/>
                <w:szCs w:val="20"/>
              </w:rPr>
              <w:t>9</w:t>
            </w:r>
            <w:r>
              <w:rPr>
                <w:sz w:val="20"/>
                <w:szCs w:val="20"/>
              </w:rPr>
              <w:t>.</w:t>
            </w:r>
            <w:r w:rsidR="008014CE">
              <w:rPr>
                <w:sz w:val="20"/>
                <w:szCs w:val="20"/>
              </w:rPr>
              <w:t>8</w:t>
            </w:r>
            <w:r>
              <w:rPr>
                <w:sz w:val="20"/>
                <w:szCs w:val="20"/>
              </w:rPr>
              <w:t>6</w:t>
            </w:r>
            <w:r w:rsidRPr="000146D2">
              <w:rPr>
                <w:sz w:val="20"/>
                <w:szCs w:val="20"/>
              </w:rPr>
              <w:t>/</w:t>
            </w:r>
            <w:proofErr w:type="spellStart"/>
            <w:r w:rsidRPr="000146D2">
              <w:rPr>
                <w:sz w:val="20"/>
                <w:szCs w:val="20"/>
              </w:rPr>
              <w:t>hr</w:t>
            </w:r>
            <w:proofErr w:type="spellEnd"/>
            <w:r w:rsidRPr="000146D2">
              <w:rPr>
                <w:sz w:val="20"/>
                <w:szCs w:val="20"/>
              </w:rPr>
              <w:t>) (p)</w:t>
            </w:r>
          </w:p>
        </w:tc>
        <w:tc>
          <w:tcPr>
            <w:tcW w:w="2430" w:type="dxa"/>
          </w:tcPr>
          <w:p w:rsidRPr="000146D2" w:rsidR="00045313" w:rsidP="00B35D3F" w:rsidRDefault="00045313" w14:paraId="05F50151" w14:textId="405E5ED4">
            <w:pPr>
              <w:spacing w:after="0"/>
              <w:rPr>
                <w:sz w:val="20"/>
                <w:szCs w:val="20"/>
              </w:rPr>
            </w:pPr>
            <w:r w:rsidRPr="000146D2">
              <w:rPr>
                <w:sz w:val="20"/>
                <w:szCs w:val="20"/>
              </w:rPr>
              <w:t>$4</w:t>
            </w:r>
            <w:r w:rsidR="008014CE">
              <w:rPr>
                <w:sz w:val="20"/>
                <w:szCs w:val="20"/>
              </w:rPr>
              <w:t>9</w:t>
            </w:r>
            <w:r>
              <w:rPr>
                <w:sz w:val="20"/>
                <w:szCs w:val="20"/>
              </w:rPr>
              <w:t>.</w:t>
            </w:r>
            <w:r w:rsidR="008014CE">
              <w:rPr>
                <w:sz w:val="20"/>
                <w:szCs w:val="20"/>
              </w:rPr>
              <w:t>8</w:t>
            </w:r>
            <w:r>
              <w:rPr>
                <w:sz w:val="20"/>
                <w:szCs w:val="20"/>
              </w:rPr>
              <w:t>6</w:t>
            </w:r>
            <w:r w:rsidRPr="000146D2">
              <w:rPr>
                <w:sz w:val="20"/>
                <w:szCs w:val="20"/>
              </w:rPr>
              <w:t xml:space="preserve"> </w:t>
            </w:r>
          </w:p>
        </w:tc>
      </w:tr>
      <w:tr w:rsidRPr="00C47150" w:rsidR="00045313" w:rsidTr="00143674" w14:paraId="3B5E2173" w14:textId="5EC34598">
        <w:trPr>
          <w:cantSplit/>
          <w:trHeight w:val="525"/>
          <w:jc w:val="center"/>
        </w:trPr>
        <w:tc>
          <w:tcPr>
            <w:tcW w:w="6305" w:type="dxa"/>
            <w:shd w:val="clear" w:color="auto" w:fill="auto"/>
            <w:hideMark/>
          </w:tcPr>
          <w:p w:rsidRPr="000146D2" w:rsidR="00045313" w:rsidP="00B35D3F" w:rsidRDefault="00045313" w14:paraId="615DE364" w14:textId="72D04628">
            <w:pPr>
              <w:spacing w:after="0"/>
              <w:rPr>
                <w:sz w:val="20"/>
                <w:szCs w:val="20"/>
              </w:rPr>
            </w:pPr>
            <w:r w:rsidRPr="000146D2">
              <w:rPr>
                <w:sz w:val="20"/>
                <w:szCs w:val="20"/>
              </w:rPr>
              <w:t>Cost Billing Clerk Review Measure Specifications (@ clerk’s labor rate of $</w:t>
            </w:r>
            <w:r>
              <w:rPr>
                <w:sz w:val="20"/>
                <w:szCs w:val="20"/>
              </w:rPr>
              <w:t>4</w:t>
            </w:r>
            <w:r w:rsidR="00F74D76">
              <w:rPr>
                <w:sz w:val="20"/>
                <w:szCs w:val="20"/>
              </w:rPr>
              <w:t>1</w:t>
            </w:r>
            <w:r>
              <w:rPr>
                <w:sz w:val="20"/>
                <w:szCs w:val="20"/>
              </w:rPr>
              <w:t>.</w:t>
            </w:r>
            <w:r w:rsidR="00F74D76">
              <w:rPr>
                <w:sz w:val="20"/>
                <w:szCs w:val="20"/>
              </w:rPr>
              <w:t>1</w:t>
            </w:r>
            <w:r>
              <w:rPr>
                <w:sz w:val="20"/>
                <w:szCs w:val="20"/>
              </w:rPr>
              <w:t>0</w:t>
            </w:r>
            <w:r w:rsidRPr="000146D2">
              <w:rPr>
                <w:sz w:val="20"/>
                <w:szCs w:val="20"/>
              </w:rPr>
              <w:t>/</w:t>
            </w:r>
            <w:proofErr w:type="spellStart"/>
            <w:r w:rsidRPr="000146D2">
              <w:rPr>
                <w:sz w:val="20"/>
                <w:szCs w:val="20"/>
              </w:rPr>
              <w:t>hr</w:t>
            </w:r>
            <w:proofErr w:type="spellEnd"/>
            <w:r w:rsidRPr="000146D2">
              <w:rPr>
                <w:sz w:val="20"/>
                <w:szCs w:val="20"/>
              </w:rPr>
              <w:t>) (q)</w:t>
            </w:r>
          </w:p>
        </w:tc>
        <w:tc>
          <w:tcPr>
            <w:tcW w:w="2430" w:type="dxa"/>
          </w:tcPr>
          <w:p w:rsidRPr="000146D2" w:rsidR="00045313" w:rsidP="00B35D3F" w:rsidRDefault="00045313" w14:paraId="0451B25D" w14:textId="64E44675">
            <w:pPr>
              <w:spacing w:after="0"/>
              <w:rPr>
                <w:sz w:val="20"/>
                <w:szCs w:val="20"/>
              </w:rPr>
            </w:pPr>
            <w:r w:rsidRPr="000146D2">
              <w:rPr>
                <w:sz w:val="20"/>
                <w:szCs w:val="20"/>
              </w:rPr>
              <w:t>$</w:t>
            </w:r>
            <w:r>
              <w:rPr>
                <w:sz w:val="20"/>
                <w:szCs w:val="20"/>
              </w:rPr>
              <w:t>4</w:t>
            </w:r>
            <w:r w:rsidR="00F74D76">
              <w:rPr>
                <w:sz w:val="20"/>
                <w:szCs w:val="20"/>
              </w:rPr>
              <w:t>1</w:t>
            </w:r>
            <w:r>
              <w:rPr>
                <w:sz w:val="20"/>
                <w:szCs w:val="20"/>
              </w:rPr>
              <w:t>.</w:t>
            </w:r>
            <w:r w:rsidR="00F74D76">
              <w:rPr>
                <w:sz w:val="20"/>
                <w:szCs w:val="20"/>
              </w:rPr>
              <w:t>1</w:t>
            </w:r>
            <w:r>
              <w:rPr>
                <w:sz w:val="20"/>
                <w:szCs w:val="20"/>
              </w:rPr>
              <w:t>0</w:t>
            </w:r>
          </w:p>
        </w:tc>
      </w:tr>
      <w:tr w:rsidRPr="00C47150" w:rsidR="00045313" w:rsidTr="00143674" w14:paraId="009764B3" w14:textId="426FAEB4">
        <w:trPr>
          <w:cantSplit/>
          <w:trHeight w:val="525"/>
          <w:jc w:val="center"/>
        </w:trPr>
        <w:tc>
          <w:tcPr>
            <w:tcW w:w="6305" w:type="dxa"/>
            <w:shd w:val="clear" w:color="auto" w:fill="auto"/>
            <w:hideMark/>
          </w:tcPr>
          <w:p w:rsidRPr="000146D2" w:rsidR="00045313" w:rsidP="00B35D3F" w:rsidRDefault="00045313" w14:paraId="253616E4" w14:textId="0E0844F7">
            <w:pPr>
              <w:spacing w:after="0"/>
              <w:rPr>
                <w:sz w:val="20"/>
                <w:szCs w:val="20"/>
              </w:rPr>
            </w:pPr>
            <w:r w:rsidRPr="000146D2">
              <w:rPr>
                <w:sz w:val="20"/>
                <w:szCs w:val="20"/>
              </w:rPr>
              <w:t>Cost Physician Review Measure Specifications (@ physician’s labor rate of $2</w:t>
            </w:r>
            <w:r w:rsidR="00292EB1">
              <w:rPr>
                <w:sz w:val="20"/>
                <w:szCs w:val="20"/>
              </w:rPr>
              <w:t>59</w:t>
            </w:r>
            <w:r>
              <w:rPr>
                <w:sz w:val="20"/>
                <w:szCs w:val="20"/>
              </w:rPr>
              <w:t>.</w:t>
            </w:r>
            <w:r w:rsidR="00292EB1">
              <w:rPr>
                <w:sz w:val="20"/>
                <w:szCs w:val="20"/>
              </w:rPr>
              <w:t>98</w:t>
            </w:r>
            <w:r w:rsidRPr="000146D2">
              <w:rPr>
                <w:sz w:val="20"/>
                <w:szCs w:val="20"/>
              </w:rPr>
              <w:t>/</w:t>
            </w:r>
            <w:proofErr w:type="spellStart"/>
            <w:r w:rsidRPr="000146D2">
              <w:rPr>
                <w:sz w:val="20"/>
                <w:szCs w:val="20"/>
              </w:rPr>
              <w:t>hr</w:t>
            </w:r>
            <w:proofErr w:type="spellEnd"/>
            <w:r w:rsidRPr="000146D2">
              <w:rPr>
                <w:sz w:val="20"/>
                <w:szCs w:val="20"/>
              </w:rPr>
              <w:t>) (r)</w:t>
            </w:r>
          </w:p>
        </w:tc>
        <w:tc>
          <w:tcPr>
            <w:tcW w:w="2430" w:type="dxa"/>
          </w:tcPr>
          <w:p w:rsidRPr="000146D2" w:rsidR="00045313" w:rsidP="00B35D3F" w:rsidRDefault="00045313" w14:paraId="518E136B" w14:textId="045B0485">
            <w:pPr>
              <w:spacing w:after="0"/>
              <w:rPr>
                <w:sz w:val="20"/>
                <w:szCs w:val="20"/>
              </w:rPr>
            </w:pPr>
            <w:r w:rsidRPr="000146D2">
              <w:rPr>
                <w:sz w:val="20"/>
                <w:szCs w:val="20"/>
              </w:rPr>
              <w:t>$2</w:t>
            </w:r>
            <w:r w:rsidR="00292EB1">
              <w:rPr>
                <w:sz w:val="20"/>
                <w:szCs w:val="20"/>
              </w:rPr>
              <w:t>59</w:t>
            </w:r>
            <w:r>
              <w:rPr>
                <w:sz w:val="20"/>
                <w:szCs w:val="20"/>
              </w:rPr>
              <w:t>.</w:t>
            </w:r>
            <w:r w:rsidR="00292EB1">
              <w:rPr>
                <w:sz w:val="20"/>
                <w:szCs w:val="20"/>
              </w:rPr>
              <w:t>98</w:t>
            </w:r>
            <w:r w:rsidRPr="000146D2">
              <w:rPr>
                <w:sz w:val="20"/>
                <w:szCs w:val="20"/>
              </w:rPr>
              <w:t xml:space="preserve"> </w:t>
            </w:r>
          </w:p>
        </w:tc>
      </w:tr>
      <w:tr w:rsidRPr="00C47150" w:rsidR="00045313" w:rsidTr="00143674" w14:paraId="6A402A68" w14:textId="05551D55">
        <w:trPr>
          <w:cantSplit/>
          <w:trHeight w:val="525"/>
          <w:jc w:val="center"/>
        </w:trPr>
        <w:tc>
          <w:tcPr>
            <w:tcW w:w="6305" w:type="dxa"/>
            <w:shd w:val="clear" w:color="auto" w:fill="auto"/>
            <w:hideMark/>
          </w:tcPr>
          <w:p w:rsidRPr="000146D2" w:rsidR="00045313" w:rsidP="00B35D3F" w:rsidRDefault="00045313" w14:paraId="4AFEE43E" w14:textId="65141869">
            <w:pPr>
              <w:spacing w:after="0"/>
              <w:rPr>
                <w:sz w:val="20"/>
                <w:szCs w:val="20"/>
              </w:rPr>
            </w:pPr>
            <w:r w:rsidRPr="000146D2">
              <w:rPr>
                <w:sz w:val="20"/>
                <w:szCs w:val="20"/>
              </w:rPr>
              <w:t>Cost for Respondent to Authorize Qualified Registry/QCDR to Report on Respondent's Behalf (@ computer systems analyst’s labor rate of $9</w:t>
            </w:r>
            <w:r w:rsidR="00292EB1">
              <w:rPr>
                <w:sz w:val="20"/>
                <w:szCs w:val="20"/>
              </w:rPr>
              <w:t>8</w:t>
            </w:r>
            <w:r>
              <w:rPr>
                <w:sz w:val="20"/>
                <w:szCs w:val="20"/>
              </w:rPr>
              <w:t>.2</w:t>
            </w:r>
            <w:r w:rsidR="00292EB1">
              <w:rPr>
                <w:sz w:val="20"/>
                <w:szCs w:val="20"/>
              </w:rPr>
              <w:t>8</w:t>
            </w:r>
            <w:r w:rsidRPr="000146D2">
              <w:rPr>
                <w:sz w:val="20"/>
                <w:szCs w:val="20"/>
              </w:rPr>
              <w:t>/</w:t>
            </w:r>
            <w:proofErr w:type="spellStart"/>
            <w:r w:rsidRPr="000146D2">
              <w:rPr>
                <w:sz w:val="20"/>
                <w:szCs w:val="20"/>
              </w:rPr>
              <w:t>hr</w:t>
            </w:r>
            <w:proofErr w:type="spellEnd"/>
            <w:r w:rsidRPr="000146D2">
              <w:rPr>
                <w:sz w:val="20"/>
                <w:szCs w:val="20"/>
              </w:rPr>
              <w:t>) (s)</w:t>
            </w:r>
          </w:p>
        </w:tc>
        <w:tc>
          <w:tcPr>
            <w:tcW w:w="2430" w:type="dxa"/>
          </w:tcPr>
          <w:p w:rsidRPr="000146D2" w:rsidR="00045313" w:rsidP="00B35D3F" w:rsidRDefault="00045313" w14:paraId="2D52FF0D" w14:textId="70DAAD42">
            <w:pPr>
              <w:spacing w:after="0"/>
              <w:rPr>
                <w:sz w:val="20"/>
                <w:szCs w:val="20"/>
              </w:rPr>
            </w:pPr>
            <w:r w:rsidRPr="000146D2">
              <w:rPr>
                <w:sz w:val="20"/>
                <w:szCs w:val="20"/>
              </w:rPr>
              <w:t>$</w:t>
            </w:r>
            <w:r w:rsidR="00292EB1">
              <w:rPr>
                <w:sz w:val="20"/>
                <w:szCs w:val="20"/>
              </w:rPr>
              <w:t>8</w:t>
            </w:r>
            <w:r w:rsidRPr="000146D2">
              <w:rPr>
                <w:sz w:val="20"/>
                <w:szCs w:val="20"/>
              </w:rPr>
              <w:t>.</w:t>
            </w:r>
            <w:r w:rsidR="00292EB1">
              <w:rPr>
                <w:sz w:val="20"/>
                <w:szCs w:val="20"/>
              </w:rPr>
              <w:t>15</w:t>
            </w:r>
            <w:r w:rsidRPr="000146D2">
              <w:rPr>
                <w:sz w:val="20"/>
                <w:szCs w:val="20"/>
              </w:rPr>
              <w:t xml:space="preserve"> </w:t>
            </w:r>
          </w:p>
        </w:tc>
      </w:tr>
      <w:tr w:rsidRPr="00C47150" w:rsidR="00045313" w:rsidTr="00143674" w14:paraId="74FAE34A" w14:textId="504401C9">
        <w:trPr>
          <w:cantSplit/>
          <w:trHeight w:val="287"/>
          <w:jc w:val="center"/>
        </w:trPr>
        <w:tc>
          <w:tcPr>
            <w:tcW w:w="6305" w:type="dxa"/>
            <w:shd w:val="clear" w:color="auto" w:fill="auto"/>
            <w:hideMark/>
          </w:tcPr>
          <w:p w:rsidRPr="000146D2" w:rsidR="00045313" w:rsidP="00B35D3F" w:rsidRDefault="00045313" w14:paraId="3AA7CEB1" w14:textId="08DCD5DC">
            <w:pPr>
              <w:spacing w:after="0"/>
              <w:rPr>
                <w:sz w:val="20"/>
                <w:szCs w:val="20"/>
              </w:rPr>
            </w:pPr>
            <w:r w:rsidRPr="000146D2">
              <w:rPr>
                <w:sz w:val="20"/>
                <w:szCs w:val="20"/>
              </w:rPr>
              <w:t>Total Annual Cost Per Respondent (t) = (m)+(n)+(o)+(p)+(q)+(r)+(s)</w:t>
            </w:r>
          </w:p>
        </w:tc>
        <w:tc>
          <w:tcPr>
            <w:tcW w:w="2430" w:type="dxa"/>
          </w:tcPr>
          <w:p w:rsidRPr="000146D2" w:rsidR="00045313" w:rsidP="00B35D3F" w:rsidRDefault="00045313" w14:paraId="5C056F08" w14:textId="76573A19">
            <w:pPr>
              <w:spacing w:after="0"/>
              <w:rPr>
                <w:sz w:val="20"/>
                <w:szCs w:val="20"/>
              </w:rPr>
            </w:pPr>
            <w:r w:rsidRPr="000146D2">
              <w:rPr>
                <w:sz w:val="20"/>
                <w:szCs w:val="20"/>
              </w:rPr>
              <w:t>$</w:t>
            </w:r>
            <w:r>
              <w:rPr>
                <w:sz w:val="20"/>
                <w:szCs w:val="20"/>
              </w:rPr>
              <w:t>9</w:t>
            </w:r>
            <w:r w:rsidR="00E3024B">
              <w:rPr>
                <w:sz w:val="20"/>
                <w:szCs w:val="20"/>
              </w:rPr>
              <w:t>8</w:t>
            </w:r>
            <w:r>
              <w:rPr>
                <w:sz w:val="20"/>
                <w:szCs w:val="20"/>
              </w:rPr>
              <w:t>2.6</w:t>
            </w:r>
            <w:r w:rsidR="00E3024B">
              <w:rPr>
                <w:sz w:val="20"/>
                <w:szCs w:val="20"/>
              </w:rPr>
              <w:t>5</w:t>
            </w:r>
          </w:p>
        </w:tc>
      </w:tr>
      <w:tr w:rsidRPr="00C47150" w:rsidR="00045313" w:rsidTr="00143674" w14:paraId="251B90E8" w14:textId="35D90D07">
        <w:trPr>
          <w:cantSplit/>
          <w:trHeight w:val="296"/>
          <w:jc w:val="center"/>
        </w:trPr>
        <w:tc>
          <w:tcPr>
            <w:tcW w:w="6305" w:type="dxa"/>
            <w:shd w:val="clear" w:color="auto" w:fill="D9D9D9" w:themeFill="background1" w:themeFillShade="D9"/>
            <w:hideMark/>
          </w:tcPr>
          <w:p w:rsidRPr="000146D2" w:rsidR="00045313" w:rsidP="009D2F62" w:rsidRDefault="00045313" w14:paraId="57EE7A61" w14:textId="1B051192">
            <w:pPr>
              <w:spacing w:after="0"/>
              <w:rPr>
                <w:b/>
                <w:bCs/>
                <w:sz w:val="20"/>
                <w:szCs w:val="20"/>
              </w:rPr>
            </w:pPr>
            <w:r w:rsidRPr="000146D2">
              <w:rPr>
                <w:b/>
                <w:bCs/>
                <w:sz w:val="20"/>
                <w:szCs w:val="20"/>
              </w:rPr>
              <w:t>Total Annual Cost (u) = (c)*(t)</w:t>
            </w:r>
          </w:p>
        </w:tc>
        <w:tc>
          <w:tcPr>
            <w:tcW w:w="2430" w:type="dxa"/>
            <w:shd w:val="clear" w:color="auto" w:fill="D9D9D9" w:themeFill="background1" w:themeFillShade="D9"/>
            <w:vAlign w:val="center"/>
          </w:tcPr>
          <w:p w:rsidRPr="000146D2" w:rsidR="00045313" w:rsidP="009D2F62" w:rsidRDefault="00045313" w14:paraId="62D5974A" w14:textId="5DA4E162">
            <w:pPr>
              <w:spacing w:after="0"/>
              <w:rPr>
                <w:b/>
                <w:bCs/>
                <w:sz w:val="20"/>
                <w:szCs w:val="20"/>
              </w:rPr>
            </w:pPr>
            <w:r w:rsidRPr="00A84883">
              <w:rPr>
                <w:b/>
                <w:sz w:val="20"/>
                <w:szCs w:val="20"/>
              </w:rPr>
              <w:t>$4</w:t>
            </w:r>
            <w:r w:rsidR="008525EE">
              <w:rPr>
                <w:b/>
                <w:sz w:val="20"/>
                <w:szCs w:val="20"/>
              </w:rPr>
              <w:t>6</w:t>
            </w:r>
            <w:r>
              <w:rPr>
                <w:b/>
                <w:sz w:val="20"/>
                <w:szCs w:val="20"/>
              </w:rPr>
              <w:t>,</w:t>
            </w:r>
            <w:r w:rsidR="008525EE">
              <w:rPr>
                <w:b/>
                <w:sz w:val="20"/>
                <w:szCs w:val="20"/>
              </w:rPr>
              <w:t>75</w:t>
            </w:r>
            <w:r>
              <w:rPr>
                <w:b/>
                <w:sz w:val="20"/>
                <w:szCs w:val="20"/>
              </w:rPr>
              <w:t>8,</w:t>
            </w:r>
            <w:r w:rsidR="008525EE">
              <w:rPr>
                <w:b/>
                <w:sz w:val="20"/>
                <w:szCs w:val="20"/>
              </w:rPr>
              <w:t>4</w:t>
            </w:r>
            <w:r>
              <w:rPr>
                <w:b/>
                <w:sz w:val="20"/>
                <w:szCs w:val="20"/>
              </w:rPr>
              <w:t>1</w:t>
            </w:r>
            <w:r w:rsidR="008525EE">
              <w:rPr>
                <w:b/>
                <w:sz w:val="20"/>
                <w:szCs w:val="20"/>
              </w:rPr>
              <w:t>8</w:t>
            </w:r>
          </w:p>
        </w:tc>
      </w:tr>
    </w:tbl>
    <w:p w:rsidRPr="00C351ED" w:rsidR="00C351ED" w:rsidP="00C351ED" w:rsidRDefault="00C351ED" w14:paraId="6B995C2F" w14:textId="77777777">
      <w:pPr>
        <w:ind w:firstLine="360"/>
      </w:pPr>
    </w:p>
    <w:p w:rsidRPr="0096593D" w:rsidR="00C351ED" w:rsidP="003D552B" w:rsidRDefault="00C351ED" w14:paraId="1EF3F5C6" w14:textId="2777813E">
      <w:pPr>
        <w:pStyle w:val="Heading4"/>
        <w:numPr>
          <w:ilvl w:val="3"/>
          <w:numId w:val="23"/>
        </w:numPr>
      </w:pPr>
      <w:r w:rsidRPr="0096593D">
        <w:t>Burden for Quality Data Submission by Clinicians</w:t>
      </w:r>
      <w:r w:rsidRPr="0096593D" w:rsidR="001964ED">
        <w:t xml:space="preserve"> and</w:t>
      </w:r>
      <w:r w:rsidRPr="0096593D">
        <w:t xml:space="preserve"> Groups: eCQM Collection Type</w:t>
      </w:r>
    </w:p>
    <w:p w:rsidRPr="00597766" w:rsidR="00597766" w:rsidP="00730BEF" w:rsidRDefault="00597766" w14:paraId="6122C363" w14:textId="0FE91991">
      <w:pPr>
        <w:rPr>
          <w:rFonts w:eastAsia="Calibri"/>
        </w:rPr>
      </w:pPr>
      <w:r w:rsidRPr="00597766">
        <w:rPr>
          <w:rFonts w:eastAsia="Calibri"/>
        </w:rPr>
        <w:t>As noted in Table</w:t>
      </w:r>
      <w:r w:rsidR="004B631D">
        <w:rPr>
          <w:rFonts w:eastAsia="Calibri"/>
        </w:rPr>
        <w:t xml:space="preserve"> </w:t>
      </w:r>
      <w:r w:rsidR="00211F39">
        <w:rPr>
          <w:rFonts w:eastAsia="Calibri"/>
        </w:rPr>
        <w:t>11</w:t>
      </w:r>
      <w:r w:rsidR="004B631D">
        <w:rPr>
          <w:rFonts w:eastAsia="Calibri"/>
        </w:rPr>
        <w:t xml:space="preserve"> below, </w:t>
      </w:r>
      <w:r w:rsidRPr="00377E40" w:rsidR="00377E40">
        <w:rPr>
          <w:rFonts w:eastAsia="Calibri"/>
        </w:rPr>
        <w:t xml:space="preserve">based </w:t>
      </w:r>
      <w:r w:rsidRPr="003F6059" w:rsidR="003F6059">
        <w:rPr>
          <w:rFonts w:eastAsia="Calibri"/>
        </w:rPr>
        <w:t xml:space="preserve">on </w:t>
      </w:r>
      <w:r w:rsidR="003B0D8A">
        <w:rPr>
          <w:rFonts w:eastAsia="Calibri"/>
        </w:rPr>
        <w:t xml:space="preserve">data </w:t>
      </w:r>
      <w:r w:rsidR="005E054C">
        <w:rPr>
          <w:rFonts w:eastAsia="Calibri"/>
        </w:rPr>
        <w:t xml:space="preserve">in the </w:t>
      </w:r>
      <w:r w:rsidR="003B0D8A">
        <w:rPr>
          <w:rFonts w:eastAsia="Calibri"/>
        </w:rPr>
        <w:t xml:space="preserve">CY </w:t>
      </w:r>
      <w:r w:rsidRPr="003F6059" w:rsidR="003F6059">
        <w:rPr>
          <w:rFonts w:eastAsia="Calibri"/>
        </w:rPr>
        <w:t>201</w:t>
      </w:r>
      <w:r w:rsidR="00AD59C4">
        <w:rPr>
          <w:rFonts w:eastAsia="Calibri"/>
        </w:rPr>
        <w:t>9</w:t>
      </w:r>
      <w:r w:rsidRPr="003F6059" w:rsidR="003F6059">
        <w:rPr>
          <w:rFonts w:eastAsia="Calibri"/>
        </w:rPr>
        <w:t xml:space="preserve"> performance period</w:t>
      </w:r>
      <w:r w:rsidR="005E054C">
        <w:rPr>
          <w:rFonts w:eastAsia="Calibri"/>
        </w:rPr>
        <w:t>/2021 MIPS payment year</w:t>
      </w:r>
      <w:r w:rsidRPr="003F6059" w:rsidR="003F6059">
        <w:rPr>
          <w:rFonts w:eastAsia="Calibri"/>
        </w:rPr>
        <w:t xml:space="preserve">, </w:t>
      </w:r>
      <w:r w:rsidRPr="00753E2D" w:rsidR="00753E2D">
        <w:rPr>
          <w:rFonts w:eastAsia="Calibri"/>
        </w:rPr>
        <w:t xml:space="preserve">we assume that </w:t>
      </w:r>
      <w:r w:rsidR="00FD2F34">
        <w:rPr>
          <w:rFonts w:eastAsia="Calibri"/>
        </w:rPr>
        <w:t>38</w:t>
      </w:r>
      <w:r w:rsidR="000B1B9F">
        <w:rPr>
          <w:rFonts w:eastAsia="Calibri"/>
        </w:rPr>
        <w:t>,</w:t>
      </w:r>
      <w:r w:rsidR="00FD2F34">
        <w:rPr>
          <w:rFonts w:eastAsia="Calibri"/>
        </w:rPr>
        <w:t>4</w:t>
      </w:r>
      <w:r w:rsidR="008F0962">
        <w:rPr>
          <w:rFonts w:eastAsia="Calibri"/>
        </w:rPr>
        <w:t>6</w:t>
      </w:r>
      <w:r w:rsidR="00FD2F34">
        <w:rPr>
          <w:rFonts w:eastAsia="Calibri"/>
        </w:rPr>
        <w:t>4</w:t>
      </w:r>
      <w:r w:rsidRPr="00753E2D" w:rsidR="00753E2D">
        <w:rPr>
          <w:rFonts w:eastAsia="Calibri"/>
        </w:rPr>
        <w:t xml:space="preserve"> clinicians </w:t>
      </w:r>
      <w:r w:rsidR="00EC669A">
        <w:rPr>
          <w:rFonts w:eastAsia="Calibri"/>
        </w:rPr>
        <w:t>will</w:t>
      </w:r>
      <w:r w:rsidRPr="00753E2D" w:rsidR="00753E2D">
        <w:rPr>
          <w:rFonts w:eastAsia="Calibri"/>
        </w:rPr>
        <w:t xml:space="preserve"> submit eCQMs as individuals</w:t>
      </w:r>
      <w:r w:rsidR="00EC669A">
        <w:rPr>
          <w:rFonts w:eastAsia="Calibri"/>
        </w:rPr>
        <w:t>,</w:t>
      </w:r>
      <w:r w:rsidRPr="00753E2D" w:rsidR="00753E2D">
        <w:rPr>
          <w:rFonts w:eastAsia="Calibri"/>
        </w:rPr>
        <w:t xml:space="preserve"> and </w:t>
      </w:r>
      <w:r w:rsidR="00FD2F34">
        <w:rPr>
          <w:rFonts w:eastAsia="Calibri"/>
        </w:rPr>
        <w:t>7</w:t>
      </w:r>
      <w:r w:rsidRPr="00753E2D" w:rsidR="00753E2D">
        <w:rPr>
          <w:rFonts w:eastAsia="Calibri"/>
        </w:rPr>
        <w:t>,</w:t>
      </w:r>
      <w:r w:rsidR="00FD2F34">
        <w:rPr>
          <w:rFonts w:eastAsia="Calibri"/>
        </w:rPr>
        <w:t>296</w:t>
      </w:r>
      <w:r w:rsidRPr="00753E2D" w:rsidR="00753E2D">
        <w:rPr>
          <w:rFonts w:eastAsia="Calibri"/>
        </w:rPr>
        <w:t xml:space="preserve"> groups and virtual groups </w:t>
      </w:r>
      <w:r w:rsidR="00C84E67">
        <w:rPr>
          <w:rFonts w:eastAsia="Calibri"/>
        </w:rPr>
        <w:t>will</w:t>
      </w:r>
      <w:r w:rsidRPr="00753E2D" w:rsidR="00753E2D">
        <w:rPr>
          <w:rFonts w:eastAsia="Calibri"/>
        </w:rPr>
        <w:t xml:space="preserve"> submit </w:t>
      </w:r>
      <w:r w:rsidR="00C84E67">
        <w:rPr>
          <w:rFonts w:eastAsia="Calibri"/>
        </w:rPr>
        <w:t xml:space="preserve">quality data </w:t>
      </w:r>
      <w:r w:rsidR="005217B6">
        <w:rPr>
          <w:rFonts w:eastAsia="Calibri"/>
        </w:rPr>
        <w:t xml:space="preserve">using the </w:t>
      </w:r>
      <w:r w:rsidRPr="00753E2D" w:rsidR="00753E2D">
        <w:rPr>
          <w:rFonts w:eastAsia="Calibri"/>
        </w:rPr>
        <w:t>eCQM</w:t>
      </w:r>
      <w:r w:rsidR="005217B6">
        <w:rPr>
          <w:rFonts w:eastAsia="Calibri"/>
        </w:rPr>
        <w:t xml:space="preserve"> collection type</w:t>
      </w:r>
      <w:r w:rsidR="002245A8">
        <w:rPr>
          <w:rFonts w:eastAsia="Calibri"/>
        </w:rPr>
        <w:t xml:space="preserve"> for the CY 2023 performance period/2025 MIPS payment year</w:t>
      </w:r>
      <w:r w:rsidR="00FD2F34">
        <w:rPr>
          <w:rFonts w:eastAsia="Calibri"/>
        </w:rPr>
        <w:t xml:space="preserve">. </w:t>
      </w:r>
      <w:r w:rsidRPr="00753E2D" w:rsidR="00753E2D">
        <w:rPr>
          <w:rFonts w:eastAsia="Calibri"/>
        </w:rPr>
        <w:t>We expect the burden to be the same for each respondent using the eCQM collection type, whether the clinician is participating in MIPS as an individual or group</w:t>
      </w:r>
      <w:r w:rsidRPr="00C40280" w:rsidR="00C40280">
        <w:rPr>
          <w:rFonts w:eastAsia="Calibri"/>
        </w:rPr>
        <w:t>.</w:t>
      </w:r>
    </w:p>
    <w:p w:rsidRPr="0015124B" w:rsidR="0015124B" w:rsidP="00730BEF" w:rsidRDefault="0015124B" w14:paraId="5FCC58BC" w14:textId="77777777">
      <w:pPr>
        <w:rPr>
          <w:rFonts w:eastAsia="Calibri"/>
        </w:rPr>
      </w:pPr>
      <w:r w:rsidRPr="0015124B">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rsidRPr="00597766" w:rsidR="00597766" w:rsidP="00730BEF" w:rsidRDefault="003F6059" w14:paraId="7BB59BA9" w14:textId="0B3DBF8E">
      <w:pPr>
        <w:rPr>
          <w:rFonts w:eastAsia="Calibri"/>
        </w:rPr>
      </w:pPr>
      <w:r w:rsidRPr="003F6059">
        <w:rPr>
          <w:rFonts w:eastAsia="Calibri"/>
        </w:rPr>
        <w:t xml:space="preserve">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a QCDR/qualified registry or use a health IT vendor to submit the data on 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w:t>
      </w:r>
      <w:r>
        <w:rPr>
          <w:rFonts w:eastAsia="Calibri"/>
        </w:rPr>
        <w:t>QCDR/qualified registry</w:t>
      </w:r>
      <w:r w:rsidRPr="00597766" w:rsidR="00597766">
        <w:rPr>
          <w:rFonts w:eastAsia="Calibri"/>
        </w:rPr>
        <w:t xml:space="preserve">.  </w:t>
      </w:r>
    </w:p>
    <w:p w:rsidR="00BC2347" w:rsidP="00730BEF" w:rsidRDefault="004F1BA0" w14:paraId="17817310" w14:textId="19E0E555">
      <w:pPr>
        <w:rPr>
          <w:rFonts w:eastAsia="Calibri"/>
        </w:rPr>
      </w:pPr>
      <w:r w:rsidRPr="00CC2BFB">
        <w:rPr>
          <w:rFonts w:eastAsia="Calibri"/>
        </w:rPr>
        <w:lastRenderedPageBreak/>
        <w:t>We estimate that it will take no more than 2 hours at $9</w:t>
      </w:r>
      <w:r w:rsidR="00386543">
        <w:rPr>
          <w:rFonts w:eastAsia="Calibri"/>
        </w:rPr>
        <w:t>8</w:t>
      </w:r>
      <w:r w:rsidR="00A41551">
        <w:rPr>
          <w:rFonts w:eastAsia="Calibri"/>
        </w:rPr>
        <w:t>.2</w:t>
      </w:r>
      <w:r w:rsidR="00386543">
        <w:rPr>
          <w:rFonts w:eastAsia="Calibri"/>
        </w:rPr>
        <w:t>8</w:t>
      </w:r>
      <w:r w:rsidRPr="00CC2BFB">
        <w:rPr>
          <w:rFonts w:eastAsia="Calibri"/>
        </w:rPr>
        <w:t>/</w:t>
      </w:r>
      <w:proofErr w:type="spellStart"/>
      <w:r w:rsidRPr="00CC2BFB">
        <w:rPr>
          <w:rFonts w:eastAsia="Calibri"/>
        </w:rPr>
        <w:t>hr</w:t>
      </w:r>
      <w:proofErr w:type="spellEnd"/>
      <w:r w:rsidRPr="00CC2BFB">
        <w:rPr>
          <w:rFonts w:eastAsia="Calibri"/>
        </w:rPr>
        <w:t xml:space="preserve"> for a computer systems analyst to submit the actual data file.  The burden will also involve becoming familiar with MIPS 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t>
      </w:r>
      <w:r w:rsidRPr="003F6059" w:rsidR="003F6059">
        <w:rPr>
          <w:rFonts w:eastAsia="Calibri"/>
        </w:rPr>
        <w:t>we estimate 2 hours at $11</w:t>
      </w:r>
      <w:r w:rsidR="005D099D">
        <w:rPr>
          <w:rFonts w:eastAsia="Calibri"/>
        </w:rPr>
        <w:t>5</w:t>
      </w:r>
      <w:r w:rsidR="00A41551">
        <w:rPr>
          <w:rFonts w:eastAsia="Calibri"/>
        </w:rPr>
        <w:t>.2</w:t>
      </w:r>
      <w:r w:rsidR="005D099D">
        <w:rPr>
          <w:rFonts w:eastAsia="Calibri"/>
        </w:rPr>
        <w:t>2</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for a medical and health services manager, 1 hour at $2</w:t>
      </w:r>
      <w:r w:rsidR="005D099D">
        <w:rPr>
          <w:rFonts w:eastAsia="Calibri"/>
        </w:rPr>
        <w:t>59</w:t>
      </w:r>
      <w:r w:rsidR="00A41551">
        <w:rPr>
          <w:rFonts w:eastAsia="Calibri"/>
        </w:rPr>
        <w:t>.</w:t>
      </w:r>
      <w:r w:rsidR="005D099D">
        <w:rPr>
          <w:rFonts w:eastAsia="Calibri"/>
        </w:rPr>
        <w:t>98</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for a physician, 1 hour at $9</w:t>
      </w:r>
      <w:r w:rsidR="005D099D">
        <w:rPr>
          <w:rFonts w:eastAsia="Calibri"/>
        </w:rPr>
        <w:t>8</w:t>
      </w:r>
      <w:r w:rsidR="00A41551">
        <w:rPr>
          <w:rFonts w:eastAsia="Calibri"/>
        </w:rPr>
        <w:t>.2</w:t>
      </w:r>
      <w:r w:rsidR="005D099D">
        <w:rPr>
          <w:rFonts w:eastAsia="Calibri"/>
        </w:rPr>
        <w:t>8</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for a computer systems analyst, 1 hour at $4</w:t>
      </w:r>
      <w:r w:rsidR="005D099D">
        <w:rPr>
          <w:rFonts w:eastAsia="Calibri"/>
        </w:rPr>
        <w:t>9</w:t>
      </w:r>
      <w:r w:rsidR="00A41551">
        <w:rPr>
          <w:rFonts w:eastAsia="Calibri"/>
        </w:rPr>
        <w:t>.</w:t>
      </w:r>
      <w:r w:rsidR="005D099D">
        <w:rPr>
          <w:rFonts w:eastAsia="Calibri"/>
        </w:rPr>
        <w:t>8</w:t>
      </w:r>
      <w:r w:rsidR="00A41551">
        <w:rPr>
          <w:rFonts w:eastAsia="Calibri"/>
        </w:rPr>
        <w:t>6</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for an LPN, and 1 hour at $</w:t>
      </w:r>
      <w:r w:rsidR="00A41551">
        <w:rPr>
          <w:rFonts w:eastAsia="Calibri"/>
        </w:rPr>
        <w:t>4</w:t>
      </w:r>
      <w:r w:rsidR="005D099D">
        <w:rPr>
          <w:rFonts w:eastAsia="Calibri"/>
        </w:rPr>
        <w:t>1</w:t>
      </w:r>
      <w:r w:rsidR="00A41551">
        <w:rPr>
          <w:rFonts w:eastAsia="Calibri"/>
        </w:rPr>
        <w:t>.</w:t>
      </w:r>
      <w:r w:rsidR="005D099D">
        <w:rPr>
          <w:rFonts w:eastAsia="Calibri"/>
        </w:rPr>
        <w:t>1</w:t>
      </w:r>
      <w:r w:rsidR="00A41551">
        <w:rPr>
          <w:rFonts w:eastAsia="Calibri"/>
        </w:rPr>
        <w:t>0</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for a billing clerk. </w:t>
      </w:r>
      <w:r w:rsidR="001E287C">
        <w:rPr>
          <w:rFonts w:eastAsia="Calibri"/>
        </w:rPr>
        <w:t xml:space="preserve"> </w:t>
      </w:r>
      <w:r w:rsidR="003F6059">
        <w:rPr>
          <w:rFonts w:eastAsia="Calibri"/>
        </w:rPr>
        <w:t xml:space="preserve">As shown in Table </w:t>
      </w:r>
      <w:r w:rsidR="00E466B5">
        <w:rPr>
          <w:rFonts w:eastAsia="Calibri"/>
        </w:rPr>
        <w:t>11</w:t>
      </w:r>
      <w:r w:rsidR="003F6059">
        <w:rPr>
          <w:rFonts w:eastAsia="Calibri"/>
        </w:rPr>
        <w:t xml:space="preserve">, </w:t>
      </w:r>
      <w:r w:rsidRPr="003F6059" w:rsidR="003F6059">
        <w:rPr>
          <w:rFonts w:eastAsia="Calibri"/>
        </w:rPr>
        <w:t>we estimate a cost of $</w:t>
      </w:r>
      <w:r w:rsidR="00D979BD">
        <w:rPr>
          <w:rFonts w:eastAsia="Calibri"/>
        </w:rPr>
        <w:t>8</w:t>
      </w:r>
      <w:r w:rsidR="00E466B5">
        <w:rPr>
          <w:rFonts w:eastAsia="Calibri"/>
        </w:rPr>
        <w:t>76</w:t>
      </w:r>
      <w:r w:rsidR="00173E43">
        <w:rPr>
          <w:rFonts w:eastAsia="Calibri"/>
        </w:rPr>
        <w:t>.</w:t>
      </w:r>
      <w:r w:rsidR="00E466B5">
        <w:rPr>
          <w:rFonts w:eastAsia="Calibri"/>
        </w:rPr>
        <w:t>22</w:t>
      </w:r>
      <w:r w:rsidRPr="003F6059" w:rsidR="003F6059">
        <w:rPr>
          <w:rFonts w:eastAsia="Calibri"/>
        </w:rPr>
        <w:t xml:space="preserve">/response [(2 </w:t>
      </w:r>
      <w:proofErr w:type="spellStart"/>
      <w:r w:rsidRPr="003F6059" w:rsidR="003F6059">
        <w:rPr>
          <w:rFonts w:eastAsia="Calibri"/>
        </w:rPr>
        <w:t>hr</w:t>
      </w:r>
      <w:proofErr w:type="spellEnd"/>
      <w:r w:rsidRPr="003F6059" w:rsidR="003F6059">
        <w:rPr>
          <w:rFonts w:eastAsia="Calibri"/>
        </w:rPr>
        <w:t xml:space="preserve"> x $9</w:t>
      </w:r>
      <w:r w:rsidR="00E466B5">
        <w:rPr>
          <w:rFonts w:eastAsia="Calibri"/>
        </w:rPr>
        <w:t>8</w:t>
      </w:r>
      <w:r w:rsidR="00990C21">
        <w:rPr>
          <w:rFonts w:eastAsia="Calibri"/>
        </w:rPr>
        <w:t>.2</w:t>
      </w:r>
      <w:r w:rsidR="00E466B5">
        <w:rPr>
          <w:rFonts w:eastAsia="Calibri"/>
        </w:rPr>
        <w:t>8</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 (2 </w:t>
      </w:r>
      <w:proofErr w:type="spellStart"/>
      <w:r w:rsidRPr="003F6059" w:rsidR="003F6059">
        <w:rPr>
          <w:rFonts w:eastAsia="Calibri"/>
        </w:rPr>
        <w:t>hr</w:t>
      </w:r>
      <w:proofErr w:type="spellEnd"/>
      <w:r w:rsidRPr="003F6059" w:rsidR="003F6059">
        <w:rPr>
          <w:rFonts w:eastAsia="Calibri"/>
        </w:rPr>
        <w:t xml:space="preserve"> x $11</w:t>
      </w:r>
      <w:r w:rsidR="00E466B5">
        <w:rPr>
          <w:rFonts w:eastAsia="Calibri"/>
        </w:rPr>
        <w:t>5</w:t>
      </w:r>
      <w:r w:rsidR="00990C21">
        <w:rPr>
          <w:rFonts w:eastAsia="Calibri"/>
        </w:rPr>
        <w:t>.2</w:t>
      </w:r>
      <w:r w:rsidR="00E466B5">
        <w:rPr>
          <w:rFonts w:eastAsia="Calibri"/>
        </w:rPr>
        <w:t>2</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 (1 </w:t>
      </w:r>
      <w:proofErr w:type="spellStart"/>
      <w:r w:rsidRPr="003F6059" w:rsidR="003F6059">
        <w:rPr>
          <w:rFonts w:eastAsia="Calibri"/>
        </w:rPr>
        <w:t>hr</w:t>
      </w:r>
      <w:proofErr w:type="spellEnd"/>
      <w:r w:rsidRPr="003F6059" w:rsidR="003F6059">
        <w:rPr>
          <w:rFonts w:eastAsia="Calibri"/>
        </w:rPr>
        <w:t xml:space="preserve"> x $2</w:t>
      </w:r>
      <w:r w:rsidR="002C735C">
        <w:rPr>
          <w:rFonts w:eastAsia="Calibri"/>
        </w:rPr>
        <w:t>59</w:t>
      </w:r>
      <w:r w:rsidR="00990C21">
        <w:rPr>
          <w:rFonts w:eastAsia="Calibri"/>
        </w:rPr>
        <w:t>.</w:t>
      </w:r>
      <w:r w:rsidR="002C735C">
        <w:rPr>
          <w:rFonts w:eastAsia="Calibri"/>
        </w:rPr>
        <w:t>98</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 (1 </w:t>
      </w:r>
      <w:proofErr w:type="spellStart"/>
      <w:r w:rsidRPr="003F6059" w:rsidR="003F6059">
        <w:rPr>
          <w:rFonts w:eastAsia="Calibri"/>
        </w:rPr>
        <w:t>hr</w:t>
      </w:r>
      <w:proofErr w:type="spellEnd"/>
      <w:r w:rsidRPr="003F6059" w:rsidR="003F6059">
        <w:rPr>
          <w:rFonts w:eastAsia="Calibri"/>
        </w:rPr>
        <w:t xml:space="preserve"> x $9</w:t>
      </w:r>
      <w:r w:rsidR="002C735C">
        <w:rPr>
          <w:rFonts w:eastAsia="Calibri"/>
        </w:rPr>
        <w:t>8</w:t>
      </w:r>
      <w:r w:rsidR="002F2652">
        <w:rPr>
          <w:rFonts w:eastAsia="Calibri"/>
        </w:rPr>
        <w:t>.2</w:t>
      </w:r>
      <w:r w:rsidR="002C735C">
        <w:rPr>
          <w:rFonts w:eastAsia="Calibri"/>
        </w:rPr>
        <w:t>8</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 (1 </w:t>
      </w:r>
      <w:proofErr w:type="spellStart"/>
      <w:r w:rsidRPr="003F6059" w:rsidR="003F6059">
        <w:rPr>
          <w:rFonts w:eastAsia="Calibri"/>
        </w:rPr>
        <w:t>hr</w:t>
      </w:r>
      <w:proofErr w:type="spellEnd"/>
      <w:r w:rsidRPr="003F6059" w:rsidR="003F6059">
        <w:rPr>
          <w:rFonts w:eastAsia="Calibri"/>
        </w:rPr>
        <w:t xml:space="preserve"> x $4</w:t>
      </w:r>
      <w:r w:rsidR="002C735C">
        <w:rPr>
          <w:rFonts w:eastAsia="Calibri"/>
        </w:rPr>
        <w:t>9</w:t>
      </w:r>
      <w:r w:rsidR="002F2652">
        <w:rPr>
          <w:rFonts w:eastAsia="Calibri"/>
        </w:rPr>
        <w:t>.</w:t>
      </w:r>
      <w:r w:rsidR="002C735C">
        <w:rPr>
          <w:rFonts w:eastAsia="Calibri"/>
        </w:rPr>
        <w:t>8</w:t>
      </w:r>
      <w:r w:rsidR="002F2652">
        <w:rPr>
          <w:rFonts w:eastAsia="Calibri"/>
        </w:rPr>
        <w:t>6</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 xml:space="preserve">) + (1 </w:t>
      </w:r>
      <w:proofErr w:type="spellStart"/>
      <w:r w:rsidRPr="003F6059" w:rsidR="003F6059">
        <w:rPr>
          <w:rFonts w:eastAsia="Calibri"/>
        </w:rPr>
        <w:t>hr</w:t>
      </w:r>
      <w:proofErr w:type="spellEnd"/>
      <w:r w:rsidRPr="003F6059" w:rsidR="003F6059">
        <w:rPr>
          <w:rFonts w:eastAsia="Calibri"/>
        </w:rPr>
        <w:t xml:space="preserve"> x $</w:t>
      </w:r>
      <w:r w:rsidR="002F2652">
        <w:rPr>
          <w:rFonts w:eastAsia="Calibri"/>
        </w:rPr>
        <w:t>4</w:t>
      </w:r>
      <w:r w:rsidR="002C735C">
        <w:rPr>
          <w:rFonts w:eastAsia="Calibri"/>
        </w:rPr>
        <w:t>1</w:t>
      </w:r>
      <w:r w:rsidR="002F2652">
        <w:rPr>
          <w:rFonts w:eastAsia="Calibri"/>
        </w:rPr>
        <w:t>.</w:t>
      </w:r>
      <w:r w:rsidR="002C735C">
        <w:rPr>
          <w:rFonts w:eastAsia="Calibri"/>
        </w:rPr>
        <w:t>1</w:t>
      </w:r>
      <w:r w:rsidR="002F2652">
        <w:rPr>
          <w:rFonts w:eastAsia="Calibri"/>
        </w:rPr>
        <w:t>0</w:t>
      </w:r>
      <w:r w:rsidRPr="003F6059" w:rsidR="003F6059">
        <w:rPr>
          <w:rFonts w:eastAsia="Calibri"/>
        </w:rPr>
        <w:t>/</w:t>
      </w:r>
      <w:proofErr w:type="spellStart"/>
      <w:r w:rsidRPr="003F6059" w:rsidR="003F6059">
        <w:rPr>
          <w:rFonts w:eastAsia="Calibri"/>
        </w:rPr>
        <w:t>hr</w:t>
      </w:r>
      <w:proofErr w:type="spellEnd"/>
      <w:r w:rsidRPr="003F6059" w:rsidR="003F6059">
        <w:rPr>
          <w:rFonts w:eastAsia="Calibri"/>
        </w:rPr>
        <w:t>)]</w:t>
      </w:r>
      <w:r w:rsidRPr="00BC2347" w:rsidR="00BC2347">
        <w:rPr>
          <w:rFonts w:eastAsia="Calibri"/>
        </w:rPr>
        <w:t xml:space="preserve">.  </w:t>
      </w:r>
    </w:p>
    <w:p w:rsidRPr="00BC2347" w:rsidR="001E287C" w:rsidP="00730BEF" w:rsidRDefault="001248C6" w14:paraId="27843669" w14:textId="7D169E30">
      <w:pPr>
        <w:rPr>
          <w:rFonts w:eastAsia="Calibri"/>
        </w:rPr>
      </w:pPr>
      <w:r>
        <w:rPr>
          <w:rFonts w:eastAsia="Calibri"/>
        </w:rPr>
        <w:t xml:space="preserve">As shown in Table 11, for </w:t>
      </w:r>
      <w:r w:rsidRPr="001E287C" w:rsidR="001E287C">
        <w:rPr>
          <w:rFonts w:eastAsia="Calibri"/>
        </w:rPr>
        <w:t xml:space="preserve">the </w:t>
      </w:r>
      <w:r w:rsidR="00651DBA">
        <w:rPr>
          <w:rFonts w:eastAsia="Calibri"/>
        </w:rPr>
        <w:t xml:space="preserve">CY </w:t>
      </w:r>
      <w:r w:rsidRPr="001E287C" w:rsidR="001E287C">
        <w:rPr>
          <w:rFonts w:eastAsia="Calibri"/>
        </w:rPr>
        <w:t>202</w:t>
      </w:r>
      <w:r w:rsidR="00651DBA">
        <w:rPr>
          <w:rFonts w:eastAsia="Calibri"/>
        </w:rPr>
        <w:t>3</w:t>
      </w:r>
      <w:r w:rsidR="00D15369">
        <w:rPr>
          <w:rFonts w:eastAsia="Calibri"/>
        </w:rPr>
        <w:t xml:space="preserve"> </w:t>
      </w:r>
      <w:r w:rsidRPr="001E287C" w:rsidR="001E287C">
        <w:rPr>
          <w:rFonts w:eastAsia="Calibri"/>
        </w:rPr>
        <w:t>performance period</w:t>
      </w:r>
      <w:r w:rsidR="00651DBA">
        <w:rPr>
          <w:rFonts w:eastAsia="Calibri"/>
        </w:rPr>
        <w:t>/2025 MIPS payment year</w:t>
      </w:r>
      <w:r w:rsidRPr="001E287C" w:rsidR="001E287C">
        <w:rPr>
          <w:rFonts w:eastAsia="Calibri"/>
        </w:rPr>
        <w:t xml:space="preserve">, we estimate a burden of </w:t>
      </w:r>
      <w:r w:rsidRPr="00871E51" w:rsidR="0024339E">
        <w:rPr>
          <w:rFonts w:eastAsia="Calibri"/>
        </w:rPr>
        <w:t>3</w:t>
      </w:r>
      <w:r>
        <w:rPr>
          <w:rFonts w:eastAsia="Calibri"/>
        </w:rPr>
        <w:t>66</w:t>
      </w:r>
      <w:r w:rsidRPr="00871E51" w:rsidR="0024339E">
        <w:rPr>
          <w:rFonts w:eastAsia="Calibri"/>
        </w:rPr>
        <w:t>,</w:t>
      </w:r>
      <w:r>
        <w:rPr>
          <w:rFonts w:eastAsia="Calibri"/>
        </w:rPr>
        <w:t>0</w:t>
      </w:r>
      <w:r w:rsidRPr="00871E51" w:rsidR="0024339E">
        <w:rPr>
          <w:rFonts w:eastAsia="Calibri"/>
        </w:rPr>
        <w:t>8</w:t>
      </w:r>
      <w:r>
        <w:rPr>
          <w:rFonts w:eastAsia="Calibri"/>
        </w:rPr>
        <w:t>0</w:t>
      </w:r>
      <w:r w:rsidRPr="00871E51" w:rsidR="0024339E">
        <w:rPr>
          <w:rFonts w:eastAsia="Calibri"/>
        </w:rPr>
        <w:t xml:space="preserve"> </w:t>
      </w:r>
      <w:r w:rsidRPr="001E287C" w:rsidR="001E287C">
        <w:rPr>
          <w:rFonts w:eastAsia="Calibri"/>
        </w:rPr>
        <w:t xml:space="preserve">hours </w:t>
      </w:r>
      <w:r w:rsidR="00BC30C6">
        <w:rPr>
          <w:rFonts w:eastAsia="Calibri"/>
        </w:rPr>
        <w:t>[</w:t>
      </w:r>
      <w:r w:rsidRPr="001E287C" w:rsidR="001E287C">
        <w:rPr>
          <w:rFonts w:eastAsia="Calibri"/>
        </w:rPr>
        <w:t xml:space="preserve">8 </w:t>
      </w:r>
      <w:proofErr w:type="spellStart"/>
      <w:r w:rsidRPr="001E287C" w:rsidR="001E287C">
        <w:rPr>
          <w:rFonts w:eastAsia="Calibri"/>
        </w:rPr>
        <w:t>hr</w:t>
      </w:r>
      <w:proofErr w:type="spellEnd"/>
      <w:r w:rsidRPr="001E287C" w:rsidR="001E287C">
        <w:rPr>
          <w:rFonts w:eastAsia="Calibri"/>
        </w:rPr>
        <w:t xml:space="preserve"> x </w:t>
      </w:r>
      <w:r w:rsidR="006649BC">
        <w:rPr>
          <w:rFonts w:eastAsia="Calibri"/>
        </w:rPr>
        <w:t>4</w:t>
      </w:r>
      <w:r>
        <w:rPr>
          <w:rFonts w:eastAsia="Calibri"/>
        </w:rPr>
        <w:t>5</w:t>
      </w:r>
      <w:r w:rsidR="006649BC">
        <w:rPr>
          <w:rFonts w:eastAsia="Calibri"/>
        </w:rPr>
        <w:t>,7</w:t>
      </w:r>
      <w:r>
        <w:rPr>
          <w:rFonts w:eastAsia="Calibri"/>
        </w:rPr>
        <w:t>60</w:t>
      </w:r>
      <w:r w:rsidR="006649BC">
        <w:rPr>
          <w:rFonts w:eastAsia="Calibri"/>
        </w:rPr>
        <w:t xml:space="preserve"> (</w:t>
      </w:r>
      <w:r w:rsidR="00104FB4">
        <w:rPr>
          <w:rFonts w:eastAsia="Calibri"/>
        </w:rPr>
        <w:t>7,</w:t>
      </w:r>
      <w:r>
        <w:rPr>
          <w:rFonts w:eastAsia="Calibri"/>
        </w:rPr>
        <w:t>296</w:t>
      </w:r>
      <w:r w:rsidRPr="001E287C" w:rsidR="001E287C">
        <w:rPr>
          <w:rFonts w:eastAsia="Calibri"/>
        </w:rPr>
        <w:t xml:space="preserve"> groups and </w:t>
      </w:r>
      <w:r w:rsidR="00445C09">
        <w:rPr>
          <w:rFonts w:eastAsia="Calibri"/>
        </w:rPr>
        <w:t>3</w:t>
      </w:r>
      <w:r>
        <w:rPr>
          <w:rFonts w:eastAsia="Calibri"/>
        </w:rPr>
        <w:t>8</w:t>
      </w:r>
      <w:r w:rsidR="00445C09">
        <w:rPr>
          <w:rFonts w:eastAsia="Calibri"/>
        </w:rPr>
        <w:t>,4</w:t>
      </w:r>
      <w:r>
        <w:rPr>
          <w:rFonts w:eastAsia="Calibri"/>
        </w:rPr>
        <w:t>64</w:t>
      </w:r>
      <w:r w:rsidR="00445C09">
        <w:rPr>
          <w:rFonts w:eastAsia="Calibri"/>
        </w:rPr>
        <w:t xml:space="preserve"> </w:t>
      </w:r>
      <w:r w:rsidRPr="001E287C" w:rsidR="001E287C">
        <w:rPr>
          <w:rFonts w:eastAsia="Calibri"/>
        </w:rPr>
        <w:t>clinicians submitting as individuals)</w:t>
      </w:r>
      <w:r w:rsidR="00BC30C6">
        <w:rPr>
          <w:rFonts w:eastAsia="Calibri"/>
        </w:rPr>
        <w:t>]</w:t>
      </w:r>
      <w:r w:rsidRPr="001E287C" w:rsidR="001E287C">
        <w:rPr>
          <w:rFonts w:eastAsia="Calibri"/>
        </w:rPr>
        <w:t xml:space="preserve"> at a cost of $</w:t>
      </w:r>
      <w:r w:rsidR="00517266">
        <w:rPr>
          <w:rFonts w:eastAsia="Calibri"/>
        </w:rPr>
        <w:t>40</w:t>
      </w:r>
      <w:r w:rsidR="008B7889">
        <w:rPr>
          <w:rFonts w:eastAsia="Calibri"/>
        </w:rPr>
        <w:t>,</w:t>
      </w:r>
      <w:r w:rsidR="00517266">
        <w:rPr>
          <w:rFonts w:eastAsia="Calibri"/>
        </w:rPr>
        <w:t>095</w:t>
      </w:r>
      <w:r w:rsidR="008B7889">
        <w:rPr>
          <w:rFonts w:eastAsia="Calibri"/>
        </w:rPr>
        <w:t>,</w:t>
      </w:r>
      <w:r w:rsidR="00517266">
        <w:rPr>
          <w:rFonts w:eastAsia="Calibri"/>
        </w:rPr>
        <w:t>827</w:t>
      </w:r>
      <w:r w:rsidRPr="001E287C" w:rsidR="001E287C">
        <w:rPr>
          <w:rFonts w:eastAsia="Calibri"/>
        </w:rPr>
        <w:t xml:space="preserve"> (</w:t>
      </w:r>
      <w:r w:rsidR="008B7889">
        <w:rPr>
          <w:rFonts w:eastAsia="Calibri"/>
        </w:rPr>
        <w:t>4</w:t>
      </w:r>
      <w:r w:rsidR="00517266">
        <w:rPr>
          <w:rFonts w:eastAsia="Calibri"/>
        </w:rPr>
        <w:t>5</w:t>
      </w:r>
      <w:r w:rsidR="008B7889">
        <w:rPr>
          <w:rFonts w:eastAsia="Calibri"/>
        </w:rPr>
        <w:t>,7</w:t>
      </w:r>
      <w:r w:rsidR="00517266">
        <w:rPr>
          <w:rFonts w:eastAsia="Calibri"/>
        </w:rPr>
        <w:t>60</w:t>
      </w:r>
      <w:r w:rsidRPr="001E287C" w:rsidR="001E287C">
        <w:rPr>
          <w:rFonts w:eastAsia="Calibri"/>
        </w:rPr>
        <w:t xml:space="preserve"> responses x $</w:t>
      </w:r>
      <w:r w:rsidR="00281915">
        <w:rPr>
          <w:rFonts w:eastAsia="Calibri"/>
        </w:rPr>
        <w:t>8</w:t>
      </w:r>
      <w:r w:rsidR="00517266">
        <w:rPr>
          <w:rFonts w:eastAsia="Calibri"/>
        </w:rPr>
        <w:t>76</w:t>
      </w:r>
      <w:r w:rsidR="00281915">
        <w:rPr>
          <w:rFonts w:eastAsia="Calibri"/>
        </w:rPr>
        <w:t>.</w:t>
      </w:r>
      <w:r w:rsidR="00517266">
        <w:rPr>
          <w:rFonts w:eastAsia="Calibri"/>
        </w:rPr>
        <w:t>22</w:t>
      </w:r>
      <w:r w:rsidRPr="001E287C" w:rsidR="001E287C">
        <w:rPr>
          <w:rFonts w:eastAsia="Calibri"/>
        </w:rPr>
        <w:t>/response</w:t>
      </w:r>
      <w:r w:rsidR="001E287C">
        <w:rPr>
          <w:rFonts w:eastAsia="Calibri"/>
        </w:rPr>
        <w:t>).</w:t>
      </w:r>
    </w:p>
    <w:p w:rsidRPr="00C47150" w:rsidR="00C351ED" w:rsidP="00334306" w:rsidRDefault="00C351ED" w14:paraId="5AD8D160" w14:textId="4905B3F3">
      <w:pPr>
        <w:keepNext/>
        <w:keepLines/>
        <w:spacing w:after="0"/>
        <w:jc w:val="center"/>
        <w:rPr>
          <w:b/>
        </w:rPr>
      </w:pPr>
      <w:r w:rsidRPr="00C47150">
        <w:rPr>
          <w:b/>
        </w:rPr>
        <w:t xml:space="preserve">TABLE </w:t>
      </w:r>
      <w:r w:rsidR="00181CE4">
        <w:rPr>
          <w:b/>
        </w:rPr>
        <w:t>11</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5"/>
        <w:gridCol w:w="2075"/>
      </w:tblGrid>
      <w:tr w:rsidRPr="00C47150" w:rsidR="00F243D4" w:rsidTr="006140C8" w14:paraId="5D805747" w14:textId="3BAD4D9E">
        <w:trPr>
          <w:cantSplit/>
          <w:trHeight w:val="315"/>
          <w:tblHeader/>
          <w:jc w:val="center"/>
        </w:trPr>
        <w:tc>
          <w:tcPr>
            <w:tcW w:w="7375" w:type="dxa"/>
            <w:shd w:val="clear" w:color="auto" w:fill="auto"/>
            <w:vAlign w:val="center"/>
            <w:hideMark/>
          </w:tcPr>
          <w:p w:rsidRPr="00C351ED" w:rsidR="00F243D4" w:rsidP="0012106B" w:rsidRDefault="00F243D4" w14:paraId="00783F55" w14:textId="6B39AEAD">
            <w:pPr>
              <w:keepNext/>
              <w:keepLines/>
              <w:spacing w:after="0"/>
              <w:rPr>
                <w:b/>
                <w:sz w:val="20"/>
                <w:szCs w:val="20"/>
              </w:rPr>
            </w:pPr>
            <w:r w:rsidRPr="00C351ED">
              <w:rPr>
                <w:b/>
                <w:sz w:val="20"/>
                <w:szCs w:val="20"/>
              </w:rPr>
              <w:t>Burden and Respondent Descriptions </w:t>
            </w:r>
          </w:p>
        </w:tc>
        <w:tc>
          <w:tcPr>
            <w:tcW w:w="2075" w:type="dxa"/>
            <w:vAlign w:val="bottom"/>
          </w:tcPr>
          <w:p w:rsidRPr="00732012" w:rsidR="00F243D4" w:rsidP="006140C8" w:rsidRDefault="00F243D4" w14:paraId="02877C7F" w14:textId="7AD55E38">
            <w:pPr>
              <w:keepNext/>
              <w:keepLines/>
              <w:spacing w:after="0"/>
              <w:rPr>
                <w:b/>
                <w:sz w:val="20"/>
                <w:szCs w:val="20"/>
              </w:rPr>
            </w:pPr>
            <w:r w:rsidRPr="00CC1878">
              <w:rPr>
                <w:rFonts w:eastAsia="Calibri"/>
                <w:b/>
                <w:sz w:val="20"/>
                <w:szCs w:val="20"/>
              </w:rPr>
              <w:t>Burden estimate</w:t>
            </w:r>
          </w:p>
        </w:tc>
      </w:tr>
      <w:tr w:rsidRPr="00C47150" w:rsidR="00F243D4" w:rsidTr="006140C8" w14:paraId="6827D5AD" w14:textId="2861D1A8">
        <w:trPr>
          <w:trHeight w:val="296"/>
          <w:jc w:val="center"/>
        </w:trPr>
        <w:tc>
          <w:tcPr>
            <w:tcW w:w="7375" w:type="dxa"/>
            <w:shd w:val="clear" w:color="auto" w:fill="auto"/>
            <w:hideMark/>
          </w:tcPr>
          <w:p w:rsidRPr="001742C7" w:rsidR="00F243D4" w:rsidP="00A55FB3" w:rsidRDefault="00F243D4" w14:paraId="1FA11F1E" w14:textId="668C8E97">
            <w:pPr>
              <w:keepNext/>
              <w:keepLines/>
              <w:spacing w:after="0"/>
              <w:rPr>
                <w:sz w:val="20"/>
                <w:szCs w:val="20"/>
              </w:rPr>
            </w:pPr>
            <w:r w:rsidRPr="00732012">
              <w:rPr>
                <w:sz w:val="20"/>
                <w:szCs w:val="20"/>
              </w:rPr>
              <w:t xml:space="preserve"># of </w:t>
            </w:r>
            <w:r w:rsidR="007D7574">
              <w:rPr>
                <w:sz w:val="20"/>
                <w:szCs w:val="20"/>
              </w:rPr>
              <w:t>C</w:t>
            </w:r>
            <w:r w:rsidRPr="00732012">
              <w:rPr>
                <w:sz w:val="20"/>
                <w:szCs w:val="20"/>
              </w:rPr>
              <w:t>linicians submitting as individuals (a)</w:t>
            </w:r>
          </w:p>
        </w:tc>
        <w:tc>
          <w:tcPr>
            <w:tcW w:w="2075" w:type="dxa"/>
            <w:shd w:val="clear" w:color="auto" w:fill="FFFFFF" w:themeFill="background1"/>
            <w:vAlign w:val="center"/>
          </w:tcPr>
          <w:p w:rsidR="00F243D4" w:rsidP="00A55FB3" w:rsidRDefault="00F243D4" w14:paraId="4BB4F358" w14:textId="79C7E6C2">
            <w:pPr>
              <w:keepNext/>
              <w:keepLines/>
              <w:spacing w:after="0"/>
              <w:rPr>
                <w:sz w:val="20"/>
                <w:szCs w:val="20"/>
              </w:rPr>
            </w:pPr>
            <w:r>
              <w:rPr>
                <w:rFonts w:eastAsia="Calibri"/>
                <w:sz w:val="20"/>
                <w:szCs w:val="20"/>
              </w:rPr>
              <w:t>3</w:t>
            </w:r>
            <w:r w:rsidR="007D7574">
              <w:rPr>
                <w:rFonts w:eastAsia="Calibri"/>
                <w:sz w:val="20"/>
                <w:szCs w:val="20"/>
              </w:rPr>
              <w:t>8</w:t>
            </w:r>
            <w:r>
              <w:rPr>
                <w:rFonts w:eastAsia="Calibri"/>
                <w:sz w:val="20"/>
                <w:szCs w:val="20"/>
              </w:rPr>
              <w:t>,4</w:t>
            </w:r>
            <w:r w:rsidR="007D7574">
              <w:rPr>
                <w:rFonts w:eastAsia="Calibri"/>
                <w:sz w:val="20"/>
                <w:szCs w:val="20"/>
              </w:rPr>
              <w:t>64</w:t>
            </w:r>
          </w:p>
        </w:tc>
      </w:tr>
      <w:tr w:rsidRPr="00C47150" w:rsidR="00F243D4" w:rsidTr="006140C8" w14:paraId="4A626300" w14:textId="0CF305B1">
        <w:trPr>
          <w:trHeight w:val="251"/>
          <w:jc w:val="center"/>
        </w:trPr>
        <w:tc>
          <w:tcPr>
            <w:tcW w:w="7375" w:type="dxa"/>
            <w:shd w:val="clear" w:color="auto" w:fill="auto"/>
            <w:hideMark/>
          </w:tcPr>
          <w:p w:rsidRPr="001742C7" w:rsidR="00F243D4" w:rsidP="00A55FB3" w:rsidRDefault="00F243D4"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075" w:type="dxa"/>
            <w:vAlign w:val="center"/>
          </w:tcPr>
          <w:p w:rsidRPr="00CC2BFB" w:rsidR="00F243D4" w:rsidP="00A55FB3" w:rsidRDefault="00F243D4" w14:paraId="622DFCEA" w14:textId="04ECA52E">
            <w:pPr>
              <w:keepNext/>
              <w:keepLines/>
              <w:spacing w:after="0"/>
              <w:rPr>
                <w:rFonts w:eastAsia="Calibri"/>
                <w:sz w:val="20"/>
                <w:szCs w:val="20"/>
              </w:rPr>
            </w:pPr>
            <w:r>
              <w:rPr>
                <w:rFonts w:eastAsia="Calibri"/>
                <w:sz w:val="20"/>
                <w:szCs w:val="20"/>
              </w:rPr>
              <w:t>7,</w:t>
            </w:r>
            <w:r w:rsidR="007D7574">
              <w:rPr>
                <w:rFonts w:eastAsia="Calibri"/>
                <w:sz w:val="20"/>
                <w:szCs w:val="20"/>
              </w:rPr>
              <w:t>296</w:t>
            </w:r>
          </w:p>
        </w:tc>
      </w:tr>
      <w:tr w:rsidRPr="00C47150" w:rsidR="00F243D4" w:rsidTr="006140C8" w14:paraId="363407A4" w14:textId="0D5DF3FA">
        <w:trPr>
          <w:trHeight w:val="525"/>
          <w:jc w:val="center"/>
        </w:trPr>
        <w:tc>
          <w:tcPr>
            <w:tcW w:w="7375" w:type="dxa"/>
            <w:shd w:val="clear" w:color="auto" w:fill="auto"/>
            <w:hideMark/>
          </w:tcPr>
          <w:p w:rsidRPr="001742C7" w:rsidR="00F243D4" w:rsidP="00A55FB3" w:rsidRDefault="00F243D4" w14:paraId="3B7CD868" w14:textId="30D15E68">
            <w:pPr>
              <w:spacing w:after="0"/>
              <w:rPr>
                <w:sz w:val="20"/>
                <w:szCs w:val="20"/>
              </w:rPr>
            </w:pPr>
            <w:r w:rsidRPr="00732012">
              <w:rPr>
                <w:sz w:val="20"/>
                <w:szCs w:val="20"/>
              </w:rPr>
              <w:t># of Respondents (groups and clinicians submitting as individuals) (c)=(a)+(b)</w:t>
            </w:r>
          </w:p>
        </w:tc>
        <w:tc>
          <w:tcPr>
            <w:tcW w:w="2075" w:type="dxa"/>
            <w:vAlign w:val="center"/>
          </w:tcPr>
          <w:p w:rsidRPr="006140C8" w:rsidR="00F243D4" w:rsidP="00A55FB3" w:rsidRDefault="00F243D4" w14:paraId="686588E5" w14:textId="0694DCCE">
            <w:pPr>
              <w:spacing w:after="0"/>
              <w:rPr>
                <w:rFonts w:eastAsia="Calibri"/>
                <w:b/>
                <w:bCs/>
                <w:sz w:val="20"/>
                <w:szCs w:val="20"/>
              </w:rPr>
            </w:pPr>
            <w:r w:rsidRPr="006140C8">
              <w:rPr>
                <w:rFonts w:eastAsia="Calibri"/>
                <w:b/>
                <w:bCs/>
                <w:sz w:val="20"/>
                <w:szCs w:val="20"/>
              </w:rPr>
              <w:t>4</w:t>
            </w:r>
            <w:r w:rsidR="002217AE">
              <w:rPr>
                <w:rFonts w:eastAsia="Calibri"/>
                <w:b/>
                <w:bCs/>
                <w:sz w:val="20"/>
                <w:szCs w:val="20"/>
              </w:rPr>
              <w:t>5</w:t>
            </w:r>
            <w:r w:rsidRPr="006140C8">
              <w:rPr>
                <w:rFonts w:eastAsia="Calibri"/>
                <w:b/>
                <w:bCs/>
                <w:sz w:val="20"/>
                <w:szCs w:val="20"/>
              </w:rPr>
              <w:t>,7</w:t>
            </w:r>
            <w:r w:rsidR="002217AE">
              <w:rPr>
                <w:rFonts w:eastAsia="Calibri"/>
                <w:b/>
                <w:bCs/>
                <w:sz w:val="20"/>
                <w:szCs w:val="20"/>
              </w:rPr>
              <w:t>60</w:t>
            </w:r>
          </w:p>
        </w:tc>
      </w:tr>
      <w:tr w:rsidRPr="00C47150" w:rsidR="00F243D4" w:rsidTr="006140C8" w14:paraId="32C19599" w14:textId="213681F5">
        <w:trPr>
          <w:trHeight w:val="359"/>
          <w:jc w:val="center"/>
        </w:trPr>
        <w:tc>
          <w:tcPr>
            <w:tcW w:w="7375" w:type="dxa"/>
            <w:shd w:val="clear" w:color="auto" w:fill="auto"/>
            <w:hideMark/>
          </w:tcPr>
          <w:p w:rsidRPr="001742C7" w:rsidR="00F243D4" w:rsidP="0012106B" w:rsidRDefault="000E32D5" w14:paraId="0515EC48" w14:textId="4781C5F1">
            <w:pPr>
              <w:spacing w:after="0"/>
              <w:rPr>
                <w:sz w:val="20"/>
                <w:szCs w:val="20"/>
              </w:rPr>
            </w:pPr>
            <w:r>
              <w:rPr>
                <w:sz w:val="20"/>
                <w:szCs w:val="20"/>
              </w:rPr>
              <w:t xml:space="preserve"># of </w:t>
            </w:r>
            <w:r w:rsidRPr="00732012" w:rsidR="00F243D4">
              <w:rPr>
                <w:sz w:val="20"/>
                <w:szCs w:val="20"/>
              </w:rPr>
              <w:t xml:space="preserve">Hours Per Respondent to Submit MIPS Quality Data File to CMS (d) </w:t>
            </w:r>
          </w:p>
        </w:tc>
        <w:tc>
          <w:tcPr>
            <w:tcW w:w="2075" w:type="dxa"/>
            <w:vAlign w:val="center"/>
          </w:tcPr>
          <w:p w:rsidRPr="003428D4" w:rsidR="00F243D4" w:rsidP="0012106B" w:rsidRDefault="00F243D4" w14:paraId="432462FA" w14:textId="13D0865D">
            <w:pPr>
              <w:spacing w:after="0"/>
              <w:rPr>
                <w:rFonts w:eastAsia="Calibri"/>
                <w:sz w:val="20"/>
                <w:szCs w:val="20"/>
              </w:rPr>
            </w:pPr>
            <w:r w:rsidRPr="003428D4">
              <w:rPr>
                <w:rFonts w:eastAsia="Calibri"/>
                <w:sz w:val="20"/>
                <w:szCs w:val="20"/>
              </w:rPr>
              <w:t>2</w:t>
            </w:r>
          </w:p>
        </w:tc>
      </w:tr>
      <w:tr w:rsidRPr="00C47150" w:rsidR="00F243D4" w:rsidTr="006140C8" w14:paraId="68252D38" w14:textId="6682B36A">
        <w:trPr>
          <w:trHeight w:val="350"/>
          <w:jc w:val="center"/>
        </w:trPr>
        <w:tc>
          <w:tcPr>
            <w:tcW w:w="7375" w:type="dxa"/>
            <w:shd w:val="clear" w:color="auto" w:fill="auto"/>
            <w:hideMark/>
          </w:tcPr>
          <w:p w:rsidRPr="001742C7" w:rsidR="00F243D4" w:rsidP="0012106B" w:rsidRDefault="00F243D4" w14:paraId="4794ECD7" w14:textId="16D87AC5">
            <w:pPr>
              <w:spacing w:after="0"/>
              <w:rPr>
                <w:sz w:val="20"/>
                <w:szCs w:val="20"/>
              </w:rPr>
            </w:pPr>
            <w:r w:rsidRPr="00732012">
              <w:rPr>
                <w:sz w:val="20"/>
                <w:szCs w:val="20"/>
              </w:rPr>
              <w:t xml:space="preserve"># of Hours </w:t>
            </w:r>
            <w:r>
              <w:rPr>
                <w:sz w:val="20"/>
                <w:szCs w:val="20"/>
              </w:rPr>
              <w:t>Medical and health services manager</w:t>
            </w:r>
            <w:r w:rsidRPr="00732012">
              <w:rPr>
                <w:sz w:val="20"/>
                <w:szCs w:val="20"/>
              </w:rPr>
              <w:t xml:space="preserve"> Review Measure Specifications (e)</w:t>
            </w:r>
          </w:p>
        </w:tc>
        <w:tc>
          <w:tcPr>
            <w:tcW w:w="2075" w:type="dxa"/>
            <w:vAlign w:val="center"/>
          </w:tcPr>
          <w:p w:rsidRPr="003428D4" w:rsidR="00F243D4" w:rsidP="0012106B" w:rsidRDefault="00F243D4" w14:paraId="3F29E78A" w14:textId="41BF4E90">
            <w:pPr>
              <w:spacing w:after="0"/>
              <w:rPr>
                <w:rFonts w:eastAsia="Calibri"/>
                <w:sz w:val="20"/>
                <w:szCs w:val="20"/>
              </w:rPr>
            </w:pPr>
            <w:r w:rsidRPr="003428D4">
              <w:rPr>
                <w:rFonts w:eastAsia="Calibri"/>
                <w:sz w:val="20"/>
                <w:szCs w:val="20"/>
              </w:rPr>
              <w:t>2</w:t>
            </w:r>
          </w:p>
        </w:tc>
      </w:tr>
      <w:tr w:rsidRPr="00C47150" w:rsidR="00F243D4" w:rsidTr="006140C8" w14:paraId="11DFDC9F" w14:textId="19F1E647">
        <w:trPr>
          <w:trHeight w:val="315"/>
          <w:jc w:val="center"/>
        </w:trPr>
        <w:tc>
          <w:tcPr>
            <w:tcW w:w="7375" w:type="dxa"/>
            <w:shd w:val="clear" w:color="auto" w:fill="auto"/>
            <w:hideMark/>
          </w:tcPr>
          <w:p w:rsidRPr="001742C7" w:rsidR="00F243D4" w:rsidP="0012106B" w:rsidRDefault="00F243D4" w14:paraId="7544A1AB" w14:textId="77777777">
            <w:pPr>
              <w:spacing w:after="0"/>
              <w:rPr>
                <w:sz w:val="20"/>
                <w:szCs w:val="20"/>
              </w:rPr>
            </w:pPr>
            <w:r w:rsidRPr="00732012">
              <w:rPr>
                <w:sz w:val="20"/>
                <w:szCs w:val="20"/>
              </w:rPr>
              <w:t># of Hours Computer Systems Analyst Review Measure Specifications (f)</w:t>
            </w:r>
          </w:p>
        </w:tc>
        <w:tc>
          <w:tcPr>
            <w:tcW w:w="2075" w:type="dxa"/>
            <w:vAlign w:val="center"/>
          </w:tcPr>
          <w:p w:rsidRPr="003428D4" w:rsidR="00F243D4" w:rsidP="0012106B" w:rsidRDefault="00F243D4" w14:paraId="701BF095" w14:textId="6335CDAA">
            <w:pPr>
              <w:spacing w:after="0"/>
              <w:rPr>
                <w:rFonts w:eastAsia="Calibri"/>
                <w:sz w:val="20"/>
                <w:szCs w:val="20"/>
              </w:rPr>
            </w:pPr>
            <w:r w:rsidRPr="003428D4">
              <w:rPr>
                <w:rFonts w:eastAsia="Calibri"/>
                <w:sz w:val="20"/>
                <w:szCs w:val="20"/>
              </w:rPr>
              <w:t>1</w:t>
            </w:r>
          </w:p>
        </w:tc>
      </w:tr>
      <w:tr w:rsidRPr="00C47150" w:rsidR="00F243D4" w:rsidTr="006140C8" w14:paraId="1C59A6D3" w14:textId="77BBCC82">
        <w:trPr>
          <w:trHeight w:val="296"/>
          <w:jc w:val="center"/>
        </w:trPr>
        <w:tc>
          <w:tcPr>
            <w:tcW w:w="7375" w:type="dxa"/>
            <w:shd w:val="clear" w:color="auto" w:fill="auto"/>
            <w:hideMark/>
          </w:tcPr>
          <w:p w:rsidRPr="001742C7" w:rsidR="00F243D4" w:rsidP="0012106B" w:rsidRDefault="00F243D4" w14:paraId="541F83A5" w14:textId="77777777">
            <w:pPr>
              <w:spacing w:after="0"/>
              <w:rPr>
                <w:sz w:val="20"/>
                <w:szCs w:val="20"/>
              </w:rPr>
            </w:pPr>
            <w:r w:rsidRPr="00732012">
              <w:rPr>
                <w:sz w:val="20"/>
                <w:szCs w:val="20"/>
              </w:rPr>
              <w:t># of Hours LPN Review Measure Specifications (g)</w:t>
            </w:r>
          </w:p>
        </w:tc>
        <w:tc>
          <w:tcPr>
            <w:tcW w:w="2075" w:type="dxa"/>
            <w:vAlign w:val="center"/>
          </w:tcPr>
          <w:p w:rsidRPr="003428D4" w:rsidR="00F243D4" w:rsidP="0012106B" w:rsidRDefault="00F243D4" w14:paraId="7AA19182" w14:textId="221FED6B">
            <w:pPr>
              <w:spacing w:after="0"/>
              <w:rPr>
                <w:rFonts w:eastAsia="Calibri"/>
                <w:sz w:val="20"/>
                <w:szCs w:val="20"/>
              </w:rPr>
            </w:pPr>
            <w:r w:rsidRPr="003428D4">
              <w:rPr>
                <w:rFonts w:eastAsia="Calibri"/>
                <w:sz w:val="20"/>
                <w:szCs w:val="20"/>
              </w:rPr>
              <w:t>1</w:t>
            </w:r>
          </w:p>
        </w:tc>
      </w:tr>
      <w:tr w:rsidRPr="00C47150" w:rsidR="00F243D4" w:rsidTr="006140C8" w14:paraId="170BACFE" w14:textId="6CC34099">
        <w:trPr>
          <w:trHeight w:val="350"/>
          <w:jc w:val="center"/>
        </w:trPr>
        <w:tc>
          <w:tcPr>
            <w:tcW w:w="7375" w:type="dxa"/>
            <w:shd w:val="clear" w:color="auto" w:fill="auto"/>
            <w:hideMark/>
          </w:tcPr>
          <w:p w:rsidRPr="001742C7" w:rsidR="00F243D4" w:rsidP="0012106B" w:rsidRDefault="00F243D4" w14:paraId="3661C033" w14:textId="77777777">
            <w:pPr>
              <w:spacing w:after="0"/>
              <w:rPr>
                <w:sz w:val="20"/>
                <w:szCs w:val="20"/>
              </w:rPr>
            </w:pPr>
            <w:r w:rsidRPr="00732012">
              <w:rPr>
                <w:sz w:val="20"/>
                <w:szCs w:val="20"/>
              </w:rPr>
              <w:t># of Hours Billing Clerk Review Measure Specifications (h)</w:t>
            </w:r>
          </w:p>
        </w:tc>
        <w:tc>
          <w:tcPr>
            <w:tcW w:w="2075" w:type="dxa"/>
            <w:vAlign w:val="center"/>
          </w:tcPr>
          <w:p w:rsidRPr="003428D4" w:rsidR="00F243D4" w:rsidP="0012106B" w:rsidRDefault="00F243D4" w14:paraId="1992253F" w14:textId="3DE3E29C">
            <w:pPr>
              <w:spacing w:after="0"/>
              <w:rPr>
                <w:rFonts w:eastAsia="Calibri"/>
                <w:sz w:val="20"/>
                <w:szCs w:val="20"/>
              </w:rPr>
            </w:pPr>
            <w:r w:rsidRPr="003428D4">
              <w:rPr>
                <w:rFonts w:eastAsia="Calibri"/>
                <w:sz w:val="20"/>
                <w:szCs w:val="20"/>
              </w:rPr>
              <w:t>1</w:t>
            </w:r>
          </w:p>
        </w:tc>
      </w:tr>
      <w:tr w:rsidRPr="00C47150" w:rsidR="00F243D4" w:rsidTr="006140C8" w14:paraId="29BB4B84" w14:textId="28C2DB4E">
        <w:trPr>
          <w:trHeight w:val="260"/>
          <w:jc w:val="center"/>
        </w:trPr>
        <w:tc>
          <w:tcPr>
            <w:tcW w:w="7375" w:type="dxa"/>
            <w:shd w:val="clear" w:color="auto" w:fill="auto"/>
            <w:hideMark/>
          </w:tcPr>
          <w:p w:rsidRPr="001742C7" w:rsidR="00F243D4" w:rsidP="0012106B" w:rsidRDefault="00F243D4" w14:paraId="35F83B08" w14:textId="77777777">
            <w:pPr>
              <w:spacing w:after="0"/>
              <w:rPr>
                <w:sz w:val="20"/>
                <w:szCs w:val="20"/>
              </w:rPr>
            </w:pPr>
            <w:r w:rsidRPr="00732012">
              <w:rPr>
                <w:sz w:val="20"/>
                <w:szCs w:val="20"/>
              </w:rPr>
              <w:t># of Hours Clinicians Review Measure Specifications (i)</w:t>
            </w:r>
          </w:p>
        </w:tc>
        <w:tc>
          <w:tcPr>
            <w:tcW w:w="2075" w:type="dxa"/>
            <w:vAlign w:val="center"/>
          </w:tcPr>
          <w:p w:rsidRPr="003428D4" w:rsidR="00F243D4" w:rsidP="0012106B" w:rsidRDefault="00F243D4" w14:paraId="5663F6EF" w14:textId="6A79521C">
            <w:pPr>
              <w:spacing w:after="0"/>
              <w:rPr>
                <w:rFonts w:eastAsia="Calibri"/>
                <w:sz w:val="20"/>
                <w:szCs w:val="20"/>
              </w:rPr>
            </w:pPr>
            <w:r w:rsidRPr="003428D4">
              <w:rPr>
                <w:rFonts w:eastAsia="Calibri"/>
                <w:sz w:val="20"/>
                <w:szCs w:val="20"/>
              </w:rPr>
              <w:t>1</w:t>
            </w:r>
          </w:p>
        </w:tc>
      </w:tr>
      <w:tr w:rsidRPr="00C47150" w:rsidR="00F243D4" w:rsidTr="006140C8" w14:paraId="665582A6" w14:textId="32A8B4D1">
        <w:trPr>
          <w:trHeight w:val="315"/>
          <w:jc w:val="center"/>
        </w:trPr>
        <w:tc>
          <w:tcPr>
            <w:tcW w:w="7375" w:type="dxa"/>
            <w:shd w:val="clear" w:color="auto" w:fill="FFFFFF" w:themeFill="background1"/>
            <w:hideMark/>
          </w:tcPr>
          <w:p w:rsidRPr="008C0B7F" w:rsidR="00F243D4" w:rsidP="0012106B" w:rsidRDefault="00F243D4" w14:paraId="114CBD94" w14:textId="77777777">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075" w:type="dxa"/>
            <w:shd w:val="clear" w:color="auto" w:fill="FFFFFF" w:themeFill="background1"/>
            <w:vAlign w:val="center"/>
          </w:tcPr>
          <w:p w:rsidRPr="008C0B7F" w:rsidR="00F243D4" w:rsidP="0012106B" w:rsidRDefault="00F243D4" w14:paraId="0D2D7FCF" w14:textId="4B4FFB66">
            <w:pPr>
              <w:spacing w:after="0"/>
              <w:rPr>
                <w:rFonts w:eastAsia="Calibri"/>
                <w:bCs/>
                <w:sz w:val="20"/>
                <w:szCs w:val="20"/>
              </w:rPr>
            </w:pPr>
            <w:r w:rsidRPr="008C0B7F">
              <w:rPr>
                <w:rFonts w:eastAsia="Calibri"/>
                <w:bCs/>
                <w:sz w:val="20"/>
                <w:szCs w:val="20"/>
              </w:rPr>
              <w:t>8</w:t>
            </w:r>
          </w:p>
        </w:tc>
      </w:tr>
      <w:tr w:rsidRPr="00C47150" w:rsidR="00F243D4" w:rsidTr="006140C8" w14:paraId="3FD84EFD" w14:textId="206F6F3E">
        <w:trPr>
          <w:trHeight w:val="296"/>
          <w:jc w:val="center"/>
        </w:trPr>
        <w:tc>
          <w:tcPr>
            <w:tcW w:w="7375" w:type="dxa"/>
            <w:shd w:val="clear" w:color="auto" w:fill="D9D9D9" w:themeFill="background1" w:themeFillShade="D9"/>
            <w:hideMark/>
          </w:tcPr>
          <w:p w:rsidRPr="008C0B7F" w:rsidR="00F243D4" w:rsidP="0012106B" w:rsidRDefault="00F243D4" w14:paraId="7981F843" w14:textId="77777777">
            <w:pPr>
              <w:spacing w:after="0"/>
              <w:rPr>
                <w:b/>
                <w:bCs/>
                <w:sz w:val="20"/>
                <w:szCs w:val="20"/>
                <w:highlight w:val="lightGray"/>
              </w:rPr>
            </w:pPr>
            <w:r w:rsidRPr="008C0B7F">
              <w:rPr>
                <w:b/>
                <w:bCs/>
                <w:sz w:val="20"/>
                <w:szCs w:val="20"/>
                <w:highlight w:val="lightGray"/>
              </w:rPr>
              <w:t>Total Annual Hours (k)=(c)*(j)</w:t>
            </w:r>
          </w:p>
        </w:tc>
        <w:tc>
          <w:tcPr>
            <w:tcW w:w="2075" w:type="dxa"/>
            <w:shd w:val="clear" w:color="auto" w:fill="D9D9D9" w:themeFill="background1" w:themeFillShade="D9"/>
          </w:tcPr>
          <w:p w:rsidR="00F243D4" w:rsidP="0012106B" w:rsidRDefault="00F243D4" w14:paraId="6E0B581D" w14:textId="17E7850F">
            <w:pPr>
              <w:spacing w:after="0"/>
              <w:rPr>
                <w:b/>
                <w:bCs/>
                <w:sz w:val="20"/>
                <w:szCs w:val="20"/>
                <w:highlight w:val="lightGray"/>
              </w:rPr>
            </w:pPr>
            <w:r>
              <w:rPr>
                <w:b/>
                <w:bCs/>
                <w:sz w:val="20"/>
                <w:szCs w:val="20"/>
                <w:highlight w:val="lightGray"/>
              </w:rPr>
              <w:t>3</w:t>
            </w:r>
            <w:r w:rsidR="002217AE">
              <w:rPr>
                <w:b/>
                <w:bCs/>
                <w:sz w:val="20"/>
                <w:szCs w:val="20"/>
                <w:highlight w:val="lightGray"/>
              </w:rPr>
              <w:t>66,080</w:t>
            </w:r>
          </w:p>
        </w:tc>
      </w:tr>
      <w:tr w:rsidRPr="00C47150" w:rsidR="00F243D4" w:rsidTr="006140C8" w14:paraId="3160D751" w14:textId="500273BC">
        <w:trPr>
          <w:trHeight w:val="525"/>
          <w:jc w:val="center"/>
        </w:trPr>
        <w:tc>
          <w:tcPr>
            <w:tcW w:w="7375" w:type="dxa"/>
            <w:shd w:val="clear" w:color="auto" w:fill="auto"/>
            <w:hideMark/>
          </w:tcPr>
          <w:p w:rsidRPr="003F6059" w:rsidR="00F243D4" w:rsidP="00A55FB3" w:rsidRDefault="00F243D4" w14:paraId="685B0358" w14:textId="154903D9">
            <w:pPr>
              <w:spacing w:after="0"/>
              <w:rPr>
                <w:sz w:val="20"/>
                <w:szCs w:val="20"/>
              </w:rPr>
            </w:pPr>
            <w:r w:rsidRPr="003F6059">
              <w:rPr>
                <w:sz w:val="20"/>
                <w:szCs w:val="20"/>
              </w:rPr>
              <w:t>Cost Per Respondent to Submit Quality Data (@ computer systems analyst’s labor rate of $9</w:t>
            </w:r>
            <w:r w:rsidR="00C22136">
              <w:rPr>
                <w:sz w:val="20"/>
                <w:szCs w:val="20"/>
              </w:rPr>
              <w:t>8</w:t>
            </w:r>
            <w:r>
              <w:rPr>
                <w:sz w:val="20"/>
                <w:szCs w:val="20"/>
              </w:rPr>
              <w:t>.2</w:t>
            </w:r>
            <w:r w:rsidR="00C22136">
              <w:rPr>
                <w:sz w:val="20"/>
                <w:szCs w:val="20"/>
              </w:rPr>
              <w:t>8</w:t>
            </w:r>
            <w:r w:rsidRPr="003F6059">
              <w:rPr>
                <w:sz w:val="20"/>
                <w:szCs w:val="20"/>
              </w:rPr>
              <w:t>/</w:t>
            </w:r>
            <w:proofErr w:type="spellStart"/>
            <w:r w:rsidRPr="003F6059">
              <w:rPr>
                <w:sz w:val="20"/>
                <w:szCs w:val="20"/>
              </w:rPr>
              <w:t>hr</w:t>
            </w:r>
            <w:proofErr w:type="spellEnd"/>
            <w:r w:rsidRPr="003F6059">
              <w:rPr>
                <w:sz w:val="20"/>
                <w:szCs w:val="20"/>
              </w:rPr>
              <w:t>) (l)</w:t>
            </w:r>
          </w:p>
        </w:tc>
        <w:tc>
          <w:tcPr>
            <w:tcW w:w="2075" w:type="dxa"/>
          </w:tcPr>
          <w:p w:rsidRPr="003F6059" w:rsidR="00F243D4" w:rsidP="00A55FB3" w:rsidRDefault="00F243D4" w14:paraId="091EC5A6" w14:textId="0EB05539">
            <w:pPr>
              <w:spacing w:after="0"/>
              <w:rPr>
                <w:sz w:val="20"/>
                <w:szCs w:val="20"/>
              </w:rPr>
            </w:pPr>
            <w:r w:rsidRPr="003F6059">
              <w:rPr>
                <w:sz w:val="20"/>
                <w:szCs w:val="20"/>
              </w:rPr>
              <w:t>$</w:t>
            </w:r>
            <w:r>
              <w:rPr>
                <w:sz w:val="20"/>
                <w:szCs w:val="20"/>
              </w:rPr>
              <w:t>19</w:t>
            </w:r>
            <w:r w:rsidR="002217AE">
              <w:rPr>
                <w:sz w:val="20"/>
                <w:szCs w:val="20"/>
              </w:rPr>
              <w:t>6</w:t>
            </w:r>
            <w:r>
              <w:rPr>
                <w:sz w:val="20"/>
                <w:szCs w:val="20"/>
              </w:rPr>
              <w:t>.</w:t>
            </w:r>
            <w:r w:rsidR="002217AE">
              <w:rPr>
                <w:sz w:val="20"/>
                <w:szCs w:val="20"/>
              </w:rPr>
              <w:t>56</w:t>
            </w:r>
          </w:p>
        </w:tc>
      </w:tr>
      <w:tr w:rsidRPr="00C47150" w:rsidR="00F243D4" w:rsidTr="006140C8" w14:paraId="11ABA6BB" w14:textId="02144116">
        <w:trPr>
          <w:trHeight w:val="525"/>
          <w:jc w:val="center"/>
        </w:trPr>
        <w:tc>
          <w:tcPr>
            <w:tcW w:w="7375" w:type="dxa"/>
            <w:shd w:val="clear" w:color="auto" w:fill="auto"/>
            <w:hideMark/>
          </w:tcPr>
          <w:p w:rsidRPr="003F6059" w:rsidR="00F243D4" w:rsidP="00A55FB3" w:rsidRDefault="00F243D4" w14:paraId="6B310FB8" w14:textId="3CEAEBF6">
            <w:pPr>
              <w:spacing w:after="0"/>
              <w:rPr>
                <w:sz w:val="20"/>
                <w:szCs w:val="20"/>
              </w:rPr>
            </w:pPr>
            <w:r w:rsidRPr="003F6059">
              <w:rPr>
                <w:sz w:val="20"/>
                <w:szCs w:val="20"/>
              </w:rPr>
              <w:t>Cost to Review Measure Specifications (@ medical and health services manager's labor rate of $11</w:t>
            </w:r>
            <w:r w:rsidR="00597DE1">
              <w:rPr>
                <w:sz w:val="20"/>
                <w:szCs w:val="20"/>
              </w:rPr>
              <w:t>5</w:t>
            </w:r>
            <w:r>
              <w:rPr>
                <w:sz w:val="20"/>
                <w:szCs w:val="20"/>
              </w:rPr>
              <w:t>.2</w:t>
            </w:r>
            <w:r w:rsidR="00597DE1">
              <w:rPr>
                <w:sz w:val="20"/>
                <w:szCs w:val="20"/>
              </w:rPr>
              <w:t>2</w:t>
            </w:r>
            <w:r w:rsidRPr="003F6059">
              <w:rPr>
                <w:sz w:val="20"/>
                <w:szCs w:val="20"/>
              </w:rPr>
              <w:t>/</w:t>
            </w:r>
            <w:proofErr w:type="spellStart"/>
            <w:r w:rsidRPr="003F6059">
              <w:rPr>
                <w:sz w:val="20"/>
                <w:szCs w:val="20"/>
              </w:rPr>
              <w:t>hr</w:t>
            </w:r>
            <w:proofErr w:type="spellEnd"/>
            <w:r w:rsidRPr="003F6059">
              <w:rPr>
                <w:sz w:val="20"/>
                <w:szCs w:val="20"/>
              </w:rPr>
              <w:t>) (m)</w:t>
            </w:r>
          </w:p>
        </w:tc>
        <w:tc>
          <w:tcPr>
            <w:tcW w:w="2075" w:type="dxa"/>
          </w:tcPr>
          <w:p w:rsidRPr="003F6059" w:rsidR="00F243D4" w:rsidP="00A55FB3" w:rsidRDefault="00F243D4" w14:paraId="5E119C3E" w14:textId="61DC6486">
            <w:pPr>
              <w:spacing w:after="0"/>
              <w:rPr>
                <w:sz w:val="20"/>
                <w:szCs w:val="20"/>
              </w:rPr>
            </w:pPr>
            <w:r w:rsidRPr="003F6059">
              <w:rPr>
                <w:sz w:val="20"/>
                <w:szCs w:val="20"/>
              </w:rPr>
              <w:t>$2</w:t>
            </w:r>
            <w:r w:rsidR="00C22136">
              <w:rPr>
                <w:sz w:val="20"/>
                <w:szCs w:val="20"/>
              </w:rPr>
              <w:t>30</w:t>
            </w:r>
            <w:r w:rsidRPr="003F6059">
              <w:rPr>
                <w:sz w:val="20"/>
                <w:szCs w:val="20"/>
              </w:rPr>
              <w:t>.4</w:t>
            </w:r>
            <w:r w:rsidR="00C22136">
              <w:rPr>
                <w:sz w:val="20"/>
                <w:szCs w:val="20"/>
              </w:rPr>
              <w:t>4</w:t>
            </w:r>
          </w:p>
        </w:tc>
      </w:tr>
      <w:tr w:rsidRPr="00C47150" w:rsidR="00F243D4" w:rsidTr="006140C8" w14:paraId="2C4F90A0" w14:textId="7F3891A1">
        <w:trPr>
          <w:trHeight w:val="525"/>
          <w:jc w:val="center"/>
        </w:trPr>
        <w:tc>
          <w:tcPr>
            <w:tcW w:w="7375" w:type="dxa"/>
            <w:shd w:val="clear" w:color="auto" w:fill="auto"/>
            <w:hideMark/>
          </w:tcPr>
          <w:p w:rsidRPr="003F6059" w:rsidR="00F243D4" w:rsidP="00A55FB3" w:rsidRDefault="00F243D4" w14:paraId="01281DD1" w14:textId="03F01B79">
            <w:pPr>
              <w:spacing w:after="0"/>
              <w:rPr>
                <w:sz w:val="20"/>
                <w:szCs w:val="20"/>
              </w:rPr>
            </w:pPr>
            <w:r w:rsidRPr="003F6059">
              <w:rPr>
                <w:sz w:val="20"/>
                <w:szCs w:val="20"/>
              </w:rPr>
              <w:t>Cost to Review Measure Specifications (@ computer systems analyst’s labor rate of $9</w:t>
            </w:r>
            <w:r w:rsidR="00FF4C96">
              <w:rPr>
                <w:sz w:val="20"/>
                <w:szCs w:val="20"/>
              </w:rPr>
              <w:t>8</w:t>
            </w:r>
            <w:r>
              <w:rPr>
                <w:sz w:val="20"/>
                <w:szCs w:val="20"/>
              </w:rPr>
              <w:t>.2</w:t>
            </w:r>
            <w:r w:rsidR="00FF4C96">
              <w:rPr>
                <w:sz w:val="20"/>
                <w:szCs w:val="20"/>
              </w:rPr>
              <w:t>8</w:t>
            </w:r>
            <w:r w:rsidRPr="003F6059">
              <w:rPr>
                <w:sz w:val="20"/>
                <w:szCs w:val="20"/>
              </w:rPr>
              <w:t>/</w:t>
            </w:r>
            <w:proofErr w:type="spellStart"/>
            <w:r w:rsidRPr="003F6059">
              <w:rPr>
                <w:sz w:val="20"/>
                <w:szCs w:val="20"/>
              </w:rPr>
              <w:t>hr</w:t>
            </w:r>
            <w:proofErr w:type="spellEnd"/>
            <w:r w:rsidRPr="003F6059">
              <w:rPr>
                <w:sz w:val="20"/>
                <w:szCs w:val="20"/>
              </w:rPr>
              <w:t>) (n)</w:t>
            </w:r>
          </w:p>
        </w:tc>
        <w:tc>
          <w:tcPr>
            <w:tcW w:w="2075" w:type="dxa"/>
          </w:tcPr>
          <w:p w:rsidRPr="003F6059" w:rsidR="00F243D4" w:rsidP="00A55FB3" w:rsidRDefault="00F243D4" w14:paraId="3837CAFE" w14:textId="074C600E">
            <w:pPr>
              <w:spacing w:after="0"/>
              <w:rPr>
                <w:sz w:val="20"/>
                <w:szCs w:val="20"/>
              </w:rPr>
            </w:pPr>
            <w:r w:rsidRPr="003F6059">
              <w:rPr>
                <w:sz w:val="20"/>
                <w:szCs w:val="20"/>
              </w:rPr>
              <w:t>$9</w:t>
            </w:r>
            <w:r w:rsidR="0037007F">
              <w:rPr>
                <w:sz w:val="20"/>
                <w:szCs w:val="20"/>
              </w:rPr>
              <w:t>8</w:t>
            </w:r>
            <w:r>
              <w:rPr>
                <w:sz w:val="20"/>
                <w:szCs w:val="20"/>
              </w:rPr>
              <w:t>.2</w:t>
            </w:r>
            <w:r w:rsidR="0037007F">
              <w:rPr>
                <w:sz w:val="20"/>
                <w:szCs w:val="20"/>
              </w:rPr>
              <w:t>8</w:t>
            </w:r>
          </w:p>
        </w:tc>
      </w:tr>
      <w:tr w:rsidRPr="00C47150" w:rsidR="00F243D4" w:rsidTr="006140C8" w14:paraId="6D05C566" w14:textId="5464AAA6">
        <w:trPr>
          <w:trHeight w:val="525"/>
          <w:jc w:val="center"/>
        </w:trPr>
        <w:tc>
          <w:tcPr>
            <w:tcW w:w="7375" w:type="dxa"/>
            <w:shd w:val="clear" w:color="auto" w:fill="auto"/>
            <w:hideMark/>
          </w:tcPr>
          <w:p w:rsidRPr="003F6059" w:rsidR="00F243D4" w:rsidP="00A55FB3" w:rsidRDefault="00F243D4" w14:paraId="036C20D2" w14:textId="5F73E40D">
            <w:pPr>
              <w:spacing w:after="0"/>
              <w:rPr>
                <w:sz w:val="20"/>
                <w:szCs w:val="20"/>
              </w:rPr>
            </w:pPr>
            <w:r w:rsidRPr="003F6059">
              <w:rPr>
                <w:sz w:val="20"/>
                <w:szCs w:val="20"/>
              </w:rPr>
              <w:t>Cost to Review Measure Specifications (@ LPN's labor rate of $4</w:t>
            </w:r>
            <w:r w:rsidR="00FF4C96">
              <w:rPr>
                <w:sz w:val="20"/>
                <w:szCs w:val="20"/>
              </w:rPr>
              <w:t>9</w:t>
            </w:r>
            <w:r>
              <w:rPr>
                <w:sz w:val="20"/>
                <w:szCs w:val="20"/>
              </w:rPr>
              <w:t>.</w:t>
            </w:r>
            <w:r w:rsidR="00FF4C96">
              <w:rPr>
                <w:sz w:val="20"/>
                <w:szCs w:val="20"/>
              </w:rPr>
              <w:t>8</w:t>
            </w:r>
            <w:r>
              <w:rPr>
                <w:sz w:val="20"/>
                <w:szCs w:val="20"/>
              </w:rPr>
              <w:t>6</w:t>
            </w:r>
            <w:r w:rsidRPr="003F6059">
              <w:rPr>
                <w:sz w:val="20"/>
                <w:szCs w:val="20"/>
              </w:rPr>
              <w:t>/</w:t>
            </w:r>
            <w:proofErr w:type="spellStart"/>
            <w:r w:rsidRPr="003F6059">
              <w:rPr>
                <w:sz w:val="20"/>
                <w:szCs w:val="20"/>
              </w:rPr>
              <w:t>hr</w:t>
            </w:r>
            <w:proofErr w:type="spellEnd"/>
            <w:r w:rsidRPr="003F6059">
              <w:rPr>
                <w:sz w:val="20"/>
                <w:szCs w:val="20"/>
              </w:rPr>
              <w:t>) (o)</w:t>
            </w:r>
          </w:p>
        </w:tc>
        <w:tc>
          <w:tcPr>
            <w:tcW w:w="2075" w:type="dxa"/>
          </w:tcPr>
          <w:p w:rsidRPr="003F6059" w:rsidR="00F243D4" w:rsidP="00A55FB3" w:rsidRDefault="00F243D4" w14:paraId="34F37A1F" w14:textId="432D172B">
            <w:pPr>
              <w:spacing w:after="0"/>
              <w:rPr>
                <w:sz w:val="20"/>
                <w:szCs w:val="20"/>
              </w:rPr>
            </w:pPr>
            <w:r w:rsidRPr="003F6059">
              <w:rPr>
                <w:sz w:val="20"/>
                <w:szCs w:val="20"/>
              </w:rPr>
              <w:t>$4</w:t>
            </w:r>
            <w:r w:rsidR="0037007F">
              <w:rPr>
                <w:sz w:val="20"/>
                <w:szCs w:val="20"/>
              </w:rPr>
              <w:t>9</w:t>
            </w:r>
            <w:r>
              <w:rPr>
                <w:sz w:val="20"/>
                <w:szCs w:val="20"/>
              </w:rPr>
              <w:t>.</w:t>
            </w:r>
            <w:r w:rsidR="0037007F">
              <w:rPr>
                <w:sz w:val="20"/>
                <w:szCs w:val="20"/>
              </w:rPr>
              <w:t>8</w:t>
            </w:r>
            <w:r>
              <w:rPr>
                <w:sz w:val="20"/>
                <w:szCs w:val="20"/>
              </w:rPr>
              <w:t>6</w:t>
            </w:r>
          </w:p>
        </w:tc>
      </w:tr>
      <w:tr w:rsidRPr="00C47150" w:rsidR="00F243D4" w:rsidTr="006140C8" w14:paraId="3B036A58" w14:textId="4D5E1AFF">
        <w:trPr>
          <w:trHeight w:val="525"/>
          <w:jc w:val="center"/>
        </w:trPr>
        <w:tc>
          <w:tcPr>
            <w:tcW w:w="7375" w:type="dxa"/>
            <w:shd w:val="clear" w:color="auto" w:fill="auto"/>
            <w:hideMark/>
          </w:tcPr>
          <w:p w:rsidRPr="003F6059" w:rsidR="00F243D4" w:rsidP="00A55FB3" w:rsidRDefault="00F243D4" w14:paraId="1172BEE9" w14:textId="003A47D1">
            <w:pPr>
              <w:spacing w:after="0"/>
              <w:rPr>
                <w:sz w:val="20"/>
                <w:szCs w:val="20"/>
              </w:rPr>
            </w:pPr>
            <w:r w:rsidRPr="003F6059">
              <w:rPr>
                <w:sz w:val="20"/>
                <w:szCs w:val="20"/>
              </w:rPr>
              <w:t>Cost to Review Measure Specifications (@ clerk’s labor rate of $</w:t>
            </w:r>
            <w:r>
              <w:rPr>
                <w:sz w:val="20"/>
                <w:szCs w:val="20"/>
              </w:rPr>
              <w:t>4</w:t>
            </w:r>
            <w:r w:rsidR="00FF4C96">
              <w:rPr>
                <w:sz w:val="20"/>
                <w:szCs w:val="20"/>
              </w:rPr>
              <w:t>1</w:t>
            </w:r>
            <w:r>
              <w:rPr>
                <w:sz w:val="20"/>
                <w:szCs w:val="20"/>
              </w:rPr>
              <w:t>.</w:t>
            </w:r>
            <w:r w:rsidR="00FF4C96">
              <w:rPr>
                <w:sz w:val="20"/>
                <w:szCs w:val="20"/>
              </w:rPr>
              <w:t>1</w:t>
            </w:r>
            <w:r>
              <w:rPr>
                <w:sz w:val="20"/>
                <w:szCs w:val="20"/>
              </w:rPr>
              <w:t>0</w:t>
            </w:r>
            <w:r w:rsidRPr="003F6059">
              <w:rPr>
                <w:sz w:val="20"/>
                <w:szCs w:val="20"/>
              </w:rPr>
              <w:t>/</w:t>
            </w:r>
            <w:proofErr w:type="spellStart"/>
            <w:r w:rsidRPr="003F6059">
              <w:rPr>
                <w:sz w:val="20"/>
                <w:szCs w:val="20"/>
              </w:rPr>
              <w:t>hr</w:t>
            </w:r>
            <w:proofErr w:type="spellEnd"/>
            <w:r w:rsidRPr="003F6059">
              <w:rPr>
                <w:sz w:val="20"/>
                <w:szCs w:val="20"/>
              </w:rPr>
              <w:t>) (p)</w:t>
            </w:r>
          </w:p>
        </w:tc>
        <w:tc>
          <w:tcPr>
            <w:tcW w:w="2075" w:type="dxa"/>
          </w:tcPr>
          <w:p w:rsidRPr="003F6059" w:rsidR="00F243D4" w:rsidP="00A55FB3" w:rsidRDefault="00F243D4" w14:paraId="2E3E94AF" w14:textId="3254F674">
            <w:pPr>
              <w:spacing w:after="0"/>
              <w:rPr>
                <w:sz w:val="20"/>
                <w:szCs w:val="20"/>
              </w:rPr>
            </w:pPr>
            <w:r w:rsidRPr="003F6059">
              <w:rPr>
                <w:sz w:val="20"/>
                <w:szCs w:val="20"/>
              </w:rPr>
              <w:t>$</w:t>
            </w:r>
            <w:r>
              <w:rPr>
                <w:sz w:val="20"/>
                <w:szCs w:val="20"/>
              </w:rPr>
              <w:t>4</w:t>
            </w:r>
            <w:r w:rsidR="0037007F">
              <w:rPr>
                <w:sz w:val="20"/>
                <w:szCs w:val="20"/>
              </w:rPr>
              <w:t>1</w:t>
            </w:r>
            <w:r>
              <w:rPr>
                <w:sz w:val="20"/>
                <w:szCs w:val="20"/>
              </w:rPr>
              <w:t>.</w:t>
            </w:r>
            <w:r w:rsidR="0037007F">
              <w:rPr>
                <w:sz w:val="20"/>
                <w:szCs w:val="20"/>
              </w:rPr>
              <w:t>1</w:t>
            </w:r>
            <w:r>
              <w:rPr>
                <w:sz w:val="20"/>
                <w:szCs w:val="20"/>
              </w:rPr>
              <w:t>0</w:t>
            </w:r>
          </w:p>
        </w:tc>
      </w:tr>
      <w:tr w:rsidRPr="00C47150" w:rsidR="00F243D4" w:rsidTr="006140C8" w14:paraId="27D599C7" w14:textId="77533941">
        <w:trPr>
          <w:trHeight w:val="525"/>
          <w:jc w:val="center"/>
        </w:trPr>
        <w:tc>
          <w:tcPr>
            <w:tcW w:w="7375" w:type="dxa"/>
            <w:shd w:val="clear" w:color="auto" w:fill="auto"/>
            <w:hideMark/>
          </w:tcPr>
          <w:p w:rsidRPr="003F6059" w:rsidR="00F243D4" w:rsidP="00A55FB3" w:rsidRDefault="00F243D4" w14:paraId="0D1388D0" w14:textId="29FD917C">
            <w:pPr>
              <w:spacing w:after="0"/>
              <w:rPr>
                <w:sz w:val="20"/>
                <w:szCs w:val="20"/>
              </w:rPr>
            </w:pPr>
            <w:r w:rsidRPr="003F6059">
              <w:rPr>
                <w:sz w:val="20"/>
                <w:szCs w:val="20"/>
              </w:rPr>
              <w:t>Cost to Review Measure Specifications (@ physician’s labor rate of $2</w:t>
            </w:r>
            <w:r w:rsidR="000E32D5">
              <w:rPr>
                <w:sz w:val="20"/>
                <w:szCs w:val="20"/>
              </w:rPr>
              <w:t>59</w:t>
            </w:r>
            <w:r>
              <w:rPr>
                <w:sz w:val="20"/>
                <w:szCs w:val="20"/>
              </w:rPr>
              <w:t>.</w:t>
            </w:r>
            <w:r w:rsidR="000E32D5">
              <w:rPr>
                <w:sz w:val="20"/>
                <w:szCs w:val="20"/>
              </w:rPr>
              <w:t>98</w:t>
            </w:r>
            <w:r w:rsidRPr="003F6059">
              <w:rPr>
                <w:sz w:val="20"/>
                <w:szCs w:val="20"/>
              </w:rPr>
              <w:t>/</w:t>
            </w:r>
            <w:proofErr w:type="spellStart"/>
            <w:r w:rsidRPr="003F6059">
              <w:rPr>
                <w:sz w:val="20"/>
                <w:szCs w:val="20"/>
              </w:rPr>
              <w:t>hr</w:t>
            </w:r>
            <w:proofErr w:type="spellEnd"/>
            <w:r w:rsidRPr="003F6059">
              <w:rPr>
                <w:sz w:val="20"/>
                <w:szCs w:val="20"/>
              </w:rPr>
              <w:t>) (q)</w:t>
            </w:r>
          </w:p>
        </w:tc>
        <w:tc>
          <w:tcPr>
            <w:tcW w:w="2075" w:type="dxa"/>
          </w:tcPr>
          <w:p w:rsidRPr="003F6059" w:rsidR="00F243D4" w:rsidP="00A55FB3" w:rsidRDefault="00F243D4" w14:paraId="4EC858F7" w14:textId="69A1B44E">
            <w:pPr>
              <w:spacing w:after="0"/>
              <w:rPr>
                <w:sz w:val="20"/>
                <w:szCs w:val="20"/>
              </w:rPr>
            </w:pPr>
            <w:r w:rsidRPr="003F6059">
              <w:rPr>
                <w:sz w:val="20"/>
                <w:szCs w:val="20"/>
              </w:rPr>
              <w:t>$2</w:t>
            </w:r>
            <w:r w:rsidR="0037007F">
              <w:rPr>
                <w:sz w:val="20"/>
                <w:szCs w:val="20"/>
              </w:rPr>
              <w:t>59</w:t>
            </w:r>
            <w:r>
              <w:rPr>
                <w:sz w:val="20"/>
                <w:szCs w:val="20"/>
              </w:rPr>
              <w:t>.</w:t>
            </w:r>
            <w:r w:rsidR="0037007F">
              <w:rPr>
                <w:sz w:val="20"/>
                <w:szCs w:val="20"/>
              </w:rPr>
              <w:t>98</w:t>
            </w:r>
          </w:p>
        </w:tc>
      </w:tr>
      <w:tr w:rsidRPr="00C47150" w:rsidR="00F243D4" w:rsidTr="006140C8" w14:paraId="18D7F363" w14:textId="52C27FA8">
        <w:trPr>
          <w:trHeight w:val="315"/>
          <w:jc w:val="center"/>
        </w:trPr>
        <w:tc>
          <w:tcPr>
            <w:tcW w:w="7375" w:type="dxa"/>
            <w:shd w:val="clear" w:color="auto" w:fill="auto"/>
            <w:hideMark/>
          </w:tcPr>
          <w:p w:rsidRPr="003F6059" w:rsidR="00F243D4" w:rsidP="00A55FB3" w:rsidRDefault="00F243D4" w14:paraId="48792688" w14:textId="43BC0315">
            <w:pPr>
              <w:spacing w:after="0"/>
              <w:rPr>
                <w:sz w:val="20"/>
                <w:szCs w:val="20"/>
              </w:rPr>
            </w:pPr>
            <w:r w:rsidRPr="003F6059">
              <w:rPr>
                <w:sz w:val="20"/>
                <w:szCs w:val="20"/>
              </w:rPr>
              <w:t>Total Cost Per Respondent (r)=(l)+(m)+(n)+(o)+(p)+(q)</w:t>
            </w:r>
          </w:p>
        </w:tc>
        <w:tc>
          <w:tcPr>
            <w:tcW w:w="2075" w:type="dxa"/>
          </w:tcPr>
          <w:p w:rsidRPr="003F6059" w:rsidR="00F243D4" w:rsidP="00A55FB3" w:rsidRDefault="00F243D4" w14:paraId="0AA8442C" w14:textId="3AA0C8FA">
            <w:pPr>
              <w:spacing w:after="0"/>
              <w:rPr>
                <w:sz w:val="20"/>
                <w:szCs w:val="20"/>
              </w:rPr>
            </w:pPr>
            <w:r w:rsidRPr="003F6059">
              <w:rPr>
                <w:sz w:val="20"/>
                <w:szCs w:val="20"/>
              </w:rPr>
              <w:t>$</w:t>
            </w:r>
            <w:r>
              <w:rPr>
                <w:sz w:val="20"/>
                <w:szCs w:val="20"/>
              </w:rPr>
              <w:t>8</w:t>
            </w:r>
            <w:r w:rsidR="0037007F">
              <w:rPr>
                <w:sz w:val="20"/>
                <w:szCs w:val="20"/>
              </w:rPr>
              <w:t>76</w:t>
            </w:r>
            <w:r>
              <w:rPr>
                <w:sz w:val="20"/>
                <w:szCs w:val="20"/>
              </w:rPr>
              <w:t>.</w:t>
            </w:r>
            <w:r w:rsidR="0037007F">
              <w:rPr>
                <w:sz w:val="20"/>
                <w:szCs w:val="20"/>
              </w:rPr>
              <w:t>22</w:t>
            </w:r>
          </w:p>
        </w:tc>
      </w:tr>
      <w:tr w:rsidRPr="00C47150" w:rsidR="00F243D4" w:rsidTr="006140C8" w14:paraId="5F4C4579" w14:textId="689B3C20">
        <w:trPr>
          <w:trHeight w:val="315"/>
          <w:jc w:val="center"/>
        </w:trPr>
        <w:tc>
          <w:tcPr>
            <w:tcW w:w="7375" w:type="dxa"/>
            <w:shd w:val="clear" w:color="auto" w:fill="D9D9D9" w:themeFill="background1" w:themeFillShade="D9"/>
          </w:tcPr>
          <w:p w:rsidRPr="003F6059" w:rsidR="00F243D4" w:rsidP="009C12FC" w:rsidRDefault="00F243D4" w14:paraId="2FA0D96F" w14:textId="1ECF1738">
            <w:pPr>
              <w:spacing w:after="0"/>
              <w:rPr>
                <w:b/>
                <w:bCs/>
                <w:sz w:val="20"/>
                <w:szCs w:val="20"/>
              </w:rPr>
            </w:pPr>
            <w:r w:rsidRPr="003F6059">
              <w:rPr>
                <w:b/>
                <w:bCs/>
                <w:sz w:val="20"/>
                <w:szCs w:val="20"/>
              </w:rPr>
              <w:t>Total Annual Cost (s) = (c)*(r)</w:t>
            </w:r>
          </w:p>
        </w:tc>
        <w:tc>
          <w:tcPr>
            <w:tcW w:w="2075" w:type="dxa"/>
            <w:shd w:val="clear" w:color="auto" w:fill="D9D9D9" w:themeFill="background1" w:themeFillShade="D9"/>
            <w:vAlign w:val="center"/>
          </w:tcPr>
          <w:p w:rsidRPr="003F6059" w:rsidR="00F243D4" w:rsidP="009C12FC" w:rsidRDefault="00F243D4" w14:paraId="265E8147" w14:textId="2B12C663">
            <w:pPr>
              <w:spacing w:after="0"/>
              <w:rPr>
                <w:b/>
                <w:bCs/>
                <w:sz w:val="20"/>
                <w:szCs w:val="20"/>
              </w:rPr>
            </w:pPr>
            <w:r w:rsidRPr="00A84883">
              <w:rPr>
                <w:rFonts w:eastAsia="Calibri"/>
                <w:b/>
                <w:sz w:val="20"/>
                <w:szCs w:val="20"/>
              </w:rPr>
              <w:t>$</w:t>
            </w:r>
            <w:r w:rsidR="0037007F">
              <w:rPr>
                <w:rFonts w:eastAsia="Calibri"/>
                <w:b/>
                <w:sz w:val="20"/>
                <w:szCs w:val="20"/>
              </w:rPr>
              <w:t>40</w:t>
            </w:r>
            <w:r>
              <w:rPr>
                <w:rFonts w:eastAsia="Calibri"/>
                <w:b/>
                <w:sz w:val="20"/>
                <w:szCs w:val="20"/>
              </w:rPr>
              <w:t>,</w:t>
            </w:r>
            <w:r w:rsidR="0037007F">
              <w:rPr>
                <w:rFonts w:eastAsia="Calibri"/>
                <w:b/>
                <w:sz w:val="20"/>
                <w:szCs w:val="20"/>
              </w:rPr>
              <w:t>095</w:t>
            </w:r>
            <w:r>
              <w:rPr>
                <w:rFonts w:eastAsia="Calibri"/>
                <w:b/>
                <w:sz w:val="20"/>
                <w:szCs w:val="20"/>
              </w:rPr>
              <w:t>,</w:t>
            </w:r>
            <w:r w:rsidR="0037007F">
              <w:rPr>
                <w:rFonts w:eastAsia="Calibri"/>
                <w:b/>
                <w:sz w:val="20"/>
                <w:szCs w:val="20"/>
              </w:rPr>
              <w:t>827</w:t>
            </w:r>
          </w:p>
        </w:tc>
      </w:tr>
    </w:tbl>
    <w:p w:rsidRPr="007B475F" w:rsidR="00845EA3" w:rsidP="003507A9" w:rsidRDefault="00845EA3" w14:paraId="7F09F4C1" w14:textId="77777777">
      <w:pPr>
        <w:rPr>
          <w:rFonts w:eastAsia="Calibri"/>
        </w:rPr>
      </w:pPr>
    </w:p>
    <w:p w:rsidRPr="009E1A51" w:rsidR="009E1A51" w:rsidP="003D552B" w:rsidRDefault="009E1A51" w14:paraId="4E7294BD" w14:textId="77777777">
      <w:pPr>
        <w:pStyle w:val="Heading3"/>
      </w:pPr>
      <w:r w:rsidRPr="009E1A51">
        <w:lastRenderedPageBreak/>
        <w:t>ICRs Regarding Burden for MVP Reporting</w:t>
      </w:r>
    </w:p>
    <w:p w:rsidR="00E3288A" w:rsidP="00DF4A91" w:rsidRDefault="00B52438" w14:paraId="5755502E" w14:textId="22BD2955">
      <w:r>
        <w:t xml:space="preserve">In the CY 2022 PFS final rule, </w:t>
      </w:r>
      <w:r w:rsidR="004F6B99">
        <w:t xml:space="preserve">we finalized </w:t>
      </w:r>
      <w:r w:rsidR="00A12E56">
        <w:t xml:space="preserve">the implementation of voluntary </w:t>
      </w:r>
      <w:r w:rsidR="007E48D5">
        <w:t>MIPS Value Pathways</w:t>
      </w:r>
      <w:r w:rsidR="00C12223">
        <w:t xml:space="preserve"> (MVP)</w:t>
      </w:r>
      <w:r w:rsidR="007E48D5">
        <w:t xml:space="preserve"> </w:t>
      </w:r>
      <w:r w:rsidR="003C00CB">
        <w:t xml:space="preserve">and subgroup </w:t>
      </w:r>
      <w:r w:rsidR="007E48D5">
        <w:t xml:space="preserve">reporting </w:t>
      </w:r>
      <w:r w:rsidR="00BC751B">
        <w:t xml:space="preserve">for eligible clinicians </w:t>
      </w:r>
      <w:r w:rsidR="00014B8C">
        <w:t>beginning with the CY 2023 performance period/2025 MIPS payment year</w:t>
      </w:r>
      <w:r w:rsidR="004A6CE2">
        <w:t>.</w:t>
      </w:r>
      <w:r w:rsidR="00BC751B">
        <w:t xml:space="preserve"> </w:t>
      </w:r>
      <w:r w:rsidR="007426C6">
        <w:t>Therefore</w:t>
      </w:r>
      <w:r w:rsidRPr="00064DFC" w:rsidR="00AB1814">
        <w:t>, clinicians participating in MIPS would have the option to voluntarily submit data using MVPs starting with the CY 2023 performance period/2025 MIPS payment year</w:t>
      </w:r>
      <w:r w:rsidR="0002421D">
        <w:t xml:space="preserve">. </w:t>
      </w:r>
      <w:r w:rsidR="00B53B2D">
        <w:t xml:space="preserve">Additionally, </w:t>
      </w:r>
      <w:r w:rsidR="00943FD2">
        <w:t xml:space="preserve">clinicians participating in MIPS through reporting MVPs </w:t>
      </w:r>
      <w:r w:rsidR="00046ACA">
        <w:t xml:space="preserve">could also choose to form subgroups beginning with the CY 2023 performance period/2025 MIPS payment year. </w:t>
      </w:r>
      <w:r w:rsidRPr="00BC751B" w:rsidR="00BC751B">
        <w:t>The MVPs would include the Promoting Interoperability performance category as a foundational element and incorporate population health claims-based measures, as feasible, along with the relevant measures and activities in the quality, cost and improvement activities performance categories.</w:t>
      </w:r>
      <w:r w:rsidRPr="00064DFC" w:rsidR="00064DFC">
        <w:t xml:space="preserve"> We estimate that the clinicians choosing to participate in MIPS for reporting MVPs would need to select from a reduced inventory of measures and activities for the quality and improvement activities performance categories.  This reduction in burden is described in the quality, improvement activities and Promoting Interoperability performance categories sections below. </w:t>
      </w:r>
      <w:r w:rsidRPr="007F4396" w:rsidR="007F4396">
        <w:t xml:space="preserve">The following ICRs reflect the burden associated with the first year of data collection related to the implementation of MVPs and subgroup reporting in the CY 2023 performance period/2025 MIPS payment year as described in </w:t>
      </w:r>
      <w:r w:rsidR="002111DC">
        <w:t xml:space="preserve">the CY 2022 PFS </w:t>
      </w:r>
      <w:r w:rsidR="006307B3">
        <w:t>final</w:t>
      </w:r>
      <w:r w:rsidR="002111DC">
        <w:t xml:space="preserve"> rule</w:t>
      </w:r>
      <w:r w:rsidRPr="007F4396" w:rsidR="007F4396">
        <w:t>.</w:t>
      </w:r>
      <w:r w:rsidR="006D2AF0">
        <w:t xml:space="preserve"> </w:t>
      </w:r>
    </w:p>
    <w:p w:rsidR="00662DAE" w:rsidP="00DF4A91" w:rsidRDefault="00E561A2" w14:paraId="1138604A" w14:textId="1A3282B7">
      <w:r w:rsidRPr="00871E51">
        <w:t>For the ICRs related to MVP participants, we used the MIPS submission data from the CY 20</w:t>
      </w:r>
      <w:r w:rsidR="008B32AD">
        <w:t>19</w:t>
      </w:r>
      <w:r w:rsidRPr="00871E51">
        <w:t xml:space="preserve"> performance period/202</w:t>
      </w:r>
      <w:r w:rsidR="008B32AD">
        <w:t>1</w:t>
      </w:r>
      <w:r w:rsidRPr="00871E51">
        <w:t xml:space="preserve"> MIPS payment year. </w:t>
      </w:r>
      <w:r w:rsidRPr="00A646F5" w:rsidR="00E3288A">
        <w:rPr>
          <w:rFonts w:eastAsia="Calibri"/>
          <w:color w:val="000000" w:themeColor="text1"/>
        </w:rPr>
        <w:t xml:space="preserve">In </w:t>
      </w:r>
      <w:r w:rsidR="00E3288A">
        <w:rPr>
          <w:rFonts w:eastAsia="Calibri"/>
          <w:color w:val="000000" w:themeColor="text1"/>
        </w:rPr>
        <w:t xml:space="preserve">Appendix 3:  MVP Inventory </w:t>
      </w:r>
      <w:r w:rsidRPr="00A646F5" w:rsidR="00E3288A">
        <w:rPr>
          <w:color w:val="000000" w:themeColor="text1"/>
        </w:rPr>
        <w:t xml:space="preserve">of </w:t>
      </w:r>
      <w:r w:rsidRPr="00A646F5" w:rsidR="00E3288A">
        <w:rPr>
          <w:rFonts w:eastAsia="Calibri"/>
          <w:color w:val="000000" w:themeColor="text1"/>
        </w:rPr>
        <w:t>th</w:t>
      </w:r>
      <w:r w:rsidR="00E3288A">
        <w:rPr>
          <w:rFonts w:eastAsia="Calibri"/>
          <w:color w:val="000000" w:themeColor="text1"/>
        </w:rPr>
        <w:t xml:space="preserve">e CY 2023 PFS proposed </w:t>
      </w:r>
      <w:r w:rsidRPr="00A646F5" w:rsidR="00E3288A">
        <w:rPr>
          <w:rFonts w:eastAsia="Calibri"/>
          <w:color w:val="000000" w:themeColor="text1"/>
        </w:rPr>
        <w:t>rule, we propose to revise</w:t>
      </w:r>
      <w:r w:rsidR="00E3288A">
        <w:rPr>
          <w:rFonts w:eastAsia="Calibri"/>
          <w:color w:val="000000" w:themeColor="text1"/>
        </w:rPr>
        <w:t xml:space="preserve"> 6 of</w:t>
      </w:r>
      <w:r w:rsidRPr="00A646F5" w:rsidR="00E3288A">
        <w:rPr>
          <w:rFonts w:eastAsia="Calibri"/>
          <w:color w:val="000000" w:themeColor="text1"/>
        </w:rPr>
        <w:t xml:space="preserve"> </w:t>
      </w:r>
      <w:r w:rsidRPr="00A646F5" w:rsidR="00E3288A">
        <w:rPr>
          <w:color w:val="000000" w:themeColor="text1"/>
        </w:rPr>
        <w:t xml:space="preserve">the 7 MVPs </w:t>
      </w:r>
      <w:r w:rsidRPr="00A646F5" w:rsidR="00E3288A">
        <w:rPr>
          <w:rFonts w:eastAsia="Calibri"/>
          <w:color w:val="000000" w:themeColor="text1"/>
        </w:rPr>
        <w:t xml:space="preserve">finalized </w:t>
      </w:r>
      <w:r w:rsidRPr="00A646F5" w:rsidR="00E3288A">
        <w:rPr>
          <w:color w:val="000000" w:themeColor="text1"/>
        </w:rPr>
        <w:t xml:space="preserve">in Appendix 3: MVP Inventory of </w:t>
      </w:r>
      <w:r w:rsidRPr="00A646F5" w:rsidR="00E3288A">
        <w:rPr>
          <w:rFonts w:eastAsia="Calibri"/>
          <w:color w:val="000000" w:themeColor="text1"/>
        </w:rPr>
        <w:t>the CY 2022 PFS final rule (86 FR 65998 through 66031). Specifically, these revisions are based on the proposed removal of certain improvement activities</w:t>
      </w:r>
      <w:r w:rsidRPr="00BE67C6" w:rsidR="00E3288A">
        <w:rPr>
          <w:rFonts w:eastAsia="Calibri"/>
          <w:color w:val="000000" w:themeColor="text1"/>
        </w:rPr>
        <w:t xml:space="preserve">, the addition of other relevant </w:t>
      </w:r>
      <w:r w:rsidRPr="00BE67C6" w:rsidR="00E3288A">
        <w:rPr>
          <w:color w:val="000000" w:themeColor="text1"/>
        </w:rPr>
        <w:t xml:space="preserve">existing </w:t>
      </w:r>
      <w:r w:rsidRPr="00BE67C6" w:rsidR="00E3288A">
        <w:rPr>
          <w:rFonts w:eastAsia="Calibri"/>
          <w:color w:val="000000" w:themeColor="text1"/>
        </w:rPr>
        <w:t>quality measures for MVP participants to select from</w:t>
      </w:r>
      <w:r w:rsidR="00400BE5">
        <w:rPr>
          <w:rFonts w:eastAsia="Calibri"/>
          <w:color w:val="000000" w:themeColor="text1"/>
        </w:rPr>
        <w:t>,</w:t>
      </w:r>
      <w:r w:rsidRPr="00BE67C6" w:rsidR="00E3288A">
        <w:rPr>
          <w:rFonts w:eastAsia="Calibri"/>
          <w:color w:val="000000" w:themeColor="text1"/>
        </w:rPr>
        <w:t xml:space="preserve"> and the proposed addition of the ONC direct review attestation requirement in the Promoting Interoperability performance category to all previously finalized MVPs. Additionally, we propose 5 new MVPs for the CY 2023 performance</w:t>
      </w:r>
      <w:r w:rsidRPr="00A646F5" w:rsidR="00E3288A">
        <w:rPr>
          <w:rFonts w:eastAsia="Calibri"/>
          <w:color w:val="000000" w:themeColor="text1"/>
        </w:rPr>
        <w:t xml:space="preserve"> period/2025 MIPS payment year. If the proposed 5 new MVPs are finalized, MVP participants would have a total of 12 MVPs available for the CY 2023 performance period/2025 MIPS payment year. Due to the availability of new MVPs and addition of relevant quality </w:t>
      </w:r>
      <w:r w:rsidRPr="00A646F5" w:rsidR="00E3288A">
        <w:rPr>
          <w:color w:val="000000" w:themeColor="text1"/>
        </w:rPr>
        <w:t xml:space="preserve">measures </w:t>
      </w:r>
      <w:r w:rsidRPr="00A646F5" w:rsidR="00E3288A">
        <w:rPr>
          <w:rFonts w:eastAsia="Calibri"/>
          <w:color w:val="000000" w:themeColor="text1"/>
        </w:rPr>
        <w:t xml:space="preserve">to existing </w:t>
      </w:r>
      <w:r w:rsidRPr="00A646F5" w:rsidR="00E3288A">
        <w:rPr>
          <w:color w:val="000000" w:themeColor="text1"/>
        </w:rPr>
        <w:t xml:space="preserve">MVPs, we </w:t>
      </w:r>
      <w:r w:rsidRPr="00A646F5" w:rsidR="00E3288A">
        <w:rPr>
          <w:rFonts w:eastAsia="Calibri"/>
          <w:color w:val="000000" w:themeColor="text1"/>
        </w:rPr>
        <w:t>expect an increase in the number of MVP participants. Therefore, we estimate</w:t>
      </w:r>
      <w:r w:rsidRPr="00A646F5" w:rsidR="00E3288A">
        <w:rPr>
          <w:color w:val="000000" w:themeColor="text1"/>
        </w:rPr>
        <w:t xml:space="preserve"> that </w:t>
      </w:r>
      <w:r w:rsidRPr="00A646F5" w:rsidR="00E3288A">
        <w:rPr>
          <w:rFonts w:eastAsia="Calibri"/>
          <w:color w:val="000000" w:themeColor="text1"/>
        </w:rPr>
        <w:t>12</w:t>
      </w:r>
      <w:r w:rsidRPr="00A646F5" w:rsidR="00E3288A">
        <w:rPr>
          <w:color w:val="000000" w:themeColor="text1"/>
        </w:rPr>
        <w:t xml:space="preserve"> percent of the clinicians </w:t>
      </w:r>
      <w:r w:rsidRPr="00A646F5" w:rsidR="00E3288A">
        <w:rPr>
          <w:rFonts w:eastAsia="Calibri"/>
          <w:color w:val="000000" w:themeColor="text1"/>
        </w:rPr>
        <w:t xml:space="preserve">would participate in MVP reporting in the CY 2023 performance period/2025 MIPS payment year. </w:t>
      </w:r>
    </w:p>
    <w:p w:rsidR="008B2106" w:rsidP="003D552B" w:rsidRDefault="00754333" w14:paraId="4F28661E" w14:textId="74C16167">
      <w:pPr>
        <w:pStyle w:val="Heading3"/>
        <w:numPr>
          <w:ilvl w:val="2"/>
          <w:numId w:val="45"/>
        </w:numPr>
      </w:pPr>
      <w:r>
        <w:t xml:space="preserve"> </w:t>
      </w:r>
      <w:r w:rsidR="00807FBE">
        <w:t xml:space="preserve"> </w:t>
      </w:r>
      <w:r w:rsidRPr="00754333" w:rsidR="00282256">
        <w:t>Burden for MVP Registration: Individuals, Groups and APM Entities</w:t>
      </w:r>
      <w:r w:rsidR="00BE6DD2">
        <w:t xml:space="preserve"> </w:t>
      </w:r>
    </w:p>
    <w:p w:rsidR="00BE6DD2" w:rsidP="00DF4A91" w:rsidRDefault="00BE6DD2" w14:paraId="67053948" w14:textId="4D769657">
      <w:r w:rsidRPr="00871E51">
        <w:t>Beginning with the CY 2023 performance period/2025 MIPS payment year,</w:t>
      </w:r>
      <w:r w:rsidR="000542F3">
        <w:t xml:space="preserve"> </w:t>
      </w:r>
      <w:r w:rsidRPr="00871E51">
        <w:t xml:space="preserve">clinicians interested in participating in MIPS through MVP reporting would be required to complete an annual registration process described in </w:t>
      </w:r>
      <w:r w:rsidR="000211FD">
        <w:t xml:space="preserve">the CY 2022 PFS </w:t>
      </w:r>
      <w:r w:rsidR="002F0025">
        <w:t>final</w:t>
      </w:r>
      <w:r w:rsidR="000211FD">
        <w:t xml:space="preserve"> </w:t>
      </w:r>
      <w:r w:rsidRPr="00871E51">
        <w:t>rule</w:t>
      </w:r>
      <w:r w:rsidR="00E01BE9">
        <w:t xml:space="preserve"> (86 FR 65589 through 65590)</w:t>
      </w:r>
      <w:r w:rsidRPr="00871E51">
        <w:t xml:space="preserve">. At the time of registration, MVP participants would need to select a specific MVP, a population health measure and if administrative claims measures are included in the selected MVP, the MVP participants would also need to choose an applicable administrative claims measure in the MVP. </w:t>
      </w:r>
      <w:r w:rsidRPr="00C31575" w:rsidR="00C31575">
        <w:t xml:space="preserve">In Table </w:t>
      </w:r>
      <w:r w:rsidR="00571D24">
        <w:t>1</w:t>
      </w:r>
      <w:r w:rsidR="00CB533D">
        <w:t>2</w:t>
      </w:r>
      <w:r w:rsidR="00571D24">
        <w:t xml:space="preserve"> below</w:t>
      </w:r>
      <w:r w:rsidRPr="00C31575" w:rsidR="00C31575">
        <w:t xml:space="preserve">, we </w:t>
      </w:r>
      <w:r w:rsidR="00CC6A1D">
        <w:t xml:space="preserve">continue to </w:t>
      </w:r>
      <w:r w:rsidRPr="00C31575" w:rsidR="00C31575">
        <w:t>estimate that the registration process for clinicians choosing to submit MIPS data for the measures and the activities in an MVP would require 0.25 hours of a computer systems analyst’s time. We assume that the staff involved in the MVP registration process will mainly be computer systems analysts or their equivalent, who have an average labor cost of $9</w:t>
      </w:r>
      <w:r w:rsidR="0084153A">
        <w:t>8</w:t>
      </w:r>
      <w:r w:rsidRPr="00C31575" w:rsidR="00C31575">
        <w:t>.2</w:t>
      </w:r>
      <w:r w:rsidR="0084153A">
        <w:t>8</w:t>
      </w:r>
      <w:r w:rsidRPr="00C31575" w:rsidR="00C31575">
        <w:t xml:space="preserve">/hour. </w:t>
      </w:r>
      <w:r w:rsidRPr="00871E51">
        <w:t xml:space="preserve"> </w:t>
      </w:r>
    </w:p>
    <w:p w:rsidR="006E3E52" w:rsidP="006E3E52" w:rsidRDefault="006E3E52" w14:paraId="58F4E717" w14:textId="512A4429">
      <w:r>
        <w:lastRenderedPageBreak/>
        <w:t>B</w:t>
      </w:r>
      <w:r w:rsidRPr="00871E51">
        <w:t xml:space="preserve">ased on data from the CY 2019 performance period/2021 MIPS payment </w:t>
      </w:r>
      <w:r w:rsidRPr="00871E51" w:rsidR="00F22B6C">
        <w:t>year,</w:t>
      </w:r>
      <w:r w:rsidR="00F22B6C">
        <w:t xml:space="preserve"> </w:t>
      </w:r>
      <w:r w:rsidRPr="00871E51" w:rsidR="00F22B6C">
        <w:t>and</w:t>
      </w:r>
      <w:r w:rsidR="001B63FA">
        <w:t xml:space="preserve"> accounting for the proposed changes to the existing MVPs and the addition of new MVPs, we </w:t>
      </w:r>
      <w:r w:rsidR="004F4204">
        <w:t>estimate that 12</w:t>
      </w:r>
      <w:r w:rsidRPr="00871E51">
        <w:t xml:space="preserve"> percent of the clinicians that currently participate in MIPS will submit data for the measures and activities in an MVP</w:t>
      </w:r>
      <w:r w:rsidR="007A3879">
        <w:t xml:space="preserve">. </w:t>
      </w:r>
      <w:r w:rsidRPr="00871E51">
        <w:t xml:space="preserve">For the CY 2023 performance period/2025 MIPS payment year, we assume that a total of </w:t>
      </w:r>
      <w:r w:rsidR="007A3879">
        <w:t>16,432</w:t>
      </w:r>
      <w:r w:rsidRPr="00871E51">
        <w:t xml:space="preserve"> submissions would be received for the measures and activities included in MVPs.  This total includes our estimate of 20 subgroup reporters that will also be reporting MVPs in addition to MVP reporters who currently participate in MIPS.  Therefore, we assume that the total number of individual clinicians, groups, subgroups and APM Entities to complete the MVP registration process is 1</w:t>
      </w:r>
      <w:r w:rsidR="00B800E1">
        <w:t>6,432</w:t>
      </w:r>
      <w:r w:rsidRPr="00871E51">
        <w:t xml:space="preserve">.  </w:t>
      </w:r>
      <w:r w:rsidR="00B800E1">
        <w:t>As shown in Table 12, w</w:t>
      </w:r>
      <w:r w:rsidRPr="00871E51">
        <w:t xml:space="preserve">e estimate that </w:t>
      </w:r>
      <w:r w:rsidR="0035000E">
        <w:t xml:space="preserve">it would </w:t>
      </w:r>
      <w:r w:rsidR="00FF315A">
        <w:t xml:space="preserve">take </w:t>
      </w:r>
      <w:r w:rsidR="00B800E1">
        <w:t>4,108</w:t>
      </w:r>
      <w:r w:rsidR="0035000E">
        <w:t xml:space="preserve"> hours</w:t>
      </w:r>
      <w:r w:rsidR="007F4712">
        <w:t xml:space="preserve"> (1</w:t>
      </w:r>
      <w:r w:rsidR="00B800E1">
        <w:t>6,432</w:t>
      </w:r>
      <w:r w:rsidR="007F4712">
        <w:t xml:space="preserve"> </w:t>
      </w:r>
      <w:r w:rsidR="007222CB">
        <w:t>re</w:t>
      </w:r>
      <w:r w:rsidR="00FF30DA">
        <w:t>spondents</w:t>
      </w:r>
      <w:r w:rsidR="007222CB">
        <w:t xml:space="preserve"> </w:t>
      </w:r>
      <w:r w:rsidRPr="003F6059" w:rsidR="007222CB">
        <w:rPr>
          <w:rFonts w:eastAsia="Calibri"/>
        </w:rPr>
        <w:t>x</w:t>
      </w:r>
      <w:r w:rsidR="007222CB">
        <w:rPr>
          <w:rFonts w:eastAsia="Calibri"/>
        </w:rPr>
        <w:t xml:space="preserve"> 0.25 </w:t>
      </w:r>
      <w:proofErr w:type="spellStart"/>
      <w:r w:rsidR="007222CB">
        <w:rPr>
          <w:rFonts w:eastAsia="Calibri"/>
        </w:rPr>
        <w:t>hr</w:t>
      </w:r>
      <w:proofErr w:type="spellEnd"/>
      <w:r w:rsidR="007222CB">
        <w:rPr>
          <w:rFonts w:eastAsia="Calibri"/>
        </w:rPr>
        <w:t>/registration</w:t>
      </w:r>
      <w:r w:rsidR="007F4712">
        <w:t>)</w:t>
      </w:r>
      <w:r w:rsidR="0035000E">
        <w:t xml:space="preserve"> </w:t>
      </w:r>
      <w:r w:rsidR="00AB1AE3">
        <w:t>for</w:t>
      </w:r>
      <w:r w:rsidRPr="00871E51">
        <w:t xml:space="preserve"> individual</w:t>
      </w:r>
      <w:r w:rsidR="00955385">
        <w:t xml:space="preserve"> clinicians</w:t>
      </w:r>
      <w:r w:rsidR="00FF30DA">
        <w:t xml:space="preserve">, </w:t>
      </w:r>
      <w:r w:rsidRPr="00871E51">
        <w:t>groups</w:t>
      </w:r>
      <w:r w:rsidR="00955385">
        <w:t>, subgroups, and APM Entities</w:t>
      </w:r>
      <w:r w:rsidRPr="00871E51">
        <w:t xml:space="preserve"> </w:t>
      </w:r>
      <w:r w:rsidR="007222CB">
        <w:t>to complete</w:t>
      </w:r>
      <w:r w:rsidRPr="00871E51">
        <w:t xml:space="preserve"> the MVP registration process </w:t>
      </w:r>
      <w:r w:rsidR="007222CB">
        <w:t>at a cost of</w:t>
      </w:r>
      <w:r w:rsidRPr="00871E51">
        <w:t xml:space="preserve"> $</w:t>
      </w:r>
      <w:r w:rsidR="00150D35">
        <w:rPr>
          <w:color w:val="000000" w:themeColor="text1"/>
        </w:rPr>
        <w:t>403</w:t>
      </w:r>
      <w:r w:rsidRPr="00871E51">
        <w:rPr>
          <w:color w:val="000000" w:themeColor="text1"/>
        </w:rPr>
        <w:t>,</w:t>
      </w:r>
      <w:r w:rsidR="00150D35">
        <w:rPr>
          <w:color w:val="000000" w:themeColor="text1"/>
        </w:rPr>
        <w:t>734</w:t>
      </w:r>
      <w:r w:rsidR="00305884">
        <w:rPr>
          <w:color w:val="000000" w:themeColor="text1"/>
        </w:rPr>
        <w:t xml:space="preserve"> (</w:t>
      </w:r>
      <w:r w:rsidR="00150D35">
        <w:t>4,108</w:t>
      </w:r>
      <w:r w:rsidR="00305884">
        <w:t xml:space="preserve"> hours </w:t>
      </w:r>
      <w:r w:rsidRPr="003F6059" w:rsidR="00305884">
        <w:rPr>
          <w:rFonts w:eastAsia="Calibri"/>
        </w:rPr>
        <w:t>x</w:t>
      </w:r>
      <w:r w:rsidR="00305884">
        <w:rPr>
          <w:rFonts w:eastAsia="Calibri"/>
        </w:rPr>
        <w:t xml:space="preserve"> 9</w:t>
      </w:r>
      <w:r w:rsidR="00150D35">
        <w:rPr>
          <w:rFonts w:eastAsia="Calibri"/>
        </w:rPr>
        <w:t>8</w:t>
      </w:r>
      <w:r w:rsidR="00305884">
        <w:rPr>
          <w:rFonts w:eastAsia="Calibri"/>
        </w:rPr>
        <w:t>.2</w:t>
      </w:r>
      <w:r w:rsidR="00150D35">
        <w:rPr>
          <w:rFonts w:eastAsia="Calibri"/>
        </w:rPr>
        <w:t>8</w:t>
      </w:r>
      <w:r w:rsidR="00305884">
        <w:rPr>
          <w:rFonts w:eastAsia="Calibri"/>
        </w:rPr>
        <w:t>/</w:t>
      </w:r>
      <w:proofErr w:type="spellStart"/>
      <w:r w:rsidR="00305884">
        <w:rPr>
          <w:rFonts w:eastAsia="Calibri"/>
        </w:rPr>
        <w:t>hr</w:t>
      </w:r>
      <w:proofErr w:type="spellEnd"/>
      <w:r w:rsidR="00305884">
        <w:rPr>
          <w:color w:val="000000" w:themeColor="text1"/>
        </w:rPr>
        <w:t>)</w:t>
      </w:r>
      <w:r w:rsidR="00BD6D1A">
        <w:rPr>
          <w:color w:val="000000" w:themeColor="text1"/>
        </w:rPr>
        <w:t xml:space="preserve"> for the CY 2023 performance period/2025 MIPS payment year</w:t>
      </w:r>
      <w:r w:rsidRPr="00871E51">
        <w:t xml:space="preserve">. </w:t>
      </w:r>
    </w:p>
    <w:p w:rsidRPr="00CF538E" w:rsidR="003F1DAF" w:rsidP="00CF538E" w:rsidRDefault="003F1DAF" w14:paraId="5859D628" w14:textId="3ADC01C2">
      <w:pPr>
        <w:jc w:val="center"/>
        <w:rPr>
          <w:b/>
          <w:bCs/>
        </w:rPr>
      </w:pPr>
      <w:r w:rsidRPr="00871E51">
        <w:rPr>
          <w:b/>
          <w:bCs/>
        </w:rPr>
        <w:t xml:space="preserve">TABLE </w:t>
      </w:r>
      <w:r>
        <w:rPr>
          <w:b/>
          <w:bCs/>
        </w:rPr>
        <w:t>1</w:t>
      </w:r>
      <w:r w:rsidR="00B800E1">
        <w:rPr>
          <w:b/>
          <w:bCs/>
        </w:rPr>
        <w:t>2</w:t>
      </w:r>
      <w:r w:rsidRPr="00871E51">
        <w:rPr>
          <w:b/>
          <w:bCs/>
        </w:rPr>
        <w:t>: Total Estimated Burden for MVP Registration (Individual clinicians, Groups, Subgroups and APM Entities)</w:t>
      </w:r>
      <w:r w:rsidR="000E57F6">
        <w:rPr>
          <w:b/>
          <w:bCs/>
        </w:rPr>
        <w:t xml:space="preserve"> </w:t>
      </w:r>
    </w:p>
    <w:tbl>
      <w:tblPr>
        <w:tblW w:w="9720" w:type="dxa"/>
        <w:tblLook w:val="04A0" w:firstRow="1" w:lastRow="0" w:firstColumn="1" w:lastColumn="0" w:noHBand="0" w:noVBand="1"/>
      </w:tblPr>
      <w:tblGrid>
        <w:gridCol w:w="6650"/>
        <w:gridCol w:w="3070"/>
      </w:tblGrid>
      <w:tr w:rsidRPr="00871E51" w:rsidR="003F1DAF" w:rsidTr="00F37138" w14:paraId="6E351D79" w14:textId="77777777">
        <w:trPr>
          <w:trHeight w:val="476"/>
        </w:trPr>
        <w:tc>
          <w:tcPr>
            <w:tcW w:w="6650" w:type="dxa"/>
            <w:tcBorders>
              <w:top w:val="single" w:color="auto" w:sz="4" w:space="0"/>
              <w:left w:val="single" w:color="000000" w:themeColor="text1" w:sz="8" w:space="0"/>
              <w:bottom w:val="single" w:color="auto" w:sz="4" w:space="0"/>
              <w:right w:val="single" w:color="000000" w:themeColor="text1" w:sz="8" w:space="0"/>
            </w:tcBorders>
            <w:shd w:val="clear" w:color="auto" w:fill="FFFFFF" w:themeFill="background1"/>
            <w:vAlign w:val="center"/>
          </w:tcPr>
          <w:p w:rsidRPr="00871E51" w:rsidR="003F1DAF" w:rsidP="00467327" w:rsidRDefault="000724EF" w14:paraId="0979AE5A" w14:textId="182C20EB">
            <w:pPr>
              <w:spacing w:after="0"/>
              <w:rPr>
                <w:color w:val="FFFFFF" w:themeColor="background1"/>
                <w:sz w:val="20"/>
                <w:szCs w:val="20"/>
              </w:rPr>
            </w:pPr>
            <w:r w:rsidRPr="00C351ED">
              <w:rPr>
                <w:b/>
                <w:sz w:val="20"/>
                <w:szCs w:val="20"/>
              </w:rPr>
              <w:t>Burden and Respondent Descriptions </w:t>
            </w:r>
          </w:p>
        </w:tc>
        <w:tc>
          <w:tcPr>
            <w:tcW w:w="3070" w:type="dxa"/>
            <w:tcBorders>
              <w:top w:val="single" w:color="auto" w:sz="4" w:space="0"/>
              <w:left w:val="nil"/>
              <w:bottom w:val="single" w:color="auto" w:sz="4" w:space="0"/>
              <w:right w:val="single" w:color="000000" w:themeColor="text1" w:sz="8" w:space="0"/>
            </w:tcBorders>
            <w:shd w:val="clear" w:color="auto" w:fill="FFFFFF" w:themeFill="background1"/>
            <w:vAlign w:val="center"/>
          </w:tcPr>
          <w:p w:rsidRPr="00B01445" w:rsidR="003F1DAF" w:rsidP="00467327" w:rsidRDefault="003F1DAF" w14:paraId="1C2262CD" w14:textId="219523CE">
            <w:pPr>
              <w:jc w:val="center"/>
              <w:rPr>
                <w:b/>
                <w:bCs/>
                <w:sz w:val="20"/>
                <w:szCs w:val="20"/>
              </w:rPr>
            </w:pPr>
            <w:r w:rsidRPr="000724EF">
              <w:rPr>
                <w:b/>
                <w:bCs/>
                <w:sz w:val="20"/>
                <w:szCs w:val="20"/>
              </w:rPr>
              <w:t>Burden</w:t>
            </w:r>
            <w:r w:rsidR="00B01445">
              <w:rPr>
                <w:b/>
                <w:bCs/>
                <w:sz w:val="20"/>
                <w:szCs w:val="20"/>
              </w:rPr>
              <w:t xml:space="preserve"> </w:t>
            </w:r>
            <w:r w:rsidRPr="002E77D0" w:rsidR="002E77D0">
              <w:rPr>
                <w:b/>
                <w:bCs/>
                <w:sz w:val="20"/>
                <w:szCs w:val="20"/>
              </w:rPr>
              <w:t>Estimate</w:t>
            </w:r>
          </w:p>
        </w:tc>
      </w:tr>
      <w:tr w:rsidRPr="00871E51" w:rsidR="003F1DAF" w:rsidTr="00F37138" w14:paraId="40BF9104" w14:textId="77777777">
        <w:trPr>
          <w:trHeight w:val="539"/>
        </w:trPr>
        <w:tc>
          <w:tcPr>
            <w:tcW w:w="6650" w:type="dxa"/>
            <w:tcBorders>
              <w:top w:val="single" w:color="auto" w:sz="4" w:space="0"/>
              <w:left w:val="single" w:color="000000" w:themeColor="text1" w:sz="8" w:space="0"/>
              <w:bottom w:val="single" w:color="auto" w:sz="4" w:space="0"/>
              <w:right w:val="single" w:color="000000" w:themeColor="text1" w:sz="8" w:space="0"/>
            </w:tcBorders>
            <w:shd w:val="clear" w:color="auto" w:fill="auto"/>
            <w:vAlign w:val="center"/>
            <w:hideMark/>
          </w:tcPr>
          <w:p w:rsidRPr="00871E51" w:rsidR="003F1DAF" w:rsidP="00467327" w:rsidRDefault="003F1DAF" w14:paraId="06B8A458" w14:textId="77777777">
            <w:pPr>
              <w:rPr>
                <w:color w:val="000000"/>
                <w:sz w:val="20"/>
                <w:szCs w:val="20"/>
              </w:rPr>
            </w:pPr>
            <w:r w:rsidRPr="00871E51">
              <w:rPr>
                <w:color w:val="000000"/>
                <w:sz w:val="20"/>
                <w:szCs w:val="20"/>
              </w:rPr>
              <w:t>Estimated # of Individual clinicians, groups, subgroups and APM Entities Registering (a)</w:t>
            </w:r>
          </w:p>
        </w:tc>
        <w:tc>
          <w:tcPr>
            <w:tcW w:w="3070" w:type="dxa"/>
            <w:tcBorders>
              <w:top w:val="single" w:color="auto" w:sz="4" w:space="0"/>
              <w:left w:val="nil"/>
              <w:bottom w:val="single" w:color="auto" w:sz="4" w:space="0"/>
              <w:right w:val="single" w:color="000000" w:themeColor="text1" w:sz="8" w:space="0"/>
            </w:tcBorders>
            <w:shd w:val="clear" w:color="auto" w:fill="auto"/>
            <w:vAlign w:val="center"/>
            <w:hideMark/>
          </w:tcPr>
          <w:p w:rsidRPr="00871E51" w:rsidR="003F1DAF" w:rsidP="00467327" w:rsidRDefault="00014752" w14:paraId="74858155" w14:textId="156253C3">
            <w:pPr>
              <w:jc w:val="right"/>
              <w:rPr>
                <w:color w:val="000000"/>
                <w:sz w:val="20"/>
                <w:szCs w:val="20"/>
              </w:rPr>
            </w:pPr>
            <w:r>
              <w:rPr>
                <w:color w:val="000000"/>
                <w:sz w:val="20"/>
                <w:szCs w:val="20"/>
              </w:rPr>
              <w:t>16,432</w:t>
            </w:r>
          </w:p>
        </w:tc>
      </w:tr>
      <w:tr w:rsidRPr="00871E51" w:rsidR="003F1DAF" w:rsidTr="00F37138" w14:paraId="13159143" w14:textId="77777777">
        <w:trPr>
          <w:trHeight w:val="350"/>
        </w:trPr>
        <w:tc>
          <w:tcPr>
            <w:tcW w:w="6650"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71E51" w:rsidR="003F1DAF" w:rsidP="00467327" w:rsidRDefault="003F1DAF" w14:paraId="102B191A" w14:textId="77777777">
            <w:pPr>
              <w:rPr>
                <w:color w:val="000000"/>
                <w:sz w:val="20"/>
                <w:szCs w:val="20"/>
              </w:rPr>
            </w:pPr>
            <w:r w:rsidRPr="00871E51">
              <w:rPr>
                <w:color w:val="000000"/>
                <w:sz w:val="20"/>
                <w:szCs w:val="20"/>
              </w:rPr>
              <w:t>Estimated Total Annual Burden Hours Per Registration (b)</w:t>
            </w:r>
          </w:p>
        </w:tc>
        <w:tc>
          <w:tcPr>
            <w:tcW w:w="3070" w:type="dxa"/>
            <w:tcBorders>
              <w:top w:val="single" w:color="auto" w:sz="4" w:space="0"/>
              <w:left w:val="nil"/>
              <w:bottom w:val="single" w:color="000000" w:themeColor="text1" w:sz="8" w:space="0"/>
              <w:right w:val="single" w:color="000000" w:themeColor="text1" w:sz="8" w:space="0"/>
            </w:tcBorders>
            <w:shd w:val="clear" w:color="auto" w:fill="auto"/>
            <w:vAlign w:val="center"/>
            <w:hideMark/>
          </w:tcPr>
          <w:p w:rsidRPr="00871E51" w:rsidR="003F1DAF" w:rsidP="00467327" w:rsidRDefault="003F1DAF" w14:paraId="606EBB55" w14:textId="77777777">
            <w:pPr>
              <w:jc w:val="right"/>
              <w:rPr>
                <w:color w:val="000000"/>
                <w:sz w:val="20"/>
                <w:szCs w:val="20"/>
              </w:rPr>
            </w:pPr>
            <w:r w:rsidRPr="00871E51">
              <w:rPr>
                <w:color w:val="000000"/>
                <w:sz w:val="20"/>
                <w:szCs w:val="20"/>
              </w:rPr>
              <w:t>0.25</w:t>
            </w:r>
          </w:p>
        </w:tc>
      </w:tr>
      <w:tr w:rsidRPr="00871E51" w:rsidR="003F1DAF" w:rsidTr="00F37138" w14:paraId="58A0D76B" w14:textId="77777777">
        <w:trPr>
          <w:trHeight w:val="52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3D72619A" w14:textId="77777777">
            <w:pPr>
              <w:rPr>
                <w:b/>
                <w:bCs/>
                <w:color w:val="000000"/>
                <w:sz w:val="20"/>
                <w:szCs w:val="20"/>
              </w:rPr>
            </w:pPr>
            <w:r w:rsidRPr="00871E51">
              <w:rPr>
                <w:b/>
                <w:bCs/>
                <w:color w:val="000000"/>
                <w:sz w:val="20"/>
                <w:szCs w:val="20"/>
              </w:rPr>
              <w:t>Estimated Total Annual Burden Hours for MVP</w:t>
            </w:r>
            <w:r w:rsidRPr="00871E51" w:rsidDel="007E0945">
              <w:rPr>
                <w:b/>
                <w:bCs/>
                <w:color w:val="000000"/>
                <w:sz w:val="20"/>
                <w:szCs w:val="20"/>
              </w:rPr>
              <w:t xml:space="preserve"> </w:t>
            </w:r>
            <w:r w:rsidRPr="00871E51">
              <w:rPr>
                <w:b/>
                <w:bCs/>
                <w:color w:val="000000"/>
                <w:sz w:val="20"/>
                <w:szCs w:val="20"/>
              </w:rPr>
              <w:t>Registration (c) = (a) * (b)</w:t>
            </w:r>
          </w:p>
        </w:tc>
        <w:tc>
          <w:tcPr>
            <w:tcW w:w="3070" w:type="dxa"/>
            <w:tcBorders>
              <w:top w:val="nil"/>
              <w:left w:val="nil"/>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560FE4" w14:paraId="68171581" w14:textId="05004C1F">
            <w:pPr>
              <w:jc w:val="right"/>
              <w:rPr>
                <w:b/>
                <w:bCs/>
                <w:color w:val="000000"/>
                <w:sz w:val="20"/>
                <w:szCs w:val="20"/>
              </w:rPr>
            </w:pPr>
            <w:r>
              <w:rPr>
                <w:b/>
                <w:bCs/>
                <w:color w:val="000000"/>
                <w:sz w:val="20"/>
                <w:szCs w:val="20"/>
              </w:rPr>
              <w:t>4,108</w:t>
            </w:r>
          </w:p>
        </w:tc>
      </w:tr>
      <w:tr w:rsidRPr="00871E51" w:rsidR="003F1DAF" w:rsidTr="00F37138" w14:paraId="28A62F01" w14:textId="77777777">
        <w:trPr>
          <w:trHeight w:val="52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871E51" w:rsidR="003F1DAF" w:rsidP="00467327" w:rsidRDefault="003F1DAF" w14:paraId="2D7510BE" w14:textId="5DA6FF47">
            <w:pPr>
              <w:rPr>
                <w:color w:val="000000"/>
                <w:sz w:val="20"/>
                <w:szCs w:val="20"/>
              </w:rPr>
            </w:pPr>
            <w:r w:rsidRPr="00871E51">
              <w:rPr>
                <w:color w:val="000000"/>
                <w:sz w:val="20"/>
                <w:szCs w:val="20"/>
              </w:rPr>
              <w:t>Estimated Cost Per MVP (@ computer systems analyst’s labor rate of $9</w:t>
            </w:r>
            <w:r w:rsidR="00560FE4">
              <w:rPr>
                <w:color w:val="000000"/>
                <w:sz w:val="20"/>
                <w:szCs w:val="20"/>
              </w:rPr>
              <w:t>8</w:t>
            </w:r>
            <w:r w:rsidRPr="00871E51">
              <w:rPr>
                <w:color w:val="000000"/>
                <w:sz w:val="20"/>
                <w:szCs w:val="20"/>
              </w:rPr>
              <w:t>.2</w:t>
            </w:r>
            <w:r w:rsidR="00560FE4">
              <w:rPr>
                <w:color w:val="000000"/>
                <w:sz w:val="20"/>
                <w:szCs w:val="20"/>
              </w:rPr>
              <w:t>8</w:t>
            </w:r>
            <w:r w:rsidRPr="00871E51">
              <w:rPr>
                <w:color w:val="000000"/>
                <w:sz w:val="20"/>
                <w:szCs w:val="20"/>
              </w:rPr>
              <w:t>/hr. (d)</w:t>
            </w:r>
          </w:p>
        </w:tc>
        <w:tc>
          <w:tcPr>
            <w:tcW w:w="3070" w:type="dxa"/>
            <w:tcBorders>
              <w:top w:val="nil"/>
              <w:left w:val="nil"/>
              <w:bottom w:val="single" w:color="000000" w:themeColor="text1" w:sz="8" w:space="0"/>
              <w:right w:val="single" w:color="000000" w:themeColor="text1" w:sz="8" w:space="0"/>
            </w:tcBorders>
            <w:shd w:val="clear" w:color="auto" w:fill="auto"/>
            <w:vAlign w:val="center"/>
            <w:hideMark/>
          </w:tcPr>
          <w:p w:rsidRPr="00871E51" w:rsidR="003F1DAF" w:rsidP="00467327" w:rsidRDefault="002A2CEF" w14:paraId="7F101FF0" w14:textId="054E997D">
            <w:pPr>
              <w:jc w:val="right"/>
              <w:rPr>
                <w:color w:val="000000"/>
                <w:sz w:val="20"/>
                <w:szCs w:val="20"/>
              </w:rPr>
            </w:pPr>
            <w:r>
              <w:rPr>
                <w:color w:val="000000"/>
                <w:sz w:val="20"/>
                <w:szCs w:val="20"/>
              </w:rPr>
              <w:t>$</w:t>
            </w:r>
            <w:r w:rsidRPr="00871E51" w:rsidR="003F1DAF">
              <w:rPr>
                <w:color w:val="000000"/>
                <w:sz w:val="20"/>
                <w:szCs w:val="20"/>
              </w:rPr>
              <w:t>9</w:t>
            </w:r>
            <w:r w:rsidR="00560FE4">
              <w:rPr>
                <w:color w:val="000000"/>
                <w:sz w:val="20"/>
                <w:szCs w:val="20"/>
              </w:rPr>
              <w:t>8</w:t>
            </w:r>
            <w:r w:rsidRPr="00871E51" w:rsidR="003F1DAF">
              <w:rPr>
                <w:color w:val="000000"/>
                <w:sz w:val="20"/>
                <w:szCs w:val="20"/>
              </w:rPr>
              <w:t>.2</w:t>
            </w:r>
            <w:r w:rsidR="00560FE4">
              <w:rPr>
                <w:color w:val="000000"/>
                <w:sz w:val="20"/>
                <w:szCs w:val="20"/>
              </w:rPr>
              <w:t>8</w:t>
            </w:r>
          </w:p>
        </w:tc>
      </w:tr>
      <w:tr w:rsidRPr="00871E51" w:rsidR="003F1DAF" w:rsidTr="00F37138" w14:paraId="486D4AA0" w14:textId="77777777">
        <w:trPr>
          <w:trHeight w:val="610"/>
        </w:trPr>
        <w:tc>
          <w:tcPr>
            <w:tcW w:w="6650" w:type="dxa"/>
            <w:tcBorders>
              <w:top w:val="nil"/>
              <w:left w:val="single" w:color="000000" w:themeColor="text1" w:sz="8" w:space="0"/>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0A65F3BC" w14:textId="77777777">
            <w:pPr>
              <w:rPr>
                <w:b/>
                <w:bCs/>
                <w:color w:val="000000"/>
                <w:sz w:val="20"/>
                <w:szCs w:val="20"/>
              </w:rPr>
            </w:pPr>
            <w:r w:rsidRPr="00871E51">
              <w:rPr>
                <w:b/>
                <w:bCs/>
                <w:color w:val="000000"/>
                <w:sz w:val="20"/>
                <w:szCs w:val="20"/>
              </w:rPr>
              <w:t>Estimated Total Annual Burden Cost for MVP Registration (e) = (c) * (d)</w:t>
            </w:r>
          </w:p>
        </w:tc>
        <w:tc>
          <w:tcPr>
            <w:tcW w:w="3070" w:type="dxa"/>
            <w:tcBorders>
              <w:top w:val="nil"/>
              <w:left w:val="nil"/>
              <w:bottom w:val="single" w:color="000000" w:themeColor="text1" w:sz="8" w:space="0"/>
              <w:right w:val="single" w:color="000000" w:themeColor="text1" w:sz="8" w:space="0"/>
            </w:tcBorders>
            <w:shd w:val="clear" w:color="auto" w:fill="D9D9D9" w:themeFill="background1" w:themeFillShade="D9"/>
            <w:vAlign w:val="center"/>
            <w:hideMark/>
          </w:tcPr>
          <w:p w:rsidRPr="00871E51" w:rsidR="003F1DAF" w:rsidP="00467327" w:rsidRDefault="003F1DAF" w14:paraId="044439E2" w14:textId="46F60984">
            <w:pPr>
              <w:jc w:val="right"/>
              <w:rPr>
                <w:b/>
                <w:bCs/>
                <w:color w:val="000000"/>
                <w:sz w:val="20"/>
                <w:szCs w:val="20"/>
              </w:rPr>
            </w:pPr>
            <w:r w:rsidRPr="00871E51">
              <w:rPr>
                <w:b/>
                <w:bCs/>
                <w:color w:val="000000" w:themeColor="text1"/>
                <w:sz w:val="20"/>
                <w:szCs w:val="20"/>
              </w:rPr>
              <w:t>$</w:t>
            </w:r>
            <w:r w:rsidR="002B479B">
              <w:rPr>
                <w:b/>
                <w:bCs/>
                <w:color w:val="000000" w:themeColor="text1"/>
                <w:sz w:val="20"/>
                <w:szCs w:val="20"/>
              </w:rPr>
              <w:t>4</w:t>
            </w:r>
            <w:r w:rsidRPr="00871E51">
              <w:rPr>
                <w:b/>
                <w:bCs/>
                <w:color w:val="000000" w:themeColor="text1"/>
                <w:sz w:val="20"/>
                <w:szCs w:val="20"/>
              </w:rPr>
              <w:t>0</w:t>
            </w:r>
            <w:r w:rsidR="002B479B">
              <w:rPr>
                <w:b/>
                <w:bCs/>
                <w:color w:val="000000" w:themeColor="text1"/>
                <w:sz w:val="20"/>
                <w:szCs w:val="20"/>
              </w:rPr>
              <w:t>3</w:t>
            </w:r>
            <w:r w:rsidRPr="00871E51">
              <w:rPr>
                <w:b/>
                <w:bCs/>
                <w:color w:val="000000" w:themeColor="text1"/>
                <w:sz w:val="20"/>
                <w:szCs w:val="20"/>
              </w:rPr>
              <w:t>,</w:t>
            </w:r>
            <w:r w:rsidR="002B479B">
              <w:rPr>
                <w:b/>
                <w:bCs/>
                <w:color w:val="000000" w:themeColor="text1"/>
                <w:sz w:val="20"/>
                <w:szCs w:val="20"/>
              </w:rPr>
              <w:t>734</w:t>
            </w:r>
          </w:p>
        </w:tc>
      </w:tr>
    </w:tbl>
    <w:p w:rsidR="00B46A0D" w:rsidP="003D552B" w:rsidRDefault="00B46A0D" w14:paraId="45FC4A11" w14:textId="77777777">
      <w:pPr>
        <w:pStyle w:val="Heading3"/>
        <w:numPr>
          <w:ilvl w:val="0"/>
          <w:numId w:val="0"/>
        </w:numPr>
        <w:ind w:left="2160"/>
      </w:pPr>
    </w:p>
    <w:p w:rsidR="006E3E52" w:rsidP="00A46175" w:rsidRDefault="00934697" w14:paraId="1AC02916" w14:textId="360A58C5">
      <w:pPr>
        <w:pStyle w:val="Heading3"/>
        <w:numPr>
          <w:ilvl w:val="0"/>
          <w:numId w:val="0"/>
        </w:numPr>
        <w:ind w:left="2160"/>
      </w:pPr>
      <w:r>
        <w:t>ii</w:t>
      </w:r>
      <w:r w:rsidR="00F17655">
        <w:t>.</w:t>
      </w:r>
      <w:r w:rsidR="00E73765">
        <w:t xml:space="preserve"> </w:t>
      </w:r>
      <w:r>
        <w:t xml:space="preserve"> </w:t>
      </w:r>
      <w:r w:rsidRPr="00871E51">
        <w:t>Burden for Subgroup Registration</w:t>
      </w:r>
    </w:p>
    <w:p w:rsidRPr="00871E51" w:rsidR="00C9198F" w:rsidP="00F17655" w:rsidRDefault="00797709" w14:paraId="5B41D686" w14:textId="32D11DBA">
      <w:r w:rsidRPr="00871E51">
        <w:t>In th</w:t>
      </w:r>
      <w:r>
        <w:t xml:space="preserve">e CY 2022 PFS </w:t>
      </w:r>
      <w:r w:rsidR="002E2F62">
        <w:t>final</w:t>
      </w:r>
      <w:r w:rsidRPr="00871E51" w:rsidR="002E2F62">
        <w:t xml:space="preserve"> </w:t>
      </w:r>
      <w:r w:rsidRPr="00871E51">
        <w:t xml:space="preserve">rule, we </w:t>
      </w:r>
      <w:r w:rsidR="00E73437">
        <w:t xml:space="preserve">also </w:t>
      </w:r>
      <w:r w:rsidR="00D655F7">
        <w:t>finalize</w:t>
      </w:r>
      <w:r w:rsidR="00072469">
        <w:t>d</w:t>
      </w:r>
      <w:r w:rsidRPr="00871E51">
        <w:t xml:space="preserve"> to define a subgroup at § 414.1305 as a subset of a group, as identified by a combination of the group TIN, the subgroup identifier, and each eligible clinician’s NPI. In addition to the burden for MVP registration process described above</w:t>
      </w:r>
      <w:r>
        <w:t xml:space="preserve"> in Table 1</w:t>
      </w:r>
      <w:r w:rsidR="00C624E6">
        <w:t>2</w:t>
      </w:r>
      <w:r w:rsidRPr="00871E51">
        <w:t xml:space="preserve">, clinicians who choose to form subgroups for reporting the MVPs would need to submit a list of each TIN/NPI associated with the subgroup and a plain language name for the subgroup in a manner specified by CMS, </w:t>
      </w:r>
      <w:r w:rsidR="00B766BA">
        <w:t xml:space="preserve">as </w:t>
      </w:r>
      <w:r w:rsidRPr="00871E51">
        <w:t>described in th</w:t>
      </w:r>
      <w:r w:rsidR="00B766BA">
        <w:t xml:space="preserve">e CY 2022 PFS </w:t>
      </w:r>
      <w:r w:rsidR="00C502FE">
        <w:t>final</w:t>
      </w:r>
      <w:r w:rsidRPr="00871E51">
        <w:t xml:space="preserve"> rule</w:t>
      </w:r>
      <w:r w:rsidR="00D42C6D">
        <w:t xml:space="preserve"> (</w:t>
      </w:r>
      <w:r w:rsidR="00B46BAC">
        <w:t xml:space="preserve">86 FR </w:t>
      </w:r>
      <w:r w:rsidR="00ED23C1">
        <w:t>65415 through 65418</w:t>
      </w:r>
      <w:r w:rsidR="00D42C6D">
        <w:t>)</w:t>
      </w:r>
      <w:r w:rsidRPr="00871E51">
        <w:t>.</w:t>
      </w:r>
      <w:r w:rsidR="00C9198F">
        <w:t xml:space="preserve"> For the CY 2023 performance period/2025 MIPS payment year, we</w:t>
      </w:r>
      <w:r w:rsidRPr="00871E51" w:rsidR="00C9198F">
        <w:t xml:space="preserve"> </w:t>
      </w:r>
      <w:r w:rsidR="00E97B3A">
        <w:t xml:space="preserve">continue to </w:t>
      </w:r>
      <w:r w:rsidRPr="00871E51" w:rsidR="00C9198F">
        <w:t>estimate that clinicians would choose to form 20 subgroups for reporting the measures and activities in MVPs</w:t>
      </w:r>
      <w:r w:rsidR="00F7327B">
        <w:t xml:space="preserve"> and that it</w:t>
      </w:r>
      <w:r w:rsidRPr="00871E51" w:rsidR="00C9198F">
        <w:t xml:space="preserve"> would require a minimum of 0.5 hours per subgroup respondent to submit the </w:t>
      </w:r>
      <w:r w:rsidR="009E5E79">
        <w:t>finalized</w:t>
      </w:r>
      <w:r w:rsidRPr="00871E51" w:rsidR="009E5E79">
        <w:t xml:space="preserve"> </w:t>
      </w:r>
      <w:r w:rsidRPr="00871E51" w:rsidR="00C9198F">
        <w:t xml:space="preserve">requirements for subgroup registration.  </w:t>
      </w:r>
      <w:r w:rsidR="006B1893">
        <w:t>As shown in Table 1</w:t>
      </w:r>
      <w:r w:rsidR="00F7327B">
        <w:t>3</w:t>
      </w:r>
      <w:r w:rsidR="006B1893">
        <w:t xml:space="preserve"> below, w</w:t>
      </w:r>
      <w:r w:rsidRPr="00871E51" w:rsidR="00C9198F">
        <w:t>e assume that the staff involved in the subgroup registration process will mainly be computer systems analysts or their equivalent, who have an average labor cost of $9</w:t>
      </w:r>
      <w:r w:rsidR="00F7327B">
        <w:t>8</w:t>
      </w:r>
      <w:r w:rsidRPr="00871E51" w:rsidR="00C9198F">
        <w:t>.2</w:t>
      </w:r>
      <w:r w:rsidR="00F7327B">
        <w:t>8</w:t>
      </w:r>
      <w:r w:rsidRPr="00871E51" w:rsidR="00C9198F">
        <w:t xml:space="preserve">/hr. </w:t>
      </w:r>
      <w:r w:rsidR="000A7ECC">
        <w:t>In aggregate, w</w:t>
      </w:r>
      <w:r w:rsidR="00DA298E">
        <w:t>e estim</w:t>
      </w:r>
      <w:r w:rsidR="000A7ECC">
        <w:t>ate that it will take 10 hours (20 subgroups</w:t>
      </w:r>
      <w:r w:rsidR="0090340C">
        <w:t xml:space="preserve"> </w:t>
      </w:r>
      <w:r w:rsidRPr="003F6059" w:rsidR="0090340C">
        <w:rPr>
          <w:rFonts w:eastAsia="Calibri"/>
        </w:rPr>
        <w:t>x</w:t>
      </w:r>
      <w:r w:rsidR="0090340C">
        <w:rPr>
          <w:rFonts w:eastAsia="Calibri"/>
        </w:rPr>
        <w:t xml:space="preserve"> </w:t>
      </w:r>
      <w:r w:rsidR="007A46EE">
        <w:rPr>
          <w:rFonts w:eastAsia="Calibri"/>
        </w:rPr>
        <w:t xml:space="preserve">0.5 </w:t>
      </w:r>
      <w:proofErr w:type="spellStart"/>
      <w:r w:rsidR="007A46EE">
        <w:rPr>
          <w:rFonts w:eastAsia="Calibri"/>
        </w:rPr>
        <w:t>hr</w:t>
      </w:r>
      <w:proofErr w:type="spellEnd"/>
      <w:r w:rsidR="007A46EE">
        <w:rPr>
          <w:rFonts w:eastAsia="Calibri"/>
        </w:rPr>
        <w:t>/subgroup</w:t>
      </w:r>
      <w:r w:rsidR="000A7ECC">
        <w:t xml:space="preserve">) </w:t>
      </w:r>
      <w:r w:rsidR="007A46EE">
        <w:t>to</w:t>
      </w:r>
      <w:r w:rsidR="000A7ECC">
        <w:t xml:space="preserve"> </w:t>
      </w:r>
      <w:r w:rsidR="00DA298E">
        <w:t xml:space="preserve">complete the subgroup registration process </w:t>
      </w:r>
      <w:r w:rsidR="00560FDE">
        <w:t>at a cost of</w:t>
      </w:r>
      <w:r w:rsidR="00DA298E">
        <w:t xml:space="preserve"> $9</w:t>
      </w:r>
      <w:r w:rsidR="00DA7ABE">
        <w:t>83</w:t>
      </w:r>
      <w:r w:rsidR="00DA298E">
        <w:t xml:space="preserve"> (</w:t>
      </w:r>
      <w:r w:rsidR="00560FDE">
        <w:t xml:space="preserve">10 hours </w:t>
      </w:r>
      <w:r w:rsidRPr="003F6059" w:rsidR="00560FDE">
        <w:rPr>
          <w:rFonts w:eastAsia="Calibri"/>
        </w:rPr>
        <w:t>x</w:t>
      </w:r>
      <w:r w:rsidR="00560FDE">
        <w:rPr>
          <w:rFonts w:eastAsia="Calibri"/>
        </w:rPr>
        <w:t xml:space="preserve"> 9</w:t>
      </w:r>
      <w:r w:rsidR="00F7327B">
        <w:rPr>
          <w:rFonts w:eastAsia="Calibri"/>
        </w:rPr>
        <w:t>8</w:t>
      </w:r>
      <w:r w:rsidR="00560FDE">
        <w:rPr>
          <w:rFonts w:eastAsia="Calibri"/>
        </w:rPr>
        <w:t>.2</w:t>
      </w:r>
      <w:r w:rsidR="00F7327B">
        <w:rPr>
          <w:rFonts w:eastAsia="Calibri"/>
        </w:rPr>
        <w:t>8</w:t>
      </w:r>
      <w:r w:rsidR="00560FDE">
        <w:rPr>
          <w:rFonts w:eastAsia="Calibri"/>
        </w:rPr>
        <w:t>/</w:t>
      </w:r>
      <w:proofErr w:type="spellStart"/>
      <w:r w:rsidR="00560FDE">
        <w:rPr>
          <w:rFonts w:eastAsia="Calibri"/>
        </w:rPr>
        <w:t>hr</w:t>
      </w:r>
      <w:proofErr w:type="spellEnd"/>
      <w:r w:rsidR="00DA298E">
        <w:t>)</w:t>
      </w:r>
      <w:r w:rsidR="00072469">
        <w:t>.</w:t>
      </w:r>
    </w:p>
    <w:p w:rsidR="00196858" w:rsidP="00E53E05" w:rsidRDefault="00C9198F" w14:paraId="24794FE0" w14:textId="39C20F4B">
      <w:r w:rsidRPr="00871E51">
        <w:lastRenderedPageBreak/>
        <w:t>As subgroup</w:t>
      </w:r>
      <w:r w:rsidR="00F23744">
        <w:t xml:space="preserve"> participation option is only available </w:t>
      </w:r>
      <w:r w:rsidR="00C42ACD">
        <w:t>to</w:t>
      </w:r>
      <w:r w:rsidRPr="00871E51">
        <w:t xml:space="preserve"> report MVPs, the burden associated with subgroup quality reporting will be included with the MVP quality reporting ICR. Burden associated with subgroup submissions for Promoting Interoperability and improvement activities will be included with those ICRs.</w:t>
      </w:r>
    </w:p>
    <w:p w:rsidRPr="00871E51" w:rsidR="00C9198F" w:rsidP="007F64F4" w:rsidRDefault="00196858" w14:paraId="07CFCA32" w14:textId="17E3962F">
      <w:pPr>
        <w:keepNext/>
        <w:keepLines/>
        <w:jc w:val="center"/>
      </w:pPr>
      <w:r w:rsidRPr="00871E51">
        <w:rPr>
          <w:b/>
          <w:bCs/>
        </w:rPr>
        <w:t xml:space="preserve">TABLE </w:t>
      </w:r>
      <w:r>
        <w:rPr>
          <w:b/>
          <w:bCs/>
        </w:rPr>
        <w:t>1</w:t>
      </w:r>
      <w:r w:rsidR="001C6FCC">
        <w:rPr>
          <w:b/>
          <w:bCs/>
        </w:rPr>
        <w:t>3</w:t>
      </w:r>
      <w:r w:rsidRPr="00871E51">
        <w:rPr>
          <w:b/>
          <w:bCs/>
        </w:rPr>
        <w:t xml:space="preserve">: </w:t>
      </w:r>
      <w:r>
        <w:rPr>
          <w:b/>
          <w:bCs/>
        </w:rPr>
        <w:t xml:space="preserve"> </w:t>
      </w:r>
      <w:r w:rsidRPr="00871E51">
        <w:rPr>
          <w:b/>
          <w:bCs/>
        </w:rPr>
        <w:t xml:space="preserve">Total Estimated Burden for Subgroup Registration </w:t>
      </w:r>
    </w:p>
    <w:tbl>
      <w:tblPr>
        <w:tblW w:w="9720" w:type="dxa"/>
        <w:tblInd w:w="-10" w:type="dxa"/>
        <w:tblLook w:val="04A0" w:firstRow="1" w:lastRow="0" w:firstColumn="1" w:lastColumn="0" w:noHBand="0" w:noVBand="1"/>
      </w:tblPr>
      <w:tblGrid>
        <w:gridCol w:w="7560"/>
        <w:gridCol w:w="2160"/>
      </w:tblGrid>
      <w:tr w:rsidRPr="00871E51" w:rsidR="00976ADA" w:rsidTr="007F64F4" w14:paraId="182436E2" w14:textId="77777777">
        <w:trPr>
          <w:cantSplit/>
          <w:trHeight w:val="314"/>
          <w:tblHeader/>
        </w:trPr>
        <w:tc>
          <w:tcPr>
            <w:tcW w:w="7560" w:type="dxa"/>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rsidRPr="00EC6F6D" w:rsidR="00830CFC" w:rsidP="00580609" w:rsidRDefault="00830CFC" w14:paraId="70DD3538" w14:textId="2E26E69C">
            <w:pPr>
              <w:keepNext/>
              <w:keepLines/>
              <w:rPr>
                <w:b/>
                <w:bCs/>
                <w:color w:val="FFFFFF" w:themeColor="background1"/>
                <w:sz w:val="20"/>
                <w:szCs w:val="20"/>
              </w:rPr>
            </w:pPr>
            <w:r w:rsidRPr="00EC6F6D">
              <w:rPr>
                <w:b/>
                <w:sz w:val="20"/>
                <w:szCs w:val="20"/>
              </w:rPr>
              <w:t>Burden and Respondent Descriptions</w:t>
            </w:r>
          </w:p>
        </w:tc>
        <w:tc>
          <w:tcPr>
            <w:tcW w:w="2160" w:type="dxa"/>
            <w:tcBorders>
              <w:top w:val="single" w:color="auto" w:sz="4" w:space="0"/>
              <w:left w:val="nil"/>
              <w:bottom w:val="single" w:color="auto" w:sz="4" w:space="0"/>
              <w:right w:val="single" w:color="000000" w:sz="8" w:space="0"/>
            </w:tcBorders>
            <w:shd w:val="clear" w:color="auto" w:fill="FFFFFF" w:themeFill="background1"/>
            <w:vAlign w:val="center"/>
          </w:tcPr>
          <w:p w:rsidRPr="00B01445" w:rsidR="00830CFC" w:rsidP="007F64F4" w:rsidRDefault="00830CFC" w14:paraId="714FA971" w14:textId="2D177DCA">
            <w:pPr>
              <w:keepNext/>
              <w:keepLines/>
              <w:jc w:val="center"/>
              <w:rPr>
                <w:b/>
                <w:bCs/>
                <w:sz w:val="20"/>
                <w:szCs w:val="20"/>
              </w:rPr>
            </w:pPr>
            <w:r w:rsidRPr="00EC6F6D">
              <w:rPr>
                <w:b/>
                <w:bCs/>
                <w:sz w:val="20"/>
                <w:szCs w:val="20"/>
              </w:rPr>
              <w:t>Burden</w:t>
            </w:r>
            <w:r w:rsidR="00B01445">
              <w:rPr>
                <w:b/>
                <w:bCs/>
                <w:sz w:val="20"/>
                <w:szCs w:val="20"/>
              </w:rPr>
              <w:t xml:space="preserve"> </w:t>
            </w:r>
            <w:r w:rsidRPr="00EC6F6D">
              <w:rPr>
                <w:b/>
                <w:bCs/>
                <w:sz w:val="20"/>
                <w:szCs w:val="20"/>
              </w:rPr>
              <w:t>Estimate</w:t>
            </w:r>
          </w:p>
        </w:tc>
      </w:tr>
      <w:tr w:rsidRPr="00871E51" w:rsidR="006225AC" w:rsidTr="007F64F4" w14:paraId="0FB44347" w14:textId="77777777">
        <w:trPr>
          <w:cantSplit/>
          <w:trHeight w:val="323"/>
        </w:trPr>
        <w:tc>
          <w:tcPr>
            <w:tcW w:w="7560" w:type="dxa"/>
            <w:tcBorders>
              <w:top w:val="single" w:color="auto" w:sz="4" w:space="0"/>
              <w:left w:val="single" w:color="000000" w:sz="8" w:space="0"/>
              <w:bottom w:val="single" w:color="auto" w:sz="4" w:space="0"/>
              <w:right w:val="single" w:color="000000" w:sz="8" w:space="0"/>
            </w:tcBorders>
            <w:shd w:val="clear" w:color="auto" w:fill="auto"/>
            <w:vAlign w:val="center"/>
            <w:hideMark/>
          </w:tcPr>
          <w:p w:rsidRPr="00871E51" w:rsidR="00830CFC" w:rsidP="007F64F4" w:rsidRDefault="00830CFC" w14:paraId="405A460E" w14:textId="19BFB167">
            <w:pPr>
              <w:keepNext/>
              <w:keepLines/>
              <w:rPr>
                <w:color w:val="000000"/>
                <w:sz w:val="20"/>
                <w:szCs w:val="20"/>
              </w:rPr>
            </w:pPr>
            <w:r w:rsidRPr="00871E51">
              <w:rPr>
                <w:color w:val="000000"/>
                <w:sz w:val="20"/>
                <w:szCs w:val="20"/>
              </w:rPr>
              <w:t>Estimated # of Subgroups Registering</w:t>
            </w:r>
            <w:r w:rsidR="006A5EE1">
              <w:rPr>
                <w:color w:val="000000"/>
                <w:sz w:val="20"/>
                <w:szCs w:val="20"/>
              </w:rPr>
              <w:t xml:space="preserve"> </w:t>
            </w:r>
            <w:r w:rsidRPr="00871E51">
              <w:rPr>
                <w:color w:val="000000"/>
                <w:sz w:val="20"/>
                <w:szCs w:val="20"/>
              </w:rPr>
              <w:t>(a)</w:t>
            </w:r>
          </w:p>
        </w:tc>
        <w:tc>
          <w:tcPr>
            <w:tcW w:w="2160" w:type="dxa"/>
            <w:tcBorders>
              <w:top w:val="single" w:color="auto" w:sz="4" w:space="0"/>
              <w:left w:val="nil"/>
              <w:bottom w:val="single" w:color="auto" w:sz="4" w:space="0"/>
              <w:right w:val="single" w:color="000000" w:sz="8" w:space="0"/>
            </w:tcBorders>
            <w:shd w:val="clear" w:color="auto" w:fill="auto"/>
            <w:vAlign w:val="center"/>
            <w:hideMark/>
          </w:tcPr>
          <w:p w:rsidRPr="00871E51" w:rsidR="00830CFC" w:rsidP="007F64F4" w:rsidRDefault="00830CFC" w14:paraId="623E6BA3" w14:textId="77777777">
            <w:pPr>
              <w:keepNext/>
              <w:keepLines/>
              <w:jc w:val="right"/>
              <w:rPr>
                <w:color w:val="000000"/>
                <w:sz w:val="20"/>
                <w:szCs w:val="20"/>
              </w:rPr>
            </w:pPr>
            <w:r w:rsidRPr="00871E51">
              <w:rPr>
                <w:color w:val="000000"/>
                <w:sz w:val="20"/>
                <w:szCs w:val="20"/>
              </w:rPr>
              <w:t>20</w:t>
            </w:r>
          </w:p>
        </w:tc>
      </w:tr>
      <w:tr w:rsidRPr="00871E51" w:rsidR="006225AC" w:rsidTr="007F64F4" w14:paraId="6E3918F3" w14:textId="77777777">
        <w:trPr>
          <w:cantSplit/>
          <w:trHeight w:val="440"/>
        </w:trPr>
        <w:tc>
          <w:tcPr>
            <w:tcW w:w="7560" w:type="dxa"/>
            <w:tcBorders>
              <w:top w:val="single" w:color="auto" w:sz="4" w:space="0"/>
              <w:left w:val="single" w:color="000000" w:sz="8" w:space="0"/>
              <w:bottom w:val="single" w:color="000000" w:sz="8" w:space="0"/>
              <w:right w:val="single" w:color="000000" w:sz="8" w:space="0"/>
            </w:tcBorders>
            <w:shd w:val="clear" w:color="auto" w:fill="auto"/>
            <w:vAlign w:val="center"/>
            <w:hideMark/>
          </w:tcPr>
          <w:p w:rsidRPr="00871E51" w:rsidR="00830CFC" w:rsidP="00830CFC" w:rsidRDefault="00830CFC" w14:paraId="1185C653" w14:textId="77777777">
            <w:pPr>
              <w:rPr>
                <w:color w:val="000000"/>
                <w:sz w:val="20"/>
                <w:szCs w:val="20"/>
              </w:rPr>
            </w:pPr>
            <w:r w:rsidRPr="00871E51">
              <w:rPr>
                <w:color w:val="000000"/>
                <w:sz w:val="20"/>
                <w:szCs w:val="20"/>
              </w:rPr>
              <w:t>Estimated Total Annual Burden Hours Per Subgroup (b)</w:t>
            </w:r>
          </w:p>
        </w:tc>
        <w:tc>
          <w:tcPr>
            <w:tcW w:w="2160" w:type="dxa"/>
            <w:tcBorders>
              <w:top w:val="single" w:color="auto" w:sz="4" w:space="0"/>
              <w:left w:val="nil"/>
              <w:bottom w:val="single" w:color="000000" w:sz="8" w:space="0"/>
              <w:right w:val="single" w:color="000000" w:sz="8" w:space="0"/>
            </w:tcBorders>
            <w:shd w:val="clear" w:color="auto" w:fill="auto"/>
            <w:vAlign w:val="center"/>
            <w:hideMark/>
          </w:tcPr>
          <w:p w:rsidRPr="00871E51" w:rsidR="00830CFC" w:rsidP="00830CFC" w:rsidRDefault="00830CFC" w14:paraId="54161539" w14:textId="77777777">
            <w:pPr>
              <w:jc w:val="right"/>
              <w:rPr>
                <w:color w:val="000000"/>
                <w:sz w:val="20"/>
                <w:szCs w:val="20"/>
              </w:rPr>
            </w:pPr>
            <w:r w:rsidRPr="00871E51">
              <w:rPr>
                <w:color w:val="000000"/>
                <w:sz w:val="20"/>
                <w:szCs w:val="20"/>
              </w:rPr>
              <w:t xml:space="preserve">0.5 </w:t>
            </w:r>
          </w:p>
        </w:tc>
      </w:tr>
      <w:tr w:rsidRPr="00871E51" w:rsidR="00976ADA" w:rsidTr="007F64F4" w14:paraId="023BBBBA" w14:textId="77777777">
        <w:trPr>
          <w:cantSplit/>
          <w:trHeight w:val="430"/>
        </w:trPr>
        <w:tc>
          <w:tcPr>
            <w:tcW w:w="7560" w:type="dxa"/>
            <w:tcBorders>
              <w:top w:val="nil"/>
              <w:left w:val="single" w:color="000000" w:sz="8" w:space="0"/>
              <w:bottom w:val="single" w:color="000000" w:sz="8" w:space="0"/>
              <w:right w:val="single" w:color="000000" w:sz="8" w:space="0"/>
            </w:tcBorders>
            <w:shd w:val="clear" w:color="000000" w:fill="D9D9D9"/>
            <w:vAlign w:val="center"/>
            <w:hideMark/>
          </w:tcPr>
          <w:p w:rsidRPr="00871E51" w:rsidR="00830CFC" w:rsidP="00830CFC" w:rsidRDefault="00830CFC" w14:paraId="1F7F1C0A" w14:textId="77777777">
            <w:pPr>
              <w:rPr>
                <w:b/>
                <w:bCs/>
                <w:color w:val="000000"/>
                <w:sz w:val="20"/>
                <w:szCs w:val="20"/>
              </w:rPr>
            </w:pPr>
            <w:r w:rsidRPr="00871E51">
              <w:rPr>
                <w:b/>
                <w:bCs/>
                <w:color w:val="000000"/>
                <w:sz w:val="20"/>
                <w:szCs w:val="20"/>
              </w:rPr>
              <w:t>Estimated Total Annual Burden Hours for Subgroup Reporting (c) = (a) * (b)</w:t>
            </w:r>
          </w:p>
        </w:tc>
        <w:tc>
          <w:tcPr>
            <w:tcW w:w="2160" w:type="dxa"/>
            <w:tcBorders>
              <w:top w:val="nil"/>
              <w:left w:val="nil"/>
              <w:bottom w:val="single" w:color="000000" w:sz="8" w:space="0"/>
              <w:right w:val="single" w:color="000000" w:sz="8" w:space="0"/>
            </w:tcBorders>
            <w:shd w:val="clear" w:color="000000" w:fill="D9D9D9"/>
            <w:vAlign w:val="center"/>
            <w:hideMark/>
          </w:tcPr>
          <w:p w:rsidRPr="00871E51" w:rsidR="00830CFC" w:rsidP="00830CFC" w:rsidRDefault="00830CFC" w14:paraId="6A63658D" w14:textId="77777777">
            <w:pPr>
              <w:jc w:val="right"/>
              <w:rPr>
                <w:b/>
                <w:bCs/>
                <w:color w:val="000000"/>
                <w:sz w:val="20"/>
                <w:szCs w:val="20"/>
              </w:rPr>
            </w:pPr>
            <w:r w:rsidRPr="00871E51">
              <w:rPr>
                <w:b/>
                <w:bCs/>
                <w:color w:val="000000"/>
                <w:sz w:val="20"/>
                <w:szCs w:val="20"/>
              </w:rPr>
              <w:t>10</w:t>
            </w:r>
          </w:p>
        </w:tc>
      </w:tr>
      <w:tr w:rsidRPr="00871E51" w:rsidR="006225AC" w:rsidTr="007F64F4" w14:paraId="4241A94B" w14:textId="77777777">
        <w:trPr>
          <w:cantSplit/>
          <w:trHeight w:val="583"/>
        </w:trPr>
        <w:tc>
          <w:tcPr>
            <w:tcW w:w="7560" w:type="dxa"/>
            <w:tcBorders>
              <w:top w:val="nil"/>
              <w:left w:val="single" w:color="000000" w:sz="8" w:space="0"/>
              <w:bottom w:val="single" w:color="000000" w:sz="8" w:space="0"/>
              <w:right w:val="single" w:color="000000" w:sz="8" w:space="0"/>
            </w:tcBorders>
            <w:shd w:val="clear" w:color="auto" w:fill="auto"/>
            <w:vAlign w:val="center"/>
            <w:hideMark/>
          </w:tcPr>
          <w:p w:rsidRPr="00871E51" w:rsidR="00830CFC" w:rsidP="00830CFC" w:rsidRDefault="00830CFC" w14:paraId="489D7874" w14:textId="5CB9368F">
            <w:pPr>
              <w:rPr>
                <w:color w:val="000000"/>
                <w:sz w:val="20"/>
                <w:szCs w:val="20"/>
              </w:rPr>
            </w:pPr>
            <w:r w:rsidRPr="00871E51">
              <w:rPr>
                <w:color w:val="000000"/>
                <w:sz w:val="20"/>
                <w:szCs w:val="20"/>
              </w:rPr>
              <w:t>Estimated Cost Per Subgroup (@ computer systems analyst’s labor rate of $9</w:t>
            </w:r>
            <w:r w:rsidR="0044286B">
              <w:rPr>
                <w:color w:val="000000"/>
                <w:sz w:val="20"/>
                <w:szCs w:val="20"/>
              </w:rPr>
              <w:t>8</w:t>
            </w:r>
            <w:r w:rsidRPr="00871E51">
              <w:rPr>
                <w:color w:val="000000"/>
                <w:sz w:val="20"/>
                <w:szCs w:val="20"/>
              </w:rPr>
              <w:t>.2</w:t>
            </w:r>
            <w:r w:rsidR="0044286B">
              <w:rPr>
                <w:color w:val="000000"/>
                <w:sz w:val="20"/>
                <w:szCs w:val="20"/>
              </w:rPr>
              <w:t>8</w:t>
            </w:r>
            <w:r w:rsidRPr="00871E51">
              <w:rPr>
                <w:color w:val="000000"/>
                <w:sz w:val="20"/>
                <w:szCs w:val="20"/>
              </w:rPr>
              <w:t>/hr. (d)</w:t>
            </w:r>
          </w:p>
        </w:tc>
        <w:tc>
          <w:tcPr>
            <w:tcW w:w="2160" w:type="dxa"/>
            <w:tcBorders>
              <w:top w:val="nil"/>
              <w:left w:val="nil"/>
              <w:bottom w:val="single" w:color="000000" w:sz="8" w:space="0"/>
              <w:right w:val="single" w:color="000000" w:sz="8" w:space="0"/>
            </w:tcBorders>
            <w:shd w:val="clear" w:color="auto" w:fill="auto"/>
            <w:vAlign w:val="center"/>
            <w:hideMark/>
          </w:tcPr>
          <w:p w:rsidRPr="00871E51" w:rsidR="00830CFC" w:rsidP="00830CFC" w:rsidRDefault="00830CFC" w14:paraId="5C22E896" w14:textId="6512BE48">
            <w:pPr>
              <w:jc w:val="right"/>
              <w:rPr>
                <w:color w:val="000000"/>
                <w:sz w:val="20"/>
                <w:szCs w:val="20"/>
              </w:rPr>
            </w:pPr>
            <w:r w:rsidRPr="00871E51">
              <w:rPr>
                <w:color w:val="000000"/>
                <w:sz w:val="20"/>
                <w:szCs w:val="20"/>
              </w:rPr>
              <w:t>$9</w:t>
            </w:r>
            <w:r w:rsidR="0044286B">
              <w:rPr>
                <w:color w:val="000000"/>
                <w:sz w:val="20"/>
                <w:szCs w:val="20"/>
              </w:rPr>
              <w:t>8</w:t>
            </w:r>
            <w:r w:rsidRPr="00871E51">
              <w:rPr>
                <w:color w:val="000000"/>
                <w:sz w:val="20"/>
                <w:szCs w:val="20"/>
              </w:rPr>
              <w:t>.2</w:t>
            </w:r>
            <w:r w:rsidR="0044286B">
              <w:rPr>
                <w:color w:val="000000"/>
                <w:sz w:val="20"/>
                <w:szCs w:val="20"/>
              </w:rPr>
              <w:t>8</w:t>
            </w:r>
          </w:p>
        </w:tc>
      </w:tr>
      <w:tr w:rsidRPr="00871E51" w:rsidR="00976ADA" w:rsidTr="007F64F4" w14:paraId="7438E47C" w14:textId="77777777">
        <w:trPr>
          <w:cantSplit/>
          <w:trHeight w:val="520"/>
        </w:trPr>
        <w:tc>
          <w:tcPr>
            <w:tcW w:w="7560" w:type="dxa"/>
            <w:tcBorders>
              <w:top w:val="nil"/>
              <w:left w:val="single" w:color="000000" w:sz="8" w:space="0"/>
              <w:bottom w:val="single" w:color="000000" w:sz="8" w:space="0"/>
              <w:right w:val="single" w:color="000000" w:sz="8" w:space="0"/>
            </w:tcBorders>
            <w:shd w:val="clear" w:color="000000" w:fill="D9D9D9"/>
            <w:vAlign w:val="center"/>
            <w:hideMark/>
          </w:tcPr>
          <w:p w:rsidRPr="00871E51" w:rsidR="00830CFC" w:rsidP="00830CFC" w:rsidRDefault="00830CFC" w14:paraId="6C08842D" w14:textId="20AD20B9">
            <w:pPr>
              <w:rPr>
                <w:b/>
                <w:bCs/>
                <w:color w:val="000000"/>
                <w:sz w:val="20"/>
                <w:szCs w:val="20"/>
              </w:rPr>
            </w:pPr>
            <w:r w:rsidRPr="00871E51">
              <w:rPr>
                <w:b/>
                <w:bCs/>
                <w:color w:val="000000"/>
                <w:sz w:val="20"/>
                <w:szCs w:val="20"/>
              </w:rPr>
              <w:t>Estimated Total Annual Burden Cost for Subgroup Registration (e) = (</w:t>
            </w:r>
            <w:r w:rsidR="00DF6F8A">
              <w:rPr>
                <w:b/>
                <w:bCs/>
                <w:color w:val="000000"/>
                <w:sz w:val="20"/>
                <w:szCs w:val="20"/>
              </w:rPr>
              <w:t>c</w:t>
            </w:r>
            <w:r w:rsidRPr="00871E51">
              <w:rPr>
                <w:b/>
                <w:bCs/>
                <w:color w:val="000000"/>
                <w:sz w:val="20"/>
                <w:szCs w:val="20"/>
              </w:rPr>
              <w:t>) * (d)</w:t>
            </w:r>
          </w:p>
        </w:tc>
        <w:tc>
          <w:tcPr>
            <w:tcW w:w="2160" w:type="dxa"/>
            <w:tcBorders>
              <w:top w:val="nil"/>
              <w:left w:val="nil"/>
              <w:bottom w:val="single" w:color="000000" w:sz="8" w:space="0"/>
              <w:right w:val="single" w:color="000000" w:sz="8" w:space="0"/>
            </w:tcBorders>
            <w:shd w:val="clear" w:color="000000" w:fill="D9D9D9"/>
            <w:vAlign w:val="center"/>
            <w:hideMark/>
          </w:tcPr>
          <w:p w:rsidRPr="00871E51" w:rsidR="00830CFC" w:rsidP="00830CFC" w:rsidRDefault="00830CFC" w14:paraId="1DC39BB3" w14:textId="1B1AB52A">
            <w:pPr>
              <w:jc w:val="right"/>
              <w:rPr>
                <w:b/>
                <w:bCs/>
                <w:color w:val="000000"/>
                <w:sz w:val="20"/>
                <w:szCs w:val="20"/>
              </w:rPr>
            </w:pPr>
            <w:r w:rsidRPr="00871E51">
              <w:rPr>
                <w:b/>
                <w:bCs/>
                <w:color w:val="000000"/>
                <w:sz w:val="20"/>
                <w:szCs w:val="20"/>
              </w:rPr>
              <w:t>$9</w:t>
            </w:r>
            <w:r w:rsidR="0044286B">
              <w:rPr>
                <w:b/>
                <w:bCs/>
                <w:color w:val="000000"/>
                <w:sz w:val="20"/>
                <w:szCs w:val="20"/>
              </w:rPr>
              <w:t>83</w:t>
            </w:r>
          </w:p>
        </w:tc>
      </w:tr>
    </w:tbl>
    <w:p w:rsidR="00797709" w:rsidP="00797709" w:rsidRDefault="00797709" w14:paraId="4331B91C" w14:textId="24C44148"/>
    <w:p w:rsidRPr="00871E51" w:rsidR="00653648" w:rsidP="003D552B" w:rsidRDefault="0068120C" w14:paraId="18092C8B" w14:textId="72F61511">
      <w:pPr>
        <w:pStyle w:val="Heading3"/>
        <w:numPr>
          <w:ilvl w:val="0"/>
          <w:numId w:val="0"/>
        </w:numPr>
        <w:ind w:left="2160"/>
      </w:pPr>
      <w:r>
        <w:t>iii</w:t>
      </w:r>
      <w:r w:rsidR="008B160D">
        <w:t>.</w:t>
      </w:r>
      <w:r w:rsidR="00E73765">
        <w:t xml:space="preserve">  </w:t>
      </w:r>
      <w:r>
        <w:t xml:space="preserve"> </w:t>
      </w:r>
      <w:r w:rsidRPr="00871E51" w:rsidR="00653648">
        <w:t xml:space="preserve">Burden for MVP Quality Performance Category Submission  </w:t>
      </w:r>
    </w:p>
    <w:p w:rsidRPr="00871E51" w:rsidR="00E8757B" w:rsidP="00F17655" w:rsidRDefault="00E8757B" w14:paraId="2F2856EF" w14:textId="11FF7553">
      <w:r w:rsidRPr="00871E51">
        <w:t>In the CY 20</w:t>
      </w:r>
      <w:r w:rsidR="00C241AB">
        <w:t>22</w:t>
      </w:r>
      <w:r w:rsidRPr="00871E51">
        <w:t xml:space="preserve"> PFS final rule </w:t>
      </w:r>
      <w:r w:rsidRPr="00871E51">
        <w:rPr>
          <w:color w:val="333333"/>
          <w:shd w:val="clear" w:color="auto" w:fill="FFFFFF"/>
        </w:rPr>
        <w:t>(8</w:t>
      </w:r>
      <w:r w:rsidR="00C241AB">
        <w:rPr>
          <w:color w:val="333333"/>
          <w:shd w:val="clear" w:color="auto" w:fill="FFFFFF"/>
        </w:rPr>
        <w:t>6</w:t>
      </w:r>
      <w:r w:rsidRPr="00871E51">
        <w:rPr>
          <w:color w:val="333333"/>
          <w:shd w:val="clear" w:color="auto" w:fill="FFFFFF"/>
        </w:rPr>
        <w:t xml:space="preserve"> FR </w:t>
      </w:r>
      <w:r w:rsidR="00C241AB">
        <w:rPr>
          <w:color w:val="333333"/>
          <w:shd w:val="clear" w:color="auto" w:fill="FFFFFF"/>
        </w:rPr>
        <w:t>65411</w:t>
      </w:r>
      <w:r w:rsidRPr="00871E51">
        <w:rPr>
          <w:color w:val="333333"/>
          <w:shd w:val="clear" w:color="auto" w:fill="FFFFFF"/>
        </w:rPr>
        <w:t xml:space="preserve"> through </w:t>
      </w:r>
      <w:r w:rsidR="00C241AB">
        <w:rPr>
          <w:color w:val="333333"/>
          <w:shd w:val="clear" w:color="auto" w:fill="FFFFFF"/>
        </w:rPr>
        <w:t>65415</w:t>
      </w:r>
      <w:r w:rsidRPr="00871E51">
        <w:rPr>
          <w:color w:val="333333"/>
          <w:shd w:val="clear" w:color="auto" w:fill="FFFFFF"/>
        </w:rPr>
        <w:t>)</w:t>
      </w:r>
      <w:r w:rsidRPr="00871E51">
        <w:t xml:space="preserve">, we </w:t>
      </w:r>
      <w:r w:rsidR="00E93888">
        <w:t>finaliz</w:t>
      </w:r>
      <w:r w:rsidR="00697866">
        <w:t>ed</w:t>
      </w:r>
      <w:r w:rsidRPr="00871E51">
        <w:t xml:space="preserve"> that except as provided in paragraph § 414.1365(c)(1)(i), an MVP Participant must select and report 4 quality measures, including 1 outcome measure (or, if an outcome measure is not available, 1 high priority measure</w:t>
      </w:r>
      <w:r w:rsidR="00BF53D6">
        <w:t>)</w:t>
      </w:r>
      <w:r w:rsidRPr="00871E51">
        <w:t xml:space="preserve">, included in the MVP.  The decrease in the number of required measures in the quality performance category from 6 to 4 is a two-thirds reduction in the number of measures needed for eligible clinicians to submit data for the quality performance category in MVPs described in Appendix 3: MVP Inventory of </w:t>
      </w:r>
      <w:r w:rsidRPr="00871E51" w:rsidR="00314BFB">
        <w:t>th</w:t>
      </w:r>
      <w:r w:rsidR="00314BFB">
        <w:t>e CY 202</w:t>
      </w:r>
      <w:r w:rsidR="008F3BB5">
        <w:t>3</w:t>
      </w:r>
      <w:r w:rsidR="00314BFB">
        <w:t xml:space="preserve"> PFS</w:t>
      </w:r>
      <w:r w:rsidR="00FE7B7D">
        <w:t xml:space="preserve"> </w:t>
      </w:r>
      <w:r w:rsidR="008F3BB5">
        <w:t>proposed</w:t>
      </w:r>
      <w:r w:rsidRPr="00871E51" w:rsidR="00314BFB">
        <w:t xml:space="preserve"> rule</w:t>
      </w:r>
      <w:r w:rsidRPr="00871E51">
        <w:t xml:space="preserve">. Therefore, we </w:t>
      </w:r>
      <w:r w:rsidR="008F3BB5">
        <w:t xml:space="preserve">continue to </w:t>
      </w:r>
      <w:r w:rsidRPr="00871E51">
        <w:t xml:space="preserve">estimate that the time for submitting the measures in the MVP quality performance category will, on average, take two-thirds of the currently approved burden per respondent for the quality performance category as it does to complete a MIPS quality submission through the CQM, eCQM, and Claims submission types.  </w:t>
      </w:r>
    </w:p>
    <w:p w:rsidRPr="00871E51" w:rsidR="00E8757B" w:rsidP="00E53E05" w:rsidRDefault="001C6FCC" w14:paraId="399BD555" w14:textId="05DA3C57">
      <w:pPr>
        <w:widowControl w:val="0"/>
        <w:rPr>
          <w:rFonts w:eastAsia="Calibri"/>
        </w:rPr>
      </w:pPr>
      <w:r>
        <w:t xml:space="preserve">For the CY 2023 performance period/2025 MIPS payment year, </w:t>
      </w:r>
      <w:r w:rsidRPr="00871E51" w:rsidR="00E8757B">
        <w:rPr>
          <w:rFonts w:eastAsia="Calibri"/>
        </w:rPr>
        <w:t>we estimate that 1</w:t>
      </w:r>
      <w:r>
        <w:rPr>
          <w:rFonts w:eastAsia="Calibri"/>
        </w:rPr>
        <w:t>2</w:t>
      </w:r>
      <w:r w:rsidRPr="00871E51" w:rsidR="00E8757B">
        <w:rPr>
          <w:rFonts w:eastAsia="Calibri"/>
        </w:rPr>
        <w:t xml:space="preserve"> percent of the clinicians who participated in MIPS for the CY 2019 performance period/2021 MIPS payment year</w:t>
      </w:r>
      <w:r w:rsidR="00221A67">
        <w:rPr>
          <w:rFonts w:eastAsia="Calibri"/>
        </w:rPr>
        <w:t xml:space="preserve">, and </w:t>
      </w:r>
      <w:r w:rsidRPr="00871E51" w:rsidR="00221A67">
        <w:rPr>
          <w:rFonts w:eastAsia="Calibri"/>
        </w:rPr>
        <w:t xml:space="preserve">20 subgroups </w:t>
      </w:r>
      <w:r w:rsidRPr="00871E51" w:rsidR="00E8757B">
        <w:rPr>
          <w:rFonts w:eastAsia="Calibri"/>
        </w:rPr>
        <w:t xml:space="preserve">would submit data for the quality performance category of MVPs.  As shown in </w:t>
      </w:r>
      <w:r w:rsidR="00E8757B">
        <w:rPr>
          <w:rFonts w:eastAsia="Calibri"/>
        </w:rPr>
        <w:t>T</w:t>
      </w:r>
      <w:r w:rsidRPr="00871E51" w:rsidR="00E8757B">
        <w:rPr>
          <w:rFonts w:eastAsia="Calibri"/>
        </w:rPr>
        <w:t>able</w:t>
      </w:r>
      <w:r w:rsidR="00E0487C">
        <w:rPr>
          <w:rFonts w:eastAsia="Calibri"/>
        </w:rPr>
        <w:t xml:space="preserve"> 1</w:t>
      </w:r>
      <w:r w:rsidR="00314536">
        <w:rPr>
          <w:rFonts w:eastAsia="Calibri"/>
        </w:rPr>
        <w:t>4</w:t>
      </w:r>
      <w:r w:rsidRPr="00871E51" w:rsidR="00E8757B">
        <w:rPr>
          <w:rFonts w:eastAsia="Calibri"/>
        </w:rPr>
        <w:t xml:space="preserve">, we estimate that approximately </w:t>
      </w:r>
      <w:r w:rsidR="00C7310B">
        <w:rPr>
          <w:rFonts w:eastAsia="Calibri"/>
        </w:rPr>
        <w:t>3,683</w:t>
      </w:r>
      <w:r w:rsidRPr="00871E51" w:rsidR="00E8757B">
        <w:rPr>
          <w:rFonts w:eastAsia="Calibri"/>
        </w:rPr>
        <w:t xml:space="preserve"> clinicians would submit data for the MVP quality performance category using the Medicare Part B claims collection type; approximately </w:t>
      </w:r>
      <w:r w:rsidR="00DE59FC">
        <w:rPr>
          <w:rFonts w:eastAsia="Calibri"/>
        </w:rPr>
        <w:t>6</w:t>
      </w:r>
      <w:r w:rsidRPr="00871E51" w:rsidR="00E8757B">
        <w:rPr>
          <w:rFonts w:eastAsia="Calibri"/>
        </w:rPr>
        <w:t>,</w:t>
      </w:r>
      <w:r w:rsidR="00DE59FC">
        <w:rPr>
          <w:rFonts w:eastAsia="Calibri"/>
        </w:rPr>
        <w:t>849</w:t>
      </w:r>
      <w:r w:rsidRPr="00871E51" w:rsidR="00E8757B">
        <w:rPr>
          <w:rFonts w:eastAsia="Calibri"/>
        </w:rPr>
        <w:t xml:space="preserve"> clinicians and 10 subgroups will submit data using MIPS CQM and QCDR collection type; and approximately </w:t>
      </w:r>
      <w:r w:rsidR="00CD5CC5">
        <w:rPr>
          <w:rFonts w:eastAsia="Calibri"/>
        </w:rPr>
        <w:t>6</w:t>
      </w:r>
      <w:r w:rsidRPr="00871E51" w:rsidR="00E8757B">
        <w:rPr>
          <w:rFonts w:eastAsia="Calibri"/>
        </w:rPr>
        <w:t>,2</w:t>
      </w:r>
      <w:r w:rsidR="00CD5CC5">
        <w:rPr>
          <w:rFonts w:eastAsia="Calibri"/>
        </w:rPr>
        <w:t>40</w:t>
      </w:r>
      <w:r w:rsidRPr="00871E51" w:rsidR="00E8757B">
        <w:rPr>
          <w:rFonts w:eastAsia="Calibri"/>
        </w:rPr>
        <w:t xml:space="preserve"> clinicians and 10 subgroups will submit data using eCQMs collection type. </w:t>
      </w:r>
      <w:r w:rsidR="00E8757B">
        <w:rPr>
          <w:rFonts w:eastAsia="Calibri"/>
        </w:rPr>
        <w:t>As shown in T</w:t>
      </w:r>
      <w:r w:rsidRPr="00871E51" w:rsidR="00E8757B">
        <w:rPr>
          <w:rFonts w:eastAsia="Calibri"/>
        </w:rPr>
        <w:t xml:space="preserve">able </w:t>
      </w:r>
      <w:r w:rsidR="00A1497D">
        <w:rPr>
          <w:rFonts w:eastAsia="Calibri"/>
        </w:rPr>
        <w:t>1</w:t>
      </w:r>
      <w:r w:rsidR="006C6501">
        <w:rPr>
          <w:rFonts w:eastAsia="Calibri"/>
        </w:rPr>
        <w:t>4</w:t>
      </w:r>
      <w:r w:rsidRPr="00871E51" w:rsidR="00E8757B">
        <w:rPr>
          <w:rFonts w:eastAsia="Calibri"/>
        </w:rPr>
        <w:t>, for the clinicians</w:t>
      </w:r>
      <w:r w:rsidR="006C6501">
        <w:rPr>
          <w:rFonts w:eastAsia="Calibri"/>
        </w:rPr>
        <w:t>, groups,</w:t>
      </w:r>
      <w:r w:rsidRPr="00871E51" w:rsidR="00E8757B">
        <w:rPr>
          <w:rFonts w:eastAsia="Calibri"/>
        </w:rPr>
        <w:t xml:space="preserve"> and subgroups submitting data for the MVP quality performance category, we estimate a burden of </w:t>
      </w:r>
      <w:r w:rsidR="000D0B82">
        <w:rPr>
          <w:rFonts w:eastAsia="Calibri"/>
        </w:rPr>
        <w:t>34</w:t>
      </w:r>
      <w:r w:rsidRPr="00871E51" w:rsidR="00E8757B">
        <w:rPr>
          <w:rFonts w:eastAsia="Calibri"/>
        </w:rPr>
        <w:t>,</w:t>
      </w:r>
      <w:r w:rsidR="000D0B82">
        <w:rPr>
          <w:rFonts w:eastAsia="Calibri"/>
        </w:rPr>
        <w:t>7</w:t>
      </w:r>
      <w:r w:rsidR="00EB06F2">
        <w:rPr>
          <w:rFonts w:eastAsia="Calibri"/>
        </w:rPr>
        <w:t>68</w:t>
      </w:r>
      <w:r w:rsidRPr="00871E51" w:rsidR="00E8757B">
        <w:rPr>
          <w:rFonts w:eastAsia="Calibri"/>
        </w:rPr>
        <w:t xml:space="preserve"> hours (9.</w:t>
      </w:r>
      <w:r w:rsidR="00EB06F2">
        <w:rPr>
          <w:rFonts w:eastAsia="Calibri"/>
        </w:rPr>
        <w:t>44</w:t>
      </w:r>
      <w:r w:rsidRPr="00871E51" w:rsidR="00E8757B">
        <w:rPr>
          <w:rFonts w:eastAsia="Calibri"/>
        </w:rPr>
        <w:t xml:space="preserve"> </w:t>
      </w:r>
      <w:proofErr w:type="spellStart"/>
      <w:r w:rsidRPr="00871E51" w:rsidR="00E8757B">
        <w:rPr>
          <w:rFonts w:eastAsia="Calibri"/>
        </w:rPr>
        <w:t>hr</w:t>
      </w:r>
      <w:proofErr w:type="spellEnd"/>
      <w:r w:rsidRPr="00871E51" w:rsidR="00E8757B">
        <w:rPr>
          <w:rFonts w:eastAsia="Calibri"/>
        </w:rPr>
        <w:t xml:space="preserve"> x </w:t>
      </w:r>
      <w:r w:rsidR="000D0B82">
        <w:rPr>
          <w:rFonts w:eastAsia="Calibri"/>
        </w:rPr>
        <w:t>3</w:t>
      </w:r>
      <w:r w:rsidRPr="00871E51" w:rsidR="00E8757B">
        <w:rPr>
          <w:rFonts w:eastAsia="Calibri"/>
        </w:rPr>
        <w:t>,</w:t>
      </w:r>
      <w:r w:rsidR="000D0B82">
        <w:rPr>
          <w:rFonts w:eastAsia="Calibri"/>
        </w:rPr>
        <w:t>6</w:t>
      </w:r>
      <w:r w:rsidRPr="00871E51" w:rsidR="00E8757B">
        <w:rPr>
          <w:rFonts w:eastAsia="Calibri"/>
        </w:rPr>
        <w:t>8</w:t>
      </w:r>
      <w:r w:rsidR="000D0B82">
        <w:rPr>
          <w:rFonts w:eastAsia="Calibri"/>
        </w:rPr>
        <w:t>3</w:t>
      </w:r>
      <w:r w:rsidRPr="00871E51" w:rsidR="00E8757B">
        <w:rPr>
          <w:rFonts w:eastAsia="Calibri"/>
        </w:rPr>
        <w:t xml:space="preserve"> clinicians) at a cost of $</w:t>
      </w:r>
      <w:r w:rsidR="008958F0">
        <w:rPr>
          <w:rFonts w:eastAsia="Calibri"/>
        </w:rPr>
        <w:t>3</w:t>
      </w:r>
      <w:r w:rsidRPr="00871E51" w:rsidR="00E8757B">
        <w:rPr>
          <w:rFonts w:eastAsia="Calibri"/>
        </w:rPr>
        <w:t>,</w:t>
      </w:r>
      <w:r w:rsidR="00E8757B">
        <w:rPr>
          <w:rFonts w:eastAsia="Calibri"/>
        </w:rPr>
        <w:t>6</w:t>
      </w:r>
      <w:r w:rsidR="008958F0">
        <w:rPr>
          <w:rFonts w:eastAsia="Calibri"/>
        </w:rPr>
        <w:t>78</w:t>
      </w:r>
      <w:r w:rsidR="00E8757B">
        <w:rPr>
          <w:rFonts w:eastAsia="Calibri"/>
        </w:rPr>
        <w:t>,</w:t>
      </w:r>
      <w:r w:rsidR="008958F0">
        <w:rPr>
          <w:rFonts w:eastAsia="Calibri"/>
        </w:rPr>
        <w:t>102</w:t>
      </w:r>
      <w:r w:rsidRPr="00871E51" w:rsidR="00E8757B">
        <w:rPr>
          <w:rFonts w:eastAsia="Calibri"/>
        </w:rPr>
        <w:t xml:space="preserve"> (</w:t>
      </w:r>
      <w:r w:rsidR="00B21E5B">
        <w:rPr>
          <w:rFonts w:eastAsia="Calibri"/>
        </w:rPr>
        <w:t>3,683</w:t>
      </w:r>
      <w:r w:rsidR="00E8757B">
        <w:rPr>
          <w:rFonts w:eastAsia="Calibri"/>
        </w:rPr>
        <w:t xml:space="preserve"> respondents</w:t>
      </w:r>
      <w:r w:rsidRPr="00871E51" w:rsidR="00E8757B">
        <w:rPr>
          <w:rFonts w:eastAsia="Calibri"/>
        </w:rPr>
        <w:t xml:space="preserve"> x 9</w:t>
      </w:r>
      <w:r w:rsidR="00B21E5B">
        <w:rPr>
          <w:rFonts w:eastAsia="Calibri"/>
        </w:rPr>
        <w:t>98</w:t>
      </w:r>
      <w:r w:rsidR="00E8757B">
        <w:rPr>
          <w:rFonts w:eastAsia="Calibri"/>
        </w:rPr>
        <w:t>.6</w:t>
      </w:r>
      <w:r w:rsidR="00B21E5B">
        <w:rPr>
          <w:rFonts w:eastAsia="Calibri"/>
        </w:rPr>
        <w:t>7</w:t>
      </w:r>
      <w:r w:rsidRPr="00871E51" w:rsidR="00E8757B">
        <w:rPr>
          <w:rFonts w:eastAsia="Calibri"/>
        </w:rPr>
        <w:t>/respondent) for the Medicare Part B claims collection type, 3</w:t>
      </w:r>
      <w:r w:rsidR="00FF511F">
        <w:rPr>
          <w:rFonts w:eastAsia="Calibri"/>
        </w:rPr>
        <w:t>8</w:t>
      </w:r>
      <w:r w:rsidRPr="00871E51" w:rsidR="00E8757B">
        <w:rPr>
          <w:rFonts w:eastAsia="Calibri"/>
        </w:rPr>
        <w:t>,</w:t>
      </w:r>
      <w:r w:rsidR="00FF511F">
        <w:rPr>
          <w:rFonts w:eastAsia="Calibri"/>
        </w:rPr>
        <w:t>799</w:t>
      </w:r>
      <w:r w:rsidRPr="00871E51" w:rsidR="00E8757B">
        <w:rPr>
          <w:rFonts w:eastAsia="Calibri"/>
        </w:rPr>
        <w:t xml:space="preserve"> hours [</w:t>
      </w:r>
      <w:r w:rsidR="00980D0A">
        <w:rPr>
          <w:rFonts w:eastAsia="Calibri"/>
        </w:rPr>
        <w:t>5.97</w:t>
      </w:r>
      <w:r w:rsidRPr="00871E51" w:rsidR="00E8757B">
        <w:rPr>
          <w:rFonts w:eastAsia="Calibri"/>
        </w:rPr>
        <w:t xml:space="preserve"> </w:t>
      </w:r>
      <w:proofErr w:type="spellStart"/>
      <w:r w:rsidRPr="00871E51" w:rsidR="00E8757B">
        <w:rPr>
          <w:rFonts w:eastAsia="Calibri"/>
        </w:rPr>
        <w:t>hr</w:t>
      </w:r>
      <w:proofErr w:type="spellEnd"/>
      <w:r w:rsidRPr="00871E51" w:rsidR="00E8757B">
        <w:rPr>
          <w:rFonts w:eastAsia="Calibri"/>
        </w:rPr>
        <w:t xml:space="preserve"> x </w:t>
      </w:r>
      <w:r w:rsidR="000A219C">
        <w:rPr>
          <w:rFonts w:eastAsia="Calibri"/>
        </w:rPr>
        <w:t>6,499</w:t>
      </w:r>
      <w:r w:rsidR="00E8757B">
        <w:rPr>
          <w:rFonts w:eastAsia="Calibri"/>
        </w:rPr>
        <w:t xml:space="preserve"> </w:t>
      </w:r>
      <w:r w:rsidRPr="00871E51" w:rsidR="00E8757B">
        <w:rPr>
          <w:rFonts w:eastAsia="Calibri"/>
        </w:rPr>
        <w:t>(</w:t>
      </w:r>
      <w:r w:rsidR="000A219C">
        <w:rPr>
          <w:rFonts w:eastAsia="Calibri"/>
        </w:rPr>
        <w:t>6,489</w:t>
      </w:r>
      <w:r w:rsidRPr="00871E51" w:rsidR="00E8757B">
        <w:rPr>
          <w:rFonts w:eastAsia="Calibri"/>
        </w:rPr>
        <w:t xml:space="preserve"> +10)] at a cost of $</w:t>
      </w:r>
      <w:r w:rsidR="000A219C">
        <w:rPr>
          <w:rFonts w:eastAsia="Calibri"/>
        </w:rPr>
        <w:t>4</w:t>
      </w:r>
      <w:r w:rsidRPr="00871E51" w:rsidR="00E8757B">
        <w:rPr>
          <w:rFonts w:eastAsia="Calibri"/>
        </w:rPr>
        <w:t>,</w:t>
      </w:r>
      <w:r w:rsidR="00E8757B">
        <w:rPr>
          <w:rFonts w:eastAsia="Calibri"/>
        </w:rPr>
        <w:t>2</w:t>
      </w:r>
      <w:r w:rsidR="000A219C">
        <w:rPr>
          <w:rFonts w:eastAsia="Calibri"/>
        </w:rPr>
        <w:t>00</w:t>
      </w:r>
      <w:r w:rsidR="00E8757B">
        <w:rPr>
          <w:rFonts w:eastAsia="Calibri"/>
        </w:rPr>
        <w:t>,2</w:t>
      </w:r>
      <w:r w:rsidR="003862CB">
        <w:rPr>
          <w:rFonts w:eastAsia="Calibri"/>
        </w:rPr>
        <w:t>39</w:t>
      </w:r>
      <w:r w:rsidRPr="00871E51" w:rsidR="00E8757B">
        <w:rPr>
          <w:rFonts w:eastAsia="Calibri"/>
        </w:rPr>
        <w:t xml:space="preserve"> (</w:t>
      </w:r>
      <w:r w:rsidR="003862CB">
        <w:rPr>
          <w:rFonts w:eastAsia="Calibri"/>
        </w:rPr>
        <w:t>6,499</w:t>
      </w:r>
      <w:r w:rsidRPr="00871E51" w:rsidR="00E8757B">
        <w:rPr>
          <w:rFonts w:eastAsia="Calibri"/>
        </w:rPr>
        <w:t xml:space="preserve"> x 6</w:t>
      </w:r>
      <w:r w:rsidR="003862CB">
        <w:rPr>
          <w:rFonts w:eastAsia="Calibri"/>
        </w:rPr>
        <w:t>46</w:t>
      </w:r>
      <w:r w:rsidR="00E8757B">
        <w:rPr>
          <w:rFonts w:eastAsia="Calibri"/>
        </w:rPr>
        <w:t>.</w:t>
      </w:r>
      <w:r w:rsidR="003862CB">
        <w:rPr>
          <w:rFonts w:eastAsia="Calibri"/>
        </w:rPr>
        <w:t>29</w:t>
      </w:r>
      <w:r w:rsidRPr="00871E51" w:rsidR="00E8757B">
        <w:rPr>
          <w:rFonts w:eastAsia="Calibri"/>
        </w:rPr>
        <w:t xml:space="preserve">/respondent) for the MIPS CQM and QCDR collection type, and </w:t>
      </w:r>
      <w:r w:rsidR="008714F0">
        <w:rPr>
          <w:rFonts w:eastAsia="Calibri"/>
        </w:rPr>
        <w:t>33</w:t>
      </w:r>
      <w:r w:rsidRPr="00871E51" w:rsidR="00E8757B">
        <w:rPr>
          <w:rFonts w:eastAsia="Calibri"/>
        </w:rPr>
        <w:t>,</w:t>
      </w:r>
      <w:r w:rsidR="008714F0">
        <w:rPr>
          <w:rFonts w:eastAsia="Calibri"/>
        </w:rPr>
        <w:t>1</w:t>
      </w:r>
      <w:r w:rsidR="00870F6A">
        <w:rPr>
          <w:rFonts w:eastAsia="Calibri"/>
        </w:rPr>
        <w:t>2</w:t>
      </w:r>
      <w:r w:rsidR="008714F0">
        <w:rPr>
          <w:rFonts w:eastAsia="Calibri"/>
        </w:rPr>
        <w:t>5</w:t>
      </w:r>
      <w:r w:rsidRPr="00871E51" w:rsidR="00E8757B">
        <w:rPr>
          <w:rFonts w:eastAsia="Calibri"/>
        </w:rPr>
        <w:t xml:space="preserve"> hours [5.3 </w:t>
      </w:r>
      <w:proofErr w:type="spellStart"/>
      <w:r w:rsidRPr="00871E51" w:rsidR="00E8757B">
        <w:rPr>
          <w:rFonts w:eastAsia="Calibri"/>
        </w:rPr>
        <w:t>hr</w:t>
      </w:r>
      <w:proofErr w:type="spellEnd"/>
      <w:r w:rsidRPr="00871E51" w:rsidR="00E8757B">
        <w:rPr>
          <w:rFonts w:eastAsia="Calibri"/>
        </w:rPr>
        <w:t xml:space="preserve"> x</w:t>
      </w:r>
      <w:r w:rsidR="00E8757B">
        <w:rPr>
          <w:rFonts w:eastAsia="Calibri"/>
        </w:rPr>
        <w:t xml:space="preserve"> </w:t>
      </w:r>
      <w:r w:rsidR="008714F0">
        <w:rPr>
          <w:rFonts w:eastAsia="Calibri"/>
        </w:rPr>
        <w:t>6,250</w:t>
      </w:r>
      <w:r w:rsidRPr="00871E51" w:rsidR="00E8757B">
        <w:rPr>
          <w:rFonts w:eastAsia="Calibri"/>
        </w:rPr>
        <w:t xml:space="preserve"> (6</w:t>
      </w:r>
      <w:r w:rsidR="00777A4C">
        <w:rPr>
          <w:rFonts w:eastAsia="Calibri"/>
        </w:rPr>
        <w:t>,</w:t>
      </w:r>
      <w:r w:rsidRPr="00871E51" w:rsidR="00E8757B">
        <w:rPr>
          <w:rFonts w:eastAsia="Calibri"/>
        </w:rPr>
        <w:t>2</w:t>
      </w:r>
      <w:r w:rsidR="00777A4C">
        <w:rPr>
          <w:rFonts w:eastAsia="Calibri"/>
        </w:rPr>
        <w:t>40</w:t>
      </w:r>
      <w:r w:rsidRPr="00871E51" w:rsidR="00E8757B">
        <w:rPr>
          <w:rFonts w:eastAsia="Calibri"/>
        </w:rPr>
        <w:t xml:space="preserve"> +10)</w:t>
      </w:r>
      <w:r w:rsidR="00E8757B">
        <w:rPr>
          <w:rFonts w:eastAsia="Calibri"/>
        </w:rPr>
        <w:t xml:space="preserve"> respondents</w:t>
      </w:r>
      <w:r w:rsidRPr="00871E51" w:rsidR="00E8757B">
        <w:rPr>
          <w:rFonts w:eastAsia="Calibri"/>
        </w:rPr>
        <w:t>] at a cost of $</w:t>
      </w:r>
      <w:r w:rsidR="00777A4C">
        <w:rPr>
          <w:rFonts w:eastAsia="Calibri"/>
        </w:rPr>
        <w:t>3</w:t>
      </w:r>
      <w:r w:rsidRPr="00871E51" w:rsidR="00E8757B">
        <w:rPr>
          <w:rFonts w:eastAsia="Calibri"/>
        </w:rPr>
        <w:t>,</w:t>
      </w:r>
      <w:r w:rsidR="00E8757B">
        <w:rPr>
          <w:rFonts w:eastAsia="Calibri"/>
        </w:rPr>
        <w:t>62</w:t>
      </w:r>
      <w:r w:rsidR="00431F23">
        <w:rPr>
          <w:rFonts w:eastAsia="Calibri"/>
        </w:rPr>
        <w:t>7</w:t>
      </w:r>
      <w:r w:rsidR="00E8757B">
        <w:rPr>
          <w:rFonts w:eastAsia="Calibri"/>
        </w:rPr>
        <w:t>,</w:t>
      </w:r>
      <w:r w:rsidR="00777A4C">
        <w:rPr>
          <w:rFonts w:eastAsia="Calibri"/>
        </w:rPr>
        <w:t>750</w:t>
      </w:r>
      <w:r w:rsidRPr="00871E51" w:rsidR="00E8757B">
        <w:rPr>
          <w:rFonts w:eastAsia="Calibri"/>
        </w:rPr>
        <w:t xml:space="preserve"> (</w:t>
      </w:r>
      <w:r w:rsidR="00431F23">
        <w:rPr>
          <w:rFonts w:eastAsia="Calibri"/>
        </w:rPr>
        <w:t>6,250</w:t>
      </w:r>
      <w:r w:rsidRPr="00871E51" w:rsidR="00E8757B">
        <w:rPr>
          <w:rFonts w:eastAsia="Calibri"/>
        </w:rPr>
        <w:t xml:space="preserve"> x 5</w:t>
      </w:r>
      <w:r w:rsidR="00431F23">
        <w:rPr>
          <w:rFonts w:eastAsia="Calibri"/>
        </w:rPr>
        <w:t>80</w:t>
      </w:r>
      <w:r w:rsidR="00E8757B">
        <w:rPr>
          <w:rFonts w:eastAsia="Calibri"/>
        </w:rPr>
        <w:t>.4</w:t>
      </w:r>
      <w:r w:rsidR="00431F23">
        <w:rPr>
          <w:rFonts w:eastAsia="Calibri"/>
        </w:rPr>
        <w:t>4</w:t>
      </w:r>
      <w:r w:rsidRPr="00871E51" w:rsidR="00E8757B">
        <w:rPr>
          <w:rFonts w:eastAsia="Calibri"/>
        </w:rPr>
        <w:t>/respondent) for the eCQM collection types.</w:t>
      </w:r>
    </w:p>
    <w:p w:rsidRPr="00797709" w:rsidR="00797709" w:rsidP="00E53E05" w:rsidRDefault="00797709" w14:paraId="2D62D27C" w14:textId="77777777"/>
    <w:p w:rsidRPr="00871E51" w:rsidR="00067362" w:rsidP="00496B0D" w:rsidRDefault="00067362" w14:paraId="376BB722" w14:textId="2E160EEC">
      <w:pPr>
        <w:keepNext/>
        <w:keepLines/>
        <w:widowControl w:val="0"/>
        <w:jc w:val="center"/>
        <w:rPr>
          <w:rFonts w:eastAsia="Calibri"/>
          <w:b/>
          <w:bCs/>
        </w:rPr>
      </w:pPr>
      <w:r w:rsidRPr="00B572F2">
        <w:rPr>
          <w:rFonts w:eastAsia="Calibri"/>
          <w:b/>
          <w:bCs/>
        </w:rPr>
        <w:t xml:space="preserve">TABLE </w:t>
      </w:r>
      <w:r>
        <w:rPr>
          <w:rFonts w:eastAsia="Calibri"/>
          <w:b/>
        </w:rPr>
        <w:t>1</w:t>
      </w:r>
      <w:r w:rsidR="00D375A8">
        <w:rPr>
          <w:rFonts w:eastAsia="Calibri"/>
          <w:b/>
        </w:rPr>
        <w:t>4</w:t>
      </w:r>
      <w:r w:rsidRPr="00B572F2">
        <w:rPr>
          <w:rFonts w:eastAsia="Calibri"/>
          <w:b/>
          <w:bCs/>
        </w:rPr>
        <w:t>:  Estimated Burden for Quality Performance Category</w:t>
      </w:r>
      <w:r w:rsidR="007D0866">
        <w:rPr>
          <w:rFonts w:eastAsia="Calibri"/>
          <w:b/>
          <w:bCs/>
        </w:rPr>
        <w:t xml:space="preserve"> Submission</w:t>
      </w:r>
    </w:p>
    <w:tbl>
      <w:tblPr>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10"/>
        <w:gridCol w:w="1170"/>
        <w:gridCol w:w="1440"/>
        <w:gridCol w:w="1235"/>
      </w:tblGrid>
      <w:tr w:rsidRPr="00871E51" w:rsidR="00067362" w:rsidTr="007F64F4" w14:paraId="73F0C4FF" w14:textId="77777777">
        <w:trPr>
          <w:trHeight w:val="836"/>
          <w:tblHeader/>
          <w:jc w:val="center"/>
        </w:trPr>
        <w:tc>
          <w:tcPr>
            <w:tcW w:w="6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EC6F6D" w:rsidR="00067362" w:rsidP="00496B0D" w:rsidRDefault="00EC6F6D" w14:paraId="3A5D6B05" w14:textId="71C9AFF9">
            <w:pPr>
              <w:keepNext/>
              <w:keepLines/>
              <w:widowControl w:val="0"/>
              <w:rPr>
                <w:rFonts w:eastAsia="Calibri"/>
                <w:b/>
                <w:bCs/>
                <w:sz w:val="20"/>
                <w:szCs w:val="20"/>
              </w:rPr>
            </w:pPr>
            <w:r w:rsidRPr="00EC6F6D">
              <w:rPr>
                <w:rFonts w:eastAsia="Calibri"/>
                <w:b/>
                <w:bCs/>
                <w:sz w:val="20"/>
                <w:szCs w:val="20"/>
              </w:rPr>
              <w:t>Burden and Respondent Descriptions</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496B0D" w:rsidRDefault="00067362" w14:paraId="2CDF6639" w14:textId="77777777">
            <w:pPr>
              <w:keepNext/>
              <w:keepLines/>
              <w:widowControl w:val="0"/>
              <w:jc w:val="center"/>
              <w:rPr>
                <w:rFonts w:eastAsia="Calibri"/>
                <w:b/>
                <w:bCs/>
                <w:sz w:val="20"/>
                <w:szCs w:val="20"/>
              </w:rPr>
            </w:pPr>
            <w:r w:rsidRPr="00871E51">
              <w:rPr>
                <w:rFonts w:eastAsia="Calibri"/>
                <w:b/>
                <w:bCs/>
                <w:sz w:val="20"/>
                <w:szCs w:val="20"/>
              </w:rPr>
              <w:t>eCQM Collection Type</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496B0D" w:rsidRDefault="00067362" w14:paraId="11617685" w14:textId="77777777">
            <w:pPr>
              <w:keepNext/>
              <w:keepLines/>
              <w:widowControl w:val="0"/>
              <w:jc w:val="center"/>
              <w:rPr>
                <w:rFonts w:eastAsia="Calibri"/>
                <w:b/>
                <w:bCs/>
                <w:sz w:val="20"/>
                <w:szCs w:val="20"/>
              </w:rPr>
            </w:pPr>
            <w:r w:rsidRPr="00871E51">
              <w:rPr>
                <w:rFonts w:eastAsia="Calibri"/>
                <w:b/>
                <w:bCs/>
                <w:sz w:val="20"/>
                <w:szCs w:val="20"/>
              </w:rPr>
              <w:t>CQM and QCDR Collection Type</w:t>
            </w:r>
          </w:p>
        </w:tc>
        <w:tc>
          <w:tcPr>
            <w:tcW w:w="12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71E51" w:rsidR="00067362" w:rsidP="00496B0D" w:rsidRDefault="00067362" w14:paraId="630C8FAD" w14:textId="77777777">
            <w:pPr>
              <w:keepNext/>
              <w:keepLines/>
              <w:widowControl w:val="0"/>
              <w:jc w:val="center"/>
              <w:rPr>
                <w:rFonts w:eastAsia="Calibri"/>
                <w:b/>
                <w:bCs/>
                <w:sz w:val="20"/>
                <w:szCs w:val="20"/>
              </w:rPr>
            </w:pPr>
            <w:r w:rsidRPr="00871E51">
              <w:rPr>
                <w:rFonts w:eastAsia="Calibri"/>
                <w:b/>
                <w:bCs/>
                <w:sz w:val="20"/>
                <w:szCs w:val="20"/>
              </w:rPr>
              <w:t>Claims Collection Type</w:t>
            </w:r>
          </w:p>
        </w:tc>
      </w:tr>
      <w:tr w:rsidRPr="00871E51" w:rsidR="00067362" w:rsidTr="007F64F4" w14:paraId="07194DE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496B0D" w:rsidRDefault="00067362" w14:paraId="76C27314" w14:textId="77777777">
            <w:pPr>
              <w:keepNext/>
              <w:keepLines/>
              <w:widowControl w:val="0"/>
              <w:rPr>
                <w:rFonts w:eastAsia="Calibri"/>
                <w:sz w:val="20"/>
                <w:szCs w:val="20"/>
              </w:rPr>
            </w:pPr>
            <w:r w:rsidRPr="00871E51">
              <w:rPr>
                <w:rFonts w:eastAsia="Calibri"/>
                <w:sz w:val="20"/>
                <w:szCs w:val="20"/>
              </w:rPr>
              <w:t># of Submissions from pre-existing collection types (a)</w:t>
            </w:r>
          </w:p>
        </w:tc>
        <w:tc>
          <w:tcPr>
            <w:tcW w:w="1170" w:type="dxa"/>
            <w:tcBorders>
              <w:top w:val="single" w:color="auto" w:sz="4" w:space="0"/>
              <w:left w:val="single" w:color="auto" w:sz="4" w:space="0"/>
              <w:bottom w:val="single" w:color="auto" w:sz="4" w:space="0"/>
              <w:right w:val="single" w:color="auto" w:sz="4" w:space="0"/>
            </w:tcBorders>
            <w:noWrap/>
            <w:hideMark/>
          </w:tcPr>
          <w:p w:rsidRPr="00871E51" w:rsidR="00067362" w:rsidP="00496B0D" w:rsidRDefault="00067362" w14:paraId="1CC5BDA1" w14:textId="1F475272">
            <w:pPr>
              <w:keepNext/>
              <w:keepLines/>
              <w:widowControl w:val="0"/>
              <w:jc w:val="right"/>
              <w:rPr>
                <w:rFonts w:eastAsia="Calibri"/>
                <w:sz w:val="20"/>
                <w:szCs w:val="20"/>
              </w:rPr>
            </w:pPr>
            <w:r w:rsidRPr="00871E51">
              <w:rPr>
                <w:sz w:val="20"/>
                <w:szCs w:val="20"/>
              </w:rPr>
              <w:t>6</w:t>
            </w:r>
            <w:r w:rsidR="00E6780C">
              <w:rPr>
                <w:sz w:val="20"/>
                <w:szCs w:val="20"/>
              </w:rPr>
              <w:t>,</w:t>
            </w:r>
            <w:r w:rsidRPr="00871E51">
              <w:rPr>
                <w:sz w:val="20"/>
                <w:szCs w:val="20"/>
              </w:rPr>
              <w:t>2</w:t>
            </w:r>
            <w:r w:rsidR="00E6780C">
              <w:rPr>
                <w:sz w:val="20"/>
                <w:szCs w:val="20"/>
              </w:rPr>
              <w:t>40</w:t>
            </w:r>
          </w:p>
        </w:tc>
        <w:tc>
          <w:tcPr>
            <w:tcW w:w="1440" w:type="dxa"/>
            <w:tcBorders>
              <w:top w:val="single" w:color="auto" w:sz="4" w:space="0"/>
              <w:left w:val="single" w:color="auto" w:sz="4" w:space="0"/>
              <w:bottom w:val="single" w:color="auto" w:sz="4" w:space="0"/>
              <w:right w:val="single" w:color="auto" w:sz="4" w:space="0"/>
            </w:tcBorders>
            <w:noWrap/>
            <w:hideMark/>
          </w:tcPr>
          <w:p w:rsidRPr="00871E51" w:rsidR="00067362" w:rsidP="00222300" w:rsidRDefault="007D0866" w14:paraId="69088A99" w14:textId="0E32A9AC">
            <w:pPr>
              <w:keepNext/>
              <w:keepLines/>
              <w:widowControl w:val="0"/>
              <w:jc w:val="center"/>
              <w:rPr>
                <w:rFonts w:eastAsia="Calibri"/>
                <w:sz w:val="20"/>
                <w:szCs w:val="20"/>
              </w:rPr>
            </w:pPr>
            <w:r>
              <w:rPr>
                <w:sz w:val="20"/>
                <w:szCs w:val="20"/>
              </w:rPr>
              <w:t xml:space="preserve">               6,489</w:t>
            </w:r>
          </w:p>
        </w:tc>
        <w:tc>
          <w:tcPr>
            <w:tcW w:w="1235" w:type="dxa"/>
            <w:tcBorders>
              <w:top w:val="single" w:color="auto" w:sz="4" w:space="0"/>
              <w:left w:val="single" w:color="auto" w:sz="4" w:space="0"/>
              <w:bottom w:val="single" w:color="auto" w:sz="4" w:space="0"/>
              <w:right w:val="single" w:color="auto" w:sz="4" w:space="0"/>
            </w:tcBorders>
            <w:noWrap/>
            <w:hideMark/>
          </w:tcPr>
          <w:p w:rsidRPr="00871E51" w:rsidR="00067362" w:rsidP="00496B0D" w:rsidRDefault="004565B1" w14:paraId="07BA09DE" w14:textId="51B5F4A6">
            <w:pPr>
              <w:keepNext/>
              <w:keepLines/>
              <w:widowControl w:val="0"/>
              <w:jc w:val="right"/>
              <w:rPr>
                <w:rFonts w:eastAsia="Calibri"/>
                <w:sz w:val="20"/>
                <w:szCs w:val="20"/>
              </w:rPr>
            </w:pPr>
            <w:r>
              <w:rPr>
                <w:sz w:val="20"/>
                <w:szCs w:val="20"/>
              </w:rPr>
              <w:t>3</w:t>
            </w:r>
            <w:r w:rsidRPr="00871E51" w:rsidR="00067362">
              <w:rPr>
                <w:sz w:val="20"/>
                <w:szCs w:val="20"/>
              </w:rPr>
              <w:t>,</w:t>
            </w:r>
            <w:r>
              <w:rPr>
                <w:sz w:val="20"/>
                <w:szCs w:val="20"/>
              </w:rPr>
              <w:t>6</w:t>
            </w:r>
            <w:r w:rsidRPr="00871E51" w:rsidR="00067362">
              <w:rPr>
                <w:sz w:val="20"/>
                <w:szCs w:val="20"/>
              </w:rPr>
              <w:t>8</w:t>
            </w:r>
            <w:r>
              <w:rPr>
                <w:sz w:val="20"/>
                <w:szCs w:val="20"/>
              </w:rPr>
              <w:t>3</w:t>
            </w:r>
          </w:p>
        </w:tc>
      </w:tr>
      <w:tr w:rsidRPr="00871E51" w:rsidR="00067362" w:rsidTr="007F64F4" w14:paraId="6C1E0090"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496B0D" w:rsidRDefault="00067362" w14:paraId="70CEA953" w14:textId="77777777">
            <w:pPr>
              <w:keepNext/>
              <w:keepLines/>
              <w:widowControl w:val="0"/>
              <w:rPr>
                <w:rFonts w:eastAsia="Calibri"/>
                <w:sz w:val="20"/>
                <w:szCs w:val="20"/>
              </w:rPr>
            </w:pPr>
            <w:r w:rsidRPr="00871E51">
              <w:rPr>
                <w:rFonts w:eastAsia="Calibri"/>
                <w:sz w:val="20"/>
                <w:szCs w:val="20"/>
              </w:rPr>
              <w:t># of Subgroup reporters (b)</w:t>
            </w:r>
          </w:p>
        </w:tc>
        <w:tc>
          <w:tcPr>
            <w:tcW w:w="1170"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4342D282" w14:textId="77777777">
            <w:pPr>
              <w:keepNext/>
              <w:keepLines/>
              <w:widowControl w:val="0"/>
              <w:jc w:val="right"/>
              <w:rPr>
                <w:rFonts w:eastAsia="Calibri"/>
                <w:sz w:val="20"/>
                <w:szCs w:val="20"/>
              </w:rPr>
            </w:pPr>
            <w:r w:rsidRPr="00871E51">
              <w:rPr>
                <w:sz w:val="20"/>
                <w:szCs w:val="20"/>
              </w:rPr>
              <w:t>10</w:t>
            </w:r>
          </w:p>
        </w:tc>
        <w:tc>
          <w:tcPr>
            <w:tcW w:w="1440"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75929AB8" w14:textId="77777777">
            <w:pPr>
              <w:keepNext/>
              <w:keepLines/>
              <w:widowControl w:val="0"/>
              <w:jc w:val="right"/>
              <w:rPr>
                <w:rFonts w:eastAsia="Calibri"/>
                <w:sz w:val="20"/>
                <w:szCs w:val="20"/>
              </w:rPr>
            </w:pPr>
            <w:r w:rsidRPr="00871E51">
              <w:rPr>
                <w:sz w:val="20"/>
                <w:szCs w:val="20"/>
              </w:rPr>
              <w:t>10</w:t>
            </w:r>
          </w:p>
        </w:tc>
        <w:tc>
          <w:tcPr>
            <w:tcW w:w="1235" w:type="dxa"/>
            <w:tcBorders>
              <w:top w:val="single" w:color="auto" w:sz="4" w:space="0"/>
              <w:left w:val="single" w:color="auto" w:sz="4" w:space="0"/>
              <w:bottom w:val="single" w:color="auto" w:sz="4" w:space="0"/>
              <w:right w:val="single" w:color="auto" w:sz="4" w:space="0"/>
            </w:tcBorders>
            <w:noWrap/>
          </w:tcPr>
          <w:p w:rsidRPr="00871E51" w:rsidR="00067362" w:rsidP="00496B0D" w:rsidRDefault="00067362" w14:paraId="1446685A" w14:textId="77777777">
            <w:pPr>
              <w:keepNext/>
              <w:keepLines/>
              <w:widowControl w:val="0"/>
              <w:jc w:val="right"/>
              <w:rPr>
                <w:rFonts w:eastAsia="Calibri"/>
                <w:sz w:val="20"/>
                <w:szCs w:val="20"/>
              </w:rPr>
            </w:pPr>
            <w:r w:rsidRPr="00871E51">
              <w:rPr>
                <w:rFonts w:eastAsia="Calibri"/>
                <w:sz w:val="20"/>
                <w:szCs w:val="20"/>
              </w:rPr>
              <w:t>0</w:t>
            </w:r>
          </w:p>
        </w:tc>
      </w:tr>
      <w:tr w:rsidRPr="00871E51" w:rsidR="00067362" w:rsidTr="007F64F4" w14:paraId="0498EBAB"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496B0D" w:rsidRDefault="00067362" w14:paraId="5608732C" w14:textId="77777777">
            <w:pPr>
              <w:keepNext/>
              <w:keepLines/>
              <w:widowControl w:val="0"/>
              <w:rPr>
                <w:rFonts w:eastAsia="Calibri"/>
                <w:sz w:val="20"/>
                <w:szCs w:val="20"/>
              </w:rPr>
            </w:pPr>
            <w:r w:rsidRPr="00871E51">
              <w:rPr>
                <w:rFonts w:eastAsia="Calibri"/>
                <w:sz w:val="20"/>
                <w:szCs w:val="20"/>
              </w:rPr>
              <w:t xml:space="preserve">Total MVP participants (c) = (a) + (b) </w:t>
            </w:r>
          </w:p>
        </w:tc>
        <w:tc>
          <w:tcPr>
            <w:tcW w:w="1170" w:type="dxa"/>
            <w:tcBorders>
              <w:top w:val="single" w:color="auto" w:sz="4" w:space="0"/>
              <w:left w:val="single" w:color="auto" w:sz="4" w:space="0"/>
              <w:bottom w:val="single" w:color="auto" w:sz="4" w:space="0"/>
              <w:right w:val="single" w:color="auto" w:sz="4" w:space="0"/>
            </w:tcBorders>
            <w:noWrap/>
          </w:tcPr>
          <w:p w:rsidRPr="00871E51" w:rsidR="00067362" w:rsidP="00496B0D" w:rsidRDefault="004565B1" w14:paraId="1D373754" w14:textId="4C7777B2">
            <w:pPr>
              <w:keepNext/>
              <w:keepLines/>
              <w:widowControl w:val="0"/>
              <w:jc w:val="right"/>
              <w:rPr>
                <w:rFonts w:eastAsia="Calibri"/>
                <w:sz w:val="20"/>
                <w:szCs w:val="20"/>
              </w:rPr>
            </w:pPr>
            <w:r>
              <w:rPr>
                <w:sz w:val="20"/>
                <w:szCs w:val="20"/>
              </w:rPr>
              <w:t>6,250</w:t>
            </w:r>
          </w:p>
        </w:tc>
        <w:tc>
          <w:tcPr>
            <w:tcW w:w="1440" w:type="dxa"/>
            <w:tcBorders>
              <w:top w:val="single" w:color="auto" w:sz="4" w:space="0"/>
              <w:left w:val="single" w:color="auto" w:sz="4" w:space="0"/>
              <w:bottom w:val="single" w:color="auto" w:sz="4" w:space="0"/>
              <w:right w:val="single" w:color="auto" w:sz="4" w:space="0"/>
            </w:tcBorders>
            <w:noWrap/>
          </w:tcPr>
          <w:p w:rsidRPr="00871E51" w:rsidR="00067362" w:rsidP="00496B0D" w:rsidRDefault="004565B1" w14:paraId="6A524AE9" w14:textId="1E37B704">
            <w:pPr>
              <w:keepNext/>
              <w:keepLines/>
              <w:widowControl w:val="0"/>
              <w:jc w:val="right"/>
              <w:rPr>
                <w:rFonts w:eastAsia="Calibri"/>
                <w:sz w:val="20"/>
                <w:szCs w:val="20"/>
              </w:rPr>
            </w:pPr>
            <w:r>
              <w:rPr>
                <w:sz w:val="20"/>
                <w:szCs w:val="20"/>
              </w:rPr>
              <w:t>6,499</w:t>
            </w:r>
          </w:p>
        </w:tc>
        <w:tc>
          <w:tcPr>
            <w:tcW w:w="1235" w:type="dxa"/>
            <w:tcBorders>
              <w:top w:val="single" w:color="auto" w:sz="4" w:space="0"/>
              <w:left w:val="single" w:color="auto" w:sz="4" w:space="0"/>
              <w:bottom w:val="single" w:color="auto" w:sz="4" w:space="0"/>
              <w:right w:val="single" w:color="auto" w:sz="4" w:space="0"/>
            </w:tcBorders>
            <w:noWrap/>
          </w:tcPr>
          <w:p w:rsidRPr="00871E51" w:rsidR="00067362" w:rsidP="00496B0D" w:rsidRDefault="005F669E" w14:paraId="7210ABBA" w14:textId="4F34CF77">
            <w:pPr>
              <w:keepNext/>
              <w:keepLines/>
              <w:widowControl w:val="0"/>
              <w:jc w:val="right"/>
              <w:rPr>
                <w:rFonts w:eastAsia="Calibri"/>
                <w:sz w:val="20"/>
                <w:szCs w:val="20"/>
              </w:rPr>
            </w:pPr>
            <w:r>
              <w:rPr>
                <w:sz w:val="20"/>
                <w:szCs w:val="20"/>
              </w:rPr>
              <w:t>3</w:t>
            </w:r>
            <w:r w:rsidRPr="00871E51" w:rsidR="00067362">
              <w:rPr>
                <w:sz w:val="20"/>
                <w:szCs w:val="20"/>
              </w:rPr>
              <w:t>,</w:t>
            </w:r>
            <w:r>
              <w:rPr>
                <w:sz w:val="20"/>
                <w:szCs w:val="20"/>
              </w:rPr>
              <w:t>6</w:t>
            </w:r>
            <w:r w:rsidRPr="00871E51" w:rsidR="00067362">
              <w:rPr>
                <w:sz w:val="20"/>
                <w:szCs w:val="20"/>
              </w:rPr>
              <w:t>8</w:t>
            </w:r>
            <w:r>
              <w:rPr>
                <w:sz w:val="20"/>
                <w:szCs w:val="20"/>
              </w:rPr>
              <w:t>3</w:t>
            </w:r>
          </w:p>
        </w:tc>
      </w:tr>
      <w:tr w:rsidRPr="00871E51" w:rsidR="00067362" w:rsidTr="007F64F4" w14:paraId="295D747D"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995C494" w14:textId="77777777">
            <w:pPr>
              <w:widowControl w:val="0"/>
              <w:rPr>
                <w:rFonts w:eastAsia="Calibri"/>
                <w:sz w:val="20"/>
                <w:szCs w:val="20"/>
              </w:rPr>
            </w:pPr>
            <w:r w:rsidRPr="00871E51">
              <w:rPr>
                <w:rFonts w:eastAsia="Calibri"/>
                <w:sz w:val="20"/>
                <w:szCs w:val="20"/>
              </w:rPr>
              <w:t>Hours Per Clinician to Submit Quality Data (d)</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1A34A38" w14:textId="77777777">
            <w:pPr>
              <w:widowControl w:val="0"/>
              <w:jc w:val="right"/>
              <w:rPr>
                <w:rFonts w:eastAsia="Calibri"/>
                <w:sz w:val="20"/>
                <w:szCs w:val="20"/>
              </w:rPr>
            </w:pPr>
            <w:r w:rsidRPr="00871E51">
              <w:rPr>
                <w:sz w:val="20"/>
                <w:szCs w:val="20"/>
              </w:rPr>
              <w:t>1.33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06301E9" w14:textId="77777777">
            <w:pPr>
              <w:widowControl w:val="0"/>
              <w:jc w:val="right"/>
              <w:rPr>
                <w:rFonts w:eastAsia="Calibri"/>
                <w:sz w:val="20"/>
                <w:szCs w:val="20"/>
              </w:rPr>
            </w:pPr>
            <w:r w:rsidRPr="00871E51">
              <w:rPr>
                <w:sz w:val="20"/>
                <w:szCs w:val="20"/>
              </w:rPr>
              <w:t>2</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14D30FF" w14:textId="77777777">
            <w:pPr>
              <w:widowControl w:val="0"/>
              <w:jc w:val="right"/>
              <w:rPr>
                <w:rFonts w:eastAsia="Calibri"/>
                <w:sz w:val="20"/>
                <w:szCs w:val="20"/>
              </w:rPr>
            </w:pPr>
            <w:r w:rsidRPr="00871E51">
              <w:rPr>
                <w:sz w:val="20"/>
                <w:szCs w:val="20"/>
              </w:rPr>
              <w:t>4.8</w:t>
            </w:r>
          </w:p>
        </w:tc>
      </w:tr>
      <w:tr w:rsidRPr="00871E51" w:rsidR="00067362" w:rsidTr="007F64F4" w14:paraId="6200E91B"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014AAEB0" w14:textId="77777777">
            <w:pPr>
              <w:widowControl w:val="0"/>
              <w:rPr>
                <w:rFonts w:eastAsia="Calibri"/>
                <w:sz w:val="20"/>
                <w:szCs w:val="20"/>
              </w:rPr>
            </w:pPr>
            <w:r w:rsidRPr="00871E51">
              <w:rPr>
                <w:rFonts w:eastAsia="Calibri"/>
                <w:sz w:val="20"/>
                <w:szCs w:val="20"/>
              </w:rPr>
              <w:t># of Hours Medical and Health Services Manager Review Measure Specifications (e)</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91C5029" w14:textId="77777777">
            <w:pPr>
              <w:widowControl w:val="0"/>
              <w:jc w:val="right"/>
              <w:rPr>
                <w:rFonts w:eastAsia="Calibri"/>
                <w:sz w:val="20"/>
                <w:szCs w:val="20"/>
              </w:rPr>
            </w:pPr>
            <w:r w:rsidRPr="00871E51">
              <w:rPr>
                <w:sz w:val="20"/>
                <w:szCs w:val="20"/>
              </w:rPr>
              <w:t>1.33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E3BED8B" w14:textId="77777777">
            <w:pPr>
              <w:widowControl w:val="0"/>
              <w:jc w:val="right"/>
              <w:rPr>
                <w:rFonts w:eastAsia="Calibri"/>
                <w:sz w:val="20"/>
                <w:szCs w:val="20"/>
              </w:rPr>
            </w:pPr>
            <w:r w:rsidRPr="00871E51">
              <w:rPr>
                <w:sz w:val="20"/>
                <w:szCs w:val="20"/>
              </w:rPr>
              <w:t>1.33</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C14B8C4" w14:textId="77777777">
            <w:pPr>
              <w:widowControl w:val="0"/>
              <w:jc w:val="right"/>
              <w:rPr>
                <w:rFonts w:eastAsia="Calibri"/>
                <w:sz w:val="20"/>
                <w:szCs w:val="20"/>
              </w:rPr>
            </w:pPr>
            <w:r w:rsidRPr="00871E51">
              <w:rPr>
                <w:sz w:val="20"/>
                <w:szCs w:val="20"/>
              </w:rPr>
              <w:t>2</w:t>
            </w:r>
          </w:p>
        </w:tc>
      </w:tr>
      <w:tr w:rsidRPr="00871E51" w:rsidR="00067362" w:rsidTr="007F64F4" w14:paraId="046D830F"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7FB8999" w14:textId="77777777">
            <w:pPr>
              <w:widowControl w:val="0"/>
              <w:rPr>
                <w:rFonts w:eastAsia="Calibri"/>
                <w:sz w:val="20"/>
                <w:szCs w:val="20"/>
              </w:rPr>
            </w:pPr>
            <w:r w:rsidRPr="00871E51">
              <w:rPr>
                <w:rFonts w:eastAsia="Calibri"/>
                <w:sz w:val="20"/>
                <w:szCs w:val="20"/>
              </w:rPr>
              <w:t># of Hours Computer Systems Analyst Review Measure Specifications (f)</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7DA95C9"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7B12CBE"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30E3E00" w14:textId="77777777">
            <w:pPr>
              <w:widowControl w:val="0"/>
              <w:jc w:val="right"/>
              <w:rPr>
                <w:rFonts w:eastAsia="Calibri"/>
                <w:sz w:val="20"/>
                <w:szCs w:val="20"/>
              </w:rPr>
            </w:pPr>
            <w:r w:rsidRPr="00871E51">
              <w:rPr>
                <w:sz w:val="20"/>
                <w:szCs w:val="20"/>
              </w:rPr>
              <w:t>0.66</w:t>
            </w:r>
          </w:p>
        </w:tc>
      </w:tr>
      <w:tr w:rsidRPr="00871E51" w:rsidR="00067362" w:rsidTr="007F64F4" w14:paraId="76814097"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8499011" w14:textId="77777777">
            <w:pPr>
              <w:widowControl w:val="0"/>
              <w:rPr>
                <w:rFonts w:eastAsia="Calibri"/>
                <w:sz w:val="20"/>
                <w:szCs w:val="20"/>
              </w:rPr>
            </w:pPr>
            <w:r w:rsidRPr="00871E51">
              <w:rPr>
                <w:rFonts w:eastAsia="Calibri"/>
                <w:sz w:val="20"/>
                <w:szCs w:val="20"/>
              </w:rPr>
              <w:t xml:space="preserve"> # of Hours LPN Review Measure Specifications (g)</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928D02A"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DC6BBFD"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C26C5DA" w14:textId="77777777">
            <w:pPr>
              <w:widowControl w:val="0"/>
              <w:jc w:val="right"/>
              <w:rPr>
                <w:rFonts w:eastAsia="Calibri"/>
                <w:sz w:val="20"/>
                <w:szCs w:val="20"/>
              </w:rPr>
            </w:pPr>
            <w:r w:rsidRPr="00871E51">
              <w:rPr>
                <w:sz w:val="20"/>
                <w:szCs w:val="20"/>
              </w:rPr>
              <w:t>0.66</w:t>
            </w:r>
          </w:p>
        </w:tc>
      </w:tr>
      <w:tr w:rsidRPr="00871E51" w:rsidR="00067362" w:rsidTr="007F64F4" w14:paraId="4F015182"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797DF8F" w14:textId="77777777">
            <w:pPr>
              <w:widowControl w:val="0"/>
              <w:rPr>
                <w:rFonts w:eastAsia="Calibri"/>
                <w:sz w:val="20"/>
                <w:szCs w:val="20"/>
              </w:rPr>
            </w:pPr>
            <w:r w:rsidRPr="00871E51">
              <w:rPr>
                <w:rFonts w:eastAsia="Calibri"/>
                <w:sz w:val="20"/>
                <w:szCs w:val="20"/>
              </w:rPr>
              <w:t xml:space="preserve"> # of Hours Billing Clerk Review Measure Specifications (h)</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86850C8"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4EFEEB5"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3A57EE2" w14:textId="77777777">
            <w:pPr>
              <w:widowControl w:val="0"/>
              <w:jc w:val="right"/>
              <w:rPr>
                <w:rFonts w:eastAsia="Calibri"/>
                <w:sz w:val="20"/>
                <w:szCs w:val="20"/>
              </w:rPr>
            </w:pPr>
            <w:r w:rsidRPr="00871E51">
              <w:rPr>
                <w:sz w:val="20"/>
                <w:szCs w:val="20"/>
              </w:rPr>
              <w:t>0.66</w:t>
            </w:r>
          </w:p>
        </w:tc>
      </w:tr>
      <w:tr w:rsidRPr="00871E51" w:rsidR="00067362" w:rsidTr="007F64F4" w14:paraId="31E0C9C0"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00A0C4EB" w14:textId="77777777">
            <w:pPr>
              <w:widowControl w:val="0"/>
              <w:rPr>
                <w:rFonts w:eastAsia="Calibri"/>
                <w:sz w:val="20"/>
                <w:szCs w:val="20"/>
              </w:rPr>
            </w:pPr>
            <w:r w:rsidRPr="00871E51">
              <w:rPr>
                <w:rFonts w:eastAsia="Calibri"/>
                <w:sz w:val="20"/>
                <w:szCs w:val="20"/>
              </w:rPr>
              <w:t># of Hours Physician Review Measure Specifications (i)</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2AF12EF" w14:textId="77777777">
            <w:pPr>
              <w:widowControl w:val="0"/>
              <w:jc w:val="right"/>
              <w:rPr>
                <w:rFonts w:eastAsia="Calibri"/>
                <w:sz w:val="20"/>
                <w:szCs w:val="20"/>
              </w:rPr>
            </w:pPr>
            <w:r w:rsidRPr="00871E51">
              <w:rPr>
                <w:sz w:val="20"/>
                <w:szCs w:val="20"/>
              </w:rPr>
              <w:t>0.66</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1763112" w14:textId="77777777">
            <w:pPr>
              <w:widowControl w:val="0"/>
              <w:jc w:val="right"/>
              <w:rPr>
                <w:rFonts w:eastAsia="Calibri"/>
                <w:sz w:val="20"/>
                <w:szCs w:val="20"/>
              </w:rPr>
            </w:pPr>
            <w:r w:rsidRPr="00871E51">
              <w:rPr>
                <w:sz w:val="20"/>
                <w:szCs w:val="20"/>
              </w:rPr>
              <w:t>0.66</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E454124" w14:textId="77777777">
            <w:pPr>
              <w:widowControl w:val="0"/>
              <w:jc w:val="right"/>
              <w:rPr>
                <w:rFonts w:eastAsia="Calibri"/>
                <w:sz w:val="20"/>
                <w:szCs w:val="20"/>
              </w:rPr>
            </w:pPr>
            <w:r w:rsidRPr="00871E51">
              <w:rPr>
                <w:sz w:val="20"/>
                <w:szCs w:val="20"/>
              </w:rPr>
              <w:t>0.66</w:t>
            </w:r>
          </w:p>
        </w:tc>
      </w:tr>
      <w:tr w:rsidRPr="00871E51" w:rsidR="00067362" w:rsidTr="007F64F4" w14:paraId="3554E3E5" w14:textId="77777777">
        <w:trPr>
          <w:jc w:val="center"/>
        </w:trPr>
        <w:tc>
          <w:tcPr>
            <w:tcW w:w="621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7A892E9" w14:textId="77777777">
            <w:pPr>
              <w:widowControl w:val="0"/>
              <w:rPr>
                <w:rFonts w:eastAsia="Calibri"/>
                <w:sz w:val="20"/>
                <w:szCs w:val="20"/>
              </w:rPr>
            </w:pPr>
            <w:r w:rsidRPr="00871E51">
              <w:rPr>
                <w:rFonts w:eastAsia="Calibri"/>
                <w:sz w:val="20"/>
                <w:szCs w:val="20"/>
              </w:rPr>
              <w:t>Annual Hours per Clinician Submitting Data for MVPs (j) = (d) + (e) + (f) + (g) + (h) + (i)</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918A50D" w14:textId="3807EEBC">
            <w:pPr>
              <w:widowControl w:val="0"/>
              <w:jc w:val="right"/>
              <w:rPr>
                <w:rFonts w:eastAsia="Calibri"/>
                <w:sz w:val="20"/>
                <w:szCs w:val="20"/>
              </w:rPr>
            </w:pPr>
            <w:r w:rsidRPr="00871E51">
              <w:rPr>
                <w:sz w:val="20"/>
                <w:szCs w:val="20"/>
              </w:rPr>
              <w:t>5.3</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8C309A" w14:paraId="0180A43D" w14:textId="235E685B">
            <w:pPr>
              <w:widowControl w:val="0"/>
              <w:jc w:val="right"/>
              <w:rPr>
                <w:rFonts w:eastAsia="Calibri"/>
                <w:sz w:val="20"/>
                <w:szCs w:val="20"/>
              </w:rPr>
            </w:pPr>
            <w:r>
              <w:rPr>
                <w:sz w:val="20"/>
                <w:szCs w:val="20"/>
              </w:rPr>
              <w:t>5.97</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F297AB2" w14:textId="77D63E87">
            <w:pPr>
              <w:widowControl w:val="0"/>
              <w:jc w:val="right"/>
              <w:rPr>
                <w:rFonts w:eastAsia="Calibri"/>
                <w:sz w:val="20"/>
                <w:szCs w:val="20"/>
              </w:rPr>
            </w:pPr>
            <w:r w:rsidRPr="00871E51">
              <w:rPr>
                <w:sz w:val="20"/>
                <w:szCs w:val="20"/>
              </w:rPr>
              <w:t>9</w:t>
            </w:r>
            <w:r w:rsidR="008C309A">
              <w:rPr>
                <w:sz w:val="20"/>
                <w:szCs w:val="20"/>
              </w:rPr>
              <w:t>.44</w:t>
            </w:r>
          </w:p>
        </w:tc>
      </w:tr>
      <w:tr w:rsidRPr="00871E51" w:rsidR="00067362" w:rsidTr="007F64F4" w14:paraId="676D91AA" w14:textId="77777777">
        <w:trPr>
          <w:trHeight w:val="449"/>
          <w:jc w:val="center"/>
        </w:trPr>
        <w:tc>
          <w:tcPr>
            <w:tcW w:w="62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71E51" w:rsidR="00067362" w:rsidP="007F64F4" w:rsidRDefault="00067362" w14:paraId="14B79658" w14:textId="77777777">
            <w:pPr>
              <w:widowControl w:val="0"/>
              <w:rPr>
                <w:rFonts w:eastAsia="Calibri"/>
                <w:b/>
                <w:bCs/>
                <w:sz w:val="20"/>
                <w:szCs w:val="20"/>
              </w:rPr>
            </w:pPr>
            <w:r w:rsidRPr="00871E51">
              <w:rPr>
                <w:rFonts w:eastAsia="Calibri"/>
                <w:b/>
                <w:bCs/>
                <w:sz w:val="20"/>
                <w:szCs w:val="20"/>
              </w:rPr>
              <w:t>Total Annual Hours (k) = (c) * (j)</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1E04BD" w14:paraId="620F72C0" w14:textId="0C6E82CE">
            <w:pPr>
              <w:widowControl w:val="0"/>
              <w:jc w:val="center"/>
              <w:rPr>
                <w:rFonts w:eastAsia="Calibri"/>
                <w:b/>
                <w:bCs/>
                <w:sz w:val="20"/>
                <w:szCs w:val="20"/>
              </w:rPr>
            </w:pPr>
            <w:r>
              <w:rPr>
                <w:b/>
                <w:bCs/>
                <w:sz w:val="20"/>
                <w:szCs w:val="20"/>
              </w:rPr>
              <w:t>33</w:t>
            </w:r>
            <w:r w:rsidRPr="00871E51" w:rsidR="00067362">
              <w:rPr>
                <w:b/>
                <w:bCs/>
                <w:sz w:val="20"/>
                <w:szCs w:val="20"/>
              </w:rPr>
              <w:t>,</w:t>
            </w:r>
            <w:r>
              <w:rPr>
                <w:b/>
                <w:bCs/>
                <w:sz w:val="20"/>
                <w:szCs w:val="20"/>
              </w:rPr>
              <w:t>1</w:t>
            </w:r>
            <w:r w:rsidR="002B00EF">
              <w:rPr>
                <w:b/>
                <w:bCs/>
                <w:sz w:val="20"/>
                <w:szCs w:val="20"/>
              </w:rPr>
              <w:t>2</w:t>
            </w:r>
            <w:r>
              <w:rPr>
                <w:b/>
                <w:bCs/>
                <w:sz w:val="20"/>
                <w:szCs w:val="20"/>
              </w:rPr>
              <w:t>5</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05B22637" w14:textId="4B4528FB">
            <w:pPr>
              <w:widowControl w:val="0"/>
              <w:jc w:val="right"/>
              <w:rPr>
                <w:rFonts w:eastAsia="Calibri"/>
                <w:b/>
                <w:bCs/>
                <w:sz w:val="20"/>
                <w:szCs w:val="20"/>
              </w:rPr>
            </w:pPr>
            <w:r w:rsidRPr="00871E51">
              <w:rPr>
                <w:b/>
                <w:bCs/>
                <w:sz w:val="20"/>
                <w:szCs w:val="20"/>
              </w:rPr>
              <w:t>3</w:t>
            </w:r>
            <w:r w:rsidR="001E04BD">
              <w:rPr>
                <w:b/>
                <w:bCs/>
                <w:sz w:val="20"/>
                <w:szCs w:val="20"/>
              </w:rPr>
              <w:t>8</w:t>
            </w:r>
            <w:r w:rsidRPr="00871E51">
              <w:rPr>
                <w:b/>
                <w:bCs/>
                <w:sz w:val="20"/>
                <w:szCs w:val="20"/>
              </w:rPr>
              <w:t>,</w:t>
            </w:r>
            <w:r w:rsidR="001E04BD">
              <w:rPr>
                <w:b/>
                <w:bCs/>
                <w:sz w:val="20"/>
                <w:szCs w:val="20"/>
              </w:rPr>
              <w:t>799</w:t>
            </w:r>
          </w:p>
        </w:tc>
        <w:tc>
          <w:tcPr>
            <w:tcW w:w="123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1E04BD" w14:paraId="1E70C621" w14:textId="79997E15">
            <w:pPr>
              <w:widowControl w:val="0"/>
              <w:jc w:val="right"/>
              <w:rPr>
                <w:rFonts w:eastAsia="Calibri"/>
                <w:b/>
                <w:bCs/>
                <w:sz w:val="20"/>
                <w:szCs w:val="20"/>
              </w:rPr>
            </w:pPr>
            <w:r>
              <w:rPr>
                <w:b/>
                <w:bCs/>
                <w:sz w:val="20"/>
                <w:szCs w:val="20"/>
              </w:rPr>
              <w:t>34</w:t>
            </w:r>
            <w:r w:rsidRPr="00871E51" w:rsidR="00067362">
              <w:rPr>
                <w:b/>
                <w:bCs/>
                <w:sz w:val="20"/>
                <w:szCs w:val="20"/>
              </w:rPr>
              <w:t>,</w:t>
            </w:r>
            <w:r>
              <w:rPr>
                <w:b/>
                <w:bCs/>
                <w:sz w:val="20"/>
                <w:szCs w:val="20"/>
              </w:rPr>
              <w:t>7</w:t>
            </w:r>
            <w:r w:rsidR="008C309A">
              <w:rPr>
                <w:b/>
                <w:bCs/>
                <w:sz w:val="20"/>
                <w:szCs w:val="20"/>
              </w:rPr>
              <w:t>68</w:t>
            </w:r>
          </w:p>
        </w:tc>
      </w:tr>
      <w:tr w:rsidRPr="00871E51" w:rsidR="00067362" w:rsidTr="007F64F4" w14:paraId="2CADE22E"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17A1101" w14:textId="213211A6">
            <w:pPr>
              <w:widowControl w:val="0"/>
              <w:rPr>
                <w:rFonts w:eastAsia="Calibri"/>
                <w:sz w:val="20"/>
                <w:szCs w:val="20"/>
              </w:rPr>
            </w:pPr>
            <w:r w:rsidRPr="00871E51">
              <w:rPr>
                <w:rFonts w:eastAsia="Calibri"/>
                <w:sz w:val="20"/>
                <w:szCs w:val="20"/>
              </w:rPr>
              <w:t>Cost to Submit Quality Data (@ computer systems analyst’s labor rate of $9</w:t>
            </w:r>
            <w:r w:rsidR="00E65A75">
              <w:rPr>
                <w:rFonts w:eastAsia="Calibri"/>
                <w:sz w:val="20"/>
                <w:szCs w:val="20"/>
              </w:rPr>
              <w:t>8</w:t>
            </w:r>
            <w:r w:rsidRPr="00871E51">
              <w:rPr>
                <w:rFonts w:eastAsia="Calibri"/>
                <w:sz w:val="20"/>
                <w:szCs w:val="20"/>
              </w:rPr>
              <w:t>.2</w:t>
            </w:r>
            <w:r w:rsidR="00E65A75">
              <w:rPr>
                <w:rFonts w:eastAsia="Calibri"/>
                <w:sz w:val="20"/>
                <w:szCs w:val="20"/>
              </w:rPr>
              <w:t>8</w:t>
            </w:r>
            <w:r w:rsidRPr="00871E51">
              <w:rPr>
                <w:rFonts w:eastAsia="Calibri"/>
                <w:sz w:val="20"/>
                <w:szCs w:val="20"/>
              </w:rPr>
              <w:t>/</w:t>
            </w:r>
            <w:proofErr w:type="spellStart"/>
            <w:r w:rsidRPr="00871E51">
              <w:rPr>
                <w:rFonts w:eastAsia="Calibri"/>
                <w:sz w:val="20"/>
                <w:szCs w:val="20"/>
              </w:rPr>
              <w:t>hr</w:t>
            </w:r>
            <w:proofErr w:type="spellEnd"/>
            <w:r w:rsidRPr="00871E51">
              <w:rPr>
                <w:rFonts w:eastAsia="Calibri"/>
                <w:sz w:val="20"/>
                <w:szCs w:val="20"/>
              </w:rPr>
              <w:t xml:space="preserve"> @ varying times) (k)</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2EB42EE" w14:textId="46D4ECE6">
            <w:pPr>
              <w:widowControl w:val="0"/>
              <w:jc w:val="right"/>
              <w:rPr>
                <w:rFonts w:eastAsia="Calibri"/>
                <w:sz w:val="20"/>
                <w:szCs w:val="20"/>
              </w:rPr>
            </w:pPr>
            <w:r w:rsidRPr="00871E51">
              <w:rPr>
                <w:sz w:val="20"/>
                <w:szCs w:val="20"/>
              </w:rPr>
              <w:t>$1</w:t>
            </w:r>
            <w:r w:rsidR="00A54462">
              <w:rPr>
                <w:sz w:val="20"/>
                <w:szCs w:val="20"/>
              </w:rPr>
              <w:t>30</w:t>
            </w:r>
            <w:r w:rsidRPr="00871E51">
              <w:rPr>
                <w:sz w:val="20"/>
                <w:szCs w:val="20"/>
              </w:rPr>
              <w:t>.</w:t>
            </w:r>
            <w:r w:rsidR="00A54462">
              <w:rPr>
                <w:sz w:val="20"/>
                <w:szCs w:val="20"/>
              </w:rPr>
              <w:t>71</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6739022" w14:textId="64850FD2">
            <w:pPr>
              <w:widowControl w:val="0"/>
              <w:jc w:val="right"/>
              <w:rPr>
                <w:rFonts w:eastAsia="Calibri"/>
                <w:sz w:val="20"/>
                <w:szCs w:val="20"/>
              </w:rPr>
            </w:pPr>
            <w:r w:rsidRPr="00871E51">
              <w:rPr>
                <w:sz w:val="20"/>
                <w:szCs w:val="20"/>
              </w:rPr>
              <w:t>$19</w:t>
            </w:r>
            <w:r w:rsidR="00970D3C">
              <w:rPr>
                <w:sz w:val="20"/>
                <w:szCs w:val="20"/>
              </w:rPr>
              <w:t>6</w:t>
            </w:r>
            <w:r w:rsidRPr="00871E51">
              <w:rPr>
                <w:sz w:val="20"/>
                <w:szCs w:val="20"/>
              </w:rPr>
              <w:t>.</w:t>
            </w:r>
            <w:r w:rsidR="00970D3C">
              <w:rPr>
                <w:sz w:val="20"/>
                <w:szCs w:val="20"/>
              </w:rPr>
              <w:t>56</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A6D42F0" w14:textId="68115297">
            <w:pPr>
              <w:widowControl w:val="0"/>
              <w:jc w:val="right"/>
              <w:rPr>
                <w:rFonts w:eastAsia="Calibri"/>
                <w:sz w:val="20"/>
                <w:szCs w:val="20"/>
              </w:rPr>
            </w:pPr>
            <w:r w:rsidRPr="00871E51">
              <w:rPr>
                <w:sz w:val="20"/>
                <w:szCs w:val="20"/>
              </w:rPr>
              <w:t>$47</w:t>
            </w:r>
            <w:r w:rsidR="008F437B">
              <w:rPr>
                <w:sz w:val="20"/>
                <w:szCs w:val="20"/>
              </w:rPr>
              <w:t>1</w:t>
            </w:r>
            <w:r w:rsidRPr="00871E51">
              <w:rPr>
                <w:sz w:val="20"/>
                <w:szCs w:val="20"/>
              </w:rPr>
              <w:t>.</w:t>
            </w:r>
            <w:r w:rsidR="008F437B">
              <w:rPr>
                <w:sz w:val="20"/>
                <w:szCs w:val="20"/>
              </w:rPr>
              <w:t>74</w:t>
            </w:r>
            <w:r w:rsidRPr="00871E51">
              <w:rPr>
                <w:sz w:val="20"/>
                <w:szCs w:val="20"/>
              </w:rPr>
              <w:t xml:space="preserve"> </w:t>
            </w:r>
          </w:p>
        </w:tc>
      </w:tr>
      <w:tr w:rsidRPr="00871E51" w:rsidR="00067362" w:rsidTr="007F64F4" w14:paraId="048DB073"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25CAD541" w14:textId="69D6E07D">
            <w:pPr>
              <w:widowControl w:val="0"/>
              <w:rPr>
                <w:rFonts w:eastAsia="Calibri"/>
                <w:sz w:val="20"/>
                <w:szCs w:val="20"/>
              </w:rPr>
            </w:pPr>
            <w:r w:rsidRPr="00871E51">
              <w:rPr>
                <w:rFonts w:eastAsia="Calibri"/>
                <w:sz w:val="20"/>
                <w:szCs w:val="20"/>
              </w:rPr>
              <w:t>Cost to Review Measure Specifications (@ medical and health services manager's labor rate of $11</w:t>
            </w:r>
            <w:r w:rsidR="00E65A75">
              <w:rPr>
                <w:rFonts w:eastAsia="Calibri"/>
                <w:sz w:val="20"/>
                <w:szCs w:val="20"/>
              </w:rPr>
              <w:t>5</w:t>
            </w:r>
            <w:r w:rsidRPr="00871E51">
              <w:rPr>
                <w:rFonts w:eastAsia="Calibri"/>
                <w:sz w:val="20"/>
                <w:szCs w:val="20"/>
              </w:rPr>
              <w:t>.2</w:t>
            </w:r>
            <w:r w:rsidR="00E65A75">
              <w:rPr>
                <w:rFonts w:eastAsia="Calibri"/>
                <w:sz w:val="20"/>
                <w:szCs w:val="20"/>
              </w:rPr>
              <w:t>2</w:t>
            </w:r>
            <w:r w:rsidRPr="00871E51">
              <w:rPr>
                <w:rFonts w:eastAsia="Calibri"/>
                <w:sz w:val="20"/>
                <w:szCs w:val="20"/>
              </w:rPr>
              <w:t>/</w:t>
            </w:r>
            <w:proofErr w:type="spellStart"/>
            <w:r w:rsidRPr="00871E51">
              <w:rPr>
                <w:rFonts w:eastAsia="Calibri"/>
                <w:sz w:val="20"/>
                <w:szCs w:val="20"/>
              </w:rPr>
              <w:t>hr</w:t>
            </w:r>
            <w:proofErr w:type="spellEnd"/>
            <w:r w:rsidRPr="00871E51">
              <w:rPr>
                <w:rFonts w:eastAsia="Calibri"/>
                <w:sz w:val="20"/>
                <w:szCs w:val="20"/>
              </w:rPr>
              <w:t>) (l)</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163F095" w14:textId="03B4DF10">
            <w:pPr>
              <w:widowControl w:val="0"/>
              <w:jc w:val="right"/>
              <w:rPr>
                <w:rFonts w:eastAsia="Calibri"/>
                <w:sz w:val="20"/>
                <w:szCs w:val="20"/>
              </w:rPr>
            </w:pPr>
            <w:r w:rsidRPr="00871E51">
              <w:rPr>
                <w:sz w:val="20"/>
                <w:szCs w:val="20"/>
              </w:rPr>
              <w:t>$15</w:t>
            </w:r>
            <w:r w:rsidR="00A54462">
              <w:rPr>
                <w:sz w:val="20"/>
                <w:szCs w:val="20"/>
              </w:rPr>
              <w:t>3</w:t>
            </w:r>
            <w:r w:rsidRPr="00871E51">
              <w:rPr>
                <w:sz w:val="20"/>
                <w:szCs w:val="20"/>
              </w:rPr>
              <w:t>.</w:t>
            </w:r>
            <w:r w:rsidR="00A54462">
              <w:rPr>
                <w:sz w:val="20"/>
                <w:szCs w:val="20"/>
              </w:rPr>
              <w:t>2</w:t>
            </w:r>
            <w:r w:rsidRPr="00871E51">
              <w:rPr>
                <w:sz w:val="20"/>
                <w:szCs w:val="20"/>
              </w:rPr>
              <w:t xml:space="preserve">4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2117965" w14:textId="4CDE1B17">
            <w:pPr>
              <w:widowControl w:val="0"/>
              <w:jc w:val="right"/>
              <w:rPr>
                <w:rFonts w:eastAsia="Calibri"/>
                <w:sz w:val="20"/>
                <w:szCs w:val="20"/>
              </w:rPr>
            </w:pPr>
            <w:r w:rsidRPr="00871E51">
              <w:rPr>
                <w:sz w:val="20"/>
                <w:szCs w:val="20"/>
              </w:rPr>
              <w:t>$15</w:t>
            </w:r>
            <w:r w:rsidR="00970D3C">
              <w:rPr>
                <w:sz w:val="20"/>
                <w:szCs w:val="20"/>
              </w:rPr>
              <w:t>3.24</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36AD583" w14:textId="53EAC6B9">
            <w:pPr>
              <w:widowControl w:val="0"/>
              <w:jc w:val="right"/>
              <w:rPr>
                <w:rFonts w:eastAsia="Calibri"/>
                <w:sz w:val="20"/>
                <w:szCs w:val="20"/>
              </w:rPr>
            </w:pPr>
            <w:r w:rsidRPr="00871E51">
              <w:rPr>
                <w:sz w:val="20"/>
                <w:szCs w:val="20"/>
              </w:rPr>
              <w:t>$2</w:t>
            </w:r>
            <w:r w:rsidR="008F437B">
              <w:rPr>
                <w:sz w:val="20"/>
                <w:szCs w:val="20"/>
              </w:rPr>
              <w:t>30</w:t>
            </w:r>
            <w:r w:rsidRPr="00871E51">
              <w:rPr>
                <w:sz w:val="20"/>
                <w:szCs w:val="20"/>
              </w:rPr>
              <w:t>.4</w:t>
            </w:r>
            <w:r w:rsidR="008F437B">
              <w:rPr>
                <w:sz w:val="20"/>
                <w:szCs w:val="20"/>
              </w:rPr>
              <w:t>4</w:t>
            </w:r>
            <w:r w:rsidRPr="00871E51">
              <w:rPr>
                <w:sz w:val="20"/>
                <w:szCs w:val="20"/>
              </w:rPr>
              <w:t xml:space="preserve"> </w:t>
            </w:r>
          </w:p>
        </w:tc>
      </w:tr>
      <w:tr w:rsidRPr="00871E51" w:rsidR="00067362" w:rsidTr="007F64F4" w14:paraId="00DA64C4"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4AB6E58C" w14:textId="73409713">
            <w:pPr>
              <w:widowControl w:val="0"/>
              <w:rPr>
                <w:rFonts w:eastAsia="Calibri"/>
                <w:sz w:val="20"/>
                <w:szCs w:val="20"/>
              </w:rPr>
            </w:pPr>
            <w:r w:rsidRPr="00871E51">
              <w:rPr>
                <w:rFonts w:eastAsia="Calibri"/>
                <w:sz w:val="20"/>
                <w:szCs w:val="20"/>
              </w:rPr>
              <w:t>Cost to Review Measure Specifications (@ computer systems analyst’s labor rate of $9</w:t>
            </w:r>
            <w:r w:rsidR="00E65A75">
              <w:rPr>
                <w:rFonts w:eastAsia="Calibri"/>
                <w:sz w:val="20"/>
                <w:szCs w:val="20"/>
              </w:rPr>
              <w:t>8</w:t>
            </w:r>
            <w:r w:rsidRPr="00871E51">
              <w:rPr>
                <w:rFonts w:eastAsia="Calibri"/>
                <w:sz w:val="20"/>
                <w:szCs w:val="20"/>
              </w:rPr>
              <w:t>.2</w:t>
            </w:r>
            <w:r w:rsidR="00E65A75">
              <w:rPr>
                <w:rFonts w:eastAsia="Calibri"/>
                <w:sz w:val="20"/>
                <w:szCs w:val="20"/>
              </w:rPr>
              <w:t>8</w:t>
            </w:r>
            <w:r w:rsidRPr="00871E51">
              <w:rPr>
                <w:rFonts w:eastAsia="Calibri"/>
                <w:sz w:val="20"/>
                <w:szCs w:val="20"/>
              </w:rPr>
              <w:t>/</w:t>
            </w:r>
            <w:proofErr w:type="spellStart"/>
            <w:r w:rsidRPr="00871E51">
              <w:rPr>
                <w:rFonts w:eastAsia="Calibri"/>
                <w:sz w:val="20"/>
                <w:szCs w:val="20"/>
              </w:rPr>
              <w:t>hr</w:t>
            </w:r>
            <w:proofErr w:type="spellEnd"/>
            <w:r w:rsidRPr="00871E51">
              <w:rPr>
                <w:rFonts w:eastAsia="Calibri"/>
                <w:sz w:val="20"/>
                <w:szCs w:val="20"/>
              </w:rPr>
              <w:t>) (m)</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6591076B" w14:textId="20F23948">
            <w:pPr>
              <w:widowControl w:val="0"/>
              <w:jc w:val="right"/>
              <w:rPr>
                <w:rFonts w:eastAsia="Calibri"/>
                <w:sz w:val="20"/>
                <w:szCs w:val="20"/>
              </w:rPr>
            </w:pPr>
            <w:r w:rsidRPr="00871E51">
              <w:rPr>
                <w:sz w:val="20"/>
                <w:szCs w:val="20"/>
              </w:rPr>
              <w:t>$6</w:t>
            </w:r>
            <w:r w:rsidR="00A54462">
              <w:rPr>
                <w:sz w:val="20"/>
                <w:szCs w:val="20"/>
              </w:rPr>
              <w:t>4</w:t>
            </w:r>
            <w:r w:rsidRPr="00871E51">
              <w:rPr>
                <w:sz w:val="20"/>
                <w:szCs w:val="20"/>
              </w:rPr>
              <w:t>.8</w:t>
            </w:r>
            <w:r w:rsidR="00A54462">
              <w:rPr>
                <w:sz w:val="20"/>
                <w:szCs w:val="20"/>
              </w:rPr>
              <w:t>7</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7D692BA" w14:textId="2A314EFF">
            <w:pPr>
              <w:widowControl w:val="0"/>
              <w:jc w:val="right"/>
              <w:rPr>
                <w:rFonts w:eastAsia="Calibri"/>
                <w:sz w:val="20"/>
                <w:szCs w:val="20"/>
              </w:rPr>
            </w:pPr>
            <w:r w:rsidRPr="00871E51">
              <w:rPr>
                <w:sz w:val="20"/>
                <w:szCs w:val="20"/>
              </w:rPr>
              <w:t>$6</w:t>
            </w:r>
            <w:r w:rsidR="00970D3C">
              <w:rPr>
                <w:sz w:val="20"/>
                <w:szCs w:val="20"/>
              </w:rPr>
              <w:t>4</w:t>
            </w:r>
            <w:r w:rsidRPr="00871E51">
              <w:rPr>
                <w:sz w:val="20"/>
                <w:szCs w:val="20"/>
              </w:rPr>
              <w:t>.8</w:t>
            </w:r>
            <w:r w:rsidR="00970D3C">
              <w:rPr>
                <w:sz w:val="20"/>
                <w:szCs w:val="20"/>
              </w:rPr>
              <w:t>7</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DC7B0E7" w14:textId="49021762">
            <w:pPr>
              <w:widowControl w:val="0"/>
              <w:jc w:val="right"/>
              <w:rPr>
                <w:rFonts w:eastAsia="Calibri"/>
                <w:sz w:val="20"/>
                <w:szCs w:val="20"/>
              </w:rPr>
            </w:pPr>
            <w:r w:rsidRPr="00871E51">
              <w:rPr>
                <w:sz w:val="20"/>
                <w:szCs w:val="20"/>
              </w:rPr>
              <w:t>$6</w:t>
            </w:r>
            <w:r w:rsidR="008F437B">
              <w:rPr>
                <w:sz w:val="20"/>
                <w:szCs w:val="20"/>
              </w:rPr>
              <w:t>4</w:t>
            </w:r>
            <w:r w:rsidRPr="00871E51">
              <w:rPr>
                <w:sz w:val="20"/>
                <w:szCs w:val="20"/>
              </w:rPr>
              <w:t>.8</w:t>
            </w:r>
            <w:r w:rsidR="008F437B">
              <w:rPr>
                <w:sz w:val="20"/>
                <w:szCs w:val="20"/>
              </w:rPr>
              <w:t>7</w:t>
            </w:r>
            <w:r w:rsidRPr="00871E51">
              <w:rPr>
                <w:sz w:val="20"/>
                <w:szCs w:val="20"/>
              </w:rPr>
              <w:t xml:space="preserve"> </w:t>
            </w:r>
          </w:p>
        </w:tc>
      </w:tr>
      <w:tr w:rsidRPr="00871E51" w:rsidR="00067362" w:rsidTr="007F64F4" w14:paraId="6BB7509E"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55585452" w14:textId="0FC343DB">
            <w:pPr>
              <w:widowControl w:val="0"/>
              <w:rPr>
                <w:rFonts w:eastAsia="Calibri"/>
                <w:sz w:val="20"/>
                <w:szCs w:val="20"/>
              </w:rPr>
            </w:pPr>
            <w:r w:rsidRPr="00871E51">
              <w:rPr>
                <w:rFonts w:eastAsia="Calibri"/>
                <w:sz w:val="20"/>
                <w:szCs w:val="20"/>
              </w:rPr>
              <w:t>Cost to Review Measure Specifications (@ LPN's labor rate of $4</w:t>
            </w:r>
            <w:r w:rsidR="00E65A75">
              <w:rPr>
                <w:rFonts w:eastAsia="Calibri"/>
                <w:sz w:val="20"/>
                <w:szCs w:val="20"/>
              </w:rPr>
              <w:t>9</w:t>
            </w:r>
            <w:r w:rsidRPr="00871E51">
              <w:rPr>
                <w:rFonts w:eastAsia="Calibri"/>
                <w:sz w:val="20"/>
                <w:szCs w:val="20"/>
              </w:rPr>
              <w:t>.</w:t>
            </w:r>
            <w:r w:rsidR="00E65A75">
              <w:rPr>
                <w:rFonts w:eastAsia="Calibri"/>
                <w:sz w:val="20"/>
                <w:szCs w:val="20"/>
              </w:rPr>
              <w:t>8</w:t>
            </w:r>
            <w:r w:rsidRPr="00871E51">
              <w:rPr>
                <w:rFonts w:eastAsia="Calibri"/>
                <w:sz w:val="20"/>
                <w:szCs w:val="20"/>
              </w:rPr>
              <w:t>6/</w:t>
            </w:r>
            <w:proofErr w:type="spellStart"/>
            <w:r w:rsidRPr="00871E51">
              <w:rPr>
                <w:rFonts w:eastAsia="Calibri"/>
                <w:sz w:val="20"/>
                <w:szCs w:val="20"/>
              </w:rPr>
              <w:t>hr</w:t>
            </w:r>
            <w:proofErr w:type="spellEnd"/>
            <w:r w:rsidRPr="00871E51">
              <w:rPr>
                <w:rFonts w:eastAsia="Calibri"/>
                <w:sz w:val="20"/>
                <w:szCs w:val="20"/>
              </w:rPr>
              <w:t>) (n)</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8A7B292" w14:textId="455231F4">
            <w:pPr>
              <w:widowControl w:val="0"/>
              <w:jc w:val="right"/>
              <w:rPr>
                <w:rFonts w:eastAsia="Calibri"/>
                <w:sz w:val="20"/>
                <w:szCs w:val="20"/>
              </w:rPr>
            </w:pPr>
            <w:r w:rsidRPr="00871E51">
              <w:rPr>
                <w:sz w:val="20"/>
                <w:szCs w:val="20"/>
              </w:rPr>
              <w:t>$3</w:t>
            </w:r>
            <w:r w:rsidR="00A54462">
              <w:rPr>
                <w:sz w:val="20"/>
                <w:szCs w:val="20"/>
              </w:rPr>
              <w:t>2</w:t>
            </w:r>
            <w:r w:rsidRPr="00871E51">
              <w:rPr>
                <w:sz w:val="20"/>
                <w:szCs w:val="20"/>
              </w:rPr>
              <w:t>.9</w:t>
            </w:r>
            <w:r w:rsidR="00A54462">
              <w:rPr>
                <w:sz w:val="20"/>
                <w:szCs w:val="20"/>
              </w:rPr>
              <w:t>1</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47A55BF" w14:textId="7E0B29C3">
            <w:pPr>
              <w:widowControl w:val="0"/>
              <w:jc w:val="right"/>
              <w:rPr>
                <w:rFonts w:eastAsia="Calibri"/>
                <w:sz w:val="20"/>
                <w:szCs w:val="20"/>
              </w:rPr>
            </w:pPr>
            <w:r w:rsidRPr="00871E51">
              <w:rPr>
                <w:sz w:val="20"/>
                <w:szCs w:val="20"/>
              </w:rPr>
              <w:t>$3</w:t>
            </w:r>
            <w:r w:rsidR="00970D3C">
              <w:rPr>
                <w:sz w:val="20"/>
                <w:szCs w:val="20"/>
              </w:rPr>
              <w:t>2</w:t>
            </w:r>
            <w:r w:rsidRPr="00871E51">
              <w:rPr>
                <w:sz w:val="20"/>
                <w:szCs w:val="20"/>
              </w:rPr>
              <w:t>.9</w:t>
            </w:r>
            <w:r w:rsidR="00970D3C">
              <w:rPr>
                <w:sz w:val="20"/>
                <w:szCs w:val="20"/>
              </w:rPr>
              <w:t>1</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34383789" w14:textId="0B16C466">
            <w:pPr>
              <w:widowControl w:val="0"/>
              <w:jc w:val="right"/>
              <w:rPr>
                <w:rFonts w:eastAsia="Calibri"/>
                <w:sz w:val="20"/>
                <w:szCs w:val="20"/>
              </w:rPr>
            </w:pPr>
            <w:r w:rsidRPr="00871E51">
              <w:rPr>
                <w:sz w:val="20"/>
                <w:szCs w:val="20"/>
              </w:rPr>
              <w:t>$3</w:t>
            </w:r>
            <w:r w:rsidR="008F437B">
              <w:rPr>
                <w:sz w:val="20"/>
                <w:szCs w:val="20"/>
              </w:rPr>
              <w:t>2</w:t>
            </w:r>
            <w:r w:rsidRPr="00871E51">
              <w:rPr>
                <w:sz w:val="20"/>
                <w:szCs w:val="20"/>
              </w:rPr>
              <w:t>.9</w:t>
            </w:r>
            <w:r w:rsidR="008F437B">
              <w:rPr>
                <w:sz w:val="20"/>
                <w:szCs w:val="20"/>
              </w:rPr>
              <w:t>1</w:t>
            </w:r>
            <w:r w:rsidRPr="00871E51">
              <w:rPr>
                <w:sz w:val="20"/>
                <w:szCs w:val="20"/>
              </w:rPr>
              <w:t xml:space="preserve"> </w:t>
            </w:r>
          </w:p>
        </w:tc>
      </w:tr>
      <w:tr w:rsidRPr="00871E51" w:rsidR="00067362" w:rsidTr="007F64F4" w14:paraId="011C862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729CB308" w14:textId="5BF13B72">
            <w:pPr>
              <w:widowControl w:val="0"/>
              <w:rPr>
                <w:rFonts w:eastAsia="Calibri"/>
                <w:sz w:val="20"/>
                <w:szCs w:val="20"/>
              </w:rPr>
            </w:pPr>
            <w:r w:rsidRPr="00871E51">
              <w:rPr>
                <w:rFonts w:eastAsia="Calibri"/>
                <w:sz w:val="20"/>
                <w:szCs w:val="20"/>
              </w:rPr>
              <w:t>Cost to Review Measure Specifications (@ billing clerk’s labor rate of $4</w:t>
            </w:r>
            <w:r w:rsidR="00B66052">
              <w:rPr>
                <w:rFonts w:eastAsia="Calibri"/>
                <w:sz w:val="20"/>
                <w:szCs w:val="20"/>
              </w:rPr>
              <w:t>1</w:t>
            </w:r>
            <w:r w:rsidRPr="00871E51">
              <w:rPr>
                <w:rFonts w:eastAsia="Calibri"/>
                <w:sz w:val="20"/>
                <w:szCs w:val="20"/>
              </w:rPr>
              <w:t>.</w:t>
            </w:r>
            <w:r w:rsidR="00B66052">
              <w:rPr>
                <w:rFonts w:eastAsia="Calibri"/>
                <w:sz w:val="20"/>
                <w:szCs w:val="20"/>
              </w:rPr>
              <w:t>1</w:t>
            </w:r>
            <w:r w:rsidRPr="00871E51">
              <w:rPr>
                <w:rFonts w:eastAsia="Calibri"/>
                <w:sz w:val="20"/>
                <w:szCs w:val="20"/>
              </w:rPr>
              <w:t>0/</w:t>
            </w:r>
            <w:proofErr w:type="spellStart"/>
            <w:r w:rsidRPr="00871E51">
              <w:rPr>
                <w:rFonts w:eastAsia="Calibri"/>
                <w:sz w:val="20"/>
                <w:szCs w:val="20"/>
              </w:rPr>
              <w:t>hr</w:t>
            </w:r>
            <w:proofErr w:type="spellEnd"/>
            <w:r w:rsidRPr="00871E51">
              <w:rPr>
                <w:rFonts w:eastAsia="Calibri"/>
                <w:sz w:val="20"/>
                <w:szCs w:val="20"/>
              </w:rPr>
              <w:t>) (o)</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008D4102" w14:textId="3823EA38">
            <w:pPr>
              <w:widowControl w:val="0"/>
              <w:jc w:val="right"/>
              <w:rPr>
                <w:rFonts w:eastAsia="Calibri"/>
                <w:sz w:val="20"/>
                <w:szCs w:val="20"/>
              </w:rPr>
            </w:pPr>
            <w:r w:rsidRPr="00871E51">
              <w:rPr>
                <w:sz w:val="20"/>
                <w:szCs w:val="20"/>
              </w:rPr>
              <w:t>$2</w:t>
            </w:r>
            <w:r w:rsidR="00A54462">
              <w:rPr>
                <w:sz w:val="20"/>
                <w:szCs w:val="20"/>
              </w:rPr>
              <w:t>7</w:t>
            </w:r>
            <w:r w:rsidRPr="00871E51">
              <w:rPr>
                <w:sz w:val="20"/>
                <w:szCs w:val="20"/>
              </w:rPr>
              <w:t>.1</w:t>
            </w:r>
            <w:r w:rsidR="00A54462">
              <w:rPr>
                <w:sz w:val="20"/>
                <w:szCs w:val="20"/>
              </w:rPr>
              <w:t>2</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46038A05" w14:textId="48332E64">
            <w:pPr>
              <w:widowControl w:val="0"/>
              <w:jc w:val="right"/>
              <w:rPr>
                <w:rFonts w:eastAsia="Calibri"/>
                <w:sz w:val="20"/>
                <w:szCs w:val="20"/>
              </w:rPr>
            </w:pPr>
            <w:r w:rsidRPr="00871E51">
              <w:rPr>
                <w:sz w:val="20"/>
                <w:szCs w:val="20"/>
              </w:rPr>
              <w:t>$2</w:t>
            </w:r>
            <w:r w:rsidR="00970D3C">
              <w:rPr>
                <w:sz w:val="20"/>
                <w:szCs w:val="20"/>
              </w:rPr>
              <w:t>7</w:t>
            </w:r>
            <w:r w:rsidRPr="00871E51">
              <w:rPr>
                <w:sz w:val="20"/>
                <w:szCs w:val="20"/>
              </w:rPr>
              <w:t>.1</w:t>
            </w:r>
            <w:r w:rsidR="00970D3C">
              <w:rPr>
                <w:sz w:val="20"/>
                <w:szCs w:val="20"/>
              </w:rPr>
              <w:t>2</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0D2C6AD" w14:textId="6177FB06">
            <w:pPr>
              <w:widowControl w:val="0"/>
              <w:jc w:val="right"/>
              <w:rPr>
                <w:rFonts w:eastAsia="Calibri"/>
                <w:sz w:val="20"/>
                <w:szCs w:val="20"/>
              </w:rPr>
            </w:pPr>
            <w:r w:rsidRPr="00871E51">
              <w:rPr>
                <w:sz w:val="20"/>
                <w:szCs w:val="20"/>
              </w:rPr>
              <w:t>$2</w:t>
            </w:r>
            <w:r w:rsidR="00200243">
              <w:rPr>
                <w:sz w:val="20"/>
                <w:szCs w:val="20"/>
              </w:rPr>
              <w:t>7</w:t>
            </w:r>
            <w:r w:rsidRPr="00871E51">
              <w:rPr>
                <w:sz w:val="20"/>
                <w:szCs w:val="20"/>
              </w:rPr>
              <w:t>.1</w:t>
            </w:r>
            <w:r w:rsidR="00200243">
              <w:rPr>
                <w:sz w:val="20"/>
                <w:szCs w:val="20"/>
              </w:rPr>
              <w:t>2</w:t>
            </w:r>
            <w:r w:rsidRPr="00871E51">
              <w:rPr>
                <w:sz w:val="20"/>
                <w:szCs w:val="20"/>
              </w:rPr>
              <w:t xml:space="preserve"> </w:t>
            </w:r>
          </w:p>
        </w:tc>
      </w:tr>
      <w:tr w:rsidRPr="00871E51" w:rsidR="00067362" w:rsidTr="007F64F4" w14:paraId="41457864"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3E5385EC" w14:textId="524537DF">
            <w:pPr>
              <w:widowControl w:val="0"/>
              <w:rPr>
                <w:rFonts w:eastAsia="Calibri"/>
                <w:sz w:val="20"/>
                <w:szCs w:val="20"/>
              </w:rPr>
            </w:pPr>
            <w:r w:rsidRPr="00871E51">
              <w:rPr>
                <w:rFonts w:eastAsia="Calibri"/>
                <w:sz w:val="20"/>
                <w:szCs w:val="20"/>
              </w:rPr>
              <w:t>Cost to Review Measure Specifications (@ physician’s labor rate of $2</w:t>
            </w:r>
            <w:r w:rsidR="00C919C4">
              <w:rPr>
                <w:rFonts w:eastAsia="Calibri"/>
                <w:sz w:val="20"/>
                <w:szCs w:val="20"/>
              </w:rPr>
              <w:t>59</w:t>
            </w:r>
            <w:r>
              <w:rPr>
                <w:rFonts w:eastAsia="Calibri"/>
                <w:sz w:val="20"/>
                <w:szCs w:val="20"/>
              </w:rPr>
              <w:t>.</w:t>
            </w:r>
            <w:r w:rsidR="00C919C4">
              <w:rPr>
                <w:rFonts w:eastAsia="Calibri"/>
                <w:sz w:val="20"/>
                <w:szCs w:val="20"/>
              </w:rPr>
              <w:t>98</w:t>
            </w:r>
            <w:r w:rsidRPr="00871E51">
              <w:rPr>
                <w:rFonts w:eastAsia="Calibri"/>
                <w:sz w:val="20"/>
                <w:szCs w:val="20"/>
              </w:rPr>
              <w:t>/</w:t>
            </w:r>
            <w:proofErr w:type="spellStart"/>
            <w:r w:rsidRPr="00871E51">
              <w:rPr>
                <w:rFonts w:eastAsia="Calibri"/>
                <w:sz w:val="20"/>
                <w:szCs w:val="20"/>
              </w:rPr>
              <w:t>hr</w:t>
            </w:r>
            <w:proofErr w:type="spellEnd"/>
            <w:r w:rsidRPr="00871E51">
              <w:rPr>
                <w:rFonts w:eastAsia="Calibri"/>
                <w:sz w:val="20"/>
                <w:szCs w:val="20"/>
              </w:rPr>
              <w:t>) (p)</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5457CF6" w14:textId="139744EA">
            <w:pPr>
              <w:widowControl w:val="0"/>
              <w:jc w:val="right"/>
              <w:rPr>
                <w:rFonts w:eastAsia="Calibri"/>
                <w:sz w:val="20"/>
                <w:szCs w:val="20"/>
              </w:rPr>
            </w:pPr>
            <w:r w:rsidRPr="00871E51">
              <w:rPr>
                <w:sz w:val="20"/>
                <w:szCs w:val="20"/>
              </w:rPr>
              <w:t>$1</w:t>
            </w:r>
            <w:r w:rsidR="00A54462">
              <w:rPr>
                <w:sz w:val="20"/>
                <w:szCs w:val="20"/>
              </w:rPr>
              <w:t>71</w:t>
            </w:r>
            <w:r>
              <w:rPr>
                <w:sz w:val="20"/>
                <w:szCs w:val="20"/>
              </w:rPr>
              <w:t>.</w:t>
            </w:r>
            <w:r w:rsidR="00A54462">
              <w:rPr>
                <w:sz w:val="20"/>
                <w:szCs w:val="20"/>
              </w:rPr>
              <w:t>59</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5D7C095" w14:textId="5E8F92F3">
            <w:pPr>
              <w:widowControl w:val="0"/>
              <w:jc w:val="right"/>
              <w:rPr>
                <w:rFonts w:eastAsia="Calibri"/>
                <w:sz w:val="20"/>
                <w:szCs w:val="20"/>
              </w:rPr>
            </w:pPr>
            <w:r w:rsidRPr="00871E51">
              <w:rPr>
                <w:sz w:val="20"/>
                <w:szCs w:val="20"/>
              </w:rPr>
              <w:t>$1</w:t>
            </w:r>
            <w:r w:rsidR="007159EA">
              <w:rPr>
                <w:sz w:val="20"/>
                <w:szCs w:val="20"/>
              </w:rPr>
              <w:t>71</w:t>
            </w:r>
            <w:r>
              <w:rPr>
                <w:sz w:val="20"/>
                <w:szCs w:val="20"/>
              </w:rPr>
              <w:t>.</w:t>
            </w:r>
            <w:r w:rsidR="007159EA">
              <w:rPr>
                <w:sz w:val="20"/>
                <w:szCs w:val="20"/>
              </w:rPr>
              <w:t>59</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7103FE73" w14:textId="78CBF878">
            <w:pPr>
              <w:widowControl w:val="0"/>
              <w:jc w:val="right"/>
              <w:rPr>
                <w:rFonts w:eastAsia="Calibri"/>
                <w:sz w:val="20"/>
                <w:szCs w:val="20"/>
              </w:rPr>
            </w:pPr>
            <w:r w:rsidRPr="00871E51">
              <w:rPr>
                <w:sz w:val="20"/>
                <w:szCs w:val="20"/>
              </w:rPr>
              <w:t>$1</w:t>
            </w:r>
            <w:r w:rsidR="00200243">
              <w:rPr>
                <w:sz w:val="20"/>
                <w:szCs w:val="20"/>
              </w:rPr>
              <w:t>71</w:t>
            </w:r>
            <w:r>
              <w:rPr>
                <w:sz w:val="20"/>
                <w:szCs w:val="20"/>
              </w:rPr>
              <w:t>.</w:t>
            </w:r>
            <w:r w:rsidR="00200243">
              <w:rPr>
                <w:sz w:val="20"/>
                <w:szCs w:val="20"/>
              </w:rPr>
              <w:t>59</w:t>
            </w:r>
            <w:r w:rsidRPr="00871E51">
              <w:rPr>
                <w:sz w:val="20"/>
                <w:szCs w:val="20"/>
              </w:rPr>
              <w:t xml:space="preserve"> </w:t>
            </w:r>
          </w:p>
        </w:tc>
      </w:tr>
      <w:tr w:rsidRPr="00871E51" w:rsidR="00067362" w:rsidTr="007F64F4" w14:paraId="3D4301B9" w14:textId="77777777">
        <w:trPr>
          <w:jc w:val="center"/>
        </w:trPr>
        <w:tc>
          <w:tcPr>
            <w:tcW w:w="6210" w:type="dxa"/>
            <w:tcBorders>
              <w:top w:val="single" w:color="auto" w:sz="4" w:space="0"/>
              <w:left w:val="single" w:color="auto" w:sz="4" w:space="0"/>
              <w:bottom w:val="single" w:color="auto" w:sz="4" w:space="0"/>
              <w:right w:val="single" w:color="auto" w:sz="4" w:space="0"/>
            </w:tcBorders>
            <w:hideMark/>
          </w:tcPr>
          <w:p w:rsidRPr="00871E51" w:rsidR="00067362" w:rsidP="007F64F4" w:rsidRDefault="00067362" w14:paraId="21285C7C" w14:textId="73423FDE">
            <w:pPr>
              <w:widowControl w:val="0"/>
              <w:rPr>
                <w:rFonts w:eastAsia="Calibri"/>
                <w:sz w:val="20"/>
                <w:szCs w:val="20"/>
              </w:rPr>
            </w:pPr>
            <w:r w:rsidRPr="00871E51">
              <w:rPr>
                <w:rFonts w:eastAsia="Calibri"/>
                <w:sz w:val="20"/>
                <w:szCs w:val="20"/>
              </w:rPr>
              <w:t>Total Annual Cost Per Clinician (q) = (k) + (l) + (m) + (n) + (o) + (p)</w:t>
            </w:r>
          </w:p>
        </w:tc>
        <w:tc>
          <w:tcPr>
            <w:tcW w:w="117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2470D7D1" w14:textId="06875871">
            <w:pPr>
              <w:widowControl w:val="0"/>
              <w:jc w:val="right"/>
              <w:rPr>
                <w:rFonts w:eastAsia="Calibri"/>
                <w:sz w:val="20"/>
                <w:szCs w:val="20"/>
              </w:rPr>
            </w:pPr>
            <w:r w:rsidRPr="00871E51">
              <w:rPr>
                <w:sz w:val="20"/>
                <w:szCs w:val="20"/>
              </w:rPr>
              <w:t>$5</w:t>
            </w:r>
            <w:r w:rsidR="00A54462">
              <w:rPr>
                <w:sz w:val="20"/>
                <w:szCs w:val="20"/>
              </w:rPr>
              <w:t>80</w:t>
            </w:r>
            <w:r>
              <w:rPr>
                <w:sz w:val="20"/>
                <w:szCs w:val="20"/>
              </w:rPr>
              <w:t>.4</w:t>
            </w:r>
            <w:r w:rsidR="00970D3C">
              <w:rPr>
                <w:sz w:val="20"/>
                <w:szCs w:val="20"/>
              </w:rPr>
              <w:t>4</w:t>
            </w:r>
            <w:r w:rsidRPr="00871E51">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18142D71" w14:textId="0F1E9F5D">
            <w:pPr>
              <w:widowControl w:val="0"/>
              <w:jc w:val="right"/>
              <w:rPr>
                <w:rFonts w:eastAsia="Calibri"/>
                <w:sz w:val="20"/>
                <w:szCs w:val="20"/>
              </w:rPr>
            </w:pPr>
            <w:r w:rsidRPr="00871E51">
              <w:rPr>
                <w:sz w:val="20"/>
                <w:szCs w:val="20"/>
              </w:rPr>
              <w:t>$6</w:t>
            </w:r>
            <w:r w:rsidR="007159EA">
              <w:rPr>
                <w:sz w:val="20"/>
                <w:szCs w:val="20"/>
              </w:rPr>
              <w:t>46</w:t>
            </w:r>
            <w:r>
              <w:rPr>
                <w:sz w:val="20"/>
                <w:szCs w:val="20"/>
              </w:rPr>
              <w:t>.</w:t>
            </w:r>
            <w:r w:rsidR="007159EA">
              <w:rPr>
                <w:sz w:val="20"/>
                <w:szCs w:val="20"/>
              </w:rPr>
              <w:t>29</w:t>
            </w:r>
            <w:r w:rsidRPr="00871E51">
              <w:rPr>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tcPr>
          <w:p w:rsidRPr="00871E51" w:rsidR="00067362" w:rsidP="007F64F4" w:rsidRDefault="00067362" w14:paraId="59200A96" w14:textId="0669273A">
            <w:pPr>
              <w:widowControl w:val="0"/>
              <w:jc w:val="right"/>
              <w:rPr>
                <w:rFonts w:eastAsia="Calibri"/>
                <w:sz w:val="20"/>
                <w:szCs w:val="20"/>
              </w:rPr>
            </w:pPr>
            <w:r w:rsidRPr="00871E51">
              <w:rPr>
                <w:sz w:val="20"/>
                <w:szCs w:val="20"/>
              </w:rPr>
              <w:t>$9</w:t>
            </w:r>
            <w:r w:rsidR="00200243">
              <w:rPr>
                <w:sz w:val="20"/>
                <w:szCs w:val="20"/>
              </w:rPr>
              <w:t>98</w:t>
            </w:r>
            <w:r>
              <w:rPr>
                <w:sz w:val="20"/>
                <w:szCs w:val="20"/>
              </w:rPr>
              <w:t>.6</w:t>
            </w:r>
            <w:r w:rsidR="00200243">
              <w:rPr>
                <w:sz w:val="20"/>
                <w:szCs w:val="20"/>
              </w:rPr>
              <w:t>7</w:t>
            </w:r>
            <w:r w:rsidRPr="00871E51">
              <w:rPr>
                <w:sz w:val="20"/>
                <w:szCs w:val="20"/>
              </w:rPr>
              <w:t xml:space="preserve"> </w:t>
            </w:r>
          </w:p>
        </w:tc>
      </w:tr>
      <w:tr w:rsidRPr="00871E51" w:rsidR="00067362" w:rsidTr="007F64F4" w14:paraId="40BE277A" w14:textId="77777777">
        <w:trPr>
          <w:trHeight w:val="440"/>
          <w:jc w:val="center"/>
        </w:trPr>
        <w:tc>
          <w:tcPr>
            <w:tcW w:w="62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71E51" w:rsidR="00067362" w:rsidP="007F64F4" w:rsidRDefault="00067362" w14:paraId="4EA5D8E5" w14:textId="3EA807D3">
            <w:pPr>
              <w:widowControl w:val="0"/>
              <w:rPr>
                <w:rFonts w:eastAsia="Calibri"/>
                <w:b/>
                <w:bCs/>
                <w:sz w:val="20"/>
                <w:szCs w:val="20"/>
              </w:rPr>
            </w:pPr>
            <w:r w:rsidRPr="00871E51">
              <w:rPr>
                <w:rFonts w:eastAsia="Calibri"/>
                <w:b/>
                <w:bCs/>
                <w:sz w:val="20"/>
                <w:szCs w:val="20"/>
              </w:rPr>
              <w:t>Total Annual Cost (r) = (c) * (q)</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4B7E95FE" w14:textId="4FC30EA8">
            <w:pPr>
              <w:widowControl w:val="0"/>
              <w:jc w:val="right"/>
              <w:rPr>
                <w:rFonts w:eastAsia="Calibri"/>
                <w:b/>
                <w:bCs/>
                <w:sz w:val="20"/>
                <w:szCs w:val="20"/>
              </w:rPr>
            </w:pPr>
            <w:r w:rsidRPr="00871E51">
              <w:rPr>
                <w:b/>
                <w:bCs/>
                <w:sz w:val="20"/>
                <w:szCs w:val="20"/>
              </w:rPr>
              <w:t>$</w:t>
            </w:r>
            <w:r w:rsidR="00970D3C">
              <w:rPr>
                <w:b/>
                <w:bCs/>
                <w:sz w:val="20"/>
                <w:szCs w:val="20"/>
              </w:rPr>
              <w:t>3</w:t>
            </w:r>
            <w:r w:rsidRPr="00871E51">
              <w:rPr>
                <w:b/>
                <w:bCs/>
                <w:sz w:val="20"/>
                <w:szCs w:val="20"/>
              </w:rPr>
              <w:t>,6</w:t>
            </w:r>
            <w:r>
              <w:rPr>
                <w:b/>
                <w:bCs/>
                <w:sz w:val="20"/>
                <w:szCs w:val="20"/>
              </w:rPr>
              <w:t>2</w:t>
            </w:r>
            <w:r w:rsidR="00970D3C">
              <w:rPr>
                <w:b/>
                <w:bCs/>
                <w:sz w:val="20"/>
                <w:szCs w:val="20"/>
              </w:rPr>
              <w:t>7</w:t>
            </w:r>
            <w:r>
              <w:rPr>
                <w:b/>
                <w:bCs/>
                <w:sz w:val="20"/>
                <w:szCs w:val="20"/>
              </w:rPr>
              <w:t>,</w:t>
            </w:r>
            <w:r w:rsidR="00970D3C">
              <w:rPr>
                <w:b/>
                <w:bCs/>
                <w:sz w:val="20"/>
                <w:szCs w:val="20"/>
              </w:rPr>
              <w:t>750</w:t>
            </w:r>
            <w:r w:rsidRPr="00871E51">
              <w:rPr>
                <w:b/>
                <w:bCs/>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524D1214" w14:textId="26E3F238">
            <w:pPr>
              <w:widowControl w:val="0"/>
              <w:jc w:val="right"/>
              <w:rPr>
                <w:rFonts w:eastAsia="Calibri"/>
                <w:b/>
                <w:bCs/>
                <w:sz w:val="20"/>
                <w:szCs w:val="20"/>
              </w:rPr>
            </w:pPr>
            <w:r w:rsidRPr="00871E51">
              <w:rPr>
                <w:b/>
                <w:bCs/>
                <w:sz w:val="20"/>
                <w:szCs w:val="20"/>
              </w:rPr>
              <w:t>$</w:t>
            </w:r>
            <w:r w:rsidR="007159EA">
              <w:rPr>
                <w:b/>
                <w:bCs/>
                <w:sz w:val="20"/>
                <w:szCs w:val="20"/>
              </w:rPr>
              <w:t>4</w:t>
            </w:r>
            <w:r w:rsidRPr="00871E51">
              <w:rPr>
                <w:b/>
                <w:bCs/>
                <w:sz w:val="20"/>
                <w:szCs w:val="20"/>
              </w:rPr>
              <w:t>,</w:t>
            </w:r>
            <w:r>
              <w:rPr>
                <w:b/>
                <w:bCs/>
                <w:sz w:val="20"/>
                <w:szCs w:val="20"/>
              </w:rPr>
              <w:t>2</w:t>
            </w:r>
            <w:r w:rsidR="007159EA">
              <w:rPr>
                <w:b/>
                <w:bCs/>
                <w:sz w:val="20"/>
                <w:szCs w:val="20"/>
              </w:rPr>
              <w:t>00</w:t>
            </w:r>
            <w:r>
              <w:rPr>
                <w:b/>
                <w:bCs/>
                <w:sz w:val="20"/>
                <w:szCs w:val="20"/>
              </w:rPr>
              <w:t>,2</w:t>
            </w:r>
            <w:r w:rsidR="007159EA">
              <w:rPr>
                <w:b/>
                <w:bCs/>
                <w:sz w:val="20"/>
                <w:szCs w:val="20"/>
              </w:rPr>
              <w:t>39</w:t>
            </w:r>
            <w:r w:rsidRPr="00871E51">
              <w:rPr>
                <w:b/>
                <w:bCs/>
                <w:sz w:val="20"/>
                <w:szCs w:val="20"/>
              </w:rPr>
              <w:t xml:space="preserve"> </w:t>
            </w:r>
          </w:p>
        </w:tc>
        <w:tc>
          <w:tcPr>
            <w:tcW w:w="123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871E51" w:rsidR="00067362" w:rsidP="007F64F4" w:rsidRDefault="00067362" w14:paraId="71BB7D2D" w14:textId="628F5BF8">
            <w:pPr>
              <w:widowControl w:val="0"/>
              <w:jc w:val="right"/>
              <w:rPr>
                <w:rFonts w:eastAsia="Calibri"/>
                <w:b/>
                <w:bCs/>
                <w:sz w:val="20"/>
                <w:szCs w:val="20"/>
              </w:rPr>
            </w:pPr>
            <w:r w:rsidRPr="00871E51">
              <w:rPr>
                <w:b/>
                <w:bCs/>
                <w:sz w:val="20"/>
                <w:szCs w:val="20"/>
              </w:rPr>
              <w:t>$</w:t>
            </w:r>
            <w:r w:rsidR="00200243">
              <w:rPr>
                <w:b/>
                <w:bCs/>
                <w:sz w:val="20"/>
                <w:szCs w:val="20"/>
              </w:rPr>
              <w:t>3</w:t>
            </w:r>
            <w:r w:rsidRPr="00871E51">
              <w:rPr>
                <w:b/>
                <w:bCs/>
                <w:sz w:val="20"/>
                <w:szCs w:val="20"/>
              </w:rPr>
              <w:t>,6</w:t>
            </w:r>
            <w:r w:rsidR="00200243">
              <w:rPr>
                <w:b/>
                <w:bCs/>
                <w:sz w:val="20"/>
                <w:szCs w:val="20"/>
              </w:rPr>
              <w:t>78</w:t>
            </w:r>
            <w:r>
              <w:rPr>
                <w:b/>
                <w:bCs/>
                <w:sz w:val="20"/>
                <w:szCs w:val="20"/>
              </w:rPr>
              <w:t>,</w:t>
            </w:r>
            <w:r w:rsidR="00200243">
              <w:rPr>
                <w:b/>
                <w:bCs/>
                <w:sz w:val="20"/>
                <w:szCs w:val="20"/>
              </w:rPr>
              <w:t>102</w:t>
            </w:r>
            <w:r w:rsidRPr="00871E51">
              <w:rPr>
                <w:b/>
                <w:bCs/>
                <w:sz w:val="20"/>
                <w:szCs w:val="20"/>
              </w:rPr>
              <w:t xml:space="preserve"> </w:t>
            </w:r>
          </w:p>
        </w:tc>
      </w:tr>
    </w:tbl>
    <w:p w:rsidRPr="003507A9" w:rsidR="000F2475" w:rsidP="003507A9" w:rsidRDefault="000F2475" w14:paraId="01338B3C" w14:textId="77777777">
      <w:pPr>
        <w:rPr>
          <w:rFonts w:eastAsia="Calibri"/>
        </w:rPr>
      </w:pPr>
    </w:p>
    <w:p w:rsidRPr="00C45D11" w:rsidR="006B22A9" w:rsidP="003D552B" w:rsidRDefault="006B22A9" w14:paraId="438D6AB8" w14:textId="5966AB21">
      <w:pPr>
        <w:pStyle w:val="Heading3"/>
      </w:pPr>
      <w:r w:rsidRPr="00C45D11">
        <w:lastRenderedPageBreak/>
        <w:t>Burden Estimate for the Nomination of Quality Measures</w:t>
      </w:r>
    </w:p>
    <w:p w:rsidR="004B1E43" w:rsidP="008479BC" w:rsidRDefault="008463EE" w14:paraId="1F83A640" w14:textId="27FDB18B">
      <w:r w:rsidRPr="008463EE">
        <w:t xml:space="preserve">Quality measures are selected annually through a call for quality measures under consideration, with a final list of quality measures being published in the Federal Register by November 1 of each year.  </w:t>
      </w:r>
      <w:r w:rsidRPr="004B1E43" w:rsid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w:t>
      </w:r>
      <w:r w:rsidR="001E0315">
        <w:t>two</w:t>
      </w:r>
      <w:r w:rsidRPr="004B1E43" w:rsidR="001E0315">
        <w:t xml:space="preserve"> </w:t>
      </w:r>
      <w:r w:rsidRPr="004B1E43" w:rsidR="004B1E43">
        <w:t>years after the measure is submitted.  This process is consistent with the pre-rulemaking process and the annual call for measures, which are further described at https://www.cms.gov/Medicare/</w:t>
      </w:r>
      <w:r w:rsidR="00A13F83">
        <w:br/>
      </w:r>
      <w:r w:rsidRPr="004B1E43" w:rsidR="004B1E43">
        <w:t xml:space="preserve">Quality-Initiatives-Patient-Assessment-Instruments/QualityMeasures/Pre-Rule-Making.html. </w:t>
      </w:r>
    </w:p>
    <w:p w:rsidR="008E76E0" w:rsidP="00730BEF" w:rsidRDefault="008E76E0" w14:paraId="7339D562" w14:textId="3A5EA878">
      <w:r>
        <w:t xml:space="preserve">As shown in Table </w:t>
      </w:r>
      <w:r w:rsidR="00A6605C">
        <w:t>1</w:t>
      </w:r>
      <w:r w:rsidR="00792A6E">
        <w:t>5</w:t>
      </w:r>
      <w:r>
        <w:t xml:space="preserve">, </w:t>
      </w:r>
      <w:r w:rsidR="00065938">
        <w:t xml:space="preserve">we are not making any changes to our currently approved </w:t>
      </w:r>
      <w:r w:rsidRPr="000168E3" w:rsidR="00B44382">
        <w:rPr>
          <w:rFonts w:eastAsia="Calibri"/>
        </w:rPr>
        <w:t xml:space="preserve">estimate </w:t>
      </w:r>
      <w:r w:rsidR="00065938">
        <w:rPr>
          <w:rFonts w:eastAsia="Calibri"/>
        </w:rPr>
        <w:t>of</w:t>
      </w:r>
      <w:r w:rsidRPr="000168E3" w:rsidR="00B44382">
        <w:rPr>
          <w:rFonts w:eastAsia="Calibri"/>
        </w:rPr>
        <w:t xml:space="preserve"> 2</w:t>
      </w:r>
      <w:r w:rsidRPr="00F90569" w:rsidR="00B44382">
        <w:rPr>
          <w:rFonts w:eastAsia="Calibri"/>
        </w:rPr>
        <w:t>8</w:t>
      </w:r>
      <w:r w:rsidRPr="000168E3" w:rsidR="00B44382">
        <w:rPr>
          <w:rFonts w:eastAsia="Calibri"/>
        </w:rPr>
        <w:t xml:space="preserve"> </w:t>
      </w:r>
      <w:r w:rsidR="00065938">
        <w:rPr>
          <w:rFonts w:eastAsia="Calibri"/>
        </w:rPr>
        <w:t xml:space="preserve">quality measure </w:t>
      </w:r>
      <w:r w:rsidRPr="000168E3" w:rsidR="00B44382">
        <w:rPr>
          <w:rFonts w:eastAsia="Calibri"/>
        </w:rPr>
        <w:t>submissions</w:t>
      </w:r>
      <w:r w:rsidR="009618F9">
        <w:rPr>
          <w:rFonts w:eastAsia="Calibri"/>
        </w:rPr>
        <w:t>.</w:t>
      </w:r>
      <w:r w:rsidR="00287469">
        <w:rPr>
          <w:rFonts w:eastAsia="Calibri"/>
        </w:rPr>
        <w:t xml:space="preserve"> </w:t>
      </w:r>
      <w:r w:rsidR="009E7F67">
        <w:rPr>
          <w:rFonts w:eastAsia="Calibri"/>
        </w:rPr>
        <w:t>W</w:t>
      </w:r>
      <w:r w:rsidR="00287469">
        <w:rPr>
          <w:rFonts w:eastAsia="Calibri"/>
        </w:rPr>
        <w:t xml:space="preserve">e </w:t>
      </w:r>
      <w:r w:rsidR="009E7F67">
        <w:rPr>
          <w:rFonts w:eastAsia="Calibri"/>
        </w:rPr>
        <w:t xml:space="preserve">continue to </w:t>
      </w:r>
      <w:r w:rsidR="00287469">
        <w:rPr>
          <w:rFonts w:eastAsia="Calibri"/>
        </w:rPr>
        <w:t xml:space="preserve">estimate that it would </w:t>
      </w:r>
      <w:r w:rsidR="00A4626A">
        <w:rPr>
          <w:rFonts w:eastAsia="Calibri"/>
        </w:rPr>
        <w:t>take</w:t>
      </w:r>
      <w:r w:rsidR="00287469">
        <w:rPr>
          <w:rFonts w:eastAsia="Calibri"/>
        </w:rPr>
        <w:t xml:space="preserve"> approximately </w:t>
      </w:r>
      <w:r w:rsidR="009C033D">
        <w:rPr>
          <w:rFonts w:eastAsia="Calibri"/>
        </w:rPr>
        <w:t xml:space="preserve">5.5 hours per quality measure </w:t>
      </w:r>
      <w:r w:rsidR="00B90D84">
        <w:rPr>
          <w:rFonts w:eastAsia="Calibri"/>
        </w:rPr>
        <w:t>submission. This estimate includes</w:t>
      </w:r>
      <w:r w:rsidR="009C033D">
        <w:rPr>
          <w:rFonts w:eastAsia="Calibri"/>
        </w:rPr>
        <w:t xml:space="preserve"> </w:t>
      </w:r>
      <w:r w:rsidR="00A4626A">
        <w:rPr>
          <w:rFonts w:eastAsia="Calibri"/>
        </w:rPr>
        <w:t>2</w:t>
      </w:r>
      <w:r w:rsidR="00287469">
        <w:rPr>
          <w:rFonts w:eastAsia="Calibri"/>
        </w:rPr>
        <w:t>.</w:t>
      </w:r>
      <w:r w:rsidR="00A4626A">
        <w:rPr>
          <w:rFonts w:eastAsia="Calibri"/>
        </w:rPr>
        <w:t>4</w:t>
      </w:r>
      <w:r w:rsidR="00287469">
        <w:rPr>
          <w:rFonts w:eastAsia="Calibri"/>
        </w:rPr>
        <w:t xml:space="preserve"> hours for the practice administrator at $11</w:t>
      </w:r>
      <w:r w:rsidR="00A4626A">
        <w:rPr>
          <w:rFonts w:eastAsia="Calibri"/>
        </w:rPr>
        <w:t>5</w:t>
      </w:r>
      <w:r w:rsidR="00287469">
        <w:rPr>
          <w:rFonts w:eastAsia="Calibri"/>
        </w:rPr>
        <w:t>.2</w:t>
      </w:r>
      <w:r w:rsidR="00A4626A">
        <w:rPr>
          <w:rFonts w:eastAsia="Calibri"/>
        </w:rPr>
        <w:t>2</w:t>
      </w:r>
      <w:r w:rsidR="00287469">
        <w:rPr>
          <w:rFonts w:eastAsia="Calibri"/>
        </w:rPr>
        <w:t>/</w:t>
      </w:r>
      <w:proofErr w:type="spellStart"/>
      <w:r w:rsidR="00287469">
        <w:rPr>
          <w:rFonts w:eastAsia="Calibri"/>
        </w:rPr>
        <w:t>hr</w:t>
      </w:r>
      <w:proofErr w:type="spellEnd"/>
      <w:r w:rsidR="00287469">
        <w:rPr>
          <w:rFonts w:eastAsia="Calibri"/>
        </w:rPr>
        <w:t xml:space="preserve"> and</w:t>
      </w:r>
      <w:r w:rsidR="006F5091">
        <w:rPr>
          <w:rFonts w:eastAsia="Calibri"/>
        </w:rPr>
        <w:t xml:space="preserve"> </w:t>
      </w:r>
      <w:r w:rsidR="004522FE">
        <w:rPr>
          <w:rFonts w:eastAsia="Calibri"/>
        </w:rPr>
        <w:t>1</w:t>
      </w:r>
      <w:r w:rsidR="00287469">
        <w:rPr>
          <w:rFonts w:eastAsia="Calibri"/>
        </w:rPr>
        <w:t>.</w:t>
      </w:r>
      <w:r w:rsidR="00A4626A">
        <w:rPr>
          <w:rFonts w:eastAsia="Calibri"/>
        </w:rPr>
        <w:t>1</w:t>
      </w:r>
      <w:r w:rsidR="00287469">
        <w:rPr>
          <w:rFonts w:eastAsia="Calibri"/>
        </w:rPr>
        <w:t xml:space="preserve"> hours at $2</w:t>
      </w:r>
      <w:r w:rsidR="00A4626A">
        <w:rPr>
          <w:rFonts w:eastAsia="Calibri"/>
        </w:rPr>
        <w:t>59</w:t>
      </w:r>
      <w:r w:rsidR="00D1352A">
        <w:rPr>
          <w:rFonts w:eastAsia="Calibri"/>
        </w:rPr>
        <w:t>.</w:t>
      </w:r>
      <w:r w:rsidR="00A4626A">
        <w:rPr>
          <w:rFonts w:eastAsia="Calibri"/>
        </w:rPr>
        <w:t>98</w:t>
      </w:r>
      <w:r w:rsidR="00287469">
        <w:rPr>
          <w:rFonts w:eastAsia="Calibri"/>
        </w:rPr>
        <w:t>/</w:t>
      </w:r>
      <w:proofErr w:type="spellStart"/>
      <w:r w:rsidR="00287469">
        <w:rPr>
          <w:rFonts w:eastAsia="Calibri"/>
        </w:rPr>
        <w:t>hr</w:t>
      </w:r>
      <w:proofErr w:type="spellEnd"/>
      <w:r w:rsidR="00287469">
        <w:rPr>
          <w:rFonts w:eastAsia="Calibri"/>
        </w:rPr>
        <w:t xml:space="preserve"> for a clinician to identify, propose, and link the quality measure, and approximately 2 hours at $</w:t>
      </w:r>
      <w:r w:rsidR="004522FE">
        <w:rPr>
          <w:rFonts w:eastAsia="Calibri"/>
        </w:rPr>
        <w:t>259.98/</w:t>
      </w:r>
      <w:proofErr w:type="spellStart"/>
      <w:r w:rsidR="00287469">
        <w:rPr>
          <w:rFonts w:eastAsia="Calibri"/>
        </w:rPr>
        <w:t>hr</w:t>
      </w:r>
      <w:proofErr w:type="spellEnd"/>
      <w:r w:rsidR="00287469">
        <w:rPr>
          <w:rFonts w:eastAsia="Calibri"/>
        </w:rPr>
        <w:t xml:space="preserve"> for a clinician to complete the Peer Review Journal Article Form. </w:t>
      </w:r>
      <w:r>
        <w:t xml:space="preserve"> </w:t>
      </w:r>
    </w:p>
    <w:p w:rsidRPr="00732012" w:rsidR="006B22A9" w:rsidP="001941DF" w:rsidRDefault="008E76E0" w14:paraId="24727311" w14:textId="4D524804">
      <w:pPr>
        <w:spacing w:after="0"/>
        <w:rPr>
          <w:b/>
          <w:bCs/>
        </w:rPr>
      </w:pPr>
      <w:r>
        <w:t xml:space="preserve">As shown in Table </w:t>
      </w:r>
      <w:r w:rsidR="009A4D1A">
        <w:t>1</w:t>
      </w:r>
      <w:r w:rsidR="00792A6E">
        <w:t>5</w:t>
      </w:r>
      <w:r>
        <w:t xml:space="preserve">, </w:t>
      </w:r>
      <w:r w:rsidRPr="73846790" w:rsidR="006B4556">
        <w:rPr>
          <w:rFonts w:eastAsia="Calibri"/>
        </w:rPr>
        <w:t xml:space="preserve">in aggregate we estimate an annual burden of 154 hours (28 submissions x 5.5 </w:t>
      </w:r>
      <w:proofErr w:type="spellStart"/>
      <w:r w:rsidRPr="73846790" w:rsidR="006B4556">
        <w:rPr>
          <w:rFonts w:eastAsia="Calibri"/>
        </w:rPr>
        <w:t>hr</w:t>
      </w:r>
      <w:proofErr w:type="spellEnd"/>
      <w:r w:rsidRPr="73846790" w:rsidR="006B4556">
        <w:rPr>
          <w:rFonts w:eastAsia="Calibri"/>
        </w:rPr>
        <w:t>/submission) at a cost of $</w:t>
      </w:r>
      <w:r w:rsidRPr="73846790" w:rsidR="00982BEA">
        <w:rPr>
          <w:rFonts w:eastAsia="Calibri"/>
        </w:rPr>
        <w:t>30</w:t>
      </w:r>
      <w:r w:rsidRPr="73846790" w:rsidR="004353C2">
        <w:rPr>
          <w:rFonts w:eastAsia="Calibri"/>
        </w:rPr>
        <w:t>,</w:t>
      </w:r>
      <w:r w:rsidRPr="73846790" w:rsidR="00982BEA">
        <w:rPr>
          <w:rFonts w:eastAsia="Calibri"/>
        </w:rPr>
        <w:t>309</w:t>
      </w:r>
      <w:r w:rsidRPr="73846790" w:rsidR="006B4556">
        <w:rPr>
          <w:rFonts w:eastAsia="Calibri"/>
        </w:rPr>
        <w:t xml:space="preserve"> {28 submissions x [(</w:t>
      </w:r>
      <w:r w:rsidRPr="73846790" w:rsidR="00EA43E2">
        <w:rPr>
          <w:rFonts w:eastAsia="Calibri"/>
        </w:rPr>
        <w:t>2.4</w:t>
      </w:r>
      <w:r w:rsidRPr="73846790" w:rsidR="006B4556">
        <w:rPr>
          <w:rFonts w:eastAsia="Calibri"/>
        </w:rPr>
        <w:t xml:space="preserve"> </w:t>
      </w:r>
      <w:proofErr w:type="spellStart"/>
      <w:r w:rsidRPr="73846790" w:rsidR="006B4556">
        <w:rPr>
          <w:rFonts w:eastAsia="Calibri"/>
        </w:rPr>
        <w:t>hr</w:t>
      </w:r>
      <w:proofErr w:type="spellEnd"/>
      <w:r w:rsidRPr="73846790" w:rsidR="006B4556">
        <w:rPr>
          <w:rFonts w:eastAsia="Calibri"/>
        </w:rPr>
        <w:t xml:space="preserve"> x $1</w:t>
      </w:r>
      <w:r w:rsidRPr="73846790" w:rsidR="00065938">
        <w:rPr>
          <w:rFonts w:eastAsia="Calibri"/>
        </w:rPr>
        <w:t>1</w:t>
      </w:r>
      <w:r w:rsidRPr="73846790" w:rsidR="00982BEA">
        <w:rPr>
          <w:rFonts w:eastAsia="Calibri"/>
        </w:rPr>
        <w:t>5</w:t>
      </w:r>
      <w:r w:rsidRPr="73846790" w:rsidR="00065938">
        <w:rPr>
          <w:rFonts w:eastAsia="Calibri"/>
        </w:rPr>
        <w:t>.</w:t>
      </w:r>
      <w:r w:rsidRPr="73846790" w:rsidR="00CA0DD1">
        <w:rPr>
          <w:rFonts w:eastAsia="Calibri"/>
        </w:rPr>
        <w:t>2</w:t>
      </w:r>
      <w:r w:rsidRPr="73846790" w:rsidR="00982BEA">
        <w:rPr>
          <w:rFonts w:eastAsia="Calibri"/>
        </w:rPr>
        <w:t>2</w:t>
      </w:r>
      <w:r w:rsidRPr="73846790" w:rsidR="006B4556">
        <w:rPr>
          <w:rFonts w:eastAsia="Calibri"/>
        </w:rPr>
        <w:t>/</w:t>
      </w:r>
      <w:proofErr w:type="spellStart"/>
      <w:r w:rsidRPr="73846790" w:rsidR="006B4556">
        <w:rPr>
          <w:rFonts w:eastAsia="Calibri"/>
        </w:rPr>
        <w:t>hr</w:t>
      </w:r>
      <w:proofErr w:type="spellEnd"/>
      <w:r w:rsidRPr="73846790" w:rsidR="006B4556">
        <w:rPr>
          <w:rFonts w:eastAsia="Calibri"/>
        </w:rPr>
        <w:t>) + (</w:t>
      </w:r>
      <w:r w:rsidRPr="73846790" w:rsidR="00D67558">
        <w:rPr>
          <w:rFonts w:eastAsia="Calibri"/>
        </w:rPr>
        <w:t>3.1</w:t>
      </w:r>
      <w:r w:rsidRPr="73846790" w:rsidR="006B4556">
        <w:rPr>
          <w:rFonts w:eastAsia="Calibri"/>
        </w:rPr>
        <w:t xml:space="preserve"> </w:t>
      </w:r>
      <w:proofErr w:type="spellStart"/>
      <w:r w:rsidRPr="73846790" w:rsidR="006B4556">
        <w:rPr>
          <w:rFonts w:eastAsia="Calibri"/>
        </w:rPr>
        <w:t>hr</w:t>
      </w:r>
      <w:proofErr w:type="spellEnd"/>
      <w:r w:rsidRPr="73846790" w:rsidR="006B4556">
        <w:rPr>
          <w:rFonts w:eastAsia="Calibri"/>
        </w:rPr>
        <w:t xml:space="preserve"> x</w:t>
      </w:r>
      <w:r w:rsidR="00137665">
        <w:rPr>
          <w:rFonts w:eastAsia="Calibri"/>
        </w:rPr>
        <w:t xml:space="preserve"> </w:t>
      </w:r>
      <w:r w:rsidRPr="73846790" w:rsidR="006B4556">
        <w:rPr>
          <w:rFonts w:eastAsia="Calibri"/>
        </w:rPr>
        <w:t>$2</w:t>
      </w:r>
      <w:r w:rsidRPr="73846790" w:rsidR="00B81E8E">
        <w:rPr>
          <w:rFonts w:eastAsia="Calibri"/>
        </w:rPr>
        <w:t>59</w:t>
      </w:r>
      <w:r w:rsidRPr="73846790" w:rsidR="00E60412">
        <w:rPr>
          <w:rFonts w:eastAsia="Calibri"/>
        </w:rPr>
        <w:t>.</w:t>
      </w:r>
      <w:r w:rsidRPr="73846790" w:rsidR="00B81E8E">
        <w:rPr>
          <w:rFonts w:eastAsia="Calibri"/>
        </w:rPr>
        <w:t>98</w:t>
      </w:r>
      <w:r w:rsidRPr="73846790" w:rsidR="006B4556">
        <w:rPr>
          <w:rFonts w:eastAsia="Calibri"/>
        </w:rPr>
        <w:t>/</w:t>
      </w:r>
      <w:proofErr w:type="spellStart"/>
      <w:r w:rsidRPr="73846790" w:rsidR="006B4556">
        <w:rPr>
          <w:rFonts w:eastAsia="Calibri"/>
        </w:rPr>
        <w:t>hr</w:t>
      </w:r>
      <w:proofErr w:type="spellEnd"/>
      <w:r w:rsidRPr="73846790" w:rsidR="006B4556">
        <w:rPr>
          <w:rFonts w:eastAsia="Calibri"/>
        </w:rPr>
        <w:t>)</w:t>
      </w:r>
      <w:r w:rsidRPr="73846790" w:rsidR="00982820">
        <w:rPr>
          <w:rFonts w:eastAsia="Calibri"/>
        </w:rPr>
        <w:t>]</w:t>
      </w:r>
      <w:r w:rsidRPr="73846790" w:rsidR="006B4556">
        <w:rPr>
          <w:rFonts w:eastAsia="Calibri"/>
        </w:rPr>
        <w:t>}.</w:t>
      </w:r>
    </w:p>
    <w:p w:rsidRPr="00732012" w:rsidR="006B22A9" w:rsidP="00777D2C" w:rsidRDefault="006B22A9" w14:paraId="7020CDC7" w14:textId="14FF2D14">
      <w:pPr>
        <w:spacing w:after="0"/>
        <w:jc w:val="center"/>
        <w:rPr>
          <w:b/>
          <w:bCs/>
        </w:rPr>
      </w:pPr>
      <w:r w:rsidRPr="73846790">
        <w:rPr>
          <w:b/>
          <w:bCs/>
        </w:rPr>
        <w:t xml:space="preserve">TABLE </w:t>
      </w:r>
      <w:r w:rsidRPr="73846790" w:rsidR="0015290C">
        <w:rPr>
          <w:b/>
          <w:bCs/>
        </w:rPr>
        <w:t>1</w:t>
      </w:r>
      <w:r w:rsidRPr="73846790" w:rsidR="00792A6E">
        <w:rPr>
          <w:b/>
          <w:bCs/>
        </w:rPr>
        <w:t>5</w:t>
      </w:r>
      <w:r w:rsidRPr="73846790">
        <w:rPr>
          <w:b/>
          <w:bCs/>
        </w:rPr>
        <w:t xml:space="preserve">: </w:t>
      </w:r>
      <w:bookmarkStart w:name="_Hlk515182434" w:id="4"/>
      <w:r w:rsidRPr="73846790">
        <w:rPr>
          <w:b/>
          <w:bCs/>
        </w:rPr>
        <w:t xml:space="preserve">Burden Estimates </w:t>
      </w:r>
      <w:bookmarkEnd w:id="4"/>
      <w:r w:rsidRPr="73846790">
        <w:rPr>
          <w:b/>
          <w:bCs/>
        </w:rPr>
        <w:t>for Call for Quality Measures</w:t>
      </w:r>
      <w:r w:rsidRPr="73846790" w:rsidR="00FB13FB">
        <w:rPr>
          <w:b/>
          <w:bCs/>
        </w:rPr>
        <w:t xml:space="preserve"> </w:t>
      </w:r>
    </w:p>
    <w:tbl>
      <w:tblPr>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50"/>
        <w:gridCol w:w="1100"/>
      </w:tblGrid>
      <w:tr w:rsidRPr="00732012" w:rsidR="006B22A9" w:rsidTr="007F64F4" w14:paraId="610F9ED6" w14:textId="77777777">
        <w:trPr>
          <w:cantSplit/>
          <w:trHeight w:val="322"/>
          <w:tblHeader/>
          <w:jc w:val="center"/>
        </w:trPr>
        <w:tc>
          <w:tcPr>
            <w:tcW w:w="8550" w:type="dxa"/>
            <w:shd w:val="clear" w:color="auto" w:fill="auto"/>
            <w:vAlign w:val="center"/>
            <w:hideMark/>
          </w:tcPr>
          <w:p w:rsidRPr="006B22A9" w:rsidR="006B22A9" w:rsidP="00A13C65" w:rsidRDefault="006B22A9"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100" w:type="dxa"/>
            <w:shd w:val="clear" w:color="auto" w:fill="auto"/>
            <w:hideMark/>
          </w:tcPr>
          <w:p w:rsidRPr="00732012" w:rsidR="006B22A9" w:rsidP="00A13C65" w:rsidRDefault="006B22A9" w14:paraId="04342F84" w14:textId="3F0AA110">
            <w:pPr>
              <w:spacing w:after="0"/>
              <w:rPr>
                <w:b/>
                <w:bCs/>
                <w:sz w:val="20"/>
                <w:szCs w:val="20"/>
              </w:rPr>
            </w:pPr>
            <w:r w:rsidRPr="00732012">
              <w:rPr>
                <w:b/>
                <w:bCs/>
                <w:sz w:val="20"/>
                <w:szCs w:val="20"/>
              </w:rPr>
              <w:t xml:space="preserve">Burden </w:t>
            </w:r>
            <w:r w:rsidR="002E799B">
              <w:rPr>
                <w:b/>
                <w:bCs/>
                <w:sz w:val="20"/>
                <w:szCs w:val="20"/>
              </w:rPr>
              <w:t>E</w:t>
            </w:r>
            <w:r w:rsidRPr="00732012">
              <w:rPr>
                <w:b/>
                <w:bCs/>
                <w:sz w:val="20"/>
                <w:szCs w:val="20"/>
              </w:rPr>
              <w:t>stimate</w:t>
            </w:r>
          </w:p>
        </w:tc>
      </w:tr>
      <w:tr w:rsidRPr="00732012" w:rsidR="006B22A9" w:rsidTr="007F64F4" w14:paraId="41B39028" w14:textId="77777777">
        <w:trPr>
          <w:trHeight w:val="300"/>
          <w:jc w:val="center"/>
        </w:trPr>
        <w:tc>
          <w:tcPr>
            <w:tcW w:w="8550" w:type="dxa"/>
            <w:shd w:val="clear" w:color="auto" w:fill="auto"/>
            <w:hideMark/>
          </w:tcPr>
          <w:p w:rsidRPr="00732012" w:rsidR="006B22A9" w:rsidP="00A13C65" w:rsidRDefault="006B22A9" w14:paraId="2F4D6750" w14:textId="77777777">
            <w:pPr>
              <w:spacing w:after="0"/>
              <w:rPr>
                <w:sz w:val="20"/>
                <w:szCs w:val="20"/>
              </w:rPr>
            </w:pPr>
            <w:r w:rsidRPr="00732012">
              <w:rPr>
                <w:sz w:val="20"/>
                <w:szCs w:val="20"/>
              </w:rPr>
              <w:t># of Organizations Nominating New Quality Measures (a)</w:t>
            </w:r>
          </w:p>
        </w:tc>
        <w:tc>
          <w:tcPr>
            <w:tcW w:w="1100" w:type="dxa"/>
            <w:shd w:val="clear" w:color="auto" w:fill="auto"/>
            <w:noWrap/>
            <w:hideMark/>
          </w:tcPr>
          <w:p w:rsidRPr="00732012" w:rsidR="006B22A9" w:rsidP="00A13C65" w:rsidRDefault="00BE4CB2" w14:paraId="47812D4C" w14:textId="38F7FF51">
            <w:pPr>
              <w:spacing w:after="0"/>
              <w:rPr>
                <w:sz w:val="20"/>
                <w:szCs w:val="20"/>
              </w:rPr>
            </w:pPr>
            <w:r>
              <w:rPr>
                <w:sz w:val="20"/>
                <w:szCs w:val="20"/>
              </w:rPr>
              <w:t>2</w:t>
            </w:r>
            <w:r w:rsidR="00DE381D">
              <w:rPr>
                <w:sz w:val="20"/>
                <w:szCs w:val="20"/>
              </w:rPr>
              <w:t>8</w:t>
            </w:r>
          </w:p>
        </w:tc>
      </w:tr>
      <w:tr w:rsidRPr="00732012" w:rsidR="006B22A9" w:rsidTr="007F64F4" w14:paraId="3BF7B2D0" w14:textId="77777777">
        <w:trPr>
          <w:trHeight w:val="305"/>
          <w:jc w:val="center"/>
        </w:trPr>
        <w:tc>
          <w:tcPr>
            <w:tcW w:w="8550" w:type="dxa"/>
            <w:shd w:val="clear" w:color="auto" w:fill="auto"/>
            <w:hideMark/>
          </w:tcPr>
          <w:p w:rsidRPr="00732012" w:rsidR="006B22A9" w:rsidP="00A13C65" w:rsidRDefault="006B22A9" w14:paraId="20AE1651" w14:textId="3AC9B619">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100" w:type="dxa"/>
            <w:shd w:val="clear" w:color="auto" w:fill="auto"/>
            <w:noWrap/>
            <w:hideMark/>
          </w:tcPr>
          <w:p w:rsidRPr="00732012" w:rsidR="006B22A9" w:rsidP="00A13C65" w:rsidRDefault="00D26BA9" w14:paraId="519AD55A" w14:textId="1BD852A0">
            <w:pPr>
              <w:spacing w:after="0"/>
              <w:rPr>
                <w:sz w:val="20"/>
                <w:szCs w:val="20"/>
              </w:rPr>
            </w:pPr>
            <w:r>
              <w:rPr>
                <w:sz w:val="20"/>
                <w:szCs w:val="20"/>
              </w:rPr>
              <w:t>2.4</w:t>
            </w:r>
          </w:p>
        </w:tc>
      </w:tr>
      <w:tr w:rsidRPr="00732012" w:rsidR="006B22A9" w:rsidTr="007F64F4" w14:paraId="6B8A1C80" w14:textId="77777777">
        <w:trPr>
          <w:trHeight w:val="260"/>
          <w:jc w:val="center"/>
        </w:trPr>
        <w:tc>
          <w:tcPr>
            <w:tcW w:w="8550" w:type="dxa"/>
            <w:shd w:val="clear" w:color="auto" w:fill="auto"/>
          </w:tcPr>
          <w:p w:rsidRPr="00732012" w:rsidR="006B22A9" w:rsidP="00A13C65" w:rsidRDefault="006B22A9" w14:paraId="2893BC97" w14:textId="458C7489">
            <w:pPr>
              <w:spacing w:after="0"/>
              <w:rPr>
                <w:sz w:val="20"/>
                <w:szCs w:val="20"/>
              </w:rPr>
            </w:pPr>
            <w:r w:rsidRPr="00732012">
              <w:rPr>
                <w:sz w:val="20"/>
                <w:szCs w:val="20"/>
              </w:rPr>
              <w:t># of Hours Per</w:t>
            </w:r>
            <w:r w:rsidR="007164A8">
              <w:rPr>
                <w:sz w:val="20"/>
                <w:szCs w:val="20"/>
              </w:rPr>
              <w:t xml:space="preserve"> Clinician to Identify Measure (c)</w:t>
            </w:r>
          </w:p>
        </w:tc>
        <w:tc>
          <w:tcPr>
            <w:tcW w:w="1100" w:type="dxa"/>
            <w:shd w:val="clear" w:color="auto" w:fill="auto"/>
          </w:tcPr>
          <w:p w:rsidRPr="00732012" w:rsidR="006B22A9" w:rsidP="00A13C65" w:rsidRDefault="00D750DD" w14:paraId="46B6BD54" w14:textId="298427E8">
            <w:pPr>
              <w:spacing w:after="0"/>
              <w:rPr>
                <w:sz w:val="20"/>
                <w:szCs w:val="20"/>
              </w:rPr>
            </w:pPr>
            <w:r>
              <w:rPr>
                <w:sz w:val="20"/>
                <w:szCs w:val="20"/>
              </w:rPr>
              <w:t>1.1</w:t>
            </w:r>
          </w:p>
        </w:tc>
      </w:tr>
      <w:tr w:rsidRPr="00732012" w:rsidR="006B22A9" w:rsidTr="007F64F4" w14:paraId="0834FAE6" w14:textId="77777777">
        <w:trPr>
          <w:trHeight w:val="260"/>
          <w:jc w:val="center"/>
        </w:trPr>
        <w:tc>
          <w:tcPr>
            <w:tcW w:w="8550" w:type="dxa"/>
            <w:shd w:val="clear" w:color="auto" w:fill="auto"/>
          </w:tcPr>
          <w:p w:rsidRPr="00732012" w:rsidR="006B22A9" w:rsidP="00A13C65" w:rsidRDefault="006B22A9" w14:paraId="2C74444D" w14:textId="77777777">
            <w:pPr>
              <w:spacing w:after="0"/>
              <w:rPr>
                <w:sz w:val="20"/>
                <w:szCs w:val="20"/>
              </w:rPr>
            </w:pPr>
            <w:r w:rsidRPr="00732012">
              <w:rPr>
                <w:sz w:val="20"/>
                <w:szCs w:val="20"/>
              </w:rPr>
              <w:t># of Hours Per Clinician to Complete Peer Review Article Form (d)</w:t>
            </w:r>
          </w:p>
        </w:tc>
        <w:tc>
          <w:tcPr>
            <w:tcW w:w="1100" w:type="dxa"/>
            <w:shd w:val="clear" w:color="auto" w:fill="auto"/>
          </w:tcPr>
          <w:p w:rsidRPr="00732012" w:rsidR="006B22A9" w:rsidP="00A13C65" w:rsidRDefault="00527C8D" w14:paraId="036D03BC" w14:textId="4DFBB856">
            <w:pPr>
              <w:spacing w:after="0"/>
              <w:rPr>
                <w:sz w:val="20"/>
                <w:szCs w:val="20"/>
              </w:rPr>
            </w:pPr>
            <w:r>
              <w:rPr>
                <w:sz w:val="20"/>
                <w:szCs w:val="20"/>
              </w:rPr>
              <w:t>2.00</w:t>
            </w:r>
          </w:p>
        </w:tc>
      </w:tr>
      <w:tr w:rsidRPr="00732012" w:rsidR="006B22A9" w:rsidTr="007F64F4" w14:paraId="4297F89F" w14:textId="77777777">
        <w:trPr>
          <w:trHeight w:val="300"/>
          <w:jc w:val="center"/>
        </w:trPr>
        <w:tc>
          <w:tcPr>
            <w:tcW w:w="8550" w:type="dxa"/>
            <w:shd w:val="clear" w:color="auto" w:fill="D9D9D9" w:themeFill="background1" w:themeFillShade="D9"/>
            <w:hideMark/>
          </w:tcPr>
          <w:p w:rsidRPr="00732012" w:rsidR="006B22A9" w:rsidP="00A13C65" w:rsidRDefault="006B22A9"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100" w:type="dxa"/>
            <w:shd w:val="clear" w:color="auto" w:fill="D9D9D9" w:themeFill="background1" w:themeFillShade="D9"/>
            <w:hideMark/>
          </w:tcPr>
          <w:p w:rsidRPr="00732012" w:rsidR="006B22A9" w:rsidP="00A13C65" w:rsidRDefault="00BE4CB2" w14:paraId="0E753C53" w14:textId="3AE0CD89">
            <w:pPr>
              <w:spacing w:after="0"/>
              <w:rPr>
                <w:sz w:val="20"/>
                <w:szCs w:val="20"/>
              </w:rPr>
            </w:pPr>
            <w:r>
              <w:rPr>
                <w:sz w:val="20"/>
                <w:szCs w:val="20"/>
              </w:rPr>
              <w:t>5</w:t>
            </w:r>
            <w:r w:rsidRPr="00732012" w:rsidR="006B22A9">
              <w:rPr>
                <w:sz w:val="20"/>
                <w:szCs w:val="20"/>
              </w:rPr>
              <w:t>.50</w:t>
            </w:r>
          </w:p>
        </w:tc>
      </w:tr>
      <w:tr w:rsidRPr="00732012" w:rsidR="006B22A9" w:rsidTr="007F64F4" w14:paraId="6FD34A13" w14:textId="77777777">
        <w:trPr>
          <w:trHeight w:val="300"/>
          <w:jc w:val="center"/>
        </w:trPr>
        <w:tc>
          <w:tcPr>
            <w:tcW w:w="8550" w:type="dxa"/>
            <w:shd w:val="clear" w:color="auto" w:fill="D9D9D9" w:themeFill="background1" w:themeFillShade="D9"/>
            <w:hideMark/>
          </w:tcPr>
          <w:p w:rsidRPr="00014265" w:rsidR="006B22A9" w:rsidP="00A13C65" w:rsidRDefault="006B22A9" w14:paraId="5B29B5A4" w14:textId="77777777">
            <w:pPr>
              <w:spacing w:after="0"/>
              <w:rPr>
                <w:b/>
                <w:sz w:val="20"/>
                <w:szCs w:val="20"/>
              </w:rPr>
            </w:pPr>
            <w:r w:rsidRPr="00014265">
              <w:rPr>
                <w:b/>
                <w:sz w:val="20"/>
                <w:szCs w:val="20"/>
              </w:rPr>
              <w:t>Total Annual Hours (f) = (a)*(e)</w:t>
            </w:r>
          </w:p>
        </w:tc>
        <w:tc>
          <w:tcPr>
            <w:tcW w:w="1100" w:type="dxa"/>
            <w:shd w:val="clear" w:color="auto" w:fill="D9D9D9" w:themeFill="background1" w:themeFillShade="D9"/>
            <w:hideMark/>
          </w:tcPr>
          <w:p w:rsidRPr="00014265" w:rsidR="006B22A9" w:rsidP="00A13C65" w:rsidRDefault="00BE4CB2" w14:paraId="6A2A3229" w14:textId="6B10B4C2">
            <w:pPr>
              <w:spacing w:after="0"/>
              <w:rPr>
                <w:b/>
                <w:sz w:val="20"/>
                <w:szCs w:val="20"/>
              </w:rPr>
            </w:pPr>
            <w:r w:rsidRPr="00014265">
              <w:rPr>
                <w:b/>
                <w:sz w:val="20"/>
                <w:szCs w:val="20"/>
              </w:rPr>
              <w:t>1</w:t>
            </w:r>
            <w:r w:rsidR="00DE381D">
              <w:rPr>
                <w:b/>
                <w:sz w:val="20"/>
                <w:szCs w:val="20"/>
              </w:rPr>
              <w:t>54</w:t>
            </w:r>
          </w:p>
        </w:tc>
      </w:tr>
      <w:tr w:rsidRPr="00732012" w:rsidR="006B22A9" w:rsidTr="007F64F4" w14:paraId="1BBE3160" w14:textId="77777777">
        <w:trPr>
          <w:trHeight w:val="233"/>
          <w:jc w:val="center"/>
        </w:trPr>
        <w:tc>
          <w:tcPr>
            <w:tcW w:w="8550" w:type="dxa"/>
            <w:shd w:val="clear" w:color="auto" w:fill="auto"/>
            <w:hideMark/>
          </w:tcPr>
          <w:p w:rsidRPr="00732012" w:rsidR="006B22A9" w:rsidP="00A13C65" w:rsidRDefault="006B22A9" w14:paraId="17CDAC6C" w14:textId="4AB01BAF">
            <w:pPr>
              <w:spacing w:after="0"/>
              <w:rPr>
                <w:sz w:val="20"/>
                <w:szCs w:val="20"/>
              </w:rPr>
            </w:pPr>
            <w:r w:rsidRPr="00732012">
              <w:rPr>
                <w:sz w:val="20"/>
                <w:szCs w:val="20"/>
              </w:rPr>
              <w:t>Cost to Identify and Submit Measure (@</w:t>
            </w:r>
            <w:r w:rsidR="00E714DC">
              <w:rPr>
                <w:sz w:val="20"/>
                <w:szCs w:val="20"/>
              </w:rPr>
              <w:t>practice administr</w:t>
            </w:r>
            <w:r w:rsidR="004803D1">
              <w:rPr>
                <w:sz w:val="20"/>
                <w:szCs w:val="20"/>
              </w:rPr>
              <w:t>a</w:t>
            </w:r>
            <w:r w:rsidR="00E714DC">
              <w:rPr>
                <w:sz w:val="20"/>
                <w:szCs w:val="20"/>
              </w:rPr>
              <w:t>tor</w:t>
            </w:r>
            <w:r w:rsidRPr="00732012">
              <w:rPr>
                <w:sz w:val="20"/>
                <w:szCs w:val="20"/>
              </w:rPr>
              <w:t>'s labor rate of $1</w:t>
            </w:r>
            <w:r w:rsidR="00065938">
              <w:rPr>
                <w:sz w:val="20"/>
                <w:szCs w:val="20"/>
              </w:rPr>
              <w:t>1</w:t>
            </w:r>
            <w:r w:rsidR="009917FA">
              <w:rPr>
                <w:sz w:val="20"/>
                <w:szCs w:val="20"/>
              </w:rPr>
              <w:t>5</w:t>
            </w:r>
            <w:r w:rsidR="00065938">
              <w:rPr>
                <w:sz w:val="20"/>
                <w:szCs w:val="20"/>
              </w:rPr>
              <w:t>.</w:t>
            </w:r>
            <w:r w:rsidR="005963F6">
              <w:rPr>
                <w:sz w:val="20"/>
                <w:szCs w:val="20"/>
              </w:rPr>
              <w:t>2</w:t>
            </w:r>
            <w:r w:rsidR="009917FA">
              <w:rPr>
                <w:sz w:val="20"/>
                <w:szCs w:val="20"/>
              </w:rPr>
              <w:t>2</w:t>
            </w:r>
            <w:r w:rsidRPr="00732012">
              <w:rPr>
                <w:sz w:val="20"/>
                <w:szCs w:val="20"/>
              </w:rPr>
              <w:t xml:space="preserve">/hr.) </w:t>
            </w:r>
            <w:r w:rsidR="00B146F5">
              <w:rPr>
                <w:sz w:val="20"/>
                <w:szCs w:val="20"/>
              </w:rPr>
              <w:t xml:space="preserve">* </w:t>
            </w:r>
            <w:r w:rsidR="009820B2">
              <w:rPr>
                <w:sz w:val="20"/>
                <w:szCs w:val="20"/>
              </w:rPr>
              <w:t xml:space="preserve">2.4 </w:t>
            </w:r>
            <w:proofErr w:type="spellStart"/>
            <w:r w:rsidR="009820B2">
              <w:rPr>
                <w:sz w:val="20"/>
                <w:szCs w:val="20"/>
              </w:rPr>
              <w:t>hr</w:t>
            </w:r>
            <w:proofErr w:type="spellEnd"/>
            <w:r w:rsidR="009820B2">
              <w:rPr>
                <w:sz w:val="20"/>
                <w:szCs w:val="20"/>
              </w:rPr>
              <w:t xml:space="preserve"> </w:t>
            </w:r>
            <w:r w:rsidRPr="00732012">
              <w:rPr>
                <w:sz w:val="20"/>
                <w:szCs w:val="20"/>
              </w:rPr>
              <w:t>(g)</w:t>
            </w:r>
          </w:p>
        </w:tc>
        <w:tc>
          <w:tcPr>
            <w:tcW w:w="1100" w:type="dxa"/>
            <w:shd w:val="clear" w:color="auto" w:fill="auto"/>
            <w:hideMark/>
          </w:tcPr>
          <w:p w:rsidRPr="00732012" w:rsidR="006B22A9" w:rsidP="00A13C65" w:rsidRDefault="006B22A9" w14:paraId="485C65E7" w14:textId="14E430B2">
            <w:pPr>
              <w:spacing w:after="0"/>
              <w:rPr>
                <w:sz w:val="20"/>
                <w:szCs w:val="20"/>
              </w:rPr>
            </w:pPr>
            <w:r w:rsidRPr="00732012">
              <w:rPr>
                <w:sz w:val="20"/>
                <w:szCs w:val="20"/>
              </w:rPr>
              <w:t>$</w:t>
            </w:r>
            <w:r w:rsidR="00066E97">
              <w:rPr>
                <w:sz w:val="20"/>
                <w:szCs w:val="20"/>
              </w:rPr>
              <w:t>27</w:t>
            </w:r>
            <w:r w:rsidR="009917FA">
              <w:rPr>
                <w:sz w:val="20"/>
                <w:szCs w:val="20"/>
              </w:rPr>
              <w:t>6</w:t>
            </w:r>
            <w:r w:rsidR="00066E97">
              <w:rPr>
                <w:sz w:val="20"/>
                <w:szCs w:val="20"/>
              </w:rPr>
              <w:t>.</w:t>
            </w:r>
            <w:r w:rsidR="009917FA">
              <w:rPr>
                <w:sz w:val="20"/>
                <w:szCs w:val="20"/>
              </w:rPr>
              <w:t>5</w:t>
            </w:r>
            <w:r w:rsidR="00066E97">
              <w:rPr>
                <w:sz w:val="20"/>
                <w:szCs w:val="20"/>
              </w:rPr>
              <w:t>2</w:t>
            </w:r>
          </w:p>
        </w:tc>
      </w:tr>
      <w:tr w:rsidRPr="00732012" w:rsidR="006B22A9" w:rsidTr="007F64F4" w14:paraId="1BE99EB6" w14:textId="77777777">
        <w:trPr>
          <w:trHeight w:val="242"/>
          <w:jc w:val="center"/>
        </w:trPr>
        <w:tc>
          <w:tcPr>
            <w:tcW w:w="8550" w:type="dxa"/>
            <w:shd w:val="clear" w:color="auto" w:fill="auto"/>
            <w:hideMark/>
          </w:tcPr>
          <w:p w:rsidRPr="00732012" w:rsidR="006B22A9" w:rsidP="00A13C65" w:rsidRDefault="006B22A9" w14:paraId="6A78FD46" w14:textId="50679D5E">
            <w:pPr>
              <w:spacing w:after="0"/>
              <w:rPr>
                <w:sz w:val="20"/>
                <w:szCs w:val="20"/>
              </w:rPr>
            </w:pPr>
            <w:r w:rsidRPr="00732012">
              <w:rPr>
                <w:sz w:val="20"/>
                <w:szCs w:val="20"/>
              </w:rPr>
              <w:t>Cost to Identify Quality Measure and Complete Peer Review Article Form (@ physician’s labor rate of $2</w:t>
            </w:r>
            <w:r w:rsidR="009917FA">
              <w:rPr>
                <w:sz w:val="20"/>
                <w:szCs w:val="20"/>
              </w:rPr>
              <w:t>59</w:t>
            </w:r>
            <w:r w:rsidR="00982820">
              <w:rPr>
                <w:sz w:val="20"/>
                <w:szCs w:val="20"/>
              </w:rPr>
              <w:t>.</w:t>
            </w:r>
            <w:r w:rsidR="009917FA">
              <w:rPr>
                <w:sz w:val="20"/>
                <w:szCs w:val="20"/>
              </w:rPr>
              <w:t>98</w:t>
            </w:r>
            <w:r w:rsidRPr="00732012">
              <w:rPr>
                <w:sz w:val="20"/>
                <w:szCs w:val="20"/>
              </w:rPr>
              <w:t>/hr.)</w:t>
            </w:r>
            <w:r w:rsidR="009820B2">
              <w:rPr>
                <w:sz w:val="20"/>
                <w:szCs w:val="20"/>
              </w:rPr>
              <w:t xml:space="preserve"> * </w:t>
            </w:r>
            <w:r w:rsidR="00D435E1">
              <w:rPr>
                <w:sz w:val="20"/>
                <w:szCs w:val="20"/>
              </w:rPr>
              <w:t xml:space="preserve">3.1 </w:t>
            </w:r>
            <w:proofErr w:type="spellStart"/>
            <w:r w:rsidR="00D435E1">
              <w:rPr>
                <w:sz w:val="20"/>
                <w:szCs w:val="20"/>
              </w:rPr>
              <w:t>hr</w:t>
            </w:r>
            <w:proofErr w:type="spellEnd"/>
            <w:r w:rsidRPr="00732012">
              <w:rPr>
                <w:sz w:val="20"/>
                <w:szCs w:val="20"/>
              </w:rPr>
              <w:t xml:space="preserve"> (h)</w:t>
            </w:r>
          </w:p>
        </w:tc>
        <w:tc>
          <w:tcPr>
            <w:tcW w:w="1100" w:type="dxa"/>
            <w:shd w:val="clear" w:color="auto" w:fill="auto"/>
            <w:noWrap/>
            <w:hideMark/>
          </w:tcPr>
          <w:p w:rsidRPr="00732012" w:rsidR="006B22A9" w:rsidP="00A13C65" w:rsidRDefault="006B22A9" w14:paraId="3E99589F" w14:textId="2213F0DE">
            <w:pPr>
              <w:spacing w:after="0"/>
              <w:rPr>
                <w:sz w:val="20"/>
                <w:szCs w:val="20"/>
              </w:rPr>
            </w:pPr>
            <w:r w:rsidRPr="00732012">
              <w:rPr>
                <w:sz w:val="20"/>
                <w:szCs w:val="20"/>
              </w:rPr>
              <w:t>$</w:t>
            </w:r>
            <w:r w:rsidR="00956902">
              <w:rPr>
                <w:sz w:val="20"/>
                <w:szCs w:val="20"/>
              </w:rPr>
              <w:t>805</w:t>
            </w:r>
            <w:r w:rsidR="00230A31">
              <w:rPr>
                <w:sz w:val="20"/>
                <w:szCs w:val="20"/>
              </w:rPr>
              <w:t>.</w:t>
            </w:r>
            <w:r w:rsidR="00956902">
              <w:rPr>
                <w:sz w:val="20"/>
                <w:szCs w:val="20"/>
              </w:rPr>
              <w:t>93</w:t>
            </w:r>
          </w:p>
        </w:tc>
      </w:tr>
      <w:tr w:rsidRPr="00732012" w:rsidR="006B22A9" w:rsidTr="007F64F4" w14:paraId="719EF507" w14:textId="77777777">
        <w:trPr>
          <w:trHeight w:val="300"/>
          <w:jc w:val="center"/>
        </w:trPr>
        <w:tc>
          <w:tcPr>
            <w:tcW w:w="8550" w:type="dxa"/>
            <w:shd w:val="clear" w:color="auto" w:fill="E7E6E6" w:themeFill="background2"/>
            <w:hideMark/>
          </w:tcPr>
          <w:p w:rsidRPr="00732012" w:rsidR="006B22A9" w:rsidP="00A13C65" w:rsidRDefault="006B22A9" w14:paraId="6C7A6283" w14:textId="77777777">
            <w:pPr>
              <w:spacing w:after="0"/>
              <w:rPr>
                <w:sz w:val="20"/>
                <w:szCs w:val="20"/>
              </w:rPr>
            </w:pPr>
            <w:r w:rsidRPr="00732012">
              <w:rPr>
                <w:sz w:val="20"/>
                <w:szCs w:val="20"/>
              </w:rPr>
              <w:t>Total Annual Cost Per Respondent (i)=(g)+(h)</w:t>
            </w:r>
          </w:p>
        </w:tc>
        <w:tc>
          <w:tcPr>
            <w:tcW w:w="1100" w:type="dxa"/>
            <w:shd w:val="clear" w:color="auto" w:fill="E7E6E6" w:themeFill="background2"/>
            <w:noWrap/>
            <w:hideMark/>
          </w:tcPr>
          <w:p w:rsidRPr="00732012" w:rsidR="006B22A9" w:rsidP="00A13C65" w:rsidRDefault="006B22A9" w14:paraId="2E2236D9" w14:textId="626A5211">
            <w:pPr>
              <w:spacing w:after="0"/>
              <w:rPr>
                <w:sz w:val="20"/>
                <w:szCs w:val="20"/>
              </w:rPr>
            </w:pPr>
            <w:r w:rsidRPr="00732012">
              <w:rPr>
                <w:sz w:val="20"/>
                <w:szCs w:val="20"/>
              </w:rPr>
              <w:t>$</w:t>
            </w:r>
            <w:r w:rsidR="00B432A2">
              <w:rPr>
                <w:sz w:val="20"/>
                <w:szCs w:val="20"/>
              </w:rPr>
              <w:t>1</w:t>
            </w:r>
            <w:r w:rsidR="00643C13">
              <w:rPr>
                <w:sz w:val="20"/>
                <w:szCs w:val="20"/>
              </w:rPr>
              <w:t>,</w:t>
            </w:r>
            <w:r w:rsidR="00B432A2">
              <w:rPr>
                <w:sz w:val="20"/>
                <w:szCs w:val="20"/>
              </w:rPr>
              <w:t>082</w:t>
            </w:r>
            <w:r w:rsidR="00021F21">
              <w:rPr>
                <w:sz w:val="20"/>
                <w:szCs w:val="20"/>
              </w:rPr>
              <w:t>.</w:t>
            </w:r>
            <w:r w:rsidR="00B432A2">
              <w:rPr>
                <w:sz w:val="20"/>
                <w:szCs w:val="20"/>
              </w:rPr>
              <w:t>45</w:t>
            </w:r>
          </w:p>
        </w:tc>
      </w:tr>
      <w:tr w:rsidRPr="00732012" w:rsidR="006B22A9" w:rsidTr="007F64F4" w14:paraId="450A965A" w14:textId="77777777">
        <w:trPr>
          <w:trHeight w:val="300"/>
          <w:jc w:val="center"/>
        </w:trPr>
        <w:tc>
          <w:tcPr>
            <w:tcW w:w="8550" w:type="dxa"/>
            <w:shd w:val="clear" w:color="auto" w:fill="E7E6E6" w:themeFill="background2"/>
            <w:hideMark/>
          </w:tcPr>
          <w:p w:rsidRPr="00014265" w:rsidR="006B22A9" w:rsidP="00A13C65" w:rsidRDefault="006B22A9" w14:paraId="7A2AF158" w14:textId="77777777">
            <w:pPr>
              <w:spacing w:after="0"/>
              <w:rPr>
                <w:b/>
                <w:sz w:val="20"/>
                <w:szCs w:val="20"/>
              </w:rPr>
            </w:pPr>
            <w:r w:rsidRPr="00014265">
              <w:rPr>
                <w:b/>
                <w:sz w:val="20"/>
                <w:szCs w:val="20"/>
              </w:rPr>
              <w:t>Total Annual Cost (j)=(a)*(i)</w:t>
            </w:r>
          </w:p>
        </w:tc>
        <w:tc>
          <w:tcPr>
            <w:tcW w:w="1100" w:type="dxa"/>
            <w:shd w:val="clear" w:color="auto" w:fill="E7E6E6" w:themeFill="background2"/>
            <w:noWrap/>
            <w:hideMark/>
          </w:tcPr>
          <w:p w:rsidRPr="00014265" w:rsidR="006B22A9" w:rsidP="00A13C65" w:rsidRDefault="006B22A9" w14:paraId="5C79BB12" w14:textId="15133AC7">
            <w:pPr>
              <w:spacing w:after="0"/>
              <w:rPr>
                <w:b/>
                <w:sz w:val="20"/>
                <w:szCs w:val="20"/>
              </w:rPr>
            </w:pPr>
            <w:r w:rsidRPr="00014265">
              <w:rPr>
                <w:b/>
                <w:sz w:val="20"/>
                <w:szCs w:val="20"/>
              </w:rPr>
              <w:t>$</w:t>
            </w:r>
            <w:r w:rsidR="00643C13">
              <w:rPr>
                <w:b/>
                <w:sz w:val="20"/>
                <w:szCs w:val="20"/>
              </w:rPr>
              <w:t>30</w:t>
            </w:r>
            <w:r w:rsidR="004353C2">
              <w:rPr>
                <w:b/>
                <w:sz w:val="20"/>
                <w:szCs w:val="20"/>
              </w:rPr>
              <w:t>,</w:t>
            </w:r>
            <w:r w:rsidR="00643C13">
              <w:rPr>
                <w:b/>
                <w:sz w:val="20"/>
                <w:szCs w:val="20"/>
              </w:rPr>
              <w:t>309</w:t>
            </w:r>
          </w:p>
        </w:tc>
      </w:tr>
    </w:tbl>
    <w:p w:rsidRPr="003507A9" w:rsidR="000F2475" w:rsidP="003507A9" w:rsidRDefault="000F2475" w14:paraId="0A0DF578" w14:textId="77777777">
      <w:pPr>
        <w:rPr>
          <w:rFonts w:eastAsia="Calibri"/>
        </w:rPr>
      </w:pPr>
    </w:p>
    <w:p w:rsidRPr="00C45D11" w:rsidR="006B22A9" w:rsidP="003D552B" w:rsidRDefault="006B22A9" w14:paraId="5B484AE7" w14:textId="314C5985">
      <w:pPr>
        <w:pStyle w:val="Heading3"/>
      </w:pPr>
      <w:r w:rsidRPr="00C45D11">
        <w:t>Burden Estimate for the Promoting Interoperability Performance Category</w:t>
      </w:r>
    </w:p>
    <w:p w:rsidR="006B22A9" w:rsidP="00E12B53" w:rsidRDefault="00D8379C" w14:paraId="273DD452" w14:textId="0A8888C7">
      <w:r w:rsidRPr="00D8379C">
        <w:rPr>
          <w:rFonts w:eastAsia="Calibri"/>
        </w:rPr>
        <w:t xml:space="preserve">For the </w:t>
      </w:r>
      <w:r w:rsidR="0042558C">
        <w:rPr>
          <w:rFonts w:eastAsia="Calibri"/>
        </w:rPr>
        <w:t xml:space="preserve">CY </w:t>
      </w:r>
      <w:r w:rsidRPr="00D8379C">
        <w:rPr>
          <w:rFonts w:eastAsia="Calibri"/>
        </w:rPr>
        <w:t>202</w:t>
      </w:r>
      <w:r w:rsidR="00385A8A">
        <w:rPr>
          <w:rFonts w:eastAsia="Calibri"/>
        </w:rPr>
        <w:t>3</w:t>
      </w:r>
      <w:r w:rsidR="00076EF1">
        <w:rPr>
          <w:rFonts w:eastAsia="Calibri"/>
        </w:rPr>
        <w:t xml:space="preserve"> </w:t>
      </w:r>
      <w:r w:rsidRPr="00D8379C">
        <w:rPr>
          <w:rFonts w:eastAsia="Calibri"/>
        </w:rPr>
        <w:t>performance period</w:t>
      </w:r>
      <w:r w:rsidR="0042558C">
        <w:rPr>
          <w:rFonts w:eastAsia="Calibri"/>
        </w:rPr>
        <w:t>/202</w:t>
      </w:r>
      <w:r w:rsidR="00385A8A">
        <w:rPr>
          <w:rFonts w:eastAsia="Calibri"/>
        </w:rPr>
        <w:t>5</w:t>
      </w:r>
      <w:r w:rsidR="0042558C">
        <w:rPr>
          <w:rFonts w:eastAsia="Calibri"/>
        </w:rPr>
        <w:t xml:space="preserve"> MIPS payment year</w:t>
      </w:r>
      <w:r w:rsidRPr="00D8379C">
        <w:rPr>
          <w:rFonts w:eastAsia="Calibri"/>
        </w:rPr>
        <w:t xml:space="preserve">, clinicians and groups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The following burden </w:t>
      </w:r>
      <w:r w:rsidRPr="00D8379C">
        <w:rPr>
          <w:rFonts w:eastAsia="Calibri"/>
        </w:rPr>
        <w:lastRenderedPageBreak/>
        <w:t>estimates show only incremental hours required above and beyond the time already accounted for in the quality data submission process. Although this analysis assesses burden by performance category and submission type, we emphasize MIPS is a consolidated program and submission analysis</w:t>
      </w:r>
      <w:r w:rsidR="004353C2">
        <w:rPr>
          <w:rFonts w:eastAsia="Calibri"/>
        </w:rPr>
        <w:t>,</w:t>
      </w:r>
      <w:r w:rsidRPr="00D8379C">
        <w:rPr>
          <w:rFonts w:eastAsia="Calibri"/>
        </w:rPr>
        <w:t xml:space="preserve"> and decisions are expected to be made for the </w:t>
      </w:r>
      <w:r w:rsidRPr="00D8379C" w:rsidR="001E7DBC">
        <w:rPr>
          <w:rFonts w:eastAsia="Calibri"/>
        </w:rPr>
        <w:t>program</w:t>
      </w:r>
      <w:r w:rsidRPr="00CC2BFB" w:rsidR="008D6B81">
        <w:rPr>
          <w:rFonts w:eastAsia="Calibri"/>
        </w:rPr>
        <w:t xml:space="preserve">. </w:t>
      </w:r>
    </w:p>
    <w:p w:rsidRPr="00C45D11" w:rsidR="006B22A9" w:rsidP="003D552B" w:rsidRDefault="00EC5A8F" w14:paraId="08EADA58" w14:textId="357A7B89">
      <w:pPr>
        <w:pStyle w:val="Heading4"/>
        <w:numPr>
          <w:ilvl w:val="0"/>
          <w:numId w:val="18"/>
        </w:numPr>
      </w:pPr>
      <w:r>
        <w:t xml:space="preserve">  </w:t>
      </w:r>
      <w:r>
        <w:tab/>
      </w:r>
      <w:r w:rsidRPr="00C45D11" w:rsidR="006B22A9">
        <w:t xml:space="preserve">Burden for </w:t>
      </w:r>
      <w:r w:rsidRPr="00C45D11" w:rsidR="0015290C">
        <w:t xml:space="preserve">Reweighting Applications for </w:t>
      </w:r>
      <w:r w:rsidRPr="00C45D11" w:rsidR="006B22A9">
        <w:t xml:space="preserve">Promoting Interoperability </w:t>
      </w:r>
      <w:r w:rsidRPr="00C45D11" w:rsidR="0015290C">
        <w:t>and Other Performance Categories</w:t>
      </w:r>
    </w:p>
    <w:p w:rsidRPr="00920A23" w:rsidR="00920A23" w:rsidP="004E13F7" w:rsidRDefault="00C25E67" w14:paraId="55E71124" w14:textId="7E620573">
      <w:pPr>
        <w:keepNext/>
        <w:keepLines/>
        <w:rPr>
          <w:rFonts w:eastAsia="Calibri"/>
        </w:rPr>
      </w:pPr>
      <w:bookmarkStart w:name="_Hlk516984963" w:id="5"/>
      <w:r w:rsidRPr="00C25E67">
        <w:rPr>
          <w:rFonts w:eastAsia="Calibri"/>
        </w:rPr>
        <w:t xml:space="preserve">As established in the CY 2017 and CY 2018 Quality Payment Program final rules, MIPS eligible clinicians who meet the criteria for a significant hardship or other type of exception may </w:t>
      </w:r>
      <w:proofErr w:type="gramStart"/>
      <w:r w:rsidRPr="00C25E67">
        <w:rPr>
          <w:rFonts w:eastAsia="Calibri"/>
        </w:rPr>
        <w:t>submit an application</w:t>
      </w:r>
      <w:proofErr w:type="gramEnd"/>
      <w:r w:rsidRPr="00C25E67">
        <w:rPr>
          <w:rFonts w:eastAsia="Calibri"/>
        </w:rPr>
        <w:t xml:space="preserve"> requesting a zero percent weighting for the Promoting Interoperability, quality, cost, and/or improvement activities performance categories under specific circumstances (81 FR 77240 through 77243, 82 FR 53680 through 53686, and 82 FR 53783 through 53785).  Respondents who apply for a reweighting for the quality, cost, and/or improvement activities performance categories have the option of applying for reweighting for the Promoting Interoperability performance category on the same online form. We assume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sidR="00920A23">
        <w:rPr>
          <w:rFonts w:eastAsia="Calibri"/>
        </w:rPr>
        <w:t xml:space="preserve">.    </w:t>
      </w:r>
    </w:p>
    <w:p w:rsidR="00E663B1" w:rsidP="00E12B53" w:rsidRDefault="00920A23" w14:paraId="116A87FB" w14:textId="27704703">
      <w:pPr>
        <w:rPr>
          <w:rFonts w:eastAsia="Calibri"/>
        </w:rPr>
      </w:pPr>
      <w:r w:rsidRPr="00920A23">
        <w:rPr>
          <w:rFonts w:eastAsia="Calibri"/>
        </w:rPr>
        <w:t xml:space="preserve">Table </w:t>
      </w:r>
      <w:r>
        <w:rPr>
          <w:rFonts w:eastAsia="Calibri"/>
        </w:rPr>
        <w:t>1</w:t>
      </w:r>
      <w:r w:rsidR="00D736A2">
        <w:rPr>
          <w:rFonts w:eastAsia="Calibri"/>
        </w:rPr>
        <w:t>6</w:t>
      </w:r>
      <w:r w:rsidRPr="00920A23">
        <w:rPr>
          <w:rFonts w:eastAsia="Calibri"/>
        </w:rPr>
        <w:t xml:space="preserve"> </w:t>
      </w:r>
      <w:r w:rsidRPr="006F3E8B" w:rsidR="006F3E8B">
        <w:rPr>
          <w:rFonts w:eastAsia="Calibri"/>
        </w:rPr>
        <w:t xml:space="preserve">summarizes the burden for clinicians to apply for reweighting the Promoting Interoperability performance category to zero percent due to a significant hardship exception or </w:t>
      </w:r>
      <w:r w:rsidRPr="006F3E8B" w:rsidR="00123509">
        <w:rPr>
          <w:rFonts w:eastAsia="Calibri"/>
        </w:rPr>
        <w:t>because of</w:t>
      </w:r>
      <w:r w:rsidRPr="006F3E8B" w:rsidR="006F3E8B">
        <w:rPr>
          <w:rFonts w:eastAsia="Calibri"/>
        </w:rPr>
        <w:t xml:space="preserve"> a decertification of an EHR. </w:t>
      </w:r>
      <w:r w:rsidR="00E912DE">
        <w:rPr>
          <w:rFonts w:eastAsia="Calibri"/>
        </w:rPr>
        <w:t>As finalized in the CY 2022 PFS final rule,</w:t>
      </w:r>
      <w:r w:rsidR="003B6808">
        <w:rPr>
          <w:rFonts w:eastAsia="Calibri"/>
        </w:rPr>
        <w:t xml:space="preserve"> small practices </w:t>
      </w:r>
      <w:r w:rsidR="00491452">
        <w:rPr>
          <w:rFonts w:eastAsia="Calibri"/>
        </w:rPr>
        <w:t xml:space="preserve">receive an automatic hardship exception beginning in the CY 2022 performance period/2024 MIPS payment year (86 FR </w:t>
      </w:r>
      <w:r w:rsidR="0028643C">
        <w:rPr>
          <w:rFonts w:eastAsia="Calibri"/>
        </w:rPr>
        <w:t>65486)</w:t>
      </w:r>
      <w:r w:rsidR="00534D06">
        <w:rPr>
          <w:rFonts w:eastAsia="Calibri"/>
        </w:rPr>
        <w:t>.</w:t>
      </w:r>
      <w:r w:rsidR="0028643C">
        <w:rPr>
          <w:rFonts w:eastAsia="Calibri"/>
        </w:rPr>
        <w:t xml:space="preserve"> </w:t>
      </w:r>
      <w:r w:rsidRPr="006F3E8B" w:rsidR="006F3E8B">
        <w:rPr>
          <w:rFonts w:eastAsia="Calibri"/>
        </w:rPr>
        <w:t xml:space="preserve">Based on the number of reweighting applications received by </w:t>
      </w:r>
      <w:r w:rsidR="00BC71F2">
        <w:rPr>
          <w:rFonts w:eastAsia="Calibri"/>
        </w:rPr>
        <w:t>March</w:t>
      </w:r>
      <w:r w:rsidRPr="006F3E8B" w:rsidR="006F3E8B">
        <w:rPr>
          <w:rFonts w:eastAsia="Calibri"/>
        </w:rPr>
        <w:t xml:space="preserve"> 31, 20</w:t>
      </w:r>
      <w:r w:rsidR="004A3B10">
        <w:rPr>
          <w:rFonts w:eastAsia="Calibri"/>
        </w:rPr>
        <w:t>2</w:t>
      </w:r>
      <w:r w:rsidR="00EA0684">
        <w:rPr>
          <w:rFonts w:eastAsia="Calibri"/>
        </w:rPr>
        <w:t>2</w:t>
      </w:r>
      <w:r w:rsidRPr="006F3E8B" w:rsidR="006F3E8B">
        <w:rPr>
          <w:rFonts w:eastAsia="Calibri"/>
        </w:rPr>
        <w:t xml:space="preserve"> for the </w:t>
      </w:r>
      <w:r w:rsidR="004A3B10">
        <w:rPr>
          <w:rFonts w:eastAsia="Calibri"/>
        </w:rPr>
        <w:t>CY 20</w:t>
      </w:r>
      <w:r w:rsidR="00DB39C0">
        <w:rPr>
          <w:rFonts w:eastAsia="Calibri"/>
        </w:rPr>
        <w:t>2</w:t>
      </w:r>
      <w:r w:rsidR="008833D6">
        <w:rPr>
          <w:rFonts w:eastAsia="Calibri"/>
        </w:rPr>
        <w:t>1</w:t>
      </w:r>
      <w:r w:rsidRPr="006F3E8B" w:rsidR="006F3E8B">
        <w:rPr>
          <w:rFonts w:eastAsia="Calibri"/>
        </w:rPr>
        <w:t xml:space="preserve"> performance period</w:t>
      </w:r>
      <w:r w:rsidR="00DB39C0">
        <w:rPr>
          <w:rFonts w:eastAsia="Calibri"/>
        </w:rPr>
        <w:t>/202</w:t>
      </w:r>
      <w:r w:rsidR="008833D6">
        <w:rPr>
          <w:rFonts w:eastAsia="Calibri"/>
        </w:rPr>
        <w:t>3</w:t>
      </w:r>
      <w:r w:rsidR="00DB39C0">
        <w:rPr>
          <w:rFonts w:eastAsia="Calibri"/>
        </w:rPr>
        <w:t xml:space="preserve"> MIPS payment year</w:t>
      </w:r>
      <w:r w:rsidRPr="006F3E8B" w:rsidR="006F3E8B">
        <w:rPr>
          <w:rFonts w:eastAsia="Calibri"/>
        </w:rPr>
        <w:t xml:space="preserve">, we assume </w:t>
      </w:r>
      <w:r w:rsidR="00B30351">
        <w:rPr>
          <w:rFonts w:eastAsia="Calibri"/>
        </w:rPr>
        <w:t>13</w:t>
      </w:r>
      <w:r w:rsidR="00E73F79">
        <w:rPr>
          <w:rFonts w:eastAsia="Calibri"/>
        </w:rPr>
        <w:t>,</w:t>
      </w:r>
      <w:r w:rsidR="00B30351">
        <w:rPr>
          <w:rFonts w:eastAsia="Calibri"/>
        </w:rPr>
        <w:t>480</w:t>
      </w:r>
      <w:r w:rsidRPr="006F3E8B" w:rsidR="006F3E8B">
        <w:rPr>
          <w:rFonts w:eastAsia="Calibri"/>
        </w:rPr>
        <w:t xml:space="preserve"> respondents (eligible clinicians or groups) will submit a request to reweight the Promoting Interoperability performance category to zero percent due to a significant hardship or EHR decertification and an additional </w:t>
      </w:r>
      <w:r w:rsidR="009B6CBF">
        <w:rPr>
          <w:rFonts w:eastAsia="Calibri"/>
        </w:rPr>
        <w:t>17</w:t>
      </w:r>
      <w:r w:rsidR="00FF4F39">
        <w:rPr>
          <w:rFonts w:eastAsia="Calibri"/>
        </w:rPr>
        <w:t>,6</w:t>
      </w:r>
      <w:r w:rsidR="009B6CBF">
        <w:rPr>
          <w:rFonts w:eastAsia="Calibri"/>
        </w:rPr>
        <w:t>5</w:t>
      </w:r>
      <w:r w:rsidR="00FF4F39">
        <w:rPr>
          <w:rFonts w:eastAsia="Calibri"/>
        </w:rPr>
        <w:t>5</w:t>
      </w:r>
      <w:r w:rsidRPr="006F3E8B" w:rsidR="006F3E8B">
        <w:rPr>
          <w:rFonts w:eastAsia="Calibri"/>
        </w:rPr>
        <w:t xml:space="preserve"> respondents will submit a request to reweight one or more of the quality, cost, Promoting Interoperability, or improvement activity performance categories due to an extreme or uncontrollable circumstance, for a total of </w:t>
      </w:r>
      <w:r w:rsidR="009B6CBF">
        <w:rPr>
          <w:rFonts w:eastAsia="Calibri"/>
        </w:rPr>
        <w:t>31</w:t>
      </w:r>
      <w:r w:rsidR="000B112E">
        <w:rPr>
          <w:rFonts w:eastAsia="Calibri"/>
        </w:rPr>
        <w:t>,</w:t>
      </w:r>
      <w:r w:rsidR="009B6CBF">
        <w:rPr>
          <w:rFonts w:eastAsia="Calibri"/>
        </w:rPr>
        <w:t>135</w:t>
      </w:r>
      <w:r w:rsidRPr="006F3E8B" w:rsidR="006F3E8B">
        <w:rPr>
          <w:rFonts w:eastAsia="Calibri"/>
        </w:rPr>
        <w:t xml:space="preserve"> reweighting applications submitted.  Similar to the data used to estimate the number of respondents in the CY 202</w:t>
      </w:r>
      <w:r w:rsidR="00FC416A">
        <w:rPr>
          <w:rFonts w:eastAsia="Calibri"/>
        </w:rPr>
        <w:t>1</w:t>
      </w:r>
      <w:r w:rsidRPr="006F3E8B" w:rsidR="006F3E8B">
        <w:rPr>
          <w:rFonts w:eastAsia="Calibri"/>
        </w:rPr>
        <w:t xml:space="preserve"> PFS final rule, our respondent estimate includes a significant number of applications submitted as a result of a data issue CMS was made aware of and is specific to a single third-party intermediary. While we do not anticipate similar data issues to occur in each performance period, we do believe future similar incidents may occur and are electing to use this data without adjustment to reflect this belief. </w:t>
      </w:r>
      <w:r w:rsidR="00C73FFE">
        <w:rPr>
          <w:rFonts w:eastAsia="Calibri"/>
        </w:rPr>
        <w:t xml:space="preserve">We note that </w:t>
      </w:r>
      <w:r w:rsidRPr="00061F97" w:rsidR="00061F97">
        <w:rPr>
          <w:rFonts w:eastAsia="Calibri"/>
        </w:rPr>
        <w:t xml:space="preserve">our respondent estimate </w:t>
      </w:r>
      <w:r w:rsidR="003B0A20">
        <w:rPr>
          <w:rFonts w:eastAsia="Calibri"/>
        </w:rPr>
        <w:t xml:space="preserve">also </w:t>
      </w:r>
      <w:r w:rsidRPr="00061F97" w:rsidR="00061F97">
        <w:rPr>
          <w:rFonts w:eastAsia="Calibri"/>
        </w:rPr>
        <w:t>include</w:t>
      </w:r>
      <w:r w:rsidR="003B0A20">
        <w:rPr>
          <w:rFonts w:eastAsia="Calibri"/>
        </w:rPr>
        <w:t>s</w:t>
      </w:r>
      <w:r w:rsidRPr="00061F97" w:rsidR="00061F97">
        <w:rPr>
          <w:rFonts w:eastAsia="Calibri"/>
        </w:rPr>
        <w:t xml:space="preserve"> reweighting applications submitted during the extended period ending </w:t>
      </w:r>
      <w:r w:rsidR="003B0A20">
        <w:rPr>
          <w:rFonts w:eastAsia="Calibri"/>
        </w:rPr>
        <w:t>March 31</w:t>
      </w:r>
      <w:r w:rsidRPr="00061F97" w:rsidR="00061F97">
        <w:rPr>
          <w:rFonts w:eastAsia="Calibri"/>
        </w:rPr>
        <w:t>, 202</w:t>
      </w:r>
      <w:r w:rsidR="003B0A20">
        <w:rPr>
          <w:rFonts w:eastAsia="Calibri"/>
        </w:rPr>
        <w:t>2</w:t>
      </w:r>
      <w:r w:rsidR="00D736A2">
        <w:rPr>
          <w:rFonts w:eastAsia="Calibri"/>
        </w:rPr>
        <w:t>,</w:t>
      </w:r>
      <w:r w:rsidRPr="00061F97" w:rsidR="00061F97">
        <w:rPr>
          <w:rFonts w:eastAsia="Calibri"/>
        </w:rPr>
        <w:t xml:space="preserve"> due to the PHE for COVID-19. </w:t>
      </w:r>
      <w:r w:rsidRPr="006F3E8B" w:rsidR="006F3E8B">
        <w:rPr>
          <w:rFonts w:eastAsia="Calibri"/>
        </w:rPr>
        <w:t xml:space="preserve">Of our total respondent estimate of </w:t>
      </w:r>
      <w:r w:rsidR="00361FF3">
        <w:rPr>
          <w:rFonts w:eastAsia="Calibri"/>
        </w:rPr>
        <w:t>31,135</w:t>
      </w:r>
      <w:r w:rsidRPr="006F3E8B" w:rsidR="006F3E8B">
        <w:rPr>
          <w:rFonts w:eastAsia="Calibri"/>
        </w:rPr>
        <w:t xml:space="preserve">, we estimate that </w:t>
      </w:r>
      <w:r w:rsidR="00361FF3">
        <w:rPr>
          <w:rFonts w:eastAsia="Calibri"/>
        </w:rPr>
        <w:t>13</w:t>
      </w:r>
      <w:r w:rsidR="006619B5">
        <w:rPr>
          <w:rFonts w:eastAsia="Calibri"/>
        </w:rPr>
        <w:t>,</w:t>
      </w:r>
      <w:r w:rsidR="00361FF3">
        <w:rPr>
          <w:rFonts w:eastAsia="Calibri"/>
        </w:rPr>
        <w:t>480</w:t>
      </w:r>
      <w:r w:rsidRPr="006F3E8B" w:rsidR="006F3E8B">
        <w:rPr>
          <w:rFonts w:eastAsia="Calibri"/>
        </w:rPr>
        <w:t xml:space="preserve"> 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w:t>
      </w:r>
      <w:r w:rsidRPr="006F3E8B" w:rsidR="001A0168">
        <w:rPr>
          <w:rFonts w:eastAsia="Calibri"/>
        </w:rPr>
        <w:t>because of</w:t>
      </w:r>
      <w:r w:rsidRPr="006F3E8B" w:rsidR="006F3E8B">
        <w:rPr>
          <w:rFonts w:eastAsia="Calibri"/>
        </w:rPr>
        <w:t xml:space="preserve"> a decertification of an EHR. </w:t>
      </w:r>
    </w:p>
    <w:p w:rsidRPr="00920A23" w:rsidR="00920A23" w:rsidP="00E12B53" w:rsidRDefault="00FD55A2" w14:paraId="1C896D0B" w14:textId="0ACDD663">
      <w:pPr>
        <w:rPr>
          <w:rFonts w:eastAsia="Calibri"/>
        </w:rPr>
      </w:pPr>
      <w:r w:rsidRPr="00FD55A2">
        <w:rPr>
          <w:rFonts w:eastAsia="Calibri"/>
        </w:rPr>
        <w:t xml:space="preserve">In </w:t>
      </w:r>
      <w:r>
        <w:rPr>
          <w:rFonts w:eastAsia="Calibri"/>
        </w:rPr>
        <w:t>the CY 2021 PFS final rule</w:t>
      </w:r>
      <w:r w:rsidR="003E7577">
        <w:rPr>
          <w:rFonts w:eastAsia="Calibri"/>
        </w:rPr>
        <w:t xml:space="preserve"> (85 FR 84984)</w:t>
      </w:r>
      <w:r w:rsidRPr="00FD55A2">
        <w:rPr>
          <w:rFonts w:eastAsia="Calibri"/>
        </w:rPr>
        <w:t xml:space="preserve">, we </w:t>
      </w:r>
      <w:r>
        <w:rPr>
          <w:rFonts w:eastAsia="Calibri"/>
        </w:rPr>
        <w:t>finalized</w:t>
      </w:r>
      <w:r w:rsidRPr="00FD55A2">
        <w:rPr>
          <w:rFonts w:eastAsia="Calibri"/>
        </w:rPr>
        <w:t xml:space="preserve"> that, beginning with the </w:t>
      </w:r>
      <w:r w:rsidR="00C52782">
        <w:rPr>
          <w:rFonts w:eastAsia="Calibri"/>
        </w:rPr>
        <w:t>CY 202</w:t>
      </w:r>
      <w:r w:rsidR="00144908">
        <w:rPr>
          <w:rFonts w:eastAsia="Calibri"/>
        </w:rPr>
        <w:t>0</w:t>
      </w:r>
      <w:r w:rsidR="00B42335">
        <w:rPr>
          <w:rFonts w:eastAsia="Calibri"/>
        </w:rPr>
        <w:t xml:space="preserve"> </w:t>
      </w:r>
      <w:r w:rsidR="00C52782">
        <w:rPr>
          <w:rFonts w:eastAsia="Calibri"/>
        </w:rPr>
        <w:t>performance period/</w:t>
      </w:r>
      <w:r w:rsidRPr="00FD55A2">
        <w:rPr>
          <w:rFonts w:eastAsia="Calibri"/>
        </w:rPr>
        <w:t>202</w:t>
      </w:r>
      <w:r w:rsidR="00144908">
        <w:rPr>
          <w:rFonts w:eastAsia="Calibri"/>
        </w:rPr>
        <w:t>2</w:t>
      </w:r>
      <w:r w:rsidRPr="00FD55A2">
        <w:rPr>
          <w:rFonts w:eastAsia="Calibri"/>
        </w:rPr>
        <w:t xml:space="preserve"> MIPS payment year, APM Entities may submit an extreme and uncontrollable circumstances exception application for all four performance categories and applicable to all MIPS eligible clinicians in the APM Entity group.  As previously discussed, due </w:t>
      </w:r>
      <w:r w:rsidRPr="00FD55A2">
        <w:rPr>
          <w:rFonts w:eastAsia="Calibri"/>
        </w:rPr>
        <w:lastRenderedPageBreak/>
        <w:t xml:space="preserve">to data limitations and our inability to </w:t>
      </w:r>
      <w:r w:rsidR="005B3C8B">
        <w:rPr>
          <w:rFonts w:eastAsia="Calibri"/>
        </w:rPr>
        <w:t>predict</w:t>
      </w:r>
      <w:r w:rsidRPr="00FD55A2">
        <w:rPr>
          <w:rFonts w:eastAsia="Calibri"/>
        </w:rPr>
        <w:t xml:space="preserve"> who would use the APM Performance Pathway versus the traditional MIPS submission mechanism for the </w:t>
      </w:r>
      <w:r w:rsidR="00C52782">
        <w:rPr>
          <w:rFonts w:eastAsia="Calibri"/>
        </w:rPr>
        <w:t xml:space="preserve">CY </w:t>
      </w:r>
      <w:r w:rsidRPr="00FD55A2">
        <w:rPr>
          <w:rFonts w:eastAsia="Calibri"/>
        </w:rPr>
        <w:t>202</w:t>
      </w:r>
      <w:r w:rsidR="00B7697D">
        <w:rPr>
          <w:rFonts w:eastAsia="Calibri"/>
        </w:rPr>
        <w:t>3</w:t>
      </w:r>
      <w:r w:rsidRPr="00FD55A2">
        <w:rPr>
          <w:rFonts w:eastAsia="Calibri"/>
        </w:rPr>
        <w:t xml:space="preserve"> performance period</w:t>
      </w:r>
      <w:r w:rsidR="00C52782">
        <w:rPr>
          <w:rFonts w:eastAsia="Calibri"/>
        </w:rPr>
        <w:t>/202</w:t>
      </w:r>
      <w:r w:rsidR="00B7697D">
        <w:rPr>
          <w:rFonts w:eastAsia="Calibri"/>
        </w:rPr>
        <w:t>5</w:t>
      </w:r>
      <w:r w:rsidR="00C52782">
        <w:rPr>
          <w:rFonts w:eastAsia="Calibri"/>
        </w:rPr>
        <w:t xml:space="preserve"> MIPS payment year</w:t>
      </w:r>
      <w:r w:rsidRPr="00FD55A2">
        <w:rPr>
          <w:rFonts w:eastAsia="Calibri"/>
        </w:rPr>
        <w:t xml:space="preserve">, we assume ACO APM Entities will submit data through the APM Performance Pathway and non-ACO APM Entities would participate through traditional MIPS, thereby submitting as an individual or group rather than as an entity. Therefore, we limited our analysis to ACOs that were eligible for an exception due to extreme and uncontrollable circumstances during the </w:t>
      </w:r>
      <w:r w:rsidR="00383FC9">
        <w:rPr>
          <w:rFonts w:eastAsia="Calibri"/>
        </w:rPr>
        <w:t xml:space="preserve">CY </w:t>
      </w:r>
      <w:r w:rsidRPr="00FD55A2">
        <w:rPr>
          <w:rFonts w:eastAsia="Calibri"/>
        </w:rPr>
        <w:t>20</w:t>
      </w:r>
      <w:r w:rsidR="00195186">
        <w:rPr>
          <w:rFonts w:eastAsia="Calibri"/>
        </w:rPr>
        <w:t>2</w:t>
      </w:r>
      <w:r w:rsidR="00AB0868">
        <w:rPr>
          <w:rFonts w:eastAsia="Calibri"/>
        </w:rPr>
        <w:t>1</w:t>
      </w:r>
      <w:r w:rsidRPr="00FD55A2">
        <w:rPr>
          <w:rFonts w:eastAsia="Calibri"/>
        </w:rPr>
        <w:t xml:space="preserve"> performance period</w:t>
      </w:r>
      <w:r w:rsidR="00195186">
        <w:rPr>
          <w:rFonts w:eastAsia="Calibri"/>
        </w:rPr>
        <w:t>/202</w:t>
      </w:r>
      <w:r w:rsidR="00AB0868">
        <w:rPr>
          <w:rFonts w:eastAsia="Calibri"/>
        </w:rPr>
        <w:t>3</w:t>
      </w:r>
      <w:r w:rsidR="00195186">
        <w:rPr>
          <w:rFonts w:eastAsia="Calibri"/>
        </w:rPr>
        <w:t xml:space="preserve"> MIPS payment year</w:t>
      </w:r>
      <w:r w:rsidRPr="00FD55A2">
        <w:rPr>
          <w:rFonts w:eastAsia="Calibri"/>
        </w:rPr>
        <w:t xml:space="preserve"> and elected not to report quality data. Based on this data, we estimate </w:t>
      </w:r>
      <w:r w:rsidR="005A2873">
        <w:rPr>
          <w:rFonts w:eastAsia="Calibri"/>
        </w:rPr>
        <w:t xml:space="preserve">that </w:t>
      </w:r>
      <w:r w:rsidR="008B6093">
        <w:rPr>
          <w:rFonts w:eastAsia="Calibri"/>
        </w:rPr>
        <w:t>2</w:t>
      </w:r>
      <w:r w:rsidR="00BC3840">
        <w:rPr>
          <w:rFonts w:eastAsia="Calibri"/>
        </w:rPr>
        <w:t xml:space="preserve">0 </w:t>
      </w:r>
      <w:r w:rsidRPr="00FD55A2" w:rsidR="00BC3840">
        <w:rPr>
          <w:rFonts w:eastAsia="Calibri"/>
        </w:rPr>
        <w:t>APM</w:t>
      </w:r>
      <w:r w:rsidRPr="00FD55A2">
        <w:rPr>
          <w:rFonts w:eastAsia="Calibri"/>
        </w:rPr>
        <w:t xml:space="preserve"> Entities will submit an extreme and uncontrollable circumstances exception application for the </w:t>
      </w:r>
      <w:r w:rsidR="005A2873">
        <w:rPr>
          <w:rFonts w:eastAsia="Calibri"/>
        </w:rPr>
        <w:t xml:space="preserve">CY </w:t>
      </w:r>
      <w:r w:rsidRPr="00FD55A2">
        <w:rPr>
          <w:rFonts w:eastAsia="Calibri"/>
        </w:rPr>
        <w:t>202</w:t>
      </w:r>
      <w:r w:rsidR="008B6093">
        <w:rPr>
          <w:rFonts w:eastAsia="Calibri"/>
        </w:rPr>
        <w:t>3</w:t>
      </w:r>
      <w:r w:rsidRPr="00FD55A2">
        <w:rPr>
          <w:rFonts w:eastAsia="Calibri"/>
        </w:rPr>
        <w:t xml:space="preserve"> performance period</w:t>
      </w:r>
      <w:r w:rsidR="005A2873">
        <w:rPr>
          <w:rFonts w:eastAsia="Calibri"/>
        </w:rPr>
        <w:t>/202</w:t>
      </w:r>
      <w:r w:rsidR="008B6093">
        <w:rPr>
          <w:rFonts w:eastAsia="Calibri"/>
        </w:rPr>
        <w:t>5</w:t>
      </w:r>
      <w:r w:rsidR="005A2873">
        <w:rPr>
          <w:rFonts w:eastAsia="Calibri"/>
        </w:rPr>
        <w:t xml:space="preserve"> MIPS payment year</w:t>
      </w:r>
      <w:r w:rsidRPr="00FD55A2">
        <w:rPr>
          <w:rFonts w:eastAsia="Calibri"/>
        </w:rPr>
        <w:t xml:space="preserve">. Combined with our </w:t>
      </w:r>
      <w:r w:rsidRPr="00FD55A2" w:rsidR="003E40E1">
        <w:rPr>
          <w:rFonts w:eastAsia="Calibri"/>
        </w:rPr>
        <w:t>estimate</w:t>
      </w:r>
      <w:r w:rsidRPr="00FD55A2">
        <w:rPr>
          <w:rFonts w:eastAsia="Calibri"/>
        </w:rPr>
        <w:t xml:space="preserve"> of </w:t>
      </w:r>
      <w:r w:rsidR="008B6093">
        <w:rPr>
          <w:rFonts w:eastAsia="Calibri"/>
        </w:rPr>
        <w:t>31,135</w:t>
      </w:r>
      <w:r w:rsidRPr="00FD55A2">
        <w:rPr>
          <w:rFonts w:eastAsia="Calibri"/>
        </w:rPr>
        <w:t xml:space="preserve"> eligible clinicians and groups, the total estimated number of respondents for the </w:t>
      </w:r>
      <w:r w:rsidR="002A60E6">
        <w:rPr>
          <w:rFonts w:eastAsia="Calibri"/>
        </w:rPr>
        <w:t>CY</w:t>
      </w:r>
      <w:r w:rsidR="00387536">
        <w:rPr>
          <w:rFonts w:eastAsia="Calibri"/>
        </w:rPr>
        <w:t xml:space="preserve"> 202</w:t>
      </w:r>
      <w:r w:rsidR="008B6093">
        <w:rPr>
          <w:rFonts w:eastAsia="Calibri"/>
        </w:rPr>
        <w:t>3</w:t>
      </w:r>
      <w:r w:rsidR="002A60E6">
        <w:rPr>
          <w:rFonts w:eastAsia="Calibri"/>
        </w:rPr>
        <w:t xml:space="preserve"> </w:t>
      </w:r>
      <w:r w:rsidRPr="00FD55A2">
        <w:rPr>
          <w:rFonts w:eastAsia="Calibri"/>
        </w:rPr>
        <w:t>performance period</w:t>
      </w:r>
      <w:r w:rsidR="002A60E6">
        <w:rPr>
          <w:rFonts w:eastAsia="Calibri"/>
        </w:rPr>
        <w:t>/202</w:t>
      </w:r>
      <w:r w:rsidR="008B6093">
        <w:rPr>
          <w:rFonts w:eastAsia="Calibri"/>
        </w:rPr>
        <w:t>5</w:t>
      </w:r>
      <w:r w:rsidR="002A60E6">
        <w:rPr>
          <w:rFonts w:eastAsia="Calibri"/>
        </w:rPr>
        <w:t xml:space="preserve"> MIPS payment year</w:t>
      </w:r>
      <w:r w:rsidRPr="00FD55A2">
        <w:rPr>
          <w:rFonts w:eastAsia="Calibri"/>
        </w:rPr>
        <w:t xml:space="preserve"> is </w:t>
      </w:r>
      <w:r w:rsidR="008B6093">
        <w:rPr>
          <w:rFonts w:eastAsia="Calibri"/>
        </w:rPr>
        <w:t>31,155</w:t>
      </w:r>
      <w:r w:rsidR="002E563B">
        <w:rPr>
          <w:rFonts w:eastAsia="Calibri"/>
        </w:rPr>
        <w:t>.</w:t>
      </w:r>
    </w:p>
    <w:p w:rsidR="006B22A9" w:rsidP="00E12B53" w:rsidRDefault="00377419" w14:paraId="14F7D0AD" w14:textId="21A8DD5A">
      <w:pPr>
        <w:rPr>
          <w:rFonts w:eastAsia="Calibri"/>
        </w:rPr>
      </w:pPr>
      <w:r w:rsidRPr="00377419">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t>
      </w:r>
      <w:r w:rsidRPr="00377419" w:rsidR="00FE723C">
        <w:rPr>
          <w:rFonts w:eastAsia="Calibri"/>
        </w:rPr>
        <w:t>apart from</w:t>
      </w:r>
      <w:r w:rsidRPr="00377419">
        <w:rPr>
          <w:rFonts w:eastAsia="Calibri"/>
        </w:rPr>
        <w:t xml:space="preserve"> there being only one option for the type of hardship experienced. We continue to estimate it will take 0.25 hours at $9</w:t>
      </w:r>
      <w:r w:rsidR="000866D0">
        <w:rPr>
          <w:rFonts w:eastAsia="Calibri"/>
        </w:rPr>
        <w:t>8</w:t>
      </w:r>
      <w:r w:rsidR="00FA42AF">
        <w:rPr>
          <w:rFonts w:eastAsia="Calibri"/>
        </w:rPr>
        <w:t>.2</w:t>
      </w:r>
      <w:r w:rsidR="000866D0">
        <w:rPr>
          <w:rFonts w:eastAsia="Calibri"/>
        </w:rPr>
        <w:t>8</w:t>
      </w:r>
      <w:r w:rsidRPr="00377419">
        <w:rPr>
          <w:rFonts w:eastAsia="Calibri"/>
        </w:rPr>
        <w:t>/</w:t>
      </w:r>
      <w:proofErr w:type="spellStart"/>
      <w:r w:rsidRPr="00377419">
        <w:rPr>
          <w:rFonts w:eastAsia="Calibri"/>
        </w:rPr>
        <w:t>hr</w:t>
      </w:r>
      <w:proofErr w:type="spellEnd"/>
      <w:r w:rsidRPr="00377419">
        <w:rPr>
          <w:rFonts w:eastAsia="Calibri"/>
        </w:rPr>
        <w:t xml:space="preserve"> for a computer system analyst to complete and submit the application</w:t>
      </w:r>
      <w:r w:rsidRPr="002E563B" w:rsidR="002E563B">
        <w:rPr>
          <w:rFonts w:eastAsia="Calibri"/>
        </w:rPr>
        <w:t xml:space="preserve">. As shown in Table </w:t>
      </w:r>
      <w:r w:rsidR="002E563B">
        <w:rPr>
          <w:rFonts w:eastAsia="Calibri"/>
        </w:rPr>
        <w:t>1</w:t>
      </w:r>
      <w:r w:rsidR="00387536">
        <w:rPr>
          <w:rFonts w:eastAsia="Calibri"/>
        </w:rPr>
        <w:t>6</w:t>
      </w:r>
      <w:r w:rsidRPr="002E563B" w:rsidR="002E563B">
        <w:rPr>
          <w:rFonts w:eastAsia="Calibri"/>
        </w:rPr>
        <w:t xml:space="preserve">, </w:t>
      </w:r>
      <w:r w:rsidRPr="00B009B7" w:rsidR="00B009B7">
        <w:rPr>
          <w:rFonts w:eastAsia="Calibri"/>
        </w:rPr>
        <w:t xml:space="preserve">we estimate an annual burden of </w:t>
      </w:r>
      <w:r w:rsidR="003A4BD9">
        <w:rPr>
          <w:rFonts w:eastAsia="Calibri"/>
        </w:rPr>
        <w:t>7</w:t>
      </w:r>
      <w:r w:rsidR="008C11AF">
        <w:rPr>
          <w:rFonts w:eastAsia="Calibri"/>
        </w:rPr>
        <w:t>,7</w:t>
      </w:r>
      <w:r w:rsidR="003A4BD9">
        <w:rPr>
          <w:rFonts w:eastAsia="Calibri"/>
        </w:rPr>
        <w:t>89</w:t>
      </w:r>
      <w:r w:rsidRPr="00B009B7" w:rsidR="00B009B7">
        <w:rPr>
          <w:rFonts w:eastAsia="Calibri"/>
        </w:rPr>
        <w:t xml:space="preserve"> hours (</w:t>
      </w:r>
      <w:r w:rsidR="003A4BD9">
        <w:rPr>
          <w:rFonts w:eastAsia="Calibri"/>
        </w:rPr>
        <w:t>31</w:t>
      </w:r>
      <w:r w:rsidR="00D93AFD">
        <w:rPr>
          <w:rFonts w:eastAsia="Calibri"/>
        </w:rPr>
        <w:t>,</w:t>
      </w:r>
      <w:r w:rsidR="003A4BD9">
        <w:rPr>
          <w:rFonts w:eastAsia="Calibri"/>
        </w:rPr>
        <w:t>155</w:t>
      </w:r>
      <w:r w:rsidRPr="00B009B7" w:rsidR="00B009B7">
        <w:rPr>
          <w:rFonts w:eastAsia="Calibri"/>
        </w:rPr>
        <w:t xml:space="preserve"> applications x 0.25 </w:t>
      </w:r>
      <w:proofErr w:type="spellStart"/>
      <w:r w:rsidRPr="00B009B7" w:rsidR="00B009B7">
        <w:rPr>
          <w:rFonts w:eastAsia="Calibri"/>
        </w:rPr>
        <w:t>hr</w:t>
      </w:r>
      <w:proofErr w:type="spellEnd"/>
      <w:r w:rsidRPr="00B009B7" w:rsidR="00B009B7">
        <w:rPr>
          <w:rFonts w:eastAsia="Calibri"/>
        </w:rPr>
        <w:t>/application) a</w:t>
      </w:r>
      <w:r w:rsidR="00613C8F">
        <w:rPr>
          <w:rFonts w:eastAsia="Calibri"/>
        </w:rPr>
        <w:t>t an annual</w:t>
      </w:r>
      <w:r w:rsidR="002629D9">
        <w:rPr>
          <w:rFonts w:eastAsia="Calibri"/>
        </w:rPr>
        <w:t xml:space="preserve"> cost </w:t>
      </w:r>
      <w:r w:rsidR="00BC3840">
        <w:rPr>
          <w:rFonts w:eastAsia="Calibri"/>
        </w:rPr>
        <w:t xml:space="preserve">of </w:t>
      </w:r>
      <w:r w:rsidRPr="00B009B7" w:rsidR="00BC3840">
        <w:rPr>
          <w:rFonts w:eastAsia="Calibri"/>
        </w:rPr>
        <w:t>$</w:t>
      </w:r>
      <w:r w:rsidR="003A4BD9">
        <w:rPr>
          <w:rFonts w:eastAsia="Calibri"/>
        </w:rPr>
        <w:t>765</w:t>
      </w:r>
      <w:r w:rsidR="00DD114D">
        <w:rPr>
          <w:rFonts w:eastAsia="Calibri"/>
        </w:rPr>
        <w:t>,</w:t>
      </w:r>
      <w:r w:rsidR="009B5FD8">
        <w:rPr>
          <w:rFonts w:eastAsia="Calibri"/>
        </w:rPr>
        <w:t>5</w:t>
      </w:r>
      <w:r w:rsidR="003A4BD9">
        <w:rPr>
          <w:rFonts w:eastAsia="Calibri"/>
        </w:rPr>
        <w:t>03</w:t>
      </w:r>
      <w:r w:rsidRPr="00B009B7" w:rsidR="00B009B7">
        <w:rPr>
          <w:rFonts w:eastAsia="Calibri"/>
        </w:rPr>
        <w:t xml:space="preserve"> (</w:t>
      </w:r>
      <w:r w:rsidR="003A4BD9">
        <w:rPr>
          <w:rFonts w:eastAsia="Calibri"/>
        </w:rPr>
        <w:t>7,789</w:t>
      </w:r>
      <w:r w:rsidR="00474671">
        <w:rPr>
          <w:rFonts w:eastAsia="Calibri"/>
        </w:rPr>
        <w:t xml:space="preserve"> hours</w:t>
      </w:r>
      <w:r w:rsidRPr="00B009B7" w:rsidR="00B009B7">
        <w:rPr>
          <w:rFonts w:eastAsia="Calibri"/>
        </w:rPr>
        <w:t xml:space="preserve"> x $9</w:t>
      </w:r>
      <w:r w:rsidR="00474671">
        <w:rPr>
          <w:rFonts w:eastAsia="Calibri"/>
        </w:rPr>
        <w:t>8</w:t>
      </w:r>
      <w:r w:rsidR="000669BC">
        <w:rPr>
          <w:rFonts w:eastAsia="Calibri"/>
        </w:rPr>
        <w:t>.2</w:t>
      </w:r>
      <w:r w:rsidR="00474671">
        <w:rPr>
          <w:rFonts w:eastAsia="Calibri"/>
        </w:rPr>
        <w:t>8</w:t>
      </w:r>
      <w:r w:rsidRPr="00B009B7" w:rsidR="00B009B7">
        <w:rPr>
          <w:rFonts w:eastAsia="Calibri"/>
        </w:rPr>
        <w:t>/</w:t>
      </w:r>
      <w:proofErr w:type="spellStart"/>
      <w:r w:rsidRPr="00B009B7" w:rsidR="00B009B7">
        <w:rPr>
          <w:rFonts w:eastAsia="Calibri"/>
        </w:rPr>
        <w:t>hr</w:t>
      </w:r>
      <w:proofErr w:type="spellEnd"/>
      <w:r w:rsidRPr="00B009B7" w:rsidR="00B009B7">
        <w:rPr>
          <w:rFonts w:eastAsia="Calibri"/>
        </w:rPr>
        <w:t>)</w:t>
      </w:r>
      <w:r w:rsidRPr="004276D6" w:rsidR="0015290C">
        <w:rPr>
          <w:rFonts w:eastAsia="Calibri"/>
        </w:rPr>
        <w:t>.</w:t>
      </w:r>
      <w:bookmarkEnd w:id="5"/>
    </w:p>
    <w:p w:rsidRPr="00C47150" w:rsidR="006B22A9" w:rsidP="00A452F4" w:rsidRDefault="006B22A9" w14:paraId="094C324F" w14:textId="465E0475">
      <w:pPr>
        <w:keepNext/>
        <w:keepLines/>
        <w:spacing w:after="0"/>
        <w:jc w:val="center"/>
        <w:rPr>
          <w:b/>
          <w:bCs/>
        </w:rPr>
      </w:pPr>
      <w:r w:rsidRPr="00C47150">
        <w:rPr>
          <w:b/>
          <w:bCs/>
        </w:rPr>
        <w:t xml:space="preserve">TABLE </w:t>
      </w:r>
      <w:r w:rsidR="0015290C">
        <w:rPr>
          <w:b/>
          <w:bCs/>
        </w:rPr>
        <w:t>1</w:t>
      </w:r>
      <w:r w:rsidR="00387536">
        <w:rPr>
          <w:b/>
          <w:bCs/>
        </w:rPr>
        <w:t>6</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r w:rsidR="00540946">
        <w:rPr>
          <w:b/>
          <w:bCs/>
        </w:rPr>
        <w:t xml:space="preserve"> </w:t>
      </w:r>
    </w:p>
    <w:tbl>
      <w:tblPr>
        <w:tblW w:w="1026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44"/>
        <w:gridCol w:w="1316"/>
      </w:tblGrid>
      <w:tr w:rsidRPr="00C47150" w:rsidR="00182C5C" w:rsidTr="00102850" w14:paraId="52EC8B1B" w14:textId="77777777">
        <w:trPr>
          <w:trHeight w:val="300"/>
          <w:tblHeader/>
        </w:trPr>
        <w:tc>
          <w:tcPr>
            <w:tcW w:w="8944" w:type="dxa"/>
            <w:shd w:val="clear" w:color="auto" w:fill="auto"/>
            <w:vAlign w:val="center"/>
            <w:hideMark/>
          </w:tcPr>
          <w:p w:rsidRPr="006B22A9" w:rsidR="006B22A9" w:rsidP="00A452F4" w:rsidRDefault="006B22A9" w14:paraId="4B32C76E" w14:textId="4A4198C1">
            <w:pPr>
              <w:keepNext/>
              <w:keepLines/>
              <w:spacing w:after="0"/>
              <w:rPr>
                <w:b/>
                <w:sz w:val="20"/>
                <w:szCs w:val="20"/>
              </w:rPr>
            </w:pPr>
            <w:r w:rsidRPr="006B22A9">
              <w:rPr>
                <w:b/>
                <w:sz w:val="20"/>
                <w:szCs w:val="20"/>
              </w:rPr>
              <w:t>Burden and Respondent Descriptions</w:t>
            </w:r>
          </w:p>
        </w:tc>
        <w:tc>
          <w:tcPr>
            <w:tcW w:w="1316" w:type="dxa"/>
            <w:shd w:val="clear" w:color="auto" w:fill="FFFFFF" w:themeFill="background1"/>
            <w:vAlign w:val="center"/>
            <w:hideMark/>
          </w:tcPr>
          <w:p w:rsidRPr="00675D16" w:rsidR="006B22A9" w:rsidP="00A452F4" w:rsidRDefault="006B22A9" w14:paraId="7619B2C8" w14:textId="37521178">
            <w:pPr>
              <w:keepNext/>
              <w:keepLines/>
              <w:spacing w:after="0"/>
              <w:rPr>
                <w:b/>
                <w:bCs/>
                <w:sz w:val="20"/>
                <w:szCs w:val="20"/>
              </w:rPr>
            </w:pPr>
            <w:r w:rsidRPr="00675D16">
              <w:rPr>
                <w:b/>
                <w:bCs/>
                <w:sz w:val="20"/>
                <w:szCs w:val="20"/>
              </w:rPr>
              <w:t xml:space="preserve">Burden </w:t>
            </w:r>
            <w:r w:rsidR="002E799B">
              <w:rPr>
                <w:b/>
                <w:bCs/>
                <w:sz w:val="20"/>
                <w:szCs w:val="20"/>
              </w:rPr>
              <w:t>E</w:t>
            </w:r>
            <w:r w:rsidRPr="00675D16">
              <w:rPr>
                <w:b/>
                <w:bCs/>
                <w:sz w:val="20"/>
                <w:szCs w:val="20"/>
              </w:rPr>
              <w:t>stimate</w:t>
            </w:r>
          </w:p>
        </w:tc>
      </w:tr>
      <w:tr w:rsidRPr="00C47150" w:rsidR="0015290C" w:rsidTr="00102850" w14:paraId="2669CD67" w14:textId="77777777">
        <w:trPr>
          <w:trHeight w:val="359"/>
        </w:trPr>
        <w:tc>
          <w:tcPr>
            <w:tcW w:w="8944" w:type="dxa"/>
            <w:shd w:val="clear" w:color="auto" w:fill="auto"/>
            <w:hideMark/>
          </w:tcPr>
          <w:p w:rsidRPr="00675D16" w:rsidR="0015290C" w:rsidP="0015290C" w:rsidRDefault="0015290C" w14:paraId="57A16CBD" w14:textId="225CFB75">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316" w:type="dxa"/>
            <w:shd w:val="clear" w:color="auto" w:fill="auto"/>
            <w:noWrap/>
            <w:vAlign w:val="center"/>
            <w:hideMark/>
          </w:tcPr>
          <w:p w:rsidRPr="00675D16" w:rsidR="0015290C" w:rsidP="0015290C" w:rsidRDefault="00401EA9" w14:paraId="66D57802" w14:textId="1FDDE927">
            <w:pPr>
              <w:spacing w:after="0"/>
              <w:jc w:val="right"/>
              <w:rPr>
                <w:sz w:val="20"/>
                <w:szCs w:val="20"/>
              </w:rPr>
            </w:pPr>
            <w:r>
              <w:rPr>
                <w:sz w:val="20"/>
                <w:szCs w:val="20"/>
              </w:rPr>
              <w:t>31,135</w:t>
            </w:r>
          </w:p>
        </w:tc>
      </w:tr>
      <w:tr w:rsidRPr="00C47150" w:rsidR="002E563B" w:rsidTr="00102850" w14:paraId="74C93C7E" w14:textId="77777777">
        <w:trPr>
          <w:trHeight w:val="278"/>
        </w:trPr>
        <w:tc>
          <w:tcPr>
            <w:tcW w:w="8944" w:type="dxa"/>
            <w:shd w:val="clear" w:color="auto" w:fill="auto"/>
            <w:vAlign w:val="center"/>
          </w:tcPr>
          <w:p w:rsidRPr="00732012" w:rsidR="002E563B" w:rsidP="002E563B" w:rsidRDefault="002E563B" w14:paraId="39C24E06" w14:textId="48A67653">
            <w:pPr>
              <w:spacing w:after="0"/>
              <w:rPr>
                <w:sz w:val="20"/>
                <w:szCs w:val="20"/>
              </w:rPr>
            </w:pPr>
            <w:r>
              <w:rPr>
                <w:rFonts w:eastAsia="Calibri"/>
                <w:sz w:val="20"/>
                <w:szCs w:val="20"/>
              </w:rPr>
              <w:t># APM Entities requesting Extreme and Uncontrollable Circumstances exception</w:t>
            </w:r>
            <w:r w:rsidR="00445C13">
              <w:rPr>
                <w:rFonts w:eastAsia="Calibri"/>
                <w:sz w:val="20"/>
                <w:szCs w:val="20"/>
              </w:rPr>
              <w:t xml:space="preserve"> (</w:t>
            </w:r>
            <w:r w:rsidR="00401EA9">
              <w:rPr>
                <w:rFonts w:eastAsia="Calibri"/>
                <w:sz w:val="20"/>
                <w:szCs w:val="20"/>
              </w:rPr>
              <w:t>b</w:t>
            </w:r>
            <w:r w:rsidR="00445C13">
              <w:rPr>
                <w:rFonts w:eastAsia="Calibri"/>
                <w:sz w:val="20"/>
                <w:szCs w:val="20"/>
              </w:rPr>
              <w:t>)</w:t>
            </w:r>
          </w:p>
        </w:tc>
        <w:tc>
          <w:tcPr>
            <w:tcW w:w="1316" w:type="dxa"/>
            <w:shd w:val="clear" w:color="auto" w:fill="auto"/>
            <w:vAlign w:val="center"/>
          </w:tcPr>
          <w:p w:rsidR="002E563B" w:rsidP="002E563B" w:rsidRDefault="00575549" w14:paraId="6E37FBF1" w14:textId="35162106">
            <w:pPr>
              <w:spacing w:after="0"/>
              <w:jc w:val="right"/>
              <w:rPr>
                <w:sz w:val="20"/>
                <w:szCs w:val="20"/>
              </w:rPr>
            </w:pPr>
            <w:r>
              <w:rPr>
                <w:rFonts w:eastAsia="Calibri"/>
                <w:sz w:val="20"/>
                <w:szCs w:val="20"/>
              </w:rPr>
              <w:t>2</w:t>
            </w:r>
            <w:r w:rsidR="00213A22">
              <w:rPr>
                <w:rFonts w:eastAsia="Calibri"/>
                <w:sz w:val="20"/>
                <w:szCs w:val="20"/>
              </w:rPr>
              <w:t>0</w:t>
            </w:r>
          </w:p>
        </w:tc>
      </w:tr>
      <w:tr w:rsidRPr="00C47150" w:rsidR="002E563B" w:rsidTr="00102850" w14:paraId="165E12FE" w14:textId="77777777">
        <w:trPr>
          <w:trHeight w:val="278"/>
        </w:trPr>
        <w:tc>
          <w:tcPr>
            <w:tcW w:w="8944" w:type="dxa"/>
            <w:shd w:val="clear" w:color="auto" w:fill="auto"/>
          </w:tcPr>
          <w:p w:rsidRPr="00675D16" w:rsidR="002E563B" w:rsidP="002E563B" w:rsidRDefault="002E563B" w14:paraId="5B5BCD23" w14:textId="1CAE0179">
            <w:pPr>
              <w:spacing w:after="0"/>
              <w:rPr>
                <w:sz w:val="20"/>
                <w:szCs w:val="20"/>
              </w:rPr>
            </w:pPr>
            <w:r w:rsidRPr="00732012">
              <w:rPr>
                <w:sz w:val="20"/>
                <w:szCs w:val="20"/>
              </w:rPr>
              <w:t>Total Respondents Due to Hardships, Other Exceptions and Hardships for Small Practices (</w:t>
            </w:r>
            <w:r w:rsidR="00575549">
              <w:rPr>
                <w:sz w:val="20"/>
                <w:szCs w:val="20"/>
              </w:rPr>
              <w:t>c</w:t>
            </w:r>
            <w:r w:rsidRPr="00732012">
              <w:rPr>
                <w:sz w:val="20"/>
                <w:szCs w:val="20"/>
              </w:rPr>
              <w:t>)</w:t>
            </w:r>
            <w:r w:rsidR="00445C13">
              <w:rPr>
                <w:sz w:val="20"/>
                <w:szCs w:val="20"/>
              </w:rPr>
              <w:t xml:space="preserve"> = (a)</w:t>
            </w:r>
            <w:r w:rsidR="00283F1E">
              <w:rPr>
                <w:sz w:val="20"/>
                <w:szCs w:val="20"/>
              </w:rPr>
              <w:t xml:space="preserve"> + (b)</w:t>
            </w:r>
          </w:p>
        </w:tc>
        <w:tc>
          <w:tcPr>
            <w:tcW w:w="1316" w:type="dxa"/>
            <w:shd w:val="clear" w:color="auto" w:fill="auto"/>
            <w:vAlign w:val="center"/>
          </w:tcPr>
          <w:p w:rsidRPr="00675D16" w:rsidR="002E563B" w:rsidP="002E563B" w:rsidRDefault="00EA5BF1" w14:paraId="6BD99CB7" w14:textId="5A7B50B4">
            <w:pPr>
              <w:spacing w:after="0"/>
              <w:jc w:val="right"/>
              <w:rPr>
                <w:sz w:val="20"/>
                <w:szCs w:val="20"/>
              </w:rPr>
            </w:pPr>
            <w:r>
              <w:rPr>
                <w:sz w:val="20"/>
                <w:szCs w:val="20"/>
              </w:rPr>
              <w:t>31,155</w:t>
            </w:r>
          </w:p>
        </w:tc>
      </w:tr>
      <w:tr w:rsidRPr="00C47150" w:rsidR="002E563B" w:rsidTr="00102850" w14:paraId="49280980" w14:textId="77777777">
        <w:trPr>
          <w:trHeight w:val="260"/>
        </w:trPr>
        <w:tc>
          <w:tcPr>
            <w:tcW w:w="8944" w:type="dxa"/>
            <w:shd w:val="clear" w:color="auto" w:fill="auto"/>
            <w:hideMark/>
          </w:tcPr>
          <w:p w:rsidRPr="00675D16" w:rsidR="002E563B" w:rsidP="002E563B" w:rsidRDefault="002E563B" w14:paraId="320B4D27" w14:textId="47D3E9C0">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w:t>
            </w:r>
            <w:r w:rsidR="00EA5BF1">
              <w:rPr>
                <w:sz w:val="20"/>
                <w:szCs w:val="20"/>
              </w:rPr>
              <w:t>d</w:t>
            </w:r>
            <w:r w:rsidRPr="00732012">
              <w:rPr>
                <w:sz w:val="20"/>
                <w:szCs w:val="20"/>
              </w:rPr>
              <w:t xml:space="preserve">) </w:t>
            </w:r>
          </w:p>
        </w:tc>
        <w:tc>
          <w:tcPr>
            <w:tcW w:w="1316" w:type="dxa"/>
            <w:shd w:val="clear" w:color="auto" w:fill="auto"/>
            <w:vAlign w:val="center"/>
            <w:hideMark/>
          </w:tcPr>
          <w:p w:rsidRPr="00675D16" w:rsidR="002E563B" w:rsidP="002E563B" w:rsidRDefault="002E563B" w14:paraId="769B9174" w14:textId="26CAC07A">
            <w:pPr>
              <w:spacing w:after="0"/>
              <w:jc w:val="right"/>
              <w:rPr>
                <w:sz w:val="20"/>
                <w:szCs w:val="20"/>
              </w:rPr>
            </w:pPr>
            <w:r w:rsidRPr="003428D4">
              <w:rPr>
                <w:rFonts w:eastAsia="Calibri"/>
                <w:sz w:val="20"/>
                <w:szCs w:val="20"/>
              </w:rPr>
              <w:t>0.25</w:t>
            </w:r>
          </w:p>
        </w:tc>
      </w:tr>
      <w:tr w:rsidRPr="00C47150" w:rsidR="00182C5C" w:rsidTr="00102850" w14:paraId="42804265" w14:textId="77777777">
        <w:trPr>
          <w:trHeight w:val="187"/>
        </w:trPr>
        <w:tc>
          <w:tcPr>
            <w:tcW w:w="8944" w:type="dxa"/>
            <w:shd w:val="clear" w:color="auto" w:fill="E7E6E6" w:themeFill="background2"/>
            <w:hideMark/>
          </w:tcPr>
          <w:p w:rsidRPr="00920A23" w:rsidR="002E563B" w:rsidP="002E563B" w:rsidRDefault="002E563B" w14:paraId="20013ECE" w14:textId="53E781AF">
            <w:pPr>
              <w:spacing w:after="0"/>
              <w:rPr>
                <w:b/>
                <w:sz w:val="20"/>
                <w:szCs w:val="20"/>
              </w:rPr>
            </w:pPr>
            <w:r w:rsidRPr="00920A23">
              <w:rPr>
                <w:b/>
                <w:sz w:val="20"/>
                <w:szCs w:val="20"/>
              </w:rPr>
              <w:t>Total Annual Hours (</w:t>
            </w:r>
            <w:r w:rsidR="00EA5BF1">
              <w:rPr>
                <w:b/>
                <w:sz w:val="20"/>
                <w:szCs w:val="20"/>
              </w:rPr>
              <w:t>e</w:t>
            </w:r>
            <w:r w:rsidRPr="00920A23">
              <w:rPr>
                <w:b/>
                <w:sz w:val="20"/>
                <w:szCs w:val="20"/>
              </w:rPr>
              <w:t>)=(</w:t>
            </w:r>
            <w:r w:rsidR="00FE4B8B">
              <w:rPr>
                <w:b/>
                <w:sz w:val="20"/>
                <w:szCs w:val="20"/>
              </w:rPr>
              <w:t>c</w:t>
            </w:r>
            <w:r w:rsidRPr="00920A23">
              <w:rPr>
                <w:b/>
                <w:sz w:val="20"/>
                <w:szCs w:val="20"/>
              </w:rPr>
              <w:t>)*(</w:t>
            </w:r>
            <w:r w:rsidR="00A75540">
              <w:rPr>
                <w:b/>
                <w:sz w:val="20"/>
                <w:szCs w:val="20"/>
              </w:rPr>
              <w:t>d</w:t>
            </w:r>
            <w:r w:rsidRPr="00920A23">
              <w:rPr>
                <w:b/>
                <w:sz w:val="20"/>
                <w:szCs w:val="20"/>
              </w:rPr>
              <w:t>)</w:t>
            </w:r>
          </w:p>
        </w:tc>
        <w:tc>
          <w:tcPr>
            <w:tcW w:w="1316" w:type="dxa"/>
            <w:shd w:val="clear" w:color="auto" w:fill="E7E6E6" w:themeFill="background2"/>
            <w:vAlign w:val="center"/>
            <w:hideMark/>
          </w:tcPr>
          <w:p w:rsidRPr="00920A23" w:rsidR="002E563B" w:rsidP="002E563B" w:rsidRDefault="00FE4B8B" w14:paraId="6AD32D5D" w14:textId="7F3F63A2">
            <w:pPr>
              <w:spacing w:after="0"/>
              <w:jc w:val="right"/>
              <w:rPr>
                <w:b/>
                <w:sz w:val="20"/>
                <w:szCs w:val="20"/>
              </w:rPr>
            </w:pPr>
            <w:r>
              <w:rPr>
                <w:b/>
                <w:sz w:val="20"/>
                <w:szCs w:val="20"/>
              </w:rPr>
              <w:t>7</w:t>
            </w:r>
            <w:r w:rsidR="00A02E81">
              <w:rPr>
                <w:b/>
                <w:sz w:val="20"/>
                <w:szCs w:val="20"/>
              </w:rPr>
              <w:t>,7</w:t>
            </w:r>
            <w:r>
              <w:rPr>
                <w:b/>
                <w:sz w:val="20"/>
                <w:szCs w:val="20"/>
              </w:rPr>
              <w:t>89</w:t>
            </w:r>
          </w:p>
        </w:tc>
      </w:tr>
      <w:tr w:rsidRPr="00C47150" w:rsidR="002E563B" w:rsidTr="00102850" w14:paraId="2C462897" w14:textId="77777777">
        <w:trPr>
          <w:trHeight w:val="287"/>
        </w:trPr>
        <w:tc>
          <w:tcPr>
            <w:tcW w:w="8944" w:type="dxa"/>
            <w:shd w:val="clear" w:color="auto" w:fill="auto"/>
            <w:hideMark/>
          </w:tcPr>
          <w:p w:rsidRPr="00675D16" w:rsidR="002E563B" w:rsidP="002E563B" w:rsidRDefault="002E563B" w14:paraId="4D7FEF09" w14:textId="3DDE3630">
            <w:pPr>
              <w:spacing w:after="0"/>
              <w:rPr>
                <w:sz w:val="20"/>
                <w:szCs w:val="20"/>
              </w:rPr>
            </w:pPr>
            <w:r w:rsidRPr="00732012">
              <w:rPr>
                <w:sz w:val="20"/>
                <w:szCs w:val="20"/>
              </w:rPr>
              <w:t>Labor Rate for a computer systems analyst (</w:t>
            </w:r>
            <w:r w:rsidR="00FE4B8B">
              <w:rPr>
                <w:sz w:val="20"/>
                <w:szCs w:val="20"/>
              </w:rPr>
              <w:t>f</w:t>
            </w:r>
            <w:r w:rsidRPr="00732012">
              <w:rPr>
                <w:sz w:val="20"/>
                <w:szCs w:val="20"/>
              </w:rPr>
              <w:t>)</w:t>
            </w:r>
          </w:p>
        </w:tc>
        <w:tc>
          <w:tcPr>
            <w:tcW w:w="1316" w:type="dxa"/>
            <w:shd w:val="clear" w:color="auto" w:fill="auto"/>
            <w:vAlign w:val="center"/>
            <w:hideMark/>
          </w:tcPr>
          <w:p w:rsidRPr="00675D16" w:rsidR="002E563B" w:rsidP="002E563B" w:rsidRDefault="002E563B" w14:paraId="40021E03" w14:textId="54B9ED16">
            <w:pPr>
              <w:spacing w:after="0"/>
              <w:jc w:val="right"/>
              <w:rPr>
                <w:sz w:val="20"/>
                <w:szCs w:val="20"/>
              </w:rPr>
            </w:pPr>
            <w:r w:rsidRPr="00EF17E0">
              <w:rPr>
                <w:rFonts w:eastAsia="Calibri"/>
                <w:sz w:val="20"/>
                <w:szCs w:val="20"/>
              </w:rPr>
              <w:t>$</w:t>
            </w:r>
            <w:r>
              <w:rPr>
                <w:rFonts w:eastAsia="Calibri"/>
                <w:sz w:val="20"/>
                <w:szCs w:val="20"/>
              </w:rPr>
              <w:t>9</w:t>
            </w:r>
            <w:r w:rsidR="00FE4B8B">
              <w:rPr>
                <w:rFonts w:eastAsia="Calibri"/>
                <w:sz w:val="20"/>
                <w:szCs w:val="20"/>
              </w:rPr>
              <w:t>8</w:t>
            </w:r>
            <w:r w:rsidR="006F0838">
              <w:rPr>
                <w:rFonts w:eastAsia="Calibri"/>
                <w:sz w:val="20"/>
                <w:szCs w:val="20"/>
              </w:rPr>
              <w:t>.2</w:t>
            </w:r>
            <w:r w:rsidR="00FE4B8B">
              <w:rPr>
                <w:rFonts w:eastAsia="Calibri"/>
                <w:sz w:val="20"/>
                <w:szCs w:val="20"/>
              </w:rPr>
              <w:t>8</w:t>
            </w:r>
            <w:r w:rsidRPr="00EF17E0">
              <w:rPr>
                <w:rFonts w:eastAsia="Calibri"/>
                <w:sz w:val="20"/>
                <w:szCs w:val="20"/>
              </w:rPr>
              <w:t>/</w:t>
            </w:r>
            <w:proofErr w:type="spellStart"/>
            <w:r w:rsidRPr="00EF17E0">
              <w:rPr>
                <w:rFonts w:eastAsia="Calibri"/>
                <w:sz w:val="20"/>
                <w:szCs w:val="20"/>
              </w:rPr>
              <w:t>hr</w:t>
            </w:r>
            <w:proofErr w:type="spellEnd"/>
          </w:p>
        </w:tc>
      </w:tr>
      <w:tr w:rsidRPr="00C47150" w:rsidR="00182C5C" w:rsidTr="00102850" w14:paraId="665CEE44" w14:textId="77777777">
        <w:trPr>
          <w:trHeight w:val="295"/>
        </w:trPr>
        <w:tc>
          <w:tcPr>
            <w:tcW w:w="8944" w:type="dxa"/>
            <w:shd w:val="clear" w:color="auto" w:fill="E7E6E6" w:themeFill="background2"/>
            <w:hideMark/>
          </w:tcPr>
          <w:p w:rsidRPr="00920A23" w:rsidR="002E563B" w:rsidP="002E563B" w:rsidRDefault="002E563B" w14:paraId="1A8FF7FB" w14:textId="751CE4C9">
            <w:pPr>
              <w:spacing w:after="0"/>
              <w:rPr>
                <w:b/>
                <w:sz w:val="20"/>
                <w:szCs w:val="20"/>
              </w:rPr>
            </w:pPr>
            <w:r w:rsidRPr="00920A23">
              <w:rPr>
                <w:b/>
                <w:sz w:val="20"/>
                <w:szCs w:val="20"/>
              </w:rPr>
              <w:t>Total Annual Cost (</w:t>
            </w:r>
            <w:r w:rsidR="00FE4B8B">
              <w:rPr>
                <w:b/>
                <w:sz w:val="20"/>
                <w:szCs w:val="20"/>
              </w:rPr>
              <w:t>g</w:t>
            </w:r>
            <w:r w:rsidRPr="00920A23">
              <w:rPr>
                <w:b/>
                <w:sz w:val="20"/>
                <w:szCs w:val="20"/>
              </w:rPr>
              <w:t>)=(</w:t>
            </w:r>
            <w:r w:rsidR="00FE4B8B">
              <w:rPr>
                <w:b/>
                <w:sz w:val="20"/>
                <w:szCs w:val="20"/>
              </w:rPr>
              <w:t>e</w:t>
            </w:r>
            <w:r w:rsidRPr="00920A23">
              <w:rPr>
                <w:b/>
                <w:sz w:val="20"/>
                <w:szCs w:val="20"/>
              </w:rPr>
              <w:t>)*(f)</w:t>
            </w:r>
          </w:p>
        </w:tc>
        <w:tc>
          <w:tcPr>
            <w:tcW w:w="1316" w:type="dxa"/>
            <w:shd w:val="clear" w:color="auto" w:fill="E7E6E6" w:themeFill="background2"/>
            <w:noWrap/>
            <w:vAlign w:val="center"/>
            <w:hideMark/>
          </w:tcPr>
          <w:p w:rsidRPr="00920A23" w:rsidR="002E563B" w:rsidP="002E563B" w:rsidRDefault="002E563B" w14:paraId="20292AD5" w14:textId="741009E1">
            <w:pPr>
              <w:spacing w:after="0"/>
              <w:jc w:val="right"/>
              <w:rPr>
                <w:b/>
                <w:sz w:val="20"/>
                <w:szCs w:val="20"/>
              </w:rPr>
            </w:pPr>
            <w:r w:rsidRPr="00920A23">
              <w:rPr>
                <w:rFonts w:eastAsia="Calibri"/>
                <w:b/>
                <w:sz w:val="20"/>
                <w:szCs w:val="20"/>
              </w:rPr>
              <w:t>$</w:t>
            </w:r>
            <w:r w:rsidR="00FE4B8B">
              <w:rPr>
                <w:rFonts w:eastAsia="Calibri"/>
                <w:b/>
                <w:sz w:val="20"/>
                <w:szCs w:val="20"/>
              </w:rPr>
              <w:t>765</w:t>
            </w:r>
            <w:r w:rsidR="000E2938">
              <w:rPr>
                <w:rFonts w:eastAsia="Calibri"/>
                <w:b/>
                <w:sz w:val="20"/>
                <w:szCs w:val="20"/>
              </w:rPr>
              <w:t>,</w:t>
            </w:r>
            <w:r w:rsidR="009B5FD8">
              <w:rPr>
                <w:rFonts w:eastAsia="Calibri"/>
                <w:b/>
                <w:sz w:val="20"/>
                <w:szCs w:val="20"/>
              </w:rPr>
              <w:t>5</w:t>
            </w:r>
            <w:r w:rsidR="00FE4B8B">
              <w:rPr>
                <w:rFonts w:eastAsia="Calibri"/>
                <w:b/>
                <w:sz w:val="20"/>
                <w:szCs w:val="20"/>
              </w:rPr>
              <w:t>03</w:t>
            </w:r>
          </w:p>
        </w:tc>
      </w:tr>
    </w:tbl>
    <w:p w:rsidR="00192E1D" w:rsidP="003D552B" w:rsidRDefault="00192E1D" w14:paraId="1C683B15" w14:textId="77777777">
      <w:pPr>
        <w:pStyle w:val="Heading4"/>
        <w:numPr>
          <w:ilvl w:val="0"/>
          <w:numId w:val="0"/>
        </w:numPr>
      </w:pPr>
    </w:p>
    <w:p w:rsidRPr="004330C9" w:rsidR="00A13C65" w:rsidP="00A46175" w:rsidRDefault="00F17B09" w14:paraId="5929BAB2" w14:textId="379DEFCA">
      <w:pPr>
        <w:pStyle w:val="Heading4"/>
        <w:numPr>
          <w:ilvl w:val="0"/>
          <w:numId w:val="18"/>
        </w:numPr>
      </w:pPr>
      <w:r>
        <w:t xml:space="preserve">   </w:t>
      </w:r>
      <w:r w:rsidRPr="004330C9" w:rsidR="00A13C65">
        <w:t>Burden for Submitting Promoting Interoperability Data</w:t>
      </w:r>
    </w:p>
    <w:p w:rsidRPr="00AF3F68" w:rsidR="00AF3F68" w:rsidP="00E12B53" w:rsidRDefault="009672C1" w14:paraId="2A5002D9" w14:textId="36D29BFE">
      <w:pPr>
        <w:rPr>
          <w:rFonts w:eastAsia="Calibri"/>
        </w:rPr>
      </w:pPr>
      <w:r w:rsidRPr="009672C1">
        <w:rPr>
          <w:rFonts w:eastAsia="Calibri"/>
        </w:rPr>
        <w:t>A variety of organizations will submit Promoting Interoperability data on behalf of clinicians.  Clinicians not participating in a MIPS APM may submit data as individuals or as part of a group</w:t>
      </w:r>
      <w:r w:rsidR="006F1602">
        <w:rPr>
          <w:rFonts w:eastAsia="Calibri"/>
        </w:rPr>
        <w:t xml:space="preserve"> or a subgroup</w:t>
      </w:r>
      <w:r w:rsidRPr="009672C1">
        <w:rPr>
          <w:rFonts w:eastAsia="Calibri"/>
        </w:rPr>
        <w:t>.  In the CY 2017 Quality Payment Program final rule (81 FR 77258 through 77260, 77262 through 77264) and CY 2019 PFS final rule (83 FR 59822-59823), we established that</w:t>
      </w:r>
      <w:r w:rsidR="005B7BB5">
        <w:rPr>
          <w:rFonts w:eastAsia="Calibri"/>
        </w:rPr>
        <w:t xml:space="preserve"> </w:t>
      </w:r>
      <w:r w:rsidRPr="009672C1">
        <w:rPr>
          <w:rFonts w:eastAsia="Calibri"/>
        </w:rPr>
        <w:t>eligible clinicians in MIPS APMs (including the Shared Savings Program) may report for the Promoting Interoperability performance category as an APM Entity group, individuals, or a group</w:t>
      </w:r>
      <w:r w:rsidRPr="00AF3F68" w:rsidR="00AF3F68">
        <w:rPr>
          <w:rFonts w:eastAsia="Calibri"/>
        </w:rPr>
        <w:t xml:space="preserve">.  </w:t>
      </w:r>
    </w:p>
    <w:p w:rsidRPr="00AF3F68" w:rsidR="00620552" w:rsidP="00E12B53" w:rsidRDefault="00AF3F68" w14:paraId="47FA69BC" w14:textId="7B02561A">
      <w:pPr>
        <w:rPr>
          <w:rFonts w:eastAsia="Calibri"/>
        </w:rPr>
      </w:pPr>
      <w:r w:rsidRPr="00AF3F68">
        <w:rPr>
          <w:rFonts w:eastAsia="Calibri"/>
        </w:rPr>
        <w:lastRenderedPageBreak/>
        <w:t xml:space="preserve">As shown in Table </w:t>
      </w:r>
      <w:r w:rsidR="00F76436">
        <w:rPr>
          <w:rFonts w:eastAsia="Calibri"/>
        </w:rPr>
        <w:t>17</w:t>
      </w:r>
      <w:r w:rsidRPr="00AF3F68">
        <w:rPr>
          <w:rFonts w:eastAsia="Calibri"/>
        </w:rPr>
        <w:t xml:space="preserve">, </w:t>
      </w:r>
      <w:r w:rsidRPr="00D11B1D" w:rsidR="00D11B1D">
        <w:rPr>
          <w:rFonts w:eastAsia="Calibri"/>
        </w:rPr>
        <w:t>based on data from the</w:t>
      </w:r>
      <w:r w:rsidR="00130E58">
        <w:rPr>
          <w:rFonts w:eastAsia="Calibri"/>
        </w:rPr>
        <w:t xml:space="preserve"> CY</w:t>
      </w:r>
      <w:r w:rsidRPr="00D11B1D" w:rsidR="00D11B1D">
        <w:rPr>
          <w:rFonts w:eastAsia="Calibri"/>
        </w:rPr>
        <w:t xml:space="preserve"> 2019</w:t>
      </w:r>
      <w:r w:rsidR="009C0470">
        <w:rPr>
          <w:rFonts w:eastAsia="Calibri"/>
        </w:rPr>
        <w:t xml:space="preserve"> </w:t>
      </w:r>
      <w:r w:rsidRPr="00D11B1D" w:rsidR="00D11B1D">
        <w:rPr>
          <w:rFonts w:eastAsia="Calibri"/>
        </w:rPr>
        <w:t>performance period</w:t>
      </w:r>
      <w:r w:rsidR="004B302C">
        <w:rPr>
          <w:rFonts w:eastAsia="Calibri"/>
        </w:rPr>
        <w:t>/2021</w:t>
      </w:r>
      <w:r w:rsidR="009C0470">
        <w:rPr>
          <w:rFonts w:eastAsia="Calibri"/>
        </w:rPr>
        <w:t xml:space="preserve"> </w:t>
      </w:r>
      <w:r w:rsidR="004B302C">
        <w:rPr>
          <w:rFonts w:eastAsia="Calibri"/>
        </w:rPr>
        <w:t>MIPS payment year</w:t>
      </w:r>
      <w:r w:rsidRPr="00D11B1D" w:rsidR="00D11B1D">
        <w:rPr>
          <w:rFonts w:eastAsia="Calibri"/>
        </w:rPr>
        <w:t xml:space="preserve">, we estimate that a total of </w:t>
      </w:r>
      <w:r w:rsidRPr="00D11B1D" w:rsidR="00BC3840">
        <w:rPr>
          <w:rFonts w:eastAsia="Calibri"/>
        </w:rPr>
        <w:t>5</w:t>
      </w:r>
      <w:r w:rsidR="00F32621">
        <w:rPr>
          <w:rFonts w:eastAsia="Calibri"/>
        </w:rPr>
        <w:t>4</w:t>
      </w:r>
      <w:r w:rsidR="00BC3840">
        <w:rPr>
          <w:rFonts w:eastAsia="Calibri"/>
        </w:rPr>
        <w:t>,7</w:t>
      </w:r>
      <w:r w:rsidR="00F32621">
        <w:rPr>
          <w:rFonts w:eastAsia="Calibri"/>
        </w:rPr>
        <w:t>70</w:t>
      </w:r>
      <w:r w:rsidR="00BC3840">
        <w:rPr>
          <w:rFonts w:eastAsia="Calibri"/>
        </w:rPr>
        <w:t xml:space="preserve"> </w:t>
      </w:r>
      <w:r w:rsidRPr="00D11B1D" w:rsidR="00BC3840">
        <w:rPr>
          <w:rFonts w:eastAsia="Calibri"/>
        </w:rPr>
        <w:t>respondents</w:t>
      </w:r>
      <w:r w:rsidRPr="00D11B1D" w:rsidR="00D11B1D">
        <w:rPr>
          <w:rFonts w:eastAsia="Calibri"/>
        </w:rPr>
        <w:t xml:space="preserve"> consisting of 4</w:t>
      </w:r>
      <w:r w:rsidR="000D2E35">
        <w:rPr>
          <w:rFonts w:eastAsia="Calibri"/>
        </w:rPr>
        <w:t>3</w:t>
      </w:r>
      <w:r w:rsidR="00F663D3">
        <w:rPr>
          <w:rFonts w:eastAsia="Calibri"/>
        </w:rPr>
        <w:t>,1</w:t>
      </w:r>
      <w:r w:rsidR="000D2E35">
        <w:rPr>
          <w:rFonts w:eastAsia="Calibri"/>
        </w:rPr>
        <w:t>1</w:t>
      </w:r>
      <w:r w:rsidR="00F663D3">
        <w:rPr>
          <w:rFonts w:eastAsia="Calibri"/>
        </w:rPr>
        <w:t>7</w:t>
      </w:r>
      <w:r w:rsidRPr="00D11B1D" w:rsidR="00D11B1D">
        <w:rPr>
          <w:rFonts w:eastAsia="Calibri"/>
        </w:rPr>
        <w:t xml:space="preserve"> individual MIPS eligible clinicians</w:t>
      </w:r>
      <w:r w:rsidR="000D2E35">
        <w:rPr>
          <w:rFonts w:eastAsia="Calibri"/>
        </w:rPr>
        <w:t xml:space="preserve">, </w:t>
      </w:r>
      <w:r w:rsidRPr="00D11B1D" w:rsidR="00D11B1D">
        <w:rPr>
          <w:rFonts w:eastAsia="Calibri"/>
        </w:rPr>
        <w:t>11,</w:t>
      </w:r>
      <w:r w:rsidR="000D2E35">
        <w:rPr>
          <w:rFonts w:eastAsia="Calibri"/>
        </w:rPr>
        <w:t>633</w:t>
      </w:r>
      <w:r w:rsidRPr="00D11B1D" w:rsidR="00D11B1D">
        <w:rPr>
          <w:rFonts w:eastAsia="Calibri"/>
        </w:rPr>
        <w:t xml:space="preserve"> groups and virtual groups</w:t>
      </w:r>
      <w:r w:rsidR="000D2E35">
        <w:rPr>
          <w:rFonts w:eastAsia="Calibri"/>
        </w:rPr>
        <w:t>, and 20 subgroups</w:t>
      </w:r>
      <w:r w:rsidRPr="00D11B1D" w:rsidR="00D11B1D">
        <w:rPr>
          <w:rFonts w:eastAsia="Calibri"/>
        </w:rPr>
        <w:t xml:space="preserve"> will submit Promoting Interoperability data</w:t>
      </w:r>
      <w:r w:rsidR="000D2E35">
        <w:rPr>
          <w:rFonts w:eastAsia="Calibri"/>
        </w:rPr>
        <w:t xml:space="preserve"> for the CY 2023 performance period/2025 MIPS payment year</w:t>
      </w:r>
      <w:r w:rsidRPr="00D11B1D" w:rsidR="00D11B1D">
        <w:rPr>
          <w:rFonts w:eastAsia="Calibri"/>
        </w:rPr>
        <w:t>.</w:t>
      </w:r>
      <w:r w:rsidRPr="00CC2BFB" w:rsidR="00DF07C7">
        <w:rPr>
          <w:rFonts w:eastAsia="Calibri"/>
        </w:rPr>
        <w:t xml:space="preserve"> </w:t>
      </w:r>
    </w:p>
    <w:p w:rsidRPr="00AF3F68" w:rsidR="00AF3F68" w:rsidP="00E12B53" w:rsidRDefault="00A03212" w14:paraId="7A1BA71E" w14:textId="1DC456AF">
      <w:pPr>
        <w:rPr>
          <w:rFonts w:eastAsia="Calibri"/>
        </w:rPr>
      </w:pPr>
      <w:r>
        <w:rPr>
          <w:rFonts w:eastAsia="Calibri"/>
        </w:rPr>
        <w:t>C</w:t>
      </w:r>
      <w:r w:rsidRPr="00CC2BFB" w:rsidR="00397E24">
        <w:rPr>
          <w:rFonts w:eastAsia="Calibri"/>
        </w:rPr>
        <w:t xml:space="preserve">ertain MIPS eligible clinicians will be eligible for automatic reweighting of the Promoting Interoperability performance category to zero percent, including MIPS eligible clinicians </w:t>
      </w:r>
      <w:r w:rsidR="003C1A99">
        <w:rPr>
          <w:rFonts w:eastAsia="Calibri"/>
        </w:rPr>
        <w:t>who</w:t>
      </w:r>
      <w:r w:rsidRPr="00CC2BFB" w:rsidR="003C1A99">
        <w:rPr>
          <w:rFonts w:eastAsia="Calibri"/>
        </w:rPr>
        <w:t xml:space="preserve"> </w:t>
      </w:r>
      <w:r w:rsidRPr="00CC2BFB" w:rsidR="00397E24">
        <w:rPr>
          <w:rFonts w:eastAsia="Calibri"/>
        </w:rPr>
        <w:t>are hospital-based, ambulatory surgical center-based, non-patient facing clinicians, physical therapists; occupational therapists; qualified speech-language pathologists or qualified audiologist; clinical psychologists; registered dieticians or nutrition professionals</w:t>
      </w:r>
      <w:r w:rsidR="00316C47">
        <w:rPr>
          <w:rFonts w:eastAsia="Calibri"/>
        </w:rPr>
        <w:t xml:space="preserve"> and clinical social workers</w:t>
      </w:r>
      <w:r>
        <w:rPr>
          <w:rFonts w:eastAsia="Calibri"/>
        </w:rPr>
        <w:t>.</w:t>
      </w:r>
      <w:r w:rsidRPr="003428D4" w:rsidR="00D5402F">
        <w:rPr>
          <w:rFonts w:eastAsia="Calibri"/>
        </w:rPr>
        <w:t xml:space="preserve"> </w:t>
      </w:r>
      <w:r w:rsidR="00D5402F">
        <w:rPr>
          <w:rFonts w:eastAsia="Calibri"/>
        </w:rPr>
        <w:t>In the CY 202</w:t>
      </w:r>
      <w:r w:rsidR="008E3B44">
        <w:rPr>
          <w:rFonts w:eastAsia="Calibri"/>
        </w:rPr>
        <w:t>3</w:t>
      </w:r>
      <w:r w:rsidR="00D5402F">
        <w:rPr>
          <w:rFonts w:eastAsia="Calibri"/>
        </w:rPr>
        <w:t xml:space="preserve"> PFS </w:t>
      </w:r>
      <w:r w:rsidR="008E3B44">
        <w:rPr>
          <w:rFonts w:eastAsia="Calibri"/>
        </w:rPr>
        <w:t>proposed</w:t>
      </w:r>
      <w:r w:rsidR="00D5402F">
        <w:rPr>
          <w:rFonts w:eastAsia="Calibri"/>
        </w:rPr>
        <w:t xml:space="preserve"> rule, we </w:t>
      </w:r>
      <w:r w:rsidR="00827284">
        <w:rPr>
          <w:rFonts w:eastAsia="Calibri"/>
        </w:rPr>
        <w:t xml:space="preserve">are </w:t>
      </w:r>
      <w:r w:rsidR="00E12FB6">
        <w:rPr>
          <w:rFonts w:eastAsia="Calibri"/>
        </w:rPr>
        <w:t>proposing not</w:t>
      </w:r>
      <w:r w:rsidR="00D5402F">
        <w:rPr>
          <w:rFonts w:eastAsia="Calibri"/>
        </w:rPr>
        <w:t xml:space="preserve"> to apply the automatic reweighting of the Promoting Interoperability performance category to </w:t>
      </w:r>
      <w:r w:rsidR="00E12FB6">
        <w:rPr>
          <w:rFonts w:eastAsia="Calibri"/>
        </w:rPr>
        <w:t>nurse practitioners, physician assistants, certified registered nurse anesthetists</w:t>
      </w:r>
      <w:r w:rsidR="007B1F87">
        <w:rPr>
          <w:rFonts w:eastAsia="Calibri"/>
        </w:rPr>
        <w:t>,</w:t>
      </w:r>
      <w:r w:rsidR="00D10C17">
        <w:rPr>
          <w:rFonts w:eastAsia="Calibri"/>
        </w:rPr>
        <w:t xml:space="preserve"> and clinical nurse specialists</w:t>
      </w:r>
      <w:r w:rsidR="00D5402F">
        <w:rPr>
          <w:rFonts w:eastAsia="Calibri"/>
        </w:rPr>
        <w:t>.</w:t>
      </w:r>
      <w:r w:rsidRPr="003428D4" w:rsidR="00D5402F">
        <w:rPr>
          <w:rFonts w:eastAsia="Calibri"/>
        </w:rPr>
        <w:t xml:space="preserve"> </w:t>
      </w:r>
      <w:r>
        <w:rPr>
          <w:rFonts w:eastAsia="Calibri"/>
        </w:rPr>
        <w:t>T</w:t>
      </w:r>
      <w:r w:rsidRPr="00CC2BFB" w:rsidR="00397E24">
        <w:rPr>
          <w:rFonts w:eastAsia="Calibri"/>
        </w:rPr>
        <w:t xml:space="preserve">hese estimates account for </w:t>
      </w:r>
      <w:r>
        <w:rPr>
          <w:rFonts w:eastAsia="Calibri"/>
        </w:rPr>
        <w:t>previously finalized</w:t>
      </w:r>
      <w:r w:rsidRPr="00CC2BFB" w:rsidR="00397E24">
        <w:rPr>
          <w:rFonts w:eastAsia="Calibri"/>
        </w:rPr>
        <w:t xml:space="preserve"> reweighting policies including exceptions for MIPS eligible clinicians who have experienced a significant hardship</w:t>
      </w:r>
      <w:r w:rsidR="008B2A26">
        <w:rPr>
          <w:rFonts w:eastAsia="Calibri"/>
        </w:rPr>
        <w:t xml:space="preserve"> </w:t>
      </w:r>
      <w:r>
        <w:rPr>
          <w:rFonts w:eastAsia="Calibri"/>
        </w:rPr>
        <w:t>and</w:t>
      </w:r>
      <w:r w:rsidRPr="00CC2BFB" w:rsidR="00397E24">
        <w:rPr>
          <w:rFonts w:eastAsia="Calibri"/>
        </w:rPr>
        <w:t xml:space="preserve"> decertification of an EHR</w:t>
      </w:r>
      <w:r w:rsidRPr="00AF3F68" w:rsidR="00AF3F68">
        <w:rPr>
          <w:rFonts w:eastAsia="Calibri"/>
        </w:rPr>
        <w:t>.</w:t>
      </w:r>
    </w:p>
    <w:p w:rsidRPr="00751305" w:rsidR="005F1F24" w:rsidRDefault="0061423A" w14:paraId="361C5E7B" w14:textId="103E4AC0">
      <w:pPr>
        <w:rPr>
          <w:rFonts w:eastAsia="Calibri"/>
        </w:rPr>
      </w:pPr>
      <w:r w:rsidRPr="0061423A">
        <w:rPr>
          <w:rFonts w:eastAsia="Calibri"/>
        </w:rPr>
        <w:t xml:space="preserve">We assume that MIPS eligible clinicians previously scored under the APM scoring standard, as described in the CY 2020 PFS final rule, will continue to submit Promoting Interoperability data (84 FR 63006) in a similar way through the APP. </w:t>
      </w:r>
      <w:r w:rsidRPr="00202799" w:rsidR="00202799">
        <w:rPr>
          <w:rFonts w:eastAsia="Calibri"/>
        </w:rPr>
        <w:t xml:space="preserve">Each MIPS eligible clinician in an APM Entity reports data for the Promoting Interoperability performance category through either their group TIN or individual reporting. </w:t>
      </w:r>
      <w:r w:rsidR="005E467C">
        <w:rPr>
          <w:rFonts w:eastAsia="Calibri"/>
        </w:rPr>
        <w:t xml:space="preserve">In the CY 2023 PFS proposed rule, </w:t>
      </w:r>
      <w:r w:rsidRPr="00794B98" w:rsidR="00794B98">
        <w:rPr>
          <w:rFonts w:eastAsia="Calibri"/>
        </w:rPr>
        <w:t xml:space="preserve">we are proposing to introduce a voluntary reporting option for APM Entities to report the Promoting Interoperability performance category at the APM Entity level beginning with the CY 2023 performance period/2025 MIPS payment year. </w:t>
      </w:r>
      <w:r w:rsidRPr="00202799" w:rsidR="00202799">
        <w:rPr>
          <w:rFonts w:eastAsia="Calibri"/>
        </w:rPr>
        <w:t xml:space="preserve"> Sections 1899 of the Act (42 U.S.C. 1395jjj) state that the Shared Savings Program and the testing, evaluation, and expansion of Innovation Center models are not subject to the PRA.  However, in the CY 2019 PFS final rule, we established that MIPS eligible clinicians who participate in the Shared Savings Program are no longer limited to reporting for the Promoting Interoperability performance category through their ACO participant TIN (83 FR 59822 through 59823).  Burden estimates for this </w:t>
      </w:r>
      <w:r w:rsidR="007A6DF9">
        <w:rPr>
          <w:rFonts w:eastAsia="Calibri"/>
        </w:rPr>
        <w:t>proposed</w:t>
      </w:r>
      <w:r w:rsidRPr="00202799" w:rsidR="0046726E">
        <w:rPr>
          <w:rFonts w:eastAsia="Calibri"/>
        </w:rPr>
        <w:t xml:space="preserve"> </w:t>
      </w:r>
      <w:r w:rsidRPr="00202799" w:rsidR="00202799">
        <w:rPr>
          <w:rFonts w:eastAsia="Calibri"/>
        </w:rPr>
        <w:t>rule assume group TIN-level reporting as we believe this is the most reasonable assumption for the Shared Savings Program, which requires that ACOs include full TINs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bookmarkStart w:name="_Hlk516985201" w:id="6"/>
      <w:r w:rsidRPr="00F152CD" w:rsidR="00F152CD">
        <w:rPr>
          <w:rFonts w:eastAsia="Calibri"/>
        </w:rPr>
        <w:t>In th</w:t>
      </w:r>
      <w:r w:rsidR="00F152CD">
        <w:rPr>
          <w:rFonts w:eastAsia="Calibri"/>
        </w:rPr>
        <w:t>e CY 202</w:t>
      </w:r>
      <w:r w:rsidR="007F5613">
        <w:rPr>
          <w:rFonts w:eastAsia="Calibri"/>
        </w:rPr>
        <w:t>3</w:t>
      </w:r>
      <w:r w:rsidR="00F152CD">
        <w:rPr>
          <w:rFonts w:eastAsia="Calibri"/>
        </w:rPr>
        <w:t xml:space="preserve"> PFS</w:t>
      </w:r>
      <w:r w:rsidRPr="00F152CD" w:rsidR="00F152CD">
        <w:rPr>
          <w:rFonts w:eastAsia="Calibri"/>
        </w:rPr>
        <w:t xml:space="preserve"> </w:t>
      </w:r>
      <w:r w:rsidR="007F5613">
        <w:rPr>
          <w:rFonts w:eastAsia="Calibri"/>
        </w:rPr>
        <w:t>proposed</w:t>
      </w:r>
      <w:r w:rsidRPr="00F152CD" w:rsidR="00F152CD">
        <w:rPr>
          <w:rFonts w:eastAsia="Calibri"/>
        </w:rPr>
        <w:t xml:space="preserve"> rule, </w:t>
      </w:r>
      <w:r w:rsidRPr="00A646F5" w:rsidR="00051CD1">
        <w:rPr>
          <w:color w:val="000000" w:themeColor="text1"/>
        </w:rPr>
        <w:t>for the Public Health and Clinical Data Exchange Objective, in addition to submitting responses for the required measures and any optional measures a MIPS eligible clinician chooses to report, we propose to require MIPS eligible clinicians to submit their level of active engagement, either Pre-production and Validation or Validated Data Production, for each measure they report beginning with the</w:t>
      </w:r>
      <w:r w:rsidR="00027698">
        <w:rPr>
          <w:color w:val="000000" w:themeColor="text1"/>
        </w:rPr>
        <w:t xml:space="preserve"> CY 2023</w:t>
      </w:r>
      <w:r w:rsidRPr="00A646F5" w:rsidR="00051CD1">
        <w:rPr>
          <w:color w:val="000000" w:themeColor="text1"/>
        </w:rPr>
        <w:t xml:space="preserve"> performance period</w:t>
      </w:r>
      <w:r w:rsidR="00027698">
        <w:rPr>
          <w:color w:val="000000" w:themeColor="text1"/>
        </w:rPr>
        <w:t>/2025 MIPS payment year</w:t>
      </w:r>
      <w:r w:rsidRPr="00A646F5" w:rsidR="00051CD1">
        <w:rPr>
          <w:color w:val="000000" w:themeColor="text1"/>
        </w:rPr>
        <w:t>.  If the proposed requirement for MIPS eligible clinicians to submit their level of active engagement with each measure is finalized, we estimate that it would add an additional one minute</w:t>
      </w:r>
      <w:r w:rsidR="002B35C5">
        <w:rPr>
          <w:color w:val="000000" w:themeColor="text1"/>
        </w:rPr>
        <w:t xml:space="preserve"> (+0.02 hours)</w:t>
      </w:r>
      <w:r w:rsidRPr="00A646F5" w:rsidR="00051CD1">
        <w:rPr>
          <w:color w:val="000000" w:themeColor="text1"/>
        </w:rPr>
        <w:t xml:space="preserve"> to the currently approved estimated time of 2.69 hours, resulting in a total estimated time of 2.71 hours</w:t>
      </w:r>
      <w:r w:rsidR="002B35C5">
        <w:rPr>
          <w:color w:val="000000" w:themeColor="text1"/>
        </w:rPr>
        <w:t xml:space="preserve"> (2.69</w:t>
      </w:r>
      <w:r w:rsidR="00FA3CA6">
        <w:rPr>
          <w:color w:val="000000" w:themeColor="text1"/>
        </w:rPr>
        <w:t xml:space="preserve"> </w:t>
      </w:r>
      <w:proofErr w:type="spellStart"/>
      <w:r w:rsidR="00FA3CA6">
        <w:rPr>
          <w:color w:val="000000" w:themeColor="text1"/>
        </w:rPr>
        <w:t>hr</w:t>
      </w:r>
      <w:r w:rsidR="0002634F">
        <w:rPr>
          <w:color w:val="000000" w:themeColor="text1"/>
        </w:rPr>
        <w:t>s</w:t>
      </w:r>
      <w:proofErr w:type="spellEnd"/>
      <w:r w:rsidR="00FA3CA6">
        <w:rPr>
          <w:color w:val="000000" w:themeColor="text1"/>
        </w:rPr>
        <w:t xml:space="preserve"> </w:t>
      </w:r>
      <w:r w:rsidR="002B35C5">
        <w:rPr>
          <w:color w:val="000000" w:themeColor="text1"/>
        </w:rPr>
        <w:t>+</w:t>
      </w:r>
      <w:r w:rsidR="00FA3CA6">
        <w:rPr>
          <w:color w:val="000000" w:themeColor="text1"/>
        </w:rPr>
        <w:t xml:space="preserve"> </w:t>
      </w:r>
      <w:r w:rsidR="002B35C5">
        <w:rPr>
          <w:color w:val="000000" w:themeColor="text1"/>
        </w:rPr>
        <w:t>0.02</w:t>
      </w:r>
      <w:r w:rsidR="00FA3CA6">
        <w:rPr>
          <w:color w:val="000000" w:themeColor="text1"/>
        </w:rPr>
        <w:t xml:space="preserve"> </w:t>
      </w:r>
      <w:proofErr w:type="spellStart"/>
      <w:r w:rsidR="00FA3CA6">
        <w:rPr>
          <w:color w:val="000000" w:themeColor="text1"/>
        </w:rPr>
        <w:t>hr</w:t>
      </w:r>
      <w:proofErr w:type="spellEnd"/>
      <w:r w:rsidR="002B35C5">
        <w:rPr>
          <w:color w:val="000000" w:themeColor="text1"/>
        </w:rPr>
        <w:t>)</w:t>
      </w:r>
      <w:r w:rsidRPr="00A646F5" w:rsidR="00051CD1">
        <w:rPr>
          <w:color w:val="000000" w:themeColor="text1"/>
        </w:rPr>
        <w:t xml:space="preserve">, for clinicians to submit data for the Promoting Interoperability performance category. </w:t>
      </w:r>
      <w:r w:rsidRPr="007C6167" w:rsidR="007C6167">
        <w:rPr>
          <w:rFonts w:eastAsia="Calibri"/>
        </w:rPr>
        <w:t xml:space="preserve">As shown in Table </w:t>
      </w:r>
      <w:r w:rsidR="008A2A08">
        <w:rPr>
          <w:rFonts w:eastAsia="Calibri"/>
        </w:rPr>
        <w:t>1</w:t>
      </w:r>
      <w:r w:rsidR="00FA3CA6">
        <w:rPr>
          <w:rFonts w:eastAsia="Calibri"/>
        </w:rPr>
        <w:t>7</w:t>
      </w:r>
      <w:r w:rsidRPr="007C6167" w:rsidR="007C6167">
        <w:rPr>
          <w:rFonts w:eastAsia="Calibri"/>
        </w:rPr>
        <w:t xml:space="preserve">, </w:t>
      </w:r>
      <w:r w:rsidRPr="00190E46" w:rsidR="00190E46">
        <w:rPr>
          <w:rFonts w:eastAsia="Calibri"/>
        </w:rPr>
        <w:t xml:space="preserve">the total burden estimate for submitting data on the specified Promoting Interoperability objectives and measures is estimated to be </w:t>
      </w:r>
      <w:r w:rsidR="000F6F79">
        <w:rPr>
          <w:rFonts w:eastAsia="Calibri"/>
        </w:rPr>
        <w:t>1</w:t>
      </w:r>
      <w:r w:rsidR="00D26F78">
        <w:rPr>
          <w:rFonts w:eastAsia="Calibri"/>
        </w:rPr>
        <w:t>48</w:t>
      </w:r>
      <w:r w:rsidR="000F6F79">
        <w:rPr>
          <w:rFonts w:eastAsia="Calibri"/>
        </w:rPr>
        <w:t>,</w:t>
      </w:r>
      <w:r w:rsidR="00D26F78">
        <w:rPr>
          <w:rFonts w:eastAsia="Calibri"/>
        </w:rPr>
        <w:t>427</w:t>
      </w:r>
      <w:r w:rsidRPr="00190E46" w:rsidR="00190E46">
        <w:rPr>
          <w:rFonts w:eastAsia="Calibri"/>
        </w:rPr>
        <w:t xml:space="preserve"> hours (5</w:t>
      </w:r>
      <w:r w:rsidR="00D26F78">
        <w:rPr>
          <w:rFonts w:eastAsia="Calibri"/>
        </w:rPr>
        <w:t>4</w:t>
      </w:r>
      <w:r w:rsidR="003C79BB">
        <w:rPr>
          <w:rFonts w:eastAsia="Calibri"/>
        </w:rPr>
        <w:t>,7</w:t>
      </w:r>
      <w:r w:rsidR="00D26F78">
        <w:rPr>
          <w:rFonts w:eastAsia="Calibri"/>
        </w:rPr>
        <w:t>70</w:t>
      </w:r>
      <w:r w:rsidRPr="00190E46" w:rsidR="00190E46">
        <w:rPr>
          <w:rFonts w:eastAsia="Calibri"/>
        </w:rPr>
        <w:t xml:space="preserve"> respondents x 2.</w:t>
      </w:r>
      <w:r w:rsidR="00B54E49">
        <w:rPr>
          <w:rFonts w:eastAsia="Calibri"/>
        </w:rPr>
        <w:t>71</w:t>
      </w:r>
      <w:r w:rsidRPr="00190E46" w:rsidR="00190E46">
        <w:rPr>
          <w:rFonts w:eastAsia="Calibri"/>
        </w:rPr>
        <w:t xml:space="preserve"> incremental hours for a computer analyst’s time above and beyond the physician, medical </w:t>
      </w:r>
      <w:r w:rsidRPr="00190E46" w:rsidR="00190E46">
        <w:rPr>
          <w:rFonts w:eastAsia="Calibri"/>
        </w:rPr>
        <w:lastRenderedPageBreak/>
        <w:t>and health services manager, and computer system’s analyst time required to submit quality data) and $</w:t>
      </w:r>
      <w:r w:rsidR="00AD1264">
        <w:rPr>
          <w:rFonts w:eastAsia="Calibri"/>
        </w:rPr>
        <w:t>1</w:t>
      </w:r>
      <w:r w:rsidR="00B54E49">
        <w:rPr>
          <w:rFonts w:eastAsia="Calibri"/>
        </w:rPr>
        <w:t>4</w:t>
      </w:r>
      <w:r w:rsidR="00AD1264">
        <w:rPr>
          <w:rFonts w:eastAsia="Calibri"/>
        </w:rPr>
        <w:t>,</w:t>
      </w:r>
      <w:r w:rsidR="00B54E49">
        <w:rPr>
          <w:rFonts w:eastAsia="Calibri"/>
        </w:rPr>
        <w:t>587</w:t>
      </w:r>
      <w:r w:rsidR="00584F07">
        <w:rPr>
          <w:rFonts w:eastAsia="Calibri"/>
        </w:rPr>
        <w:t>,</w:t>
      </w:r>
      <w:r w:rsidR="00B54E49">
        <w:rPr>
          <w:rFonts w:eastAsia="Calibri"/>
        </w:rPr>
        <w:t>406</w:t>
      </w:r>
      <w:r w:rsidRPr="00190E46" w:rsidR="00190E46">
        <w:rPr>
          <w:rFonts w:eastAsia="Calibri"/>
        </w:rPr>
        <w:t xml:space="preserve"> (1</w:t>
      </w:r>
      <w:r w:rsidR="00B54E49">
        <w:rPr>
          <w:rFonts w:eastAsia="Calibri"/>
        </w:rPr>
        <w:t>4</w:t>
      </w:r>
      <w:r w:rsidR="00EE1F88">
        <w:rPr>
          <w:rFonts w:eastAsia="Calibri"/>
        </w:rPr>
        <w:t>8,</w:t>
      </w:r>
      <w:r w:rsidR="00B54E49">
        <w:rPr>
          <w:rFonts w:eastAsia="Calibri"/>
        </w:rPr>
        <w:t>427</w:t>
      </w:r>
      <w:r w:rsidRPr="00190E46" w:rsidR="00190E46">
        <w:rPr>
          <w:rFonts w:eastAsia="Calibri"/>
        </w:rPr>
        <w:t xml:space="preserve"> </w:t>
      </w:r>
      <w:proofErr w:type="spellStart"/>
      <w:r w:rsidRPr="00190E46" w:rsidR="00190E46">
        <w:rPr>
          <w:rFonts w:eastAsia="Calibri"/>
        </w:rPr>
        <w:t>hr</w:t>
      </w:r>
      <w:r w:rsidR="0002634F">
        <w:rPr>
          <w:rFonts w:eastAsia="Calibri"/>
        </w:rPr>
        <w:t>s</w:t>
      </w:r>
      <w:proofErr w:type="spellEnd"/>
      <w:r w:rsidRPr="00190E46" w:rsidR="00190E46">
        <w:rPr>
          <w:rFonts w:eastAsia="Calibri"/>
        </w:rPr>
        <w:t xml:space="preserve"> x $9</w:t>
      </w:r>
      <w:r w:rsidR="00B54E49">
        <w:rPr>
          <w:rFonts w:eastAsia="Calibri"/>
        </w:rPr>
        <w:t>8</w:t>
      </w:r>
      <w:r w:rsidR="00EE1F88">
        <w:rPr>
          <w:rFonts w:eastAsia="Calibri"/>
        </w:rPr>
        <w:t>.2</w:t>
      </w:r>
      <w:r w:rsidR="00B54E49">
        <w:rPr>
          <w:rFonts w:eastAsia="Calibri"/>
        </w:rPr>
        <w:t>8</w:t>
      </w:r>
      <w:r w:rsidRPr="00190E46" w:rsidR="00190E46">
        <w:rPr>
          <w:rFonts w:eastAsia="Calibri"/>
        </w:rPr>
        <w:t>/</w:t>
      </w:r>
      <w:proofErr w:type="spellStart"/>
      <w:r w:rsidRPr="00190E46" w:rsidR="00190E46">
        <w:rPr>
          <w:rFonts w:eastAsia="Calibri"/>
        </w:rPr>
        <w:t>hr</w:t>
      </w:r>
      <w:proofErr w:type="spellEnd"/>
      <w:r w:rsidRPr="00190E46" w:rsidR="00190E46">
        <w:rPr>
          <w:rFonts w:eastAsia="Calibri"/>
        </w:rPr>
        <w:t>))</w:t>
      </w:r>
      <w:r w:rsidRPr="00CF534E" w:rsidR="00CF534E">
        <w:rPr>
          <w:rFonts w:eastAsia="Calibri"/>
        </w:rPr>
        <w:t xml:space="preserve">.  </w:t>
      </w:r>
      <w:bookmarkEnd w:id="6"/>
    </w:p>
    <w:p w:rsidRPr="00C47150" w:rsidR="001403BF" w:rsidP="00EB7489" w:rsidRDefault="001403BF" w14:paraId="23B65889" w14:textId="28FBF77E">
      <w:pPr>
        <w:ind w:left="60"/>
        <w:jc w:val="center"/>
        <w:rPr>
          <w:b/>
          <w:bCs/>
        </w:rPr>
      </w:pPr>
      <w:r w:rsidRPr="00C47150">
        <w:rPr>
          <w:b/>
          <w:bCs/>
        </w:rPr>
        <w:t xml:space="preserve">TABLE </w:t>
      </w:r>
      <w:r w:rsidR="008A2A08">
        <w:rPr>
          <w:b/>
          <w:bCs/>
        </w:rPr>
        <w:t>1</w:t>
      </w:r>
      <w:r w:rsidR="004D7D5D">
        <w:rPr>
          <w:b/>
          <w:bCs/>
        </w:rPr>
        <w:t>7</w:t>
      </w:r>
      <w:r w:rsidRPr="00C47150">
        <w:rPr>
          <w:b/>
          <w:bCs/>
        </w:rPr>
        <w:t xml:space="preserve">: </w:t>
      </w:r>
      <w:r>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Pr>
          <w:b/>
          <w:bCs/>
        </w:rPr>
        <w:br/>
      </w:r>
      <w:r w:rsidRPr="00C47150">
        <w:rPr>
          <w:b/>
          <w:bCs/>
        </w:rPr>
        <w:t>Data Submission</w:t>
      </w: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4"/>
        <w:gridCol w:w="2016"/>
      </w:tblGrid>
      <w:tr w:rsidRPr="001D0A90" w:rsidR="009507B4" w:rsidTr="006B7BA4" w14:paraId="7681763B" w14:textId="77777777">
        <w:trPr>
          <w:trHeight w:val="422"/>
          <w:jc w:val="center"/>
        </w:trPr>
        <w:tc>
          <w:tcPr>
            <w:tcW w:w="82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99B" w:rsidR="009507B4" w:rsidP="001D0A90" w:rsidRDefault="001D0A90" w14:paraId="1DF9A0DC" w14:textId="1D458A20">
            <w:pPr>
              <w:spacing w:after="0"/>
              <w:rPr>
                <w:b/>
                <w:bCs/>
                <w:sz w:val="20"/>
                <w:szCs w:val="20"/>
              </w:rPr>
            </w:pPr>
            <w:r w:rsidRPr="002E799B">
              <w:rPr>
                <w:b/>
                <w:bCs/>
                <w:sz w:val="20"/>
                <w:szCs w:val="20"/>
              </w:rPr>
              <w:t>Burden and Respondent Descriptions</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E799B" w:rsidR="009507B4" w:rsidP="009507B4" w:rsidRDefault="009507B4" w14:paraId="0C9CCD6D" w14:textId="77777777">
            <w:pPr>
              <w:keepNext/>
              <w:keepLines/>
              <w:widowControl w:val="0"/>
              <w:spacing w:after="0"/>
              <w:jc w:val="center"/>
              <w:rPr>
                <w:b/>
                <w:bCs/>
                <w:sz w:val="20"/>
                <w:szCs w:val="20"/>
              </w:rPr>
            </w:pPr>
            <w:r w:rsidRPr="002E799B">
              <w:rPr>
                <w:b/>
                <w:bCs/>
                <w:sz w:val="20"/>
                <w:szCs w:val="20"/>
              </w:rPr>
              <w:t>Burden Estimate</w:t>
            </w:r>
          </w:p>
        </w:tc>
      </w:tr>
      <w:tr w:rsidRPr="001D0A90" w:rsidR="009507B4" w:rsidTr="00E74B0E" w14:paraId="64E31DEF" w14:textId="77777777">
        <w:trPr>
          <w:jc w:val="center"/>
        </w:trPr>
        <w:tc>
          <w:tcPr>
            <w:tcW w:w="8244" w:type="dxa"/>
            <w:tcBorders>
              <w:top w:val="single" w:color="auto" w:sz="4" w:space="0"/>
              <w:left w:val="single" w:color="auto" w:sz="4" w:space="0"/>
              <w:bottom w:val="single" w:color="auto" w:sz="4" w:space="0"/>
              <w:right w:val="single" w:color="auto" w:sz="4" w:space="0"/>
            </w:tcBorders>
            <w:hideMark/>
          </w:tcPr>
          <w:p w:rsidRPr="001D0A90" w:rsidR="009507B4" w:rsidP="001D0A90" w:rsidRDefault="009507B4" w14:paraId="5FA1B902" w14:textId="77777777">
            <w:pPr>
              <w:spacing w:after="0"/>
              <w:rPr>
                <w:sz w:val="20"/>
                <w:szCs w:val="20"/>
              </w:rPr>
            </w:pPr>
            <w:r w:rsidRPr="001D0A90">
              <w:rPr>
                <w:sz w:val="20"/>
                <w:szCs w:val="20"/>
              </w:rPr>
              <w:t>Number of individual clinicians to submit Promoting Interoperability (a)</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5A435A11" w14:textId="2344C8C2">
            <w:pPr>
              <w:spacing w:after="0"/>
              <w:jc w:val="center"/>
              <w:rPr>
                <w:sz w:val="20"/>
                <w:szCs w:val="20"/>
              </w:rPr>
            </w:pPr>
            <w:r w:rsidRPr="001D0A90">
              <w:rPr>
                <w:sz w:val="20"/>
                <w:szCs w:val="20"/>
              </w:rPr>
              <w:t>4</w:t>
            </w:r>
            <w:r w:rsidR="00632382">
              <w:rPr>
                <w:sz w:val="20"/>
                <w:szCs w:val="20"/>
              </w:rPr>
              <w:t>3</w:t>
            </w:r>
            <w:r w:rsidRPr="001D0A90">
              <w:rPr>
                <w:sz w:val="20"/>
                <w:szCs w:val="20"/>
              </w:rPr>
              <w:t>,1</w:t>
            </w:r>
            <w:r w:rsidR="00632382">
              <w:rPr>
                <w:sz w:val="20"/>
                <w:szCs w:val="20"/>
              </w:rPr>
              <w:t>1</w:t>
            </w:r>
            <w:r w:rsidRPr="001D0A90">
              <w:rPr>
                <w:sz w:val="20"/>
                <w:szCs w:val="20"/>
              </w:rPr>
              <w:t>7</w:t>
            </w:r>
          </w:p>
        </w:tc>
      </w:tr>
      <w:tr w:rsidRPr="001D0A90" w:rsidR="009507B4" w:rsidTr="00E74B0E" w14:paraId="393893B3" w14:textId="77777777">
        <w:trPr>
          <w:jc w:val="center"/>
        </w:trPr>
        <w:tc>
          <w:tcPr>
            <w:tcW w:w="8244" w:type="dxa"/>
            <w:tcBorders>
              <w:top w:val="single" w:color="auto" w:sz="4" w:space="0"/>
              <w:left w:val="single" w:color="auto" w:sz="4" w:space="0"/>
              <w:bottom w:val="single" w:color="auto" w:sz="4" w:space="0"/>
              <w:right w:val="single" w:color="auto" w:sz="4" w:space="0"/>
            </w:tcBorders>
          </w:tcPr>
          <w:p w:rsidRPr="001D0A90" w:rsidR="009507B4" w:rsidP="001D0A90" w:rsidRDefault="009507B4" w14:paraId="780038E8" w14:textId="77777777">
            <w:pPr>
              <w:spacing w:after="0"/>
              <w:rPr>
                <w:sz w:val="20"/>
                <w:szCs w:val="20"/>
              </w:rPr>
            </w:pPr>
            <w:r w:rsidRPr="001D0A90">
              <w:rPr>
                <w:sz w:val="20"/>
                <w:szCs w:val="20"/>
              </w:rPr>
              <w:t>Number of groups to submit Promoting Interoperability (b)</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3B940961" w14:textId="20D68375">
            <w:pPr>
              <w:spacing w:after="0"/>
              <w:jc w:val="center"/>
              <w:rPr>
                <w:sz w:val="20"/>
                <w:szCs w:val="20"/>
              </w:rPr>
            </w:pPr>
            <w:r w:rsidRPr="001D0A90">
              <w:rPr>
                <w:sz w:val="20"/>
                <w:szCs w:val="20"/>
              </w:rPr>
              <w:t>11,</w:t>
            </w:r>
            <w:r w:rsidR="00882B50">
              <w:rPr>
                <w:sz w:val="20"/>
                <w:szCs w:val="20"/>
              </w:rPr>
              <w:t>633</w:t>
            </w:r>
          </w:p>
        </w:tc>
      </w:tr>
      <w:tr w:rsidRPr="001D0A90" w:rsidR="009507B4" w:rsidTr="00E74B0E" w14:paraId="2EFEECD7" w14:textId="77777777">
        <w:trPr>
          <w:jc w:val="center"/>
        </w:trPr>
        <w:tc>
          <w:tcPr>
            <w:tcW w:w="8244" w:type="dxa"/>
            <w:tcBorders>
              <w:top w:val="single" w:color="auto" w:sz="4" w:space="0"/>
              <w:left w:val="single" w:color="auto" w:sz="4" w:space="0"/>
              <w:bottom w:val="single" w:color="auto" w:sz="4" w:space="0"/>
              <w:right w:val="single" w:color="auto" w:sz="4" w:space="0"/>
            </w:tcBorders>
          </w:tcPr>
          <w:p w:rsidRPr="001D0A90" w:rsidR="009507B4" w:rsidP="001D0A90" w:rsidRDefault="009507B4" w14:paraId="4A86FC1D" w14:textId="77777777">
            <w:pPr>
              <w:spacing w:after="0"/>
              <w:rPr>
                <w:sz w:val="20"/>
                <w:szCs w:val="20"/>
              </w:rPr>
            </w:pPr>
            <w:r w:rsidRPr="001D0A90">
              <w:rPr>
                <w:sz w:val="20"/>
                <w:szCs w:val="20"/>
              </w:rPr>
              <w:t>Number of subgroups to submit Promoting Interoperability (c)</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3782C651" w14:textId="77777777">
            <w:pPr>
              <w:spacing w:after="0"/>
              <w:jc w:val="center"/>
              <w:rPr>
                <w:sz w:val="20"/>
                <w:szCs w:val="20"/>
              </w:rPr>
            </w:pPr>
            <w:r w:rsidRPr="001D0A90">
              <w:rPr>
                <w:sz w:val="20"/>
                <w:szCs w:val="20"/>
              </w:rPr>
              <w:t>20</w:t>
            </w:r>
          </w:p>
        </w:tc>
      </w:tr>
      <w:tr w:rsidRPr="001D0A90" w:rsidR="009507B4" w:rsidTr="00E74B0E" w14:paraId="47438830" w14:textId="77777777">
        <w:trPr>
          <w:jc w:val="center"/>
        </w:trPr>
        <w:tc>
          <w:tcPr>
            <w:tcW w:w="8244" w:type="dxa"/>
            <w:tcBorders>
              <w:top w:val="single" w:color="auto" w:sz="4" w:space="0"/>
              <w:left w:val="single" w:color="auto" w:sz="4" w:space="0"/>
              <w:bottom w:val="single" w:color="auto" w:sz="4" w:space="0"/>
              <w:right w:val="single" w:color="auto" w:sz="4" w:space="0"/>
            </w:tcBorders>
            <w:vAlign w:val="bottom"/>
          </w:tcPr>
          <w:p w:rsidRPr="001D0A90" w:rsidR="009507B4" w:rsidP="001D0A90" w:rsidRDefault="009507B4" w14:paraId="04D0BEAA" w14:textId="77777777">
            <w:pPr>
              <w:spacing w:after="0"/>
              <w:rPr>
                <w:sz w:val="20"/>
                <w:szCs w:val="20"/>
              </w:rPr>
            </w:pPr>
            <w:r w:rsidRPr="001D0A90">
              <w:rPr>
                <w:sz w:val="20"/>
                <w:szCs w:val="20"/>
              </w:rPr>
              <w:t> Total (d) = (a) + (b) + (c)</w:t>
            </w:r>
          </w:p>
        </w:tc>
        <w:tc>
          <w:tcPr>
            <w:tcW w:w="2016" w:type="dxa"/>
            <w:tcBorders>
              <w:top w:val="single" w:color="auto" w:sz="4" w:space="0"/>
              <w:left w:val="single" w:color="auto" w:sz="4" w:space="0"/>
              <w:bottom w:val="single" w:color="auto" w:sz="4" w:space="0"/>
              <w:right w:val="single" w:color="auto" w:sz="4" w:space="0"/>
            </w:tcBorders>
            <w:vAlign w:val="center"/>
          </w:tcPr>
          <w:p w:rsidRPr="001D0A90" w:rsidR="009507B4" w:rsidP="001D0A90" w:rsidRDefault="009507B4" w14:paraId="572F28F8" w14:textId="5B5ABC12">
            <w:pPr>
              <w:spacing w:after="0"/>
              <w:jc w:val="center"/>
              <w:rPr>
                <w:sz w:val="20"/>
                <w:szCs w:val="20"/>
              </w:rPr>
            </w:pPr>
            <w:r w:rsidRPr="001D0A90">
              <w:rPr>
                <w:sz w:val="20"/>
                <w:szCs w:val="20"/>
              </w:rPr>
              <w:t>5</w:t>
            </w:r>
            <w:r w:rsidR="00882B50">
              <w:rPr>
                <w:sz w:val="20"/>
                <w:szCs w:val="20"/>
              </w:rPr>
              <w:t>4</w:t>
            </w:r>
            <w:r w:rsidRPr="001D0A90">
              <w:rPr>
                <w:sz w:val="20"/>
                <w:szCs w:val="20"/>
              </w:rPr>
              <w:t>,</w:t>
            </w:r>
            <w:r w:rsidR="00882B50">
              <w:rPr>
                <w:sz w:val="20"/>
                <w:szCs w:val="20"/>
              </w:rPr>
              <w:t>770</w:t>
            </w:r>
          </w:p>
        </w:tc>
      </w:tr>
      <w:tr w:rsidRPr="001D0A90" w:rsidR="009507B4" w:rsidTr="00E74B0E" w14:paraId="64E70521" w14:textId="77777777">
        <w:trPr>
          <w:jc w:val="center"/>
        </w:trPr>
        <w:tc>
          <w:tcPr>
            <w:tcW w:w="8244"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04CC67F7" w14:textId="77777777">
            <w:pPr>
              <w:spacing w:after="0"/>
              <w:rPr>
                <w:sz w:val="20"/>
                <w:szCs w:val="20"/>
              </w:rPr>
            </w:pPr>
            <w:r w:rsidRPr="001D0A90">
              <w:rPr>
                <w:sz w:val="20"/>
                <w:szCs w:val="20"/>
              </w:rPr>
              <w:t>Total Annual Hours Per Respondent (e)</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30BD2FFF" w14:textId="42EDEB8F">
            <w:pPr>
              <w:spacing w:after="0"/>
              <w:jc w:val="center"/>
              <w:rPr>
                <w:sz w:val="20"/>
                <w:szCs w:val="20"/>
              </w:rPr>
            </w:pPr>
            <w:r w:rsidRPr="001D0A90">
              <w:rPr>
                <w:sz w:val="20"/>
                <w:szCs w:val="20"/>
              </w:rPr>
              <w:t>2.</w:t>
            </w:r>
            <w:r w:rsidR="00882B50">
              <w:rPr>
                <w:sz w:val="20"/>
                <w:szCs w:val="20"/>
              </w:rPr>
              <w:t>71</w:t>
            </w:r>
          </w:p>
        </w:tc>
      </w:tr>
      <w:tr w:rsidRPr="001D0A90" w:rsidR="009507B4" w:rsidTr="00E74B0E" w14:paraId="203B5ADD" w14:textId="77777777">
        <w:trPr>
          <w:trHeight w:val="422"/>
          <w:jc w:val="center"/>
        </w:trPr>
        <w:tc>
          <w:tcPr>
            <w:tcW w:w="82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E1DC1" w:rsidR="009507B4" w:rsidP="001D0A90" w:rsidRDefault="009507B4" w14:paraId="0DBCA55F" w14:textId="77777777">
            <w:pPr>
              <w:spacing w:after="0"/>
              <w:rPr>
                <w:b/>
                <w:bCs/>
                <w:sz w:val="20"/>
                <w:szCs w:val="20"/>
              </w:rPr>
            </w:pPr>
            <w:r w:rsidRPr="001E1DC1">
              <w:rPr>
                <w:b/>
                <w:bCs/>
                <w:sz w:val="20"/>
                <w:szCs w:val="20"/>
              </w:rPr>
              <w:t>Total Annual Hours (f) = (d) * (e)</w:t>
            </w:r>
          </w:p>
        </w:tc>
        <w:tc>
          <w:tcPr>
            <w:tcW w:w="20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E1DC1" w:rsidR="009507B4" w:rsidP="001D0A90" w:rsidRDefault="009507B4" w14:paraId="1920F3F2" w14:textId="171BF20C">
            <w:pPr>
              <w:spacing w:after="0"/>
              <w:jc w:val="center"/>
              <w:rPr>
                <w:b/>
                <w:bCs/>
                <w:sz w:val="20"/>
                <w:szCs w:val="20"/>
              </w:rPr>
            </w:pPr>
            <w:r w:rsidRPr="001E1DC1">
              <w:rPr>
                <w:b/>
                <w:bCs/>
                <w:sz w:val="20"/>
                <w:szCs w:val="20"/>
              </w:rPr>
              <w:t>1</w:t>
            </w:r>
            <w:r w:rsidRPr="001E1DC1" w:rsidR="00882B50">
              <w:rPr>
                <w:b/>
                <w:bCs/>
                <w:sz w:val="20"/>
                <w:szCs w:val="20"/>
              </w:rPr>
              <w:t>4</w:t>
            </w:r>
            <w:r w:rsidRPr="001E1DC1">
              <w:rPr>
                <w:b/>
                <w:bCs/>
                <w:sz w:val="20"/>
                <w:szCs w:val="20"/>
              </w:rPr>
              <w:t>8,</w:t>
            </w:r>
            <w:r w:rsidRPr="001E1DC1" w:rsidR="00882B50">
              <w:rPr>
                <w:b/>
                <w:bCs/>
                <w:sz w:val="20"/>
                <w:szCs w:val="20"/>
              </w:rPr>
              <w:t>427</w:t>
            </w:r>
          </w:p>
        </w:tc>
      </w:tr>
      <w:tr w:rsidRPr="001D0A90" w:rsidR="009507B4" w:rsidTr="00E74B0E" w14:paraId="41C6A09B" w14:textId="77777777">
        <w:trPr>
          <w:jc w:val="center"/>
        </w:trPr>
        <w:tc>
          <w:tcPr>
            <w:tcW w:w="8244" w:type="dxa"/>
            <w:tcBorders>
              <w:top w:val="single" w:color="auto" w:sz="4" w:space="0"/>
              <w:left w:val="single" w:color="auto" w:sz="4" w:space="0"/>
              <w:bottom w:val="single" w:color="auto" w:sz="4" w:space="0"/>
              <w:right w:val="single" w:color="auto" w:sz="4" w:space="0"/>
            </w:tcBorders>
            <w:vAlign w:val="center"/>
            <w:hideMark/>
          </w:tcPr>
          <w:p w:rsidRPr="001D0A90" w:rsidR="009507B4" w:rsidP="001D0A90" w:rsidRDefault="009507B4" w14:paraId="2019A2DC" w14:textId="77777777">
            <w:pPr>
              <w:spacing w:after="0"/>
              <w:rPr>
                <w:sz w:val="20"/>
                <w:szCs w:val="20"/>
              </w:rPr>
            </w:pPr>
            <w:r w:rsidRPr="001D0A90">
              <w:rPr>
                <w:sz w:val="20"/>
                <w:szCs w:val="20"/>
              </w:rPr>
              <w:t>Labor rate for a computer systems analyst to submit Promoting Interoperability data (g)</w:t>
            </w:r>
          </w:p>
        </w:tc>
        <w:tc>
          <w:tcPr>
            <w:tcW w:w="2016" w:type="dxa"/>
            <w:tcBorders>
              <w:top w:val="single" w:color="auto" w:sz="4" w:space="0"/>
              <w:left w:val="single" w:color="auto" w:sz="4" w:space="0"/>
              <w:bottom w:val="single" w:color="auto" w:sz="4" w:space="0"/>
              <w:right w:val="single" w:color="auto" w:sz="4" w:space="0"/>
            </w:tcBorders>
            <w:noWrap/>
            <w:vAlign w:val="center"/>
            <w:hideMark/>
          </w:tcPr>
          <w:p w:rsidRPr="001D0A90" w:rsidR="009507B4" w:rsidP="001D0A90" w:rsidRDefault="009507B4" w14:paraId="12898BD8" w14:textId="6C085B5A">
            <w:pPr>
              <w:spacing w:after="0"/>
              <w:jc w:val="center"/>
              <w:rPr>
                <w:sz w:val="20"/>
                <w:szCs w:val="20"/>
              </w:rPr>
            </w:pPr>
            <w:r w:rsidRPr="001D0A90">
              <w:rPr>
                <w:sz w:val="20"/>
                <w:szCs w:val="20"/>
              </w:rPr>
              <w:t>$9</w:t>
            </w:r>
            <w:r w:rsidR="00882B50">
              <w:rPr>
                <w:sz w:val="20"/>
                <w:szCs w:val="20"/>
              </w:rPr>
              <w:t>8</w:t>
            </w:r>
            <w:r w:rsidRPr="001D0A90">
              <w:rPr>
                <w:sz w:val="20"/>
                <w:szCs w:val="20"/>
              </w:rPr>
              <w:t>.2</w:t>
            </w:r>
            <w:r w:rsidR="00882B50">
              <w:rPr>
                <w:sz w:val="20"/>
                <w:szCs w:val="20"/>
              </w:rPr>
              <w:t>8</w:t>
            </w:r>
            <w:r w:rsidRPr="001D0A90">
              <w:rPr>
                <w:sz w:val="20"/>
                <w:szCs w:val="20"/>
              </w:rPr>
              <w:t>/</w:t>
            </w:r>
            <w:proofErr w:type="spellStart"/>
            <w:r w:rsidRPr="001D0A90">
              <w:rPr>
                <w:sz w:val="20"/>
                <w:szCs w:val="20"/>
              </w:rPr>
              <w:t>hr</w:t>
            </w:r>
            <w:proofErr w:type="spellEnd"/>
          </w:p>
        </w:tc>
      </w:tr>
      <w:tr w:rsidRPr="001D0A90" w:rsidR="009507B4" w:rsidTr="00E74B0E" w14:paraId="410E9ADB" w14:textId="77777777">
        <w:trPr>
          <w:trHeight w:val="467"/>
          <w:jc w:val="center"/>
        </w:trPr>
        <w:tc>
          <w:tcPr>
            <w:tcW w:w="824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E1DC1" w:rsidR="009507B4" w:rsidP="001D0A90" w:rsidRDefault="009507B4" w14:paraId="7C0C2A8E" w14:textId="77777777">
            <w:pPr>
              <w:spacing w:after="0"/>
              <w:rPr>
                <w:b/>
                <w:bCs/>
                <w:sz w:val="20"/>
                <w:szCs w:val="20"/>
              </w:rPr>
            </w:pPr>
            <w:r w:rsidRPr="001E1DC1">
              <w:rPr>
                <w:b/>
                <w:bCs/>
                <w:sz w:val="20"/>
                <w:szCs w:val="20"/>
              </w:rPr>
              <w:t>Total Annual Cost (h) = (f) * (g)</w:t>
            </w:r>
          </w:p>
        </w:tc>
        <w:tc>
          <w:tcPr>
            <w:tcW w:w="20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E1DC1" w:rsidR="009507B4" w:rsidP="001D0A90" w:rsidRDefault="009507B4" w14:paraId="79C97807" w14:textId="665D5174">
            <w:pPr>
              <w:spacing w:after="0"/>
              <w:jc w:val="center"/>
              <w:rPr>
                <w:b/>
                <w:bCs/>
                <w:sz w:val="20"/>
                <w:szCs w:val="20"/>
              </w:rPr>
            </w:pPr>
            <w:r w:rsidRPr="001E1DC1">
              <w:rPr>
                <w:b/>
                <w:bCs/>
                <w:sz w:val="20"/>
                <w:szCs w:val="20"/>
              </w:rPr>
              <w:t>$1</w:t>
            </w:r>
            <w:r w:rsidRPr="001E1DC1" w:rsidR="00882B50">
              <w:rPr>
                <w:b/>
                <w:bCs/>
                <w:sz w:val="20"/>
                <w:szCs w:val="20"/>
              </w:rPr>
              <w:t>4</w:t>
            </w:r>
            <w:r w:rsidRPr="001E1DC1" w:rsidR="002B4009">
              <w:rPr>
                <w:b/>
                <w:bCs/>
                <w:sz w:val="20"/>
                <w:szCs w:val="20"/>
              </w:rPr>
              <w:t>,</w:t>
            </w:r>
            <w:r w:rsidRPr="001E1DC1" w:rsidR="00882B50">
              <w:rPr>
                <w:b/>
                <w:bCs/>
                <w:sz w:val="20"/>
                <w:szCs w:val="20"/>
              </w:rPr>
              <w:t>587</w:t>
            </w:r>
            <w:r w:rsidRPr="001E1DC1" w:rsidR="00584F07">
              <w:rPr>
                <w:b/>
                <w:bCs/>
                <w:sz w:val="20"/>
                <w:szCs w:val="20"/>
              </w:rPr>
              <w:t>,</w:t>
            </w:r>
            <w:r w:rsidRPr="001E1DC1" w:rsidR="00E42192">
              <w:rPr>
                <w:b/>
                <w:bCs/>
                <w:sz w:val="20"/>
                <w:szCs w:val="20"/>
              </w:rPr>
              <w:t>406</w:t>
            </w:r>
          </w:p>
        </w:tc>
      </w:tr>
    </w:tbl>
    <w:p w:rsidR="001403BF" w:rsidP="001D0A90" w:rsidRDefault="001403BF" w14:paraId="47E12788" w14:textId="77777777"/>
    <w:p w:rsidRPr="004330C9" w:rsidR="00BF3BFB" w:rsidP="003D552B" w:rsidRDefault="000160D9" w14:paraId="24993FD8" w14:textId="2FDA5050">
      <w:pPr>
        <w:pStyle w:val="Heading3"/>
      </w:pPr>
      <w:r w:rsidRPr="004330C9">
        <w:t xml:space="preserve">Burden Estimate for the Nomination of Promoting </w:t>
      </w:r>
      <w:r w:rsidR="004330C9">
        <w:br/>
      </w:r>
      <w:r w:rsidRPr="004330C9">
        <w:t>Interoperability Measures</w:t>
      </w:r>
    </w:p>
    <w:p w:rsidRPr="002A6C48" w:rsidR="002A6C48" w:rsidP="00E12B53" w:rsidRDefault="00EA4ED8" w14:paraId="622C992D" w14:textId="13C7114B">
      <w:pPr>
        <w:rPr>
          <w:rFonts w:eastAsia="Calibri"/>
        </w:rPr>
      </w:pPr>
      <w:r w:rsidRPr="00EA4ED8">
        <w:rPr>
          <w:rFonts w:eastAsia="Calibri"/>
        </w:rPr>
        <w:t xml:space="preserve">Promoting Interoperability measures may be submitted via the Call for Promoting Interoperability Performance Category Measures Submission Form that includes the measure description, measure type (if applicable), reporting requirement, and CEHRT functionality used (if applicable). </w:t>
      </w:r>
      <w:r w:rsidR="009672C1">
        <w:rPr>
          <w:rFonts w:eastAsia="Calibri"/>
        </w:rPr>
        <w:t xml:space="preserve">We are not </w:t>
      </w:r>
      <w:r w:rsidR="00FA6046">
        <w:rPr>
          <w:rFonts w:eastAsia="Calibri"/>
        </w:rPr>
        <w:t>finaliz</w:t>
      </w:r>
      <w:r w:rsidR="009672C1">
        <w:rPr>
          <w:rFonts w:eastAsia="Calibri"/>
        </w:rPr>
        <w:t>ing</w:t>
      </w:r>
      <w:r w:rsidRPr="00EA4ED8">
        <w:rPr>
          <w:rFonts w:eastAsia="Calibri"/>
        </w:rPr>
        <w:t xml:space="preserve"> any changes to that form</w:t>
      </w:r>
      <w:r w:rsidRPr="002A6C48" w:rsidR="002A6C48">
        <w:rPr>
          <w:rFonts w:eastAsia="Calibri"/>
        </w:rPr>
        <w:t>.</w:t>
      </w:r>
    </w:p>
    <w:p w:rsidR="000160D9" w:rsidP="00E12B53" w:rsidRDefault="009672C1" w14:paraId="582577F0" w14:textId="3E8B8045">
      <w:pPr>
        <w:rPr>
          <w:rFonts w:eastAsia="Calibri"/>
        </w:rPr>
      </w:pPr>
      <w:r>
        <w:rPr>
          <w:rFonts w:eastAsia="Calibri"/>
        </w:rPr>
        <w:t>Unchanged from our currently approved estimate, w</w:t>
      </w:r>
      <w:r w:rsidRPr="00CC2BFB" w:rsidR="00FB19FD">
        <w:rPr>
          <w:rFonts w:eastAsia="Calibri"/>
        </w:rPr>
        <w:t xml:space="preserve">e estimate </w:t>
      </w:r>
      <w:r w:rsidRPr="00F90569" w:rsidR="00FB19FD">
        <w:rPr>
          <w:rFonts w:eastAsia="Calibri"/>
        </w:rPr>
        <w:t>10</w:t>
      </w:r>
      <w:r w:rsidRPr="00D47030" w:rsidR="00FB19FD">
        <w:rPr>
          <w:rFonts w:eastAsia="Calibri"/>
        </w:rPr>
        <w:t xml:space="preserve"> </w:t>
      </w:r>
      <w:r w:rsidR="0044676D">
        <w:rPr>
          <w:rFonts w:eastAsia="Calibri"/>
        </w:rPr>
        <w:t>responses</w:t>
      </w:r>
      <w:r w:rsidRPr="00D47030" w:rsidR="00FB19FD">
        <w:rPr>
          <w:rFonts w:eastAsia="Calibri"/>
        </w:rPr>
        <w:t xml:space="preserve"> will be submitted for new Promoting Interoperability measures, based on the number of </w:t>
      </w:r>
      <w:r w:rsidR="000458CF">
        <w:rPr>
          <w:rFonts w:eastAsia="Calibri"/>
        </w:rPr>
        <w:t>submissions received for</w:t>
      </w:r>
      <w:r w:rsidRPr="00D47030" w:rsidR="00FB19FD">
        <w:rPr>
          <w:rFonts w:eastAsia="Calibri"/>
        </w:rPr>
        <w:t xml:space="preserve"> the CY 20</w:t>
      </w:r>
      <w:r w:rsidR="002112BE">
        <w:rPr>
          <w:rFonts w:eastAsia="Calibri"/>
        </w:rPr>
        <w:t>2</w:t>
      </w:r>
      <w:r w:rsidR="00610F16">
        <w:rPr>
          <w:rFonts w:eastAsia="Calibri"/>
        </w:rPr>
        <w:t>1</w:t>
      </w:r>
      <w:r w:rsidR="004B56D9">
        <w:rPr>
          <w:rFonts w:eastAsia="Calibri"/>
        </w:rPr>
        <w:t xml:space="preserve"> </w:t>
      </w:r>
      <w:r w:rsidRPr="003636D3" w:rsidR="00FB19FD">
        <w:rPr>
          <w:rFonts w:eastAsia="Calibri"/>
        </w:rPr>
        <w:t xml:space="preserve">nomination period.  </w:t>
      </w:r>
      <w:r w:rsidRPr="00CC2BFB" w:rsidR="00FB19FD">
        <w:rPr>
          <w:rFonts w:eastAsia="Calibri"/>
        </w:rPr>
        <w:t>We estimate it will take 0.5 hours per organization to submit an activity to us, consisting of 0.3 hours at $1</w:t>
      </w:r>
      <w:r>
        <w:rPr>
          <w:rFonts w:eastAsia="Calibri"/>
        </w:rPr>
        <w:t>1</w:t>
      </w:r>
      <w:r w:rsidR="00610F16">
        <w:rPr>
          <w:rFonts w:eastAsia="Calibri"/>
        </w:rPr>
        <w:t>5</w:t>
      </w:r>
      <w:r w:rsidR="009932F8">
        <w:rPr>
          <w:rFonts w:eastAsia="Calibri"/>
        </w:rPr>
        <w:t>.2</w:t>
      </w:r>
      <w:r w:rsidR="00610F16">
        <w:rPr>
          <w:rFonts w:eastAsia="Calibri"/>
        </w:rPr>
        <w:t>2</w:t>
      </w:r>
      <w:r w:rsidRPr="00CC2BFB" w:rsidR="00FB19FD">
        <w:rPr>
          <w:rFonts w:eastAsia="Calibri"/>
        </w:rPr>
        <w:t>/</w:t>
      </w:r>
      <w:proofErr w:type="spellStart"/>
      <w:r w:rsidRPr="00CC2BFB" w:rsidR="00FB19FD">
        <w:rPr>
          <w:rFonts w:eastAsia="Calibri"/>
        </w:rPr>
        <w:t>hr</w:t>
      </w:r>
      <w:proofErr w:type="spellEnd"/>
      <w:r w:rsidRPr="00CC2BFB" w:rsidR="00FB19FD">
        <w:rPr>
          <w:rFonts w:eastAsia="Calibri"/>
        </w:rPr>
        <w:t xml:space="preserve"> for a </w:t>
      </w:r>
      <w:r w:rsidR="008D7DB5">
        <w:rPr>
          <w:rFonts w:eastAsia="Calibri"/>
        </w:rPr>
        <w:t>medical and health services manager</w:t>
      </w:r>
      <w:r w:rsidRPr="00CC2BFB" w:rsidR="00FB19FD">
        <w:rPr>
          <w:rFonts w:eastAsia="Calibri"/>
        </w:rPr>
        <w:t xml:space="preserve"> to make a strategic decision to nominate that activity and submit an activity to us via email and 0.2 hours at $2</w:t>
      </w:r>
      <w:r w:rsidR="0049483B">
        <w:rPr>
          <w:rFonts w:eastAsia="Calibri"/>
        </w:rPr>
        <w:t>59</w:t>
      </w:r>
      <w:r w:rsidR="003B4994">
        <w:rPr>
          <w:rFonts w:eastAsia="Calibri"/>
        </w:rPr>
        <w:t>.</w:t>
      </w:r>
      <w:r w:rsidR="0049483B">
        <w:rPr>
          <w:rFonts w:eastAsia="Calibri"/>
        </w:rPr>
        <w:t>98</w:t>
      </w:r>
      <w:r w:rsidRPr="00CC2BFB" w:rsidR="00FB19FD">
        <w:rPr>
          <w:rFonts w:eastAsia="Calibri"/>
        </w:rPr>
        <w:t>/</w:t>
      </w:r>
      <w:proofErr w:type="spellStart"/>
      <w:r w:rsidRPr="00CC2BFB" w:rsidR="00FB19FD">
        <w:rPr>
          <w:rFonts w:eastAsia="Calibri"/>
        </w:rPr>
        <w:t>hr</w:t>
      </w:r>
      <w:proofErr w:type="spellEnd"/>
      <w:r w:rsidRPr="00CC2BFB" w:rsidR="00FB19FD">
        <w:rPr>
          <w:rFonts w:eastAsia="Calibri"/>
        </w:rPr>
        <w:t xml:space="preserve"> for a clinician to review the nomination.  As shown in Table</w:t>
      </w:r>
      <w:r w:rsidR="00FB19FD">
        <w:rPr>
          <w:rFonts w:eastAsia="Calibri"/>
        </w:rPr>
        <w:t xml:space="preserve"> </w:t>
      </w:r>
      <w:r w:rsidR="0049483B">
        <w:rPr>
          <w:rFonts w:eastAsia="Calibri"/>
        </w:rPr>
        <w:t>18</w:t>
      </w:r>
      <w:r w:rsidRPr="00CC2BFB" w:rsidR="00FB19FD">
        <w:rPr>
          <w:rFonts w:eastAsia="Calibri"/>
        </w:rPr>
        <w:t xml:space="preserve">, we estimate an annual burden of </w:t>
      </w:r>
      <w:r w:rsidR="00FB19FD">
        <w:rPr>
          <w:rFonts w:eastAsia="Calibri"/>
        </w:rPr>
        <w:t>5</w:t>
      </w:r>
      <w:r w:rsidRPr="00CC2BFB" w:rsidR="00FB19FD">
        <w:rPr>
          <w:rFonts w:eastAsia="Calibri"/>
        </w:rPr>
        <w:t xml:space="preserve"> hours (</w:t>
      </w:r>
      <w:r w:rsidR="00FB19FD">
        <w:rPr>
          <w:rFonts w:eastAsia="Calibri"/>
        </w:rPr>
        <w:t>10</w:t>
      </w:r>
      <w:r w:rsidRPr="00CC2BFB" w:rsidR="00FB19FD">
        <w:rPr>
          <w:rFonts w:eastAsia="Calibri"/>
        </w:rPr>
        <w:t xml:space="preserve"> proposals x 0.5 </w:t>
      </w:r>
      <w:proofErr w:type="spellStart"/>
      <w:r w:rsidRPr="00CC2BFB" w:rsidR="00FB19FD">
        <w:rPr>
          <w:rFonts w:eastAsia="Calibri"/>
        </w:rPr>
        <w:t>hr</w:t>
      </w:r>
      <w:proofErr w:type="spellEnd"/>
      <w:r w:rsidRPr="00CC2BFB" w:rsidR="00FB19FD">
        <w:rPr>
          <w:rFonts w:eastAsia="Calibri"/>
        </w:rPr>
        <w:t>/response) at a cost of $</w:t>
      </w:r>
      <w:r w:rsidR="00B976A3">
        <w:rPr>
          <w:rFonts w:eastAsia="Calibri"/>
        </w:rPr>
        <w:t>866</w:t>
      </w:r>
      <w:r w:rsidRPr="00CC2BFB" w:rsidR="00FB19FD">
        <w:rPr>
          <w:rFonts w:eastAsia="Calibri"/>
        </w:rPr>
        <w:t xml:space="preserve"> (</w:t>
      </w:r>
      <w:r w:rsidR="00FB19FD">
        <w:rPr>
          <w:rFonts w:eastAsia="Calibri"/>
        </w:rPr>
        <w:t>10</w:t>
      </w:r>
      <w:r w:rsidRPr="00CC2BFB" w:rsidR="00FB19FD">
        <w:rPr>
          <w:rFonts w:eastAsia="Calibri"/>
        </w:rPr>
        <w:t xml:space="preserve"> x [(0.3 h x $1</w:t>
      </w:r>
      <w:r>
        <w:rPr>
          <w:rFonts w:eastAsia="Calibri"/>
        </w:rPr>
        <w:t>1</w:t>
      </w:r>
      <w:r w:rsidR="00B976A3">
        <w:rPr>
          <w:rFonts w:eastAsia="Calibri"/>
        </w:rPr>
        <w:t>5</w:t>
      </w:r>
      <w:r w:rsidR="00D15166">
        <w:rPr>
          <w:rFonts w:eastAsia="Calibri"/>
        </w:rPr>
        <w:t>.2</w:t>
      </w:r>
      <w:r w:rsidR="00B976A3">
        <w:rPr>
          <w:rFonts w:eastAsia="Calibri"/>
        </w:rPr>
        <w:t>2</w:t>
      </w:r>
      <w:r w:rsidRPr="00CC2BFB" w:rsidR="00FB19FD">
        <w:rPr>
          <w:rFonts w:eastAsia="Calibri"/>
        </w:rPr>
        <w:t>/</w:t>
      </w:r>
      <w:proofErr w:type="spellStart"/>
      <w:r w:rsidRPr="00CC2BFB" w:rsidR="00FB19FD">
        <w:rPr>
          <w:rFonts w:eastAsia="Calibri"/>
        </w:rPr>
        <w:t>hr</w:t>
      </w:r>
      <w:proofErr w:type="spellEnd"/>
      <w:r w:rsidRPr="00CC2BFB" w:rsidR="00FB19FD">
        <w:rPr>
          <w:rFonts w:eastAsia="Calibri"/>
        </w:rPr>
        <w:t xml:space="preserve">) + (0.2 </w:t>
      </w:r>
      <w:proofErr w:type="spellStart"/>
      <w:r w:rsidRPr="00CC2BFB" w:rsidR="00FB19FD">
        <w:rPr>
          <w:rFonts w:eastAsia="Calibri"/>
        </w:rPr>
        <w:t>hr</w:t>
      </w:r>
      <w:proofErr w:type="spellEnd"/>
      <w:r w:rsidRPr="00CC2BFB" w:rsidR="00FB19FD">
        <w:rPr>
          <w:rFonts w:eastAsia="Calibri"/>
        </w:rPr>
        <w:t xml:space="preserve"> x $2</w:t>
      </w:r>
      <w:r w:rsidR="00B976A3">
        <w:rPr>
          <w:rFonts w:eastAsia="Calibri"/>
        </w:rPr>
        <w:t>59</w:t>
      </w:r>
      <w:r w:rsidR="00461D52">
        <w:rPr>
          <w:rFonts w:eastAsia="Calibri"/>
        </w:rPr>
        <w:t>.</w:t>
      </w:r>
      <w:r w:rsidR="00B976A3">
        <w:rPr>
          <w:rFonts w:eastAsia="Calibri"/>
        </w:rPr>
        <w:t>98</w:t>
      </w:r>
      <w:r w:rsidRPr="00CC2BFB" w:rsidR="00FB19FD">
        <w:rPr>
          <w:rFonts w:eastAsia="Calibri"/>
        </w:rPr>
        <w:t>/</w:t>
      </w:r>
      <w:proofErr w:type="spellStart"/>
      <w:r w:rsidRPr="00CC2BFB" w:rsidR="00FB19FD">
        <w:rPr>
          <w:rFonts w:eastAsia="Calibri"/>
        </w:rPr>
        <w:t>hr</w:t>
      </w:r>
      <w:proofErr w:type="spellEnd"/>
      <w:r w:rsidRPr="00D5008C" w:rsidR="00D5008C">
        <w:rPr>
          <w:rFonts w:eastAsia="Calibri"/>
        </w:rPr>
        <w:t>)].</w:t>
      </w:r>
    </w:p>
    <w:p w:rsidRPr="00C47150" w:rsidR="000160D9" w:rsidP="007F64F4" w:rsidRDefault="000160D9" w14:paraId="3748969F" w14:textId="16E498BB">
      <w:pPr>
        <w:keepNext/>
        <w:keepLines/>
        <w:jc w:val="center"/>
        <w:rPr>
          <w:b/>
          <w:bCs/>
        </w:rPr>
      </w:pPr>
      <w:r w:rsidRPr="008760B2">
        <w:rPr>
          <w:b/>
          <w:bCs/>
        </w:rPr>
        <w:t xml:space="preserve">TABLE </w:t>
      </w:r>
      <w:r w:rsidRPr="008760B2" w:rsidR="005D7051">
        <w:rPr>
          <w:b/>
          <w:bCs/>
        </w:rPr>
        <w:t>1</w:t>
      </w:r>
      <w:r w:rsidRPr="008760B2" w:rsidR="00610F16">
        <w:rPr>
          <w:b/>
          <w:bCs/>
        </w:rPr>
        <w:t>8</w:t>
      </w:r>
      <w:r w:rsidRPr="008760B2">
        <w:rPr>
          <w:b/>
          <w:bCs/>
        </w:rPr>
        <w:t>:</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r w:rsidR="00AD3426">
        <w:rPr>
          <w:b/>
          <w:bCs/>
        </w:rPr>
        <w:t xml:space="preserve"> </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25"/>
        <w:gridCol w:w="1710"/>
      </w:tblGrid>
      <w:tr w:rsidRPr="00C47150" w:rsidR="000160D9" w:rsidTr="00EB5476" w14:paraId="4ED8C2F1" w14:textId="77777777">
        <w:trPr>
          <w:trHeight w:val="322"/>
          <w:tblHeader/>
          <w:jc w:val="center"/>
        </w:trPr>
        <w:tc>
          <w:tcPr>
            <w:tcW w:w="7825" w:type="dxa"/>
            <w:shd w:val="clear" w:color="auto" w:fill="auto"/>
            <w:vAlign w:val="center"/>
            <w:hideMark/>
          </w:tcPr>
          <w:p w:rsidRPr="000160D9" w:rsidR="000160D9" w:rsidP="007F64F4" w:rsidRDefault="000160D9" w14:paraId="76C728C0" w14:textId="70ECABBE">
            <w:pPr>
              <w:keepNext/>
              <w:keepLines/>
              <w:spacing w:after="0"/>
              <w:rPr>
                <w:b/>
                <w:sz w:val="20"/>
                <w:szCs w:val="20"/>
              </w:rPr>
            </w:pPr>
            <w:r w:rsidRPr="000160D9">
              <w:rPr>
                <w:b/>
                <w:sz w:val="20"/>
                <w:szCs w:val="20"/>
              </w:rPr>
              <w:t> Burden and Respondent Descriptions</w:t>
            </w:r>
          </w:p>
        </w:tc>
        <w:tc>
          <w:tcPr>
            <w:tcW w:w="1710" w:type="dxa"/>
            <w:shd w:val="clear" w:color="auto" w:fill="auto"/>
            <w:hideMark/>
          </w:tcPr>
          <w:p w:rsidRPr="00675D16" w:rsidR="000160D9" w:rsidP="007F64F4" w:rsidRDefault="000160D9" w14:paraId="51734988" w14:textId="63FFFEE3">
            <w:pPr>
              <w:keepNext/>
              <w:keepLines/>
              <w:spacing w:after="0"/>
              <w:rPr>
                <w:b/>
                <w:bCs/>
                <w:sz w:val="20"/>
                <w:szCs w:val="20"/>
              </w:rPr>
            </w:pPr>
            <w:r w:rsidRPr="00675D16">
              <w:rPr>
                <w:b/>
                <w:bCs/>
                <w:sz w:val="20"/>
                <w:szCs w:val="20"/>
              </w:rPr>
              <w:t xml:space="preserve">Burden </w:t>
            </w:r>
            <w:r w:rsidR="00EB5476">
              <w:rPr>
                <w:b/>
                <w:bCs/>
                <w:sz w:val="20"/>
                <w:szCs w:val="20"/>
              </w:rPr>
              <w:t>E</w:t>
            </w:r>
            <w:r w:rsidRPr="00675D16">
              <w:rPr>
                <w:b/>
                <w:bCs/>
                <w:sz w:val="20"/>
                <w:szCs w:val="20"/>
              </w:rPr>
              <w:t>stimate</w:t>
            </w:r>
          </w:p>
        </w:tc>
      </w:tr>
      <w:tr w:rsidRPr="00C47150" w:rsidR="000160D9" w:rsidTr="00EB5476" w14:paraId="15427C35" w14:textId="77777777">
        <w:trPr>
          <w:trHeight w:val="323"/>
          <w:jc w:val="center"/>
        </w:trPr>
        <w:tc>
          <w:tcPr>
            <w:tcW w:w="7825" w:type="dxa"/>
            <w:shd w:val="clear" w:color="auto" w:fill="auto"/>
            <w:hideMark/>
          </w:tcPr>
          <w:p w:rsidRPr="00675D16" w:rsidR="000160D9" w:rsidP="007F64F4" w:rsidRDefault="000160D9" w14:paraId="6CBB7DE7" w14:textId="77777777">
            <w:pPr>
              <w:keepNext/>
              <w:keepLines/>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710" w:type="dxa"/>
            <w:shd w:val="clear" w:color="auto" w:fill="auto"/>
            <w:noWrap/>
            <w:hideMark/>
          </w:tcPr>
          <w:p w:rsidRPr="00675D16" w:rsidR="000160D9" w:rsidP="007F64F4" w:rsidRDefault="00922CF6" w14:paraId="6FD9E566" w14:textId="72A8438A">
            <w:pPr>
              <w:keepNext/>
              <w:keepLines/>
              <w:spacing w:after="0"/>
              <w:rPr>
                <w:sz w:val="20"/>
                <w:szCs w:val="20"/>
              </w:rPr>
            </w:pPr>
            <w:r>
              <w:rPr>
                <w:sz w:val="20"/>
                <w:szCs w:val="20"/>
              </w:rPr>
              <w:t>10</w:t>
            </w:r>
          </w:p>
        </w:tc>
      </w:tr>
      <w:tr w:rsidRPr="00C47150" w:rsidR="000160D9" w:rsidTr="00EB5476" w14:paraId="5069BE0D" w14:textId="77777777">
        <w:trPr>
          <w:trHeight w:val="305"/>
          <w:jc w:val="center"/>
        </w:trPr>
        <w:tc>
          <w:tcPr>
            <w:tcW w:w="7825" w:type="dxa"/>
            <w:shd w:val="clear" w:color="auto" w:fill="auto"/>
            <w:hideMark/>
          </w:tcPr>
          <w:p w:rsidRPr="00675D16" w:rsidR="000160D9" w:rsidP="007F64F4" w:rsidRDefault="000160D9" w14:paraId="32A3C45D" w14:textId="33523553">
            <w:pPr>
              <w:keepNext/>
              <w:keepLines/>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710" w:type="dxa"/>
            <w:shd w:val="clear" w:color="auto" w:fill="auto"/>
            <w:noWrap/>
            <w:hideMark/>
          </w:tcPr>
          <w:p w:rsidRPr="00675D16" w:rsidR="000160D9" w:rsidP="007F64F4" w:rsidRDefault="000160D9" w14:paraId="4FB0E5B9" w14:textId="77777777">
            <w:pPr>
              <w:keepNext/>
              <w:keepLines/>
              <w:spacing w:after="0"/>
              <w:rPr>
                <w:sz w:val="20"/>
                <w:szCs w:val="20"/>
              </w:rPr>
            </w:pPr>
            <w:r w:rsidRPr="00732012">
              <w:rPr>
                <w:sz w:val="20"/>
                <w:szCs w:val="20"/>
              </w:rPr>
              <w:t>0.30</w:t>
            </w:r>
          </w:p>
        </w:tc>
      </w:tr>
      <w:tr w:rsidRPr="00C47150" w:rsidR="000160D9" w:rsidTr="00EB5476" w14:paraId="27725F9D" w14:textId="77777777">
        <w:trPr>
          <w:trHeight w:val="260"/>
          <w:jc w:val="center"/>
        </w:trPr>
        <w:tc>
          <w:tcPr>
            <w:tcW w:w="7825" w:type="dxa"/>
            <w:shd w:val="clear" w:color="auto" w:fill="auto"/>
            <w:hideMark/>
          </w:tcPr>
          <w:p w:rsidRPr="00675D16" w:rsidR="000160D9" w:rsidP="007F64F4" w:rsidRDefault="000160D9" w14:paraId="03ACDC62" w14:textId="77777777">
            <w:pPr>
              <w:keepNext/>
              <w:keepLines/>
              <w:spacing w:after="0"/>
              <w:rPr>
                <w:sz w:val="20"/>
                <w:szCs w:val="20"/>
              </w:rPr>
            </w:pPr>
            <w:r w:rsidRPr="00732012">
              <w:rPr>
                <w:sz w:val="20"/>
                <w:szCs w:val="20"/>
              </w:rPr>
              <w:t># of Hours Per Clinician to Identify Measure (c)</w:t>
            </w:r>
          </w:p>
        </w:tc>
        <w:tc>
          <w:tcPr>
            <w:tcW w:w="1710" w:type="dxa"/>
            <w:shd w:val="clear" w:color="auto" w:fill="auto"/>
            <w:hideMark/>
          </w:tcPr>
          <w:p w:rsidRPr="00675D16" w:rsidR="000160D9" w:rsidP="007F64F4" w:rsidRDefault="000160D9" w14:paraId="198F3F0C" w14:textId="77777777">
            <w:pPr>
              <w:keepNext/>
              <w:keepLines/>
              <w:spacing w:after="0"/>
              <w:rPr>
                <w:sz w:val="20"/>
                <w:szCs w:val="20"/>
              </w:rPr>
            </w:pPr>
            <w:r w:rsidRPr="00732012">
              <w:rPr>
                <w:sz w:val="20"/>
                <w:szCs w:val="20"/>
              </w:rPr>
              <w:t>0.20</w:t>
            </w:r>
          </w:p>
        </w:tc>
      </w:tr>
      <w:tr w:rsidRPr="00C47150" w:rsidR="000160D9" w:rsidTr="00EB5476" w14:paraId="6930E10F" w14:textId="77777777">
        <w:trPr>
          <w:trHeight w:val="300"/>
          <w:jc w:val="center"/>
        </w:trPr>
        <w:tc>
          <w:tcPr>
            <w:tcW w:w="7825" w:type="dxa"/>
            <w:shd w:val="clear" w:color="auto" w:fill="D9D9D9" w:themeFill="background1" w:themeFillShade="D9"/>
            <w:hideMark/>
          </w:tcPr>
          <w:p w:rsidRPr="00675D16" w:rsidR="000160D9" w:rsidP="000160D9" w:rsidRDefault="000160D9" w14:paraId="69CAE2F9" w14:textId="7DF7A327">
            <w:pPr>
              <w:spacing w:after="0"/>
              <w:rPr>
                <w:sz w:val="20"/>
                <w:szCs w:val="20"/>
              </w:rPr>
            </w:pPr>
            <w:r w:rsidRPr="00732012">
              <w:rPr>
                <w:sz w:val="20"/>
                <w:szCs w:val="20"/>
              </w:rPr>
              <w:t>Annual Hours Per Respondent (d)</w:t>
            </w:r>
            <w:r w:rsidR="00A87849">
              <w:rPr>
                <w:sz w:val="20"/>
                <w:szCs w:val="20"/>
              </w:rPr>
              <w:t xml:space="preserve"> </w:t>
            </w:r>
            <w:r w:rsidRPr="00732012">
              <w:rPr>
                <w:sz w:val="20"/>
                <w:szCs w:val="20"/>
              </w:rPr>
              <w:t>= (b) + (c)</w:t>
            </w:r>
          </w:p>
        </w:tc>
        <w:tc>
          <w:tcPr>
            <w:tcW w:w="1710" w:type="dxa"/>
            <w:shd w:val="clear" w:color="auto" w:fill="D9D9D9" w:themeFill="background1" w:themeFillShade="D9"/>
            <w:hideMark/>
          </w:tcPr>
          <w:p w:rsidRPr="00675D16" w:rsidR="000160D9" w:rsidP="000160D9" w:rsidRDefault="000160D9" w14:paraId="27725B9A" w14:textId="77777777">
            <w:pPr>
              <w:spacing w:after="0"/>
              <w:rPr>
                <w:sz w:val="20"/>
                <w:szCs w:val="20"/>
              </w:rPr>
            </w:pPr>
            <w:r w:rsidRPr="00732012">
              <w:rPr>
                <w:sz w:val="20"/>
                <w:szCs w:val="20"/>
              </w:rPr>
              <w:t>0.50</w:t>
            </w:r>
          </w:p>
        </w:tc>
      </w:tr>
      <w:tr w:rsidRPr="00C47150" w:rsidR="000160D9" w:rsidTr="00EB5476" w14:paraId="2AFE4881" w14:textId="77777777">
        <w:trPr>
          <w:trHeight w:val="300"/>
          <w:jc w:val="center"/>
        </w:trPr>
        <w:tc>
          <w:tcPr>
            <w:tcW w:w="7825" w:type="dxa"/>
            <w:shd w:val="clear" w:color="auto" w:fill="D9D9D9" w:themeFill="background1" w:themeFillShade="D9"/>
            <w:hideMark/>
          </w:tcPr>
          <w:p w:rsidRPr="002A6C48" w:rsidR="000160D9" w:rsidP="000160D9" w:rsidRDefault="000160D9" w14:paraId="1336EC8C" w14:textId="0DA944AB">
            <w:pPr>
              <w:spacing w:after="0"/>
              <w:rPr>
                <w:b/>
                <w:sz w:val="20"/>
                <w:szCs w:val="20"/>
              </w:rPr>
            </w:pPr>
            <w:r w:rsidRPr="002A6C48">
              <w:rPr>
                <w:b/>
                <w:sz w:val="20"/>
                <w:szCs w:val="20"/>
              </w:rPr>
              <w:t>Total Annual Hours (e)</w:t>
            </w:r>
            <w:r w:rsidR="00A87849">
              <w:rPr>
                <w:b/>
                <w:sz w:val="20"/>
                <w:szCs w:val="20"/>
              </w:rPr>
              <w:t xml:space="preserve"> </w:t>
            </w:r>
            <w:r w:rsidRPr="002A6C48">
              <w:rPr>
                <w:b/>
                <w:sz w:val="20"/>
                <w:szCs w:val="20"/>
              </w:rPr>
              <w:t>= (a)</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(d)</w:t>
            </w:r>
          </w:p>
        </w:tc>
        <w:tc>
          <w:tcPr>
            <w:tcW w:w="1710" w:type="dxa"/>
            <w:shd w:val="clear" w:color="auto" w:fill="D9D9D9" w:themeFill="background1" w:themeFillShade="D9"/>
            <w:hideMark/>
          </w:tcPr>
          <w:p w:rsidRPr="002A6C48" w:rsidR="000160D9" w:rsidP="000160D9" w:rsidRDefault="00922CF6" w14:paraId="3D1D6025" w14:textId="2FDDA719">
            <w:pPr>
              <w:spacing w:after="0"/>
              <w:rPr>
                <w:b/>
                <w:sz w:val="20"/>
                <w:szCs w:val="20"/>
              </w:rPr>
            </w:pPr>
            <w:r>
              <w:rPr>
                <w:b/>
                <w:sz w:val="20"/>
                <w:szCs w:val="20"/>
              </w:rPr>
              <w:t>5</w:t>
            </w:r>
          </w:p>
        </w:tc>
      </w:tr>
      <w:tr w:rsidRPr="00C47150" w:rsidR="000160D9" w:rsidTr="00EB5476" w14:paraId="5B6E4EB9" w14:textId="77777777">
        <w:trPr>
          <w:trHeight w:val="233"/>
          <w:jc w:val="center"/>
        </w:trPr>
        <w:tc>
          <w:tcPr>
            <w:tcW w:w="7825" w:type="dxa"/>
            <w:shd w:val="clear" w:color="auto" w:fill="auto"/>
            <w:hideMark/>
          </w:tcPr>
          <w:p w:rsidRPr="00675D16" w:rsidR="000160D9" w:rsidP="000160D9" w:rsidRDefault="000160D9" w14:paraId="78304744" w14:textId="2E35CB19">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9672C1">
              <w:rPr>
                <w:sz w:val="20"/>
                <w:szCs w:val="20"/>
              </w:rPr>
              <w:t>1</w:t>
            </w:r>
            <w:r w:rsidR="0049483B">
              <w:rPr>
                <w:sz w:val="20"/>
                <w:szCs w:val="20"/>
              </w:rPr>
              <w:t>5</w:t>
            </w:r>
            <w:r w:rsidR="007C73E1">
              <w:rPr>
                <w:sz w:val="20"/>
                <w:szCs w:val="20"/>
              </w:rPr>
              <w:t>.2</w:t>
            </w:r>
            <w:r w:rsidR="0049483B">
              <w:rPr>
                <w:sz w:val="20"/>
                <w:szCs w:val="20"/>
              </w:rPr>
              <w:t>2</w:t>
            </w:r>
            <w:r w:rsidRPr="00732012">
              <w:rPr>
                <w:sz w:val="20"/>
                <w:szCs w:val="20"/>
              </w:rPr>
              <w:t>/hr.) (f)</w:t>
            </w:r>
          </w:p>
        </w:tc>
        <w:tc>
          <w:tcPr>
            <w:tcW w:w="1710" w:type="dxa"/>
            <w:shd w:val="clear" w:color="auto" w:fill="auto"/>
            <w:hideMark/>
          </w:tcPr>
          <w:p w:rsidRPr="00675D16" w:rsidR="000160D9" w:rsidP="000160D9" w:rsidRDefault="000160D9" w14:paraId="6F2AE3B3" w14:textId="60BD3EF8">
            <w:pPr>
              <w:spacing w:after="0"/>
              <w:rPr>
                <w:sz w:val="20"/>
                <w:szCs w:val="20"/>
              </w:rPr>
            </w:pPr>
            <w:r w:rsidRPr="00732012">
              <w:rPr>
                <w:sz w:val="20"/>
                <w:szCs w:val="20"/>
              </w:rPr>
              <w:t>$3</w:t>
            </w:r>
            <w:r w:rsidR="009B1EC9">
              <w:rPr>
                <w:sz w:val="20"/>
                <w:szCs w:val="20"/>
              </w:rPr>
              <w:t>4.</w:t>
            </w:r>
            <w:r w:rsidR="002062FB">
              <w:rPr>
                <w:sz w:val="20"/>
                <w:szCs w:val="20"/>
              </w:rPr>
              <w:t>56</w:t>
            </w:r>
          </w:p>
        </w:tc>
      </w:tr>
      <w:tr w:rsidRPr="00C47150" w:rsidR="000160D9" w:rsidTr="00EB5476" w14:paraId="701CFCCE" w14:textId="77777777">
        <w:trPr>
          <w:trHeight w:val="242"/>
          <w:jc w:val="center"/>
        </w:trPr>
        <w:tc>
          <w:tcPr>
            <w:tcW w:w="7825" w:type="dxa"/>
            <w:shd w:val="clear" w:color="auto" w:fill="auto"/>
            <w:hideMark/>
          </w:tcPr>
          <w:p w:rsidRPr="00675D16" w:rsidR="000160D9" w:rsidP="000160D9" w:rsidRDefault="000160D9" w14:paraId="31CF036C" w14:textId="63CFFFB0">
            <w:pPr>
              <w:spacing w:after="0"/>
              <w:rPr>
                <w:sz w:val="20"/>
                <w:szCs w:val="20"/>
              </w:rPr>
            </w:pPr>
            <w:r w:rsidRPr="00732012">
              <w:rPr>
                <w:sz w:val="20"/>
                <w:szCs w:val="20"/>
              </w:rPr>
              <w:t>Cost to Identify Improvement Measure (@ physician’s labor rate of $2</w:t>
            </w:r>
            <w:r w:rsidR="0049483B">
              <w:rPr>
                <w:sz w:val="20"/>
                <w:szCs w:val="20"/>
              </w:rPr>
              <w:t>59</w:t>
            </w:r>
            <w:r w:rsidR="003B4994">
              <w:rPr>
                <w:sz w:val="20"/>
                <w:szCs w:val="20"/>
              </w:rPr>
              <w:t>.</w:t>
            </w:r>
            <w:r w:rsidR="0049483B">
              <w:rPr>
                <w:sz w:val="20"/>
                <w:szCs w:val="20"/>
              </w:rPr>
              <w:t>98</w:t>
            </w:r>
            <w:r w:rsidRPr="00732012">
              <w:rPr>
                <w:sz w:val="20"/>
                <w:szCs w:val="20"/>
              </w:rPr>
              <w:t>/hr.) (g)</w:t>
            </w:r>
          </w:p>
        </w:tc>
        <w:tc>
          <w:tcPr>
            <w:tcW w:w="1710" w:type="dxa"/>
            <w:shd w:val="clear" w:color="auto" w:fill="auto"/>
            <w:noWrap/>
            <w:hideMark/>
          </w:tcPr>
          <w:p w:rsidRPr="00675D16" w:rsidR="000160D9" w:rsidP="000160D9" w:rsidRDefault="000160D9" w14:paraId="6DC31582" w14:textId="7A9AA2A4">
            <w:pPr>
              <w:spacing w:after="0"/>
              <w:rPr>
                <w:sz w:val="20"/>
                <w:szCs w:val="20"/>
              </w:rPr>
            </w:pPr>
            <w:r w:rsidRPr="00732012">
              <w:rPr>
                <w:sz w:val="20"/>
                <w:szCs w:val="20"/>
              </w:rPr>
              <w:t>$</w:t>
            </w:r>
            <w:r w:rsidR="002062FB">
              <w:rPr>
                <w:sz w:val="20"/>
                <w:szCs w:val="20"/>
              </w:rPr>
              <w:t>51.99</w:t>
            </w:r>
          </w:p>
        </w:tc>
      </w:tr>
      <w:tr w:rsidRPr="00C47150" w:rsidR="000160D9" w:rsidTr="00EB5476" w14:paraId="5A1BCDF1" w14:textId="77777777">
        <w:trPr>
          <w:trHeight w:val="300"/>
          <w:jc w:val="center"/>
        </w:trPr>
        <w:tc>
          <w:tcPr>
            <w:tcW w:w="7825" w:type="dxa"/>
            <w:shd w:val="clear" w:color="auto" w:fill="E7E6E6" w:themeFill="background2"/>
            <w:hideMark/>
          </w:tcPr>
          <w:p w:rsidRPr="00675D16" w:rsidR="000160D9" w:rsidP="000160D9" w:rsidRDefault="000160D9" w14:paraId="231B7049" w14:textId="47796AE7">
            <w:pPr>
              <w:spacing w:after="0"/>
              <w:rPr>
                <w:sz w:val="20"/>
                <w:szCs w:val="20"/>
              </w:rPr>
            </w:pPr>
            <w:r w:rsidRPr="00732012">
              <w:rPr>
                <w:sz w:val="20"/>
                <w:szCs w:val="20"/>
              </w:rPr>
              <w:t>Total Annual Cost Per Respondent (h)</w:t>
            </w:r>
            <w:r w:rsidR="00A87849">
              <w:rPr>
                <w:sz w:val="20"/>
                <w:szCs w:val="20"/>
              </w:rPr>
              <w:t xml:space="preserve"> </w:t>
            </w:r>
            <w:r w:rsidRPr="00732012">
              <w:rPr>
                <w:sz w:val="20"/>
                <w:szCs w:val="20"/>
              </w:rPr>
              <w:t>=</w:t>
            </w:r>
            <w:r w:rsidR="00A87849">
              <w:rPr>
                <w:sz w:val="20"/>
                <w:szCs w:val="20"/>
              </w:rPr>
              <w:t xml:space="preserve"> </w:t>
            </w:r>
            <w:r w:rsidRPr="00732012">
              <w:rPr>
                <w:sz w:val="20"/>
                <w:szCs w:val="20"/>
              </w:rPr>
              <w:t>(f)</w:t>
            </w:r>
            <w:r w:rsidR="00A87849">
              <w:rPr>
                <w:sz w:val="20"/>
                <w:szCs w:val="20"/>
              </w:rPr>
              <w:t xml:space="preserve"> </w:t>
            </w:r>
            <w:r w:rsidRPr="00732012">
              <w:rPr>
                <w:sz w:val="20"/>
                <w:szCs w:val="20"/>
              </w:rPr>
              <w:t>+</w:t>
            </w:r>
            <w:r w:rsidR="00A87849">
              <w:rPr>
                <w:sz w:val="20"/>
                <w:szCs w:val="20"/>
              </w:rPr>
              <w:t xml:space="preserve"> </w:t>
            </w:r>
            <w:r w:rsidRPr="00732012">
              <w:rPr>
                <w:sz w:val="20"/>
                <w:szCs w:val="20"/>
              </w:rPr>
              <w:t>(g)</w:t>
            </w:r>
          </w:p>
        </w:tc>
        <w:tc>
          <w:tcPr>
            <w:tcW w:w="1710" w:type="dxa"/>
            <w:shd w:val="clear" w:color="auto" w:fill="E7E6E6" w:themeFill="background2"/>
            <w:noWrap/>
            <w:hideMark/>
          </w:tcPr>
          <w:p w:rsidRPr="00675D16" w:rsidR="000160D9" w:rsidP="000160D9" w:rsidRDefault="000160D9" w14:paraId="6EAF6753" w14:textId="7B83452A">
            <w:pPr>
              <w:spacing w:after="0"/>
              <w:rPr>
                <w:sz w:val="20"/>
                <w:szCs w:val="20"/>
              </w:rPr>
            </w:pPr>
            <w:r w:rsidRPr="00732012">
              <w:rPr>
                <w:sz w:val="20"/>
                <w:szCs w:val="20"/>
              </w:rPr>
              <w:t>$</w:t>
            </w:r>
            <w:r w:rsidR="00B976A3">
              <w:rPr>
                <w:sz w:val="20"/>
                <w:szCs w:val="20"/>
              </w:rPr>
              <w:t>86</w:t>
            </w:r>
            <w:r w:rsidR="000B7549">
              <w:rPr>
                <w:sz w:val="20"/>
                <w:szCs w:val="20"/>
              </w:rPr>
              <w:t>.</w:t>
            </w:r>
            <w:r w:rsidR="00B976A3">
              <w:rPr>
                <w:sz w:val="20"/>
                <w:szCs w:val="20"/>
              </w:rPr>
              <w:t>55</w:t>
            </w:r>
          </w:p>
        </w:tc>
      </w:tr>
      <w:tr w:rsidRPr="00C47150" w:rsidR="000160D9" w:rsidTr="00EB5476" w14:paraId="1DBC883C" w14:textId="77777777">
        <w:trPr>
          <w:trHeight w:val="300"/>
          <w:jc w:val="center"/>
        </w:trPr>
        <w:tc>
          <w:tcPr>
            <w:tcW w:w="7825" w:type="dxa"/>
            <w:shd w:val="clear" w:color="auto" w:fill="E7E6E6" w:themeFill="background2"/>
            <w:hideMark/>
          </w:tcPr>
          <w:p w:rsidRPr="002A6C48" w:rsidR="000160D9" w:rsidP="000160D9" w:rsidRDefault="000160D9" w14:paraId="77B87AE0" w14:textId="1C9F4310">
            <w:pPr>
              <w:spacing w:after="0"/>
              <w:rPr>
                <w:b/>
                <w:sz w:val="20"/>
                <w:szCs w:val="20"/>
              </w:rPr>
            </w:pPr>
            <w:r w:rsidRPr="002A6C48">
              <w:rPr>
                <w:b/>
                <w:sz w:val="20"/>
                <w:szCs w:val="20"/>
              </w:rPr>
              <w:t>Total Annual Cost (i)</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(a)</w:t>
            </w:r>
            <w:r w:rsidR="00A87849">
              <w:rPr>
                <w:b/>
                <w:sz w:val="20"/>
                <w:szCs w:val="20"/>
              </w:rPr>
              <w:t xml:space="preserve"> </w:t>
            </w:r>
            <w:r w:rsidRPr="002A6C48">
              <w:rPr>
                <w:b/>
                <w:sz w:val="20"/>
                <w:szCs w:val="20"/>
              </w:rPr>
              <w:t>*</w:t>
            </w:r>
            <w:r w:rsidR="00A87849">
              <w:rPr>
                <w:b/>
                <w:sz w:val="20"/>
                <w:szCs w:val="20"/>
              </w:rPr>
              <w:t xml:space="preserve"> </w:t>
            </w:r>
            <w:r w:rsidRPr="002A6C48">
              <w:rPr>
                <w:b/>
                <w:sz w:val="20"/>
                <w:szCs w:val="20"/>
              </w:rPr>
              <w:t>(h)</w:t>
            </w:r>
          </w:p>
        </w:tc>
        <w:tc>
          <w:tcPr>
            <w:tcW w:w="1710" w:type="dxa"/>
            <w:shd w:val="clear" w:color="auto" w:fill="E7E6E6" w:themeFill="background2"/>
            <w:noWrap/>
            <w:hideMark/>
          </w:tcPr>
          <w:p w:rsidRPr="002A6C48" w:rsidR="000160D9" w:rsidP="000160D9" w:rsidRDefault="000160D9" w14:paraId="7B4EEBE4" w14:textId="2F1697AA">
            <w:pPr>
              <w:spacing w:after="0"/>
              <w:rPr>
                <w:b/>
                <w:sz w:val="20"/>
                <w:szCs w:val="20"/>
              </w:rPr>
            </w:pPr>
            <w:r w:rsidRPr="002A6C48">
              <w:rPr>
                <w:b/>
                <w:sz w:val="20"/>
                <w:szCs w:val="20"/>
              </w:rPr>
              <w:t>$</w:t>
            </w:r>
            <w:r w:rsidR="00B976A3">
              <w:rPr>
                <w:b/>
                <w:sz w:val="20"/>
                <w:szCs w:val="20"/>
              </w:rPr>
              <w:t>866</w:t>
            </w:r>
          </w:p>
        </w:tc>
      </w:tr>
    </w:tbl>
    <w:p w:rsidR="000160D9" w:rsidP="000160D9" w:rsidRDefault="000160D9" w14:paraId="5D16A3C4" w14:textId="25DE7CD1">
      <w:pPr>
        <w:ind w:firstLine="720"/>
      </w:pPr>
    </w:p>
    <w:p w:rsidRPr="004330C9" w:rsidR="000160D9" w:rsidP="003D552B" w:rsidRDefault="000160D9" w14:paraId="168292B3" w14:textId="01964BB1">
      <w:pPr>
        <w:pStyle w:val="Heading3"/>
      </w:pPr>
      <w:r w:rsidRPr="004330C9">
        <w:t>Burden Estimate for the Submission of Improvement Activities Data</w:t>
      </w:r>
    </w:p>
    <w:p w:rsidRPr="004F1A68" w:rsidR="004F1A68" w:rsidP="00E12B53" w:rsidRDefault="001F6A15" w14:paraId="4AE94B09" w14:textId="538E119B">
      <w:pPr>
        <w:rPr>
          <w:rFonts w:eastAsia="Calibri"/>
        </w:rPr>
      </w:pPr>
      <w:r w:rsidRPr="00CC2BFB">
        <w:rPr>
          <w:rFonts w:eastAsia="Calibri"/>
        </w:rPr>
        <w:t xml:space="preserve">In </w:t>
      </w:r>
      <w:r w:rsidR="002414E6">
        <w:rPr>
          <w:rFonts w:eastAsia="Calibri"/>
        </w:rPr>
        <w:t xml:space="preserve">order to </w:t>
      </w:r>
      <w:r w:rsidRPr="00CC2BFB">
        <w:rPr>
          <w:rFonts w:eastAsia="Calibri"/>
        </w:rPr>
        <w:t>determine MIPS APM scores</w:t>
      </w:r>
      <w:r w:rsidR="002414E6">
        <w:rPr>
          <w:rFonts w:eastAsia="Calibri"/>
        </w:rPr>
        <w:t xml:space="preserve">, </w:t>
      </w:r>
      <w:r w:rsidR="009672C1">
        <w:rPr>
          <w:rFonts w:eastAsia="Calibri"/>
        </w:rPr>
        <w:t xml:space="preserve">we </w:t>
      </w:r>
      <w:r w:rsidRPr="009672C1" w:rsidR="009672C1">
        <w:rPr>
          <w:rFonts w:eastAsia="Calibri"/>
        </w:rPr>
        <w:t xml:space="preserve">assign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 xml:space="preserve">ctivities scores to APM participants in the APP based on the requirements of participation in APMs. To develop the </w:t>
      </w:r>
      <w:r w:rsidR="00140797">
        <w:rPr>
          <w:rFonts w:eastAsia="Calibri"/>
        </w:rPr>
        <w:t>i</w:t>
      </w:r>
      <w:r w:rsidRPr="009672C1" w:rsidR="009672C1">
        <w:rPr>
          <w:rFonts w:eastAsia="Calibri"/>
        </w:rPr>
        <w:t xml:space="preserve">mprovement </w:t>
      </w:r>
      <w:proofErr w:type="gramStart"/>
      <w:r w:rsidR="00140797">
        <w:rPr>
          <w:rFonts w:eastAsia="Calibri"/>
        </w:rPr>
        <w:t>a</w:t>
      </w:r>
      <w:r w:rsidRPr="009672C1" w:rsidR="009672C1">
        <w:rPr>
          <w:rFonts w:eastAsia="Calibri"/>
        </w:rPr>
        <w:t>ctivities</w:t>
      </w:r>
      <w:proofErr w:type="gramEnd"/>
      <w:r w:rsidRPr="009672C1" w:rsidR="009672C1">
        <w:rPr>
          <w:rFonts w:eastAsia="Calibri"/>
        </w:rPr>
        <w:t xml:space="preserve"> score for MIPS APMs, we would compare requirements of the APM with the list of </w:t>
      </w:r>
      <w:r w:rsidR="00140797">
        <w:rPr>
          <w:rFonts w:eastAsia="Calibri"/>
        </w:rPr>
        <w:t>i</w:t>
      </w:r>
      <w:r w:rsidRPr="009672C1" w:rsidR="009672C1">
        <w:rPr>
          <w:rFonts w:eastAsia="Calibri"/>
        </w:rPr>
        <w:t xml:space="preserve">mprovement </w:t>
      </w:r>
      <w:r w:rsidR="00140797">
        <w:rPr>
          <w:rFonts w:eastAsia="Calibri"/>
        </w:rPr>
        <w:t>a</w:t>
      </w:r>
      <w:r w:rsidRPr="009672C1" w:rsidR="009672C1">
        <w:rPr>
          <w:rFonts w:eastAsia="Calibri"/>
        </w:rPr>
        <w:t>ctivities measures for the applicable year</w:t>
      </w:r>
      <w:r w:rsidR="00E73765">
        <w:rPr>
          <w:rFonts w:eastAsia="Calibri"/>
        </w:rPr>
        <w:t xml:space="preserve"> </w:t>
      </w:r>
      <w:r w:rsidRPr="009672C1" w:rsidR="009672C1">
        <w:rPr>
          <w:rFonts w:eastAsia="Calibri"/>
        </w:rPr>
        <w:t xml:space="preserve">and score those measures as they would otherwise be scored according to § 414.1355. In the event a MIPS APM participant does not actually perform an activity for which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ctivities credit would otherwise be assigned under this </w:t>
      </w:r>
      <w:r w:rsidRPr="009672C1" w:rsidDel="00352284" w:rsidR="009672C1">
        <w:rPr>
          <w:rFonts w:eastAsia="Calibri"/>
        </w:rPr>
        <w:t>pro</w:t>
      </w:r>
      <w:r w:rsidR="00317A78">
        <w:rPr>
          <w:rFonts w:eastAsia="Calibri"/>
        </w:rPr>
        <w:t>vision</w:t>
      </w:r>
      <w:r w:rsidRPr="009672C1" w:rsidR="009672C1">
        <w:rPr>
          <w:rFonts w:eastAsia="Calibri"/>
        </w:rPr>
        <w:t xml:space="preserve">, the MIPS APM participant would not receive credit for the associated </w:t>
      </w:r>
      <w:r w:rsidR="00C932D9">
        <w:rPr>
          <w:rFonts w:eastAsia="Calibri"/>
        </w:rPr>
        <w:t>i</w:t>
      </w:r>
      <w:r w:rsidRPr="009672C1" w:rsidR="009672C1">
        <w:rPr>
          <w:rFonts w:eastAsia="Calibri"/>
        </w:rPr>
        <w:t xml:space="preserve">mprovement </w:t>
      </w:r>
      <w:r w:rsidR="00C932D9">
        <w:rPr>
          <w:rFonts w:eastAsia="Calibri"/>
        </w:rPr>
        <w:t>a</w:t>
      </w:r>
      <w:r w:rsidRPr="009672C1" w:rsidR="009672C1">
        <w:rPr>
          <w:rFonts w:eastAsia="Calibri"/>
        </w:rPr>
        <w:t xml:space="preserve">ctivity.  In the event that the assigned score does not represent the maximum improvement activities score, we </w:t>
      </w:r>
      <w:r w:rsidR="00317A78">
        <w:rPr>
          <w:rFonts w:eastAsia="Calibri"/>
        </w:rPr>
        <w:t>specify</w:t>
      </w:r>
      <w:r w:rsidRPr="009672C1" w:rsidR="009672C1">
        <w:rPr>
          <w:rFonts w:eastAsia="Calibri"/>
        </w:rPr>
        <w:t xml:space="preserve"> that MIPS eligible clinicians reporting through the APP would have the opportunity to report additional improvement activities that then would be applied towards their scores. Our burden estimates assume there will be no improvement activities burden for MIPS APM participants electing the APP.  We will assign the improvement activities performance category score at the APM Entity level</w:t>
      </w:r>
      <w:r w:rsidRPr="004F1A68" w:rsidR="004F1A68">
        <w:rPr>
          <w:rFonts w:eastAsia="Calibri"/>
        </w:rPr>
        <w:t xml:space="preserve">. </w:t>
      </w:r>
    </w:p>
    <w:p w:rsidR="00A3122C" w:rsidP="00E12B53" w:rsidRDefault="008D7DB5" w14:paraId="4CCA4356" w14:textId="56A8E7BE">
      <w:pPr>
        <w:rPr>
          <w:rFonts w:eastAsia="Calibri"/>
        </w:rPr>
      </w:pPr>
      <w:r w:rsidRPr="008D7DB5">
        <w:rPr>
          <w:rFonts w:eastAsia="Calibri"/>
        </w:rPr>
        <w:t xml:space="preserve">A variety of organizations and in some cases, individual clinicians, will submit improvement activity performance category data. As finalized in the CY 2017 Quality Payment Program final rule (81 FR 77264), APM Entities only need to report improvement activities data if the CMS-assigned improvement activities score is below the maximum improvement activities score.  Similar to our assumption in the CY 2018 Quality Payment Program final rule, our burden estimates assume that </w:t>
      </w:r>
      <w:r w:rsidR="00BC3840">
        <w:rPr>
          <w:rFonts w:eastAsia="Calibri"/>
        </w:rPr>
        <w:t xml:space="preserve">all </w:t>
      </w:r>
      <w:r w:rsidRPr="008D7DB5" w:rsidR="00BC3840">
        <w:rPr>
          <w:rFonts w:eastAsia="Calibri"/>
        </w:rPr>
        <w:t>MIPS</w:t>
      </w:r>
      <w:r w:rsidRPr="008D7DB5">
        <w:rPr>
          <w:rFonts w:eastAsia="Calibri"/>
        </w:rPr>
        <w:t xml:space="preserve"> APM models for the </w:t>
      </w:r>
      <w:r w:rsidR="00723CE1">
        <w:rPr>
          <w:rFonts w:eastAsia="Calibri"/>
        </w:rPr>
        <w:t xml:space="preserve">CY </w:t>
      </w:r>
      <w:r w:rsidRPr="008D7DB5">
        <w:rPr>
          <w:rFonts w:eastAsia="Calibri"/>
        </w:rPr>
        <w:t>202</w:t>
      </w:r>
      <w:r w:rsidR="00AC1E73">
        <w:rPr>
          <w:rFonts w:eastAsia="Calibri"/>
        </w:rPr>
        <w:t>3</w:t>
      </w:r>
      <w:r w:rsidRPr="008D7DB5">
        <w:rPr>
          <w:rFonts w:eastAsia="Calibri"/>
        </w:rPr>
        <w:t xml:space="preserve"> performance period</w:t>
      </w:r>
      <w:r w:rsidR="00723CE1">
        <w:rPr>
          <w:rFonts w:eastAsia="Calibri"/>
        </w:rPr>
        <w:t>/202</w:t>
      </w:r>
      <w:r w:rsidR="00AC1E73">
        <w:rPr>
          <w:rFonts w:eastAsia="Calibri"/>
        </w:rPr>
        <w:t>5</w:t>
      </w:r>
      <w:r w:rsidR="00723CE1">
        <w:rPr>
          <w:rFonts w:eastAsia="Calibri"/>
        </w:rPr>
        <w:t xml:space="preserve"> MIPS payment year</w:t>
      </w:r>
      <w:r w:rsidRPr="008D7DB5">
        <w:rPr>
          <w:rFonts w:eastAsia="Calibri"/>
        </w:rPr>
        <w:t xml:space="preserve"> will qualify for the maximum improvement activities performance category score and, as such, APM Entities will not submit any additional improvement activities. (82 FR 53921 through 53922)</w:t>
      </w:r>
      <w:r w:rsidR="00A3122C">
        <w:rPr>
          <w:rFonts w:eastAsia="Calibri"/>
        </w:rPr>
        <w:t>.</w:t>
      </w:r>
    </w:p>
    <w:p w:rsidRPr="003428D4" w:rsidR="00D92164" w:rsidP="00E12B53" w:rsidRDefault="004F1A68" w14:paraId="1695BA5B" w14:textId="4FC9379B">
      <w:pPr>
        <w:rPr>
          <w:rFonts w:eastAsia="Calibri"/>
        </w:rPr>
      </w:pPr>
      <w:r w:rsidRPr="004F1A68">
        <w:rPr>
          <w:rFonts w:eastAsia="Calibri"/>
        </w:rPr>
        <w:t xml:space="preserve">As represented in Table </w:t>
      </w:r>
      <w:r w:rsidR="004F74AA">
        <w:rPr>
          <w:rFonts w:eastAsia="Calibri"/>
        </w:rPr>
        <w:t>19</w:t>
      </w:r>
      <w:r w:rsidRPr="004F1A68">
        <w:rPr>
          <w:rFonts w:eastAsia="Calibri"/>
        </w:rPr>
        <w:t xml:space="preserve">, </w:t>
      </w:r>
      <w:r w:rsidRPr="00455BE9" w:rsidR="00455BE9">
        <w:rPr>
          <w:rFonts w:eastAsia="Calibri"/>
        </w:rPr>
        <w:t xml:space="preserve">based on </w:t>
      </w:r>
      <w:r w:rsidR="00723CE1">
        <w:rPr>
          <w:rFonts w:eastAsia="Calibri"/>
        </w:rPr>
        <w:t xml:space="preserve">CY </w:t>
      </w:r>
      <w:r w:rsidRPr="00455BE9" w:rsidR="00455BE9">
        <w:rPr>
          <w:rFonts w:eastAsia="Calibri"/>
        </w:rPr>
        <w:t>2019 performance period</w:t>
      </w:r>
      <w:r w:rsidR="00723CE1">
        <w:rPr>
          <w:rFonts w:eastAsia="Calibri"/>
        </w:rPr>
        <w:t>/2021 MIPS payment year</w:t>
      </w:r>
      <w:r w:rsidRPr="00455BE9" w:rsidR="00455BE9">
        <w:rPr>
          <w:rFonts w:eastAsia="Calibri"/>
        </w:rPr>
        <w:t xml:space="preserve"> data, we estimate that a total of </w:t>
      </w:r>
      <w:r w:rsidR="004F74AA">
        <w:rPr>
          <w:rFonts w:eastAsia="Calibri"/>
        </w:rPr>
        <w:t>96</w:t>
      </w:r>
      <w:r w:rsidR="009577EF">
        <w:rPr>
          <w:rFonts w:eastAsia="Calibri"/>
        </w:rPr>
        <w:t>,</w:t>
      </w:r>
      <w:r w:rsidR="004F74AA">
        <w:rPr>
          <w:rFonts w:eastAsia="Calibri"/>
        </w:rPr>
        <w:t>980</w:t>
      </w:r>
      <w:r w:rsidRPr="00455BE9" w:rsidR="00455BE9">
        <w:rPr>
          <w:rFonts w:eastAsia="Calibri"/>
        </w:rPr>
        <w:t xml:space="preserve"> respondents consisting of </w:t>
      </w:r>
      <w:r w:rsidR="004F74AA">
        <w:rPr>
          <w:rFonts w:eastAsia="Calibri"/>
        </w:rPr>
        <w:t>78</w:t>
      </w:r>
      <w:r w:rsidR="000B4D25">
        <w:rPr>
          <w:rFonts w:eastAsia="Calibri"/>
        </w:rPr>
        <w:t>,</w:t>
      </w:r>
      <w:r w:rsidR="004F74AA">
        <w:rPr>
          <w:rFonts w:eastAsia="Calibri"/>
        </w:rPr>
        <w:t>239</w:t>
      </w:r>
      <w:r w:rsidRPr="00455BE9" w:rsidR="00455BE9">
        <w:rPr>
          <w:rFonts w:eastAsia="Calibri"/>
        </w:rPr>
        <w:t xml:space="preserve"> individual clinicians and 17,</w:t>
      </w:r>
      <w:r w:rsidR="00527387">
        <w:rPr>
          <w:rFonts w:eastAsia="Calibri"/>
        </w:rPr>
        <w:t>7</w:t>
      </w:r>
      <w:r w:rsidR="00F06391">
        <w:rPr>
          <w:rFonts w:eastAsia="Calibri"/>
        </w:rPr>
        <w:t>21</w:t>
      </w:r>
      <w:r w:rsidRPr="00455BE9" w:rsidR="00455BE9">
        <w:rPr>
          <w:rFonts w:eastAsia="Calibri"/>
        </w:rPr>
        <w:t xml:space="preserve"> groups</w:t>
      </w:r>
      <w:r w:rsidR="00F06391">
        <w:rPr>
          <w:rFonts w:eastAsia="Calibri"/>
        </w:rPr>
        <w:t>, and 20 subgroups</w:t>
      </w:r>
      <w:r w:rsidRPr="00455BE9" w:rsidR="00455BE9">
        <w:rPr>
          <w:rFonts w:eastAsia="Calibri"/>
        </w:rPr>
        <w:t xml:space="preserve"> will submit improvement activities during the </w:t>
      </w:r>
      <w:r w:rsidR="00AB10A2">
        <w:rPr>
          <w:rFonts w:eastAsia="Calibri"/>
        </w:rPr>
        <w:t xml:space="preserve">CY </w:t>
      </w:r>
      <w:r w:rsidRPr="00455BE9" w:rsidR="00455BE9">
        <w:rPr>
          <w:rFonts w:eastAsia="Calibri"/>
        </w:rPr>
        <w:t>202</w:t>
      </w:r>
      <w:r w:rsidR="00F06391">
        <w:rPr>
          <w:rFonts w:eastAsia="Calibri"/>
        </w:rPr>
        <w:t>3</w:t>
      </w:r>
      <w:r w:rsidRPr="00455BE9" w:rsidR="00455BE9">
        <w:rPr>
          <w:rFonts w:eastAsia="Calibri"/>
        </w:rPr>
        <w:t xml:space="preserve"> performance period</w:t>
      </w:r>
      <w:r w:rsidR="00AB10A2">
        <w:rPr>
          <w:rFonts w:eastAsia="Calibri"/>
        </w:rPr>
        <w:t>/202</w:t>
      </w:r>
      <w:r w:rsidR="00F06391">
        <w:rPr>
          <w:rFonts w:eastAsia="Calibri"/>
        </w:rPr>
        <w:t>5</w:t>
      </w:r>
      <w:r w:rsidR="00AB10A2">
        <w:rPr>
          <w:rFonts w:eastAsia="Calibri"/>
        </w:rPr>
        <w:t xml:space="preserve"> MIPS payment year</w:t>
      </w:r>
      <w:r w:rsidRPr="00CC2BFB" w:rsidR="007324E3">
        <w:rPr>
          <w:rFonts w:eastAsia="Calibri"/>
        </w:rPr>
        <w:t xml:space="preserve">.  </w:t>
      </w:r>
      <w:r w:rsidRPr="00CC2BFB" w:rsidR="007324E3">
        <w:t>In addition</w:t>
      </w:r>
      <w:r w:rsidRPr="00CC2BFB" w:rsidR="007324E3">
        <w:rPr>
          <w:rFonts w:eastAsia="Calibri"/>
        </w:rPr>
        <w:t xml:space="preserve">, </w:t>
      </w:r>
      <w:r w:rsidRPr="008D7DB5" w:rsidR="008D7DB5">
        <w:rPr>
          <w:rFonts w:eastAsia="Calibri"/>
          <w:snapToGrid w:val="0"/>
        </w:rPr>
        <w:t xml:space="preserve">we have updated our estimates for the number of clinicians and groups that will submit improvement activities data based on projections of the number of eligible clinicians that were not QPs or members of an ACO in the </w:t>
      </w:r>
      <w:r w:rsidR="00E55189">
        <w:rPr>
          <w:rFonts w:eastAsia="Calibri"/>
          <w:snapToGrid w:val="0"/>
        </w:rPr>
        <w:t xml:space="preserve">CY </w:t>
      </w:r>
      <w:r w:rsidRPr="008D7DB5" w:rsidR="008D7DB5">
        <w:rPr>
          <w:rFonts w:eastAsia="Calibri"/>
          <w:snapToGrid w:val="0"/>
        </w:rPr>
        <w:t>201</w:t>
      </w:r>
      <w:r w:rsidR="00455BE9">
        <w:rPr>
          <w:rFonts w:eastAsia="Calibri"/>
          <w:snapToGrid w:val="0"/>
        </w:rPr>
        <w:t>9</w:t>
      </w:r>
      <w:r w:rsidRPr="008D7DB5" w:rsidR="008D7DB5">
        <w:rPr>
          <w:rFonts w:eastAsia="Calibri"/>
          <w:snapToGrid w:val="0"/>
        </w:rPr>
        <w:t xml:space="preserve"> performance period</w:t>
      </w:r>
      <w:r w:rsidR="00E55189">
        <w:rPr>
          <w:rFonts w:eastAsia="Calibri"/>
          <w:snapToGrid w:val="0"/>
        </w:rPr>
        <w:t xml:space="preserve">/2021 MIPS payment </w:t>
      </w:r>
      <w:r w:rsidR="00AB71C9">
        <w:rPr>
          <w:rFonts w:eastAsia="Calibri"/>
          <w:snapToGrid w:val="0"/>
        </w:rPr>
        <w:t>year but</w:t>
      </w:r>
      <w:r w:rsidRPr="008D7DB5" w:rsidR="008D7DB5">
        <w:rPr>
          <w:rFonts w:eastAsia="Calibri"/>
          <w:snapToGrid w:val="0"/>
        </w:rPr>
        <w:t xml:space="preserve"> will be in the </w:t>
      </w:r>
      <w:r w:rsidR="00183A77">
        <w:rPr>
          <w:rFonts w:eastAsia="Calibri"/>
          <w:snapToGrid w:val="0"/>
        </w:rPr>
        <w:t xml:space="preserve">CY </w:t>
      </w:r>
      <w:r w:rsidRPr="008D7DB5" w:rsidR="008D7DB5">
        <w:rPr>
          <w:rFonts w:eastAsia="Calibri"/>
          <w:snapToGrid w:val="0"/>
        </w:rPr>
        <w:t>202</w:t>
      </w:r>
      <w:r w:rsidR="00A1023E">
        <w:rPr>
          <w:rFonts w:eastAsia="Calibri"/>
          <w:snapToGrid w:val="0"/>
        </w:rPr>
        <w:t>3</w:t>
      </w:r>
      <w:r w:rsidRPr="008D7DB5" w:rsidR="008D7DB5">
        <w:rPr>
          <w:rFonts w:eastAsia="Calibri"/>
          <w:snapToGrid w:val="0"/>
        </w:rPr>
        <w:t xml:space="preserve"> performance period</w:t>
      </w:r>
      <w:r w:rsidR="00183A77">
        <w:rPr>
          <w:rFonts w:eastAsia="Calibri"/>
          <w:snapToGrid w:val="0"/>
        </w:rPr>
        <w:t>/202</w:t>
      </w:r>
      <w:r w:rsidR="00A1023E">
        <w:rPr>
          <w:rFonts w:eastAsia="Calibri"/>
          <w:snapToGrid w:val="0"/>
        </w:rPr>
        <w:t>5</w:t>
      </w:r>
      <w:r w:rsidR="00183A77">
        <w:rPr>
          <w:rFonts w:eastAsia="Calibri"/>
          <w:snapToGrid w:val="0"/>
        </w:rPr>
        <w:t xml:space="preserve"> MIPS payment year</w:t>
      </w:r>
      <w:r w:rsidRPr="008D7DB5" w:rsidR="008D7DB5">
        <w:rPr>
          <w:rFonts w:eastAsia="Calibri"/>
          <w:snapToGrid w:val="0"/>
        </w:rPr>
        <w:t>, and will therefore not be required to submit improvement activities data</w:t>
      </w:r>
      <w:r w:rsidRPr="004F1A68">
        <w:rPr>
          <w:rFonts w:eastAsia="Calibri"/>
        </w:rPr>
        <w:t xml:space="preserve">.  </w:t>
      </w:r>
    </w:p>
    <w:p w:rsidR="003C1394" w:rsidP="000343B7" w:rsidRDefault="009F03AB" w14:paraId="0AE66F94" w14:textId="174090B5">
      <w:pPr>
        <w:rPr>
          <w:rFonts w:eastAsia="Calibri"/>
        </w:rPr>
      </w:pPr>
      <w:r>
        <w:rPr>
          <w:rFonts w:eastAsia="Calibri"/>
          <w:snapToGrid w:val="0"/>
        </w:rPr>
        <w:t xml:space="preserve">We continue to estimate that it would take </w:t>
      </w:r>
      <w:r w:rsidR="00761727">
        <w:rPr>
          <w:rFonts w:eastAsia="Calibri"/>
          <w:snapToGrid w:val="0"/>
        </w:rPr>
        <w:t>5 minutes (or 0.083 hours) for</w:t>
      </w:r>
      <w:r w:rsidRPr="00A646F5" w:rsidR="00107056">
        <w:rPr>
          <w:color w:val="000000" w:themeColor="text1"/>
        </w:rPr>
        <w:t xml:space="preserve"> a computer system analyst</w:t>
      </w:r>
      <w:r w:rsidRPr="00A646F5" w:rsidR="00107056">
        <w:rPr>
          <w:rFonts w:eastAsia="Calibri"/>
          <w:snapToGrid w:val="0"/>
          <w:color w:val="000000" w:themeColor="text1"/>
        </w:rPr>
        <w:t xml:space="preserve"> at a labor rate of $98.28/</w:t>
      </w:r>
      <w:proofErr w:type="spellStart"/>
      <w:r w:rsidRPr="00A646F5" w:rsidR="00107056">
        <w:rPr>
          <w:rFonts w:eastAsia="Calibri"/>
          <w:snapToGrid w:val="0"/>
          <w:color w:val="000000" w:themeColor="text1"/>
        </w:rPr>
        <w:t>hr</w:t>
      </w:r>
      <w:proofErr w:type="spellEnd"/>
      <w:r w:rsidRPr="00A646F5" w:rsidR="00107056">
        <w:rPr>
          <w:color w:val="000000" w:themeColor="text1"/>
        </w:rPr>
        <w:t xml:space="preserve"> to submit by logging in and manually attesting that certain activities were performed in the form and manner specified by CMS with a set of authenticated credentials</w:t>
      </w:r>
      <w:r w:rsidR="00107056">
        <w:rPr>
          <w:color w:val="000000" w:themeColor="text1"/>
        </w:rPr>
        <w:t>.</w:t>
      </w:r>
      <w:r>
        <w:rPr>
          <w:rFonts w:eastAsia="Calibri"/>
          <w:snapToGrid w:val="0"/>
        </w:rPr>
        <w:t xml:space="preserve"> </w:t>
      </w:r>
      <w:r w:rsidR="00DB52E3">
        <w:rPr>
          <w:rFonts w:eastAsia="Calibri"/>
          <w:snapToGrid w:val="0"/>
        </w:rPr>
        <w:t xml:space="preserve">As shown in Table 19, </w:t>
      </w:r>
      <w:r w:rsidRPr="00977610" w:rsidR="00E4782F">
        <w:rPr>
          <w:rFonts w:eastAsia="Calibri"/>
        </w:rPr>
        <w:t xml:space="preserve">we estimate an annual burden of </w:t>
      </w:r>
      <w:r w:rsidR="00DB52E3">
        <w:rPr>
          <w:rFonts w:eastAsia="Calibri"/>
        </w:rPr>
        <w:t>8,049</w:t>
      </w:r>
      <w:r w:rsidRPr="00977610" w:rsidR="00E4782F">
        <w:rPr>
          <w:rFonts w:eastAsia="Calibri"/>
        </w:rPr>
        <w:t xml:space="preserve"> hours (</w:t>
      </w:r>
      <w:r w:rsidR="005B7BB7">
        <w:rPr>
          <w:rFonts w:eastAsia="Calibri"/>
        </w:rPr>
        <w:t>96,980</w:t>
      </w:r>
      <w:r w:rsidRPr="00977610" w:rsidR="00E4782F">
        <w:rPr>
          <w:rFonts w:eastAsia="Calibri"/>
        </w:rPr>
        <w:t xml:space="preserve"> responses x </w:t>
      </w:r>
      <w:r w:rsidR="001B5240">
        <w:rPr>
          <w:rFonts w:eastAsia="Calibri"/>
        </w:rPr>
        <w:t>0</w:t>
      </w:r>
      <w:r w:rsidR="00F97D07">
        <w:rPr>
          <w:rFonts w:eastAsia="Calibri"/>
        </w:rPr>
        <w:t>.083</w:t>
      </w:r>
      <w:r w:rsidRPr="00977610" w:rsidR="00E4782F">
        <w:rPr>
          <w:rFonts w:eastAsia="Calibri"/>
        </w:rPr>
        <w:t>) a</w:t>
      </w:r>
      <w:r w:rsidR="005B7BB7">
        <w:rPr>
          <w:rFonts w:eastAsia="Calibri"/>
        </w:rPr>
        <w:t xml:space="preserve">t a cost of </w:t>
      </w:r>
      <w:r w:rsidRPr="00977610" w:rsidR="00E4782F">
        <w:rPr>
          <w:rFonts w:eastAsia="Calibri"/>
        </w:rPr>
        <w:t>$</w:t>
      </w:r>
      <w:r w:rsidR="005B7BB7">
        <w:rPr>
          <w:rFonts w:eastAsia="Calibri"/>
        </w:rPr>
        <w:t>791,056</w:t>
      </w:r>
      <w:r w:rsidRPr="00977610" w:rsidR="00E4782F">
        <w:rPr>
          <w:rFonts w:eastAsia="Calibri"/>
        </w:rPr>
        <w:t xml:space="preserve"> (</w:t>
      </w:r>
      <w:r w:rsidR="005B7BB7">
        <w:rPr>
          <w:rFonts w:eastAsia="Calibri"/>
        </w:rPr>
        <w:t>8,049</w:t>
      </w:r>
      <w:r w:rsidRPr="00977610" w:rsidR="00E4782F">
        <w:rPr>
          <w:rFonts w:eastAsia="Calibri"/>
        </w:rPr>
        <w:t xml:space="preserve"> </w:t>
      </w:r>
      <w:proofErr w:type="spellStart"/>
      <w:r w:rsidRPr="00977610" w:rsidR="00E4782F">
        <w:rPr>
          <w:rFonts w:eastAsia="Calibri"/>
        </w:rPr>
        <w:t>hr</w:t>
      </w:r>
      <w:r w:rsidR="005B7BB7">
        <w:rPr>
          <w:rFonts w:eastAsia="Calibri"/>
        </w:rPr>
        <w:t>s</w:t>
      </w:r>
      <w:proofErr w:type="spellEnd"/>
      <w:r w:rsidRPr="00977610" w:rsidR="00E4782F">
        <w:rPr>
          <w:rFonts w:eastAsia="Calibri"/>
        </w:rPr>
        <w:t xml:space="preserve"> x $</w:t>
      </w:r>
      <w:r w:rsidR="00E4782F">
        <w:rPr>
          <w:rFonts w:eastAsia="Calibri"/>
        </w:rPr>
        <w:t>9</w:t>
      </w:r>
      <w:r w:rsidR="005B7BB7">
        <w:rPr>
          <w:rFonts w:eastAsia="Calibri"/>
        </w:rPr>
        <w:t>8</w:t>
      </w:r>
      <w:r w:rsidR="00E4782F">
        <w:rPr>
          <w:rFonts w:eastAsia="Calibri"/>
        </w:rPr>
        <w:t>.2</w:t>
      </w:r>
      <w:r w:rsidR="005B7BB7">
        <w:rPr>
          <w:rFonts w:eastAsia="Calibri"/>
        </w:rPr>
        <w:t>8</w:t>
      </w:r>
      <w:r w:rsidRPr="00977610" w:rsidR="00E4782F">
        <w:rPr>
          <w:rFonts w:eastAsia="Calibri"/>
        </w:rPr>
        <w:t>/</w:t>
      </w:r>
      <w:proofErr w:type="spellStart"/>
      <w:r w:rsidRPr="00977610" w:rsidR="00E4782F">
        <w:rPr>
          <w:rFonts w:eastAsia="Calibri"/>
        </w:rPr>
        <w:t>hr</w:t>
      </w:r>
      <w:proofErr w:type="spellEnd"/>
      <w:r w:rsidRPr="00977610" w:rsidR="00E4782F">
        <w:rPr>
          <w:rFonts w:eastAsia="Calibri"/>
        </w:rPr>
        <w:t>)</w:t>
      </w:r>
      <w:r w:rsidR="001313A3">
        <w:rPr>
          <w:rFonts w:eastAsia="Calibri"/>
        </w:rPr>
        <w:t xml:space="preserve"> </w:t>
      </w:r>
      <w:r w:rsidR="001313A3">
        <w:rPr>
          <w:rFonts w:eastAsia="Calibri"/>
          <w:snapToGrid w:val="0"/>
        </w:rPr>
        <w:t xml:space="preserve">for </w:t>
      </w:r>
      <w:r w:rsidR="001313A3">
        <w:rPr>
          <w:rFonts w:eastAsia="Calibri"/>
        </w:rPr>
        <w:t>the CY 2023 performance period/2025 MIPS payment year</w:t>
      </w:r>
      <w:r w:rsidR="008D5226">
        <w:rPr>
          <w:rFonts w:eastAsia="Calibri"/>
        </w:rPr>
        <w:t xml:space="preserve">. </w:t>
      </w:r>
    </w:p>
    <w:p w:rsidRPr="00C47150" w:rsidR="00901668" w:rsidP="00901668" w:rsidRDefault="00901668" w14:paraId="7192A531" w14:textId="477D2AAF">
      <w:pPr>
        <w:keepNext/>
        <w:keepLines/>
        <w:spacing w:after="0"/>
        <w:jc w:val="center"/>
        <w:rPr>
          <w:b/>
          <w:bCs/>
        </w:rPr>
      </w:pPr>
      <w:r w:rsidRPr="00C47150">
        <w:rPr>
          <w:b/>
          <w:bCs/>
        </w:rPr>
        <w:t xml:space="preserve">TABLE </w:t>
      </w:r>
      <w:r w:rsidR="00116FAD">
        <w:rPr>
          <w:b/>
          <w:bCs/>
        </w:rPr>
        <w:t>19</w:t>
      </w:r>
      <w:r w:rsidRPr="00C47150">
        <w:rPr>
          <w:b/>
          <w:bCs/>
        </w:rPr>
        <w:t xml:space="preserve">: </w:t>
      </w:r>
      <w:r>
        <w:rPr>
          <w:b/>
          <w:bCs/>
        </w:rPr>
        <w:t xml:space="preserve">Estimated </w:t>
      </w:r>
      <w:r w:rsidRPr="00732012">
        <w:rPr>
          <w:b/>
          <w:bCs/>
        </w:rPr>
        <w:t xml:space="preserve">Burden </w:t>
      </w:r>
      <w:r w:rsidRPr="00C47150">
        <w:rPr>
          <w:b/>
          <w:bCs/>
        </w:rPr>
        <w:t>for Improvement Activities Submission</w:t>
      </w:r>
      <w:r w:rsidR="007E28F5">
        <w:rPr>
          <w:b/>
          <w:bCs/>
        </w:rPr>
        <w:t xml:space="preserve"> </w:t>
      </w:r>
    </w:p>
    <w:tbl>
      <w:tblPr>
        <w:tblW w:w="1011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70"/>
        <w:gridCol w:w="1745"/>
      </w:tblGrid>
      <w:tr w:rsidRPr="00C47150" w:rsidR="00EC7C5B" w:rsidTr="00721EBD" w14:paraId="1F334858" w14:textId="77777777">
        <w:trPr>
          <w:cantSplit/>
          <w:trHeight w:val="300"/>
          <w:tblHeader/>
        </w:trPr>
        <w:tc>
          <w:tcPr>
            <w:tcW w:w="8370" w:type="dxa"/>
            <w:tcBorders>
              <w:bottom w:val="single" w:color="auto" w:sz="4" w:space="0"/>
            </w:tcBorders>
            <w:shd w:val="clear" w:color="auto" w:fill="auto"/>
            <w:hideMark/>
          </w:tcPr>
          <w:p w:rsidRPr="00925658" w:rsidR="00901668" w:rsidP="003D73AE" w:rsidRDefault="00901668" w14:paraId="21D845B5" w14:textId="77777777">
            <w:pPr>
              <w:keepNext/>
              <w:keepLines/>
              <w:spacing w:after="0"/>
              <w:rPr>
                <w:b/>
                <w:sz w:val="20"/>
                <w:szCs w:val="20"/>
              </w:rPr>
            </w:pPr>
            <w:r w:rsidRPr="00B05B18">
              <w:rPr>
                <w:b/>
                <w:sz w:val="20"/>
                <w:szCs w:val="20"/>
              </w:rPr>
              <w:t>Burden and Respondent Descriptions</w:t>
            </w:r>
          </w:p>
        </w:tc>
        <w:tc>
          <w:tcPr>
            <w:tcW w:w="1745" w:type="dxa"/>
            <w:tcBorders>
              <w:bottom w:val="single" w:color="auto" w:sz="4" w:space="0"/>
            </w:tcBorders>
            <w:shd w:val="clear" w:color="auto" w:fill="auto"/>
            <w:vAlign w:val="center"/>
            <w:hideMark/>
          </w:tcPr>
          <w:p w:rsidRPr="00925658" w:rsidR="00901668" w:rsidP="003D73AE" w:rsidRDefault="00901668" w14:paraId="00F702CE" w14:textId="77777777">
            <w:pPr>
              <w:keepNext/>
              <w:keepLines/>
              <w:spacing w:after="0"/>
              <w:rPr>
                <w:b/>
                <w:sz w:val="20"/>
                <w:szCs w:val="20"/>
              </w:rPr>
            </w:pPr>
            <w:r w:rsidRPr="00925658">
              <w:rPr>
                <w:b/>
                <w:sz w:val="20"/>
                <w:szCs w:val="20"/>
              </w:rPr>
              <w:t>Burden Estimate</w:t>
            </w:r>
          </w:p>
        </w:tc>
      </w:tr>
      <w:tr w:rsidRPr="00C47150" w:rsidR="00901668" w:rsidTr="00721EBD" w14:paraId="7EA8DA90" w14:textId="77777777">
        <w:trPr>
          <w:trHeight w:val="422"/>
        </w:trPr>
        <w:tc>
          <w:tcPr>
            <w:tcW w:w="8370" w:type="dxa"/>
            <w:shd w:val="clear" w:color="auto" w:fill="auto"/>
            <w:hideMark/>
          </w:tcPr>
          <w:p w:rsidRPr="00925658" w:rsidR="00901668" w:rsidP="003D73AE" w:rsidRDefault="00901668" w14:paraId="0D6B1198" w14:textId="665C14A7">
            <w:pPr>
              <w:spacing w:after="0"/>
              <w:rPr>
                <w:sz w:val="20"/>
                <w:szCs w:val="20"/>
              </w:rPr>
            </w:pPr>
            <w:r w:rsidRPr="00925658">
              <w:rPr>
                <w:sz w:val="20"/>
                <w:szCs w:val="20"/>
              </w:rPr>
              <w:t xml:space="preserve">Total # of Respondents (Groups, </w:t>
            </w:r>
            <w:r w:rsidR="00D8242C">
              <w:rPr>
                <w:sz w:val="20"/>
                <w:szCs w:val="20"/>
              </w:rPr>
              <w:t xml:space="preserve">Subgroups, </w:t>
            </w:r>
            <w:r w:rsidRPr="00925658">
              <w:rPr>
                <w:sz w:val="20"/>
                <w:szCs w:val="20"/>
              </w:rPr>
              <w:t xml:space="preserve">Virtual Groups, and Individual Clinicians) to submit improvement activities data on behalf of clinicians during the </w:t>
            </w:r>
            <w:r>
              <w:rPr>
                <w:sz w:val="20"/>
                <w:szCs w:val="20"/>
              </w:rPr>
              <w:t xml:space="preserve">CY </w:t>
            </w:r>
            <w:r w:rsidRPr="00925658">
              <w:rPr>
                <w:sz w:val="20"/>
                <w:szCs w:val="20"/>
              </w:rPr>
              <w:t>20</w:t>
            </w:r>
            <w:r>
              <w:rPr>
                <w:sz w:val="20"/>
                <w:szCs w:val="20"/>
              </w:rPr>
              <w:t>2</w:t>
            </w:r>
            <w:r w:rsidR="00337EA3">
              <w:rPr>
                <w:sz w:val="20"/>
                <w:szCs w:val="20"/>
              </w:rPr>
              <w:t>3</w:t>
            </w:r>
            <w:r w:rsidRPr="00925658">
              <w:rPr>
                <w:sz w:val="20"/>
                <w:szCs w:val="20"/>
              </w:rPr>
              <w:t xml:space="preserve"> MIPS performance period</w:t>
            </w:r>
            <w:r w:rsidRPr="00925658" w:rsidDel="00A72B9F">
              <w:rPr>
                <w:sz w:val="20"/>
                <w:szCs w:val="20"/>
              </w:rPr>
              <w:t xml:space="preserve"> </w:t>
            </w:r>
            <w:r w:rsidRPr="00925658">
              <w:rPr>
                <w:sz w:val="20"/>
                <w:szCs w:val="20"/>
              </w:rPr>
              <w:t>(a)</w:t>
            </w:r>
          </w:p>
        </w:tc>
        <w:tc>
          <w:tcPr>
            <w:tcW w:w="1745" w:type="dxa"/>
            <w:shd w:val="clear" w:color="auto" w:fill="auto"/>
            <w:vAlign w:val="center"/>
            <w:hideMark/>
          </w:tcPr>
          <w:p w:rsidRPr="00925658" w:rsidR="00901668" w:rsidP="003D73AE" w:rsidRDefault="00A036E4" w14:paraId="5F8EA6FB" w14:textId="58073757">
            <w:pPr>
              <w:spacing w:after="0"/>
              <w:rPr>
                <w:sz w:val="20"/>
                <w:szCs w:val="20"/>
              </w:rPr>
            </w:pPr>
            <w:r>
              <w:rPr>
                <w:rFonts w:eastAsia="Calibri"/>
                <w:sz w:val="20"/>
                <w:szCs w:val="20"/>
              </w:rPr>
              <w:t>96,980</w:t>
            </w:r>
          </w:p>
        </w:tc>
      </w:tr>
      <w:tr w:rsidRPr="00C47150" w:rsidR="00901668" w:rsidTr="00721EBD" w14:paraId="00AF0BF6" w14:textId="77777777">
        <w:trPr>
          <w:trHeight w:val="268"/>
        </w:trPr>
        <w:tc>
          <w:tcPr>
            <w:tcW w:w="8370" w:type="dxa"/>
            <w:shd w:val="clear" w:color="auto" w:fill="auto"/>
            <w:hideMark/>
          </w:tcPr>
          <w:p w:rsidRPr="00925658" w:rsidR="00901668" w:rsidP="003D73AE" w:rsidRDefault="00901668" w14:paraId="2ED5B3B6" w14:textId="77777777">
            <w:pPr>
              <w:spacing w:after="0"/>
              <w:rPr>
                <w:sz w:val="20"/>
                <w:szCs w:val="20"/>
              </w:rPr>
            </w:pPr>
            <w:r w:rsidRPr="00732012">
              <w:rPr>
                <w:sz w:val="20"/>
                <w:szCs w:val="20"/>
              </w:rPr>
              <w:lastRenderedPageBreak/>
              <w:t xml:space="preserve">Total Annual Hours Per Respondent (b) </w:t>
            </w:r>
          </w:p>
        </w:tc>
        <w:tc>
          <w:tcPr>
            <w:tcW w:w="1745" w:type="dxa"/>
            <w:shd w:val="clear" w:color="auto" w:fill="auto"/>
            <w:vAlign w:val="center"/>
            <w:hideMark/>
          </w:tcPr>
          <w:p w:rsidRPr="00925658" w:rsidR="00901668" w:rsidP="003D73AE" w:rsidRDefault="001B5240" w14:paraId="575C0816" w14:textId="6A4D5D98">
            <w:pPr>
              <w:spacing w:after="0"/>
              <w:rPr>
                <w:sz w:val="20"/>
                <w:szCs w:val="20"/>
              </w:rPr>
            </w:pPr>
            <w:r>
              <w:rPr>
                <w:rFonts w:eastAsia="Calibri"/>
                <w:sz w:val="20"/>
                <w:szCs w:val="20"/>
              </w:rPr>
              <w:t>0</w:t>
            </w:r>
            <w:r w:rsidR="00F97D07">
              <w:rPr>
                <w:rFonts w:eastAsia="Calibri"/>
                <w:sz w:val="20"/>
                <w:szCs w:val="20"/>
              </w:rPr>
              <w:t>.083</w:t>
            </w:r>
          </w:p>
        </w:tc>
      </w:tr>
      <w:tr w:rsidRPr="00C47150" w:rsidR="00182C5C" w:rsidTr="00721EBD" w14:paraId="2C821F28" w14:textId="77777777">
        <w:trPr>
          <w:trHeight w:val="215"/>
        </w:trPr>
        <w:tc>
          <w:tcPr>
            <w:tcW w:w="8370" w:type="dxa"/>
            <w:shd w:val="clear" w:color="auto" w:fill="D9D9D9" w:themeFill="background1" w:themeFillShade="D9"/>
            <w:hideMark/>
          </w:tcPr>
          <w:p w:rsidRPr="0042686B" w:rsidR="00901668" w:rsidP="003D73AE" w:rsidRDefault="00901668" w14:paraId="566A9948" w14:textId="77777777">
            <w:pPr>
              <w:spacing w:after="0"/>
              <w:rPr>
                <w:b/>
                <w:sz w:val="20"/>
                <w:szCs w:val="20"/>
              </w:rPr>
            </w:pPr>
            <w:r w:rsidRPr="0042686B">
              <w:rPr>
                <w:b/>
                <w:sz w:val="20"/>
                <w:szCs w:val="20"/>
              </w:rPr>
              <w:t xml:space="preserve">Total Annual Hours (c) </w:t>
            </w:r>
          </w:p>
        </w:tc>
        <w:tc>
          <w:tcPr>
            <w:tcW w:w="1745" w:type="dxa"/>
            <w:shd w:val="clear" w:color="auto" w:fill="D9D9D9" w:themeFill="background1" w:themeFillShade="D9"/>
            <w:vAlign w:val="center"/>
            <w:hideMark/>
          </w:tcPr>
          <w:p w:rsidRPr="0042686B" w:rsidR="00ED245B" w:rsidP="00737B92" w:rsidRDefault="00524F4D" w14:paraId="528752D9" w14:textId="247414AA">
            <w:pPr>
              <w:spacing w:after="0"/>
              <w:rPr>
                <w:b/>
                <w:sz w:val="20"/>
                <w:szCs w:val="20"/>
              </w:rPr>
            </w:pPr>
            <w:r>
              <w:rPr>
                <w:b/>
                <w:sz w:val="20"/>
                <w:szCs w:val="20"/>
              </w:rPr>
              <w:t>8,049</w:t>
            </w:r>
          </w:p>
        </w:tc>
      </w:tr>
      <w:tr w:rsidRPr="00C47150" w:rsidR="00901668" w:rsidTr="00721EBD" w14:paraId="57669D35" w14:textId="77777777">
        <w:trPr>
          <w:trHeight w:val="305"/>
        </w:trPr>
        <w:tc>
          <w:tcPr>
            <w:tcW w:w="8370" w:type="dxa"/>
            <w:shd w:val="clear" w:color="auto" w:fill="auto"/>
            <w:hideMark/>
          </w:tcPr>
          <w:p w:rsidRPr="00925658" w:rsidR="00901668" w:rsidP="003D73AE" w:rsidRDefault="00901668" w14:paraId="16F21095" w14:textId="77777777">
            <w:pPr>
              <w:spacing w:after="0"/>
              <w:rPr>
                <w:sz w:val="20"/>
                <w:szCs w:val="20"/>
              </w:rPr>
            </w:pPr>
            <w:r w:rsidRPr="00732012">
              <w:rPr>
                <w:sz w:val="20"/>
                <w:szCs w:val="20"/>
              </w:rPr>
              <w:t>Labor rate for a computer systems analyst to submit improvement activities (d)</w:t>
            </w:r>
          </w:p>
        </w:tc>
        <w:tc>
          <w:tcPr>
            <w:tcW w:w="1745" w:type="dxa"/>
            <w:shd w:val="clear" w:color="auto" w:fill="auto"/>
            <w:vAlign w:val="center"/>
            <w:hideMark/>
          </w:tcPr>
          <w:p w:rsidRPr="00925658" w:rsidR="00901668" w:rsidP="003D73AE" w:rsidRDefault="00901668" w14:paraId="5F72EFCE" w14:textId="63BFF77B">
            <w:pPr>
              <w:spacing w:after="0"/>
              <w:rPr>
                <w:sz w:val="20"/>
                <w:szCs w:val="20"/>
              </w:rPr>
            </w:pPr>
            <w:r w:rsidRPr="00317099">
              <w:rPr>
                <w:rFonts w:eastAsia="Calibri"/>
                <w:sz w:val="20"/>
                <w:szCs w:val="20"/>
              </w:rPr>
              <w:t>$</w:t>
            </w:r>
            <w:r>
              <w:rPr>
                <w:rFonts w:eastAsia="Calibri"/>
                <w:sz w:val="20"/>
                <w:szCs w:val="20"/>
              </w:rPr>
              <w:t>9</w:t>
            </w:r>
            <w:r w:rsidR="00524F4D">
              <w:rPr>
                <w:rFonts w:eastAsia="Calibri"/>
                <w:sz w:val="20"/>
                <w:szCs w:val="20"/>
              </w:rPr>
              <w:t>8</w:t>
            </w:r>
            <w:r>
              <w:rPr>
                <w:rFonts w:eastAsia="Calibri"/>
                <w:sz w:val="20"/>
                <w:szCs w:val="20"/>
              </w:rPr>
              <w:t>.2</w:t>
            </w:r>
            <w:r w:rsidR="00524F4D">
              <w:rPr>
                <w:rFonts w:eastAsia="Calibri"/>
                <w:sz w:val="20"/>
                <w:szCs w:val="20"/>
              </w:rPr>
              <w:t>8</w:t>
            </w:r>
            <w:r w:rsidRPr="00317099">
              <w:rPr>
                <w:rFonts w:eastAsia="Calibri"/>
                <w:sz w:val="20"/>
                <w:szCs w:val="20"/>
              </w:rPr>
              <w:t>/</w:t>
            </w:r>
            <w:proofErr w:type="spellStart"/>
            <w:r w:rsidRPr="00317099">
              <w:rPr>
                <w:rFonts w:eastAsia="Calibri"/>
                <w:sz w:val="20"/>
                <w:szCs w:val="20"/>
              </w:rPr>
              <w:t>hr</w:t>
            </w:r>
            <w:proofErr w:type="spellEnd"/>
          </w:p>
        </w:tc>
      </w:tr>
      <w:tr w:rsidRPr="00C47150" w:rsidR="00182C5C" w:rsidTr="00721EBD" w14:paraId="67A56D6D" w14:textId="77777777">
        <w:trPr>
          <w:trHeight w:val="300"/>
        </w:trPr>
        <w:tc>
          <w:tcPr>
            <w:tcW w:w="8370" w:type="dxa"/>
            <w:shd w:val="clear" w:color="auto" w:fill="D9D9D9" w:themeFill="background1" w:themeFillShade="D9"/>
            <w:hideMark/>
          </w:tcPr>
          <w:p w:rsidRPr="0042686B" w:rsidR="00901668" w:rsidP="003D73AE" w:rsidRDefault="00901668" w14:paraId="16A9DF43" w14:textId="6C478BCF">
            <w:pPr>
              <w:spacing w:after="0"/>
              <w:rPr>
                <w:b/>
                <w:sz w:val="20"/>
                <w:szCs w:val="20"/>
              </w:rPr>
            </w:pPr>
            <w:r w:rsidRPr="0042686B">
              <w:rPr>
                <w:b/>
                <w:sz w:val="20"/>
                <w:szCs w:val="20"/>
              </w:rPr>
              <w:t>Total Annual Cost (e) = (</w:t>
            </w:r>
            <w:r>
              <w:rPr>
                <w:b/>
                <w:sz w:val="20"/>
                <w:szCs w:val="20"/>
              </w:rPr>
              <w:t>c</w:t>
            </w:r>
            <w:r w:rsidRPr="0042686B">
              <w:rPr>
                <w:b/>
                <w:sz w:val="20"/>
                <w:szCs w:val="20"/>
              </w:rPr>
              <w:t>)</w:t>
            </w:r>
            <w:r w:rsidR="009D2B23">
              <w:rPr>
                <w:b/>
                <w:sz w:val="20"/>
                <w:szCs w:val="20"/>
              </w:rPr>
              <w:t xml:space="preserve"> </w:t>
            </w:r>
            <w:r w:rsidRPr="0042686B">
              <w:rPr>
                <w:b/>
                <w:sz w:val="20"/>
                <w:szCs w:val="20"/>
              </w:rPr>
              <w:t>*</w:t>
            </w:r>
            <w:r w:rsidR="009D2B23">
              <w:rPr>
                <w:b/>
                <w:sz w:val="20"/>
                <w:szCs w:val="20"/>
              </w:rPr>
              <w:t xml:space="preserve"> </w:t>
            </w:r>
            <w:r w:rsidRPr="0042686B">
              <w:rPr>
                <w:b/>
                <w:sz w:val="20"/>
                <w:szCs w:val="20"/>
              </w:rPr>
              <w:t>(d)</w:t>
            </w:r>
          </w:p>
        </w:tc>
        <w:tc>
          <w:tcPr>
            <w:tcW w:w="1745" w:type="dxa"/>
            <w:shd w:val="clear" w:color="auto" w:fill="D9D9D9" w:themeFill="background1" w:themeFillShade="D9"/>
            <w:vAlign w:val="center"/>
            <w:hideMark/>
          </w:tcPr>
          <w:p w:rsidRPr="0042686B" w:rsidR="00901668" w:rsidP="003D73AE" w:rsidRDefault="00901668" w14:paraId="0DE6BB20" w14:textId="298898DF">
            <w:pPr>
              <w:spacing w:after="0"/>
              <w:rPr>
                <w:b/>
                <w:sz w:val="20"/>
                <w:szCs w:val="20"/>
              </w:rPr>
            </w:pPr>
            <w:r w:rsidRPr="0042686B">
              <w:rPr>
                <w:rFonts w:eastAsia="Calibri"/>
                <w:b/>
                <w:sz w:val="20"/>
                <w:szCs w:val="20"/>
              </w:rPr>
              <w:t>$</w:t>
            </w:r>
            <w:r w:rsidR="00524F4D">
              <w:rPr>
                <w:rFonts w:eastAsia="Calibri"/>
                <w:b/>
                <w:sz w:val="20"/>
                <w:szCs w:val="20"/>
              </w:rPr>
              <w:t>791,056</w:t>
            </w:r>
          </w:p>
        </w:tc>
      </w:tr>
    </w:tbl>
    <w:p w:rsidRPr="007B475F" w:rsidR="00A87849" w:rsidP="003507A9" w:rsidRDefault="00A87849" w14:paraId="64F530DE" w14:textId="77777777"/>
    <w:p w:rsidRPr="004330C9" w:rsidR="00A7478F" w:rsidP="003D552B" w:rsidRDefault="00A7478F" w14:paraId="3015E32F" w14:textId="2016AF3A">
      <w:pPr>
        <w:pStyle w:val="Heading3"/>
      </w:pPr>
      <w:bookmarkStart w:name="_Hlk532899259" w:id="7"/>
      <w:r w:rsidRPr="004330C9">
        <w:t>Burden Estimate for the Nomination of Improvement Activities</w:t>
      </w:r>
    </w:p>
    <w:p w:rsidR="008D7DB5" w:rsidP="00E12B53" w:rsidRDefault="00303998" w14:paraId="467D374D" w14:textId="4A5A3EF8">
      <w:pPr>
        <w:rPr>
          <w:rFonts w:eastAsia="Calibri"/>
        </w:rPr>
      </w:pPr>
      <w:bookmarkStart w:name="_Hlk497143230" w:id="8"/>
      <w:bookmarkEnd w:id="7"/>
      <w:r>
        <w:rPr>
          <w:rFonts w:eastAsia="Calibri"/>
        </w:rPr>
        <w:t xml:space="preserve">Interested parties </w:t>
      </w:r>
      <w:r w:rsidR="002414E6">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8"/>
      <w:r w:rsidR="00B7420B">
        <w:rPr>
          <w:rFonts w:eastAsia="Calibri"/>
        </w:rPr>
        <w:t>For the CY 2023 performance period/2025 MIPS payment year</w:t>
      </w:r>
      <w:r w:rsidRPr="00FC4695" w:rsidR="00FC4695">
        <w:rPr>
          <w:rFonts w:eastAsia="Calibri"/>
        </w:rPr>
        <w:t>, we continue to use our currently approved assumption that we will receive 31 nominations of new or modified activities which will be evaluated for the Improvement Activities Under Consideration (IAUC) list for possible inclusion in the CY 202</w:t>
      </w:r>
      <w:r w:rsidR="00556828">
        <w:rPr>
          <w:rFonts w:eastAsia="Calibri"/>
        </w:rPr>
        <w:t>3</w:t>
      </w:r>
      <w:r w:rsidRPr="00FC4695" w:rsidR="00FC4695">
        <w:rPr>
          <w:rFonts w:eastAsia="Calibri"/>
        </w:rPr>
        <w:t xml:space="preserve"> Improvement Activities Inventory</w:t>
      </w:r>
      <w:r w:rsidR="00556828">
        <w:rPr>
          <w:rFonts w:eastAsia="Calibri"/>
        </w:rPr>
        <w:t>.</w:t>
      </w:r>
    </w:p>
    <w:p w:rsidR="00BD34DC" w:rsidP="003E4F59" w:rsidRDefault="00556828" w14:paraId="22DBDDC8" w14:textId="7D235BE6">
      <w:pPr>
        <w:rPr>
          <w:rFonts w:eastAsia="Calibri"/>
        </w:rPr>
      </w:pPr>
      <w:r>
        <w:rPr>
          <w:rFonts w:eastAsia="Calibri"/>
        </w:rPr>
        <w:t xml:space="preserve">We continue to </w:t>
      </w:r>
      <w:r w:rsidRPr="00871E51" w:rsidR="00CD08C7">
        <w:rPr>
          <w:rFonts w:eastAsia="Calibri"/>
        </w:rPr>
        <w:t>estimate t</w:t>
      </w:r>
      <w:r>
        <w:rPr>
          <w:rFonts w:eastAsia="Calibri"/>
        </w:rPr>
        <w:t>hat it would take</w:t>
      </w:r>
      <w:r w:rsidRPr="00871E51" w:rsidR="00CD08C7">
        <w:rPr>
          <w:rFonts w:eastAsia="Calibri"/>
        </w:rPr>
        <w:t xml:space="preserve"> 2.8 hours at $11</w:t>
      </w:r>
      <w:r>
        <w:rPr>
          <w:rFonts w:eastAsia="Calibri"/>
        </w:rPr>
        <w:t>5</w:t>
      </w:r>
      <w:r w:rsidRPr="00871E51" w:rsidR="00CD08C7">
        <w:rPr>
          <w:rFonts w:eastAsia="Calibri"/>
        </w:rPr>
        <w:t>.2</w:t>
      </w:r>
      <w:r>
        <w:rPr>
          <w:rFonts w:eastAsia="Calibri"/>
        </w:rPr>
        <w:t>2</w:t>
      </w:r>
      <w:r w:rsidRPr="00871E51" w:rsidR="00CD08C7">
        <w:rPr>
          <w:rFonts w:eastAsia="Calibri"/>
        </w:rPr>
        <w:t>/</w:t>
      </w:r>
      <w:proofErr w:type="spellStart"/>
      <w:r w:rsidRPr="00871E51" w:rsidR="00CD08C7">
        <w:rPr>
          <w:rFonts w:eastAsia="Calibri"/>
        </w:rPr>
        <w:t>hr</w:t>
      </w:r>
      <w:proofErr w:type="spellEnd"/>
      <w:r w:rsidRPr="00871E51" w:rsidR="00CD08C7">
        <w:rPr>
          <w:rFonts w:eastAsia="Calibri"/>
        </w:rPr>
        <w:t xml:space="preserve"> for a medical and health services manager or equivalent and 1.6 hours at $2</w:t>
      </w:r>
      <w:r>
        <w:rPr>
          <w:rFonts w:eastAsia="Calibri"/>
        </w:rPr>
        <w:t>59</w:t>
      </w:r>
      <w:r w:rsidR="00CD08C7">
        <w:rPr>
          <w:rFonts w:eastAsia="Calibri"/>
        </w:rPr>
        <w:t>.</w:t>
      </w:r>
      <w:r>
        <w:rPr>
          <w:rFonts w:eastAsia="Calibri"/>
        </w:rPr>
        <w:t>98</w:t>
      </w:r>
      <w:r w:rsidR="00CD08C7">
        <w:rPr>
          <w:rFonts w:eastAsia="Calibri"/>
        </w:rPr>
        <w:t xml:space="preserve"> </w:t>
      </w:r>
      <w:r w:rsidRPr="00871E51" w:rsidR="00CD08C7">
        <w:rPr>
          <w:rFonts w:eastAsia="Calibri"/>
        </w:rPr>
        <w:t>/</w:t>
      </w:r>
      <w:proofErr w:type="spellStart"/>
      <w:r w:rsidRPr="00871E51" w:rsidR="00CD08C7">
        <w:rPr>
          <w:rFonts w:eastAsia="Calibri"/>
        </w:rPr>
        <w:t>hr</w:t>
      </w:r>
      <w:proofErr w:type="spellEnd"/>
      <w:r w:rsidRPr="00871E51" w:rsidR="00CD08C7">
        <w:rPr>
          <w:rFonts w:eastAsia="Calibri"/>
        </w:rPr>
        <w:t xml:space="preserve"> for a physician to nominate an improvement activity.  </w:t>
      </w:r>
      <w:r w:rsidR="00BD41BA">
        <w:rPr>
          <w:rFonts w:eastAsia="Calibri"/>
        </w:rPr>
        <w:t>As shown in Table 20</w:t>
      </w:r>
      <w:r w:rsidR="00A23A66">
        <w:rPr>
          <w:rFonts w:eastAsia="Calibri"/>
        </w:rPr>
        <w:t>, w</w:t>
      </w:r>
      <w:r w:rsidRPr="00BD34DC" w:rsidR="00BD34DC">
        <w:rPr>
          <w:rFonts w:eastAsia="Calibri"/>
        </w:rPr>
        <w:t xml:space="preserve">e </w:t>
      </w:r>
      <w:r w:rsidRPr="008D7DB5" w:rsidR="008D7DB5">
        <w:rPr>
          <w:rFonts w:eastAsia="Calibri"/>
        </w:rPr>
        <w:t xml:space="preserve">estimate an annual information collection burden of </w:t>
      </w:r>
      <w:r w:rsidR="00D42E74">
        <w:rPr>
          <w:rFonts w:eastAsia="Calibri"/>
        </w:rPr>
        <w:t>136</w:t>
      </w:r>
      <w:r w:rsidRPr="008D7DB5" w:rsidR="008D7DB5">
        <w:rPr>
          <w:rFonts w:eastAsia="Calibri"/>
        </w:rPr>
        <w:t xml:space="preserve"> hours (31 nominations x </w:t>
      </w:r>
      <w:r w:rsidR="00D42E74">
        <w:rPr>
          <w:rFonts w:eastAsia="Calibri"/>
        </w:rPr>
        <w:t>4.4</w:t>
      </w:r>
      <w:r w:rsidRPr="008D7DB5" w:rsidR="008D7DB5">
        <w:rPr>
          <w:rFonts w:eastAsia="Calibri"/>
        </w:rPr>
        <w:t xml:space="preserve"> </w:t>
      </w:r>
      <w:proofErr w:type="spellStart"/>
      <w:r w:rsidRPr="008D7DB5" w:rsidR="008D7DB5">
        <w:rPr>
          <w:rFonts w:eastAsia="Calibri"/>
        </w:rPr>
        <w:t>hr</w:t>
      </w:r>
      <w:proofErr w:type="spellEnd"/>
      <w:r w:rsidRPr="008D7DB5" w:rsidR="008D7DB5">
        <w:rPr>
          <w:rFonts w:eastAsia="Calibri"/>
        </w:rPr>
        <w:t>/nomination) at a cost of $</w:t>
      </w:r>
      <w:r w:rsidR="008A672D">
        <w:rPr>
          <w:rFonts w:eastAsia="Calibri"/>
        </w:rPr>
        <w:t>2</w:t>
      </w:r>
      <w:r w:rsidR="009D6DA6">
        <w:rPr>
          <w:rFonts w:eastAsia="Calibri"/>
        </w:rPr>
        <w:t>2</w:t>
      </w:r>
      <w:r w:rsidR="008A672D">
        <w:rPr>
          <w:rFonts w:eastAsia="Calibri"/>
        </w:rPr>
        <w:t>,</w:t>
      </w:r>
      <w:r w:rsidR="009D6DA6">
        <w:rPr>
          <w:rFonts w:eastAsia="Calibri"/>
        </w:rPr>
        <w:t>8</w:t>
      </w:r>
      <w:r w:rsidR="008A672D">
        <w:rPr>
          <w:rFonts w:eastAsia="Calibri"/>
        </w:rPr>
        <w:t>9</w:t>
      </w:r>
      <w:r w:rsidR="009D6DA6">
        <w:rPr>
          <w:rFonts w:eastAsia="Calibri"/>
        </w:rPr>
        <w:t xml:space="preserve">6 </w:t>
      </w:r>
      <w:r w:rsidRPr="008D7DB5" w:rsidR="008D7DB5">
        <w:rPr>
          <w:rFonts w:eastAsia="Calibri"/>
        </w:rPr>
        <w:t>(31 x [(</w:t>
      </w:r>
      <w:r w:rsidR="009A55A8">
        <w:rPr>
          <w:rFonts w:eastAsia="Calibri"/>
        </w:rPr>
        <w:t>2</w:t>
      </w:r>
      <w:r w:rsidRPr="008D7DB5" w:rsidR="008D7DB5">
        <w:rPr>
          <w:rFonts w:eastAsia="Calibri"/>
        </w:rPr>
        <w:t xml:space="preserve">.8 </w:t>
      </w:r>
      <w:proofErr w:type="spellStart"/>
      <w:r w:rsidRPr="008D7DB5" w:rsidR="008D7DB5">
        <w:rPr>
          <w:rFonts w:eastAsia="Calibri"/>
        </w:rPr>
        <w:t>hr</w:t>
      </w:r>
      <w:proofErr w:type="spellEnd"/>
      <w:r w:rsidRPr="008D7DB5" w:rsidR="008D7DB5">
        <w:rPr>
          <w:rFonts w:eastAsia="Calibri"/>
        </w:rPr>
        <w:t xml:space="preserve"> x $11</w:t>
      </w:r>
      <w:r w:rsidR="009D6DA6">
        <w:rPr>
          <w:rFonts w:eastAsia="Calibri"/>
        </w:rPr>
        <w:t>5</w:t>
      </w:r>
      <w:r w:rsidR="009A55A8">
        <w:rPr>
          <w:rFonts w:eastAsia="Calibri"/>
        </w:rPr>
        <w:t>.2</w:t>
      </w:r>
      <w:r w:rsidR="009D6DA6">
        <w:rPr>
          <w:rFonts w:eastAsia="Calibri"/>
        </w:rPr>
        <w:t>2</w:t>
      </w:r>
      <w:r w:rsidRPr="008D7DB5" w:rsidR="008D7DB5">
        <w:rPr>
          <w:rFonts w:eastAsia="Calibri"/>
        </w:rPr>
        <w:t>/</w:t>
      </w:r>
      <w:proofErr w:type="spellStart"/>
      <w:r w:rsidRPr="008D7DB5" w:rsidR="008D7DB5">
        <w:rPr>
          <w:rFonts w:eastAsia="Calibri"/>
        </w:rPr>
        <w:t>hr</w:t>
      </w:r>
      <w:proofErr w:type="spellEnd"/>
      <w:r w:rsidRPr="008D7DB5" w:rsidR="008D7DB5">
        <w:rPr>
          <w:rFonts w:eastAsia="Calibri"/>
        </w:rPr>
        <w:t>) + (1.</w:t>
      </w:r>
      <w:r w:rsidR="009A55A8">
        <w:rPr>
          <w:rFonts w:eastAsia="Calibri"/>
        </w:rPr>
        <w:t>6</w:t>
      </w:r>
      <w:r w:rsidRPr="008D7DB5" w:rsidR="008D7DB5">
        <w:rPr>
          <w:rFonts w:eastAsia="Calibri"/>
        </w:rPr>
        <w:t xml:space="preserve"> </w:t>
      </w:r>
      <w:proofErr w:type="spellStart"/>
      <w:r w:rsidRPr="008D7DB5" w:rsidR="008D7DB5">
        <w:rPr>
          <w:rFonts w:eastAsia="Calibri"/>
        </w:rPr>
        <w:t>hr</w:t>
      </w:r>
      <w:proofErr w:type="spellEnd"/>
      <w:r w:rsidRPr="008D7DB5" w:rsidR="008D7DB5">
        <w:rPr>
          <w:rFonts w:eastAsia="Calibri"/>
        </w:rPr>
        <w:t xml:space="preserve"> x $2</w:t>
      </w:r>
      <w:r w:rsidR="009D6DA6">
        <w:rPr>
          <w:rFonts w:eastAsia="Calibri"/>
        </w:rPr>
        <w:t>59</w:t>
      </w:r>
      <w:r w:rsidR="009A55A8">
        <w:rPr>
          <w:rFonts w:eastAsia="Calibri"/>
        </w:rPr>
        <w:t>.</w:t>
      </w:r>
      <w:r w:rsidR="009D6DA6">
        <w:rPr>
          <w:rFonts w:eastAsia="Calibri"/>
        </w:rPr>
        <w:t>98</w:t>
      </w:r>
      <w:r w:rsidRPr="008D7DB5" w:rsidR="008D7DB5">
        <w:rPr>
          <w:rFonts w:eastAsia="Calibri"/>
        </w:rPr>
        <w:t>/</w:t>
      </w:r>
      <w:proofErr w:type="spellStart"/>
      <w:r w:rsidRPr="008D7DB5" w:rsidR="008D7DB5">
        <w:rPr>
          <w:rFonts w:eastAsia="Calibri"/>
        </w:rPr>
        <w:t>hr</w:t>
      </w:r>
      <w:proofErr w:type="spellEnd"/>
      <w:r w:rsidRPr="008D7DB5" w:rsidR="008D7DB5">
        <w:rPr>
          <w:rFonts w:eastAsia="Calibri"/>
        </w:rPr>
        <w:t>)]</w:t>
      </w:r>
      <w:r w:rsidRPr="00BD34DC" w:rsidR="00BD34DC">
        <w:rPr>
          <w:rFonts w:eastAsia="Calibri"/>
        </w:rPr>
        <w:t xml:space="preserve">).  </w:t>
      </w:r>
    </w:p>
    <w:p w:rsidRPr="00C47150" w:rsidR="00FF7AB6" w:rsidP="004E13F7" w:rsidRDefault="00FF7AB6" w14:paraId="37EC7A7E" w14:textId="541EBC8F">
      <w:pPr>
        <w:keepNext/>
        <w:keepLines/>
        <w:jc w:val="center"/>
        <w:rPr>
          <w:b/>
          <w:bCs/>
        </w:rPr>
      </w:pPr>
      <w:r w:rsidRPr="00C47150">
        <w:rPr>
          <w:b/>
          <w:bCs/>
        </w:rPr>
        <w:t xml:space="preserve">TABLE </w:t>
      </w:r>
      <w:r>
        <w:rPr>
          <w:b/>
          <w:bCs/>
        </w:rPr>
        <w:t>2</w:t>
      </w:r>
      <w:r w:rsidR="00F21A65">
        <w:rPr>
          <w:b/>
          <w:bCs/>
        </w:rPr>
        <w:t>0</w:t>
      </w:r>
      <w:r w:rsidRPr="00C47150">
        <w:rPr>
          <w:b/>
          <w:bCs/>
        </w:rPr>
        <w:t xml:space="preserve">: </w:t>
      </w:r>
      <w:r w:rsidRPr="00732012">
        <w:rPr>
          <w:b/>
          <w:bCs/>
        </w:rPr>
        <w:t>Burden Estimates</w:t>
      </w:r>
      <w:r w:rsidRPr="00C47150">
        <w:rPr>
          <w:b/>
          <w:bCs/>
        </w:rPr>
        <w:t xml:space="preserve"> for Nomination of Improvement Activities</w:t>
      </w:r>
      <w:r w:rsidR="00A7669E">
        <w:rPr>
          <w:b/>
          <w:bCs/>
        </w:rPr>
        <w:t xml:space="preserve"> </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9"/>
        <w:gridCol w:w="1316"/>
      </w:tblGrid>
      <w:tr w:rsidRPr="00C47150" w:rsidR="00FF7AB6" w:rsidTr="00FF7AB6" w14:paraId="5BDFF9EC" w14:textId="77777777">
        <w:trPr>
          <w:trHeight w:val="322"/>
          <w:jc w:val="center"/>
        </w:trPr>
        <w:tc>
          <w:tcPr>
            <w:tcW w:w="8239" w:type="dxa"/>
            <w:shd w:val="clear" w:color="auto" w:fill="auto"/>
            <w:vAlign w:val="center"/>
            <w:hideMark/>
          </w:tcPr>
          <w:p w:rsidRPr="00FF7AB6" w:rsidR="00FF7AB6" w:rsidP="004E13F7" w:rsidRDefault="00FF7AB6" w14:paraId="06240DC4" w14:textId="5D69A603">
            <w:pPr>
              <w:keepNext/>
              <w:keepLines/>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rsidRPr="00925658" w:rsidR="00FF7AB6" w:rsidP="004E13F7" w:rsidRDefault="00FF7AB6" w14:paraId="3030D173" w14:textId="22035B98">
            <w:pPr>
              <w:keepNext/>
              <w:keepLines/>
              <w:spacing w:after="0"/>
              <w:jc w:val="center"/>
              <w:rPr>
                <w:b/>
                <w:sz w:val="20"/>
                <w:szCs w:val="20"/>
              </w:rPr>
            </w:pPr>
            <w:r w:rsidRPr="00925658">
              <w:rPr>
                <w:b/>
                <w:sz w:val="20"/>
                <w:szCs w:val="20"/>
              </w:rPr>
              <w:t xml:space="preserve">Burden </w:t>
            </w:r>
            <w:r w:rsidR="00B404FD">
              <w:rPr>
                <w:b/>
                <w:sz w:val="20"/>
                <w:szCs w:val="20"/>
              </w:rPr>
              <w:t>E</w:t>
            </w:r>
            <w:r w:rsidRPr="00925658">
              <w:rPr>
                <w:b/>
                <w:sz w:val="20"/>
                <w:szCs w:val="20"/>
              </w:rPr>
              <w:t>stimate</w:t>
            </w:r>
          </w:p>
        </w:tc>
      </w:tr>
      <w:tr w:rsidRPr="00C47150" w:rsidR="00FF7AB6" w:rsidTr="00A639D4" w14:paraId="353E612B" w14:textId="77777777">
        <w:trPr>
          <w:trHeight w:val="300"/>
          <w:jc w:val="center"/>
        </w:trPr>
        <w:tc>
          <w:tcPr>
            <w:tcW w:w="8239" w:type="dxa"/>
            <w:shd w:val="clear" w:color="auto" w:fill="auto"/>
            <w:hideMark/>
          </w:tcPr>
          <w:p w:rsidRPr="00925658" w:rsidR="00FF7AB6" w:rsidP="00A639D4" w:rsidRDefault="00FF7AB6" w14:paraId="3A83C813" w14:textId="77777777">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rsidRPr="00925658" w:rsidR="00FF7AB6" w:rsidP="00A639D4" w:rsidRDefault="00F140C7" w14:paraId="6C9F459C" w14:textId="550EA230">
            <w:pPr>
              <w:spacing w:after="0"/>
              <w:rPr>
                <w:sz w:val="20"/>
                <w:szCs w:val="20"/>
              </w:rPr>
            </w:pPr>
            <w:r>
              <w:rPr>
                <w:sz w:val="20"/>
                <w:szCs w:val="20"/>
              </w:rPr>
              <w:t>31</w:t>
            </w:r>
          </w:p>
        </w:tc>
      </w:tr>
      <w:tr w:rsidRPr="00C47150" w:rsidR="00FF7AB6" w:rsidTr="00A639D4" w14:paraId="258297C3" w14:textId="77777777">
        <w:trPr>
          <w:trHeight w:val="305"/>
          <w:jc w:val="center"/>
        </w:trPr>
        <w:tc>
          <w:tcPr>
            <w:tcW w:w="8239" w:type="dxa"/>
            <w:shd w:val="clear" w:color="auto" w:fill="auto"/>
            <w:hideMark/>
          </w:tcPr>
          <w:p w:rsidRPr="00925658" w:rsidR="00FF7AB6" w:rsidP="00A639D4" w:rsidRDefault="00FF7AB6" w14:paraId="35226CE3" w14:textId="01A17121">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Activity (b) </w:t>
            </w:r>
          </w:p>
        </w:tc>
        <w:tc>
          <w:tcPr>
            <w:tcW w:w="1316" w:type="dxa"/>
            <w:shd w:val="clear" w:color="auto" w:fill="auto"/>
            <w:noWrap/>
            <w:hideMark/>
          </w:tcPr>
          <w:p w:rsidRPr="00925658" w:rsidR="00FF7AB6" w:rsidP="00A639D4" w:rsidRDefault="00345BDC" w14:paraId="04B81823" w14:textId="2E4449DB">
            <w:pPr>
              <w:spacing w:after="0"/>
              <w:rPr>
                <w:sz w:val="20"/>
                <w:szCs w:val="20"/>
              </w:rPr>
            </w:pPr>
            <w:r>
              <w:rPr>
                <w:sz w:val="20"/>
                <w:szCs w:val="20"/>
              </w:rPr>
              <w:t>2</w:t>
            </w:r>
            <w:r w:rsidRPr="00925658" w:rsidR="00FF7AB6">
              <w:rPr>
                <w:sz w:val="20"/>
                <w:szCs w:val="20"/>
              </w:rPr>
              <w:t>.</w:t>
            </w:r>
            <w:r w:rsidR="008D7DB5">
              <w:rPr>
                <w:sz w:val="20"/>
                <w:szCs w:val="20"/>
              </w:rPr>
              <w:t>8</w:t>
            </w:r>
          </w:p>
        </w:tc>
      </w:tr>
      <w:tr w:rsidRPr="00C47150" w:rsidR="00FF7AB6" w:rsidTr="00A639D4" w14:paraId="0DBEC4AE" w14:textId="77777777">
        <w:trPr>
          <w:trHeight w:val="260"/>
          <w:jc w:val="center"/>
        </w:trPr>
        <w:tc>
          <w:tcPr>
            <w:tcW w:w="8239" w:type="dxa"/>
            <w:shd w:val="clear" w:color="auto" w:fill="auto"/>
            <w:hideMark/>
          </w:tcPr>
          <w:p w:rsidRPr="00925658" w:rsidR="00FF7AB6" w:rsidP="00A639D4" w:rsidRDefault="00FF7AB6" w14:paraId="1E04CB4A" w14:textId="77777777">
            <w:pPr>
              <w:spacing w:after="0"/>
              <w:rPr>
                <w:sz w:val="20"/>
                <w:szCs w:val="20"/>
              </w:rPr>
            </w:pPr>
            <w:r w:rsidRPr="00732012">
              <w:rPr>
                <w:sz w:val="20"/>
                <w:szCs w:val="20"/>
              </w:rPr>
              <w:t># of Hours Per Clinician to Identify Activity (c)</w:t>
            </w:r>
          </w:p>
        </w:tc>
        <w:tc>
          <w:tcPr>
            <w:tcW w:w="1316" w:type="dxa"/>
            <w:shd w:val="clear" w:color="auto" w:fill="auto"/>
            <w:hideMark/>
          </w:tcPr>
          <w:p w:rsidRPr="00925658" w:rsidR="00FF7AB6" w:rsidP="00A639D4" w:rsidRDefault="008D7DB5" w14:paraId="38F7993E" w14:textId="0CD23366">
            <w:pPr>
              <w:spacing w:after="0"/>
              <w:rPr>
                <w:sz w:val="20"/>
                <w:szCs w:val="20"/>
              </w:rPr>
            </w:pPr>
            <w:r>
              <w:rPr>
                <w:sz w:val="20"/>
                <w:szCs w:val="20"/>
              </w:rPr>
              <w:t>1.</w:t>
            </w:r>
            <w:r w:rsidR="00345BDC">
              <w:rPr>
                <w:sz w:val="20"/>
                <w:szCs w:val="20"/>
              </w:rPr>
              <w:t>6</w:t>
            </w:r>
          </w:p>
        </w:tc>
      </w:tr>
      <w:tr w:rsidRPr="00C47150" w:rsidR="00FF7AB6" w:rsidTr="00A639D4" w14:paraId="3161D109" w14:textId="77777777">
        <w:trPr>
          <w:trHeight w:val="300"/>
          <w:jc w:val="center"/>
        </w:trPr>
        <w:tc>
          <w:tcPr>
            <w:tcW w:w="8239" w:type="dxa"/>
            <w:shd w:val="clear" w:color="auto" w:fill="D9D9D9" w:themeFill="background1" w:themeFillShade="D9"/>
            <w:hideMark/>
          </w:tcPr>
          <w:p w:rsidRPr="00925658" w:rsidR="00FF7AB6" w:rsidP="00A639D4" w:rsidRDefault="00FF7AB6" w14:paraId="6A8C02ED" w14:textId="633C4C44">
            <w:pPr>
              <w:spacing w:after="0"/>
              <w:rPr>
                <w:sz w:val="20"/>
                <w:szCs w:val="20"/>
              </w:rPr>
            </w:pPr>
            <w:r w:rsidRPr="00732012">
              <w:rPr>
                <w:sz w:val="20"/>
                <w:szCs w:val="20"/>
              </w:rPr>
              <w:t>Annual Hours Per Respondent (d)</w:t>
            </w:r>
            <w:r w:rsidR="00D96441">
              <w:rPr>
                <w:sz w:val="20"/>
                <w:szCs w:val="20"/>
              </w:rPr>
              <w:t xml:space="preserve"> </w:t>
            </w:r>
            <w:r w:rsidRPr="00732012">
              <w:rPr>
                <w:sz w:val="20"/>
                <w:szCs w:val="20"/>
              </w:rPr>
              <w:t>= (b) + (c)</w:t>
            </w:r>
          </w:p>
        </w:tc>
        <w:tc>
          <w:tcPr>
            <w:tcW w:w="1316" w:type="dxa"/>
            <w:shd w:val="clear" w:color="auto" w:fill="D9D9D9" w:themeFill="background1" w:themeFillShade="D9"/>
            <w:hideMark/>
          </w:tcPr>
          <w:p w:rsidRPr="00925658" w:rsidR="00FF7AB6" w:rsidP="00A639D4" w:rsidRDefault="00345BDC" w14:paraId="18593563" w14:textId="770A858D">
            <w:pPr>
              <w:spacing w:after="0"/>
              <w:rPr>
                <w:sz w:val="20"/>
                <w:szCs w:val="20"/>
              </w:rPr>
            </w:pPr>
            <w:r>
              <w:rPr>
                <w:sz w:val="20"/>
                <w:szCs w:val="20"/>
              </w:rPr>
              <w:t>4.4</w:t>
            </w:r>
          </w:p>
        </w:tc>
      </w:tr>
      <w:tr w:rsidRPr="00C47150" w:rsidR="00FF7AB6" w:rsidTr="00A639D4" w14:paraId="7C9D09A6" w14:textId="77777777">
        <w:trPr>
          <w:trHeight w:val="300"/>
          <w:jc w:val="center"/>
        </w:trPr>
        <w:tc>
          <w:tcPr>
            <w:tcW w:w="8239" w:type="dxa"/>
            <w:shd w:val="clear" w:color="auto" w:fill="D9D9D9" w:themeFill="background1" w:themeFillShade="D9"/>
            <w:hideMark/>
          </w:tcPr>
          <w:p w:rsidRPr="00CE4A05" w:rsidR="00FF7AB6" w:rsidP="00A639D4" w:rsidRDefault="00FF7AB6" w14:paraId="109D1758" w14:textId="662E4225">
            <w:pPr>
              <w:spacing w:after="0"/>
              <w:rPr>
                <w:b/>
                <w:sz w:val="20"/>
                <w:szCs w:val="20"/>
              </w:rPr>
            </w:pPr>
            <w:r w:rsidRPr="00CE4A05">
              <w:rPr>
                <w:b/>
                <w:sz w:val="20"/>
                <w:szCs w:val="20"/>
              </w:rPr>
              <w:t>Total Annual Hours (e) = (a)</w:t>
            </w:r>
            <w:r w:rsidR="009D2B23">
              <w:rPr>
                <w:b/>
                <w:sz w:val="20"/>
                <w:szCs w:val="20"/>
              </w:rPr>
              <w:t xml:space="preserve"> </w:t>
            </w:r>
            <w:r w:rsidRPr="00CE4A05">
              <w:rPr>
                <w:b/>
                <w:sz w:val="20"/>
                <w:szCs w:val="20"/>
              </w:rPr>
              <w:t>*</w:t>
            </w:r>
            <w:r w:rsidR="009D2B23">
              <w:rPr>
                <w:b/>
                <w:sz w:val="20"/>
                <w:szCs w:val="20"/>
              </w:rPr>
              <w:t xml:space="preserve"> </w:t>
            </w:r>
            <w:r w:rsidRPr="00CE4A05">
              <w:rPr>
                <w:b/>
                <w:sz w:val="20"/>
                <w:szCs w:val="20"/>
              </w:rPr>
              <w:t>(d)</w:t>
            </w:r>
          </w:p>
        </w:tc>
        <w:tc>
          <w:tcPr>
            <w:tcW w:w="1316" w:type="dxa"/>
            <w:shd w:val="clear" w:color="auto" w:fill="D9D9D9" w:themeFill="background1" w:themeFillShade="D9"/>
            <w:hideMark/>
          </w:tcPr>
          <w:p w:rsidRPr="00CE4A05" w:rsidR="00FF7AB6" w:rsidP="00A639D4" w:rsidRDefault="00BA6A94" w14:paraId="759552F9" w14:textId="69B26696">
            <w:pPr>
              <w:spacing w:after="0"/>
              <w:rPr>
                <w:b/>
                <w:sz w:val="20"/>
                <w:szCs w:val="20"/>
              </w:rPr>
            </w:pPr>
            <w:r>
              <w:rPr>
                <w:b/>
                <w:sz w:val="20"/>
                <w:szCs w:val="20"/>
              </w:rPr>
              <w:t>136</w:t>
            </w:r>
          </w:p>
        </w:tc>
      </w:tr>
      <w:tr w:rsidRPr="00C47150" w:rsidR="00FF7AB6" w:rsidTr="00A639D4" w14:paraId="7AB58ABE" w14:textId="77777777">
        <w:trPr>
          <w:trHeight w:val="233"/>
          <w:jc w:val="center"/>
        </w:trPr>
        <w:tc>
          <w:tcPr>
            <w:tcW w:w="8239" w:type="dxa"/>
            <w:shd w:val="clear" w:color="auto" w:fill="auto"/>
            <w:hideMark/>
          </w:tcPr>
          <w:p w:rsidRPr="00925658" w:rsidR="00FF7AB6" w:rsidP="00A639D4" w:rsidRDefault="00FF7AB6" w14:paraId="2F88146D" w14:textId="10836220">
            <w:pPr>
              <w:spacing w:after="0"/>
              <w:rPr>
                <w:sz w:val="20"/>
                <w:szCs w:val="20"/>
              </w:rPr>
            </w:pPr>
            <w:r w:rsidRPr="00732012">
              <w:rPr>
                <w:sz w:val="20"/>
                <w:szCs w:val="20"/>
              </w:rPr>
              <w:t xml:space="preserve">Cost to Identify and Submit Activity (@ </w:t>
            </w:r>
            <w:r w:rsidR="008D7DB5">
              <w:rPr>
                <w:sz w:val="20"/>
                <w:szCs w:val="20"/>
              </w:rPr>
              <w:t>medical and health services manager</w:t>
            </w:r>
            <w:r w:rsidRPr="00732012">
              <w:rPr>
                <w:sz w:val="20"/>
                <w:szCs w:val="20"/>
              </w:rPr>
              <w:t>'s labor rate of $1</w:t>
            </w:r>
            <w:r w:rsidR="008D7DB5">
              <w:rPr>
                <w:sz w:val="20"/>
                <w:szCs w:val="20"/>
              </w:rPr>
              <w:t>1</w:t>
            </w:r>
            <w:r w:rsidR="00F21A65">
              <w:rPr>
                <w:sz w:val="20"/>
                <w:szCs w:val="20"/>
              </w:rPr>
              <w:t>5</w:t>
            </w:r>
            <w:r w:rsidR="001234F3">
              <w:rPr>
                <w:sz w:val="20"/>
                <w:szCs w:val="20"/>
              </w:rPr>
              <w:t>.</w:t>
            </w:r>
            <w:r w:rsidR="00317277">
              <w:rPr>
                <w:sz w:val="20"/>
                <w:szCs w:val="20"/>
              </w:rPr>
              <w:t>2</w:t>
            </w:r>
            <w:r w:rsidR="00F21A65">
              <w:rPr>
                <w:sz w:val="20"/>
                <w:szCs w:val="20"/>
              </w:rPr>
              <w:t>2</w:t>
            </w:r>
            <w:r w:rsidRPr="00732012">
              <w:rPr>
                <w:sz w:val="20"/>
                <w:szCs w:val="20"/>
              </w:rPr>
              <w:t>/hr.) (f)</w:t>
            </w:r>
          </w:p>
        </w:tc>
        <w:tc>
          <w:tcPr>
            <w:tcW w:w="1316" w:type="dxa"/>
            <w:shd w:val="clear" w:color="auto" w:fill="auto"/>
            <w:hideMark/>
          </w:tcPr>
          <w:p w:rsidRPr="00925658" w:rsidR="00FF7AB6" w:rsidP="00A639D4" w:rsidRDefault="00FF7AB6" w14:paraId="12845B76" w14:textId="1C8B9A58">
            <w:pPr>
              <w:spacing w:after="0"/>
              <w:rPr>
                <w:sz w:val="20"/>
                <w:szCs w:val="20"/>
              </w:rPr>
            </w:pPr>
            <w:r w:rsidRPr="00925658">
              <w:rPr>
                <w:sz w:val="20"/>
                <w:szCs w:val="20"/>
              </w:rPr>
              <w:t>$</w:t>
            </w:r>
            <w:r w:rsidR="006F5F02">
              <w:rPr>
                <w:sz w:val="20"/>
                <w:szCs w:val="20"/>
              </w:rPr>
              <w:t>3</w:t>
            </w:r>
            <w:r w:rsidR="00744594">
              <w:rPr>
                <w:sz w:val="20"/>
                <w:szCs w:val="20"/>
              </w:rPr>
              <w:t>22</w:t>
            </w:r>
            <w:r w:rsidR="006F5F02">
              <w:rPr>
                <w:sz w:val="20"/>
                <w:szCs w:val="20"/>
              </w:rPr>
              <w:t>.</w:t>
            </w:r>
            <w:r w:rsidR="00744594">
              <w:rPr>
                <w:sz w:val="20"/>
                <w:szCs w:val="20"/>
              </w:rPr>
              <w:t>61</w:t>
            </w:r>
          </w:p>
        </w:tc>
      </w:tr>
      <w:tr w:rsidRPr="00C47150" w:rsidR="00FF7AB6" w:rsidTr="00A639D4" w14:paraId="65DE46ED" w14:textId="77777777">
        <w:trPr>
          <w:trHeight w:val="242"/>
          <w:jc w:val="center"/>
        </w:trPr>
        <w:tc>
          <w:tcPr>
            <w:tcW w:w="8239" w:type="dxa"/>
            <w:shd w:val="clear" w:color="auto" w:fill="auto"/>
            <w:hideMark/>
          </w:tcPr>
          <w:p w:rsidRPr="00925658" w:rsidR="00FF7AB6" w:rsidP="00A639D4" w:rsidRDefault="00FF7AB6" w14:paraId="219882CD" w14:textId="2C7DB856">
            <w:pPr>
              <w:spacing w:after="0"/>
              <w:rPr>
                <w:sz w:val="20"/>
                <w:szCs w:val="20"/>
              </w:rPr>
            </w:pPr>
            <w:r w:rsidRPr="00732012">
              <w:rPr>
                <w:sz w:val="20"/>
                <w:szCs w:val="20"/>
              </w:rPr>
              <w:t>Cost to Identify Improvement Activity (@ physician’s labor rate of $2</w:t>
            </w:r>
            <w:r w:rsidR="009B7B0C">
              <w:rPr>
                <w:sz w:val="20"/>
                <w:szCs w:val="20"/>
              </w:rPr>
              <w:t>59</w:t>
            </w:r>
            <w:r w:rsidR="00317277">
              <w:rPr>
                <w:sz w:val="20"/>
                <w:szCs w:val="20"/>
              </w:rPr>
              <w:t>.</w:t>
            </w:r>
            <w:r w:rsidR="009B7B0C">
              <w:rPr>
                <w:sz w:val="20"/>
                <w:szCs w:val="20"/>
              </w:rPr>
              <w:t>98</w:t>
            </w:r>
            <w:r w:rsidRPr="00732012">
              <w:rPr>
                <w:sz w:val="20"/>
                <w:szCs w:val="20"/>
              </w:rPr>
              <w:t>/hr.) (g)</w:t>
            </w:r>
          </w:p>
        </w:tc>
        <w:tc>
          <w:tcPr>
            <w:tcW w:w="1316" w:type="dxa"/>
            <w:shd w:val="clear" w:color="auto" w:fill="auto"/>
            <w:noWrap/>
            <w:hideMark/>
          </w:tcPr>
          <w:p w:rsidRPr="00925658" w:rsidR="00FF7AB6" w:rsidP="00A639D4" w:rsidRDefault="00FF7AB6" w14:paraId="72DEBBF9" w14:textId="4B6A0ACB">
            <w:pPr>
              <w:spacing w:after="0"/>
              <w:rPr>
                <w:sz w:val="20"/>
                <w:szCs w:val="20"/>
              </w:rPr>
            </w:pPr>
            <w:r w:rsidRPr="00925658">
              <w:rPr>
                <w:sz w:val="20"/>
                <w:szCs w:val="20"/>
              </w:rPr>
              <w:t>$</w:t>
            </w:r>
            <w:r w:rsidR="00A4677A">
              <w:rPr>
                <w:sz w:val="20"/>
                <w:szCs w:val="20"/>
              </w:rPr>
              <w:t>415</w:t>
            </w:r>
            <w:r w:rsidR="001D7F3E">
              <w:rPr>
                <w:sz w:val="20"/>
                <w:szCs w:val="20"/>
              </w:rPr>
              <w:t>.</w:t>
            </w:r>
            <w:r w:rsidR="00A4677A">
              <w:rPr>
                <w:sz w:val="20"/>
                <w:szCs w:val="20"/>
              </w:rPr>
              <w:t>96</w:t>
            </w:r>
          </w:p>
        </w:tc>
      </w:tr>
      <w:tr w:rsidRPr="00C47150" w:rsidR="00FF7AB6" w:rsidTr="00A639D4" w14:paraId="1975E592" w14:textId="77777777">
        <w:trPr>
          <w:trHeight w:val="300"/>
          <w:jc w:val="center"/>
        </w:trPr>
        <w:tc>
          <w:tcPr>
            <w:tcW w:w="8239" w:type="dxa"/>
            <w:shd w:val="clear" w:color="auto" w:fill="E7E6E6" w:themeFill="background2"/>
            <w:hideMark/>
          </w:tcPr>
          <w:p w:rsidRPr="00925658" w:rsidR="00FF7AB6" w:rsidP="00A639D4" w:rsidRDefault="00FF7AB6" w14:paraId="1B53DB86" w14:textId="016D3A69">
            <w:pPr>
              <w:spacing w:after="0"/>
              <w:rPr>
                <w:sz w:val="20"/>
                <w:szCs w:val="20"/>
              </w:rPr>
            </w:pPr>
            <w:r w:rsidRPr="00732012">
              <w:rPr>
                <w:sz w:val="20"/>
                <w:szCs w:val="20"/>
              </w:rPr>
              <w:t>Total Annual Cost Per Respondent (h)</w:t>
            </w:r>
            <w:r w:rsidR="009D2B23">
              <w:rPr>
                <w:sz w:val="20"/>
                <w:szCs w:val="20"/>
              </w:rPr>
              <w:t xml:space="preserve"> </w:t>
            </w:r>
            <w:r w:rsidRPr="00732012">
              <w:rPr>
                <w:sz w:val="20"/>
                <w:szCs w:val="20"/>
              </w:rPr>
              <w:t>=</w:t>
            </w:r>
            <w:r w:rsidR="009D2B23">
              <w:rPr>
                <w:sz w:val="20"/>
                <w:szCs w:val="20"/>
              </w:rPr>
              <w:t xml:space="preserve"> </w:t>
            </w:r>
            <w:r w:rsidRPr="00732012">
              <w:rPr>
                <w:sz w:val="20"/>
                <w:szCs w:val="20"/>
              </w:rPr>
              <w:t>(f)</w:t>
            </w:r>
            <w:r w:rsidR="009D2B23">
              <w:rPr>
                <w:sz w:val="20"/>
                <w:szCs w:val="20"/>
              </w:rPr>
              <w:t xml:space="preserve"> </w:t>
            </w:r>
            <w:r w:rsidRPr="00732012">
              <w:rPr>
                <w:sz w:val="20"/>
                <w:szCs w:val="20"/>
              </w:rPr>
              <w:t>+</w:t>
            </w:r>
            <w:r w:rsidR="009D2B23">
              <w:rPr>
                <w:sz w:val="20"/>
                <w:szCs w:val="20"/>
              </w:rPr>
              <w:t xml:space="preserve"> </w:t>
            </w:r>
            <w:r w:rsidRPr="00732012">
              <w:rPr>
                <w:sz w:val="20"/>
                <w:szCs w:val="20"/>
              </w:rPr>
              <w:t>(g)</w:t>
            </w:r>
          </w:p>
        </w:tc>
        <w:tc>
          <w:tcPr>
            <w:tcW w:w="1316" w:type="dxa"/>
            <w:shd w:val="clear" w:color="auto" w:fill="E7E6E6" w:themeFill="background2"/>
            <w:noWrap/>
            <w:hideMark/>
          </w:tcPr>
          <w:p w:rsidRPr="00925658" w:rsidR="00FF7AB6" w:rsidP="00A639D4" w:rsidRDefault="00FF7AB6" w14:paraId="7B196CF5" w14:textId="5DC29FE2">
            <w:pPr>
              <w:spacing w:after="0"/>
              <w:rPr>
                <w:sz w:val="20"/>
                <w:szCs w:val="20"/>
              </w:rPr>
            </w:pPr>
            <w:r w:rsidRPr="00925658">
              <w:rPr>
                <w:sz w:val="20"/>
                <w:szCs w:val="20"/>
              </w:rPr>
              <w:t>$</w:t>
            </w:r>
            <w:r w:rsidR="00AA3868">
              <w:rPr>
                <w:sz w:val="20"/>
                <w:szCs w:val="20"/>
              </w:rPr>
              <w:t>7</w:t>
            </w:r>
            <w:r w:rsidR="00A4677A">
              <w:rPr>
                <w:sz w:val="20"/>
                <w:szCs w:val="20"/>
              </w:rPr>
              <w:t>38</w:t>
            </w:r>
            <w:r w:rsidR="00AA3868">
              <w:rPr>
                <w:sz w:val="20"/>
                <w:szCs w:val="20"/>
              </w:rPr>
              <w:t>.5</w:t>
            </w:r>
            <w:r w:rsidR="00A4677A">
              <w:rPr>
                <w:sz w:val="20"/>
                <w:szCs w:val="20"/>
              </w:rPr>
              <w:t>7</w:t>
            </w:r>
          </w:p>
        </w:tc>
      </w:tr>
      <w:tr w:rsidRPr="00C47150" w:rsidR="00FF7AB6" w:rsidTr="00A639D4" w14:paraId="0230C8A0" w14:textId="77777777">
        <w:trPr>
          <w:trHeight w:val="300"/>
          <w:jc w:val="center"/>
        </w:trPr>
        <w:tc>
          <w:tcPr>
            <w:tcW w:w="8239" w:type="dxa"/>
            <w:shd w:val="clear" w:color="auto" w:fill="E7E6E6" w:themeFill="background2"/>
            <w:hideMark/>
          </w:tcPr>
          <w:p w:rsidRPr="00CE4A05" w:rsidR="00FF7AB6" w:rsidP="00A639D4" w:rsidRDefault="00FF7AB6" w14:paraId="5AF4E189" w14:textId="644A376E">
            <w:pPr>
              <w:spacing w:after="0"/>
              <w:rPr>
                <w:b/>
                <w:sz w:val="20"/>
                <w:szCs w:val="20"/>
              </w:rPr>
            </w:pPr>
            <w:r w:rsidRPr="00CE4A05">
              <w:rPr>
                <w:b/>
                <w:sz w:val="20"/>
                <w:szCs w:val="20"/>
              </w:rPr>
              <w:t>Total Annual Cost (i)</w:t>
            </w:r>
            <w:r w:rsidR="009D2B23">
              <w:rPr>
                <w:b/>
                <w:sz w:val="20"/>
                <w:szCs w:val="20"/>
              </w:rPr>
              <w:t xml:space="preserve"> </w:t>
            </w:r>
            <w:r w:rsidRPr="00CE4A05">
              <w:rPr>
                <w:b/>
                <w:sz w:val="20"/>
                <w:szCs w:val="20"/>
              </w:rPr>
              <w:t>=</w:t>
            </w:r>
            <w:r w:rsidR="009D2B23">
              <w:rPr>
                <w:b/>
                <w:sz w:val="20"/>
                <w:szCs w:val="20"/>
              </w:rPr>
              <w:t xml:space="preserve"> </w:t>
            </w:r>
            <w:r w:rsidRPr="00CE4A05">
              <w:rPr>
                <w:b/>
                <w:sz w:val="20"/>
                <w:szCs w:val="20"/>
              </w:rPr>
              <w:t>(a)</w:t>
            </w:r>
            <w:r w:rsidR="009D2B23">
              <w:rPr>
                <w:b/>
                <w:sz w:val="20"/>
                <w:szCs w:val="20"/>
              </w:rPr>
              <w:t xml:space="preserve"> </w:t>
            </w:r>
            <w:r w:rsidRPr="00CE4A05">
              <w:rPr>
                <w:b/>
                <w:sz w:val="20"/>
                <w:szCs w:val="20"/>
              </w:rPr>
              <w:t>*</w:t>
            </w:r>
            <w:r w:rsidR="009D2B23">
              <w:rPr>
                <w:b/>
                <w:sz w:val="20"/>
                <w:szCs w:val="20"/>
              </w:rPr>
              <w:t xml:space="preserve"> </w:t>
            </w:r>
            <w:r w:rsidRPr="00CE4A05">
              <w:rPr>
                <w:b/>
                <w:sz w:val="20"/>
                <w:szCs w:val="20"/>
              </w:rPr>
              <w:t>(h)</w:t>
            </w:r>
          </w:p>
        </w:tc>
        <w:tc>
          <w:tcPr>
            <w:tcW w:w="1316" w:type="dxa"/>
            <w:shd w:val="clear" w:color="auto" w:fill="E7E6E6" w:themeFill="background2"/>
            <w:noWrap/>
            <w:hideMark/>
          </w:tcPr>
          <w:p w:rsidRPr="00CE4A05" w:rsidR="00FF7AB6" w:rsidP="00A639D4" w:rsidRDefault="00FF7AB6" w14:paraId="7F7D3A41" w14:textId="6B022893">
            <w:pPr>
              <w:spacing w:after="0"/>
              <w:rPr>
                <w:b/>
                <w:sz w:val="20"/>
                <w:szCs w:val="20"/>
              </w:rPr>
            </w:pPr>
            <w:r w:rsidRPr="00CE4A05">
              <w:rPr>
                <w:b/>
                <w:sz w:val="20"/>
                <w:szCs w:val="20"/>
              </w:rPr>
              <w:t>$</w:t>
            </w:r>
            <w:r w:rsidR="008A672D">
              <w:rPr>
                <w:b/>
                <w:sz w:val="20"/>
                <w:szCs w:val="20"/>
              </w:rPr>
              <w:t>2</w:t>
            </w:r>
            <w:r w:rsidR="009D6DA6">
              <w:rPr>
                <w:b/>
                <w:sz w:val="20"/>
                <w:szCs w:val="20"/>
              </w:rPr>
              <w:t>2</w:t>
            </w:r>
            <w:r w:rsidR="008A672D">
              <w:rPr>
                <w:b/>
                <w:sz w:val="20"/>
                <w:szCs w:val="20"/>
              </w:rPr>
              <w:t>,</w:t>
            </w:r>
            <w:r w:rsidR="009D6DA6">
              <w:rPr>
                <w:b/>
                <w:sz w:val="20"/>
                <w:szCs w:val="20"/>
              </w:rPr>
              <w:t>8</w:t>
            </w:r>
            <w:r w:rsidR="008A672D">
              <w:rPr>
                <w:b/>
                <w:sz w:val="20"/>
                <w:szCs w:val="20"/>
              </w:rPr>
              <w:t>9</w:t>
            </w:r>
            <w:r w:rsidR="009D6DA6">
              <w:rPr>
                <w:b/>
                <w:sz w:val="20"/>
                <w:szCs w:val="20"/>
              </w:rPr>
              <w:t>6</w:t>
            </w:r>
          </w:p>
        </w:tc>
      </w:tr>
    </w:tbl>
    <w:p w:rsidR="00FF7AB6" w:rsidP="00FF7AB6" w:rsidRDefault="00FF7AB6" w14:paraId="2888B3C6" w14:textId="19A3BC62">
      <w:pPr>
        <w:ind w:firstLine="720"/>
      </w:pPr>
    </w:p>
    <w:p w:rsidRPr="004330C9" w:rsidR="008D7DB5" w:rsidP="003D552B" w:rsidRDefault="008D7DB5" w14:paraId="68B91B0A" w14:textId="01E16287">
      <w:pPr>
        <w:pStyle w:val="Heading3"/>
      </w:pPr>
      <w:bookmarkStart w:name="_Hlk532899268" w:id="9"/>
      <w:r w:rsidRPr="004330C9">
        <w:t>Nomination of MVPs</w:t>
      </w:r>
    </w:p>
    <w:p w:rsidR="00F669DF" w:rsidP="008D7DB5" w:rsidRDefault="008D7DB5" w14:paraId="7D1E7D60" w14:textId="468EDCFA">
      <w:r>
        <w:t xml:space="preserve">Beginning </w:t>
      </w:r>
      <w:r w:rsidR="0026206B">
        <w:t xml:space="preserve">in CY 2021 for purposes of </w:t>
      </w:r>
      <w:r w:rsidR="00207C7B">
        <w:t>the CY</w:t>
      </w:r>
      <w:r w:rsidR="0026206B">
        <w:t xml:space="preserve"> 2022 policymaking</w:t>
      </w:r>
      <w:r>
        <w:t xml:space="preserve">, we </w:t>
      </w:r>
      <w:r w:rsidR="006A1724">
        <w:t>stated</w:t>
      </w:r>
      <w:r>
        <w:t xml:space="preserve"> </w:t>
      </w:r>
      <w:r w:rsidR="00303998">
        <w:t xml:space="preserve">interested parties </w:t>
      </w:r>
      <w:r>
        <w:t xml:space="preserve">should formally submit their MVP candidates utilizing a standardized template, which will be published in the QPP resource library </w:t>
      </w:r>
      <w:r w:rsidR="004D64D2">
        <w:t xml:space="preserve">for </w:t>
      </w:r>
      <w:r>
        <w:t xml:space="preserve">our consideration for future implementation. </w:t>
      </w:r>
      <w:r w:rsidR="00303998">
        <w:t>Interested parties</w:t>
      </w:r>
      <w:r>
        <w:t xml:space="preserve"> should submit all information including a description of how their MVP abides by the MVP development criteria as described in </w:t>
      </w:r>
      <w:r w:rsidR="009F04A5">
        <w:t>the CY 2021 PFS</w:t>
      </w:r>
      <w:r>
        <w:t xml:space="preserve"> </w:t>
      </w:r>
      <w:r w:rsidR="00E520D3">
        <w:t>final</w:t>
      </w:r>
      <w:r>
        <w:t xml:space="preserve"> rule</w:t>
      </w:r>
      <w:r w:rsidRPr="00DE1D7D" w:rsidR="00554885">
        <w:t xml:space="preserve"> (85 FR </w:t>
      </w:r>
      <w:r w:rsidR="007548D2">
        <w:t>84849</w:t>
      </w:r>
      <w:r w:rsidRPr="00DE1D7D" w:rsidR="00554885">
        <w:t xml:space="preserve"> through </w:t>
      </w:r>
      <w:r w:rsidR="007548D2">
        <w:t>84859</w:t>
      </w:r>
      <w:r w:rsidRPr="00DE1D7D" w:rsidR="00437695">
        <w:t>) and</w:t>
      </w:r>
      <w:r>
        <w:t xml:space="preserve"> provide rationales as to why specific measures and activities were chosen to construct the MVP.  As MVP candidates are received, they will be reviewed, vetted, and </w:t>
      </w:r>
      <w:r>
        <w:lastRenderedPageBreak/>
        <w:t xml:space="preserve">evaluated by CMS and our contractors to determine if the MVP is feasible and ready for inclusion in the upcoming performance period.  </w:t>
      </w:r>
    </w:p>
    <w:p w:rsidRPr="00A05EDE" w:rsidR="008D7DB5" w:rsidP="008D7DB5" w:rsidRDefault="008D7DB5" w14:paraId="0307ADEB" w14:textId="0C9F472C">
      <w:r>
        <w:t xml:space="preserve">For the </w:t>
      </w:r>
      <w:r w:rsidR="008F6B7D">
        <w:t xml:space="preserve">CY </w:t>
      </w:r>
      <w:r>
        <w:t>202</w:t>
      </w:r>
      <w:r w:rsidR="00BD41BA">
        <w:t>3</w:t>
      </w:r>
      <w:r>
        <w:t xml:space="preserve"> performance period</w:t>
      </w:r>
      <w:r w:rsidR="008F6B7D">
        <w:t>/202</w:t>
      </w:r>
      <w:r w:rsidR="00BD41BA">
        <w:t>5</w:t>
      </w:r>
      <w:r w:rsidR="008F6B7D">
        <w:t xml:space="preserve"> MIPS payment year</w:t>
      </w:r>
      <w:r>
        <w:t xml:space="preserve">, we </w:t>
      </w:r>
      <w:r w:rsidR="0018273C">
        <w:t>are proposing to revise our estimate that</w:t>
      </w:r>
      <w:r>
        <w:t xml:space="preserve"> 2</w:t>
      </w:r>
      <w:r w:rsidR="00BD41BA">
        <w:t>0</w:t>
      </w:r>
      <w:r>
        <w:t xml:space="preserve"> MVP nominations will be received</w:t>
      </w:r>
      <w:r w:rsidR="00404623">
        <w:t>,</w:t>
      </w:r>
      <w:r>
        <w:t xml:space="preserve"> and </w:t>
      </w:r>
      <w:r w:rsidR="00404623">
        <w:t xml:space="preserve">we continue to estimate </w:t>
      </w:r>
      <w:r>
        <w:t>the time required to submit all required information is 12 hours per nomination.</w:t>
      </w:r>
      <w:r w:rsidR="00BD41BA">
        <w:t xml:space="preserve"> </w:t>
      </w:r>
      <w:r>
        <w:t>Similar to the call for quality measures, nomination of Promoting Interoperability measures, and the nomination of improvement activities, we assume MVP nomination will be performed by both practice administration staff</w:t>
      </w:r>
      <w:r w:rsidR="00802FD1">
        <w:t>,</w:t>
      </w:r>
      <w:r>
        <w:t xml:space="preserve"> or their equivalents and clinicians.  We estimate 7.2 hours at $11</w:t>
      </w:r>
      <w:r w:rsidR="00037F10">
        <w:t>5</w:t>
      </w:r>
      <w:r w:rsidR="002134B6">
        <w:t>.2</w:t>
      </w:r>
      <w:r w:rsidR="00037F10">
        <w:t>2</w:t>
      </w:r>
      <w:r>
        <w:t>/</w:t>
      </w:r>
      <w:proofErr w:type="spellStart"/>
      <w:r>
        <w:t>hr</w:t>
      </w:r>
      <w:proofErr w:type="spellEnd"/>
      <w:r>
        <w:t xml:space="preserve"> for a medical and health services manager or equivalent and 4.8 hours at $2</w:t>
      </w:r>
      <w:r w:rsidR="00037F10">
        <w:t>59</w:t>
      </w:r>
      <w:r w:rsidR="00ED36E1">
        <w:t>.</w:t>
      </w:r>
      <w:r w:rsidR="00037F10">
        <w:t>98</w:t>
      </w:r>
      <w:r>
        <w:t>/</w:t>
      </w:r>
      <w:proofErr w:type="spellStart"/>
      <w:r>
        <w:t>hr</w:t>
      </w:r>
      <w:proofErr w:type="spellEnd"/>
      <w:r>
        <w:t xml:space="preserve"> for a physician to nominate an MVP.  As shown in Table </w:t>
      </w:r>
      <w:r w:rsidR="009F04A5">
        <w:t>2</w:t>
      </w:r>
      <w:r w:rsidR="00037F10">
        <w:t>1</w:t>
      </w:r>
      <w:r>
        <w:t xml:space="preserve">, we estimate an annual burden of </w:t>
      </w:r>
      <w:r w:rsidR="00876CAE">
        <w:t>24</w:t>
      </w:r>
      <w:r>
        <w:t>0 hours (2</w:t>
      </w:r>
      <w:r w:rsidR="00876CAE">
        <w:t>0</w:t>
      </w:r>
      <w:r>
        <w:t xml:space="preserve"> nominations x 12 </w:t>
      </w:r>
      <w:proofErr w:type="spellStart"/>
      <w:r>
        <w:t>hr</w:t>
      </w:r>
      <w:proofErr w:type="spellEnd"/>
      <w:r>
        <w:t xml:space="preserve">/nomination) at a cost of </w:t>
      </w:r>
      <w:r w:rsidRPr="00A05EDE">
        <w:t>$4</w:t>
      </w:r>
      <w:r w:rsidR="00876CAE">
        <w:t>1,550</w:t>
      </w:r>
      <w:r w:rsidRPr="00A05EDE">
        <w:t xml:space="preserve"> (2</w:t>
      </w:r>
      <w:r w:rsidR="00876CAE">
        <w:t>0</w:t>
      </w:r>
      <w:r w:rsidRPr="00A05EDE">
        <w:t xml:space="preserve"> x [(7.2 </w:t>
      </w:r>
      <w:proofErr w:type="spellStart"/>
      <w:r w:rsidRPr="00A05EDE">
        <w:t>hr</w:t>
      </w:r>
      <w:proofErr w:type="spellEnd"/>
      <w:r w:rsidRPr="00A05EDE">
        <w:t xml:space="preserve"> x $11</w:t>
      </w:r>
      <w:r w:rsidR="00876CAE">
        <w:t>5</w:t>
      </w:r>
      <w:r w:rsidRPr="00A05EDE">
        <w:t>.</w:t>
      </w:r>
      <w:r w:rsidR="00313E77">
        <w:t>2</w:t>
      </w:r>
      <w:r w:rsidR="00876CAE">
        <w:t>2</w:t>
      </w:r>
      <w:r w:rsidRPr="00A05EDE">
        <w:t>/</w:t>
      </w:r>
      <w:proofErr w:type="spellStart"/>
      <w:r w:rsidRPr="00A05EDE">
        <w:t>hr</w:t>
      </w:r>
      <w:proofErr w:type="spellEnd"/>
      <w:r w:rsidRPr="00A05EDE">
        <w:t xml:space="preserve">) + (4.8 </w:t>
      </w:r>
      <w:proofErr w:type="spellStart"/>
      <w:r w:rsidRPr="00A05EDE">
        <w:t>hr</w:t>
      </w:r>
      <w:proofErr w:type="spellEnd"/>
      <w:r w:rsidRPr="00A05EDE">
        <w:t xml:space="preserve"> x $2</w:t>
      </w:r>
      <w:r w:rsidR="00876CAE">
        <w:t>59</w:t>
      </w:r>
      <w:r w:rsidR="00D228CB">
        <w:t>.</w:t>
      </w:r>
      <w:r w:rsidR="00876CAE">
        <w:t>98</w:t>
      </w:r>
      <w:r w:rsidRPr="00A05EDE">
        <w:t>/</w:t>
      </w:r>
      <w:proofErr w:type="spellStart"/>
      <w:r w:rsidRPr="00A05EDE">
        <w:t>hr</w:t>
      </w:r>
      <w:proofErr w:type="spellEnd"/>
      <w:r w:rsidRPr="00A05EDE">
        <w:t xml:space="preserve">)]).  </w:t>
      </w:r>
    </w:p>
    <w:p w:rsidRPr="00A05EDE" w:rsidR="009F04A5" w:rsidP="009F04A5" w:rsidRDefault="009F04A5" w14:paraId="1DC9715D" w14:textId="6AD54BD4">
      <w:pPr>
        <w:keepNext/>
        <w:keepLines/>
        <w:spacing w:after="0"/>
        <w:jc w:val="center"/>
        <w:rPr>
          <w:rFonts w:eastAsia="Calibri"/>
          <w:b/>
          <w:bCs/>
        </w:rPr>
      </w:pPr>
      <w:r w:rsidRPr="00A05EDE">
        <w:rPr>
          <w:rFonts w:eastAsia="Calibri"/>
          <w:b/>
          <w:bCs/>
        </w:rPr>
        <w:t xml:space="preserve">TABLE </w:t>
      </w:r>
      <w:r w:rsidRPr="00A05EDE">
        <w:rPr>
          <w:rFonts w:eastAsia="Calibri"/>
          <w:b/>
        </w:rPr>
        <w:t>2</w:t>
      </w:r>
      <w:r w:rsidR="00404623">
        <w:rPr>
          <w:rFonts w:eastAsia="Calibri"/>
          <w:b/>
        </w:rPr>
        <w:t>1</w:t>
      </w:r>
      <w:r w:rsidRPr="00A05EDE">
        <w:rPr>
          <w:rFonts w:eastAsia="Calibri"/>
          <w:b/>
          <w:bCs/>
        </w:rPr>
        <w:t>:  Estimated Burden for Nomination of MVPs</w:t>
      </w:r>
      <w:r w:rsidR="00A7669E">
        <w:rPr>
          <w:rFonts w:eastAsia="Calibri"/>
          <w:b/>
          <w:bCs/>
        </w:rPr>
        <w:t xml:space="preserve"> </w:t>
      </w:r>
    </w:p>
    <w:tbl>
      <w:tblP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4"/>
        <w:gridCol w:w="1016"/>
      </w:tblGrid>
      <w:tr w:rsidRPr="00A05EDE" w:rsidR="009F04A5" w:rsidTr="008034F5" w14:paraId="7E5C4B5E"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493F4D" w:rsidRDefault="00493F4D" w14:paraId="540EB521" w14:textId="2F8D6743">
            <w:pPr>
              <w:keepNext/>
              <w:keepLines/>
              <w:spacing w:after="0"/>
              <w:rPr>
                <w:rFonts w:eastAsia="Calibri"/>
                <w:sz w:val="20"/>
                <w:szCs w:val="20"/>
              </w:rPr>
            </w:pPr>
            <w:r w:rsidRPr="00A05EDE">
              <w:rPr>
                <w:b/>
                <w:sz w:val="20"/>
                <w:szCs w:val="20"/>
              </w:rPr>
              <w:t>Burden and Respondent Descriptions</w:t>
            </w:r>
          </w:p>
        </w:tc>
        <w:tc>
          <w:tcPr>
            <w:tcW w:w="1015" w:type="dxa"/>
            <w:tcBorders>
              <w:top w:val="single" w:color="auto" w:sz="4" w:space="0"/>
              <w:left w:val="single" w:color="auto" w:sz="4" w:space="0"/>
              <w:bottom w:val="single" w:color="auto" w:sz="4" w:space="0"/>
              <w:right w:val="single" w:color="auto" w:sz="4" w:space="0"/>
            </w:tcBorders>
            <w:hideMark/>
          </w:tcPr>
          <w:p w:rsidRPr="00A05EDE" w:rsidR="009F04A5" w:rsidP="00B90263" w:rsidRDefault="009F04A5" w14:paraId="5347A39B" w14:textId="77777777">
            <w:pPr>
              <w:keepNext/>
              <w:keepLines/>
              <w:spacing w:after="0"/>
              <w:jc w:val="center"/>
              <w:rPr>
                <w:rFonts w:eastAsia="Calibri"/>
                <w:b/>
                <w:sz w:val="20"/>
                <w:szCs w:val="20"/>
              </w:rPr>
            </w:pPr>
            <w:r w:rsidRPr="00A05EDE">
              <w:rPr>
                <w:rFonts w:eastAsia="Calibri"/>
                <w:b/>
                <w:sz w:val="20"/>
                <w:szCs w:val="20"/>
              </w:rPr>
              <w:t>Burden Estimate</w:t>
            </w:r>
          </w:p>
        </w:tc>
      </w:tr>
      <w:tr w:rsidRPr="00A05EDE" w:rsidR="009F04A5" w:rsidTr="008034F5" w14:paraId="2AEA33D3"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35C46217" w14:textId="557A1B08">
            <w:pPr>
              <w:keepNext/>
              <w:keepLines/>
              <w:spacing w:after="0"/>
              <w:rPr>
                <w:rFonts w:eastAsia="Calibri"/>
                <w:sz w:val="20"/>
                <w:szCs w:val="20"/>
              </w:rPr>
            </w:pPr>
            <w:r w:rsidRPr="00A05EDE">
              <w:rPr>
                <w:rFonts w:eastAsia="Calibri"/>
                <w:sz w:val="20"/>
                <w:szCs w:val="20"/>
              </w:rPr>
              <w:t xml:space="preserve"># of Nominations of New </w:t>
            </w:r>
            <w:r w:rsidR="00325FC4">
              <w:rPr>
                <w:rFonts w:eastAsia="Calibri"/>
                <w:sz w:val="20"/>
                <w:szCs w:val="20"/>
              </w:rPr>
              <w:t>MVPs</w:t>
            </w:r>
            <w:r w:rsidRPr="00A05EDE">
              <w:rPr>
                <w:rFonts w:eastAsia="Calibri"/>
                <w:sz w:val="20"/>
                <w:szCs w:val="20"/>
              </w:rPr>
              <w:t>(a)</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49F3D975" w14:textId="13CAEB92">
            <w:pPr>
              <w:keepNext/>
              <w:keepLines/>
              <w:spacing w:after="0"/>
              <w:jc w:val="right"/>
              <w:rPr>
                <w:rFonts w:eastAsia="Calibri"/>
                <w:sz w:val="20"/>
                <w:szCs w:val="20"/>
              </w:rPr>
            </w:pPr>
            <w:r w:rsidRPr="00A05EDE">
              <w:rPr>
                <w:rFonts w:eastAsia="Calibri"/>
                <w:sz w:val="20"/>
                <w:szCs w:val="20"/>
              </w:rPr>
              <w:t>2</w:t>
            </w:r>
            <w:r w:rsidR="00037F10">
              <w:rPr>
                <w:rFonts w:eastAsia="Calibri"/>
                <w:sz w:val="20"/>
                <w:szCs w:val="20"/>
              </w:rPr>
              <w:t>0</w:t>
            </w:r>
          </w:p>
        </w:tc>
      </w:tr>
      <w:tr w:rsidRPr="00A05EDE" w:rsidR="009F04A5" w:rsidTr="008034F5" w14:paraId="4A8256F0"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75D2E2B7" w14:textId="77777777">
            <w:pPr>
              <w:keepNext/>
              <w:keepLines/>
              <w:spacing w:after="0"/>
              <w:rPr>
                <w:rFonts w:eastAsia="Calibri"/>
                <w:sz w:val="20"/>
                <w:szCs w:val="20"/>
              </w:rPr>
            </w:pPr>
            <w:r w:rsidRPr="00A05EDE">
              <w:rPr>
                <w:rFonts w:eastAsia="Calibri"/>
                <w:sz w:val="20"/>
                <w:szCs w:val="20"/>
              </w:rPr>
              <w:t xml:space="preserve"># of Hours Per Medical and Health Services Manager (b) </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3650881B" w14:textId="77777777">
            <w:pPr>
              <w:keepNext/>
              <w:keepLines/>
              <w:spacing w:after="0"/>
              <w:jc w:val="right"/>
              <w:rPr>
                <w:rFonts w:eastAsia="Calibri"/>
                <w:sz w:val="20"/>
                <w:szCs w:val="20"/>
              </w:rPr>
            </w:pPr>
            <w:r w:rsidRPr="00A05EDE">
              <w:rPr>
                <w:rFonts w:eastAsia="Calibri"/>
                <w:sz w:val="20"/>
                <w:szCs w:val="20"/>
              </w:rPr>
              <w:t>7.2</w:t>
            </w:r>
          </w:p>
        </w:tc>
      </w:tr>
      <w:tr w:rsidRPr="00A05EDE" w:rsidR="009F04A5" w:rsidTr="008034F5" w14:paraId="782B48F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54E1AF2" w14:textId="77777777">
            <w:pPr>
              <w:keepNext/>
              <w:keepLines/>
              <w:spacing w:after="0"/>
              <w:rPr>
                <w:rFonts w:eastAsia="Calibri"/>
                <w:sz w:val="20"/>
                <w:szCs w:val="20"/>
              </w:rPr>
            </w:pPr>
            <w:r w:rsidRPr="00A05EDE">
              <w:rPr>
                <w:rFonts w:eastAsia="Calibri"/>
                <w:sz w:val="20"/>
                <w:szCs w:val="20"/>
              </w:rPr>
              <w:t># of Hours Per Physician (c)</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06C5CA7" w14:textId="77777777">
            <w:pPr>
              <w:keepNext/>
              <w:keepLines/>
              <w:spacing w:after="0"/>
              <w:jc w:val="right"/>
              <w:rPr>
                <w:rFonts w:eastAsia="Calibri"/>
                <w:sz w:val="20"/>
                <w:szCs w:val="20"/>
              </w:rPr>
            </w:pPr>
            <w:r w:rsidRPr="00A05EDE">
              <w:rPr>
                <w:rFonts w:eastAsia="Calibri"/>
                <w:sz w:val="20"/>
                <w:szCs w:val="20"/>
              </w:rPr>
              <w:t>4.8</w:t>
            </w:r>
          </w:p>
        </w:tc>
      </w:tr>
      <w:tr w:rsidRPr="00A05EDE" w:rsidR="009F04A5" w:rsidTr="008034F5" w14:paraId="0EF1707C"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2F9BCEFA" w14:textId="77777777">
            <w:pPr>
              <w:keepNext/>
              <w:keepLines/>
              <w:spacing w:after="0"/>
              <w:rPr>
                <w:rFonts w:eastAsia="Calibri"/>
                <w:sz w:val="20"/>
                <w:szCs w:val="20"/>
              </w:rPr>
            </w:pPr>
            <w:r w:rsidRPr="00A05EDE">
              <w:rPr>
                <w:rFonts w:eastAsia="Calibri"/>
                <w:sz w:val="20"/>
                <w:szCs w:val="20"/>
              </w:rPr>
              <w:t>Annual Hours Per Respondent (d)= (b) + (c)</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07602829" w14:textId="77777777">
            <w:pPr>
              <w:keepNext/>
              <w:keepLines/>
              <w:spacing w:after="0"/>
              <w:jc w:val="right"/>
              <w:rPr>
                <w:rFonts w:eastAsia="Calibri"/>
                <w:sz w:val="20"/>
                <w:szCs w:val="20"/>
              </w:rPr>
            </w:pPr>
            <w:r w:rsidRPr="00A05EDE">
              <w:rPr>
                <w:rFonts w:eastAsia="Calibri"/>
                <w:sz w:val="20"/>
                <w:szCs w:val="20"/>
              </w:rPr>
              <w:t>12</w:t>
            </w:r>
          </w:p>
        </w:tc>
      </w:tr>
      <w:tr w:rsidRPr="00A05EDE" w:rsidR="009F04A5" w:rsidTr="008034F5" w14:paraId="5B92B10D"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9F04A5" w14:paraId="5F74F260" w14:textId="4D8A9F67">
            <w:pPr>
              <w:keepNext/>
              <w:keepLines/>
              <w:spacing w:after="0"/>
              <w:rPr>
                <w:rFonts w:eastAsia="Calibri"/>
                <w:b/>
                <w:bCs/>
                <w:sz w:val="20"/>
                <w:szCs w:val="20"/>
              </w:rPr>
            </w:pPr>
            <w:r w:rsidRPr="00A05EDE">
              <w:rPr>
                <w:rFonts w:eastAsia="Calibri"/>
                <w:b/>
                <w:bCs/>
                <w:sz w:val="20"/>
                <w:szCs w:val="20"/>
              </w:rPr>
              <w:t>Total Annual Hours (e) = (a)</w:t>
            </w:r>
            <w:r w:rsidR="009D2B23">
              <w:rPr>
                <w:rFonts w:eastAsia="Calibri"/>
                <w:b/>
                <w:bCs/>
                <w:sz w:val="20"/>
                <w:szCs w:val="20"/>
              </w:rPr>
              <w:t xml:space="preserve"> </w:t>
            </w:r>
            <w:r w:rsidRPr="00A05EDE">
              <w:rPr>
                <w:rFonts w:eastAsia="Calibri"/>
                <w:b/>
                <w:bCs/>
                <w:sz w:val="20"/>
                <w:szCs w:val="20"/>
              </w:rPr>
              <w:t>*</w:t>
            </w:r>
            <w:r w:rsidR="009D2B23">
              <w:rPr>
                <w:rFonts w:eastAsia="Calibri"/>
                <w:b/>
                <w:bCs/>
                <w:sz w:val="20"/>
                <w:szCs w:val="20"/>
              </w:rPr>
              <w:t xml:space="preserve"> </w:t>
            </w:r>
            <w:r w:rsidRPr="00A05EDE">
              <w:rPr>
                <w:rFonts w:eastAsia="Calibri"/>
                <w:b/>
                <w:bCs/>
                <w:sz w:val="20"/>
                <w:szCs w:val="20"/>
              </w:rPr>
              <w:t>(d)</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05EDE" w:rsidR="009F04A5" w:rsidP="00B90263" w:rsidRDefault="00037F10" w14:paraId="248348F5" w14:textId="6ABBF4B6">
            <w:pPr>
              <w:keepNext/>
              <w:keepLines/>
              <w:spacing w:after="0"/>
              <w:jc w:val="right"/>
              <w:rPr>
                <w:rFonts w:eastAsia="Calibri"/>
                <w:b/>
                <w:bCs/>
                <w:sz w:val="20"/>
                <w:szCs w:val="20"/>
              </w:rPr>
            </w:pPr>
            <w:r>
              <w:rPr>
                <w:rFonts w:eastAsia="Calibri"/>
                <w:b/>
                <w:bCs/>
                <w:sz w:val="20"/>
                <w:szCs w:val="20"/>
              </w:rPr>
              <w:t>240</w:t>
            </w:r>
          </w:p>
        </w:tc>
      </w:tr>
      <w:tr w:rsidRPr="00A05EDE" w:rsidR="009F04A5" w:rsidTr="008034F5" w14:paraId="637B02B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259F1598" w14:textId="0E11D1C5">
            <w:pPr>
              <w:keepNext/>
              <w:keepLines/>
              <w:spacing w:after="0"/>
              <w:rPr>
                <w:rFonts w:eastAsia="Calibri"/>
                <w:sz w:val="20"/>
                <w:szCs w:val="20"/>
              </w:rPr>
            </w:pPr>
            <w:r w:rsidRPr="00A05EDE">
              <w:rPr>
                <w:rFonts w:eastAsia="Calibri"/>
                <w:sz w:val="20"/>
                <w:szCs w:val="20"/>
              </w:rPr>
              <w:t>Cost to Nominate an MVP (@ medical and health services manager's labor rate of $11</w:t>
            </w:r>
            <w:r w:rsidR="0069464A">
              <w:rPr>
                <w:rFonts w:eastAsia="Calibri"/>
                <w:sz w:val="20"/>
                <w:szCs w:val="20"/>
              </w:rPr>
              <w:t>5</w:t>
            </w:r>
            <w:r w:rsidR="002134B6">
              <w:rPr>
                <w:rFonts w:eastAsia="Calibri"/>
                <w:sz w:val="20"/>
                <w:szCs w:val="20"/>
              </w:rPr>
              <w:t>.2</w:t>
            </w:r>
            <w:r w:rsidR="0069464A">
              <w:rPr>
                <w:rFonts w:eastAsia="Calibri"/>
                <w:sz w:val="20"/>
                <w:szCs w:val="20"/>
              </w:rPr>
              <w:t>2</w:t>
            </w:r>
            <w:r w:rsidRPr="00A05EDE">
              <w:rPr>
                <w:rFonts w:eastAsia="Calibri"/>
                <w:sz w:val="20"/>
                <w:szCs w:val="20"/>
              </w:rPr>
              <w:t>/</w:t>
            </w:r>
            <w:proofErr w:type="spellStart"/>
            <w:r w:rsidRPr="00A05EDE">
              <w:rPr>
                <w:rFonts w:eastAsia="Calibri"/>
                <w:sz w:val="20"/>
                <w:szCs w:val="20"/>
              </w:rPr>
              <w:t>hr</w:t>
            </w:r>
            <w:proofErr w:type="spellEnd"/>
            <w:r w:rsidRPr="00A05EDE">
              <w:rPr>
                <w:rFonts w:eastAsia="Calibri"/>
                <w:sz w:val="20"/>
                <w:szCs w:val="20"/>
              </w:rPr>
              <w:t>) (f)</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630C21D6" w14:textId="5F4DAF5E">
            <w:pPr>
              <w:keepNext/>
              <w:keepLines/>
              <w:spacing w:after="0"/>
              <w:jc w:val="right"/>
              <w:rPr>
                <w:rFonts w:eastAsia="Calibri"/>
                <w:sz w:val="20"/>
                <w:szCs w:val="20"/>
              </w:rPr>
            </w:pPr>
            <w:r w:rsidRPr="00A05EDE">
              <w:rPr>
                <w:rFonts w:eastAsia="Calibri"/>
                <w:sz w:val="20"/>
                <w:szCs w:val="20"/>
              </w:rPr>
              <w:t>$</w:t>
            </w:r>
            <w:r w:rsidR="002A1F75">
              <w:rPr>
                <w:rFonts w:eastAsia="Calibri"/>
                <w:sz w:val="20"/>
                <w:szCs w:val="20"/>
              </w:rPr>
              <w:t>82</w:t>
            </w:r>
            <w:r w:rsidR="0069464A">
              <w:rPr>
                <w:rFonts w:eastAsia="Calibri"/>
                <w:sz w:val="20"/>
                <w:szCs w:val="20"/>
              </w:rPr>
              <w:t>9</w:t>
            </w:r>
            <w:r w:rsidR="002A1F75">
              <w:rPr>
                <w:rFonts w:eastAsia="Calibri"/>
                <w:sz w:val="20"/>
                <w:szCs w:val="20"/>
              </w:rPr>
              <w:t>.5</w:t>
            </w:r>
            <w:r w:rsidR="0069464A">
              <w:rPr>
                <w:rFonts w:eastAsia="Calibri"/>
                <w:sz w:val="20"/>
                <w:szCs w:val="20"/>
              </w:rPr>
              <w:t>8</w:t>
            </w:r>
          </w:p>
        </w:tc>
      </w:tr>
      <w:tr w:rsidRPr="00A05EDE" w:rsidR="009F04A5" w:rsidTr="008034F5" w14:paraId="7B208546"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A05EDE" w:rsidR="009F04A5" w:rsidP="00B90263" w:rsidRDefault="009F04A5" w14:paraId="0124A0AC" w14:textId="327BB201">
            <w:pPr>
              <w:keepNext/>
              <w:keepLines/>
              <w:spacing w:after="0"/>
              <w:rPr>
                <w:rFonts w:eastAsia="Calibri"/>
                <w:sz w:val="20"/>
                <w:szCs w:val="20"/>
              </w:rPr>
            </w:pPr>
            <w:r w:rsidRPr="00A05EDE">
              <w:rPr>
                <w:rFonts w:eastAsia="Calibri"/>
                <w:sz w:val="20"/>
                <w:szCs w:val="20"/>
              </w:rPr>
              <w:t>Cost to Nominate an MVP (@ physician’s labor rate of $2</w:t>
            </w:r>
            <w:r w:rsidR="0069464A">
              <w:rPr>
                <w:rFonts w:eastAsia="Calibri"/>
                <w:sz w:val="20"/>
                <w:szCs w:val="20"/>
              </w:rPr>
              <w:t>59</w:t>
            </w:r>
            <w:r w:rsidR="002134B6">
              <w:rPr>
                <w:rFonts w:eastAsia="Calibri"/>
                <w:sz w:val="20"/>
                <w:szCs w:val="20"/>
              </w:rPr>
              <w:t>.</w:t>
            </w:r>
            <w:r w:rsidR="0069464A">
              <w:rPr>
                <w:rFonts w:eastAsia="Calibri"/>
                <w:sz w:val="20"/>
                <w:szCs w:val="20"/>
              </w:rPr>
              <w:t>98</w:t>
            </w:r>
            <w:r w:rsidRPr="00A05EDE">
              <w:rPr>
                <w:rFonts w:eastAsia="Calibri"/>
                <w:sz w:val="20"/>
                <w:szCs w:val="20"/>
              </w:rPr>
              <w:t>/</w:t>
            </w:r>
            <w:proofErr w:type="spellStart"/>
            <w:r w:rsidRPr="00A05EDE">
              <w:rPr>
                <w:rFonts w:eastAsia="Calibri"/>
                <w:sz w:val="20"/>
                <w:szCs w:val="20"/>
              </w:rPr>
              <w:t>hr</w:t>
            </w:r>
            <w:proofErr w:type="spellEnd"/>
            <w:r w:rsidRPr="00A05EDE">
              <w:rPr>
                <w:rFonts w:eastAsia="Calibri"/>
                <w:sz w:val="20"/>
                <w:szCs w:val="20"/>
              </w:rPr>
              <w:t>) (g)</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A05EDE" w:rsidR="009F04A5" w:rsidP="00B90263" w:rsidRDefault="009F04A5" w14:paraId="753486B3" w14:textId="71760813">
            <w:pPr>
              <w:keepNext/>
              <w:keepLines/>
              <w:spacing w:after="0"/>
              <w:jc w:val="right"/>
              <w:rPr>
                <w:rFonts w:eastAsia="Calibri"/>
                <w:sz w:val="20"/>
                <w:szCs w:val="20"/>
              </w:rPr>
            </w:pPr>
            <w:r w:rsidRPr="00A05EDE">
              <w:rPr>
                <w:rFonts w:eastAsia="Calibri"/>
                <w:sz w:val="20"/>
                <w:szCs w:val="20"/>
              </w:rPr>
              <w:t>$1,</w:t>
            </w:r>
            <w:r w:rsidR="0069464A">
              <w:rPr>
                <w:rFonts w:eastAsia="Calibri"/>
                <w:sz w:val="20"/>
                <w:szCs w:val="20"/>
              </w:rPr>
              <w:t>2</w:t>
            </w:r>
            <w:r w:rsidR="002A1F75">
              <w:rPr>
                <w:rFonts w:eastAsia="Calibri"/>
                <w:sz w:val="20"/>
                <w:szCs w:val="20"/>
              </w:rPr>
              <w:t>4</w:t>
            </w:r>
            <w:r w:rsidR="0069464A">
              <w:rPr>
                <w:rFonts w:eastAsia="Calibri"/>
                <w:sz w:val="20"/>
                <w:szCs w:val="20"/>
              </w:rPr>
              <w:t>7</w:t>
            </w:r>
            <w:r w:rsidR="002A1F75">
              <w:rPr>
                <w:rFonts w:eastAsia="Calibri"/>
                <w:sz w:val="20"/>
                <w:szCs w:val="20"/>
              </w:rPr>
              <w:t>.</w:t>
            </w:r>
            <w:r w:rsidR="0069464A">
              <w:rPr>
                <w:rFonts w:eastAsia="Calibri"/>
                <w:sz w:val="20"/>
                <w:szCs w:val="20"/>
              </w:rPr>
              <w:t>90</w:t>
            </w:r>
          </w:p>
        </w:tc>
      </w:tr>
      <w:tr w:rsidRPr="00A05EDE" w:rsidR="009F04A5" w:rsidTr="008034F5" w14:paraId="6124C1A0"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29A5CABD" w14:textId="21EA8CEE">
            <w:pPr>
              <w:keepNext/>
              <w:keepLines/>
              <w:spacing w:after="0"/>
              <w:rPr>
                <w:rFonts w:eastAsia="Calibri"/>
                <w:sz w:val="20"/>
                <w:szCs w:val="20"/>
              </w:rPr>
            </w:pPr>
            <w:r w:rsidRPr="00A05EDE">
              <w:rPr>
                <w:rFonts w:eastAsia="Calibri"/>
                <w:sz w:val="20"/>
                <w:szCs w:val="20"/>
              </w:rPr>
              <w:t>Total Annual Cost Per Respondent (h)</w:t>
            </w:r>
            <w:r w:rsidR="009D2B23">
              <w:rPr>
                <w:rFonts w:eastAsia="Calibri"/>
                <w:sz w:val="20"/>
                <w:szCs w:val="20"/>
              </w:rPr>
              <w:t xml:space="preserve"> </w:t>
            </w:r>
            <w:r w:rsidRPr="00A05EDE">
              <w:rPr>
                <w:rFonts w:eastAsia="Calibri"/>
                <w:sz w:val="20"/>
                <w:szCs w:val="20"/>
              </w:rPr>
              <w:t>=</w:t>
            </w:r>
            <w:r w:rsidR="009D2B23">
              <w:rPr>
                <w:rFonts w:eastAsia="Calibri"/>
                <w:sz w:val="20"/>
                <w:szCs w:val="20"/>
              </w:rPr>
              <w:t xml:space="preserve"> </w:t>
            </w:r>
            <w:r w:rsidRPr="00A05EDE">
              <w:rPr>
                <w:rFonts w:eastAsia="Calibri"/>
                <w:sz w:val="20"/>
                <w:szCs w:val="20"/>
              </w:rPr>
              <w:t>(f)</w:t>
            </w:r>
            <w:r w:rsidR="009D2B23">
              <w:rPr>
                <w:rFonts w:eastAsia="Calibri"/>
                <w:sz w:val="20"/>
                <w:szCs w:val="20"/>
              </w:rPr>
              <w:t xml:space="preserve"> </w:t>
            </w:r>
            <w:r w:rsidRPr="00A05EDE">
              <w:rPr>
                <w:rFonts w:eastAsia="Calibri"/>
                <w:sz w:val="20"/>
                <w:szCs w:val="20"/>
              </w:rPr>
              <w:t>+</w:t>
            </w:r>
            <w:r w:rsidR="009D2B23">
              <w:rPr>
                <w:rFonts w:eastAsia="Calibri"/>
                <w:sz w:val="20"/>
                <w:szCs w:val="20"/>
              </w:rPr>
              <w:t xml:space="preserve"> </w:t>
            </w:r>
            <w:r w:rsidRPr="00A05EDE">
              <w:rPr>
                <w:rFonts w:eastAsia="Calibri"/>
                <w:sz w:val="20"/>
                <w:szCs w:val="20"/>
              </w:rPr>
              <w:t>(g)</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85F7552" w14:textId="649D42E3">
            <w:pPr>
              <w:keepNext/>
              <w:keepLines/>
              <w:spacing w:after="0"/>
              <w:jc w:val="right"/>
              <w:rPr>
                <w:rFonts w:eastAsia="Calibri"/>
                <w:sz w:val="20"/>
                <w:szCs w:val="20"/>
              </w:rPr>
            </w:pPr>
            <w:r w:rsidRPr="00A05EDE">
              <w:rPr>
                <w:rFonts w:eastAsia="Calibri"/>
                <w:sz w:val="20"/>
                <w:szCs w:val="20"/>
              </w:rPr>
              <w:t>$</w:t>
            </w:r>
            <w:r w:rsidR="00DE16AE">
              <w:rPr>
                <w:rFonts w:eastAsia="Calibri"/>
                <w:sz w:val="20"/>
                <w:szCs w:val="20"/>
              </w:rPr>
              <w:t>2,077</w:t>
            </w:r>
            <w:r w:rsidRPr="00A05EDE">
              <w:rPr>
                <w:rFonts w:eastAsia="Calibri"/>
                <w:sz w:val="20"/>
                <w:szCs w:val="20"/>
              </w:rPr>
              <w:t>.</w:t>
            </w:r>
            <w:r w:rsidR="00DE16AE">
              <w:rPr>
                <w:rFonts w:eastAsia="Calibri"/>
                <w:sz w:val="20"/>
                <w:szCs w:val="20"/>
              </w:rPr>
              <w:t>48</w:t>
            </w:r>
          </w:p>
        </w:tc>
      </w:tr>
      <w:tr w:rsidRPr="00A05EDE" w:rsidR="009F04A5" w:rsidTr="008034F5" w14:paraId="15927938"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05EDE" w:rsidR="009F04A5" w:rsidP="00B90263" w:rsidRDefault="009F04A5" w14:paraId="5A24F41C" w14:textId="2E32A162">
            <w:pPr>
              <w:keepNext/>
              <w:keepLines/>
              <w:spacing w:after="0"/>
              <w:rPr>
                <w:rFonts w:eastAsia="Calibri"/>
                <w:b/>
                <w:sz w:val="20"/>
                <w:szCs w:val="20"/>
              </w:rPr>
            </w:pPr>
            <w:r w:rsidRPr="00A05EDE">
              <w:rPr>
                <w:rFonts w:eastAsia="Calibri"/>
                <w:b/>
                <w:sz w:val="20"/>
                <w:szCs w:val="20"/>
              </w:rPr>
              <w:t>Total Annual Cost (i)</w:t>
            </w:r>
            <w:r w:rsidR="009D2B23">
              <w:rPr>
                <w:rFonts w:eastAsia="Calibri"/>
                <w:b/>
                <w:sz w:val="20"/>
                <w:szCs w:val="20"/>
              </w:rPr>
              <w:t xml:space="preserve"> </w:t>
            </w:r>
            <w:r w:rsidRPr="00A05EDE">
              <w:rPr>
                <w:rFonts w:eastAsia="Calibri"/>
                <w:b/>
                <w:sz w:val="20"/>
                <w:szCs w:val="20"/>
              </w:rPr>
              <w:t>=</w:t>
            </w:r>
            <w:r w:rsidR="009D2B23">
              <w:rPr>
                <w:rFonts w:eastAsia="Calibri"/>
                <w:b/>
                <w:sz w:val="20"/>
                <w:szCs w:val="20"/>
              </w:rPr>
              <w:t xml:space="preserve"> </w:t>
            </w:r>
            <w:r w:rsidRPr="00A05EDE">
              <w:rPr>
                <w:rFonts w:eastAsia="Calibri"/>
                <w:b/>
                <w:sz w:val="20"/>
                <w:szCs w:val="20"/>
              </w:rPr>
              <w:t>(a)</w:t>
            </w:r>
            <w:r w:rsidR="009D2B23">
              <w:rPr>
                <w:rFonts w:eastAsia="Calibri"/>
                <w:b/>
                <w:sz w:val="20"/>
                <w:szCs w:val="20"/>
              </w:rPr>
              <w:t xml:space="preserve"> </w:t>
            </w:r>
            <w:r w:rsidRPr="00A05EDE">
              <w:rPr>
                <w:rFonts w:eastAsia="Calibri"/>
                <w:b/>
                <w:sz w:val="20"/>
                <w:szCs w:val="20"/>
              </w:rPr>
              <w:t>*</w:t>
            </w:r>
            <w:r w:rsidR="009D2B23">
              <w:rPr>
                <w:rFonts w:eastAsia="Calibri"/>
                <w:b/>
                <w:sz w:val="20"/>
                <w:szCs w:val="20"/>
              </w:rPr>
              <w:t xml:space="preserve"> </w:t>
            </w:r>
            <w:r w:rsidRPr="00A05EDE">
              <w:rPr>
                <w:rFonts w:eastAsia="Calibri"/>
                <w:b/>
                <w:sz w:val="20"/>
                <w:szCs w:val="20"/>
              </w:rPr>
              <w:t>(h)</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A05EDE" w:rsidR="009F04A5" w:rsidP="00B90263" w:rsidRDefault="009F04A5" w14:paraId="56B5BFF8" w14:textId="001BE14D">
            <w:pPr>
              <w:keepNext/>
              <w:keepLines/>
              <w:spacing w:after="0"/>
              <w:jc w:val="right"/>
              <w:rPr>
                <w:rFonts w:eastAsia="Calibri"/>
                <w:b/>
                <w:sz w:val="20"/>
                <w:szCs w:val="20"/>
              </w:rPr>
            </w:pPr>
            <w:r w:rsidRPr="00A05EDE">
              <w:rPr>
                <w:rFonts w:eastAsia="Calibri"/>
                <w:b/>
                <w:sz w:val="20"/>
                <w:szCs w:val="20"/>
              </w:rPr>
              <w:t>$4</w:t>
            </w:r>
            <w:r w:rsidR="00DE16AE">
              <w:rPr>
                <w:rFonts w:eastAsia="Calibri"/>
                <w:b/>
                <w:sz w:val="20"/>
                <w:szCs w:val="20"/>
              </w:rPr>
              <w:t>1,550</w:t>
            </w:r>
          </w:p>
        </w:tc>
      </w:tr>
    </w:tbl>
    <w:p w:rsidRPr="00A05EDE" w:rsidR="009F04A5" w:rsidP="008D7DB5" w:rsidRDefault="009F04A5" w14:paraId="1EB195B8" w14:textId="77777777"/>
    <w:p w:rsidRPr="00A05EDE" w:rsidR="003065CD" w:rsidP="003D552B" w:rsidRDefault="003065CD" w14:paraId="2AABC24D" w14:textId="71807944">
      <w:pPr>
        <w:pStyle w:val="Heading3"/>
      </w:pPr>
      <w:r w:rsidRPr="00A05EDE">
        <w:t>Burden Estimate for the Cost Performance Category</w:t>
      </w:r>
      <w:bookmarkEnd w:id="9"/>
    </w:p>
    <w:p w:rsidR="00537CEB" w:rsidP="00E12B53" w:rsidRDefault="00E4238B" w14:paraId="7FE31198" w14:textId="6E7F6BAC">
      <w:pPr>
        <w:rPr>
          <w:rFonts w:eastAsia="Calibri"/>
        </w:rPr>
      </w:pPr>
      <w:r w:rsidRPr="00CC2BFB">
        <w:rPr>
          <w:rFonts w:eastAsia="Calibri"/>
        </w:rPr>
        <w:t xml:space="preserve">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sidR="00B75D3C">
        <w:rPr>
          <w:rFonts w:eastAsia="Calibri"/>
        </w:rPr>
        <w:t>included</w:t>
      </w:r>
      <w:r w:rsidRPr="00CC2BFB">
        <w:rPr>
          <w:rFonts w:eastAsia="Calibri"/>
        </w:rPr>
        <w:t xml:space="preserve"> in the cost performance category as discussed in </w:t>
      </w:r>
      <w:r w:rsidR="006B4537">
        <w:rPr>
          <w:rFonts w:eastAsia="Calibri"/>
        </w:rPr>
        <w:t>the CY 2020 PFS final</w:t>
      </w:r>
      <w:r w:rsidRPr="00CC2BFB">
        <w:rPr>
          <w:rFonts w:eastAsia="Calibri"/>
        </w:rPr>
        <w:t xml:space="preserve"> rule</w:t>
      </w:r>
      <w:r w:rsidR="001B2AFD">
        <w:rPr>
          <w:rFonts w:eastAsia="Calibri"/>
        </w:rPr>
        <w:t xml:space="preserve"> (84 FR </w:t>
      </w:r>
      <w:r w:rsidR="001B2AFD">
        <w:t>62959)</w:t>
      </w:r>
      <w:r w:rsidRPr="00CC2BFB">
        <w:rPr>
          <w:rFonts w:eastAsia="Calibri"/>
        </w:rPr>
        <w:t>.  Moreover, the p</w:t>
      </w:r>
      <w:r w:rsidR="00D228CB">
        <w:rPr>
          <w:rFonts w:eastAsia="Calibri"/>
        </w:rPr>
        <w:t>olicies</w:t>
      </w:r>
      <w:r w:rsidRPr="00CC2BFB">
        <w:rPr>
          <w:rFonts w:eastAsia="Calibri"/>
        </w:rPr>
        <w:t xml:space="preserve"> of th</w:t>
      </w:r>
      <w:r w:rsidR="00FF3A84">
        <w:rPr>
          <w:rFonts w:eastAsia="Calibri"/>
        </w:rPr>
        <w:t>e CY 2022</w:t>
      </w:r>
      <w:r w:rsidRPr="00CC2BFB">
        <w:rPr>
          <w:rFonts w:eastAsia="Calibri"/>
        </w:rPr>
        <w:t xml:space="preserve"> </w:t>
      </w:r>
      <w:r w:rsidR="00BC66F0">
        <w:rPr>
          <w:rFonts w:eastAsia="Calibri"/>
        </w:rPr>
        <w:t>PFS final</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sidR="00BC66F0">
        <w:rPr>
          <w:rFonts w:eastAsia="Calibri"/>
        </w:rPr>
        <w:t>implement</w:t>
      </w:r>
      <w:r w:rsidRPr="00CC2BFB">
        <w:rPr>
          <w:rFonts w:eastAsia="Calibri"/>
        </w:rPr>
        <w:t xml:space="preserve"> any new or revised collection of information requirements or burden for MIPS eligible clinicians resulting from the cost performance category</w:t>
      </w:r>
      <w:r w:rsidRPr="003428D4" w:rsidR="00537CEB">
        <w:rPr>
          <w:rFonts w:eastAsia="Calibri"/>
        </w:rPr>
        <w:t>.</w:t>
      </w:r>
    </w:p>
    <w:p w:rsidRPr="004330C9" w:rsidR="003065CD" w:rsidP="003D552B" w:rsidRDefault="003065CD" w14:paraId="5F3E5B0A" w14:textId="23D63440">
      <w:pPr>
        <w:pStyle w:val="Heading3"/>
      </w:pPr>
      <w:bookmarkStart w:name="_Hlk532899276" w:id="10"/>
      <w:r w:rsidRPr="004330C9">
        <w:t>Burden Estimate for Partial QP Elections</w:t>
      </w:r>
      <w:bookmarkEnd w:id="10"/>
    </w:p>
    <w:p w:rsidRPr="00C123DE" w:rsidR="00C123DE" w:rsidP="00E12B53" w:rsidRDefault="00C123DE" w14:paraId="5AE0EB5A" w14:textId="3E5C0348">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rsidR="007126F1" w:rsidP="00E12B53" w:rsidRDefault="00C123DE" w14:paraId="596877E3" w14:textId="50CBAE7A">
      <w:pPr>
        <w:rPr>
          <w:rFonts w:eastAsia="Calibri"/>
        </w:rPr>
      </w:pPr>
      <w:r w:rsidRPr="00C123DE">
        <w:rPr>
          <w:rFonts w:eastAsia="Calibri"/>
        </w:rPr>
        <w:lastRenderedPageBreak/>
        <w:t xml:space="preserve">As shown in </w:t>
      </w:r>
      <w:r w:rsidR="00C244E7">
        <w:rPr>
          <w:rFonts w:eastAsia="Calibri"/>
        </w:rPr>
        <w:t xml:space="preserve">Table </w:t>
      </w:r>
      <w:r w:rsidRPr="00C123DE">
        <w:rPr>
          <w:rFonts w:eastAsia="Calibri"/>
        </w:rPr>
        <w:t>2</w:t>
      </w:r>
      <w:r w:rsidR="00AC544D">
        <w:rPr>
          <w:rFonts w:eastAsia="Calibri"/>
        </w:rPr>
        <w:t>2</w:t>
      </w:r>
      <w:r w:rsidRPr="00C123DE">
        <w:rPr>
          <w:rFonts w:eastAsia="Calibri"/>
        </w:rPr>
        <w:t xml:space="preserve">, </w:t>
      </w:r>
      <w:r w:rsidRPr="00367710" w:rsidR="00367710">
        <w:rPr>
          <w:rFonts w:eastAsia="Calibri"/>
        </w:rPr>
        <w:t xml:space="preserve">based on historical response rates in </w:t>
      </w:r>
      <w:r w:rsidR="0092405B">
        <w:rPr>
          <w:rFonts w:eastAsia="Calibri"/>
        </w:rPr>
        <w:t>the CY</w:t>
      </w:r>
      <w:r w:rsidRPr="00367710" w:rsidR="00367710">
        <w:rPr>
          <w:rFonts w:eastAsia="Calibri"/>
        </w:rPr>
        <w:t xml:space="preserve"> 20</w:t>
      </w:r>
      <w:r w:rsidR="00965172">
        <w:rPr>
          <w:rFonts w:eastAsia="Calibri"/>
        </w:rPr>
        <w:t>2</w:t>
      </w:r>
      <w:r w:rsidR="00AC544D">
        <w:rPr>
          <w:rFonts w:eastAsia="Calibri"/>
        </w:rPr>
        <w:t>1</w:t>
      </w:r>
      <w:r w:rsidR="00965172">
        <w:rPr>
          <w:rFonts w:eastAsia="Calibri"/>
        </w:rPr>
        <w:t xml:space="preserve"> performance period/202</w:t>
      </w:r>
      <w:r w:rsidR="00AC544D">
        <w:rPr>
          <w:rFonts w:eastAsia="Calibri"/>
        </w:rPr>
        <w:t>3</w:t>
      </w:r>
      <w:r w:rsidR="00965172">
        <w:rPr>
          <w:rFonts w:eastAsia="Calibri"/>
        </w:rPr>
        <w:t xml:space="preserve"> MIPS payment year</w:t>
      </w:r>
      <w:r w:rsidRPr="00367710" w:rsidR="00367710">
        <w:rPr>
          <w:rFonts w:eastAsia="Calibri"/>
        </w:rPr>
        <w:t xml:space="preserve">, we estimate that </w:t>
      </w:r>
      <w:r w:rsidR="00AD1772">
        <w:rPr>
          <w:rFonts w:eastAsia="Calibri"/>
        </w:rPr>
        <w:t>a total of 2</w:t>
      </w:r>
      <w:r w:rsidR="00282152">
        <w:rPr>
          <w:rFonts w:eastAsia="Calibri"/>
        </w:rPr>
        <w:t>87</w:t>
      </w:r>
      <w:r w:rsidR="00AD1772">
        <w:rPr>
          <w:rFonts w:eastAsia="Calibri"/>
        </w:rPr>
        <w:t xml:space="preserve"> </w:t>
      </w:r>
      <w:r w:rsidR="004A5883">
        <w:rPr>
          <w:rFonts w:eastAsia="Calibri"/>
        </w:rPr>
        <w:t xml:space="preserve">respondents, </w:t>
      </w:r>
      <w:r w:rsidRPr="00367710" w:rsidR="00367710">
        <w:rPr>
          <w:rFonts w:eastAsia="Calibri"/>
        </w:rPr>
        <w:t>1</w:t>
      </w:r>
      <w:r w:rsidR="009B4F28">
        <w:rPr>
          <w:rFonts w:eastAsia="Calibri"/>
        </w:rPr>
        <w:t>5</w:t>
      </w:r>
      <w:r w:rsidR="000E4298">
        <w:rPr>
          <w:rFonts w:eastAsia="Calibri"/>
        </w:rPr>
        <w:t>6</w:t>
      </w:r>
      <w:r w:rsidRPr="00367710" w:rsidR="00367710">
        <w:rPr>
          <w:rFonts w:eastAsia="Calibri"/>
        </w:rPr>
        <w:t xml:space="preserve"> APM Entities and </w:t>
      </w:r>
      <w:r w:rsidR="009B4F28">
        <w:rPr>
          <w:rFonts w:eastAsia="Calibri"/>
        </w:rPr>
        <w:t>1</w:t>
      </w:r>
      <w:r w:rsidR="000E4298">
        <w:rPr>
          <w:rFonts w:eastAsia="Calibri"/>
        </w:rPr>
        <w:t>31 individual</w:t>
      </w:r>
      <w:r w:rsidRPr="00367710" w:rsidR="00367710">
        <w:rPr>
          <w:rFonts w:eastAsia="Calibri"/>
        </w:rPr>
        <w:t xml:space="preserve"> eligible clinicians (representing approximately </w:t>
      </w:r>
      <w:r w:rsidR="000E4298">
        <w:rPr>
          <w:rFonts w:eastAsia="Calibri"/>
        </w:rPr>
        <w:t>7,182</w:t>
      </w:r>
      <w:r w:rsidRPr="00367710" w:rsidR="00367710">
        <w:rPr>
          <w:rFonts w:eastAsia="Calibri"/>
        </w:rPr>
        <w:t xml:space="preserve"> Partial QPs) will make the election to participate as a Partial QP in MIPS</w:t>
      </w:r>
      <w:r w:rsidR="004A5883">
        <w:rPr>
          <w:rFonts w:eastAsia="Calibri"/>
        </w:rPr>
        <w:t>.</w:t>
      </w:r>
      <w:r w:rsidRPr="00367710" w:rsidR="00367710">
        <w:rPr>
          <w:rFonts w:eastAsia="Calibri"/>
        </w:rPr>
        <w:t xml:space="preserve"> We continue to estimate it will take the APM Entity representative or eligible clinician 15 minutes (0.25 </w:t>
      </w:r>
      <w:proofErr w:type="spellStart"/>
      <w:r w:rsidRPr="00367710" w:rsidR="00367710">
        <w:rPr>
          <w:rFonts w:eastAsia="Calibri"/>
        </w:rPr>
        <w:t>hr</w:t>
      </w:r>
      <w:proofErr w:type="spellEnd"/>
      <w:r w:rsidRPr="00367710" w:rsidR="00367710">
        <w:rPr>
          <w:rFonts w:eastAsia="Calibri"/>
        </w:rPr>
        <w:t xml:space="preserve">) to make this election.  In aggregate, we estimate an annual burden of </w:t>
      </w:r>
      <w:r w:rsidR="00FF33FE">
        <w:rPr>
          <w:rFonts w:eastAsia="Calibri"/>
        </w:rPr>
        <w:t>72</w:t>
      </w:r>
      <w:r w:rsidRPr="00367710" w:rsidR="00367710">
        <w:rPr>
          <w:rFonts w:eastAsia="Calibri"/>
        </w:rPr>
        <w:t xml:space="preserve"> hours (</w:t>
      </w:r>
      <w:r w:rsidR="00D9069E">
        <w:rPr>
          <w:rFonts w:eastAsia="Calibri"/>
        </w:rPr>
        <w:t>2</w:t>
      </w:r>
      <w:r w:rsidR="00FF33FE">
        <w:rPr>
          <w:rFonts w:eastAsia="Calibri"/>
        </w:rPr>
        <w:t>87</w:t>
      </w:r>
      <w:r w:rsidRPr="00367710" w:rsidR="00367710">
        <w:rPr>
          <w:rFonts w:eastAsia="Calibri"/>
        </w:rPr>
        <w:t xml:space="preserve"> respondents x 0.25 </w:t>
      </w:r>
      <w:proofErr w:type="spellStart"/>
      <w:r w:rsidRPr="00367710" w:rsidR="00367710">
        <w:rPr>
          <w:rFonts w:eastAsia="Calibri"/>
        </w:rPr>
        <w:t>hr</w:t>
      </w:r>
      <w:proofErr w:type="spellEnd"/>
      <w:r w:rsidRPr="00367710" w:rsidR="00367710">
        <w:rPr>
          <w:rFonts w:eastAsia="Calibri"/>
        </w:rPr>
        <w:t>/election) and $</w:t>
      </w:r>
      <w:r w:rsidR="00FF33FE">
        <w:rPr>
          <w:rFonts w:eastAsia="Calibri"/>
        </w:rPr>
        <w:t>7,076</w:t>
      </w:r>
      <w:r w:rsidRPr="00367710" w:rsidR="00367710">
        <w:rPr>
          <w:rFonts w:eastAsia="Calibri"/>
        </w:rPr>
        <w:t xml:space="preserve"> (</w:t>
      </w:r>
      <w:r w:rsidR="00FF33FE">
        <w:rPr>
          <w:rFonts w:eastAsia="Calibri"/>
        </w:rPr>
        <w:t>72</w:t>
      </w:r>
      <w:r w:rsidR="00B61847">
        <w:rPr>
          <w:rFonts w:eastAsia="Calibri"/>
        </w:rPr>
        <w:t xml:space="preserve"> </w:t>
      </w:r>
      <w:proofErr w:type="spellStart"/>
      <w:r w:rsidR="00B61847">
        <w:rPr>
          <w:rFonts w:eastAsia="Calibri"/>
        </w:rPr>
        <w:t>hr</w:t>
      </w:r>
      <w:r w:rsidR="00FF33FE">
        <w:rPr>
          <w:rFonts w:eastAsia="Calibri"/>
        </w:rPr>
        <w:t>s</w:t>
      </w:r>
      <w:proofErr w:type="spellEnd"/>
      <w:r w:rsidRPr="00367710" w:rsidR="00367710">
        <w:rPr>
          <w:rFonts w:eastAsia="Calibri"/>
        </w:rPr>
        <w:t xml:space="preserve"> x $9</w:t>
      </w:r>
      <w:r w:rsidR="00FF33FE">
        <w:rPr>
          <w:rFonts w:eastAsia="Calibri"/>
        </w:rPr>
        <w:t>8</w:t>
      </w:r>
      <w:r w:rsidR="00AA03D8">
        <w:rPr>
          <w:rFonts w:eastAsia="Calibri"/>
        </w:rPr>
        <w:t>.2</w:t>
      </w:r>
      <w:r w:rsidR="00FF33FE">
        <w:rPr>
          <w:rFonts w:eastAsia="Calibri"/>
        </w:rPr>
        <w:t>8</w:t>
      </w:r>
      <w:r w:rsidRPr="00367710" w:rsidR="00367710">
        <w:rPr>
          <w:rFonts w:eastAsia="Calibri"/>
        </w:rPr>
        <w:t>/</w:t>
      </w:r>
      <w:proofErr w:type="spellStart"/>
      <w:r w:rsidRPr="00367710" w:rsidR="00367710">
        <w:rPr>
          <w:rFonts w:eastAsia="Calibri"/>
        </w:rPr>
        <w:t>hr</w:t>
      </w:r>
      <w:proofErr w:type="spellEnd"/>
      <w:r w:rsidRPr="00367710" w:rsidR="00367710">
        <w:rPr>
          <w:rFonts w:eastAsia="Calibri"/>
        </w:rPr>
        <w:t>)</w:t>
      </w:r>
      <w:r w:rsidRPr="003366A8" w:rsidR="003366A8">
        <w:rPr>
          <w:rFonts w:eastAsia="Calibri"/>
        </w:rPr>
        <w:t>.</w:t>
      </w:r>
    </w:p>
    <w:p w:rsidRPr="00C47150" w:rsidR="003065CD" w:rsidP="00334306" w:rsidRDefault="003065CD" w14:paraId="2B396829" w14:textId="37FD957A">
      <w:pPr>
        <w:keepNext/>
        <w:keepLines/>
        <w:spacing w:after="0"/>
        <w:jc w:val="center"/>
        <w:rPr>
          <w:b/>
          <w:bCs/>
        </w:rPr>
      </w:pPr>
      <w:r w:rsidRPr="00C47150">
        <w:rPr>
          <w:b/>
          <w:bCs/>
        </w:rPr>
        <w:t xml:space="preserve">TABLE </w:t>
      </w:r>
      <w:r>
        <w:rPr>
          <w:b/>
          <w:bCs/>
        </w:rPr>
        <w:t>2</w:t>
      </w:r>
      <w:r w:rsidR="000439B5">
        <w:rPr>
          <w:b/>
          <w:bCs/>
        </w:rPr>
        <w:t>2</w:t>
      </w:r>
      <w:r w:rsidRPr="00C47150">
        <w:rPr>
          <w:b/>
          <w:bCs/>
        </w:rPr>
        <w:t xml:space="preserve">:  </w:t>
      </w:r>
      <w:r w:rsidR="00E117F8">
        <w:rPr>
          <w:b/>
          <w:bCs/>
        </w:rPr>
        <w:t>Estimated Burde</w:t>
      </w:r>
      <w:r w:rsidRPr="00C47150">
        <w:rPr>
          <w:b/>
          <w:bCs/>
        </w:rPr>
        <w:t>n for Partial QP Election</w:t>
      </w:r>
      <w:r w:rsidR="00A7669E">
        <w:rPr>
          <w:b/>
          <w:bCs/>
        </w:rPr>
        <w:t xml:space="preserve"> </w:t>
      </w:r>
    </w:p>
    <w:tbl>
      <w:tblPr>
        <w:tblW w:w="9000" w:type="dxa"/>
        <w:jc w:val="center"/>
        <w:tblLook w:val="04A0" w:firstRow="1" w:lastRow="0" w:firstColumn="1" w:lastColumn="0" w:noHBand="0" w:noVBand="1"/>
      </w:tblPr>
      <w:tblGrid>
        <w:gridCol w:w="7645"/>
        <w:gridCol w:w="1355"/>
      </w:tblGrid>
      <w:tr w:rsidRPr="00C47150" w:rsidR="003065CD" w:rsidTr="00E14418" w14:paraId="2FD7E97B" w14:textId="77777777">
        <w:trPr>
          <w:cantSplit/>
          <w:trHeight w:val="300"/>
          <w:tblHeader/>
          <w:jc w:val="center"/>
        </w:trPr>
        <w:tc>
          <w:tcPr>
            <w:tcW w:w="7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3065CD" w:rsidR="003065CD" w:rsidP="00334306" w:rsidRDefault="003065CD" w14:paraId="545DC1F0" w14:textId="71CC6F8E">
            <w:pPr>
              <w:keepNext/>
              <w:keepLines/>
              <w:spacing w:after="0"/>
              <w:rPr>
                <w:b/>
                <w:sz w:val="20"/>
                <w:szCs w:val="20"/>
              </w:rPr>
            </w:pPr>
            <w:r w:rsidRPr="003065CD">
              <w:rPr>
                <w:b/>
                <w:sz w:val="20"/>
                <w:szCs w:val="20"/>
              </w:rPr>
              <w:t> Burden and Respondent Descriptions</w:t>
            </w:r>
          </w:p>
        </w:tc>
        <w:tc>
          <w:tcPr>
            <w:tcW w:w="1355"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663B38" w:rsidR="003065CD" w:rsidP="00334306" w:rsidRDefault="003065CD" w14:paraId="2BE5F43F" w14:textId="77777777">
            <w:pPr>
              <w:keepNext/>
              <w:keepLines/>
              <w:spacing w:after="0"/>
              <w:jc w:val="center"/>
              <w:rPr>
                <w:b/>
                <w:sz w:val="20"/>
                <w:szCs w:val="20"/>
              </w:rPr>
            </w:pPr>
            <w:r w:rsidRPr="00663B38">
              <w:rPr>
                <w:b/>
                <w:sz w:val="20"/>
                <w:szCs w:val="20"/>
              </w:rPr>
              <w:t>Burden Estimate</w:t>
            </w:r>
          </w:p>
        </w:tc>
      </w:tr>
      <w:tr w:rsidRPr="00C47150" w:rsidR="003065CD" w:rsidTr="00E14418" w14:paraId="0C56470B" w14:textId="77777777">
        <w:trPr>
          <w:cantSplit/>
          <w:trHeight w:val="305"/>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tcPr>
          <w:p w:rsidRPr="00663B38" w:rsidR="003065CD" w:rsidP="00334306" w:rsidRDefault="003065CD" w14:paraId="0924F04C" w14:textId="2758FCC2">
            <w:pPr>
              <w:keepNext/>
              <w:keepLines/>
              <w:spacing w:after="0"/>
              <w:rPr>
                <w:sz w:val="20"/>
                <w:szCs w:val="20"/>
              </w:rPr>
            </w:pPr>
            <w:r>
              <w:rPr>
                <w:sz w:val="20"/>
                <w:szCs w:val="20"/>
              </w:rPr>
              <w:t># of respondents making Partial QP election (</w:t>
            </w:r>
            <w:r w:rsidR="00460137">
              <w:rPr>
                <w:sz w:val="20"/>
                <w:szCs w:val="20"/>
              </w:rPr>
              <w:t>1</w:t>
            </w:r>
            <w:r w:rsidR="00E84792">
              <w:rPr>
                <w:sz w:val="20"/>
                <w:szCs w:val="20"/>
              </w:rPr>
              <w:t>5</w:t>
            </w:r>
            <w:r w:rsidR="007F1C18">
              <w:rPr>
                <w:sz w:val="20"/>
                <w:szCs w:val="20"/>
              </w:rPr>
              <w:t>6</w:t>
            </w:r>
            <w:r>
              <w:rPr>
                <w:sz w:val="20"/>
                <w:szCs w:val="20"/>
              </w:rPr>
              <w:t xml:space="preserve"> APM Entities, </w:t>
            </w:r>
            <w:r w:rsidR="00460137">
              <w:rPr>
                <w:sz w:val="20"/>
                <w:szCs w:val="20"/>
              </w:rPr>
              <w:t>1</w:t>
            </w:r>
            <w:r w:rsidR="007F1C18">
              <w:rPr>
                <w:sz w:val="20"/>
                <w:szCs w:val="20"/>
              </w:rPr>
              <w:t>31</w:t>
            </w:r>
            <w:r>
              <w:rPr>
                <w:sz w:val="20"/>
                <w:szCs w:val="20"/>
              </w:rPr>
              <w:t xml:space="preserve"> eligible clinicians) (a)</w:t>
            </w:r>
          </w:p>
        </w:tc>
        <w:tc>
          <w:tcPr>
            <w:tcW w:w="1355" w:type="dxa"/>
            <w:tcBorders>
              <w:top w:val="nil"/>
              <w:left w:val="nil"/>
              <w:bottom w:val="single" w:color="000000" w:themeColor="text1" w:sz="4" w:space="0"/>
              <w:right w:val="single" w:color="000000" w:themeColor="text1" w:sz="4" w:space="0"/>
            </w:tcBorders>
            <w:shd w:val="clear" w:color="auto" w:fill="auto"/>
            <w:noWrap/>
            <w:vAlign w:val="bottom"/>
          </w:tcPr>
          <w:p w:rsidR="003065CD" w:rsidP="00334306" w:rsidRDefault="00A04864" w14:paraId="69235A90" w14:textId="1BE562E3">
            <w:pPr>
              <w:keepNext/>
              <w:keepLines/>
              <w:spacing w:after="0"/>
              <w:rPr>
                <w:sz w:val="20"/>
                <w:szCs w:val="20"/>
              </w:rPr>
            </w:pPr>
            <w:r>
              <w:rPr>
                <w:sz w:val="20"/>
                <w:szCs w:val="20"/>
              </w:rPr>
              <w:t>2</w:t>
            </w:r>
            <w:r w:rsidR="007F1C18">
              <w:rPr>
                <w:sz w:val="20"/>
                <w:szCs w:val="20"/>
              </w:rPr>
              <w:t>87</w:t>
            </w:r>
          </w:p>
        </w:tc>
      </w:tr>
      <w:tr w:rsidRPr="00C47150" w:rsidR="003065CD" w:rsidTr="00E14418" w14:paraId="60D5ED99" w14:textId="77777777">
        <w:trPr>
          <w:cantSplit/>
          <w:trHeight w:val="305"/>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55" w:type="dxa"/>
            <w:tcBorders>
              <w:top w:val="nil"/>
              <w:left w:val="nil"/>
              <w:bottom w:val="single" w:color="000000" w:themeColor="text1" w:sz="4" w:space="0"/>
              <w:right w:val="single" w:color="000000" w:themeColor="text1" w:sz="4" w:space="0"/>
            </w:tcBorders>
            <w:shd w:val="clear" w:color="auto" w:fill="auto"/>
            <w:noWrap/>
            <w:vAlign w:val="bottom"/>
            <w:hideMark/>
          </w:tcPr>
          <w:p w:rsidRPr="00663B38" w:rsidR="003065CD" w:rsidP="00A639D4" w:rsidRDefault="003065CD" w14:paraId="6C0A43BF" w14:textId="6E045899">
            <w:pPr>
              <w:spacing w:after="0"/>
              <w:rPr>
                <w:sz w:val="20"/>
                <w:szCs w:val="20"/>
              </w:rPr>
            </w:pPr>
            <w:r>
              <w:rPr>
                <w:sz w:val="20"/>
                <w:szCs w:val="20"/>
              </w:rPr>
              <w:t>0.25</w:t>
            </w:r>
          </w:p>
        </w:tc>
      </w:tr>
      <w:tr w:rsidRPr="00C47150" w:rsidR="003065CD" w:rsidTr="00E14418" w14:paraId="17F6D61C" w14:textId="77777777">
        <w:trPr>
          <w:cantSplit/>
          <w:trHeight w:val="260"/>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EB040E" w:rsidR="003065CD" w:rsidP="00A639D4" w:rsidRDefault="003065CD" w14:paraId="0A08E020" w14:textId="021C40E7">
            <w:pPr>
              <w:spacing w:after="0"/>
              <w:rPr>
                <w:b/>
                <w:sz w:val="20"/>
                <w:szCs w:val="20"/>
              </w:rPr>
            </w:pPr>
            <w:r w:rsidRPr="00EB040E">
              <w:rPr>
                <w:b/>
                <w:sz w:val="20"/>
                <w:szCs w:val="20"/>
              </w:rPr>
              <w:t>Total Annual Hours (c) = (a)</w:t>
            </w:r>
            <w:r w:rsidR="00D96441">
              <w:rPr>
                <w:b/>
                <w:sz w:val="20"/>
                <w:szCs w:val="20"/>
              </w:rPr>
              <w:t xml:space="preserve"> </w:t>
            </w:r>
            <w:r w:rsidRPr="00EB040E">
              <w:rPr>
                <w:b/>
                <w:sz w:val="20"/>
                <w:szCs w:val="20"/>
              </w:rPr>
              <w:t>*</w:t>
            </w:r>
            <w:r w:rsidR="00D96441">
              <w:rPr>
                <w:b/>
                <w:sz w:val="20"/>
                <w:szCs w:val="20"/>
              </w:rPr>
              <w:t xml:space="preserve"> </w:t>
            </w:r>
            <w:r w:rsidRPr="00EB040E">
              <w:rPr>
                <w:b/>
                <w:sz w:val="20"/>
                <w:szCs w:val="20"/>
              </w:rPr>
              <w:t>(b)</w:t>
            </w:r>
          </w:p>
        </w:tc>
        <w:tc>
          <w:tcPr>
            <w:tcW w:w="135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tcPr>
          <w:p w:rsidRPr="00EB040E" w:rsidR="003065CD" w:rsidP="00A639D4" w:rsidRDefault="007F1C18" w14:paraId="118AE16D" w14:textId="4A0F7216">
            <w:pPr>
              <w:spacing w:after="0"/>
              <w:rPr>
                <w:b/>
                <w:sz w:val="20"/>
                <w:szCs w:val="20"/>
              </w:rPr>
            </w:pPr>
            <w:r>
              <w:rPr>
                <w:b/>
                <w:sz w:val="20"/>
                <w:szCs w:val="20"/>
              </w:rPr>
              <w:t>72</w:t>
            </w:r>
          </w:p>
        </w:tc>
      </w:tr>
      <w:tr w:rsidRPr="00C47150" w:rsidR="003065CD" w:rsidTr="00E14418" w14:paraId="0031FD71" w14:textId="77777777">
        <w:trPr>
          <w:cantSplit/>
          <w:trHeight w:val="260"/>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7380BCE5" w14:textId="77777777">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55" w:type="dxa"/>
            <w:tcBorders>
              <w:top w:val="nil"/>
              <w:left w:val="nil"/>
              <w:bottom w:val="single" w:color="000000" w:themeColor="text1" w:sz="4" w:space="0"/>
              <w:right w:val="single" w:color="000000" w:themeColor="text1" w:sz="4" w:space="0"/>
            </w:tcBorders>
            <w:shd w:val="clear" w:color="auto" w:fill="auto"/>
            <w:vAlign w:val="center"/>
            <w:hideMark/>
          </w:tcPr>
          <w:p w:rsidRPr="00663B38" w:rsidR="003065CD" w:rsidP="00A639D4" w:rsidRDefault="003065CD" w14:paraId="2CDB9D65" w14:textId="6F294330">
            <w:pPr>
              <w:spacing w:after="0"/>
              <w:rPr>
                <w:sz w:val="20"/>
                <w:szCs w:val="20"/>
              </w:rPr>
            </w:pPr>
            <w:r w:rsidRPr="00732012">
              <w:rPr>
                <w:sz w:val="20"/>
                <w:szCs w:val="20"/>
              </w:rPr>
              <w:t>$</w:t>
            </w:r>
            <w:r w:rsidR="003366A8">
              <w:rPr>
                <w:sz w:val="20"/>
                <w:szCs w:val="20"/>
              </w:rPr>
              <w:t>9</w:t>
            </w:r>
            <w:r w:rsidR="007F1C18">
              <w:rPr>
                <w:sz w:val="20"/>
                <w:szCs w:val="20"/>
              </w:rPr>
              <w:t>8</w:t>
            </w:r>
            <w:r w:rsidR="00125CE1">
              <w:rPr>
                <w:sz w:val="20"/>
                <w:szCs w:val="20"/>
              </w:rPr>
              <w:t>.2</w:t>
            </w:r>
            <w:r w:rsidR="007F1C18">
              <w:rPr>
                <w:sz w:val="20"/>
                <w:szCs w:val="20"/>
              </w:rPr>
              <w:t>8</w:t>
            </w:r>
            <w:r w:rsidRPr="00732012">
              <w:rPr>
                <w:sz w:val="20"/>
                <w:szCs w:val="20"/>
              </w:rPr>
              <w:t>/</w:t>
            </w:r>
            <w:proofErr w:type="spellStart"/>
            <w:r w:rsidR="00EB040E">
              <w:rPr>
                <w:sz w:val="20"/>
                <w:szCs w:val="20"/>
              </w:rPr>
              <w:t>hr</w:t>
            </w:r>
            <w:proofErr w:type="spellEnd"/>
          </w:p>
        </w:tc>
      </w:tr>
      <w:tr w:rsidRPr="00C47150" w:rsidR="003065CD" w:rsidTr="00E14418" w14:paraId="765FCFB9" w14:textId="77777777">
        <w:trPr>
          <w:cantSplit/>
          <w:trHeight w:val="278"/>
          <w:jc w:val="center"/>
        </w:trPr>
        <w:tc>
          <w:tcPr>
            <w:tcW w:w="764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EB040E" w:rsidR="003065CD" w:rsidP="00A639D4" w:rsidRDefault="003065CD" w14:paraId="18D4920C" w14:textId="44A6C288">
            <w:pPr>
              <w:spacing w:after="0"/>
              <w:rPr>
                <w:b/>
                <w:sz w:val="20"/>
                <w:szCs w:val="20"/>
              </w:rPr>
            </w:pPr>
            <w:r w:rsidRPr="00EB040E">
              <w:rPr>
                <w:b/>
                <w:sz w:val="20"/>
                <w:szCs w:val="20"/>
              </w:rPr>
              <w:t>Total Annual Cost (</w:t>
            </w:r>
            <w:r w:rsidR="00CF2515">
              <w:rPr>
                <w:b/>
                <w:sz w:val="20"/>
                <w:szCs w:val="20"/>
              </w:rPr>
              <w:t>e</w:t>
            </w:r>
            <w:r w:rsidRPr="00EB040E">
              <w:rPr>
                <w:b/>
                <w:sz w:val="20"/>
                <w:szCs w:val="20"/>
              </w:rPr>
              <w:t>) = (c)</w:t>
            </w:r>
            <w:r w:rsidR="00D96441">
              <w:rPr>
                <w:b/>
                <w:sz w:val="20"/>
                <w:szCs w:val="20"/>
              </w:rPr>
              <w:t xml:space="preserve"> </w:t>
            </w:r>
            <w:r w:rsidRPr="00EB040E">
              <w:rPr>
                <w:b/>
                <w:sz w:val="20"/>
                <w:szCs w:val="20"/>
              </w:rPr>
              <w:t>*</w:t>
            </w:r>
            <w:r w:rsidR="00D96441">
              <w:rPr>
                <w:b/>
                <w:sz w:val="20"/>
                <w:szCs w:val="20"/>
              </w:rPr>
              <w:t xml:space="preserve"> </w:t>
            </w:r>
            <w:r w:rsidRPr="00EB040E">
              <w:rPr>
                <w:b/>
                <w:sz w:val="20"/>
                <w:szCs w:val="20"/>
              </w:rPr>
              <w:t>(d)</w:t>
            </w:r>
          </w:p>
        </w:tc>
        <w:tc>
          <w:tcPr>
            <w:tcW w:w="135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hideMark/>
          </w:tcPr>
          <w:p w:rsidRPr="00EB040E" w:rsidR="003065CD" w:rsidP="00A639D4" w:rsidRDefault="003065CD" w14:paraId="2DF3A077" w14:textId="2AF714D4">
            <w:pPr>
              <w:spacing w:after="0"/>
              <w:rPr>
                <w:b/>
                <w:sz w:val="20"/>
                <w:szCs w:val="20"/>
              </w:rPr>
            </w:pPr>
            <w:r w:rsidRPr="00EB040E">
              <w:rPr>
                <w:b/>
                <w:sz w:val="20"/>
                <w:szCs w:val="20"/>
              </w:rPr>
              <w:t>$</w:t>
            </w:r>
            <w:r w:rsidR="007F1C18">
              <w:rPr>
                <w:b/>
                <w:sz w:val="20"/>
                <w:szCs w:val="20"/>
              </w:rPr>
              <w:t>7,076</w:t>
            </w:r>
          </w:p>
        </w:tc>
      </w:tr>
    </w:tbl>
    <w:p w:rsidR="001D6295" w:rsidP="00CF538E" w:rsidRDefault="001D6295" w14:paraId="49EC0E33" w14:textId="77777777">
      <w:bookmarkStart w:name="_Hlk532899285" w:id="11"/>
    </w:p>
    <w:p w:rsidRPr="004330C9" w:rsidR="0088351C" w:rsidP="003D552B" w:rsidRDefault="0088351C" w14:paraId="52657B27" w14:textId="6E86F183">
      <w:pPr>
        <w:pStyle w:val="Heading3"/>
      </w:pPr>
      <w:r w:rsidRPr="004330C9">
        <w:t>Burden Estimate for Other-Payer Advanced APM Determinations</w:t>
      </w:r>
      <w:bookmarkEnd w:id="11"/>
    </w:p>
    <w:p w:rsidRPr="004330C9" w:rsidR="0088351C" w:rsidP="00A46175" w:rsidRDefault="000E6A3F" w14:paraId="256D9611" w14:textId="641F08C8">
      <w:pPr>
        <w:pStyle w:val="Heading4"/>
        <w:numPr>
          <w:ilvl w:val="0"/>
          <w:numId w:val="20"/>
        </w:numPr>
      </w:pPr>
      <w:r>
        <w:t xml:space="preserve">   </w:t>
      </w:r>
      <w:r w:rsidRPr="004330C9" w:rsidR="0088351C">
        <w:t>Payer-Initiated Process</w:t>
      </w:r>
    </w:p>
    <w:p w:rsidR="005709D0" w:rsidP="005709D0" w:rsidRDefault="00623040" w14:paraId="0E6C8E61" w14:textId="27894601">
      <w:pPr>
        <w:rPr>
          <w:rFonts w:eastAsia="Calibri"/>
        </w:rPr>
      </w:pPr>
      <w:r>
        <w:rPr>
          <w:rFonts w:eastAsia="Calibri"/>
        </w:rPr>
        <w:t>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rsidRDefault="00AA3126" w14:paraId="72E0FBBD" w14:textId="132A1A8C">
      <w:pPr>
        <w:rPr>
          <w:rFonts w:eastAsia="Calibri"/>
        </w:rPr>
      </w:pPr>
      <w:r w:rsidRPr="00AA3126">
        <w:rPr>
          <w:rFonts w:eastAsia="Calibri"/>
        </w:rPr>
        <w:t xml:space="preserve">As shown in Table </w:t>
      </w:r>
      <w:r w:rsidR="00623040">
        <w:rPr>
          <w:rFonts w:eastAsia="Calibri"/>
        </w:rPr>
        <w:t>2</w:t>
      </w:r>
      <w:r w:rsidR="00A76FBA">
        <w:rPr>
          <w:rFonts w:eastAsia="Calibri"/>
        </w:rPr>
        <w:t>3</w:t>
      </w:r>
      <w:r w:rsidRPr="00AA3126">
        <w:rPr>
          <w:rFonts w:eastAsia="Calibri"/>
        </w:rPr>
        <w:t xml:space="preserve">, </w:t>
      </w:r>
      <w:r w:rsidRPr="00367710" w:rsidR="00367710">
        <w:rPr>
          <w:rFonts w:eastAsia="Calibri"/>
        </w:rPr>
        <w:t>based on the actual number of requests received</w:t>
      </w:r>
      <w:r w:rsidR="00AD7059">
        <w:rPr>
          <w:rFonts w:eastAsia="Calibri"/>
        </w:rPr>
        <w:t xml:space="preserve"> for</w:t>
      </w:r>
      <w:r w:rsidRPr="00367710" w:rsidR="00367710">
        <w:rPr>
          <w:rFonts w:eastAsia="Calibri"/>
        </w:rPr>
        <w:t xml:space="preserve"> in the 20</w:t>
      </w:r>
      <w:r w:rsidR="0037695D">
        <w:rPr>
          <w:rFonts w:eastAsia="Calibri"/>
        </w:rPr>
        <w:t>2</w:t>
      </w:r>
      <w:r w:rsidR="0018273C">
        <w:rPr>
          <w:rFonts w:eastAsia="Calibri"/>
        </w:rPr>
        <w:t>1</w:t>
      </w:r>
      <w:r w:rsidRPr="00367710" w:rsidR="00367710">
        <w:rPr>
          <w:rFonts w:eastAsia="Calibri"/>
        </w:rPr>
        <w:t xml:space="preserve"> QP performance period, we</w:t>
      </w:r>
      <w:r w:rsidR="00456652">
        <w:rPr>
          <w:rFonts w:eastAsia="Calibri"/>
        </w:rPr>
        <w:t xml:space="preserve"> </w:t>
      </w:r>
      <w:r w:rsidR="0018273C">
        <w:rPr>
          <w:rFonts w:eastAsia="Calibri"/>
        </w:rPr>
        <w:t>continue to</w:t>
      </w:r>
      <w:r w:rsidRPr="00367710" w:rsidR="00367710">
        <w:rPr>
          <w:rFonts w:eastAsia="Calibri"/>
        </w:rPr>
        <w:t xml:space="preserve"> estimate that </w:t>
      </w:r>
      <w:r w:rsidR="00B17F5E">
        <w:rPr>
          <w:rFonts w:eastAsia="Calibri"/>
        </w:rPr>
        <w:t>for the 202</w:t>
      </w:r>
      <w:r w:rsidR="00C6478A">
        <w:rPr>
          <w:rFonts w:eastAsia="Calibri"/>
        </w:rPr>
        <w:t>3</w:t>
      </w:r>
      <w:r w:rsidRPr="00367710" w:rsidR="00367710">
        <w:rPr>
          <w:rFonts w:eastAsia="Calibri"/>
        </w:rPr>
        <w:t xml:space="preserve"> QP performance period</w:t>
      </w:r>
      <w:r w:rsidR="00AF2F81">
        <w:rPr>
          <w:rFonts w:eastAsia="Calibri"/>
        </w:rPr>
        <w:t>,</w:t>
      </w:r>
      <w:r w:rsidRPr="00367710" w:rsidR="00367710">
        <w:rPr>
          <w:rFonts w:eastAsia="Calibri"/>
        </w:rPr>
        <w:t xml:space="preserve"> </w:t>
      </w:r>
      <w:r w:rsidR="00AF2F81">
        <w:rPr>
          <w:rFonts w:eastAsia="Calibri"/>
        </w:rPr>
        <w:t>15</w:t>
      </w:r>
      <w:r w:rsidRPr="00367710" w:rsidR="00367710">
        <w:rPr>
          <w:rFonts w:eastAsia="Calibri"/>
        </w:rPr>
        <w:t xml:space="preserve"> payer-initiated requests for Other Payer Advanced APM determinations will be submitted (</w:t>
      </w:r>
      <w:r w:rsidR="00500E9A">
        <w:rPr>
          <w:rFonts w:eastAsia="Calibri"/>
        </w:rPr>
        <w:t xml:space="preserve">6 </w:t>
      </w:r>
      <w:r w:rsidRPr="00367710" w:rsidR="00367710">
        <w:rPr>
          <w:rFonts w:eastAsia="Calibri"/>
        </w:rPr>
        <w:t xml:space="preserve">Medicaid payers, </w:t>
      </w:r>
      <w:r w:rsidR="00CC3608">
        <w:rPr>
          <w:rFonts w:eastAsia="Calibri"/>
        </w:rPr>
        <w:t>6</w:t>
      </w:r>
      <w:r w:rsidRPr="00367710" w:rsidR="00367710">
        <w:rPr>
          <w:rFonts w:eastAsia="Calibri"/>
        </w:rPr>
        <w:t xml:space="preserve"> Medicare Advantage Organizations, and </w:t>
      </w:r>
      <w:r w:rsidR="00CC3608">
        <w:rPr>
          <w:rFonts w:eastAsia="Calibri"/>
        </w:rPr>
        <w:t>3</w:t>
      </w:r>
      <w:r w:rsidRPr="00367710" w:rsidR="00367710">
        <w:rPr>
          <w:rFonts w:eastAsia="Calibri"/>
        </w:rPr>
        <w:t xml:space="preserve"> remaining other payers.  We continue to estimate it will take 10 hours for a computer system analyst per arrangement submission.  </w:t>
      </w:r>
      <w:r w:rsidR="005D2534">
        <w:rPr>
          <w:rFonts w:eastAsia="Calibri"/>
        </w:rPr>
        <w:t>In aggregate, w</w:t>
      </w:r>
      <w:r w:rsidRPr="00367710" w:rsidR="00367710">
        <w:rPr>
          <w:rFonts w:eastAsia="Calibri"/>
        </w:rPr>
        <w:t xml:space="preserve">e estimate an annual burden of </w:t>
      </w:r>
      <w:r w:rsidR="00702F4A">
        <w:rPr>
          <w:rFonts w:eastAsia="Calibri"/>
        </w:rPr>
        <w:t>150</w:t>
      </w:r>
      <w:r w:rsidRPr="00367710" w:rsidR="00367710">
        <w:rPr>
          <w:rFonts w:eastAsia="Calibri"/>
        </w:rPr>
        <w:t xml:space="preserve"> hours (</w:t>
      </w:r>
      <w:r w:rsidR="00485231">
        <w:rPr>
          <w:rFonts w:eastAsia="Calibri"/>
        </w:rPr>
        <w:t>15</w:t>
      </w:r>
      <w:r w:rsidRPr="00367710" w:rsidR="00367710">
        <w:rPr>
          <w:rFonts w:eastAsia="Calibri"/>
        </w:rPr>
        <w:t xml:space="preserve"> submissions x 10 </w:t>
      </w:r>
      <w:proofErr w:type="spellStart"/>
      <w:r w:rsidRPr="00367710" w:rsidR="00367710">
        <w:rPr>
          <w:rFonts w:eastAsia="Calibri"/>
        </w:rPr>
        <w:t>hr</w:t>
      </w:r>
      <w:proofErr w:type="spellEnd"/>
      <w:r w:rsidRPr="00367710" w:rsidR="00367710">
        <w:rPr>
          <w:rFonts w:eastAsia="Calibri"/>
        </w:rPr>
        <w:t>/submission) and $</w:t>
      </w:r>
      <w:r w:rsidR="00860598">
        <w:rPr>
          <w:rFonts w:eastAsia="Calibri"/>
        </w:rPr>
        <w:t>14,</w:t>
      </w:r>
      <w:r w:rsidR="00A44846">
        <w:rPr>
          <w:rFonts w:eastAsia="Calibri"/>
        </w:rPr>
        <w:t>742</w:t>
      </w:r>
      <w:r w:rsidRPr="00367710" w:rsidR="00367710">
        <w:rPr>
          <w:rFonts w:eastAsia="Calibri"/>
        </w:rPr>
        <w:t xml:space="preserve"> (</w:t>
      </w:r>
      <w:r w:rsidR="000B400C">
        <w:rPr>
          <w:rFonts w:eastAsia="Calibri"/>
        </w:rPr>
        <w:t>150</w:t>
      </w:r>
      <w:r w:rsidRPr="00367710" w:rsidR="00367710">
        <w:rPr>
          <w:rFonts w:eastAsia="Calibri"/>
        </w:rPr>
        <w:t xml:space="preserve"> </w:t>
      </w:r>
      <w:proofErr w:type="spellStart"/>
      <w:r w:rsidRPr="00367710" w:rsidR="00367710">
        <w:rPr>
          <w:rFonts w:eastAsia="Calibri"/>
        </w:rPr>
        <w:t>hr</w:t>
      </w:r>
      <w:proofErr w:type="spellEnd"/>
      <w:r w:rsidRPr="00367710" w:rsidR="00367710">
        <w:rPr>
          <w:rFonts w:eastAsia="Calibri"/>
        </w:rPr>
        <w:t xml:space="preserve"> x $9</w:t>
      </w:r>
      <w:r w:rsidR="00EA3825">
        <w:rPr>
          <w:rFonts w:eastAsia="Calibri"/>
        </w:rPr>
        <w:t>8</w:t>
      </w:r>
      <w:r w:rsidR="000B400C">
        <w:rPr>
          <w:rFonts w:eastAsia="Calibri"/>
        </w:rPr>
        <w:t>.2</w:t>
      </w:r>
      <w:r w:rsidR="00EA3825">
        <w:rPr>
          <w:rFonts w:eastAsia="Calibri"/>
        </w:rPr>
        <w:t>8</w:t>
      </w:r>
      <w:r w:rsidRPr="00367710" w:rsidR="00367710">
        <w:rPr>
          <w:rFonts w:eastAsia="Calibri"/>
        </w:rPr>
        <w:t>/</w:t>
      </w:r>
      <w:proofErr w:type="spellStart"/>
      <w:r w:rsidRPr="00367710" w:rsidR="00367710">
        <w:rPr>
          <w:rFonts w:eastAsia="Calibri"/>
        </w:rPr>
        <w:t>hr</w:t>
      </w:r>
      <w:proofErr w:type="spellEnd"/>
      <w:r w:rsidRPr="00367710" w:rsidR="00367710">
        <w:rPr>
          <w:rFonts w:eastAsia="Calibri"/>
        </w:rPr>
        <w:t>)</w:t>
      </w:r>
      <w:r w:rsidR="005D2534">
        <w:rPr>
          <w:rFonts w:eastAsia="Calibri"/>
        </w:rPr>
        <w:t xml:space="preserve"> for the CY 2023 performance period/2025 MIPS payment year</w:t>
      </w:r>
      <w:r w:rsidRPr="00092667" w:rsidR="00092667">
        <w:rPr>
          <w:rFonts w:eastAsia="Calibri"/>
        </w:rPr>
        <w:t>.</w:t>
      </w:r>
    </w:p>
    <w:p w:rsidRPr="00FA44B2" w:rsidR="0088351C" w:rsidP="00130C05" w:rsidRDefault="0088351C" w14:paraId="3F33F031" w14:textId="474B6E7C">
      <w:pPr>
        <w:keepNext/>
        <w:keepLines/>
        <w:spacing w:after="0"/>
        <w:jc w:val="center"/>
        <w:rPr>
          <w:b/>
          <w:bCs/>
        </w:rPr>
      </w:pPr>
      <w:bookmarkStart w:name="_Hlk495401649" w:id="12"/>
      <w:r w:rsidRPr="00FA44B2">
        <w:rPr>
          <w:b/>
          <w:bCs/>
        </w:rPr>
        <w:t xml:space="preserve">TABLE </w:t>
      </w:r>
      <w:r w:rsidRPr="00FA44B2" w:rsidR="00D04CE7">
        <w:rPr>
          <w:b/>
          <w:bCs/>
        </w:rPr>
        <w:t>2</w:t>
      </w:r>
      <w:r w:rsidRPr="00FA44B2" w:rsidR="00A76FBA">
        <w:rPr>
          <w:b/>
          <w:bCs/>
        </w:rPr>
        <w:t>3</w:t>
      </w:r>
      <w:r w:rsidRPr="00FA44B2">
        <w:rPr>
          <w:b/>
          <w:bCs/>
        </w:rPr>
        <w:t xml:space="preserve">: </w:t>
      </w:r>
      <w:r w:rsidRPr="00FA44B2" w:rsidR="00E117F8">
        <w:rPr>
          <w:b/>
          <w:bCs/>
        </w:rPr>
        <w:t xml:space="preserve">Estimated </w:t>
      </w:r>
      <w:r w:rsidRPr="00FA44B2">
        <w:rPr>
          <w:b/>
          <w:bCs/>
        </w:rPr>
        <w:t>Burden for Other Payer Advanced APM Identification Determinations: Payer-Initiated Process</w:t>
      </w:r>
      <w:bookmarkEnd w:id="12"/>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4"/>
        <w:gridCol w:w="2216"/>
      </w:tblGrid>
      <w:tr w:rsidRPr="00C47150" w:rsidR="0088351C" w:rsidTr="00A639D4" w14:paraId="3E8FE68D" w14:textId="77777777">
        <w:trPr>
          <w:trHeight w:val="322"/>
        </w:trPr>
        <w:tc>
          <w:tcPr>
            <w:tcW w:w="7314" w:type="dxa"/>
            <w:shd w:val="clear" w:color="auto" w:fill="auto"/>
            <w:vAlign w:val="center"/>
            <w:hideMark/>
          </w:tcPr>
          <w:p w:rsidRPr="0088351C" w:rsidR="0088351C" w:rsidP="00A639D4" w:rsidRDefault="0088351C"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Pr="00663B38" w:rsidR="0088351C" w:rsidP="00A639D4" w:rsidRDefault="0088351C" w14:paraId="798D58AD" w14:textId="77777777">
            <w:pPr>
              <w:keepNext/>
              <w:spacing w:after="0"/>
              <w:rPr>
                <w:b/>
                <w:sz w:val="20"/>
                <w:szCs w:val="20"/>
              </w:rPr>
            </w:pPr>
            <w:r w:rsidRPr="00663B38">
              <w:rPr>
                <w:b/>
                <w:sz w:val="20"/>
                <w:szCs w:val="20"/>
              </w:rPr>
              <w:t>Burden Estimate</w:t>
            </w:r>
          </w:p>
        </w:tc>
      </w:tr>
      <w:tr w:rsidRPr="00C47150" w:rsidR="007126F1" w:rsidTr="0053664A" w14:paraId="0FE28ACE" w14:textId="77777777">
        <w:trPr>
          <w:trHeight w:val="467"/>
        </w:trPr>
        <w:tc>
          <w:tcPr>
            <w:tcW w:w="7314" w:type="dxa"/>
            <w:shd w:val="clear" w:color="auto" w:fill="auto"/>
            <w:hideMark/>
          </w:tcPr>
          <w:p w:rsidRPr="00663B38" w:rsidR="007126F1" w:rsidP="007126F1" w:rsidRDefault="007126F1" w14:paraId="318C72E2" w14:textId="4FA37E46">
            <w:pPr>
              <w:keepNext/>
              <w:spacing w:after="0"/>
              <w:rPr>
                <w:sz w:val="20"/>
                <w:szCs w:val="20"/>
              </w:rPr>
            </w:pPr>
            <w:r w:rsidRPr="00732012">
              <w:rPr>
                <w:sz w:val="20"/>
                <w:szCs w:val="20"/>
              </w:rPr>
              <w:t># of other payer payment arrangements (</w:t>
            </w:r>
            <w:r w:rsidR="00EC4741">
              <w:rPr>
                <w:sz w:val="20"/>
                <w:szCs w:val="20"/>
              </w:rPr>
              <w:t>6</w:t>
            </w:r>
            <w:r w:rsidRPr="00732012">
              <w:rPr>
                <w:sz w:val="20"/>
                <w:szCs w:val="20"/>
              </w:rPr>
              <w:t xml:space="preserve"> Medicaid, </w:t>
            </w:r>
            <w:r w:rsidR="00EC4741">
              <w:rPr>
                <w:sz w:val="20"/>
                <w:szCs w:val="20"/>
              </w:rPr>
              <w:t>6</w:t>
            </w:r>
            <w:r w:rsidRPr="00732012">
              <w:rPr>
                <w:sz w:val="20"/>
                <w:szCs w:val="20"/>
              </w:rPr>
              <w:t xml:space="preserve"> Medicare Advantage Organization</w:t>
            </w:r>
            <w:r>
              <w:rPr>
                <w:sz w:val="20"/>
                <w:szCs w:val="20"/>
              </w:rPr>
              <w:t xml:space="preserve">s, </w:t>
            </w:r>
            <w:r w:rsidR="00EC4741">
              <w:rPr>
                <w:sz w:val="20"/>
                <w:szCs w:val="20"/>
              </w:rPr>
              <w:t>3</w:t>
            </w:r>
            <w:r w:rsidRPr="00732012">
              <w:rPr>
                <w:sz w:val="20"/>
                <w:szCs w:val="20"/>
              </w:rPr>
              <w:t xml:space="preserve"> </w:t>
            </w:r>
            <w:r>
              <w:rPr>
                <w:sz w:val="20"/>
                <w:szCs w:val="20"/>
              </w:rPr>
              <w:t xml:space="preserve">remaining other </w:t>
            </w:r>
            <w:r w:rsidRPr="00732012">
              <w:rPr>
                <w:sz w:val="20"/>
                <w:szCs w:val="20"/>
              </w:rPr>
              <w:t>payers) (a)</w:t>
            </w:r>
          </w:p>
        </w:tc>
        <w:tc>
          <w:tcPr>
            <w:tcW w:w="2216" w:type="dxa"/>
            <w:shd w:val="clear" w:color="auto" w:fill="auto"/>
            <w:vAlign w:val="center"/>
            <w:hideMark/>
          </w:tcPr>
          <w:p w:rsidRPr="00663B38" w:rsidR="007126F1" w:rsidP="007126F1" w:rsidRDefault="00FF466F" w14:paraId="742022C3" w14:textId="4E303313">
            <w:pPr>
              <w:keepNext/>
              <w:spacing w:after="0"/>
              <w:rPr>
                <w:sz w:val="20"/>
                <w:szCs w:val="20"/>
              </w:rPr>
            </w:pPr>
            <w:r>
              <w:rPr>
                <w:sz w:val="20"/>
                <w:szCs w:val="20"/>
              </w:rPr>
              <w:t>15</w:t>
            </w:r>
          </w:p>
        </w:tc>
      </w:tr>
      <w:tr w:rsidRPr="00C47150" w:rsidR="007126F1" w:rsidTr="00390730" w14:paraId="6207A667" w14:textId="77777777">
        <w:trPr>
          <w:trHeight w:val="324"/>
        </w:trPr>
        <w:tc>
          <w:tcPr>
            <w:tcW w:w="7314" w:type="dxa"/>
            <w:shd w:val="clear" w:color="auto" w:fill="auto"/>
            <w:hideMark/>
          </w:tcPr>
          <w:p w:rsidRPr="00663B38" w:rsidR="007126F1" w:rsidP="007126F1" w:rsidRDefault="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Pr="00663B38" w:rsidR="007126F1" w:rsidP="007126F1" w:rsidRDefault="007126F1" w14:paraId="1F3F7F69" w14:textId="11341CE1">
            <w:pPr>
              <w:keepNext/>
              <w:spacing w:after="0"/>
              <w:rPr>
                <w:sz w:val="20"/>
                <w:szCs w:val="20"/>
              </w:rPr>
            </w:pPr>
            <w:r w:rsidRPr="003428D4">
              <w:rPr>
                <w:rFonts w:eastAsia="Calibri"/>
                <w:sz w:val="20"/>
                <w:szCs w:val="20"/>
              </w:rPr>
              <w:t>10</w:t>
            </w:r>
          </w:p>
        </w:tc>
      </w:tr>
      <w:tr w:rsidRPr="00C47150" w:rsidR="007126F1" w:rsidTr="00390730" w14:paraId="7DD61484" w14:textId="77777777">
        <w:trPr>
          <w:trHeight w:val="278"/>
        </w:trPr>
        <w:tc>
          <w:tcPr>
            <w:tcW w:w="7314" w:type="dxa"/>
            <w:shd w:val="clear" w:color="auto" w:fill="D9D9D9" w:themeFill="background1" w:themeFillShade="D9"/>
            <w:hideMark/>
          </w:tcPr>
          <w:p w:rsidRPr="00AA3126" w:rsidR="007126F1" w:rsidP="007126F1" w:rsidRDefault="007126F1" w14:paraId="5A8798CB" w14:textId="2483A10C">
            <w:pPr>
              <w:keepNext/>
              <w:spacing w:after="0"/>
              <w:rPr>
                <w:b/>
                <w:sz w:val="20"/>
                <w:szCs w:val="20"/>
              </w:rPr>
            </w:pPr>
            <w:r w:rsidRPr="00AA3126">
              <w:rPr>
                <w:b/>
                <w:sz w:val="20"/>
                <w:szCs w:val="20"/>
              </w:rPr>
              <w:t>Total Annual Hours (c) = (a)</w:t>
            </w:r>
            <w:r w:rsidR="00D96441">
              <w:rPr>
                <w:b/>
                <w:sz w:val="20"/>
                <w:szCs w:val="20"/>
              </w:rPr>
              <w:t xml:space="preserve"> </w:t>
            </w:r>
            <w:r w:rsidRPr="00AA3126">
              <w:rPr>
                <w:b/>
                <w:sz w:val="20"/>
                <w:szCs w:val="20"/>
              </w:rPr>
              <w:t>*</w:t>
            </w:r>
            <w:r w:rsidR="00D96441">
              <w:rPr>
                <w:b/>
                <w:sz w:val="20"/>
                <w:szCs w:val="20"/>
              </w:rPr>
              <w:t xml:space="preserve"> </w:t>
            </w:r>
            <w:r w:rsidRPr="00AA3126">
              <w:rPr>
                <w:b/>
                <w:sz w:val="20"/>
                <w:szCs w:val="20"/>
              </w:rPr>
              <w:t>(b)</w:t>
            </w:r>
          </w:p>
        </w:tc>
        <w:tc>
          <w:tcPr>
            <w:tcW w:w="2216" w:type="dxa"/>
            <w:shd w:val="clear" w:color="auto" w:fill="D9D9D9" w:themeFill="background1" w:themeFillShade="D9"/>
            <w:vAlign w:val="center"/>
            <w:hideMark/>
          </w:tcPr>
          <w:p w:rsidRPr="00AA3126" w:rsidR="007126F1" w:rsidP="007126F1" w:rsidRDefault="00B01E91" w14:paraId="1EFD7DF6" w14:textId="2A242C1B">
            <w:pPr>
              <w:keepNext/>
              <w:spacing w:after="0"/>
              <w:rPr>
                <w:b/>
                <w:sz w:val="20"/>
                <w:szCs w:val="20"/>
              </w:rPr>
            </w:pPr>
            <w:r>
              <w:rPr>
                <w:b/>
                <w:sz w:val="20"/>
                <w:szCs w:val="20"/>
              </w:rPr>
              <w:t>150</w:t>
            </w:r>
          </w:p>
        </w:tc>
      </w:tr>
      <w:tr w:rsidRPr="00C47150" w:rsidR="007126F1" w:rsidTr="00390730" w14:paraId="19B924BF" w14:textId="77777777">
        <w:trPr>
          <w:trHeight w:val="260"/>
        </w:trPr>
        <w:tc>
          <w:tcPr>
            <w:tcW w:w="7314" w:type="dxa"/>
            <w:shd w:val="clear" w:color="auto" w:fill="auto"/>
            <w:hideMark/>
          </w:tcPr>
          <w:p w:rsidRPr="00663B38" w:rsidR="007126F1" w:rsidP="007126F1" w:rsidRDefault="007126F1" w14:paraId="18DDF71A" w14:textId="77777777">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rsidRPr="00663B38" w:rsidR="007126F1" w:rsidP="007126F1" w:rsidRDefault="007126F1" w14:paraId="165D70B2" w14:textId="75DFCAC3">
            <w:pPr>
              <w:keepNext/>
              <w:spacing w:after="0"/>
              <w:rPr>
                <w:sz w:val="20"/>
                <w:szCs w:val="20"/>
              </w:rPr>
            </w:pPr>
            <w:r w:rsidRPr="003428D4">
              <w:rPr>
                <w:rFonts w:eastAsia="Calibri"/>
                <w:sz w:val="20"/>
                <w:szCs w:val="20"/>
              </w:rPr>
              <w:t>$</w:t>
            </w:r>
            <w:r w:rsidR="00092667">
              <w:rPr>
                <w:rFonts w:eastAsia="Calibri"/>
                <w:sz w:val="20"/>
                <w:szCs w:val="20"/>
              </w:rPr>
              <w:t>9</w:t>
            </w:r>
            <w:r w:rsidR="00EA3825">
              <w:rPr>
                <w:rFonts w:eastAsia="Calibri"/>
                <w:sz w:val="20"/>
                <w:szCs w:val="20"/>
              </w:rPr>
              <w:t>8</w:t>
            </w:r>
            <w:r w:rsidR="004A6379">
              <w:rPr>
                <w:rFonts w:eastAsia="Calibri"/>
                <w:sz w:val="20"/>
                <w:szCs w:val="20"/>
              </w:rPr>
              <w:t>.2</w:t>
            </w:r>
            <w:r w:rsidR="00EA3825">
              <w:rPr>
                <w:rFonts w:eastAsia="Calibri"/>
                <w:sz w:val="20"/>
                <w:szCs w:val="20"/>
              </w:rPr>
              <w:t>8</w:t>
            </w:r>
            <w:r w:rsidRPr="003428D4">
              <w:rPr>
                <w:rFonts w:eastAsia="Calibri"/>
                <w:sz w:val="20"/>
                <w:szCs w:val="20"/>
              </w:rPr>
              <w:t>/</w:t>
            </w:r>
            <w:proofErr w:type="spellStart"/>
            <w:r w:rsidRPr="003428D4">
              <w:rPr>
                <w:rFonts w:eastAsia="Calibri"/>
                <w:sz w:val="20"/>
                <w:szCs w:val="20"/>
              </w:rPr>
              <w:t>hr</w:t>
            </w:r>
            <w:proofErr w:type="spellEnd"/>
          </w:p>
        </w:tc>
      </w:tr>
      <w:tr w:rsidRPr="00C47150" w:rsidR="007126F1" w:rsidTr="00390730" w14:paraId="740CD410" w14:textId="77777777">
        <w:trPr>
          <w:trHeight w:val="260"/>
        </w:trPr>
        <w:tc>
          <w:tcPr>
            <w:tcW w:w="7314" w:type="dxa"/>
            <w:shd w:val="clear" w:color="auto" w:fill="D9D9D9" w:themeFill="background1" w:themeFillShade="D9"/>
            <w:hideMark/>
          </w:tcPr>
          <w:p w:rsidRPr="00AA3126" w:rsidR="007126F1" w:rsidP="007126F1" w:rsidRDefault="007126F1" w14:paraId="6EC3832F" w14:textId="11448F9A">
            <w:pPr>
              <w:keepNext/>
              <w:spacing w:after="0"/>
              <w:rPr>
                <w:b/>
                <w:sz w:val="20"/>
                <w:szCs w:val="20"/>
              </w:rPr>
            </w:pPr>
            <w:r w:rsidRPr="00AA3126">
              <w:rPr>
                <w:b/>
                <w:sz w:val="20"/>
                <w:szCs w:val="20"/>
              </w:rPr>
              <w:t>Total Annual Cost (e) = (</w:t>
            </w:r>
            <w:r w:rsidR="00CF2515">
              <w:rPr>
                <w:b/>
                <w:sz w:val="20"/>
                <w:szCs w:val="20"/>
              </w:rPr>
              <w:t>c</w:t>
            </w:r>
            <w:r w:rsidRPr="00AA3126">
              <w:rPr>
                <w:b/>
                <w:sz w:val="20"/>
                <w:szCs w:val="20"/>
              </w:rPr>
              <w:t>)</w:t>
            </w:r>
            <w:r w:rsidR="00D96441">
              <w:rPr>
                <w:b/>
                <w:sz w:val="20"/>
                <w:szCs w:val="20"/>
              </w:rPr>
              <w:t xml:space="preserve"> </w:t>
            </w:r>
            <w:r w:rsidRPr="00AA3126">
              <w:rPr>
                <w:b/>
                <w:sz w:val="20"/>
                <w:szCs w:val="20"/>
              </w:rPr>
              <w:t>*</w:t>
            </w:r>
            <w:r w:rsidR="00D96441">
              <w:rPr>
                <w:b/>
                <w:sz w:val="20"/>
                <w:szCs w:val="20"/>
              </w:rPr>
              <w:t xml:space="preserve"> </w:t>
            </w:r>
            <w:r w:rsidRPr="00AA3126">
              <w:rPr>
                <w:b/>
                <w:sz w:val="20"/>
                <w:szCs w:val="20"/>
              </w:rPr>
              <w:t>(d)</w:t>
            </w:r>
          </w:p>
        </w:tc>
        <w:tc>
          <w:tcPr>
            <w:tcW w:w="2216" w:type="dxa"/>
            <w:shd w:val="clear" w:color="auto" w:fill="D9D9D9" w:themeFill="background1" w:themeFillShade="D9"/>
            <w:vAlign w:val="center"/>
            <w:hideMark/>
          </w:tcPr>
          <w:p w:rsidRPr="00AA3126" w:rsidR="007126F1" w:rsidP="007126F1" w:rsidRDefault="007126F1" w14:paraId="5D8C8D12" w14:textId="257283DB">
            <w:pPr>
              <w:keepNext/>
              <w:spacing w:after="0"/>
              <w:rPr>
                <w:b/>
                <w:sz w:val="20"/>
                <w:szCs w:val="20"/>
              </w:rPr>
            </w:pPr>
            <w:r w:rsidRPr="00AA3126">
              <w:rPr>
                <w:rFonts w:eastAsia="Calibri"/>
                <w:b/>
                <w:sz w:val="20"/>
                <w:szCs w:val="20"/>
              </w:rPr>
              <w:t>$</w:t>
            </w:r>
            <w:r w:rsidR="00CA78B7">
              <w:rPr>
                <w:rFonts w:eastAsia="Calibri"/>
                <w:b/>
                <w:sz w:val="20"/>
                <w:szCs w:val="20"/>
              </w:rPr>
              <w:t>14,</w:t>
            </w:r>
            <w:r w:rsidR="00D64D61">
              <w:rPr>
                <w:rFonts w:eastAsia="Calibri"/>
                <w:b/>
                <w:sz w:val="20"/>
                <w:szCs w:val="20"/>
              </w:rPr>
              <w:t>742</w:t>
            </w:r>
          </w:p>
        </w:tc>
      </w:tr>
    </w:tbl>
    <w:p w:rsidR="0088351C" w:rsidP="0088351C" w:rsidRDefault="0088351C" w14:paraId="2F044285" w14:textId="3AF9FB1F"/>
    <w:p w:rsidRPr="004330C9" w:rsidR="0088351C" w:rsidP="003D552B" w:rsidRDefault="00667D00" w14:paraId="2A368AB5" w14:textId="07576E2A">
      <w:pPr>
        <w:pStyle w:val="Heading4"/>
        <w:numPr>
          <w:ilvl w:val="0"/>
          <w:numId w:val="0"/>
        </w:numPr>
        <w:ind w:left="2880"/>
      </w:pPr>
      <w:r>
        <w:lastRenderedPageBreak/>
        <w:t xml:space="preserve">ii.   </w:t>
      </w:r>
      <w:r w:rsidRPr="00041A6A" w:rsidR="0088351C">
        <w:t>Eligible Clinician</w:t>
      </w:r>
      <w:r w:rsidRPr="00B41D6E" w:rsidR="00AA242F">
        <w:t xml:space="preserve"> </w:t>
      </w:r>
      <w:r w:rsidRPr="00B41D6E" w:rsidR="0088351C">
        <w:t>Initiated Process</w:t>
      </w:r>
    </w:p>
    <w:p w:rsidR="007126F1" w:rsidP="00721EBD" w:rsidRDefault="00AA242F" w14:paraId="1EA7BE52" w14:textId="1E3C59A1">
      <w:pPr>
        <w:keepNext/>
        <w:keepLines/>
        <w:rPr>
          <w:rFonts w:eastAsia="Calibri"/>
        </w:rPr>
      </w:pPr>
      <w:r>
        <w:rPr>
          <w:rFonts w:eastAsia="Calibri"/>
        </w:rPr>
        <w:t>U</w:t>
      </w:r>
      <w:r w:rsidRPr="003428D4" w:rsidR="007126F1">
        <w:rPr>
          <w:rFonts w:eastAsia="Calibri"/>
        </w:rPr>
        <w:t>nder the Eligible Clinician Initiated Process, APM Entities and eligible clinicians participating in other payer arrangement</w:t>
      </w:r>
      <w:r w:rsidRPr="00F1123B" w:rsidR="007126F1">
        <w:rPr>
          <w:rFonts w:eastAsia="Calibri"/>
        </w:rPr>
        <w:t>s have</w:t>
      </w:r>
      <w:r w:rsidRPr="003428D4" w:rsidR="007126F1">
        <w:rPr>
          <w:rFonts w:eastAsia="Calibri"/>
        </w:rPr>
        <w:t xml:space="preserve"> an opportunity to request that we determine for the year whether those other payer arrangements are Other Payer Advanced APMs.  Eligible clinicians or APM Entities seeking </w:t>
      </w:r>
      <w:r w:rsidR="007126F1">
        <w:rPr>
          <w:rFonts w:eastAsia="Calibri"/>
        </w:rPr>
        <w:t xml:space="preserve">to </w:t>
      </w:r>
      <w:r w:rsidRPr="003428D4" w:rsidR="007126F1">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sidR="007126F1">
        <w:rPr>
          <w:rFonts w:eastAsia="Calibri"/>
        </w:rPr>
        <w:t>.</w:t>
      </w:r>
      <w:r w:rsidRPr="003428D4" w:rsidR="007126F1">
        <w:rPr>
          <w:rFonts w:eastAsia="Calibri"/>
        </w:rPr>
        <w:t xml:space="preserve">  </w:t>
      </w:r>
    </w:p>
    <w:p w:rsidRPr="0088351C" w:rsidR="0088351C" w:rsidP="00E12B53" w:rsidRDefault="00367710" w14:paraId="2F9A790B" w14:textId="494C86AC">
      <w:r>
        <w:t xml:space="preserve">We are not making any changes to our currently approved estimates. </w:t>
      </w:r>
      <w:r w:rsidR="007126F1">
        <w:t xml:space="preserve">As shown in Table </w:t>
      </w:r>
      <w:r w:rsidR="00DF22D4">
        <w:t>24</w:t>
      </w:r>
      <w:r w:rsidR="0088351C">
        <w:t>, we estimate 15 other payer arrangements will be submitted by APM Entities and eligible Other Payer Advanced APM determinations</w:t>
      </w:r>
      <w:r w:rsidR="00F03714">
        <w:t xml:space="preserve"> in the CY 202</w:t>
      </w:r>
      <w:r w:rsidR="003A0575">
        <w:t>3</w:t>
      </w:r>
      <w:r w:rsidR="00F03714">
        <w:t xml:space="preserve"> performance period/202</w:t>
      </w:r>
      <w:r w:rsidR="003A0575">
        <w:t>5 MIPS</w:t>
      </w:r>
      <w:r w:rsidR="00F03714">
        <w:t xml:space="preserve"> payment year</w:t>
      </w:r>
      <w:r w:rsidR="0088351C">
        <w:t>.  We estimate it would take 10 hours at $</w:t>
      </w:r>
      <w:r w:rsidR="003B0C28">
        <w:t>9</w:t>
      </w:r>
      <w:r w:rsidR="00DF22D4">
        <w:t>8</w:t>
      </w:r>
      <w:r w:rsidR="00E95FC1">
        <w:t>.2</w:t>
      </w:r>
      <w:r w:rsidR="00DF22D4">
        <w:t>8</w:t>
      </w:r>
      <w:r w:rsidR="0088351C">
        <w:t>/</w:t>
      </w:r>
      <w:proofErr w:type="spellStart"/>
      <w:r w:rsidR="0088351C">
        <w:t>hr</w:t>
      </w:r>
      <w:proofErr w:type="spellEnd"/>
      <w:r w:rsidR="0088351C">
        <w:t xml:space="preserve"> for a computer system analyst per arrangement submission. In aggregate</w:t>
      </w:r>
      <w:r w:rsidR="003F7953">
        <w:t>,</w:t>
      </w:r>
      <w:r w:rsidR="0088351C">
        <w:t xml:space="preserve"> we estimate an annual burden of 1</w:t>
      </w:r>
      <w:r w:rsidR="00E95FC1">
        <w:t>50</w:t>
      </w:r>
      <w:r w:rsidR="0088351C">
        <w:t xml:space="preserve"> hours (15</w:t>
      </w:r>
      <w:r w:rsidR="00E95FC1">
        <w:t xml:space="preserve"> </w:t>
      </w:r>
      <w:r w:rsidR="0088351C">
        <w:t xml:space="preserve">submissions x 10 </w:t>
      </w:r>
      <w:proofErr w:type="spellStart"/>
      <w:r w:rsidR="0088351C">
        <w:t>hr</w:t>
      </w:r>
      <w:proofErr w:type="spellEnd"/>
      <w:r w:rsidR="0088351C">
        <w:t>/submission) at a cost of $1</w:t>
      </w:r>
      <w:r w:rsidR="00BE16B4">
        <w:t>4,</w:t>
      </w:r>
      <w:r w:rsidR="003F7953">
        <w:t>742</w:t>
      </w:r>
      <w:r w:rsidR="00E117F8">
        <w:t xml:space="preserve"> (1</w:t>
      </w:r>
      <w:r w:rsidR="00BE16B4">
        <w:t>50</w:t>
      </w:r>
      <w:r w:rsidR="00E117F8">
        <w:t xml:space="preserve"> </w:t>
      </w:r>
      <w:proofErr w:type="spellStart"/>
      <w:r w:rsidR="00E117F8">
        <w:t>hr</w:t>
      </w:r>
      <w:proofErr w:type="spellEnd"/>
      <w:r w:rsidR="00E117F8">
        <w:t xml:space="preserve"> x $</w:t>
      </w:r>
      <w:r w:rsidR="003B0C28">
        <w:t>9</w:t>
      </w:r>
      <w:r w:rsidR="003F7953">
        <w:t>8</w:t>
      </w:r>
      <w:r w:rsidR="00BE16B4">
        <w:t>.2</w:t>
      </w:r>
      <w:r w:rsidR="003F7953">
        <w:t>8</w:t>
      </w:r>
      <w:r w:rsidR="00E117F8">
        <w:t>/</w:t>
      </w:r>
      <w:proofErr w:type="spellStart"/>
      <w:r w:rsidR="00E117F8">
        <w:t>hr</w:t>
      </w:r>
      <w:proofErr w:type="spellEnd"/>
      <w:r w:rsidR="00E117F8">
        <w:t xml:space="preserve">).  </w:t>
      </w:r>
    </w:p>
    <w:p w:rsidRPr="00C47150" w:rsidR="0088351C" w:rsidP="0088351C" w:rsidRDefault="0088351C" w14:paraId="00719259" w14:textId="36FB6353">
      <w:pPr>
        <w:spacing w:after="0"/>
        <w:jc w:val="center"/>
        <w:rPr>
          <w:b/>
          <w:bCs/>
        </w:rPr>
      </w:pPr>
      <w:bookmarkStart w:name="_Hlk495401670" w:id="13"/>
      <w:r w:rsidRPr="00C47150">
        <w:rPr>
          <w:b/>
          <w:bCs/>
        </w:rPr>
        <w:t xml:space="preserve">TABLE </w:t>
      </w:r>
      <w:r w:rsidR="00D04CE7">
        <w:rPr>
          <w:b/>
          <w:bCs/>
        </w:rPr>
        <w:t>2</w:t>
      </w:r>
      <w:r w:rsidR="003A0575">
        <w:rPr>
          <w:b/>
          <w:bCs/>
        </w:rPr>
        <w:t>4</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r w:rsidR="00A7669E">
        <w:rPr>
          <w:b/>
          <w:bCs/>
        </w:rPr>
        <w:t xml:space="preserve"> </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1525"/>
      </w:tblGrid>
      <w:tr w:rsidRPr="00C47150" w:rsidR="0088351C" w:rsidTr="00573EB4" w14:paraId="7476D4D3" w14:textId="77777777">
        <w:trPr>
          <w:trHeight w:val="322"/>
        </w:trPr>
        <w:tc>
          <w:tcPr>
            <w:tcW w:w="8005" w:type="dxa"/>
            <w:shd w:val="clear" w:color="auto" w:fill="auto"/>
            <w:vAlign w:val="center"/>
            <w:hideMark/>
          </w:tcPr>
          <w:bookmarkEnd w:id="13"/>
          <w:p w:rsidRPr="0047482B" w:rsidR="0088351C" w:rsidP="00A639D4" w:rsidRDefault="00493F4D" w14:paraId="2008153C" w14:textId="38145DC0">
            <w:pPr>
              <w:spacing w:after="0"/>
              <w:rPr>
                <w:sz w:val="20"/>
                <w:szCs w:val="20"/>
              </w:rPr>
            </w:pPr>
            <w:r w:rsidRPr="00B05B18">
              <w:rPr>
                <w:b/>
                <w:sz w:val="20"/>
                <w:szCs w:val="20"/>
              </w:rPr>
              <w:t>Burden and Respondent Descriptions</w:t>
            </w:r>
          </w:p>
        </w:tc>
        <w:tc>
          <w:tcPr>
            <w:tcW w:w="1525" w:type="dxa"/>
            <w:shd w:val="clear" w:color="auto" w:fill="auto"/>
            <w:vAlign w:val="center"/>
            <w:hideMark/>
          </w:tcPr>
          <w:p w:rsidRPr="0047482B" w:rsidR="0088351C" w:rsidP="00A639D4" w:rsidRDefault="0088351C" w14:paraId="71235B6A" w14:textId="77777777">
            <w:pPr>
              <w:spacing w:after="0"/>
              <w:rPr>
                <w:b/>
                <w:sz w:val="20"/>
                <w:szCs w:val="20"/>
              </w:rPr>
            </w:pPr>
            <w:r w:rsidRPr="0047482B">
              <w:rPr>
                <w:b/>
                <w:sz w:val="20"/>
                <w:szCs w:val="20"/>
              </w:rPr>
              <w:t>Burden Estimate</w:t>
            </w:r>
          </w:p>
        </w:tc>
      </w:tr>
      <w:tr w:rsidRPr="00C47150" w:rsidR="0088351C" w:rsidTr="00573EB4" w14:paraId="4A1372CE" w14:textId="77777777">
        <w:trPr>
          <w:trHeight w:val="323"/>
        </w:trPr>
        <w:tc>
          <w:tcPr>
            <w:tcW w:w="8005" w:type="dxa"/>
            <w:shd w:val="clear" w:color="auto" w:fill="auto"/>
            <w:hideMark/>
          </w:tcPr>
          <w:p w:rsidRPr="0047482B" w:rsidR="0088351C" w:rsidP="00A639D4" w:rsidRDefault="0088351C"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Pr="0047482B" w:rsidR="0088351C" w:rsidP="00A639D4" w:rsidRDefault="0088351C" w14:paraId="6D6EADEE" w14:textId="641157CC">
            <w:pPr>
              <w:spacing w:after="0"/>
              <w:rPr>
                <w:sz w:val="20"/>
                <w:szCs w:val="20"/>
              </w:rPr>
            </w:pPr>
            <w:r w:rsidRPr="00D950B2">
              <w:rPr>
                <w:sz w:val="20"/>
                <w:szCs w:val="20"/>
              </w:rPr>
              <w:t>15</w:t>
            </w:r>
          </w:p>
        </w:tc>
      </w:tr>
      <w:tr w:rsidRPr="00C47150" w:rsidR="0088351C" w:rsidTr="00573EB4" w14:paraId="7B03F413" w14:textId="77777777">
        <w:trPr>
          <w:trHeight w:val="324"/>
        </w:trPr>
        <w:tc>
          <w:tcPr>
            <w:tcW w:w="8005" w:type="dxa"/>
            <w:shd w:val="clear" w:color="auto" w:fill="auto"/>
            <w:hideMark/>
          </w:tcPr>
          <w:p w:rsidRPr="0047482B" w:rsidR="0088351C" w:rsidP="00A639D4" w:rsidRDefault="0088351C"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Pr="0047482B" w:rsidR="0088351C" w:rsidP="00A639D4" w:rsidRDefault="0088351C" w14:paraId="09541DB2" w14:textId="77777777">
            <w:pPr>
              <w:spacing w:after="0"/>
              <w:rPr>
                <w:sz w:val="20"/>
                <w:szCs w:val="20"/>
              </w:rPr>
            </w:pPr>
            <w:r w:rsidRPr="00732012">
              <w:rPr>
                <w:sz w:val="20"/>
                <w:szCs w:val="20"/>
              </w:rPr>
              <w:t>10</w:t>
            </w:r>
          </w:p>
        </w:tc>
      </w:tr>
      <w:tr w:rsidRPr="00C47150" w:rsidR="0088351C" w:rsidTr="00573EB4" w14:paraId="0596A6E9" w14:textId="77777777">
        <w:trPr>
          <w:trHeight w:val="278"/>
        </w:trPr>
        <w:tc>
          <w:tcPr>
            <w:tcW w:w="8005" w:type="dxa"/>
            <w:shd w:val="clear" w:color="auto" w:fill="D9D9D9" w:themeFill="background1" w:themeFillShade="D9"/>
            <w:hideMark/>
          </w:tcPr>
          <w:p w:rsidRPr="00573EB4" w:rsidR="0088351C" w:rsidP="00A639D4" w:rsidRDefault="0088351C" w14:paraId="61B788DE" w14:textId="27496DAA">
            <w:pPr>
              <w:spacing w:after="0"/>
              <w:rPr>
                <w:b/>
                <w:sz w:val="20"/>
                <w:szCs w:val="20"/>
              </w:rPr>
            </w:pPr>
            <w:r w:rsidRPr="00573EB4">
              <w:rPr>
                <w:b/>
                <w:sz w:val="20"/>
                <w:szCs w:val="20"/>
              </w:rPr>
              <w:t>Total Annual Hours (c) = (a)</w:t>
            </w:r>
            <w:r w:rsidR="00D96441">
              <w:rPr>
                <w:b/>
                <w:sz w:val="20"/>
                <w:szCs w:val="20"/>
              </w:rPr>
              <w:t xml:space="preserve"> </w:t>
            </w:r>
            <w:r w:rsidRPr="00573EB4">
              <w:rPr>
                <w:b/>
                <w:sz w:val="20"/>
                <w:szCs w:val="20"/>
              </w:rPr>
              <w:t>*</w:t>
            </w:r>
            <w:r w:rsidR="00D96441">
              <w:rPr>
                <w:b/>
                <w:sz w:val="20"/>
                <w:szCs w:val="20"/>
              </w:rPr>
              <w:t xml:space="preserve"> </w:t>
            </w:r>
            <w:r w:rsidRPr="00573EB4">
              <w:rPr>
                <w:b/>
                <w:sz w:val="20"/>
                <w:szCs w:val="20"/>
              </w:rPr>
              <w:t>(b)</w:t>
            </w:r>
          </w:p>
        </w:tc>
        <w:tc>
          <w:tcPr>
            <w:tcW w:w="1525" w:type="dxa"/>
            <w:shd w:val="clear" w:color="auto" w:fill="D9D9D9" w:themeFill="background1" w:themeFillShade="D9"/>
            <w:vAlign w:val="center"/>
            <w:hideMark/>
          </w:tcPr>
          <w:p w:rsidRPr="00573EB4" w:rsidR="0088351C" w:rsidP="00A639D4" w:rsidRDefault="0088351C" w14:paraId="590A922D" w14:textId="3460C210">
            <w:pPr>
              <w:spacing w:after="0"/>
              <w:rPr>
                <w:b/>
                <w:sz w:val="20"/>
                <w:szCs w:val="20"/>
              </w:rPr>
            </w:pPr>
            <w:r w:rsidRPr="00573EB4">
              <w:rPr>
                <w:b/>
                <w:sz w:val="20"/>
                <w:szCs w:val="20"/>
              </w:rPr>
              <w:t>150</w:t>
            </w:r>
          </w:p>
        </w:tc>
      </w:tr>
      <w:tr w:rsidRPr="00C47150" w:rsidR="0088351C" w:rsidTr="00573EB4" w14:paraId="5E2BA34F" w14:textId="77777777">
        <w:trPr>
          <w:trHeight w:val="260"/>
        </w:trPr>
        <w:tc>
          <w:tcPr>
            <w:tcW w:w="8005" w:type="dxa"/>
            <w:shd w:val="clear" w:color="auto" w:fill="auto"/>
            <w:hideMark/>
          </w:tcPr>
          <w:p w:rsidRPr="0047482B" w:rsidR="0088351C" w:rsidP="00A639D4" w:rsidRDefault="0088351C" w14:paraId="7F8DF4F5" w14:textId="77777777">
            <w:pPr>
              <w:spacing w:after="0"/>
              <w:rPr>
                <w:sz w:val="20"/>
                <w:szCs w:val="20"/>
              </w:rPr>
            </w:pPr>
            <w:r w:rsidRPr="00732012">
              <w:rPr>
                <w:sz w:val="20"/>
                <w:szCs w:val="20"/>
              </w:rPr>
              <w:t>Labor rate for a computer systems analyst (d)</w:t>
            </w:r>
          </w:p>
        </w:tc>
        <w:tc>
          <w:tcPr>
            <w:tcW w:w="1525" w:type="dxa"/>
            <w:shd w:val="clear" w:color="auto" w:fill="auto"/>
            <w:hideMark/>
          </w:tcPr>
          <w:p w:rsidRPr="00D950B2" w:rsidR="0088351C" w:rsidP="00A639D4" w:rsidRDefault="0088351C" w14:paraId="03FB63AD" w14:textId="1ABD739F">
            <w:pPr>
              <w:spacing w:after="0"/>
              <w:rPr>
                <w:sz w:val="20"/>
                <w:szCs w:val="20"/>
              </w:rPr>
            </w:pPr>
            <w:r w:rsidRPr="00732012">
              <w:rPr>
                <w:sz w:val="20"/>
                <w:szCs w:val="20"/>
              </w:rPr>
              <w:t>$</w:t>
            </w:r>
            <w:r w:rsidR="00ED2AFE">
              <w:rPr>
                <w:sz w:val="20"/>
                <w:szCs w:val="20"/>
              </w:rPr>
              <w:t>9</w:t>
            </w:r>
            <w:r w:rsidR="003F7953">
              <w:rPr>
                <w:sz w:val="20"/>
                <w:szCs w:val="20"/>
              </w:rPr>
              <w:t>8</w:t>
            </w:r>
            <w:r w:rsidR="00E60148">
              <w:rPr>
                <w:sz w:val="20"/>
                <w:szCs w:val="20"/>
              </w:rPr>
              <w:t>.2</w:t>
            </w:r>
            <w:r w:rsidR="003F7953">
              <w:rPr>
                <w:sz w:val="20"/>
                <w:szCs w:val="20"/>
              </w:rPr>
              <w:t>8</w:t>
            </w:r>
            <w:r w:rsidRPr="00732012">
              <w:rPr>
                <w:sz w:val="20"/>
                <w:szCs w:val="20"/>
              </w:rPr>
              <w:t>/</w:t>
            </w:r>
            <w:proofErr w:type="spellStart"/>
            <w:r w:rsidRPr="00732012">
              <w:rPr>
                <w:sz w:val="20"/>
                <w:szCs w:val="20"/>
              </w:rPr>
              <w:t>hr</w:t>
            </w:r>
            <w:proofErr w:type="spellEnd"/>
          </w:p>
        </w:tc>
      </w:tr>
      <w:tr w:rsidRPr="00C47150" w:rsidR="0088351C" w:rsidTr="00573EB4" w14:paraId="685B28A9" w14:textId="77777777">
        <w:trPr>
          <w:trHeight w:val="260"/>
        </w:trPr>
        <w:tc>
          <w:tcPr>
            <w:tcW w:w="8005" w:type="dxa"/>
            <w:shd w:val="clear" w:color="auto" w:fill="D9D9D9" w:themeFill="background1" w:themeFillShade="D9"/>
            <w:hideMark/>
          </w:tcPr>
          <w:p w:rsidRPr="00573EB4" w:rsidR="0088351C" w:rsidP="00A639D4" w:rsidRDefault="0078522E" w14:paraId="4B250822" w14:textId="040C7A1C">
            <w:pPr>
              <w:spacing w:after="0"/>
              <w:rPr>
                <w:b/>
                <w:sz w:val="20"/>
                <w:szCs w:val="20"/>
              </w:rPr>
            </w:pPr>
            <w:r w:rsidRPr="00573EB4">
              <w:rPr>
                <w:b/>
                <w:sz w:val="20"/>
                <w:szCs w:val="20"/>
              </w:rPr>
              <w:t>Estimated Total Annual</w:t>
            </w:r>
            <w:r w:rsidRPr="00573EB4" w:rsidR="0088351C">
              <w:rPr>
                <w:b/>
                <w:sz w:val="20"/>
                <w:szCs w:val="20"/>
              </w:rPr>
              <w:t xml:space="preserve"> Cost (e) = (</w:t>
            </w:r>
            <w:r w:rsidR="00CF2515">
              <w:rPr>
                <w:b/>
                <w:sz w:val="20"/>
                <w:szCs w:val="20"/>
              </w:rPr>
              <w:t>c</w:t>
            </w:r>
            <w:r w:rsidRPr="00573EB4" w:rsidR="0088351C">
              <w:rPr>
                <w:b/>
                <w:sz w:val="20"/>
                <w:szCs w:val="20"/>
              </w:rPr>
              <w:t>)</w:t>
            </w:r>
            <w:r w:rsidR="00D96441">
              <w:rPr>
                <w:b/>
                <w:sz w:val="20"/>
                <w:szCs w:val="20"/>
              </w:rPr>
              <w:t xml:space="preserve"> </w:t>
            </w:r>
            <w:r w:rsidRPr="00573EB4" w:rsidR="0088351C">
              <w:rPr>
                <w:b/>
                <w:sz w:val="20"/>
                <w:szCs w:val="20"/>
              </w:rPr>
              <w:t>*</w:t>
            </w:r>
            <w:r w:rsidR="00D96441">
              <w:rPr>
                <w:b/>
                <w:sz w:val="20"/>
                <w:szCs w:val="20"/>
              </w:rPr>
              <w:t xml:space="preserve"> </w:t>
            </w:r>
            <w:r w:rsidRPr="00573EB4" w:rsidR="0088351C">
              <w:rPr>
                <w:b/>
                <w:sz w:val="20"/>
                <w:szCs w:val="20"/>
              </w:rPr>
              <w:t>(d)</w:t>
            </w:r>
          </w:p>
        </w:tc>
        <w:tc>
          <w:tcPr>
            <w:tcW w:w="1525" w:type="dxa"/>
            <w:shd w:val="clear" w:color="auto" w:fill="D9D9D9" w:themeFill="background1" w:themeFillShade="D9"/>
            <w:hideMark/>
          </w:tcPr>
          <w:p w:rsidRPr="00573EB4" w:rsidR="0088351C" w:rsidP="00A639D4" w:rsidRDefault="0088351C" w14:paraId="66B5D28C" w14:textId="71096D41">
            <w:pPr>
              <w:spacing w:after="0"/>
              <w:rPr>
                <w:b/>
                <w:sz w:val="20"/>
                <w:szCs w:val="20"/>
              </w:rPr>
            </w:pPr>
            <w:r w:rsidRPr="00573EB4">
              <w:rPr>
                <w:b/>
                <w:sz w:val="20"/>
                <w:szCs w:val="20"/>
              </w:rPr>
              <w:t>$1</w:t>
            </w:r>
            <w:r w:rsidR="00C0008E">
              <w:rPr>
                <w:b/>
                <w:sz w:val="20"/>
                <w:szCs w:val="20"/>
              </w:rPr>
              <w:t>4,</w:t>
            </w:r>
            <w:r w:rsidR="003F7953">
              <w:rPr>
                <w:b/>
                <w:sz w:val="20"/>
                <w:szCs w:val="20"/>
              </w:rPr>
              <w:t>742</w:t>
            </w:r>
          </w:p>
        </w:tc>
      </w:tr>
    </w:tbl>
    <w:p w:rsidR="003065CD" w:rsidP="0088351C" w:rsidRDefault="003065CD" w14:paraId="397EB96B" w14:textId="2A4ADE55"/>
    <w:p w:rsidRPr="004330C9" w:rsidR="0088351C" w:rsidP="003D552B" w:rsidRDefault="00732755" w14:paraId="0876ACA8" w14:textId="206B83F4">
      <w:pPr>
        <w:pStyle w:val="Heading4"/>
        <w:numPr>
          <w:ilvl w:val="0"/>
          <w:numId w:val="20"/>
        </w:numPr>
      </w:pPr>
      <w:bookmarkStart w:name="_Hlk532899314" w:id="14"/>
      <w:r>
        <w:t xml:space="preserve"> </w:t>
      </w:r>
      <w:r>
        <w:tab/>
      </w:r>
      <w:r w:rsidRPr="00041A6A" w:rsidR="0088351C">
        <w:t>Submission of Data for QP Determinations under the All-Payer Combination Option</w:t>
      </w:r>
      <w:bookmarkEnd w:id="14"/>
    </w:p>
    <w:p w:rsidRPr="00050972" w:rsidR="00050972" w:rsidP="00E12B53" w:rsidRDefault="007F0344" w14:paraId="6E15BFDC" w14:textId="502B2A66">
      <w:pPr>
        <w:rPr>
          <w:rFonts w:eastAsia="Calibri"/>
        </w:rPr>
      </w:pPr>
      <w:r w:rsidRPr="00CC2BFB">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C5B97" w:rsidR="00EC5B97">
        <w:rPr>
          <w:rFonts w:eastAsia="Calibri"/>
        </w:rPr>
        <w:t xml:space="preserve"> </w:t>
      </w:r>
      <w:r w:rsidRPr="00CC2BFB" w:rsidR="00B23552">
        <w:rPr>
          <w:rFonts w:eastAsia="Calibri"/>
        </w:rPr>
        <w:t>APM Entities or eligible clinicians must submit all of the required information about the Other Payer Advanced APMs in which they participate, including those for which there is a pending request for an</w:t>
      </w:r>
      <w:r w:rsidR="00A67649">
        <w:rPr>
          <w:rFonts w:eastAsia="Calibri"/>
        </w:rPr>
        <w:t xml:space="preserve"> </w:t>
      </w:r>
      <w:r w:rsidRPr="00CC2BFB" w:rsidR="00B23552">
        <w:rPr>
          <w:rFonts w:eastAsia="Calibri"/>
        </w:rPr>
        <w:t>Other Payer Advanced APM determination</w:t>
      </w:r>
      <w:r w:rsidR="00E72DBE">
        <w:rPr>
          <w:rFonts w:eastAsia="Calibri"/>
        </w:rPr>
        <w:t>.</w:t>
      </w:r>
    </w:p>
    <w:p w:rsidR="0088351C" w:rsidP="00E12B53" w:rsidRDefault="00367710" w14:paraId="5572A5FF" w14:textId="50065684">
      <w:pPr>
        <w:rPr>
          <w:rFonts w:eastAsia="Calibri"/>
        </w:rPr>
      </w:pPr>
      <w:r>
        <w:t xml:space="preserve">We are not making any changes to our currently approved estimates.  </w:t>
      </w:r>
      <w:r w:rsidRPr="00225C8A" w:rsidR="00225C8A">
        <w:rPr>
          <w:rFonts w:eastAsia="Calibri"/>
        </w:rPr>
        <w:t xml:space="preserve">As shown in Table </w:t>
      </w:r>
      <w:r w:rsidR="008550F1">
        <w:rPr>
          <w:rFonts w:eastAsia="Calibri"/>
        </w:rPr>
        <w:t>2</w:t>
      </w:r>
      <w:r w:rsidR="004C1E26">
        <w:rPr>
          <w:rFonts w:eastAsia="Calibri"/>
        </w:rPr>
        <w:t>5</w:t>
      </w:r>
      <w:r w:rsidRPr="00225C8A" w:rsidR="00225C8A">
        <w:rPr>
          <w:rFonts w:eastAsia="Calibri"/>
        </w:rPr>
        <w:t xml:space="preserve">, </w:t>
      </w:r>
      <w:r w:rsidRPr="00CC2BFB" w:rsidR="00EC1FFC">
        <w:rPr>
          <w:rFonts w:eastAsia="Calibri"/>
        </w:rPr>
        <w:t xml:space="preserve">we assume that 20 APM Entities, 448 TINs, and 83 eligible clinicians will submit data for QP determinations under the All-Payer Combination Option in </w:t>
      </w:r>
      <w:r w:rsidR="0080204F">
        <w:rPr>
          <w:rFonts w:eastAsia="Calibri"/>
        </w:rPr>
        <w:t xml:space="preserve">CY </w:t>
      </w:r>
      <w:r w:rsidRPr="00CC2BFB" w:rsidR="00EC1FFC">
        <w:rPr>
          <w:rFonts w:eastAsia="Calibri"/>
        </w:rPr>
        <w:t>20</w:t>
      </w:r>
      <w:r>
        <w:rPr>
          <w:rFonts w:eastAsia="Calibri"/>
        </w:rPr>
        <w:t>2</w:t>
      </w:r>
      <w:r w:rsidR="004C1E26">
        <w:rPr>
          <w:rFonts w:eastAsia="Calibri"/>
        </w:rPr>
        <w:t>3 performance period/2025 MIPS payment year</w:t>
      </w:r>
      <w:r w:rsidRPr="00CC2BFB" w:rsidR="00EC1FFC">
        <w:rPr>
          <w:rFonts w:eastAsia="Calibri"/>
        </w:rPr>
        <w:t xml:space="preserve">. We </w:t>
      </w:r>
      <w:r w:rsidR="004C1E26">
        <w:rPr>
          <w:rFonts w:eastAsia="Calibri"/>
        </w:rPr>
        <w:t xml:space="preserve">continue to </w:t>
      </w:r>
      <w:r w:rsidRPr="00CC2BFB" w:rsidR="00EC1FFC">
        <w:rPr>
          <w:rFonts w:eastAsia="Calibri"/>
        </w:rPr>
        <w:t>estimate it will take the APM Entity representative, TIN representative, or eligible clinician 5 hours at $1</w:t>
      </w:r>
      <w:r>
        <w:rPr>
          <w:rFonts w:eastAsia="Calibri"/>
        </w:rPr>
        <w:t>1</w:t>
      </w:r>
      <w:r w:rsidR="004C1E26">
        <w:rPr>
          <w:rFonts w:eastAsia="Calibri"/>
        </w:rPr>
        <w:t>5</w:t>
      </w:r>
      <w:r w:rsidR="0080204F">
        <w:rPr>
          <w:rFonts w:eastAsia="Calibri"/>
        </w:rPr>
        <w:t>.2</w:t>
      </w:r>
      <w:r w:rsidR="004C1E26">
        <w:rPr>
          <w:rFonts w:eastAsia="Calibri"/>
        </w:rPr>
        <w:t>2</w:t>
      </w:r>
      <w:r w:rsidRPr="00CC2BFB" w:rsidR="00EC1FFC">
        <w:rPr>
          <w:rFonts w:eastAsia="Calibri"/>
        </w:rPr>
        <w:t>/</w:t>
      </w:r>
      <w:proofErr w:type="spellStart"/>
      <w:r w:rsidRPr="00CC2BFB" w:rsidR="00EC1FFC">
        <w:rPr>
          <w:rFonts w:eastAsia="Calibri"/>
        </w:rPr>
        <w:t>hr</w:t>
      </w:r>
      <w:proofErr w:type="spellEnd"/>
      <w:r w:rsidRPr="00CC2BFB" w:rsidR="00EC1FFC">
        <w:rPr>
          <w:rFonts w:eastAsia="Calibri"/>
        </w:rPr>
        <w:t xml:space="preserve"> for a </w:t>
      </w:r>
      <w:r w:rsidR="008D7DB5">
        <w:rPr>
          <w:rFonts w:eastAsia="Calibri"/>
        </w:rPr>
        <w:t>medical and health services manager</w:t>
      </w:r>
      <w:r w:rsidRPr="00CC2BFB" w:rsidR="00EC1FFC">
        <w:rPr>
          <w:rFonts w:eastAsia="Calibri"/>
        </w:rPr>
        <w:t xml:space="preserve"> to complete this submission.  In aggregate, we estimate an annual burden of 2,755 hours (551 respondents x 5 </w:t>
      </w:r>
      <w:proofErr w:type="spellStart"/>
      <w:r w:rsidRPr="00CC2BFB" w:rsidR="00EC1FFC">
        <w:rPr>
          <w:rFonts w:eastAsia="Calibri"/>
        </w:rPr>
        <w:t>hr</w:t>
      </w:r>
      <w:proofErr w:type="spellEnd"/>
      <w:r w:rsidRPr="00CC2BFB" w:rsidR="00EC1FFC">
        <w:rPr>
          <w:rFonts w:eastAsia="Calibri"/>
        </w:rPr>
        <w:t>) at a cost of $3</w:t>
      </w:r>
      <w:r w:rsidR="00C86877">
        <w:rPr>
          <w:rFonts w:eastAsia="Calibri"/>
        </w:rPr>
        <w:t>1</w:t>
      </w:r>
      <w:r w:rsidR="00427185">
        <w:rPr>
          <w:rFonts w:eastAsia="Calibri"/>
        </w:rPr>
        <w:t>7</w:t>
      </w:r>
      <w:r w:rsidR="00C86877">
        <w:rPr>
          <w:rFonts w:eastAsia="Calibri"/>
        </w:rPr>
        <w:t>,</w:t>
      </w:r>
      <w:r w:rsidR="00427185">
        <w:rPr>
          <w:rFonts w:eastAsia="Calibri"/>
        </w:rPr>
        <w:t>4</w:t>
      </w:r>
      <w:r w:rsidR="00C86877">
        <w:rPr>
          <w:rFonts w:eastAsia="Calibri"/>
        </w:rPr>
        <w:t>31</w:t>
      </w:r>
      <w:r w:rsidRPr="00CC2BFB" w:rsidR="00EC1FFC">
        <w:rPr>
          <w:rFonts w:eastAsia="Calibri"/>
        </w:rPr>
        <w:t xml:space="preserve"> (2,755 </w:t>
      </w:r>
      <w:proofErr w:type="spellStart"/>
      <w:r w:rsidRPr="00CC2BFB" w:rsidR="00EC1FFC">
        <w:rPr>
          <w:rFonts w:eastAsia="Calibri"/>
        </w:rPr>
        <w:t>hr</w:t>
      </w:r>
      <w:proofErr w:type="spellEnd"/>
      <w:r w:rsidRPr="00CC2BFB" w:rsidR="00EC1FFC">
        <w:rPr>
          <w:rFonts w:eastAsia="Calibri"/>
        </w:rPr>
        <w:t xml:space="preserve"> x $1</w:t>
      </w:r>
      <w:r>
        <w:rPr>
          <w:rFonts w:eastAsia="Calibri"/>
        </w:rPr>
        <w:t>1</w:t>
      </w:r>
      <w:r w:rsidR="004C1E26">
        <w:rPr>
          <w:rFonts w:eastAsia="Calibri"/>
        </w:rPr>
        <w:t>5</w:t>
      </w:r>
      <w:r w:rsidR="00C86877">
        <w:rPr>
          <w:rFonts w:eastAsia="Calibri"/>
        </w:rPr>
        <w:t>.2</w:t>
      </w:r>
      <w:r w:rsidR="004C1E26">
        <w:rPr>
          <w:rFonts w:eastAsia="Calibri"/>
        </w:rPr>
        <w:t>2</w:t>
      </w:r>
      <w:r w:rsidRPr="00CC2BFB" w:rsidR="00EC1FFC">
        <w:rPr>
          <w:rFonts w:eastAsia="Calibri"/>
        </w:rPr>
        <w:t>/</w:t>
      </w:r>
      <w:proofErr w:type="spellStart"/>
      <w:r w:rsidRPr="00CC2BFB" w:rsidR="00EC1FFC">
        <w:rPr>
          <w:rFonts w:eastAsia="Calibri"/>
        </w:rPr>
        <w:t>hr</w:t>
      </w:r>
      <w:proofErr w:type="spellEnd"/>
      <w:r w:rsidRPr="009B2388" w:rsidR="009B2388">
        <w:rPr>
          <w:rFonts w:eastAsia="Calibri"/>
        </w:rPr>
        <w:t>)</w:t>
      </w:r>
      <w:r w:rsidR="009B2388">
        <w:rPr>
          <w:rFonts w:eastAsia="Calibri"/>
        </w:rPr>
        <w:t>.</w:t>
      </w:r>
      <w:r w:rsidRPr="00225C8A" w:rsidR="00225C8A">
        <w:rPr>
          <w:rFonts w:eastAsia="Calibri"/>
        </w:rPr>
        <w:t xml:space="preserve">  </w:t>
      </w:r>
    </w:p>
    <w:p w:rsidRPr="00C47150" w:rsidR="0088351C" w:rsidP="00EA6D44" w:rsidRDefault="0088351C" w14:paraId="797CEA56" w14:textId="79DC267E">
      <w:pPr>
        <w:keepNext/>
        <w:keepLines/>
        <w:spacing w:after="0"/>
        <w:jc w:val="center"/>
        <w:rPr>
          <w:b/>
          <w:bCs/>
        </w:rPr>
      </w:pPr>
      <w:r w:rsidRPr="00C47150">
        <w:rPr>
          <w:b/>
          <w:bCs/>
        </w:rPr>
        <w:lastRenderedPageBreak/>
        <w:t xml:space="preserve">TABLE </w:t>
      </w:r>
      <w:r w:rsidR="008550F1">
        <w:rPr>
          <w:b/>
          <w:bCs/>
        </w:rPr>
        <w:t>2</w:t>
      </w:r>
      <w:r w:rsidR="004C1E26">
        <w:rPr>
          <w:b/>
          <w:bCs/>
        </w:rPr>
        <w:t>5</w:t>
      </w:r>
      <w:r w:rsidRPr="00C47150">
        <w:rPr>
          <w:b/>
          <w:bCs/>
        </w:rPr>
        <w:t xml:space="preserve">:  </w:t>
      </w:r>
      <w:r w:rsidR="0078522E">
        <w:rPr>
          <w:b/>
          <w:bCs/>
        </w:rPr>
        <w:t>Estimated Burden</w:t>
      </w:r>
      <w:r w:rsidRPr="00732012">
        <w:rPr>
          <w:b/>
          <w:bCs/>
        </w:rPr>
        <w:t xml:space="preserve"> for the </w:t>
      </w:r>
      <w:r w:rsidRPr="00C47150">
        <w:rPr>
          <w:b/>
          <w:bCs/>
        </w:rPr>
        <w:t xml:space="preserve">Submission of Data for </w:t>
      </w:r>
      <w:r w:rsidR="00EA6D44">
        <w:rPr>
          <w:b/>
          <w:bCs/>
        </w:rPr>
        <w:br/>
      </w:r>
      <w:r w:rsidRPr="00C47150">
        <w:rPr>
          <w:b/>
          <w:bCs/>
        </w:rPr>
        <w:t>All-Payer QP Determinations</w:t>
      </w:r>
      <w:r w:rsidR="00A7669E">
        <w:rPr>
          <w:b/>
          <w:bCs/>
        </w:rPr>
        <w:t xml:space="preserve"> </w:t>
      </w: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64"/>
        <w:gridCol w:w="2136"/>
      </w:tblGrid>
      <w:tr w:rsidRPr="00C47150" w:rsidR="0088351C" w:rsidTr="0060225C" w14:paraId="4985175A" w14:textId="77777777">
        <w:trPr>
          <w:cantSplit/>
          <w:trHeight w:val="305"/>
          <w:tblHeader/>
          <w:jc w:val="center"/>
        </w:trPr>
        <w:tc>
          <w:tcPr>
            <w:tcW w:w="6864" w:type="dxa"/>
            <w:vAlign w:val="center"/>
            <w:hideMark/>
          </w:tcPr>
          <w:p w:rsidRPr="0088351C" w:rsidR="0088351C" w:rsidP="00EA6D44" w:rsidRDefault="0088351C" w14:paraId="4836D795" w14:textId="736E7128">
            <w:pPr>
              <w:keepNext/>
              <w:keepLines/>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Pr="0047482B" w:rsidR="0088351C" w:rsidP="00EA6D44" w:rsidRDefault="0088351C" w14:paraId="7AF95028" w14:textId="77777777">
            <w:pPr>
              <w:keepNext/>
              <w:keepLines/>
              <w:spacing w:after="0"/>
              <w:rPr>
                <w:sz w:val="20"/>
                <w:szCs w:val="20"/>
              </w:rPr>
            </w:pPr>
            <w:r w:rsidRPr="00732012">
              <w:rPr>
                <w:b/>
                <w:bCs/>
                <w:sz w:val="20"/>
                <w:szCs w:val="20"/>
              </w:rPr>
              <w:t>Burden Estimate</w:t>
            </w:r>
          </w:p>
        </w:tc>
      </w:tr>
      <w:tr w:rsidRPr="00C47150" w:rsidR="0088351C" w:rsidTr="00A639D4" w14:paraId="06124060" w14:textId="77777777">
        <w:trPr>
          <w:trHeight w:val="305"/>
          <w:jc w:val="center"/>
        </w:trPr>
        <w:tc>
          <w:tcPr>
            <w:tcW w:w="6864" w:type="dxa"/>
            <w:hideMark/>
          </w:tcPr>
          <w:p w:rsidRPr="0047482B" w:rsidR="0088351C" w:rsidP="00EA6D44" w:rsidRDefault="0088351C" w14:paraId="11DDA540" w14:textId="77777777">
            <w:pPr>
              <w:keepNext/>
              <w:keepLines/>
              <w:spacing w:after="0"/>
              <w:rPr>
                <w:sz w:val="20"/>
                <w:szCs w:val="20"/>
              </w:rPr>
            </w:pPr>
            <w:r w:rsidRPr="00732012">
              <w:rPr>
                <w:sz w:val="20"/>
                <w:szCs w:val="20"/>
              </w:rPr>
              <w:t># of APM Entities submitting data for All-Payer QP Determinations (a)</w:t>
            </w:r>
          </w:p>
        </w:tc>
        <w:tc>
          <w:tcPr>
            <w:tcW w:w="2136" w:type="dxa"/>
            <w:noWrap/>
            <w:vAlign w:val="bottom"/>
          </w:tcPr>
          <w:p w:rsidRPr="0047482B" w:rsidR="0088351C" w:rsidP="00EA6D44" w:rsidRDefault="00225C8A" w14:paraId="7F193BA6" w14:textId="2A70A8E6">
            <w:pPr>
              <w:keepNext/>
              <w:keepLines/>
              <w:spacing w:after="0"/>
              <w:rPr>
                <w:sz w:val="20"/>
                <w:szCs w:val="20"/>
              </w:rPr>
            </w:pPr>
            <w:r>
              <w:rPr>
                <w:sz w:val="20"/>
                <w:szCs w:val="20"/>
              </w:rPr>
              <w:t>20</w:t>
            </w:r>
          </w:p>
        </w:tc>
      </w:tr>
      <w:tr w:rsidRPr="00C47150" w:rsidR="0088351C" w:rsidTr="00A639D4" w14:paraId="36DB7A12" w14:textId="77777777">
        <w:trPr>
          <w:trHeight w:val="305"/>
          <w:jc w:val="center"/>
        </w:trPr>
        <w:tc>
          <w:tcPr>
            <w:tcW w:w="6864" w:type="dxa"/>
            <w:hideMark/>
          </w:tcPr>
          <w:p w:rsidRPr="0047482B" w:rsidR="0088351C" w:rsidP="00EA6D44" w:rsidRDefault="0088351C" w14:paraId="053C5A1A" w14:textId="77777777">
            <w:pPr>
              <w:keepNext/>
              <w:keepLines/>
              <w:spacing w:after="0"/>
              <w:rPr>
                <w:sz w:val="20"/>
                <w:szCs w:val="20"/>
              </w:rPr>
            </w:pPr>
            <w:r w:rsidRPr="00732012">
              <w:rPr>
                <w:sz w:val="20"/>
                <w:szCs w:val="20"/>
              </w:rPr>
              <w:t xml:space="preserve"># of TINs submitting data for All-Payer QP Determinations (b) </w:t>
            </w:r>
          </w:p>
        </w:tc>
        <w:tc>
          <w:tcPr>
            <w:tcW w:w="2136" w:type="dxa"/>
            <w:noWrap/>
            <w:vAlign w:val="bottom"/>
          </w:tcPr>
          <w:p w:rsidRPr="0047482B" w:rsidR="0088351C" w:rsidP="00EA6D44" w:rsidRDefault="00225C8A" w14:paraId="775945E6" w14:textId="72CD0CDB">
            <w:pPr>
              <w:keepNext/>
              <w:keepLines/>
              <w:spacing w:after="0"/>
              <w:rPr>
                <w:sz w:val="20"/>
                <w:szCs w:val="20"/>
              </w:rPr>
            </w:pPr>
            <w:r>
              <w:rPr>
                <w:sz w:val="20"/>
                <w:szCs w:val="20"/>
              </w:rPr>
              <w:t>448</w:t>
            </w:r>
          </w:p>
        </w:tc>
      </w:tr>
      <w:tr w:rsidRPr="00C47150" w:rsidR="0088351C" w:rsidTr="00A639D4" w14:paraId="230D798A" w14:textId="77777777">
        <w:trPr>
          <w:trHeight w:val="260"/>
          <w:jc w:val="center"/>
        </w:trPr>
        <w:tc>
          <w:tcPr>
            <w:tcW w:w="6864" w:type="dxa"/>
            <w:hideMark/>
          </w:tcPr>
          <w:p w:rsidRPr="0047482B" w:rsidR="0088351C" w:rsidP="00EA6D44" w:rsidRDefault="0088351C" w14:paraId="1CE6E593" w14:textId="77777777">
            <w:pPr>
              <w:keepNext/>
              <w:keepLines/>
              <w:spacing w:after="0"/>
              <w:rPr>
                <w:sz w:val="20"/>
                <w:szCs w:val="20"/>
              </w:rPr>
            </w:pPr>
            <w:r w:rsidRPr="00732012">
              <w:rPr>
                <w:sz w:val="20"/>
                <w:szCs w:val="20"/>
              </w:rPr>
              <w:t># of eligible submitting data for All-Payer QP Determinations (c)</w:t>
            </w:r>
          </w:p>
        </w:tc>
        <w:tc>
          <w:tcPr>
            <w:tcW w:w="2136" w:type="dxa"/>
            <w:vAlign w:val="bottom"/>
          </w:tcPr>
          <w:p w:rsidRPr="0047482B" w:rsidR="0088351C" w:rsidP="00EA6D44" w:rsidRDefault="0088351C" w14:paraId="6101F47E" w14:textId="3CB2F16C">
            <w:pPr>
              <w:keepNext/>
              <w:keepLines/>
              <w:spacing w:after="0"/>
              <w:rPr>
                <w:sz w:val="20"/>
                <w:szCs w:val="20"/>
              </w:rPr>
            </w:pPr>
            <w:r>
              <w:rPr>
                <w:sz w:val="20"/>
                <w:szCs w:val="20"/>
              </w:rPr>
              <w:t>8</w:t>
            </w:r>
            <w:r w:rsidR="00225C8A">
              <w:rPr>
                <w:sz w:val="20"/>
                <w:szCs w:val="20"/>
              </w:rPr>
              <w:t>3</w:t>
            </w:r>
          </w:p>
        </w:tc>
      </w:tr>
      <w:tr w:rsidRPr="00C47150" w:rsidR="00685AE4" w:rsidTr="00A639D4" w14:paraId="7FD4BE6E" w14:textId="77777777">
        <w:trPr>
          <w:trHeight w:val="260"/>
          <w:jc w:val="center"/>
        </w:trPr>
        <w:tc>
          <w:tcPr>
            <w:tcW w:w="6864" w:type="dxa"/>
          </w:tcPr>
          <w:p w:rsidRPr="00732012" w:rsidR="00685AE4" w:rsidP="00685AE4" w:rsidRDefault="00685AE4" w14:paraId="52B06E3F" w14:textId="0A49A508">
            <w:pPr>
              <w:keepNext/>
              <w:keepLines/>
              <w:spacing w:after="0"/>
              <w:rPr>
                <w:sz w:val="20"/>
                <w:szCs w:val="20"/>
              </w:rPr>
            </w:pPr>
            <w:r w:rsidRPr="00225C8A">
              <w:rPr>
                <w:b/>
                <w:sz w:val="20"/>
                <w:szCs w:val="20"/>
              </w:rPr>
              <w:t xml:space="preserve">Total </w:t>
            </w:r>
            <w:r w:rsidR="000B10C9">
              <w:rPr>
                <w:b/>
                <w:sz w:val="20"/>
                <w:szCs w:val="20"/>
              </w:rPr>
              <w:t># of Respondents</w:t>
            </w:r>
            <w:r w:rsidRPr="00225C8A">
              <w:rPr>
                <w:b/>
                <w:sz w:val="20"/>
                <w:szCs w:val="20"/>
              </w:rPr>
              <w:t xml:space="preserve"> (</w:t>
            </w:r>
            <w:r w:rsidR="000B10C9">
              <w:rPr>
                <w:b/>
                <w:sz w:val="20"/>
                <w:szCs w:val="20"/>
              </w:rPr>
              <w:t>d</w:t>
            </w:r>
            <w:r w:rsidRPr="00225C8A">
              <w:rPr>
                <w:b/>
                <w:sz w:val="20"/>
                <w:szCs w:val="20"/>
              </w:rPr>
              <w:t xml:space="preserve">) = </w:t>
            </w:r>
            <w:r w:rsidR="00D061B9">
              <w:rPr>
                <w:b/>
                <w:sz w:val="20"/>
                <w:szCs w:val="20"/>
              </w:rPr>
              <w:t>(a) + (b) + (c)</w:t>
            </w:r>
          </w:p>
        </w:tc>
        <w:tc>
          <w:tcPr>
            <w:tcW w:w="2136" w:type="dxa"/>
            <w:vAlign w:val="center"/>
          </w:tcPr>
          <w:p w:rsidR="00685AE4" w:rsidP="00685AE4" w:rsidRDefault="00067E7E" w14:paraId="55823915" w14:textId="464CCE8A">
            <w:pPr>
              <w:keepNext/>
              <w:keepLines/>
              <w:spacing w:after="0"/>
              <w:rPr>
                <w:sz w:val="20"/>
                <w:szCs w:val="20"/>
              </w:rPr>
            </w:pPr>
            <w:r>
              <w:rPr>
                <w:b/>
                <w:sz w:val="20"/>
                <w:szCs w:val="20"/>
              </w:rPr>
              <w:t>551</w:t>
            </w:r>
          </w:p>
        </w:tc>
      </w:tr>
      <w:tr w:rsidRPr="00C47150" w:rsidR="00685AE4" w:rsidTr="00A639D4" w14:paraId="17AE27D4" w14:textId="77777777">
        <w:trPr>
          <w:trHeight w:val="260"/>
          <w:jc w:val="center"/>
        </w:trPr>
        <w:tc>
          <w:tcPr>
            <w:tcW w:w="6864" w:type="dxa"/>
            <w:hideMark/>
          </w:tcPr>
          <w:p w:rsidRPr="0047482B" w:rsidR="00685AE4" w:rsidP="00685AE4" w:rsidRDefault="00685AE4" w14:paraId="56FC6EF6" w14:textId="0B9C6B8A">
            <w:pPr>
              <w:keepNext/>
              <w:keepLines/>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w:t>
            </w:r>
            <w:r w:rsidR="00D061B9">
              <w:rPr>
                <w:sz w:val="20"/>
                <w:szCs w:val="20"/>
              </w:rPr>
              <w:t>e</w:t>
            </w:r>
            <w:r w:rsidRPr="00732012">
              <w:rPr>
                <w:sz w:val="20"/>
                <w:szCs w:val="20"/>
              </w:rPr>
              <w:t>)</w:t>
            </w:r>
          </w:p>
        </w:tc>
        <w:tc>
          <w:tcPr>
            <w:tcW w:w="2136" w:type="dxa"/>
            <w:vAlign w:val="center"/>
          </w:tcPr>
          <w:p w:rsidRPr="0047482B" w:rsidR="00685AE4" w:rsidP="00685AE4" w:rsidRDefault="00685AE4" w14:paraId="2D39A650" w14:textId="77777777">
            <w:pPr>
              <w:keepNext/>
              <w:keepLines/>
              <w:spacing w:after="0"/>
              <w:rPr>
                <w:sz w:val="20"/>
                <w:szCs w:val="20"/>
              </w:rPr>
            </w:pPr>
            <w:r>
              <w:rPr>
                <w:sz w:val="20"/>
                <w:szCs w:val="20"/>
              </w:rPr>
              <w:t>5</w:t>
            </w:r>
          </w:p>
        </w:tc>
      </w:tr>
      <w:tr w:rsidRPr="00C47150" w:rsidR="00685AE4" w:rsidTr="00225C8A" w14:paraId="186DA406" w14:textId="77777777">
        <w:trPr>
          <w:trHeight w:val="287"/>
          <w:jc w:val="center"/>
        </w:trPr>
        <w:tc>
          <w:tcPr>
            <w:tcW w:w="6864" w:type="dxa"/>
            <w:shd w:val="clear" w:color="auto" w:fill="D9D9D9" w:themeFill="background1" w:themeFillShade="D9"/>
            <w:hideMark/>
          </w:tcPr>
          <w:p w:rsidRPr="00225C8A" w:rsidR="00685AE4" w:rsidP="00685AE4" w:rsidRDefault="00685AE4" w14:paraId="0F3A9E8D" w14:textId="568B0896">
            <w:pPr>
              <w:spacing w:after="0"/>
              <w:rPr>
                <w:b/>
                <w:sz w:val="20"/>
                <w:szCs w:val="20"/>
              </w:rPr>
            </w:pPr>
            <w:r w:rsidRPr="00225C8A">
              <w:rPr>
                <w:b/>
                <w:sz w:val="20"/>
                <w:szCs w:val="20"/>
              </w:rPr>
              <w:t>Total Hours (</w:t>
            </w:r>
            <w:r w:rsidR="00D061B9">
              <w:rPr>
                <w:b/>
                <w:sz w:val="20"/>
                <w:szCs w:val="20"/>
              </w:rPr>
              <w:t>f</w:t>
            </w:r>
            <w:r w:rsidRPr="00225C8A">
              <w:rPr>
                <w:b/>
                <w:sz w:val="20"/>
                <w:szCs w:val="20"/>
              </w:rPr>
              <w:t xml:space="preserve">) = </w:t>
            </w:r>
            <w:r w:rsidR="00AC75D8">
              <w:rPr>
                <w:b/>
                <w:sz w:val="20"/>
                <w:szCs w:val="20"/>
              </w:rPr>
              <w:t>(d)</w:t>
            </w:r>
            <w:r w:rsidR="00D96441">
              <w:rPr>
                <w:b/>
                <w:sz w:val="20"/>
                <w:szCs w:val="20"/>
              </w:rPr>
              <w:t xml:space="preserve"> </w:t>
            </w:r>
            <w:r w:rsidR="00AC75D8">
              <w:rPr>
                <w:b/>
                <w:sz w:val="20"/>
                <w:szCs w:val="20"/>
              </w:rPr>
              <w:t>*</w:t>
            </w:r>
            <w:r w:rsidR="00D96441">
              <w:rPr>
                <w:b/>
                <w:sz w:val="20"/>
                <w:szCs w:val="20"/>
              </w:rPr>
              <w:t xml:space="preserve"> </w:t>
            </w:r>
            <w:r w:rsidR="00AC75D8">
              <w:rPr>
                <w:b/>
                <w:sz w:val="20"/>
                <w:szCs w:val="20"/>
              </w:rPr>
              <w:t>(e)</w:t>
            </w:r>
          </w:p>
        </w:tc>
        <w:tc>
          <w:tcPr>
            <w:tcW w:w="2136" w:type="dxa"/>
            <w:shd w:val="clear" w:color="auto" w:fill="D9D9D9" w:themeFill="background1" w:themeFillShade="D9"/>
            <w:vAlign w:val="center"/>
          </w:tcPr>
          <w:p w:rsidRPr="00225C8A" w:rsidR="00685AE4" w:rsidP="00685AE4" w:rsidRDefault="00685AE4" w14:paraId="56E132FB" w14:textId="0FFE1938">
            <w:pPr>
              <w:spacing w:after="0"/>
              <w:rPr>
                <w:b/>
                <w:sz w:val="20"/>
                <w:szCs w:val="20"/>
              </w:rPr>
            </w:pPr>
            <w:r>
              <w:rPr>
                <w:b/>
                <w:sz w:val="20"/>
                <w:szCs w:val="20"/>
              </w:rPr>
              <w:t>2,755</w:t>
            </w:r>
          </w:p>
        </w:tc>
      </w:tr>
      <w:tr w:rsidRPr="00C47150" w:rsidR="00685AE4" w:rsidTr="00A639D4" w14:paraId="79FC98D3" w14:textId="77777777">
        <w:trPr>
          <w:trHeight w:val="332"/>
          <w:jc w:val="center"/>
        </w:trPr>
        <w:tc>
          <w:tcPr>
            <w:tcW w:w="6864" w:type="dxa"/>
            <w:shd w:val="clear" w:color="auto" w:fill="auto"/>
            <w:hideMark/>
          </w:tcPr>
          <w:p w:rsidRPr="0047482B" w:rsidR="00685AE4" w:rsidP="00685AE4" w:rsidRDefault="00685AE4" w14:paraId="413A2FAE" w14:textId="414B792F">
            <w:pPr>
              <w:spacing w:after="0"/>
              <w:rPr>
                <w:sz w:val="20"/>
                <w:szCs w:val="20"/>
              </w:rPr>
            </w:pPr>
            <w:r w:rsidRPr="00732012">
              <w:rPr>
                <w:sz w:val="20"/>
                <w:szCs w:val="20"/>
              </w:rPr>
              <w:t xml:space="preserve">Labor rate for a </w:t>
            </w:r>
            <w:r>
              <w:rPr>
                <w:sz w:val="20"/>
                <w:szCs w:val="20"/>
              </w:rPr>
              <w:t>Medical and health services manager ($11</w:t>
            </w:r>
            <w:r w:rsidR="00F44FB6">
              <w:rPr>
                <w:sz w:val="20"/>
                <w:szCs w:val="20"/>
              </w:rPr>
              <w:t>5</w:t>
            </w:r>
            <w:r>
              <w:rPr>
                <w:sz w:val="20"/>
                <w:szCs w:val="20"/>
              </w:rPr>
              <w:t>.2</w:t>
            </w:r>
            <w:r w:rsidR="00F44FB6">
              <w:rPr>
                <w:sz w:val="20"/>
                <w:szCs w:val="20"/>
              </w:rPr>
              <w:t>2</w:t>
            </w:r>
            <w:r>
              <w:rPr>
                <w:sz w:val="20"/>
                <w:szCs w:val="20"/>
              </w:rPr>
              <w:t>/</w:t>
            </w:r>
            <w:proofErr w:type="spellStart"/>
            <w:r>
              <w:rPr>
                <w:sz w:val="20"/>
                <w:szCs w:val="20"/>
              </w:rPr>
              <w:t>hr</w:t>
            </w:r>
            <w:proofErr w:type="spellEnd"/>
            <w:r>
              <w:rPr>
                <w:sz w:val="20"/>
                <w:szCs w:val="20"/>
              </w:rPr>
              <w:t>)</w:t>
            </w:r>
            <w:r w:rsidRPr="00732012">
              <w:rPr>
                <w:sz w:val="20"/>
                <w:szCs w:val="20"/>
              </w:rPr>
              <w:t xml:space="preserve"> (</w:t>
            </w:r>
            <w:r w:rsidR="00E765D0">
              <w:rPr>
                <w:sz w:val="20"/>
                <w:szCs w:val="20"/>
              </w:rPr>
              <w:t>g</w:t>
            </w:r>
            <w:r w:rsidRPr="00732012">
              <w:rPr>
                <w:sz w:val="20"/>
                <w:szCs w:val="20"/>
              </w:rPr>
              <w:t>)</w:t>
            </w:r>
          </w:p>
        </w:tc>
        <w:tc>
          <w:tcPr>
            <w:tcW w:w="2136" w:type="dxa"/>
            <w:shd w:val="clear" w:color="auto" w:fill="auto"/>
            <w:vAlign w:val="center"/>
          </w:tcPr>
          <w:p w:rsidRPr="0047482B" w:rsidR="00685AE4" w:rsidP="00685AE4" w:rsidRDefault="00685AE4" w14:paraId="7043F435" w14:textId="2AA1C31E">
            <w:pPr>
              <w:spacing w:after="0"/>
              <w:rPr>
                <w:sz w:val="20"/>
                <w:szCs w:val="20"/>
              </w:rPr>
            </w:pPr>
            <w:r w:rsidRPr="00732012">
              <w:rPr>
                <w:sz w:val="20"/>
                <w:szCs w:val="20"/>
              </w:rPr>
              <w:t>$</w:t>
            </w:r>
            <w:r>
              <w:rPr>
                <w:sz w:val="20"/>
                <w:szCs w:val="20"/>
              </w:rPr>
              <w:t>11</w:t>
            </w:r>
            <w:r w:rsidR="00F44FB6">
              <w:rPr>
                <w:sz w:val="20"/>
                <w:szCs w:val="20"/>
              </w:rPr>
              <w:t>5</w:t>
            </w:r>
            <w:r>
              <w:rPr>
                <w:sz w:val="20"/>
                <w:szCs w:val="20"/>
              </w:rPr>
              <w:t>.2</w:t>
            </w:r>
            <w:r w:rsidR="00F44FB6">
              <w:rPr>
                <w:sz w:val="20"/>
                <w:szCs w:val="20"/>
              </w:rPr>
              <w:t>2</w:t>
            </w:r>
            <w:r w:rsidRPr="00732012">
              <w:rPr>
                <w:sz w:val="20"/>
                <w:szCs w:val="20"/>
              </w:rPr>
              <w:t>/</w:t>
            </w:r>
            <w:proofErr w:type="spellStart"/>
            <w:r w:rsidRPr="00732012">
              <w:rPr>
                <w:sz w:val="20"/>
                <w:szCs w:val="20"/>
              </w:rPr>
              <w:t>hr</w:t>
            </w:r>
            <w:proofErr w:type="spellEnd"/>
          </w:p>
        </w:tc>
      </w:tr>
      <w:tr w:rsidRPr="00C47150" w:rsidR="00685AE4" w:rsidTr="00A639D4" w14:paraId="4CBB87E1" w14:textId="77777777">
        <w:trPr>
          <w:trHeight w:val="332"/>
          <w:jc w:val="center"/>
        </w:trPr>
        <w:tc>
          <w:tcPr>
            <w:tcW w:w="6864" w:type="dxa"/>
            <w:shd w:val="clear" w:color="auto" w:fill="BFBFBF" w:themeFill="background1" w:themeFillShade="BF"/>
          </w:tcPr>
          <w:p w:rsidRPr="00225C8A" w:rsidR="00685AE4" w:rsidP="00685AE4" w:rsidRDefault="00685AE4" w14:paraId="6A7FD55B" w14:textId="1E7B6185">
            <w:pPr>
              <w:spacing w:after="0"/>
              <w:rPr>
                <w:b/>
                <w:sz w:val="20"/>
                <w:szCs w:val="20"/>
              </w:rPr>
            </w:pPr>
            <w:r w:rsidRPr="00225C8A">
              <w:rPr>
                <w:b/>
                <w:sz w:val="20"/>
                <w:szCs w:val="20"/>
              </w:rPr>
              <w:t>Total Annual Cost (</w:t>
            </w:r>
            <w:r w:rsidR="00E765D0">
              <w:rPr>
                <w:b/>
                <w:sz w:val="20"/>
                <w:szCs w:val="20"/>
              </w:rPr>
              <w:t>h</w:t>
            </w:r>
            <w:r w:rsidRPr="00225C8A">
              <w:rPr>
                <w:b/>
                <w:sz w:val="20"/>
                <w:szCs w:val="20"/>
              </w:rPr>
              <w:t>) = (</w:t>
            </w:r>
            <w:r w:rsidR="00BF1B23">
              <w:rPr>
                <w:b/>
                <w:sz w:val="20"/>
                <w:szCs w:val="20"/>
              </w:rPr>
              <w:t>f</w:t>
            </w:r>
            <w:r w:rsidRPr="00225C8A">
              <w:rPr>
                <w:b/>
                <w:sz w:val="20"/>
                <w:szCs w:val="20"/>
              </w:rPr>
              <w:t>)</w:t>
            </w:r>
            <w:r w:rsidR="00D96441">
              <w:rPr>
                <w:b/>
                <w:sz w:val="20"/>
                <w:szCs w:val="20"/>
              </w:rPr>
              <w:t xml:space="preserve"> </w:t>
            </w:r>
            <w:r w:rsidRPr="00225C8A">
              <w:rPr>
                <w:b/>
                <w:sz w:val="20"/>
                <w:szCs w:val="20"/>
              </w:rPr>
              <w:t>*</w:t>
            </w:r>
            <w:r w:rsidR="00D96441">
              <w:rPr>
                <w:b/>
                <w:sz w:val="20"/>
                <w:szCs w:val="20"/>
              </w:rPr>
              <w:t xml:space="preserve"> </w:t>
            </w:r>
            <w:r w:rsidRPr="00225C8A">
              <w:rPr>
                <w:b/>
                <w:sz w:val="20"/>
                <w:szCs w:val="20"/>
              </w:rPr>
              <w:t>(</w:t>
            </w:r>
            <w:r w:rsidR="00BF1B23">
              <w:rPr>
                <w:b/>
                <w:sz w:val="20"/>
                <w:szCs w:val="20"/>
              </w:rPr>
              <w:t>g</w:t>
            </w:r>
            <w:r w:rsidRPr="00225C8A">
              <w:rPr>
                <w:b/>
                <w:sz w:val="20"/>
                <w:szCs w:val="20"/>
              </w:rPr>
              <w:t>)</w:t>
            </w:r>
          </w:p>
        </w:tc>
        <w:tc>
          <w:tcPr>
            <w:tcW w:w="2136" w:type="dxa"/>
            <w:shd w:val="clear" w:color="auto" w:fill="BFBFBF" w:themeFill="background1" w:themeFillShade="BF"/>
            <w:vAlign w:val="center"/>
          </w:tcPr>
          <w:p w:rsidRPr="00225C8A" w:rsidR="00685AE4" w:rsidP="00685AE4" w:rsidRDefault="00685AE4" w14:paraId="4528E3E4" w14:textId="65F81D69">
            <w:pPr>
              <w:spacing w:after="0"/>
              <w:rPr>
                <w:b/>
                <w:sz w:val="20"/>
                <w:szCs w:val="20"/>
              </w:rPr>
            </w:pPr>
            <w:r w:rsidRPr="00225C8A">
              <w:rPr>
                <w:b/>
                <w:sz w:val="20"/>
                <w:szCs w:val="20"/>
              </w:rPr>
              <w:t>$</w:t>
            </w:r>
            <w:r>
              <w:rPr>
                <w:b/>
                <w:sz w:val="20"/>
                <w:szCs w:val="20"/>
              </w:rPr>
              <w:t>31</w:t>
            </w:r>
            <w:r w:rsidR="00427185">
              <w:rPr>
                <w:b/>
                <w:sz w:val="20"/>
                <w:szCs w:val="20"/>
              </w:rPr>
              <w:t>7</w:t>
            </w:r>
            <w:r>
              <w:rPr>
                <w:b/>
                <w:sz w:val="20"/>
                <w:szCs w:val="20"/>
              </w:rPr>
              <w:t>,</w:t>
            </w:r>
            <w:r w:rsidR="00427185">
              <w:rPr>
                <w:b/>
                <w:sz w:val="20"/>
                <w:szCs w:val="20"/>
              </w:rPr>
              <w:t>4</w:t>
            </w:r>
            <w:r>
              <w:rPr>
                <w:b/>
                <w:sz w:val="20"/>
                <w:szCs w:val="20"/>
              </w:rPr>
              <w:t>31</w:t>
            </w:r>
          </w:p>
        </w:tc>
      </w:tr>
    </w:tbl>
    <w:p w:rsidR="0088351C" w:rsidP="0088351C" w:rsidRDefault="0088351C" w14:paraId="15403F0B" w14:textId="6065CD15"/>
    <w:p w:rsidRPr="00136D86" w:rsidR="0088351C" w:rsidP="003D552B" w:rsidRDefault="0088351C" w14:paraId="5A7DC3D2" w14:textId="3066F572">
      <w:pPr>
        <w:pStyle w:val="Heading3"/>
      </w:pPr>
      <w:bookmarkStart w:name="_Hlk532899326" w:id="15"/>
      <w:r w:rsidRPr="00136D86">
        <w:t>Burden Estimate for Voluntary Participants to Elect Opt-Out of Performance Data Display on Compare</w:t>
      </w:r>
      <w:r w:rsidR="00FA1E37">
        <w:t xml:space="preserve"> Tools</w:t>
      </w:r>
    </w:p>
    <w:bookmarkEnd w:id="15"/>
    <w:p w:rsidRPr="003A6FE0" w:rsidR="006729C8" w:rsidP="00E12B53" w:rsidRDefault="005B2010" w14:paraId="36351A6A" w14:textId="26C1D0A4">
      <w:pPr>
        <w:rPr>
          <w:rFonts w:ascii="Calibri" w:hAnsi="Calibri" w:eastAsia="Calibri" w:cs="Calibri"/>
          <w:color w:val="000000"/>
          <w:sz w:val="22"/>
          <w:szCs w:val="22"/>
        </w:rPr>
      </w:pPr>
      <w:r>
        <w:rPr>
          <w:rFonts w:eastAsia="Calibri"/>
        </w:rPr>
        <w:t>For the CY 2023 performance period/2025 MIPS payment year, w</w:t>
      </w:r>
      <w:r w:rsidRPr="00CC2BFB" w:rsidR="00D27CC7">
        <w:rPr>
          <w:rFonts w:eastAsia="Calibri"/>
        </w:rPr>
        <w:t xml:space="preserve">e </w:t>
      </w:r>
      <w:r>
        <w:rPr>
          <w:rFonts w:eastAsia="Calibri"/>
        </w:rPr>
        <w:t xml:space="preserve">continue to </w:t>
      </w:r>
      <w:r w:rsidRPr="00CC2BFB" w:rsidR="00D27CC7">
        <w:rPr>
          <w:rFonts w:eastAsia="Calibri"/>
        </w:rPr>
        <w:t xml:space="preserve">estimate </w:t>
      </w:r>
      <w:r>
        <w:rPr>
          <w:rFonts w:eastAsia="Calibri"/>
        </w:rPr>
        <w:t xml:space="preserve">that </w:t>
      </w:r>
      <w:r w:rsidR="001237C2">
        <w:rPr>
          <w:rFonts w:eastAsia="Calibri"/>
        </w:rPr>
        <w:t>0.1</w:t>
      </w:r>
      <w:r w:rsidRPr="00CC2BFB" w:rsidR="00D27CC7">
        <w:rPr>
          <w:rFonts w:eastAsia="Calibri"/>
        </w:rPr>
        <w:t xml:space="preserve"> percent of the total clinicians and groups who will voluntarily participate in MIPS will also elect not to participate in public reporting.  </w:t>
      </w:r>
      <w:r w:rsidRPr="00367710" w:rsidR="00367710">
        <w:rPr>
          <w:rFonts w:eastAsia="Calibri"/>
        </w:rPr>
        <w:t xml:space="preserve">This results in a total of </w:t>
      </w:r>
      <w:r w:rsidR="0063585D">
        <w:rPr>
          <w:rFonts w:eastAsia="Calibri"/>
        </w:rPr>
        <w:t>3</w:t>
      </w:r>
      <w:r w:rsidR="00B35F12">
        <w:rPr>
          <w:rFonts w:eastAsia="Calibri"/>
        </w:rPr>
        <w:t>8</w:t>
      </w:r>
      <w:r w:rsidRPr="00367710" w:rsidR="00367710">
        <w:rPr>
          <w:rFonts w:eastAsia="Calibri"/>
        </w:rPr>
        <w:t xml:space="preserve"> (0.</w:t>
      </w:r>
      <w:r w:rsidR="007C12F1">
        <w:rPr>
          <w:rFonts w:eastAsia="Calibri"/>
        </w:rPr>
        <w:t>001</w:t>
      </w:r>
      <w:r w:rsidRPr="00367710" w:rsidR="00367710">
        <w:rPr>
          <w:rFonts w:eastAsia="Calibri"/>
        </w:rPr>
        <w:t xml:space="preserve"> x </w:t>
      </w:r>
      <w:r w:rsidR="0063585D">
        <w:rPr>
          <w:rFonts w:eastAsia="Calibri"/>
        </w:rPr>
        <w:t>3</w:t>
      </w:r>
      <w:r w:rsidR="00C0190D">
        <w:rPr>
          <w:rFonts w:eastAsia="Calibri"/>
        </w:rPr>
        <w:t>7,934</w:t>
      </w:r>
      <w:r w:rsidRPr="00367710" w:rsidR="00367710">
        <w:rPr>
          <w:rFonts w:eastAsia="Calibri"/>
        </w:rPr>
        <w:t xml:space="preserve"> voluntary MIPS participants) clinicians and groups</w:t>
      </w:r>
      <w:r w:rsidR="00DF3437">
        <w:rPr>
          <w:rFonts w:eastAsia="Calibri"/>
        </w:rPr>
        <w:t xml:space="preserve"> that </w:t>
      </w:r>
      <w:r w:rsidR="00F71F17">
        <w:rPr>
          <w:rFonts w:eastAsia="Calibri"/>
        </w:rPr>
        <w:t>will voluntarily o</w:t>
      </w:r>
      <w:r w:rsidR="00E26CBD">
        <w:rPr>
          <w:rFonts w:eastAsia="Calibri"/>
        </w:rPr>
        <w:t xml:space="preserve">pt-out </w:t>
      </w:r>
      <w:r w:rsidR="0045663C">
        <w:rPr>
          <w:rFonts w:eastAsia="Calibri"/>
        </w:rPr>
        <w:t>of public reporting</w:t>
      </w:r>
      <w:r w:rsidR="00075E52">
        <w:rPr>
          <w:rFonts w:eastAsia="Calibri"/>
        </w:rPr>
        <w:t xml:space="preserve"> on Compare </w:t>
      </w:r>
      <w:r w:rsidR="009B2DFD">
        <w:rPr>
          <w:rFonts w:eastAsia="Calibri"/>
        </w:rPr>
        <w:t>T</w:t>
      </w:r>
      <w:r w:rsidR="00075E52">
        <w:rPr>
          <w:rFonts w:eastAsia="Calibri"/>
        </w:rPr>
        <w:t>ools</w:t>
      </w:r>
      <w:r w:rsidR="0045663C">
        <w:rPr>
          <w:rFonts w:eastAsia="Calibri"/>
        </w:rPr>
        <w:t>.</w:t>
      </w:r>
      <w:r w:rsidRPr="00367710" w:rsidR="00367710">
        <w:rPr>
          <w:rFonts w:eastAsia="Calibri"/>
        </w:rPr>
        <w:t xml:space="preserve">  Voluntary MIPS participants are clinicians that are not QPs and are expected to be excluded from MIPS after applying the eligibility requirements set out in the CY 2019 PFS final rule but have elected to submit data to MIPS.  </w:t>
      </w:r>
      <w:r w:rsidR="007B664F">
        <w:rPr>
          <w:rFonts w:eastAsia="Calibri"/>
        </w:rPr>
        <w:t>W</w:t>
      </w:r>
      <w:r w:rsidRPr="00367710" w:rsidR="00367710">
        <w:rPr>
          <w:rFonts w:eastAsia="Calibri"/>
        </w:rPr>
        <w:t xml:space="preserve">e estimate </w:t>
      </w:r>
      <w:r w:rsidR="0038547D">
        <w:rPr>
          <w:rFonts w:eastAsia="Calibri"/>
        </w:rPr>
        <w:t>clinicians who</w:t>
      </w:r>
      <w:r w:rsidRPr="00367710" w:rsidR="00367710">
        <w:rPr>
          <w:rFonts w:eastAsia="Calibri"/>
        </w:rPr>
        <w:t xml:space="preserve"> exceed one (1) of the low-volume criteria, but not all three (3), elect</w:t>
      </w:r>
      <w:r w:rsidR="0038547D">
        <w:rPr>
          <w:rFonts w:eastAsia="Calibri"/>
        </w:rPr>
        <w:t>ed</w:t>
      </w:r>
      <w:r w:rsidRPr="00367710" w:rsidR="00367710">
        <w:rPr>
          <w:rFonts w:eastAsia="Calibri"/>
        </w:rPr>
        <w:t xml:space="preserve"> to opt-in to MIPS</w:t>
      </w:r>
      <w:r w:rsidR="0038547D">
        <w:rPr>
          <w:rFonts w:eastAsia="Calibri"/>
        </w:rPr>
        <w:t xml:space="preserve"> and submitted data in </w:t>
      </w:r>
      <w:r w:rsidR="00467F54">
        <w:rPr>
          <w:rFonts w:eastAsia="Calibri"/>
        </w:rPr>
        <w:t xml:space="preserve">the </w:t>
      </w:r>
      <w:r w:rsidR="0038547D">
        <w:rPr>
          <w:rFonts w:eastAsia="Calibri"/>
        </w:rPr>
        <w:t>CY 2019</w:t>
      </w:r>
      <w:r w:rsidR="00DB2258">
        <w:rPr>
          <w:rFonts w:eastAsia="Calibri"/>
        </w:rPr>
        <w:t xml:space="preserve"> performance period/2021 MIPS payment year</w:t>
      </w:r>
      <w:r w:rsidR="0038547D">
        <w:rPr>
          <w:rFonts w:eastAsia="Calibri"/>
        </w:rPr>
        <w:t xml:space="preserve"> will con</w:t>
      </w:r>
      <w:r w:rsidR="0072386B">
        <w:rPr>
          <w:rFonts w:eastAsia="Calibri"/>
        </w:rPr>
        <w:t xml:space="preserve">tinue to do so in </w:t>
      </w:r>
      <w:r w:rsidR="00467F54">
        <w:rPr>
          <w:rFonts w:eastAsia="Calibri"/>
        </w:rPr>
        <w:t xml:space="preserve">the </w:t>
      </w:r>
      <w:r w:rsidR="0072386B">
        <w:rPr>
          <w:rFonts w:eastAsia="Calibri"/>
        </w:rPr>
        <w:t>CY 202</w:t>
      </w:r>
      <w:r w:rsidR="007B664F">
        <w:rPr>
          <w:rFonts w:eastAsia="Calibri"/>
        </w:rPr>
        <w:t>3</w:t>
      </w:r>
      <w:r w:rsidR="00DB2258">
        <w:rPr>
          <w:rFonts w:eastAsia="Calibri"/>
        </w:rPr>
        <w:t xml:space="preserve"> performance period/202</w:t>
      </w:r>
      <w:r w:rsidR="007B664F">
        <w:rPr>
          <w:rFonts w:eastAsia="Calibri"/>
        </w:rPr>
        <w:t>5</w:t>
      </w:r>
      <w:r w:rsidR="00DB2258">
        <w:rPr>
          <w:rFonts w:eastAsia="Calibri"/>
        </w:rPr>
        <w:t xml:space="preserve"> MIPS payment year</w:t>
      </w:r>
      <w:r w:rsidRPr="006729C8" w:rsidR="006729C8">
        <w:rPr>
          <w:rFonts w:eastAsia="Calibri"/>
        </w:rPr>
        <w:t>.</w:t>
      </w:r>
    </w:p>
    <w:p w:rsidR="00F7398F" w:rsidP="00E12B53" w:rsidRDefault="007B664F" w14:paraId="12432B04" w14:textId="38388A9D">
      <w:pPr>
        <w:rPr>
          <w:rFonts w:eastAsia="Calibri"/>
        </w:rPr>
      </w:pPr>
      <w:r>
        <w:rPr>
          <w:rFonts w:eastAsia="Calibri"/>
        </w:rPr>
        <w:t xml:space="preserve">As shown in </w:t>
      </w:r>
      <w:r w:rsidRPr="00D74A09" w:rsidR="00D74A09">
        <w:rPr>
          <w:rFonts w:eastAsia="Calibri"/>
        </w:rPr>
        <w:t xml:space="preserve">Table </w:t>
      </w:r>
      <w:r>
        <w:rPr>
          <w:rFonts w:eastAsia="Calibri"/>
        </w:rPr>
        <w:t>26</w:t>
      </w:r>
      <w:r w:rsidRPr="00D74A09" w:rsidR="00D74A09">
        <w:rPr>
          <w:rFonts w:eastAsia="Calibri"/>
        </w:rPr>
        <w:t xml:space="preserve">, we estimate </w:t>
      </w:r>
      <w:r>
        <w:rPr>
          <w:rFonts w:eastAsia="Calibri"/>
        </w:rPr>
        <w:t xml:space="preserve">that </w:t>
      </w:r>
      <w:r w:rsidRPr="00D74A09" w:rsidR="00D74A09">
        <w:rPr>
          <w:rFonts w:eastAsia="Calibri"/>
        </w:rPr>
        <w:t>it w</w:t>
      </w:r>
      <w:r w:rsidR="00B5001B">
        <w:rPr>
          <w:rFonts w:eastAsia="Calibri"/>
        </w:rPr>
        <w:t>ould</w:t>
      </w:r>
      <w:r w:rsidRPr="00D74A09" w:rsidR="00D74A09">
        <w:rPr>
          <w:rFonts w:eastAsia="Calibri"/>
        </w:rPr>
        <w:t xml:space="preserve"> take 0.25 hours at $9</w:t>
      </w:r>
      <w:r>
        <w:rPr>
          <w:rFonts w:eastAsia="Calibri"/>
        </w:rPr>
        <w:t>8</w:t>
      </w:r>
      <w:r w:rsidR="00E60513">
        <w:rPr>
          <w:rFonts w:eastAsia="Calibri"/>
        </w:rPr>
        <w:t>.2</w:t>
      </w:r>
      <w:r>
        <w:rPr>
          <w:rFonts w:eastAsia="Calibri"/>
        </w:rPr>
        <w:t>8</w:t>
      </w:r>
      <w:r w:rsidRPr="00D74A09" w:rsidR="00D74A09">
        <w:rPr>
          <w:rFonts w:eastAsia="Calibri"/>
        </w:rPr>
        <w:t>/</w:t>
      </w:r>
      <w:proofErr w:type="spellStart"/>
      <w:r w:rsidRPr="00D74A09" w:rsidR="00D74A09">
        <w:rPr>
          <w:rFonts w:eastAsia="Calibri"/>
        </w:rPr>
        <w:t>hr</w:t>
      </w:r>
      <w:proofErr w:type="spellEnd"/>
      <w:r w:rsidRPr="00D74A09" w:rsidR="00D74A09">
        <w:rPr>
          <w:rFonts w:eastAsia="Calibri"/>
        </w:rPr>
        <w:t xml:space="preserve"> for a computer system analyst to submit a request to opt-out.  </w:t>
      </w:r>
      <w:r w:rsidRPr="00107DFD" w:rsidR="00107DFD">
        <w:rPr>
          <w:rFonts w:eastAsia="Calibri"/>
        </w:rPr>
        <w:t xml:space="preserve">In aggregate, we estimate an annual burden of </w:t>
      </w:r>
      <w:r w:rsidR="00EB600B">
        <w:rPr>
          <w:rFonts w:eastAsia="Calibri"/>
        </w:rPr>
        <w:t>10</w:t>
      </w:r>
      <w:r w:rsidRPr="00107DFD" w:rsidR="00107DFD">
        <w:rPr>
          <w:rFonts w:eastAsia="Calibri"/>
        </w:rPr>
        <w:t xml:space="preserve"> hours (</w:t>
      </w:r>
      <w:r w:rsidR="00321C69">
        <w:rPr>
          <w:rFonts w:eastAsia="Calibri"/>
        </w:rPr>
        <w:t>38</w:t>
      </w:r>
      <w:r w:rsidRPr="00107DFD" w:rsidR="00107DFD">
        <w:rPr>
          <w:rFonts w:eastAsia="Calibri"/>
        </w:rPr>
        <w:t xml:space="preserve"> requests x 0.25 </w:t>
      </w:r>
      <w:proofErr w:type="spellStart"/>
      <w:r w:rsidRPr="00107DFD" w:rsidR="00107DFD">
        <w:rPr>
          <w:rFonts w:eastAsia="Calibri"/>
        </w:rPr>
        <w:t>hr</w:t>
      </w:r>
      <w:proofErr w:type="spellEnd"/>
      <w:r w:rsidRPr="00107DFD" w:rsidR="00107DFD">
        <w:rPr>
          <w:rFonts w:eastAsia="Calibri"/>
        </w:rPr>
        <w:t>/request) a</w:t>
      </w:r>
      <w:r w:rsidR="00520CC6">
        <w:rPr>
          <w:rFonts w:eastAsia="Calibri"/>
        </w:rPr>
        <w:t xml:space="preserve">t a cost </w:t>
      </w:r>
      <w:r w:rsidR="00BC3840">
        <w:rPr>
          <w:rFonts w:eastAsia="Calibri"/>
        </w:rPr>
        <w:t xml:space="preserve">of </w:t>
      </w:r>
      <w:r w:rsidRPr="00107DFD" w:rsidR="00BC3840">
        <w:rPr>
          <w:rFonts w:eastAsia="Calibri"/>
        </w:rPr>
        <w:t>$</w:t>
      </w:r>
      <w:r w:rsidR="00DE3351">
        <w:rPr>
          <w:rFonts w:eastAsia="Calibri"/>
        </w:rPr>
        <w:t>9</w:t>
      </w:r>
      <w:r w:rsidR="00AD5777">
        <w:rPr>
          <w:rFonts w:eastAsia="Calibri"/>
        </w:rPr>
        <w:t>83</w:t>
      </w:r>
      <w:r w:rsidRPr="00107DFD" w:rsidR="00107DFD">
        <w:rPr>
          <w:rFonts w:eastAsia="Calibri"/>
        </w:rPr>
        <w:t xml:space="preserve"> (</w:t>
      </w:r>
      <w:r w:rsidR="00AD5777">
        <w:rPr>
          <w:rFonts w:eastAsia="Calibri"/>
        </w:rPr>
        <w:t>10</w:t>
      </w:r>
      <w:r w:rsidRPr="00107DFD" w:rsidR="00107DFD">
        <w:rPr>
          <w:rFonts w:eastAsia="Calibri"/>
        </w:rPr>
        <w:t xml:space="preserve"> </w:t>
      </w:r>
      <w:proofErr w:type="spellStart"/>
      <w:r w:rsidRPr="00107DFD" w:rsidR="00107DFD">
        <w:rPr>
          <w:rFonts w:eastAsia="Calibri"/>
        </w:rPr>
        <w:t>hr</w:t>
      </w:r>
      <w:proofErr w:type="spellEnd"/>
      <w:r w:rsidRPr="00107DFD" w:rsidR="00107DFD">
        <w:rPr>
          <w:rFonts w:eastAsia="Calibri"/>
        </w:rPr>
        <w:t xml:space="preserve"> x $9</w:t>
      </w:r>
      <w:r w:rsidR="00AD5777">
        <w:rPr>
          <w:rFonts w:eastAsia="Calibri"/>
        </w:rPr>
        <w:t>8</w:t>
      </w:r>
      <w:r w:rsidR="00E30CF4">
        <w:rPr>
          <w:rFonts w:eastAsia="Calibri"/>
        </w:rPr>
        <w:t>.2</w:t>
      </w:r>
      <w:r w:rsidR="00AD5777">
        <w:rPr>
          <w:rFonts w:eastAsia="Calibri"/>
        </w:rPr>
        <w:t>8</w:t>
      </w:r>
      <w:r w:rsidRPr="00107DFD" w:rsidR="00107DFD">
        <w:rPr>
          <w:rFonts w:eastAsia="Calibri"/>
        </w:rPr>
        <w:t>/</w:t>
      </w:r>
      <w:proofErr w:type="spellStart"/>
      <w:r w:rsidRPr="00107DFD" w:rsidR="00107DFD">
        <w:rPr>
          <w:rFonts w:eastAsia="Calibri"/>
        </w:rPr>
        <w:t>hr</w:t>
      </w:r>
      <w:proofErr w:type="spellEnd"/>
      <w:r w:rsidRPr="00107DFD" w:rsidR="00107DFD">
        <w:rPr>
          <w:rFonts w:eastAsia="Calibri"/>
        </w:rPr>
        <w:t>)</w:t>
      </w:r>
      <w:r w:rsidRPr="00CC2BFB" w:rsidR="008D5F2A">
        <w:rPr>
          <w:rFonts w:eastAsia="Calibri"/>
        </w:rPr>
        <w:t xml:space="preserve">.   </w:t>
      </w:r>
    </w:p>
    <w:p w:rsidRPr="00C47150" w:rsidR="0088351C" w:rsidP="00885DCA" w:rsidRDefault="0088351C" w14:paraId="1A8574DD" w14:textId="7FC6D53D">
      <w:pPr>
        <w:spacing w:after="0"/>
        <w:ind w:firstLine="720"/>
        <w:jc w:val="center"/>
        <w:rPr>
          <w:b/>
          <w:bCs/>
        </w:rPr>
      </w:pPr>
      <w:r w:rsidRPr="001376EC">
        <w:rPr>
          <w:b/>
          <w:bCs/>
        </w:rPr>
        <w:t xml:space="preserve">TABLE </w:t>
      </w:r>
      <w:r w:rsidR="007B664F">
        <w:rPr>
          <w:b/>
          <w:bCs/>
        </w:rPr>
        <w:t>26</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name="_Hlk493192926" w:id="16"/>
      <w:r w:rsidRPr="00C47150">
        <w:rPr>
          <w:b/>
          <w:bCs/>
        </w:rPr>
        <w:t xml:space="preserve">Voluntary Participants to Elect </w:t>
      </w:r>
      <w:proofErr w:type="spellStart"/>
      <w:r w:rsidRPr="00C47150">
        <w:rPr>
          <w:b/>
          <w:bCs/>
        </w:rPr>
        <w:t>Opt</w:t>
      </w:r>
      <w:proofErr w:type="spellEnd"/>
      <w:r w:rsidRPr="00C47150">
        <w:rPr>
          <w:b/>
          <w:bCs/>
        </w:rPr>
        <w:t xml:space="preserve"> Out of Performance Data Display on Physician Compare</w:t>
      </w:r>
      <w:bookmarkEnd w:id="16"/>
      <w:r w:rsidR="00A7669E">
        <w:rPr>
          <w:b/>
          <w:bCs/>
        </w:rPr>
        <w:t xml:space="preserve"> </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4"/>
        <w:gridCol w:w="1366"/>
      </w:tblGrid>
      <w:tr w:rsidRPr="00C47150" w:rsidR="0088351C" w:rsidTr="009B49E1" w14:paraId="627E38CB" w14:textId="77777777">
        <w:trPr>
          <w:trHeight w:val="315"/>
        </w:trPr>
        <w:tc>
          <w:tcPr>
            <w:tcW w:w="8354" w:type="dxa"/>
            <w:shd w:val="clear" w:color="auto" w:fill="auto"/>
            <w:vAlign w:val="center"/>
            <w:hideMark/>
          </w:tcPr>
          <w:p w:rsidRPr="0088351C" w:rsidR="0088351C" w:rsidP="00885DCA" w:rsidRDefault="0088351C" w14:paraId="0CE0FC0F" w14:textId="39CBAE8F">
            <w:pPr>
              <w:spacing w:after="0"/>
              <w:rPr>
                <w:b/>
                <w:sz w:val="20"/>
                <w:szCs w:val="20"/>
              </w:rPr>
            </w:pPr>
            <w:r w:rsidRPr="0047482B">
              <w:rPr>
                <w:sz w:val="20"/>
                <w:szCs w:val="20"/>
              </w:rPr>
              <w:t> </w:t>
            </w:r>
            <w:r w:rsidRPr="0088351C">
              <w:rPr>
                <w:b/>
                <w:sz w:val="20"/>
                <w:szCs w:val="20"/>
              </w:rPr>
              <w:t>Burden and Respondent Descriptions</w:t>
            </w:r>
          </w:p>
        </w:tc>
        <w:tc>
          <w:tcPr>
            <w:tcW w:w="1366" w:type="dxa"/>
            <w:shd w:val="clear" w:color="auto" w:fill="auto"/>
            <w:vAlign w:val="center"/>
            <w:hideMark/>
          </w:tcPr>
          <w:p w:rsidRPr="0047482B" w:rsidR="0088351C" w:rsidP="00885DCA" w:rsidRDefault="0088351C" w14:paraId="2E3280A6" w14:textId="77777777">
            <w:pPr>
              <w:spacing w:after="0"/>
              <w:jc w:val="center"/>
              <w:rPr>
                <w:b/>
                <w:sz w:val="20"/>
                <w:szCs w:val="20"/>
              </w:rPr>
            </w:pPr>
            <w:r w:rsidRPr="0047482B">
              <w:rPr>
                <w:b/>
                <w:sz w:val="20"/>
                <w:szCs w:val="20"/>
              </w:rPr>
              <w:t>Burden Estimate</w:t>
            </w:r>
          </w:p>
        </w:tc>
      </w:tr>
      <w:tr w:rsidRPr="00C47150" w:rsidR="007126F1" w:rsidTr="009B49E1" w14:paraId="4D32A2AC" w14:textId="77777777">
        <w:trPr>
          <w:trHeight w:val="188"/>
        </w:trPr>
        <w:tc>
          <w:tcPr>
            <w:tcW w:w="8354" w:type="dxa"/>
            <w:shd w:val="clear" w:color="auto" w:fill="auto"/>
            <w:hideMark/>
          </w:tcPr>
          <w:p w:rsidRPr="0047482B" w:rsidR="007126F1" w:rsidP="00885DCA" w:rsidRDefault="007126F1" w14:paraId="1F55B172" w14:textId="77777777">
            <w:pPr>
              <w:spacing w:after="0"/>
              <w:rPr>
                <w:sz w:val="20"/>
                <w:szCs w:val="20"/>
              </w:rPr>
            </w:pPr>
            <w:r w:rsidRPr="00732012">
              <w:rPr>
                <w:sz w:val="20"/>
                <w:szCs w:val="20"/>
              </w:rPr>
              <w:t># of Voluntary Participants Opting Out of Physician Compare (a)</w:t>
            </w:r>
          </w:p>
        </w:tc>
        <w:tc>
          <w:tcPr>
            <w:tcW w:w="1366" w:type="dxa"/>
            <w:shd w:val="clear" w:color="auto" w:fill="auto"/>
            <w:vAlign w:val="center"/>
            <w:hideMark/>
          </w:tcPr>
          <w:p w:rsidRPr="0047482B" w:rsidR="007126F1" w:rsidP="00885DCA" w:rsidRDefault="00107DFD" w14:paraId="358512E5" w14:textId="3DB95E61">
            <w:pPr>
              <w:spacing w:after="0"/>
              <w:rPr>
                <w:sz w:val="20"/>
                <w:szCs w:val="20"/>
              </w:rPr>
            </w:pPr>
            <w:r>
              <w:rPr>
                <w:sz w:val="20"/>
                <w:szCs w:val="20"/>
              </w:rPr>
              <w:t>3</w:t>
            </w:r>
            <w:r w:rsidR="00855E41">
              <w:rPr>
                <w:sz w:val="20"/>
                <w:szCs w:val="20"/>
              </w:rPr>
              <w:t>8</w:t>
            </w:r>
          </w:p>
        </w:tc>
      </w:tr>
      <w:tr w:rsidRPr="00C47150" w:rsidR="007126F1" w:rsidTr="009B49E1" w14:paraId="63284314" w14:textId="77777777">
        <w:trPr>
          <w:trHeight w:val="215"/>
        </w:trPr>
        <w:tc>
          <w:tcPr>
            <w:tcW w:w="8354" w:type="dxa"/>
            <w:shd w:val="clear" w:color="auto" w:fill="auto"/>
            <w:hideMark/>
          </w:tcPr>
          <w:p w:rsidRPr="0047482B" w:rsidR="007126F1" w:rsidP="00885DCA" w:rsidRDefault="007126F1" w14:paraId="2A978544" w14:textId="77777777">
            <w:pPr>
              <w:spacing w:after="0"/>
              <w:rPr>
                <w:sz w:val="20"/>
                <w:szCs w:val="20"/>
              </w:rPr>
            </w:pPr>
            <w:r w:rsidRPr="00732012">
              <w:rPr>
                <w:sz w:val="20"/>
                <w:szCs w:val="20"/>
              </w:rPr>
              <w:t>Total Annual Hours Per Opt-out Requester (b)</w:t>
            </w:r>
          </w:p>
        </w:tc>
        <w:tc>
          <w:tcPr>
            <w:tcW w:w="1366" w:type="dxa"/>
            <w:shd w:val="clear" w:color="auto" w:fill="auto"/>
            <w:vAlign w:val="center"/>
            <w:hideMark/>
          </w:tcPr>
          <w:p w:rsidRPr="0047482B" w:rsidR="007126F1" w:rsidP="00885DCA" w:rsidRDefault="007126F1" w14:paraId="11E040F2" w14:textId="69C22518">
            <w:pPr>
              <w:spacing w:after="0"/>
              <w:rPr>
                <w:sz w:val="20"/>
                <w:szCs w:val="20"/>
              </w:rPr>
            </w:pPr>
            <w:r w:rsidRPr="00906435">
              <w:rPr>
                <w:rFonts w:eastAsia="Calibri"/>
                <w:sz w:val="20"/>
                <w:szCs w:val="20"/>
              </w:rPr>
              <w:t>0.25</w:t>
            </w:r>
          </w:p>
        </w:tc>
      </w:tr>
      <w:tr w:rsidRPr="00C47150" w:rsidR="007126F1" w:rsidTr="009B49E1" w14:paraId="0B295030" w14:textId="77777777">
        <w:trPr>
          <w:trHeight w:val="260"/>
        </w:trPr>
        <w:tc>
          <w:tcPr>
            <w:tcW w:w="8354" w:type="dxa"/>
            <w:shd w:val="clear" w:color="auto" w:fill="D9D9D9" w:themeFill="background1" w:themeFillShade="D9"/>
            <w:hideMark/>
          </w:tcPr>
          <w:p w:rsidRPr="00485667" w:rsidR="007126F1" w:rsidP="00885DCA" w:rsidRDefault="007126F1" w14:paraId="1AA234D4" w14:textId="4A5D24CF">
            <w:pPr>
              <w:spacing w:after="0"/>
              <w:rPr>
                <w:b/>
                <w:sz w:val="20"/>
                <w:szCs w:val="20"/>
              </w:rPr>
            </w:pPr>
            <w:r w:rsidRPr="00485667">
              <w:rPr>
                <w:b/>
                <w:sz w:val="20"/>
                <w:szCs w:val="20"/>
              </w:rPr>
              <w:t>Total Annual Hours (c) = (a)</w:t>
            </w:r>
            <w:r w:rsidR="00D96441">
              <w:rPr>
                <w:b/>
                <w:sz w:val="20"/>
                <w:szCs w:val="20"/>
              </w:rPr>
              <w:t xml:space="preserve"> </w:t>
            </w:r>
            <w:r w:rsidRPr="00485667">
              <w:rPr>
                <w:b/>
                <w:sz w:val="20"/>
                <w:szCs w:val="20"/>
              </w:rPr>
              <w:t>*</w:t>
            </w:r>
            <w:r w:rsidR="00D96441">
              <w:rPr>
                <w:b/>
                <w:sz w:val="20"/>
                <w:szCs w:val="20"/>
              </w:rPr>
              <w:t xml:space="preserve"> </w:t>
            </w:r>
            <w:r w:rsidRPr="00485667">
              <w:rPr>
                <w:b/>
                <w:sz w:val="20"/>
                <w:szCs w:val="20"/>
              </w:rPr>
              <w:t>(b)</w:t>
            </w:r>
          </w:p>
        </w:tc>
        <w:tc>
          <w:tcPr>
            <w:tcW w:w="1366" w:type="dxa"/>
            <w:shd w:val="clear" w:color="auto" w:fill="D9D9D9" w:themeFill="background1" w:themeFillShade="D9"/>
            <w:vAlign w:val="center"/>
            <w:hideMark/>
          </w:tcPr>
          <w:p w:rsidRPr="00485667" w:rsidR="007126F1" w:rsidP="00885DCA" w:rsidRDefault="00EB600B" w14:paraId="5BD16555" w14:textId="2F1B2963">
            <w:pPr>
              <w:spacing w:after="0"/>
              <w:rPr>
                <w:b/>
                <w:sz w:val="20"/>
                <w:szCs w:val="20"/>
              </w:rPr>
            </w:pPr>
            <w:r>
              <w:rPr>
                <w:b/>
                <w:sz w:val="20"/>
                <w:szCs w:val="20"/>
              </w:rPr>
              <w:t>10</w:t>
            </w:r>
          </w:p>
        </w:tc>
      </w:tr>
      <w:tr w:rsidRPr="00C47150" w:rsidR="007126F1" w:rsidTr="009B49E1" w14:paraId="7F5AC91A" w14:textId="77777777">
        <w:trPr>
          <w:trHeight w:val="269"/>
        </w:trPr>
        <w:tc>
          <w:tcPr>
            <w:tcW w:w="8354" w:type="dxa"/>
            <w:shd w:val="clear" w:color="auto" w:fill="auto"/>
            <w:hideMark/>
          </w:tcPr>
          <w:p w:rsidRPr="0047482B" w:rsidR="007126F1" w:rsidP="00885DCA" w:rsidRDefault="007126F1" w14:paraId="4AF600E7" w14:textId="77777777">
            <w:pPr>
              <w:spacing w:after="0"/>
              <w:rPr>
                <w:sz w:val="20"/>
                <w:szCs w:val="20"/>
              </w:rPr>
            </w:pPr>
            <w:r w:rsidRPr="00732012">
              <w:rPr>
                <w:sz w:val="20"/>
                <w:szCs w:val="20"/>
              </w:rPr>
              <w:t>Labor rate for a computer systems analyst (d)</w:t>
            </w:r>
          </w:p>
        </w:tc>
        <w:tc>
          <w:tcPr>
            <w:tcW w:w="1366" w:type="dxa"/>
            <w:shd w:val="clear" w:color="auto" w:fill="auto"/>
            <w:vAlign w:val="center"/>
            <w:hideMark/>
          </w:tcPr>
          <w:p w:rsidRPr="0047482B" w:rsidR="007126F1" w:rsidP="00885DCA" w:rsidRDefault="007126F1" w14:paraId="5A8D71FC" w14:textId="4596EA0D">
            <w:pPr>
              <w:spacing w:after="0"/>
              <w:rPr>
                <w:sz w:val="20"/>
                <w:szCs w:val="20"/>
              </w:rPr>
            </w:pPr>
            <w:r w:rsidRPr="00906435">
              <w:rPr>
                <w:rFonts w:eastAsia="Calibri"/>
                <w:sz w:val="20"/>
                <w:szCs w:val="20"/>
              </w:rPr>
              <w:t>$</w:t>
            </w:r>
            <w:r w:rsidR="00D74A09">
              <w:rPr>
                <w:rFonts w:eastAsia="Calibri"/>
                <w:sz w:val="20"/>
                <w:szCs w:val="20"/>
              </w:rPr>
              <w:t>9</w:t>
            </w:r>
            <w:r w:rsidR="00096D28">
              <w:rPr>
                <w:rFonts w:eastAsia="Calibri"/>
                <w:sz w:val="20"/>
                <w:szCs w:val="20"/>
              </w:rPr>
              <w:t>8</w:t>
            </w:r>
            <w:r w:rsidR="00D21D79">
              <w:rPr>
                <w:rFonts w:eastAsia="Calibri"/>
                <w:sz w:val="20"/>
                <w:szCs w:val="20"/>
              </w:rPr>
              <w:t>.2</w:t>
            </w:r>
            <w:r w:rsidR="00096D28">
              <w:rPr>
                <w:rFonts w:eastAsia="Calibri"/>
                <w:sz w:val="20"/>
                <w:szCs w:val="20"/>
              </w:rPr>
              <w:t>8</w:t>
            </w:r>
            <w:r w:rsidRPr="00906435">
              <w:rPr>
                <w:rFonts w:eastAsia="Calibri"/>
                <w:sz w:val="20"/>
                <w:szCs w:val="20"/>
              </w:rPr>
              <w:t>/</w:t>
            </w:r>
            <w:proofErr w:type="spellStart"/>
            <w:r w:rsidRPr="00906435">
              <w:rPr>
                <w:rFonts w:eastAsia="Calibri"/>
                <w:sz w:val="20"/>
                <w:szCs w:val="20"/>
              </w:rPr>
              <w:t>hr</w:t>
            </w:r>
            <w:proofErr w:type="spellEnd"/>
          </w:p>
        </w:tc>
      </w:tr>
      <w:tr w:rsidRPr="00C47150" w:rsidR="007126F1" w:rsidTr="009B49E1" w14:paraId="03E15AAC" w14:textId="77777777">
        <w:trPr>
          <w:trHeight w:val="242"/>
        </w:trPr>
        <w:tc>
          <w:tcPr>
            <w:tcW w:w="8354" w:type="dxa"/>
            <w:shd w:val="clear" w:color="auto" w:fill="D9D9D9" w:themeFill="background1" w:themeFillShade="D9"/>
            <w:hideMark/>
          </w:tcPr>
          <w:p w:rsidRPr="00485667" w:rsidR="007126F1" w:rsidP="00885DCA" w:rsidRDefault="007126F1" w14:paraId="58E1F49D" w14:textId="002C740B">
            <w:pPr>
              <w:spacing w:after="0"/>
              <w:rPr>
                <w:b/>
                <w:sz w:val="20"/>
                <w:szCs w:val="20"/>
              </w:rPr>
            </w:pPr>
            <w:r w:rsidRPr="00485667">
              <w:rPr>
                <w:b/>
                <w:sz w:val="20"/>
                <w:szCs w:val="20"/>
              </w:rPr>
              <w:t>Total Annual Cost (e) = (</w:t>
            </w:r>
            <w:r w:rsidR="00302399">
              <w:rPr>
                <w:b/>
                <w:sz w:val="20"/>
                <w:szCs w:val="20"/>
              </w:rPr>
              <w:t>c</w:t>
            </w:r>
            <w:r w:rsidRPr="00485667">
              <w:rPr>
                <w:b/>
                <w:sz w:val="20"/>
                <w:szCs w:val="20"/>
              </w:rPr>
              <w:t>)</w:t>
            </w:r>
            <w:r w:rsidR="00D96441">
              <w:rPr>
                <w:b/>
                <w:sz w:val="20"/>
                <w:szCs w:val="20"/>
              </w:rPr>
              <w:t xml:space="preserve"> </w:t>
            </w:r>
            <w:r w:rsidRPr="00485667">
              <w:rPr>
                <w:b/>
                <w:sz w:val="20"/>
                <w:szCs w:val="20"/>
              </w:rPr>
              <w:t>*</w:t>
            </w:r>
            <w:r w:rsidR="00D96441">
              <w:rPr>
                <w:b/>
                <w:sz w:val="20"/>
                <w:szCs w:val="20"/>
              </w:rPr>
              <w:t xml:space="preserve"> </w:t>
            </w:r>
            <w:r w:rsidRPr="00485667">
              <w:rPr>
                <w:b/>
                <w:sz w:val="20"/>
                <w:szCs w:val="20"/>
              </w:rPr>
              <w:t>(d)</w:t>
            </w:r>
          </w:p>
        </w:tc>
        <w:tc>
          <w:tcPr>
            <w:tcW w:w="1366" w:type="dxa"/>
            <w:shd w:val="clear" w:color="auto" w:fill="D9D9D9" w:themeFill="background1" w:themeFillShade="D9"/>
            <w:vAlign w:val="center"/>
            <w:hideMark/>
          </w:tcPr>
          <w:p w:rsidRPr="00485667" w:rsidR="007126F1" w:rsidP="00885DCA" w:rsidRDefault="007126F1" w14:paraId="6F7202C6" w14:textId="499DCEC9">
            <w:pPr>
              <w:spacing w:after="0"/>
              <w:rPr>
                <w:b/>
                <w:sz w:val="20"/>
                <w:szCs w:val="20"/>
              </w:rPr>
            </w:pPr>
            <w:r w:rsidRPr="00485667">
              <w:rPr>
                <w:rFonts w:eastAsia="Calibri"/>
                <w:b/>
                <w:sz w:val="20"/>
                <w:szCs w:val="20"/>
              </w:rPr>
              <w:t>$</w:t>
            </w:r>
            <w:r w:rsidR="00C841B5">
              <w:rPr>
                <w:rFonts w:eastAsia="Calibri"/>
                <w:b/>
                <w:sz w:val="20"/>
                <w:szCs w:val="20"/>
              </w:rPr>
              <w:t>9</w:t>
            </w:r>
            <w:r w:rsidR="00AD5777">
              <w:rPr>
                <w:rFonts w:eastAsia="Calibri"/>
                <w:b/>
                <w:sz w:val="20"/>
                <w:szCs w:val="20"/>
              </w:rPr>
              <w:t>83</w:t>
            </w:r>
          </w:p>
        </w:tc>
      </w:tr>
    </w:tbl>
    <w:p w:rsidR="00B8172C" w:rsidP="003D552B" w:rsidRDefault="00B8172C" w14:paraId="438EB71E" w14:textId="77777777">
      <w:pPr>
        <w:pStyle w:val="Heading3"/>
        <w:numPr>
          <w:ilvl w:val="0"/>
          <w:numId w:val="0"/>
        </w:numPr>
        <w:ind w:left="2160"/>
      </w:pPr>
    </w:p>
    <w:p w:rsidRPr="002A24B4" w:rsidR="002A24B4" w:rsidP="00A46175" w:rsidRDefault="002A24B4" w14:paraId="7C14C6E1" w14:textId="29D74C16">
      <w:pPr>
        <w:pStyle w:val="Heading3"/>
      </w:pPr>
      <w:r>
        <w:t>Burden Estimate Summary</w:t>
      </w:r>
    </w:p>
    <w:p w:rsidRPr="00D74F5F" w:rsidR="0035592A" w:rsidP="00885DCA" w:rsidRDefault="0035592A" w14:paraId="53E997D8" w14:textId="6A93B6CB">
      <w:pPr>
        <w:keepNext/>
        <w:keepLines/>
        <w:rPr>
          <w:rFonts w:eastAsiaTheme="majorEastAsia" w:cstheme="majorBidi"/>
          <w:snapToGrid w:val="0"/>
          <w:szCs w:val="26"/>
        </w:rPr>
      </w:pPr>
      <w:r w:rsidRPr="00D74F5F">
        <w:rPr>
          <w:rFonts w:eastAsiaTheme="majorEastAsia" w:cstheme="majorBidi"/>
          <w:snapToGrid w:val="0"/>
          <w:szCs w:val="26"/>
        </w:rPr>
        <w:t>Tab</w:t>
      </w:r>
      <w:r w:rsidR="00753C6D">
        <w:rPr>
          <w:rFonts w:eastAsiaTheme="majorEastAsia" w:cstheme="majorBidi"/>
          <w:snapToGrid w:val="0"/>
          <w:szCs w:val="26"/>
        </w:rPr>
        <w:t>l</w:t>
      </w:r>
      <w:r w:rsidRPr="00D74F5F">
        <w:rPr>
          <w:rFonts w:eastAsiaTheme="majorEastAsia" w:cstheme="majorBidi"/>
          <w:snapToGrid w:val="0"/>
          <w:szCs w:val="26"/>
        </w:rPr>
        <w:t xml:space="preserve">e </w:t>
      </w:r>
      <w:r w:rsidR="003735BC">
        <w:rPr>
          <w:rFonts w:eastAsiaTheme="majorEastAsia" w:cstheme="majorBidi"/>
          <w:snapToGrid w:val="0"/>
          <w:szCs w:val="26"/>
        </w:rPr>
        <w:t>27</w:t>
      </w:r>
      <w:r w:rsidRPr="00D74F5F" w:rsidR="000F0FE3">
        <w:rPr>
          <w:rFonts w:eastAsiaTheme="majorEastAsia" w:cstheme="majorBidi"/>
          <w:snapToGrid w:val="0"/>
          <w:szCs w:val="26"/>
        </w:rPr>
        <w:t xml:space="preserve"> </w:t>
      </w:r>
      <w:r w:rsidRPr="00D74F5F">
        <w:rPr>
          <w:rFonts w:eastAsiaTheme="majorEastAsia" w:cstheme="majorBidi"/>
          <w:snapToGrid w:val="0"/>
          <w:szCs w:val="26"/>
        </w:rPr>
        <w:t>below provide summar</w:t>
      </w:r>
      <w:r w:rsidRPr="00D74F5F" w:rsidR="000F0FE3">
        <w:rPr>
          <w:rFonts w:eastAsiaTheme="majorEastAsia" w:cstheme="majorBidi"/>
          <w:snapToGrid w:val="0"/>
          <w:szCs w:val="26"/>
        </w:rPr>
        <w:t>ies</w:t>
      </w:r>
      <w:r w:rsidRPr="00D74F5F">
        <w:rPr>
          <w:rFonts w:eastAsiaTheme="majorEastAsia" w:cstheme="majorBidi"/>
          <w:snapToGrid w:val="0"/>
          <w:szCs w:val="26"/>
        </w:rPr>
        <w:t xml:space="preserve"> of all burden estimates for each of the information collections included in this PRA for the </w:t>
      </w:r>
      <w:r w:rsidR="004868A0">
        <w:rPr>
          <w:rFonts w:eastAsiaTheme="majorEastAsia" w:cstheme="majorBidi"/>
          <w:snapToGrid w:val="0"/>
          <w:szCs w:val="26"/>
        </w:rPr>
        <w:t xml:space="preserve">CY </w:t>
      </w:r>
      <w:r w:rsidRPr="00D74F5F">
        <w:rPr>
          <w:rFonts w:eastAsiaTheme="majorEastAsia" w:cstheme="majorBidi"/>
          <w:snapToGrid w:val="0"/>
          <w:szCs w:val="26"/>
        </w:rPr>
        <w:t>202</w:t>
      </w:r>
      <w:r w:rsidR="004B7D49">
        <w:rPr>
          <w:rFonts w:eastAsiaTheme="majorEastAsia" w:cstheme="majorBidi"/>
          <w:snapToGrid w:val="0"/>
          <w:szCs w:val="26"/>
        </w:rPr>
        <w:t>3</w:t>
      </w:r>
      <w:r w:rsidRPr="00D74F5F">
        <w:rPr>
          <w:rFonts w:eastAsiaTheme="majorEastAsia" w:cstheme="majorBidi"/>
          <w:snapToGrid w:val="0"/>
          <w:szCs w:val="26"/>
        </w:rPr>
        <w:t xml:space="preserve"> performance period</w:t>
      </w:r>
      <w:r w:rsidR="004B7D49">
        <w:rPr>
          <w:rFonts w:eastAsiaTheme="majorEastAsia" w:cstheme="majorBidi"/>
          <w:snapToGrid w:val="0"/>
          <w:szCs w:val="26"/>
        </w:rPr>
        <w:t>/2025 MIPS payment year</w:t>
      </w:r>
      <w:r w:rsidRPr="00D74F5F">
        <w:rPr>
          <w:rFonts w:eastAsiaTheme="majorEastAsia" w:cstheme="majorBidi"/>
          <w:snapToGrid w:val="0"/>
          <w:szCs w:val="26"/>
        </w:rPr>
        <w:t>.</w:t>
      </w:r>
    </w:p>
    <w:p w:rsidRPr="00D74F5F" w:rsidR="000F0FE3" w:rsidP="00721EBD" w:rsidRDefault="000F0FE3" w14:paraId="42FC1F84" w14:textId="71400584">
      <w:pPr>
        <w:keepNext/>
        <w:keepLines/>
        <w:spacing w:after="0"/>
        <w:jc w:val="center"/>
        <w:rPr>
          <w:b/>
          <w:bCs/>
        </w:rPr>
      </w:pPr>
      <w:r w:rsidRPr="00D74F5F">
        <w:rPr>
          <w:b/>
          <w:bCs/>
        </w:rPr>
        <w:t xml:space="preserve">TABLE </w:t>
      </w:r>
      <w:r w:rsidR="000D5495">
        <w:rPr>
          <w:b/>
          <w:bCs/>
        </w:rPr>
        <w:t>27</w:t>
      </w:r>
      <w:r w:rsidRPr="00D74F5F">
        <w:rPr>
          <w:b/>
          <w:bCs/>
        </w:rPr>
        <w:t xml:space="preserve">: </w:t>
      </w:r>
      <w:r w:rsidR="004B7D49">
        <w:rPr>
          <w:b/>
          <w:bCs/>
        </w:rPr>
        <w:t xml:space="preserve">CY </w:t>
      </w:r>
      <w:r w:rsidRPr="00D74F5F">
        <w:rPr>
          <w:b/>
          <w:bCs/>
        </w:rPr>
        <w:t>202</w:t>
      </w:r>
      <w:r w:rsidR="004B7D49">
        <w:rPr>
          <w:b/>
          <w:bCs/>
        </w:rPr>
        <w:t>3</w:t>
      </w:r>
      <w:r w:rsidRPr="00D74F5F">
        <w:rPr>
          <w:b/>
          <w:bCs/>
        </w:rPr>
        <w:t xml:space="preserve"> Performance Period</w:t>
      </w:r>
      <w:r w:rsidR="00CA63A7">
        <w:rPr>
          <w:b/>
          <w:bCs/>
        </w:rPr>
        <w:t>/2025 MIPS Payment Year</w:t>
      </w:r>
      <w:r w:rsidRPr="00D74F5F">
        <w:rPr>
          <w:b/>
          <w:bCs/>
        </w:rPr>
        <w:t xml:space="preserve"> 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885"/>
        <w:gridCol w:w="1080"/>
        <w:gridCol w:w="1530"/>
        <w:gridCol w:w="1170"/>
        <w:gridCol w:w="1170"/>
        <w:gridCol w:w="1350"/>
        <w:gridCol w:w="1080"/>
        <w:gridCol w:w="1264"/>
      </w:tblGrid>
      <w:tr w:rsidRPr="00924421" w:rsidR="000F0FE3" w:rsidTr="00EA6D44" w14:paraId="6F99C3EB" w14:textId="77777777">
        <w:trPr>
          <w:cantSplit/>
          <w:tblHeader/>
          <w:jc w:val="center"/>
        </w:trPr>
        <w:tc>
          <w:tcPr>
            <w:tcW w:w="1885" w:type="dxa"/>
          </w:tcPr>
          <w:p w:rsidRPr="00924421" w:rsidR="000F0FE3" w:rsidP="00721EBD" w:rsidRDefault="000F0FE3" w14:paraId="5D51D4F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Regulation Section(s) Under Title 42 of the CFR</w:t>
            </w:r>
          </w:p>
        </w:tc>
        <w:tc>
          <w:tcPr>
            <w:tcW w:w="1080" w:type="dxa"/>
          </w:tcPr>
          <w:p w:rsidRPr="00924421" w:rsidR="000F0FE3" w:rsidP="00721EBD" w:rsidRDefault="000F0FE3" w14:paraId="27648CB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Table No.</w:t>
            </w:r>
          </w:p>
        </w:tc>
        <w:tc>
          <w:tcPr>
            <w:tcW w:w="1530" w:type="dxa"/>
          </w:tcPr>
          <w:p w:rsidRPr="00924421" w:rsidR="000F0FE3" w:rsidP="00721EBD" w:rsidRDefault="000F0FE3" w14:paraId="5776C85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924421">
              <w:rPr>
                <w:b/>
                <w:bCs/>
                <w:color w:val="000000"/>
                <w:sz w:val="20"/>
                <w:szCs w:val="20"/>
              </w:rPr>
              <w:t>No. Respondents</w:t>
            </w:r>
          </w:p>
        </w:tc>
        <w:tc>
          <w:tcPr>
            <w:tcW w:w="1170" w:type="dxa"/>
          </w:tcPr>
          <w:p w:rsidR="00FD73E5" w:rsidP="00721EBD" w:rsidRDefault="00FD73E5" w14:paraId="1F068806" w14:textId="39E9B38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Total</w:t>
            </w:r>
          </w:p>
          <w:p w:rsidRPr="00924421" w:rsidR="000F0FE3" w:rsidP="00721EBD" w:rsidRDefault="000F0FE3" w14:paraId="02F030C9" w14:textId="7423DDF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Responses</w:t>
            </w:r>
          </w:p>
        </w:tc>
        <w:tc>
          <w:tcPr>
            <w:tcW w:w="1170" w:type="dxa"/>
          </w:tcPr>
          <w:p w:rsidRPr="00924421" w:rsidR="000F0FE3" w:rsidP="00721EBD" w:rsidRDefault="000F0FE3" w14:paraId="538C429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Time per Response (hours)</w:t>
            </w:r>
          </w:p>
        </w:tc>
        <w:tc>
          <w:tcPr>
            <w:tcW w:w="1350" w:type="dxa"/>
          </w:tcPr>
          <w:p w:rsidRPr="00924421" w:rsidR="000F0FE3" w:rsidP="00721EBD" w:rsidRDefault="000F0FE3" w14:paraId="46E2B3AE" w14:textId="62CB1A3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Total Time (hours)</w:t>
            </w:r>
          </w:p>
        </w:tc>
        <w:tc>
          <w:tcPr>
            <w:tcW w:w="1080" w:type="dxa"/>
          </w:tcPr>
          <w:p w:rsidRPr="00924421" w:rsidR="000F0FE3" w:rsidP="00721EBD" w:rsidRDefault="000F0FE3" w14:paraId="0214067D" w14:textId="77777777">
            <w:pPr>
              <w:keepNext/>
              <w:keepLines/>
              <w:spacing w:after="0"/>
              <w:jc w:val="center"/>
              <w:rPr>
                <w:b/>
                <w:bCs/>
                <w:color w:val="000000"/>
                <w:sz w:val="20"/>
                <w:szCs w:val="20"/>
              </w:rPr>
            </w:pPr>
            <w:r w:rsidRPr="00924421">
              <w:rPr>
                <w:b/>
                <w:bCs/>
                <w:color w:val="000000"/>
                <w:sz w:val="20"/>
                <w:szCs w:val="20"/>
              </w:rPr>
              <w:t>Labor</w:t>
            </w:r>
          </w:p>
          <w:p w:rsidRPr="00924421" w:rsidR="000F0FE3" w:rsidP="00721EBD" w:rsidRDefault="000F0FE3" w14:paraId="55498894" w14:textId="77777777">
            <w:pPr>
              <w:keepNext/>
              <w:keepLines/>
              <w:spacing w:after="0"/>
              <w:jc w:val="center"/>
              <w:rPr>
                <w:b/>
                <w:bCs/>
                <w:color w:val="000000"/>
                <w:sz w:val="20"/>
                <w:szCs w:val="20"/>
              </w:rPr>
            </w:pPr>
            <w:r w:rsidRPr="00924421">
              <w:rPr>
                <w:b/>
                <w:bCs/>
                <w:color w:val="000000"/>
                <w:sz w:val="20"/>
                <w:szCs w:val="20"/>
              </w:rPr>
              <w:t>Cost</w:t>
            </w:r>
          </w:p>
          <w:p w:rsidRPr="00924421" w:rsidR="000F0FE3" w:rsidP="00721EBD" w:rsidRDefault="000F0FE3" w14:paraId="0109853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bCs/>
                <w:color w:val="000000"/>
                <w:sz w:val="20"/>
                <w:szCs w:val="20"/>
              </w:rPr>
              <w:t>($/</w:t>
            </w:r>
            <w:proofErr w:type="spellStart"/>
            <w:r w:rsidRPr="00924421">
              <w:rPr>
                <w:b/>
                <w:bCs/>
                <w:color w:val="000000"/>
                <w:sz w:val="20"/>
                <w:szCs w:val="20"/>
              </w:rPr>
              <w:t>hr</w:t>
            </w:r>
            <w:proofErr w:type="spellEnd"/>
            <w:r w:rsidRPr="00924421">
              <w:rPr>
                <w:b/>
                <w:bCs/>
                <w:color w:val="000000"/>
                <w:sz w:val="20"/>
                <w:szCs w:val="20"/>
              </w:rPr>
              <w:t>)</w:t>
            </w:r>
          </w:p>
        </w:tc>
        <w:tc>
          <w:tcPr>
            <w:tcW w:w="1264" w:type="dxa"/>
          </w:tcPr>
          <w:p w:rsidRPr="00924421" w:rsidR="000F0FE3" w:rsidP="00721EBD" w:rsidRDefault="000F0FE3" w14:paraId="654750B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Total Cost</w:t>
            </w:r>
          </w:p>
          <w:p w:rsidRPr="00924421" w:rsidR="000F0FE3" w:rsidP="00721EBD" w:rsidRDefault="000F0FE3" w14:paraId="7BF1356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924421">
              <w:rPr>
                <w:b/>
                <w:sz w:val="20"/>
                <w:szCs w:val="20"/>
              </w:rPr>
              <w:t>($)*</w:t>
            </w:r>
          </w:p>
        </w:tc>
      </w:tr>
      <w:tr w:rsidRPr="00924421" w:rsidR="000F0FE3" w:rsidTr="00EA6D44" w14:paraId="43791570" w14:textId="77777777">
        <w:trPr>
          <w:cantSplit/>
          <w:jc w:val="center"/>
        </w:trPr>
        <w:tc>
          <w:tcPr>
            <w:tcW w:w="1885" w:type="dxa"/>
          </w:tcPr>
          <w:p w:rsidRPr="00924421" w:rsidR="000F0FE3" w:rsidP="00721EBD" w:rsidRDefault="000F0FE3" w14:paraId="78FE0DF9"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(Registry self- nomination)</w:t>
            </w:r>
          </w:p>
        </w:tc>
        <w:tc>
          <w:tcPr>
            <w:tcW w:w="1080" w:type="dxa"/>
          </w:tcPr>
          <w:p w:rsidRPr="00924421" w:rsidR="000F0FE3" w:rsidP="00721EBD" w:rsidRDefault="000F0FE3" w14:paraId="456AF02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p>
        </w:tc>
        <w:tc>
          <w:tcPr>
            <w:tcW w:w="1530" w:type="dxa"/>
          </w:tcPr>
          <w:p w:rsidRPr="00924421" w:rsidR="000F0FE3" w:rsidP="00721EBD" w:rsidRDefault="005E7187" w14:paraId="328D161D" w14:textId="40208812">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BA6CD0">
              <w:rPr>
                <w:sz w:val="20"/>
                <w:szCs w:val="20"/>
              </w:rPr>
              <w:t>60</w:t>
            </w:r>
          </w:p>
        </w:tc>
        <w:tc>
          <w:tcPr>
            <w:tcW w:w="1170" w:type="dxa"/>
          </w:tcPr>
          <w:p w:rsidRPr="00924421" w:rsidR="000F0FE3" w:rsidP="00721EBD" w:rsidRDefault="00B45B76" w14:paraId="6996249C" w14:textId="3B1102C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BA6CD0">
              <w:rPr>
                <w:sz w:val="20"/>
                <w:szCs w:val="20"/>
              </w:rPr>
              <w:t>60</w:t>
            </w:r>
          </w:p>
        </w:tc>
        <w:tc>
          <w:tcPr>
            <w:tcW w:w="1170" w:type="dxa"/>
          </w:tcPr>
          <w:p w:rsidRPr="00924421" w:rsidR="000F0FE3" w:rsidP="00721EBD" w:rsidRDefault="00D73FE1" w14:paraId="400758DA" w14:textId="5BD99013">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p>
        </w:tc>
        <w:tc>
          <w:tcPr>
            <w:tcW w:w="1350" w:type="dxa"/>
          </w:tcPr>
          <w:p w:rsidRPr="00924421" w:rsidR="000F0FE3" w:rsidP="00721EBD" w:rsidRDefault="00BA6CD0" w14:paraId="74E87769" w14:textId="16A3E615">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320</w:t>
            </w:r>
          </w:p>
        </w:tc>
        <w:tc>
          <w:tcPr>
            <w:tcW w:w="1080" w:type="dxa"/>
          </w:tcPr>
          <w:p w:rsidRPr="00924421" w:rsidR="000F0FE3" w:rsidP="00721EBD" w:rsidRDefault="000F0FE3" w14:paraId="1539FDA5" w14:textId="2D9CF06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BA6CD0">
              <w:rPr>
                <w:sz w:val="20"/>
                <w:szCs w:val="20"/>
              </w:rPr>
              <w:t>8</w:t>
            </w:r>
            <w:r w:rsidRPr="00924421" w:rsidR="0025554D">
              <w:rPr>
                <w:sz w:val="20"/>
                <w:szCs w:val="20"/>
              </w:rPr>
              <w:t>.2</w:t>
            </w:r>
            <w:r w:rsidR="00BA6CD0">
              <w:rPr>
                <w:sz w:val="20"/>
                <w:szCs w:val="20"/>
              </w:rPr>
              <w:t>8</w:t>
            </w:r>
          </w:p>
        </w:tc>
        <w:tc>
          <w:tcPr>
            <w:tcW w:w="1264" w:type="dxa"/>
          </w:tcPr>
          <w:p w:rsidRPr="00924421" w:rsidR="000F0FE3" w:rsidP="00721EBD" w:rsidRDefault="00D70BB0" w14:paraId="6CC45837" w14:textId="78C05FB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31,450</w:t>
            </w:r>
          </w:p>
        </w:tc>
      </w:tr>
      <w:tr w:rsidRPr="00924421" w:rsidR="000F0FE3" w:rsidTr="00EA6D44" w14:paraId="0490C1AC" w14:textId="77777777">
        <w:trPr>
          <w:cantSplit/>
          <w:jc w:val="center"/>
        </w:trPr>
        <w:tc>
          <w:tcPr>
            <w:tcW w:w="1885" w:type="dxa"/>
          </w:tcPr>
          <w:p w:rsidRPr="00924421" w:rsidR="000F0FE3" w:rsidP="00721EBD" w:rsidRDefault="000F0FE3" w14:paraId="1738536A"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(QCDR self-nomination)</w:t>
            </w:r>
          </w:p>
        </w:tc>
        <w:tc>
          <w:tcPr>
            <w:tcW w:w="1080" w:type="dxa"/>
          </w:tcPr>
          <w:p w:rsidRPr="00924421" w:rsidR="000F0FE3" w:rsidP="00721EBD" w:rsidRDefault="000F0FE3" w14:paraId="66E4C84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p>
        </w:tc>
        <w:tc>
          <w:tcPr>
            <w:tcW w:w="1530" w:type="dxa"/>
          </w:tcPr>
          <w:p w:rsidRPr="00924421" w:rsidR="000F0FE3" w:rsidP="00721EBD" w:rsidRDefault="00057624" w14:paraId="71E4EDB0" w14:textId="07259CD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w:t>
            </w:r>
          </w:p>
        </w:tc>
        <w:tc>
          <w:tcPr>
            <w:tcW w:w="1170" w:type="dxa"/>
          </w:tcPr>
          <w:p w:rsidRPr="00924421" w:rsidR="000F0FE3" w:rsidP="00721EBD" w:rsidRDefault="00057624" w14:paraId="767F7038" w14:textId="48FED38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90</w:t>
            </w:r>
          </w:p>
        </w:tc>
        <w:tc>
          <w:tcPr>
            <w:tcW w:w="1170" w:type="dxa"/>
          </w:tcPr>
          <w:p w:rsidRPr="00924421" w:rsidR="000F0FE3" w:rsidP="00721EBD" w:rsidRDefault="0068090C" w14:paraId="12011B25" w14:textId="7054431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11.5</w:t>
            </w:r>
          </w:p>
        </w:tc>
        <w:tc>
          <w:tcPr>
            <w:tcW w:w="1350" w:type="dxa"/>
          </w:tcPr>
          <w:p w:rsidRPr="00924421" w:rsidR="000F0FE3" w:rsidP="00721EBD" w:rsidRDefault="00386E74" w14:paraId="4F7B053A" w14:textId="7305995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w:t>
            </w:r>
            <w:r w:rsidR="00057624">
              <w:rPr>
                <w:sz w:val="20"/>
                <w:szCs w:val="20"/>
              </w:rPr>
              <w:t>035</w:t>
            </w:r>
          </w:p>
        </w:tc>
        <w:tc>
          <w:tcPr>
            <w:tcW w:w="1080" w:type="dxa"/>
          </w:tcPr>
          <w:p w:rsidRPr="00924421" w:rsidR="000F0FE3" w:rsidP="00721EBD" w:rsidRDefault="000F0FE3" w14:paraId="3D84510C" w14:textId="63DC3BC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057624">
              <w:rPr>
                <w:sz w:val="20"/>
                <w:szCs w:val="20"/>
              </w:rPr>
              <w:t>8</w:t>
            </w:r>
            <w:r w:rsidRPr="00924421" w:rsidR="0025554D">
              <w:rPr>
                <w:sz w:val="20"/>
                <w:szCs w:val="20"/>
              </w:rPr>
              <w:t>.2</w:t>
            </w:r>
            <w:r w:rsidR="00057624">
              <w:rPr>
                <w:sz w:val="20"/>
                <w:szCs w:val="20"/>
              </w:rPr>
              <w:t>8</w:t>
            </w:r>
          </w:p>
        </w:tc>
        <w:tc>
          <w:tcPr>
            <w:tcW w:w="1264" w:type="dxa"/>
          </w:tcPr>
          <w:p w:rsidRPr="00924421" w:rsidR="000F0FE3" w:rsidP="00721EBD" w:rsidRDefault="000027AB" w14:paraId="1825FE12" w14:textId="727D34F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5E7AA2">
              <w:rPr>
                <w:sz w:val="20"/>
                <w:szCs w:val="20"/>
              </w:rPr>
              <w:t>0</w:t>
            </w:r>
            <w:r w:rsidR="000F7FB5">
              <w:rPr>
                <w:sz w:val="20"/>
                <w:szCs w:val="20"/>
              </w:rPr>
              <w:t>1,</w:t>
            </w:r>
            <w:r w:rsidR="005E7AA2">
              <w:rPr>
                <w:sz w:val="20"/>
                <w:szCs w:val="20"/>
              </w:rPr>
              <w:t>72</w:t>
            </w:r>
            <w:r w:rsidR="000F7FB5">
              <w:rPr>
                <w:sz w:val="20"/>
                <w:szCs w:val="20"/>
              </w:rPr>
              <w:t>0</w:t>
            </w:r>
          </w:p>
        </w:tc>
      </w:tr>
      <w:tr w:rsidRPr="00924421" w:rsidR="00630ABA" w:rsidTr="00EA6D44" w14:paraId="16BE8788" w14:textId="77777777">
        <w:trPr>
          <w:cantSplit/>
          <w:jc w:val="center"/>
        </w:trPr>
        <w:tc>
          <w:tcPr>
            <w:tcW w:w="1885" w:type="dxa"/>
          </w:tcPr>
          <w:p w:rsidRPr="00924421" w:rsidR="00630ABA" w:rsidP="00DF0E74" w:rsidRDefault="0064050D" w14:paraId="58347EF0" w14:textId="09148CB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§414.1400 (</w:t>
            </w:r>
            <w:r>
              <w:rPr>
                <w:sz w:val="20"/>
                <w:szCs w:val="20"/>
              </w:rPr>
              <w:t>Third Party Intermediary Plan Audits</w:t>
            </w:r>
            <w:r w:rsidRPr="00924421">
              <w:rPr>
                <w:sz w:val="20"/>
                <w:szCs w:val="20"/>
              </w:rPr>
              <w:t>)</w:t>
            </w:r>
          </w:p>
        </w:tc>
        <w:tc>
          <w:tcPr>
            <w:tcW w:w="1080" w:type="dxa"/>
          </w:tcPr>
          <w:p w:rsidRPr="00924421" w:rsidR="00630ABA" w:rsidP="00DF0E74" w:rsidRDefault="005002B4" w14:paraId="70F6AEDA" w14:textId="65A9CDC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w:t>
            </w:r>
          </w:p>
        </w:tc>
        <w:tc>
          <w:tcPr>
            <w:tcW w:w="1530" w:type="dxa"/>
          </w:tcPr>
          <w:p w:rsidRPr="00924421" w:rsidR="00630ABA" w:rsidP="00DF0E74" w:rsidRDefault="005002B4" w14:paraId="429ED017" w14:textId="0D4C17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124</w:t>
            </w:r>
          </w:p>
        </w:tc>
        <w:tc>
          <w:tcPr>
            <w:tcW w:w="1170" w:type="dxa"/>
          </w:tcPr>
          <w:p w:rsidRPr="00924421" w:rsidR="00630ABA" w:rsidP="00DF0E74" w:rsidRDefault="00F31EE1" w14:paraId="61A1D599" w14:textId="45351D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124</w:t>
            </w:r>
          </w:p>
        </w:tc>
        <w:tc>
          <w:tcPr>
            <w:tcW w:w="1170" w:type="dxa"/>
          </w:tcPr>
          <w:p w:rsidRPr="00924421" w:rsidR="00630ABA" w:rsidP="00DF0E74" w:rsidRDefault="00F31EE1" w14:paraId="188C4738" w14:textId="394949E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Varies</w:t>
            </w:r>
          </w:p>
        </w:tc>
        <w:tc>
          <w:tcPr>
            <w:tcW w:w="1350" w:type="dxa"/>
          </w:tcPr>
          <w:p w:rsidRPr="00924421" w:rsidR="00630ABA" w:rsidP="00DF0E74" w:rsidRDefault="00F31EE1" w14:paraId="5894F3C1" w14:textId="2EC107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832</w:t>
            </w:r>
          </w:p>
        </w:tc>
        <w:tc>
          <w:tcPr>
            <w:tcW w:w="1080" w:type="dxa"/>
          </w:tcPr>
          <w:p w:rsidRPr="00924421" w:rsidR="00630ABA" w:rsidP="00DF0E74" w:rsidRDefault="00F31EE1" w14:paraId="655806BB" w14:textId="3CA413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98.28</w:t>
            </w:r>
          </w:p>
        </w:tc>
        <w:tc>
          <w:tcPr>
            <w:tcW w:w="1264" w:type="dxa"/>
          </w:tcPr>
          <w:p w:rsidRPr="00924421" w:rsidR="00630ABA" w:rsidP="00DF0E74" w:rsidRDefault="00F31EE1" w14:paraId="7D07290B" w14:textId="2114A5C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81,769</w:t>
            </w:r>
          </w:p>
        </w:tc>
      </w:tr>
      <w:tr w:rsidRPr="00924421" w:rsidR="000F0FE3" w:rsidTr="00EA6D44" w14:paraId="06C5421F" w14:textId="77777777">
        <w:trPr>
          <w:cantSplit/>
          <w:jc w:val="center"/>
        </w:trPr>
        <w:tc>
          <w:tcPr>
            <w:tcW w:w="1885" w:type="dxa"/>
          </w:tcPr>
          <w:p w:rsidRPr="00924421" w:rsidR="000F0FE3" w:rsidP="00DF0E74" w:rsidRDefault="000F0FE3" w14:paraId="4062A1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Open Authorization Credentialing and Token Request Process</w:t>
            </w:r>
          </w:p>
        </w:tc>
        <w:tc>
          <w:tcPr>
            <w:tcW w:w="1080" w:type="dxa"/>
          </w:tcPr>
          <w:p w:rsidRPr="00924421" w:rsidR="000F0FE3" w:rsidP="00DF0E74" w:rsidRDefault="00FF3FB6" w14:paraId="22E41A6B" w14:textId="4866B1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w:t>
            </w:r>
          </w:p>
        </w:tc>
        <w:tc>
          <w:tcPr>
            <w:tcW w:w="1530" w:type="dxa"/>
          </w:tcPr>
          <w:p w:rsidRPr="00924421" w:rsidR="000F0FE3" w:rsidP="00DF0E74" w:rsidRDefault="000F0FE3" w14:paraId="23D642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0F0FE3" w:rsidP="00DF0E74" w:rsidRDefault="000F0FE3" w14:paraId="6DB97B9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0F0FE3" w:rsidP="00DF0E74" w:rsidRDefault="002032CD" w14:paraId="7FC7ACAA" w14:textId="26B6D1A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p>
        </w:tc>
        <w:tc>
          <w:tcPr>
            <w:tcW w:w="1350" w:type="dxa"/>
          </w:tcPr>
          <w:p w:rsidRPr="00924421" w:rsidR="000F0FE3" w:rsidP="00DF0E74" w:rsidRDefault="002A1499" w14:paraId="2A38015A" w14:textId="4E94F20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30</w:t>
            </w:r>
          </w:p>
        </w:tc>
        <w:tc>
          <w:tcPr>
            <w:tcW w:w="1080" w:type="dxa"/>
          </w:tcPr>
          <w:p w:rsidRPr="00924421" w:rsidR="000F0FE3" w:rsidP="00DF0E74" w:rsidRDefault="000F0FE3" w14:paraId="41989C75" w14:textId="4C8858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FF3FB6">
              <w:rPr>
                <w:sz w:val="20"/>
                <w:szCs w:val="20"/>
              </w:rPr>
              <w:t>8</w:t>
            </w:r>
            <w:r w:rsidRPr="00924421" w:rsidR="0025554D">
              <w:rPr>
                <w:sz w:val="20"/>
                <w:szCs w:val="20"/>
              </w:rPr>
              <w:t>.2</w:t>
            </w:r>
            <w:r w:rsidR="00FF3FB6">
              <w:rPr>
                <w:sz w:val="20"/>
                <w:szCs w:val="20"/>
              </w:rPr>
              <w:t>8</w:t>
            </w:r>
          </w:p>
        </w:tc>
        <w:tc>
          <w:tcPr>
            <w:tcW w:w="1264" w:type="dxa"/>
          </w:tcPr>
          <w:p w:rsidRPr="00924421" w:rsidR="000F0FE3" w:rsidP="00536B25" w:rsidRDefault="002032CD" w14:paraId="16B70847" w14:textId="5950440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rPr>
                <w:sz w:val="20"/>
                <w:szCs w:val="20"/>
              </w:rPr>
            </w:pPr>
            <w:r>
              <w:rPr>
                <w:sz w:val="20"/>
                <w:szCs w:val="20"/>
              </w:rPr>
              <w:t xml:space="preserve">      2,948</w:t>
            </w:r>
          </w:p>
        </w:tc>
      </w:tr>
      <w:tr w:rsidRPr="00924421" w:rsidR="000F0FE3" w:rsidTr="00EA6D44" w14:paraId="3A685F3C" w14:textId="77777777">
        <w:trPr>
          <w:cantSplit/>
          <w:jc w:val="center"/>
        </w:trPr>
        <w:tc>
          <w:tcPr>
            <w:tcW w:w="1885" w:type="dxa"/>
          </w:tcPr>
          <w:p w:rsidRPr="00924421" w:rsidR="000F0FE3" w:rsidP="00DF0E74" w:rsidRDefault="000F0FE3" w14:paraId="588646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(QPP Identity Management Application Process)</w:t>
            </w:r>
          </w:p>
        </w:tc>
        <w:tc>
          <w:tcPr>
            <w:tcW w:w="1080" w:type="dxa"/>
          </w:tcPr>
          <w:p w:rsidRPr="00924421" w:rsidR="000F0FE3" w:rsidP="00DF0E74" w:rsidRDefault="00E52416" w14:paraId="3257E2E5" w14:textId="774F2D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w:t>
            </w:r>
          </w:p>
        </w:tc>
        <w:tc>
          <w:tcPr>
            <w:tcW w:w="1530" w:type="dxa"/>
          </w:tcPr>
          <w:p w:rsidRPr="00924421" w:rsidR="000F0FE3" w:rsidP="00DF0E74" w:rsidRDefault="0061705E" w14:paraId="70A847A6" w14:textId="338D358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6,500</w:t>
            </w:r>
          </w:p>
        </w:tc>
        <w:tc>
          <w:tcPr>
            <w:tcW w:w="1170" w:type="dxa"/>
          </w:tcPr>
          <w:p w:rsidRPr="00924421" w:rsidR="000F0FE3" w:rsidP="00DF0E74" w:rsidRDefault="0061705E" w14:paraId="02D1B10E" w14:textId="4B4BAB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6,500</w:t>
            </w:r>
          </w:p>
        </w:tc>
        <w:tc>
          <w:tcPr>
            <w:tcW w:w="1170" w:type="dxa"/>
          </w:tcPr>
          <w:p w:rsidRPr="00924421" w:rsidR="000F0FE3" w:rsidP="00DF0E74" w:rsidRDefault="000F0FE3" w14:paraId="418222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p>
        </w:tc>
        <w:tc>
          <w:tcPr>
            <w:tcW w:w="1350" w:type="dxa"/>
          </w:tcPr>
          <w:p w:rsidRPr="00924421" w:rsidR="000F0FE3" w:rsidP="00DF0E74" w:rsidRDefault="0061705E" w14:paraId="386EABBA" w14:textId="30F77D5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6,500</w:t>
            </w:r>
          </w:p>
        </w:tc>
        <w:tc>
          <w:tcPr>
            <w:tcW w:w="1080" w:type="dxa"/>
          </w:tcPr>
          <w:p w:rsidRPr="00924421" w:rsidR="000F0FE3" w:rsidP="00DF0E74" w:rsidRDefault="000F0FE3" w14:paraId="08BED50B" w14:textId="3AD9A0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61705E">
              <w:rPr>
                <w:sz w:val="20"/>
                <w:szCs w:val="20"/>
              </w:rPr>
              <w:t>8</w:t>
            </w:r>
            <w:r w:rsidRPr="00924421" w:rsidR="0025554D">
              <w:rPr>
                <w:sz w:val="20"/>
                <w:szCs w:val="20"/>
              </w:rPr>
              <w:t>.2</w:t>
            </w:r>
            <w:r w:rsidR="0061705E">
              <w:rPr>
                <w:sz w:val="20"/>
                <w:szCs w:val="20"/>
              </w:rPr>
              <w:t>8</w:t>
            </w:r>
          </w:p>
        </w:tc>
        <w:tc>
          <w:tcPr>
            <w:tcW w:w="1264" w:type="dxa"/>
          </w:tcPr>
          <w:p w:rsidRPr="00924421" w:rsidR="000F0FE3" w:rsidP="001D4E94" w:rsidRDefault="00FC5E81" w14:paraId="1BFFABA3" w14:textId="47E601F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6</w:t>
            </w:r>
            <w:r w:rsidR="0061705E">
              <w:rPr>
                <w:sz w:val="20"/>
                <w:szCs w:val="20"/>
              </w:rPr>
              <w:t>38</w:t>
            </w:r>
            <w:r w:rsidR="001D4E94">
              <w:rPr>
                <w:sz w:val="20"/>
                <w:szCs w:val="20"/>
              </w:rPr>
              <w:t>,820</w:t>
            </w:r>
          </w:p>
        </w:tc>
      </w:tr>
      <w:tr w:rsidRPr="00924421" w:rsidR="000F0FE3" w:rsidTr="00EA6D44" w14:paraId="440F0D3B" w14:textId="77777777">
        <w:trPr>
          <w:cantSplit/>
          <w:jc w:val="center"/>
        </w:trPr>
        <w:tc>
          <w:tcPr>
            <w:tcW w:w="1885" w:type="dxa"/>
          </w:tcPr>
          <w:p w:rsidRPr="00924421" w:rsidR="000F0FE3" w:rsidP="00DF0E74" w:rsidRDefault="000F0FE3" w14:paraId="511A64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Claims Collection Type]</w:t>
            </w:r>
          </w:p>
        </w:tc>
        <w:tc>
          <w:tcPr>
            <w:tcW w:w="1080" w:type="dxa"/>
          </w:tcPr>
          <w:p w:rsidRPr="00924421" w:rsidR="000F0FE3" w:rsidP="00DF0E74" w:rsidRDefault="00845A1C" w14:paraId="7C8F5FD0" w14:textId="5DE765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w:t>
            </w:r>
          </w:p>
        </w:tc>
        <w:tc>
          <w:tcPr>
            <w:tcW w:w="1530" w:type="dxa"/>
          </w:tcPr>
          <w:p w:rsidRPr="00924421" w:rsidR="000F0FE3" w:rsidP="00DF0E74" w:rsidRDefault="000F0FE3" w14:paraId="235BA76D" w14:textId="112F00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DE5FEA">
              <w:rPr>
                <w:sz w:val="20"/>
                <w:szCs w:val="20"/>
              </w:rPr>
              <w:t>7,006</w:t>
            </w:r>
          </w:p>
        </w:tc>
        <w:tc>
          <w:tcPr>
            <w:tcW w:w="1170" w:type="dxa"/>
          </w:tcPr>
          <w:p w:rsidRPr="00924421" w:rsidR="000F0FE3" w:rsidP="00DF0E74" w:rsidRDefault="000F0FE3" w14:paraId="0E32B3A1" w14:textId="533ABB4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DE5FEA">
              <w:rPr>
                <w:sz w:val="20"/>
                <w:szCs w:val="20"/>
              </w:rPr>
              <w:t>7,006</w:t>
            </w:r>
          </w:p>
        </w:tc>
        <w:tc>
          <w:tcPr>
            <w:tcW w:w="1170" w:type="dxa"/>
          </w:tcPr>
          <w:p w:rsidRPr="00924421" w:rsidR="000F0FE3" w:rsidP="00DF0E74" w:rsidRDefault="000F0FE3" w14:paraId="4A21CF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14.2</w:t>
            </w:r>
          </w:p>
        </w:tc>
        <w:tc>
          <w:tcPr>
            <w:tcW w:w="1350" w:type="dxa"/>
          </w:tcPr>
          <w:p w:rsidRPr="00924421" w:rsidR="000F0FE3" w:rsidP="00DF0E74" w:rsidRDefault="00414779" w14:paraId="0E1C7B74" w14:textId="04F7983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w:t>
            </w:r>
            <w:r w:rsidR="00DE5FEA">
              <w:rPr>
                <w:sz w:val="20"/>
                <w:szCs w:val="20"/>
              </w:rPr>
              <w:t>83,485</w:t>
            </w:r>
          </w:p>
        </w:tc>
        <w:tc>
          <w:tcPr>
            <w:tcW w:w="1080" w:type="dxa"/>
          </w:tcPr>
          <w:p w:rsidRPr="00924421" w:rsidR="000F0FE3" w:rsidP="00DF0E74" w:rsidRDefault="000F0FE3" w14:paraId="75B8B6C0" w14:textId="299632D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DE5FEA">
              <w:rPr>
                <w:sz w:val="20"/>
                <w:szCs w:val="20"/>
              </w:rPr>
              <w:t>9</w:t>
            </w:r>
            <w:r w:rsidRPr="00924421">
              <w:rPr>
                <w:sz w:val="20"/>
                <w:szCs w:val="20"/>
              </w:rPr>
              <w:t>)</w:t>
            </w:r>
          </w:p>
        </w:tc>
        <w:tc>
          <w:tcPr>
            <w:tcW w:w="1264" w:type="dxa"/>
          </w:tcPr>
          <w:p w:rsidRPr="00924421" w:rsidR="000F0FE3" w:rsidP="00DF0E74" w:rsidRDefault="00E7192B" w14:paraId="4A47EAFF" w14:textId="11DAA5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40,576,245</w:t>
            </w:r>
          </w:p>
        </w:tc>
      </w:tr>
      <w:tr w:rsidRPr="00924421" w:rsidR="000F0FE3" w:rsidTr="00EA6D44" w14:paraId="5D7F0D98" w14:textId="77777777">
        <w:trPr>
          <w:cantSplit/>
          <w:jc w:val="center"/>
        </w:trPr>
        <w:tc>
          <w:tcPr>
            <w:tcW w:w="1885" w:type="dxa"/>
          </w:tcPr>
          <w:p w:rsidRPr="00924421" w:rsidR="000F0FE3" w:rsidP="00DF0E74" w:rsidRDefault="000F0FE3" w14:paraId="5AC870DF" w14:textId="768DAF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QCDR/MIPS CQM Collection Type]</w:t>
            </w:r>
          </w:p>
        </w:tc>
        <w:tc>
          <w:tcPr>
            <w:tcW w:w="1080" w:type="dxa"/>
          </w:tcPr>
          <w:p w:rsidRPr="00924421" w:rsidR="000F0FE3" w:rsidP="00DF0E74" w:rsidRDefault="006F0390" w14:paraId="569EF393" w14:textId="0C199D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10</w:t>
            </w:r>
          </w:p>
        </w:tc>
        <w:tc>
          <w:tcPr>
            <w:tcW w:w="1530" w:type="dxa"/>
          </w:tcPr>
          <w:p w:rsidRPr="00924421" w:rsidR="000F0FE3" w:rsidP="00DF0E74" w:rsidRDefault="00B869A0" w14:paraId="2AF34311" w14:textId="50E8453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006F0390">
              <w:rPr>
                <w:sz w:val="20"/>
                <w:szCs w:val="20"/>
              </w:rPr>
              <w:t>7,584</w:t>
            </w:r>
          </w:p>
        </w:tc>
        <w:tc>
          <w:tcPr>
            <w:tcW w:w="1170" w:type="dxa"/>
          </w:tcPr>
          <w:p w:rsidRPr="00924421" w:rsidR="000F0FE3" w:rsidP="00DF0E74" w:rsidRDefault="005A6F49" w14:paraId="5160B5E5" w14:textId="08F77DE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006F0390">
              <w:rPr>
                <w:sz w:val="20"/>
                <w:szCs w:val="20"/>
              </w:rPr>
              <w:t>7,584</w:t>
            </w:r>
          </w:p>
        </w:tc>
        <w:tc>
          <w:tcPr>
            <w:tcW w:w="1170" w:type="dxa"/>
          </w:tcPr>
          <w:p w:rsidRPr="00924421" w:rsidR="000F0FE3" w:rsidP="00DF0E74" w:rsidRDefault="000F0FE3" w14:paraId="062F00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9.083</w:t>
            </w:r>
          </w:p>
        </w:tc>
        <w:tc>
          <w:tcPr>
            <w:tcW w:w="1350" w:type="dxa"/>
          </w:tcPr>
          <w:p w:rsidRPr="00924421" w:rsidR="000F0FE3" w:rsidP="00DF0E74" w:rsidRDefault="000F0FE3" w14:paraId="542F9D67" w14:textId="63B310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4</w:t>
            </w:r>
            <w:r w:rsidR="001C3677">
              <w:rPr>
                <w:sz w:val="20"/>
                <w:szCs w:val="20"/>
              </w:rPr>
              <w:t>32,205</w:t>
            </w:r>
          </w:p>
        </w:tc>
        <w:tc>
          <w:tcPr>
            <w:tcW w:w="1080" w:type="dxa"/>
          </w:tcPr>
          <w:p w:rsidRPr="00924421" w:rsidR="000F0FE3" w:rsidP="00DF0E74" w:rsidRDefault="000F0FE3" w14:paraId="41B6496A" w14:textId="678EB46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1C3677">
              <w:rPr>
                <w:sz w:val="20"/>
                <w:szCs w:val="20"/>
              </w:rPr>
              <w:t>10</w:t>
            </w:r>
            <w:r w:rsidRPr="00924421">
              <w:rPr>
                <w:sz w:val="20"/>
                <w:szCs w:val="20"/>
              </w:rPr>
              <w:t>)</w:t>
            </w:r>
          </w:p>
        </w:tc>
        <w:tc>
          <w:tcPr>
            <w:tcW w:w="1264" w:type="dxa"/>
          </w:tcPr>
          <w:p w:rsidRPr="00924421" w:rsidR="000F0FE3" w:rsidP="00DF0E74" w:rsidRDefault="000F0FE3" w14:paraId="092B4EEA" w14:textId="37DD75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001C3677">
              <w:rPr>
                <w:sz w:val="20"/>
                <w:szCs w:val="20"/>
              </w:rPr>
              <w:t>6</w:t>
            </w:r>
            <w:r w:rsidRPr="00924421" w:rsidR="00AA4250">
              <w:rPr>
                <w:sz w:val="20"/>
                <w:szCs w:val="20"/>
              </w:rPr>
              <w:t>,</w:t>
            </w:r>
            <w:r w:rsidR="001C3677">
              <w:rPr>
                <w:sz w:val="20"/>
                <w:szCs w:val="20"/>
              </w:rPr>
              <w:t>75</w:t>
            </w:r>
            <w:r w:rsidRPr="00924421" w:rsidR="00F045BB">
              <w:rPr>
                <w:sz w:val="20"/>
                <w:szCs w:val="20"/>
              </w:rPr>
              <w:t>8,</w:t>
            </w:r>
            <w:r w:rsidR="001C3677">
              <w:rPr>
                <w:sz w:val="20"/>
                <w:szCs w:val="20"/>
              </w:rPr>
              <w:t>418</w:t>
            </w:r>
          </w:p>
        </w:tc>
      </w:tr>
      <w:tr w:rsidRPr="00924421" w:rsidR="000F0FE3" w:rsidTr="00EA6D44" w14:paraId="0E254EED" w14:textId="77777777">
        <w:trPr>
          <w:cantSplit/>
          <w:jc w:val="center"/>
        </w:trPr>
        <w:tc>
          <w:tcPr>
            <w:tcW w:w="1885" w:type="dxa"/>
          </w:tcPr>
          <w:p w:rsidRPr="00924421" w:rsidR="000F0FE3" w:rsidP="00DF0E74" w:rsidRDefault="000F0FE3" w14:paraId="1C620554" w14:textId="720218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§414.1325 and 414.1335 [(Quality Performance Category) eCQM Collection Type]</w:t>
            </w:r>
          </w:p>
        </w:tc>
        <w:tc>
          <w:tcPr>
            <w:tcW w:w="1080" w:type="dxa"/>
          </w:tcPr>
          <w:p w:rsidRPr="00924421" w:rsidR="000F0FE3" w:rsidP="00DF0E74" w:rsidRDefault="00727460" w14:paraId="77731897" w14:textId="45EAC5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w:t>
            </w:r>
          </w:p>
        </w:tc>
        <w:tc>
          <w:tcPr>
            <w:tcW w:w="1530" w:type="dxa"/>
          </w:tcPr>
          <w:p w:rsidRPr="00924421" w:rsidR="000F0FE3" w:rsidP="00DF0E74" w:rsidRDefault="002B11A9" w14:paraId="15835816" w14:textId="74D2C6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002C05C6">
              <w:rPr>
                <w:sz w:val="20"/>
                <w:szCs w:val="20"/>
              </w:rPr>
              <w:t>5</w:t>
            </w:r>
            <w:r w:rsidRPr="00924421">
              <w:rPr>
                <w:sz w:val="20"/>
                <w:szCs w:val="20"/>
              </w:rPr>
              <w:t>,7</w:t>
            </w:r>
            <w:r w:rsidR="002C05C6">
              <w:rPr>
                <w:sz w:val="20"/>
                <w:szCs w:val="20"/>
              </w:rPr>
              <w:t>60</w:t>
            </w:r>
          </w:p>
        </w:tc>
        <w:tc>
          <w:tcPr>
            <w:tcW w:w="1170" w:type="dxa"/>
          </w:tcPr>
          <w:p w:rsidRPr="00924421" w:rsidR="000F0FE3" w:rsidP="00DF0E74" w:rsidRDefault="003D713D" w14:paraId="6AD707F3" w14:textId="4FCDC3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002C05C6">
              <w:rPr>
                <w:sz w:val="20"/>
                <w:szCs w:val="20"/>
              </w:rPr>
              <w:t>5</w:t>
            </w:r>
            <w:r w:rsidRPr="00924421">
              <w:rPr>
                <w:sz w:val="20"/>
                <w:szCs w:val="20"/>
              </w:rPr>
              <w:t>,7</w:t>
            </w:r>
            <w:r w:rsidR="002C05C6">
              <w:rPr>
                <w:sz w:val="20"/>
                <w:szCs w:val="20"/>
              </w:rPr>
              <w:t>60</w:t>
            </w:r>
          </w:p>
        </w:tc>
        <w:tc>
          <w:tcPr>
            <w:tcW w:w="1170" w:type="dxa"/>
          </w:tcPr>
          <w:p w:rsidRPr="00924421" w:rsidR="000F0FE3" w:rsidP="00DF0E74" w:rsidRDefault="000F0FE3" w14:paraId="5658EB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8.0</w:t>
            </w:r>
          </w:p>
        </w:tc>
        <w:tc>
          <w:tcPr>
            <w:tcW w:w="1350" w:type="dxa"/>
          </w:tcPr>
          <w:p w:rsidRPr="00924421" w:rsidR="000F0FE3" w:rsidP="00DF0E74" w:rsidRDefault="00B509FC" w14:paraId="2C5B7231" w14:textId="158458B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3</w:t>
            </w:r>
            <w:r w:rsidR="004621DB">
              <w:rPr>
                <w:sz w:val="20"/>
                <w:szCs w:val="20"/>
              </w:rPr>
              <w:t>66,080</w:t>
            </w:r>
          </w:p>
        </w:tc>
        <w:tc>
          <w:tcPr>
            <w:tcW w:w="1080" w:type="dxa"/>
          </w:tcPr>
          <w:p w:rsidRPr="00924421" w:rsidR="000F0FE3" w:rsidP="00DF0E74" w:rsidRDefault="000F0FE3" w14:paraId="4B387D4B" w14:textId="114D298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4621DB">
              <w:rPr>
                <w:sz w:val="20"/>
                <w:szCs w:val="20"/>
              </w:rPr>
              <w:t>11</w:t>
            </w:r>
            <w:r w:rsidRPr="00924421">
              <w:rPr>
                <w:sz w:val="20"/>
                <w:szCs w:val="20"/>
              </w:rPr>
              <w:t>)</w:t>
            </w:r>
          </w:p>
        </w:tc>
        <w:tc>
          <w:tcPr>
            <w:tcW w:w="1264" w:type="dxa"/>
          </w:tcPr>
          <w:p w:rsidRPr="00924421" w:rsidR="000F0FE3" w:rsidP="00DF0E74" w:rsidRDefault="004621DB" w14:paraId="512B88A0" w14:textId="77466C0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40,095,827</w:t>
            </w:r>
          </w:p>
        </w:tc>
      </w:tr>
      <w:tr w:rsidRPr="00924421" w:rsidR="0040029B" w:rsidTr="00EA6D44" w14:paraId="7B046168" w14:textId="77777777">
        <w:trPr>
          <w:cantSplit/>
          <w:jc w:val="center"/>
        </w:trPr>
        <w:tc>
          <w:tcPr>
            <w:tcW w:w="1885" w:type="dxa"/>
            <w:vAlign w:val="bottom"/>
          </w:tcPr>
          <w:p w:rsidRPr="00924421" w:rsidR="0040029B" w:rsidP="0040029B" w:rsidRDefault="0040029B" w14:paraId="25915E2F" w14:textId="5616F8FF">
            <w:pPr>
              <w:spacing w:after="0"/>
              <w:rPr>
                <w:sz w:val="20"/>
                <w:szCs w:val="20"/>
              </w:rPr>
            </w:pPr>
            <w:r w:rsidRPr="00924421">
              <w:rPr>
                <w:color w:val="000000"/>
                <w:sz w:val="20"/>
                <w:szCs w:val="20"/>
              </w:rPr>
              <w:t>§ 414.1365 MVP Registration</w:t>
            </w:r>
          </w:p>
        </w:tc>
        <w:tc>
          <w:tcPr>
            <w:tcW w:w="1080" w:type="dxa"/>
          </w:tcPr>
          <w:p w:rsidRPr="00924421" w:rsidR="0040029B" w:rsidP="0040029B" w:rsidRDefault="0040029B" w14:paraId="54D70837" w14:textId="4A5B221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0330C4">
              <w:rPr>
                <w:sz w:val="20"/>
                <w:szCs w:val="20"/>
              </w:rPr>
              <w:t>2</w:t>
            </w:r>
          </w:p>
        </w:tc>
        <w:tc>
          <w:tcPr>
            <w:tcW w:w="1530" w:type="dxa"/>
          </w:tcPr>
          <w:p w:rsidRPr="00924421" w:rsidR="0040029B" w:rsidP="0040029B" w:rsidRDefault="0040029B" w14:paraId="58630956" w14:textId="7BEE3DF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F55FEA">
              <w:rPr>
                <w:sz w:val="20"/>
                <w:szCs w:val="20"/>
              </w:rPr>
              <w:t>6,432</w:t>
            </w:r>
          </w:p>
        </w:tc>
        <w:tc>
          <w:tcPr>
            <w:tcW w:w="1170" w:type="dxa"/>
          </w:tcPr>
          <w:p w:rsidRPr="00924421" w:rsidR="0040029B" w:rsidP="0040029B" w:rsidRDefault="0040029B" w14:paraId="6A69FC89" w14:textId="0AE1EE0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F55FEA">
              <w:rPr>
                <w:sz w:val="20"/>
                <w:szCs w:val="20"/>
              </w:rPr>
              <w:t>6,432</w:t>
            </w:r>
          </w:p>
        </w:tc>
        <w:tc>
          <w:tcPr>
            <w:tcW w:w="1170" w:type="dxa"/>
          </w:tcPr>
          <w:p w:rsidRPr="00924421" w:rsidR="0040029B" w:rsidP="0040029B" w:rsidRDefault="0040029B" w14:paraId="7F09FADE" w14:textId="62ACA3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40029B" w:rsidP="0040029B" w:rsidRDefault="00F55FEA" w14:paraId="3CEA1474" w14:textId="4F6498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4,108</w:t>
            </w:r>
          </w:p>
        </w:tc>
        <w:tc>
          <w:tcPr>
            <w:tcW w:w="1080" w:type="dxa"/>
          </w:tcPr>
          <w:p w:rsidRPr="00924421" w:rsidR="0040029B" w:rsidP="0040029B" w:rsidRDefault="0040029B" w14:paraId="7B1F7F14" w14:textId="670503E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F55FEA">
              <w:rPr>
                <w:sz w:val="20"/>
                <w:szCs w:val="20"/>
              </w:rPr>
              <w:t>8</w:t>
            </w:r>
            <w:r w:rsidRPr="00924421">
              <w:rPr>
                <w:sz w:val="20"/>
                <w:szCs w:val="20"/>
              </w:rPr>
              <w:t>.2</w:t>
            </w:r>
            <w:r w:rsidR="00F55FEA">
              <w:rPr>
                <w:sz w:val="20"/>
                <w:szCs w:val="20"/>
              </w:rPr>
              <w:t>8</w:t>
            </w:r>
          </w:p>
        </w:tc>
        <w:tc>
          <w:tcPr>
            <w:tcW w:w="1264" w:type="dxa"/>
          </w:tcPr>
          <w:p w:rsidRPr="00924421" w:rsidR="0040029B" w:rsidP="0040029B" w:rsidRDefault="00F55FEA" w14:paraId="025B1369" w14:textId="6151286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403,734</w:t>
            </w:r>
          </w:p>
        </w:tc>
      </w:tr>
      <w:tr w:rsidRPr="00924421" w:rsidR="0040029B" w:rsidTr="00EA6D44" w14:paraId="460C36C0" w14:textId="77777777">
        <w:trPr>
          <w:cantSplit/>
          <w:jc w:val="center"/>
        </w:trPr>
        <w:tc>
          <w:tcPr>
            <w:tcW w:w="1885" w:type="dxa"/>
            <w:vAlign w:val="bottom"/>
          </w:tcPr>
          <w:p w:rsidRPr="00924421" w:rsidR="0040029B" w:rsidP="0040029B" w:rsidRDefault="0040029B" w14:paraId="5F53D93E" w14:textId="01884819">
            <w:pPr>
              <w:spacing w:after="0"/>
              <w:rPr>
                <w:sz w:val="20"/>
                <w:szCs w:val="20"/>
              </w:rPr>
            </w:pPr>
            <w:r w:rsidRPr="00924421">
              <w:rPr>
                <w:color w:val="000000"/>
                <w:sz w:val="20"/>
                <w:szCs w:val="20"/>
              </w:rPr>
              <w:t>§ 414.1365 Subgroup Registration</w:t>
            </w:r>
          </w:p>
        </w:tc>
        <w:tc>
          <w:tcPr>
            <w:tcW w:w="1080" w:type="dxa"/>
          </w:tcPr>
          <w:p w:rsidRPr="00924421" w:rsidR="0040029B" w:rsidP="0040029B" w:rsidRDefault="0040029B" w14:paraId="2EC1F697" w14:textId="644295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447DAC">
              <w:rPr>
                <w:sz w:val="20"/>
                <w:szCs w:val="20"/>
              </w:rPr>
              <w:t>3</w:t>
            </w:r>
          </w:p>
        </w:tc>
        <w:tc>
          <w:tcPr>
            <w:tcW w:w="1530" w:type="dxa"/>
          </w:tcPr>
          <w:p w:rsidRPr="00924421" w:rsidR="0040029B" w:rsidP="0040029B" w:rsidRDefault="0040029B" w14:paraId="621DDB3E" w14:textId="0AE73DF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Pr="00924421" w:rsidR="0040029B" w:rsidP="0040029B" w:rsidRDefault="0040029B" w14:paraId="2E70B1F1" w14:textId="6442173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20</w:t>
            </w:r>
          </w:p>
        </w:tc>
        <w:tc>
          <w:tcPr>
            <w:tcW w:w="1170" w:type="dxa"/>
          </w:tcPr>
          <w:p w:rsidRPr="00924421" w:rsidR="0040029B" w:rsidP="0040029B" w:rsidRDefault="0040029B" w14:paraId="34672AEA" w14:textId="56822A1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Pr="00924421" w:rsidR="0040029B" w:rsidP="0040029B" w:rsidRDefault="0040029B" w14:paraId="74E62DF8" w14:textId="5A95B7A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10</w:t>
            </w:r>
          </w:p>
        </w:tc>
        <w:tc>
          <w:tcPr>
            <w:tcW w:w="1080" w:type="dxa"/>
          </w:tcPr>
          <w:p w:rsidRPr="00924421" w:rsidR="0040029B" w:rsidP="0040029B" w:rsidRDefault="0040029B" w14:paraId="3D7E7091" w14:textId="797ECE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447DAC">
              <w:rPr>
                <w:sz w:val="20"/>
                <w:szCs w:val="20"/>
              </w:rPr>
              <w:t>8</w:t>
            </w:r>
            <w:r w:rsidRPr="00924421">
              <w:rPr>
                <w:sz w:val="20"/>
                <w:szCs w:val="20"/>
              </w:rPr>
              <w:t>.2</w:t>
            </w:r>
            <w:r w:rsidR="00447DAC">
              <w:rPr>
                <w:sz w:val="20"/>
                <w:szCs w:val="20"/>
              </w:rPr>
              <w:t>8</w:t>
            </w:r>
          </w:p>
        </w:tc>
        <w:tc>
          <w:tcPr>
            <w:tcW w:w="1264" w:type="dxa"/>
          </w:tcPr>
          <w:p w:rsidRPr="00924421" w:rsidR="0040029B" w:rsidP="0040029B" w:rsidRDefault="0040029B" w14:paraId="36B12CB0" w14:textId="10D5C70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447DAC">
              <w:rPr>
                <w:sz w:val="20"/>
                <w:szCs w:val="20"/>
              </w:rPr>
              <w:t>83</w:t>
            </w:r>
          </w:p>
        </w:tc>
      </w:tr>
      <w:tr w:rsidRPr="00924421" w:rsidR="0040029B" w:rsidTr="00EA6D44" w14:paraId="0A8CD9B7" w14:textId="77777777">
        <w:trPr>
          <w:cantSplit/>
          <w:jc w:val="center"/>
        </w:trPr>
        <w:tc>
          <w:tcPr>
            <w:tcW w:w="1885" w:type="dxa"/>
            <w:vAlign w:val="bottom"/>
          </w:tcPr>
          <w:p w:rsidRPr="00924421" w:rsidR="0040029B" w:rsidP="0040029B" w:rsidRDefault="0040029B" w14:paraId="1EA5CDF9" w14:textId="7440F224">
            <w:pPr>
              <w:spacing w:after="0"/>
              <w:rPr>
                <w:sz w:val="20"/>
                <w:szCs w:val="20"/>
              </w:rPr>
            </w:pPr>
            <w:r w:rsidRPr="00924421">
              <w:rPr>
                <w:color w:val="000000"/>
                <w:sz w:val="20"/>
                <w:szCs w:val="20"/>
              </w:rPr>
              <w:t>§ 414.1365 MVP Quality Submission</w:t>
            </w:r>
          </w:p>
        </w:tc>
        <w:tc>
          <w:tcPr>
            <w:tcW w:w="1080" w:type="dxa"/>
          </w:tcPr>
          <w:p w:rsidRPr="00924421" w:rsidR="0040029B" w:rsidP="0040029B" w:rsidRDefault="0040029B" w14:paraId="59DB93A3" w14:textId="7A963B6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1D657C">
              <w:rPr>
                <w:sz w:val="20"/>
                <w:szCs w:val="20"/>
              </w:rPr>
              <w:t>4</w:t>
            </w:r>
          </w:p>
        </w:tc>
        <w:tc>
          <w:tcPr>
            <w:tcW w:w="1530" w:type="dxa"/>
          </w:tcPr>
          <w:p w:rsidRPr="00924421" w:rsidR="0040029B" w:rsidP="0040029B" w:rsidRDefault="0040029B" w14:paraId="57BBA74F" w14:textId="763B173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D60457">
              <w:rPr>
                <w:sz w:val="20"/>
                <w:szCs w:val="20"/>
              </w:rPr>
              <w:t>6,432</w:t>
            </w:r>
          </w:p>
        </w:tc>
        <w:tc>
          <w:tcPr>
            <w:tcW w:w="1170" w:type="dxa"/>
          </w:tcPr>
          <w:p w:rsidRPr="00924421" w:rsidR="0040029B" w:rsidP="0040029B" w:rsidRDefault="0040029B" w14:paraId="550E6C65" w14:textId="1453F9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D60457">
              <w:rPr>
                <w:sz w:val="20"/>
                <w:szCs w:val="20"/>
              </w:rPr>
              <w:t>6,432</w:t>
            </w:r>
          </w:p>
        </w:tc>
        <w:tc>
          <w:tcPr>
            <w:tcW w:w="1170" w:type="dxa"/>
          </w:tcPr>
          <w:p w:rsidRPr="00924421" w:rsidR="0040029B" w:rsidP="0040029B" w:rsidRDefault="0040029B" w14:paraId="256151B5" w14:textId="2EF2CF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p>
        </w:tc>
        <w:tc>
          <w:tcPr>
            <w:tcW w:w="1350" w:type="dxa"/>
          </w:tcPr>
          <w:p w:rsidRPr="00924421" w:rsidR="0040029B" w:rsidP="0040029B" w:rsidRDefault="00B6779D" w14:paraId="21885FA0" w14:textId="75D874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106</w:t>
            </w:r>
            <w:r w:rsidRPr="00924421" w:rsidR="0040029B">
              <w:rPr>
                <w:sz w:val="20"/>
                <w:szCs w:val="20"/>
              </w:rPr>
              <w:t>,6</w:t>
            </w:r>
            <w:r>
              <w:rPr>
                <w:sz w:val="20"/>
                <w:szCs w:val="20"/>
              </w:rPr>
              <w:t>92</w:t>
            </w:r>
          </w:p>
        </w:tc>
        <w:tc>
          <w:tcPr>
            <w:tcW w:w="1080" w:type="dxa"/>
          </w:tcPr>
          <w:p w:rsidRPr="00924421" w:rsidR="0040029B" w:rsidP="0040029B" w:rsidRDefault="0040029B" w14:paraId="07C952EC" w14:textId="0BFED08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w:t>
            </w:r>
            <w:r w:rsidRPr="00924421" w:rsidR="00BD2055">
              <w:rPr>
                <w:sz w:val="20"/>
                <w:szCs w:val="20"/>
              </w:rPr>
              <w:t xml:space="preserve"> (see table 1</w:t>
            </w:r>
            <w:r w:rsidR="00B6779D">
              <w:rPr>
                <w:sz w:val="20"/>
                <w:szCs w:val="20"/>
              </w:rPr>
              <w:t>4</w:t>
            </w:r>
            <w:r w:rsidRPr="00924421" w:rsidR="00BD2055">
              <w:rPr>
                <w:sz w:val="20"/>
                <w:szCs w:val="20"/>
              </w:rPr>
              <w:t>)</w:t>
            </w:r>
          </w:p>
        </w:tc>
        <w:tc>
          <w:tcPr>
            <w:tcW w:w="1264" w:type="dxa"/>
          </w:tcPr>
          <w:p w:rsidRPr="00924421" w:rsidR="0040029B" w:rsidP="0040029B" w:rsidRDefault="00650B6F" w14:paraId="517EDA63" w14:textId="4993948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11,50</w:t>
            </w:r>
            <w:r w:rsidR="007211DD">
              <w:rPr>
                <w:sz w:val="20"/>
                <w:szCs w:val="20"/>
              </w:rPr>
              <w:t>6,091</w:t>
            </w:r>
          </w:p>
        </w:tc>
      </w:tr>
      <w:tr w:rsidRPr="00924421" w:rsidR="0040029B" w:rsidTr="00EA6D44" w14:paraId="67468529" w14:textId="77777777">
        <w:trPr>
          <w:cantSplit/>
          <w:jc w:val="center"/>
        </w:trPr>
        <w:tc>
          <w:tcPr>
            <w:tcW w:w="1885" w:type="dxa"/>
            <w:vAlign w:val="bottom"/>
          </w:tcPr>
          <w:p w:rsidRPr="00924421" w:rsidR="0040029B" w:rsidP="00827359" w:rsidRDefault="0040029B" w14:paraId="47084942" w14:textId="510F97BE">
            <w:pPr>
              <w:spacing w:after="0"/>
              <w:rPr>
                <w:sz w:val="20"/>
                <w:szCs w:val="20"/>
              </w:rPr>
            </w:pPr>
            <w:r w:rsidRPr="00924421">
              <w:rPr>
                <w:sz w:val="20"/>
                <w:szCs w:val="20"/>
              </w:rPr>
              <w:lastRenderedPageBreak/>
              <w:t>[(Quality Performance Category)</w:t>
            </w:r>
            <w:r w:rsidRPr="00924421" w:rsidR="0094328C">
              <w:rPr>
                <w:sz w:val="20"/>
                <w:szCs w:val="20"/>
              </w:rPr>
              <w:t xml:space="preserve"> </w:t>
            </w:r>
            <w:r w:rsidRPr="00924421">
              <w:rPr>
                <w:sz w:val="20"/>
                <w:szCs w:val="20"/>
              </w:rPr>
              <w:t>Call for Quality Measures]</w:t>
            </w:r>
          </w:p>
        </w:tc>
        <w:tc>
          <w:tcPr>
            <w:tcW w:w="1080" w:type="dxa"/>
          </w:tcPr>
          <w:p w:rsidRPr="00924421" w:rsidR="0040029B" w:rsidP="0040029B" w:rsidRDefault="0040029B" w14:paraId="23EF3D6C" w14:textId="702C22E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5</w:t>
            </w:r>
          </w:p>
        </w:tc>
        <w:tc>
          <w:tcPr>
            <w:tcW w:w="1530" w:type="dxa"/>
          </w:tcPr>
          <w:p w:rsidRPr="00924421" w:rsidR="0040029B" w:rsidP="0040029B" w:rsidRDefault="0040029B" w14:paraId="2C1426E9" w14:textId="69A2F2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170" w:type="dxa"/>
          </w:tcPr>
          <w:p w:rsidRPr="00924421" w:rsidR="0040029B" w:rsidP="0040029B" w:rsidRDefault="0040029B" w14:paraId="1C2587D9" w14:textId="2B4052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28</w:t>
            </w:r>
          </w:p>
        </w:tc>
        <w:tc>
          <w:tcPr>
            <w:tcW w:w="1170" w:type="dxa"/>
          </w:tcPr>
          <w:p w:rsidRPr="00924421" w:rsidR="0040029B" w:rsidP="0040029B" w:rsidRDefault="0040029B" w14:paraId="66D94315" w14:textId="5DAB0B8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w:t>
            </w:r>
          </w:p>
        </w:tc>
        <w:tc>
          <w:tcPr>
            <w:tcW w:w="1350" w:type="dxa"/>
          </w:tcPr>
          <w:p w:rsidRPr="00924421" w:rsidR="0040029B" w:rsidP="0040029B" w:rsidRDefault="0040029B" w14:paraId="37EF5FC3" w14:textId="05E688B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154</w:t>
            </w:r>
          </w:p>
        </w:tc>
        <w:tc>
          <w:tcPr>
            <w:tcW w:w="1080" w:type="dxa"/>
          </w:tcPr>
          <w:p w:rsidRPr="00924421" w:rsidR="0040029B" w:rsidP="0040029B" w:rsidRDefault="0040029B" w14:paraId="75397B3A" w14:textId="684405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1</w:t>
            </w:r>
            <w:r w:rsidR="002F0DAC">
              <w:rPr>
                <w:sz w:val="20"/>
                <w:szCs w:val="20"/>
              </w:rPr>
              <w:t>5</w:t>
            </w:r>
            <w:r w:rsidRPr="00924421">
              <w:rPr>
                <w:sz w:val="20"/>
                <w:szCs w:val="20"/>
              </w:rPr>
              <w:t>)</w:t>
            </w:r>
          </w:p>
        </w:tc>
        <w:tc>
          <w:tcPr>
            <w:tcW w:w="1264" w:type="dxa"/>
          </w:tcPr>
          <w:p w:rsidRPr="00924421" w:rsidR="0040029B" w:rsidP="0040029B" w:rsidRDefault="009A3475" w14:paraId="39395389" w14:textId="5FEFAAA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30,309</w:t>
            </w:r>
          </w:p>
        </w:tc>
      </w:tr>
      <w:tr w:rsidRPr="00924421" w:rsidR="0040029B" w:rsidTr="00EA6D44" w14:paraId="1AE0EAFB" w14:textId="77777777">
        <w:trPr>
          <w:cantSplit/>
          <w:jc w:val="center"/>
        </w:trPr>
        <w:tc>
          <w:tcPr>
            <w:tcW w:w="1885" w:type="dxa"/>
            <w:vAlign w:val="bottom"/>
          </w:tcPr>
          <w:p w:rsidRPr="00924421" w:rsidR="0040029B" w:rsidP="0040029B" w:rsidRDefault="0040029B" w14:paraId="176F604C" w14:textId="4A8D46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 xml:space="preserve">§414.1375 and 414.1380[(PI Performance Category) Reweighting Applications for Promoting Interoperability and Other Performance Categories </w:t>
            </w:r>
          </w:p>
        </w:tc>
        <w:tc>
          <w:tcPr>
            <w:tcW w:w="1080" w:type="dxa"/>
          </w:tcPr>
          <w:p w:rsidRPr="00924421" w:rsidR="0040029B" w:rsidP="0040029B" w:rsidRDefault="0040029B" w14:paraId="26CDF464" w14:textId="149DB7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F0DAC">
              <w:rPr>
                <w:sz w:val="20"/>
                <w:szCs w:val="20"/>
              </w:rPr>
              <w:t>6</w:t>
            </w:r>
          </w:p>
        </w:tc>
        <w:tc>
          <w:tcPr>
            <w:tcW w:w="1530" w:type="dxa"/>
          </w:tcPr>
          <w:p w:rsidRPr="00924421" w:rsidR="0040029B" w:rsidP="0040029B" w:rsidRDefault="00AA4492" w14:paraId="46255D52" w14:textId="0872EC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31,155</w:t>
            </w:r>
          </w:p>
        </w:tc>
        <w:tc>
          <w:tcPr>
            <w:tcW w:w="1170" w:type="dxa"/>
          </w:tcPr>
          <w:p w:rsidRPr="00924421" w:rsidR="0040029B" w:rsidP="0040029B" w:rsidRDefault="00AA4492" w14:paraId="2279E716" w14:textId="3BE6474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31,155</w:t>
            </w:r>
          </w:p>
        </w:tc>
        <w:tc>
          <w:tcPr>
            <w:tcW w:w="1170" w:type="dxa"/>
          </w:tcPr>
          <w:p w:rsidRPr="00924421" w:rsidR="0040029B" w:rsidP="0040029B" w:rsidRDefault="0040029B" w14:paraId="39A2F7BB" w14:textId="2D072B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40029B" w:rsidP="0040029B" w:rsidRDefault="00AA4492" w14:paraId="3C069860" w14:textId="4FBF304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w:t>
            </w:r>
            <w:r w:rsidRPr="00924421" w:rsidR="002E23F6">
              <w:rPr>
                <w:sz w:val="20"/>
                <w:szCs w:val="20"/>
              </w:rPr>
              <w:t>,7</w:t>
            </w:r>
            <w:r>
              <w:rPr>
                <w:sz w:val="20"/>
                <w:szCs w:val="20"/>
              </w:rPr>
              <w:t>89</w:t>
            </w:r>
          </w:p>
        </w:tc>
        <w:tc>
          <w:tcPr>
            <w:tcW w:w="1080" w:type="dxa"/>
          </w:tcPr>
          <w:p w:rsidRPr="00924421" w:rsidR="0040029B" w:rsidP="0040029B" w:rsidRDefault="0040029B" w14:paraId="641073BD" w14:textId="7773D40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AA4492">
              <w:rPr>
                <w:sz w:val="20"/>
                <w:szCs w:val="20"/>
              </w:rPr>
              <w:t>8</w:t>
            </w:r>
            <w:r w:rsidRPr="00924421">
              <w:rPr>
                <w:sz w:val="20"/>
                <w:szCs w:val="20"/>
              </w:rPr>
              <w:t>.2</w:t>
            </w:r>
            <w:r w:rsidR="00AA4492">
              <w:rPr>
                <w:sz w:val="20"/>
                <w:szCs w:val="20"/>
              </w:rPr>
              <w:t>8</w:t>
            </w:r>
          </w:p>
        </w:tc>
        <w:tc>
          <w:tcPr>
            <w:tcW w:w="1264" w:type="dxa"/>
          </w:tcPr>
          <w:p w:rsidRPr="00924421" w:rsidR="0040029B" w:rsidP="0040029B" w:rsidRDefault="00AA4492" w14:paraId="663503D5" w14:textId="10E5EC6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765,503</w:t>
            </w:r>
          </w:p>
        </w:tc>
      </w:tr>
      <w:tr w:rsidRPr="00924421" w:rsidR="00833D03" w:rsidTr="00EA6D44" w14:paraId="5DC44975" w14:textId="77777777">
        <w:trPr>
          <w:cantSplit/>
          <w:jc w:val="center"/>
        </w:trPr>
        <w:tc>
          <w:tcPr>
            <w:tcW w:w="1885" w:type="dxa"/>
          </w:tcPr>
          <w:p w:rsidRPr="00924421" w:rsidR="00833D03" w:rsidP="00833D03" w:rsidRDefault="00833D03" w14:paraId="41A368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§414.1375 [(PI Performance Category) Data Submission]</w:t>
            </w:r>
          </w:p>
        </w:tc>
        <w:tc>
          <w:tcPr>
            <w:tcW w:w="1080" w:type="dxa"/>
          </w:tcPr>
          <w:p w:rsidRPr="00924421" w:rsidR="00833D03" w:rsidP="00833D03" w:rsidRDefault="002F0DAC" w14:paraId="34EE494E" w14:textId="5FAAF17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3C723A">
              <w:rPr>
                <w:sz w:val="20"/>
                <w:szCs w:val="20"/>
              </w:rPr>
              <w:t>7</w:t>
            </w:r>
          </w:p>
        </w:tc>
        <w:tc>
          <w:tcPr>
            <w:tcW w:w="1530" w:type="dxa"/>
          </w:tcPr>
          <w:p w:rsidRPr="00924421" w:rsidR="00833D03" w:rsidP="00833D03" w:rsidRDefault="00833D03" w14:paraId="347F00A4" w14:textId="3BFEA8C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r w:rsidR="003C723A">
              <w:rPr>
                <w:sz w:val="20"/>
                <w:szCs w:val="20"/>
              </w:rPr>
              <w:t>4,770</w:t>
            </w:r>
          </w:p>
        </w:tc>
        <w:tc>
          <w:tcPr>
            <w:tcW w:w="1170" w:type="dxa"/>
          </w:tcPr>
          <w:p w:rsidRPr="00924421" w:rsidR="00833D03" w:rsidP="00833D03" w:rsidRDefault="00833D03" w14:paraId="07485C1D" w14:textId="339E34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r w:rsidR="003C723A">
              <w:rPr>
                <w:sz w:val="20"/>
                <w:szCs w:val="20"/>
              </w:rPr>
              <w:t>4,770</w:t>
            </w:r>
          </w:p>
        </w:tc>
        <w:tc>
          <w:tcPr>
            <w:tcW w:w="1170" w:type="dxa"/>
          </w:tcPr>
          <w:p w:rsidRPr="00924421" w:rsidR="00833D03" w:rsidP="00833D03" w:rsidRDefault="00833D03" w14:paraId="7E02716A" w14:textId="5753305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3C723A">
              <w:rPr>
                <w:sz w:val="20"/>
                <w:szCs w:val="20"/>
              </w:rPr>
              <w:t>71</w:t>
            </w:r>
          </w:p>
        </w:tc>
        <w:tc>
          <w:tcPr>
            <w:tcW w:w="1350" w:type="dxa"/>
          </w:tcPr>
          <w:p w:rsidRPr="00924421" w:rsidR="00833D03" w:rsidP="00833D03" w:rsidRDefault="00833D03" w14:paraId="3EC5E825" w14:textId="2D730E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w:t>
            </w:r>
            <w:r w:rsidR="002C3295">
              <w:rPr>
                <w:sz w:val="20"/>
                <w:szCs w:val="20"/>
              </w:rPr>
              <w:t>48,427</w:t>
            </w:r>
          </w:p>
        </w:tc>
        <w:tc>
          <w:tcPr>
            <w:tcW w:w="1080" w:type="dxa"/>
          </w:tcPr>
          <w:p w:rsidRPr="00924421" w:rsidR="00833D03" w:rsidP="00833D03" w:rsidRDefault="00833D03" w14:paraId="49679800" w14:textId="5DB002E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2C3295">
              <w:rPr>
                <w:sz w:val="20"/>
                <w:szCs w:val="20"/>
              </w:rPr>
              <w:t>8</w:t>
            </w:r>
            <w:r w:rsidRPr="00924421">
              <w:rPr>
                <w:sz w:val="20"/>
                <w:szCs w:val="20"/>
              </w:rPr>
              <w:t>.2</w:t>
            </w:r>
            <w:r w:rsidR="002C3295">
              <w:rPr>
                <w:sz w:val="20"/>
                <w:szCs w:val="20"/>
              </w:rPr>
              <w:t>8</w:t>
            </w:r>
          </w:p>
        </w:tc>
        <w:tc>
          <w:tcPr>
            <w:tcW w:w="1264" w:type="dxa"/>
          </w:tcPr>
          <w:p w:rsidRPr="00924421" w:rsidR="00833D03" w:rsidP="00833D03" w:rsidRDefault="00002EB6" w14:paraId="263F198F" w14:textId="446CA61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w:t>
            </w:r>
            <w:r w:rsidR="002C3295">
              <w:rPr>
                <w:sz w:val="20"/>
                <w:szCs w:val="20"/>
              </w:rPr>
              <w:t>4,587,406</w:t>
            </w:r>
          </w:p>
        </w:tc>
      </w:tr>
      <w:tr w:rsidRPr="00924421" w:rsidR="0040029B" w:rsidTr="00EA6D44" w14:paraId="1026A6E0" w14:textId="77777777">
        <w:trPr>
          <w:cantSplit/>
          <w:jc w:val="center"/>
        </w:trPr>
        <w:tc>
          <w:tcPr>
            <w:tcW w:w="1885" w:type="dxa"/>
          </w:tcPr>
          <w:p w:rsidRPr="00924421" w:rsidR="0040029B" w:rsidP="0040029B" w:rsidRDefault="0040029B" w14:paraId="4E42E4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[(PI Performance Category) Call for Promoting Interoperability Measures]</w:t>
            </w:r>
          </w:p>
        </w:tc>
        <w:tc>
          <w:tcPr>
            <w:tcW w:w="1080" w:type="dxa"/>
          </w:tcPr>
          <w:p w:rsidRPr="00924421" w:rsidR="0040029B" w:rsidP="0040029B" w:rsidRDefault="0066301E" w14:paraId="7741D1AE" w14:textId="50024F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w:t>
            </w:r>
            <w:r w:rsidR="009C124B">
              <w:rPr>
                <w:sz w:val="20"/>
                <w:szCs w:val="20"/>
              </w:rPr>
              <w:t>8</w:t>
            </w:r>
          </w:p>
        </w:tc>
        <w:tc>
          <w:tcPr>
            <w:tcW w:w="1530" w:type="dxa"/>
          </w:tcPr>
          <w:p w:rsidRPr="00924421" w:rsidR="0040029B" w:rsidP="0040029B" w:rsidRDefault="0040029B" w14:paraId="3316073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170" w:type="dxa"/>
          </w:tcPr>
          <w:p w:rsidRPr="00924421" w:rsidR="0040029B" w:rsidP="0040029B" w:rsidRDefault="0040029B" w14:paraId="6F2048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170" w:type="dxa"/>
          </w:tcPr>
          <w:p w:rsidRPr="00924421" w:rsidR="0040029B" w:rsidP="0040029B" w:rsidRDefault="0040029B" w14:paraId="448C85E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0.5</w:t>
            </w:r>
          </w:p>
        </w:tc>
        <w:tc>
          <w:tcPr>
            <w:tcW w:w="1350" w:type="dxa"/>
          </w:tcPr>
          <w:p w:rsidRPr="00924421" w:rsidR="0040029B" w:rsidP="0040029B" w:rsidRDefault="0040029B" w14:paraId="5DF9640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5</w:t>
            </w:r>
          </w:p>
        </w:tc>
        <w:tc>
          <w:tcPr>
            <w:tcW w:w="1080" w:type="dxa"/>
          </w:tcPr>
          <w:p w:rsidRPr="00924421" w:rsidR="0040029B" w:rsidP="0040029B" w:rsidRDefault="0040029B" w14:paraId="438039F6" w14:textId="72485F4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C12B12">
              <w:rPr>
                <w:sz w:val="20"/>
                <w:szCs w:val="20"/>
              </w:rPr>
              <w:t>18</w:t>
            </w:r>
            <w:r w:rsidRPr="00924421">
              <w:rPr>
                <w:sz w:val="20"/>
                <w:szCs w:val="20"/>
              </w:rPr>
              <w:t>)</w:t>
            </w:r>
          </w:p>
        </w:tc>
        <w:tc>
          <w:tcPr>
            <w:tcW w:w="1264" w:type="dxa"/>
          </w:tcPr>
          <w:p w:rsidRPr="00924421" w:rsidR="0040029B" w:rsidP="0040029B" w:rsidRDefault="0066301E" w14:paraId="293C7A25" w14:textId="2743260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866</w:t>
            </w:r>
          </w:p>
        </w:tc>
      </w:tr>
      <w:tr w:rsidRPr="00924421" w:rsidR="005942E7" w:rsidTr="00EA6D44" w14:paraId="3EE8BDB8" w14:textId="77777777">
        <w:trPr>
          <w:cantSplit/>
          <w:jc w:val="center"/>
        </w:trPr>
        <w:tc>
          <w:tcPr>
            <w:tcW w:w="1885" w:type="dxa"/>
          </w:tcPr>
          <w:p w:rsidRPr="00924421" w:rsidR="005942E7" w:rsidP="005942E7" w:rsidRDefault="005942E7" w14:paraId="35DC93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Data Submission]</w:t>
            </w:r>
          </w:p>
        </w:tc>
        <w:tc>
          <w:tcPr>
            <w:tcW w:w="1080" w:type="dxa"/>
          </w:tcPr>
          <w:p w:rsidRPr="00924421" w:rsidR="005942E7" w:rsidP="005942E7" w:rsidRDefault="00734117" w14:paraId="6A060659" w14:textId="6044127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19</w:t>
            </w:r>
          </w:p>
        </w:tc>
        <w:tc>
          <w:tcPr>
            <w:tcW w:w="1530" w:type="dxa"/>
          </w:tcPr>
          <w:p w:rsidRPr="00924421" w:rsidR="005942E7" w:rsidP="005942E7" w:rsidRDefault="00970F3F" w14:paraId="042E739B" w14:textId="2E866C5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96,980</w:t>
            </w:r>
          </w:p>
        </w:tc>
        <w:tc>
          <w:tcPr>
            <w:tcW w:w="1170" w:type="dxa"/>
          </w:tcPr>
          <w:p w:rsidRPr="00924421" w:rsidR="005942E7" w:rsidP="005942E7" w:rsidRDefault="008073A2" w14:paraId="0515AAAC" w14:textId="75F786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96,980</w:t>
            </w:r>
          </w:p>
        </w:tc>
        <w:tc>
          <w:tcPr>
            <w:tcW w:w="1170" w:type="dxa"/>
          </w:tcPr>
          <w:p w:rsidRPr="00924421" w:rsidR="005942E7" w:rsidP="005942E7" w:rsidRDefault="005942E7" w14:paraId="2B41462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0.083</w:t>
            </w:r>
          </w:p>
        </w:tc>
        <w:tc>
          <w:tcPr>
            <w:tcW w:w="1350" w:type="dxa"/>
          </w:tcPr>
          <w:p w:rsidRPr="00924421" w:rsidR="005942E7" w:rsidP="005942E7" w:rsidRDefault="007B2205" w14:paraId="022D0C74" w14:textId="0AB438A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8,049</w:t>
            </w:r>
          </w:p>
        </w:tc>
        <w:tc>
          <w:tcPr>
            <w:tcW w:w="1080" w:type="dxa"/>
          </w:tcPr>
          <w:p w:rsidRPr="00924421" w:rsidR="005942E7" w:rsidP="005942E7" w:rsidRDefault="005942E7" w14:paraId="15438028" w14:textId="4B91A5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7B2205">
              <w:rPr>
                <w:sz w:val="20"/>
                <w:szCs w:val="20"/>
              </w:rPr>
              <w:t>8</w:t>
            </w:r>
            <w:r w:rsidRPr="00924421">
              <w:rPr>
                <w:sz w:val="20"/>
                <w:szCs w:val="20"/>
              </w:rPr>
              <w:t>.2</w:t>
            </w:r>
            <w:r w:rsidR="007B2205">
              <w:rPr>
                <w:sz w:val="20"/>
                <w:szCs w:val="20"/>
              </w:rPr>
              <w:t>8</w:t>
            </w:r>
          </w:p>
        </w:tc>
        <w:tc>
          <w:tcPr>
            <w:tcW w:w="1264" w:type="dxa"/>
          </w:tcPr>
          <w:p w:rsidRPr="00924421" w:rsidR="005942E7" w:rsidP="005942E7" w:rsidRDefault="007B2205" w14:paraId="599832FB" w14:textId="31D93E4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791,056</w:t>
            </w:r>
          </w:p>
        </w:tc>
      </w:tr>
      <w:tr w:rsidRPr="00924421" w:rsidR="0040029B" w:rsidTr="00EA6D44" w14:paraId="038BAAF8" w14:textId="77777777">
        <w:trPr>
          <w:cantSplit/>
          <w:jc w:val="center"/>
        </w:trPr>
        <w:tc>
          <w:tcPr>
            <w:tcW w:w="1885" w:type="dxa"/>
          </w:tcPr>
          <w:p w:rsidRPr="00924421" w:rsidR="0040029B" w:rsidP="0040029B" w:rsidRDefault="0040029B" w14:paraId="01C323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§414.1360 [(Improvement Activities Performance Category) Nomination of Improvement Activities]</w:t>
            </w:r>
          </w:p>
        </w:tc>
        <w:tc>
          <w:tcPr>
            <w:tcW w:w="1080" w:type="dxa"/>
          </w:tcPr>
          <w:p w:rsidRPr="00924421" w:rsidR="0040029B" w:rsidP="0040029B" w:rsidRDefault="004C45D2" w14:paraId="362ED4B6" w14:textId="76369F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C12B12">
              <w:rPr>
                <w:sz w:val="20"/>
                <w:szCs w:val="20"/>
              </w:rPr>
              <w:t>0</w:t>
            </w:r>
          </w:p>
        </w:tc>
        <w:tc>
          <w:tcPr>
            <w:tcW w:w="1530" w:type="dxa"/>
          </w:tcPr>
          <w:p w:rsidRPr="00924421" w:rsidR="0040029B" w:rsidP="0040029B" w:rsidRDefault="0040029B" w14:paraId="3DA30E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170" w:type="dxa"/>
          </w:tcPr>
          <w:p w:rsidRPr="00924421" w:rsidR="0040029B" w:rsidP="0040029B" w:rsidRDefault="0040029B" w14:paraId="336B7B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31</w:t>
            </w:r>
          </w:p>
        </w:tc>
        <w:tc>
          <w:tcPr>
            <w:tcW w:w="1170" w:type="dxa"/>
          </w:tcPr>
          <w:p w:rsidRPr="00924421" w:rsidR="0040029B" w:rsidP="0040029B" w:rsidRDefault="004C45D2" w14:paraId="3D7E0106" w14:textId="054E853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4.4</w:t>
            </w:r>
          </w:p>
        </w:tc>
        <w:tc>
          <w:tcPr>
            <w:tcW w:w="1350" w:type="dxa"/>
          </w:tcPr>
          <w:p w:rsidRPr="00924421" w:rsidR="0040029B" w:rsidP="0040029B" w:rsidRDefault="004C45D2" w14:paraId="25FA196D" w14:textId="3058E9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136</w:t>
            </w:r>
          </w:p>
        </w:tc>
        <w:tc>
          <w:tcPr>
            <w:tcW w:w="1080" w:type="dxa"/>
          </w:tcPr>
          <w:p w:rsidRPr="00924421" w:rsidR="0040029B" w:rsidP="0040029B" w:rsidRDefault="0040029B" w14:paraId="06AE20B3" w14:textId="36D3F95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 xml:space="preserve">Varies (see table </w:t>
            </w:r>
            <w:r w:rsidR="00C12B12">
              <w:rPr>
                <w:sz w:val="20"/>
                <w:szCs w:val="20"/>
              </w:rPr>
              <w:t>20</w:t>
            </w:r>
            <w:r w:rsidRPr="00924421">
              <w:rPr>
                <w:sz w:val="20"/>
                <w:szCs w:val="20"/>
              </w:rPr>
              <w:t>)</w:t>
            </w:r>
          </w:p>
        </w:tc>
        <w:tc>
          <w:tcPr>
            <w:tcW w:w="1264" w:type="dxa"/>
          </w:tcPr>
          <w:p w:rsidRPr="00924421" w:rsidR="0040029B" w:rsidP="0040029B" w:rsidRDefault="00F51F01" w14:paraId="61292C0C" w14:textId="7D10DE8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C12B12">
              <w:rPr>
                <w:sz w:val="20"/>
                <w:szCs w:val="20"/>
              </w:rPr>
              <w:t>2,896</w:t>
            </w:r>
          </w:p>
        </w:tc>
      </w:tr>
      <w:tr w:rsidRPr="00924421" w:rsidR="0040029B" w:rsidTr="00EA6D44" w14:paraId="0B0D16FC" w14:textId="77777777">
        <w:trPr>
          <w:cantSplit/>
          <w:jc w:val="center"/>
        </w:trPr>
        <w:tc>
          <w:tcPr>
            <w:tcW w:w="1885" w:type="dxa"/>
          </w:tcPr>
          <w:p w:rsidRPr="00924421" w:rsidR="0040029B" w:rsidP="0040029B" w:rsidRDefault="0040029B" w14:paraId="202AA1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Nomination of MVPs</w:t>
            </w:r>
          </w:p>
        </w:tc>
        <w:tc>
          <w:tcPr>
            <w:tcW w:w="1080" w:type="dxa"/>
          </w:tcPr>
          <w:p w:rsidRPr="00924421" w:rsidR="0040029B" w:rsidP="0040029B" w:rsidRDefault="000D3364" w14:paraId="1E71F320" w14:textId="0B36118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597021">
              <w:rPr>
                <w:sz w:val="20"/>
                <w:szCs w:val="20"/>
              </w:rPr>
              <w:t>1</w:t>
            </w:r>
          </w:p>
        </w:tc>
        <w:tc>
          <w:tcPr>
            <w:tcW w:w="1530" w:type="dxa"/>
          </w:tcPr>
          <w:p w:rsidRPr="00924421" w:rsidR="0040029B" w:rsidP="0040029B" w:rsidRDefault="0040029B" w14:paraId="1488E653" w14:textId="344A2C5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597021">
              <w:rPr>
                <w:sz w:val="20"/>
                <w:szCs w:val="20"/>
              </w:rPr>
              <w:t>0</w:t>
            </w:r>
          </w:p>
        </w:tc>
        <w:tc>
          <w:tcPr>
            <w:tcW w:w="1170" w:type="dxa"/>
          </w:tcPr>
          <w:p w:rsidRPr="00924421" w:rsidR="0040029B" w:rsidP="0040029B" w:rsidRDefault="0040029B" w14:paraId="62F8AD81" w14:textId="1C942B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597021">
              <w:rPr>
                <w:sz w:val="20"/>
                <w:szCs w:val="20"/>
              </w:rPr>
              <w:t>0</w:t>
            </w:r>
          </w:p>
        </w:tc>
        <w:tc>
          <w:tcPr>
            <w:tcW w:w="1170" w:type="dxa"/>
          </w:tcPr>
          <w:p w:rsidRPr="00924421" w:rsidR="0040029B" w:rsidP="0040029B" w:rsidRDefault="0040029B" w14:paraId="7925264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12</w:t>
            </w:r>
          </w:p>
        </w:tc>
        <w:tc>
          <w:tcPr>
            <w:tcW w:w="1350" w:type="dxa"/>
          </w:tcPr>
          <w:p w:rsidRPr="00924421" w:rsidR="0040029B" w:rsidP="0040029B" w:rsidRDefault="00597021" w14:paraId="213A214D" w14:textId="7B6106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24</w:t>
            </w:r>
            <w:r w:rsidRPr="00924421" w:rsidR="0040029B">
              <w:rPr>
                <w:sz w:val="20"/>
                <w:szCs w:val="20"/>
              </w:rPr>
              <w:t>0</w:t>
            </w:r>
          </w:p>
        </w:tc>
        <w:tc>
          <w:tcPr>
            <w:tcW w:w="1080" w:type="dxa"/>
          </w:tcPr>
          <w:p w:rsidRPr="00924421" w:rsidR="0040029B" w:rsidP="0040029B" w:rsidRDefault="0040029B" w14:paraId="4E1C40BE" w14:textId="543BA5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Varies (see table 2</w:t>
            </w:r>
            <w:r w:rsidR="00597021">
              <w:rPr>
                <w:sz w:val="20"/>
                <w:szCs w:val="20"/>
              </w:rPr>
              <w:t>1</w:t>
            </w:r>
            <w:r w:rsidRPr="00924421">
              <w:rPr>
                <w:sz w:val="20"/>
                <w:szCs w:val="20"/>
              </w:rPr>
              <w:t>)</w:t>
            </w:r>
          </w:p>
        </w:tc>
        <w:tc>
          <w:tcPr>
            <w:tcW w:w="1264" w:type="dxa"/>
          </w:tcPr>
          <w:p w:rsidRPr="00924421" w:rsidR="0040029B" w:rsidP="0040029B" w:rsidRDefault="001576AB" w14:paraId="2CEC9496" w14:textId="0F5AE7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4</w:t>
            </w:r>
            <w:r w:rsidR="00597021">
              <w:rPr>
                <w:sz w:val="20"/>
                <w:szCs w:val="20"/>
              </w:rPr>
              <w:t>1,550</w:t>
            </w:r>
          </w:p>
        </w:tc>
      </w:tr>
      <w:tr w:rsidRPr="00924421" w:rsidR="00DE3A63" w:rsidTr="00EA6D44" w14:paraId="0CE84DA0" w14:textId="77777777">
        <w:trPr>
          <w:cantSplit/>
          <w:jc w:val="center"/>
        </w:trPr>
        <w:tc>
          <w:tcPr>
            <w:tcW w:w="1885" w:type="dxa"/>
          </w:tcPr>
          <w:p w:rsidRPr="00924421" w:rsidR="00DE3A63" w:rsidP="00DE3A63" w:rsidRDefault="00DE3A63" w14:paraId="103788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§414.1430 [Partial Qualifying APM Participant (QP) Election]</w:t>
            </w:r>
          </w:p>
        </w:tc>
        <w:tc>
          <w:tcPr>
            <w:tcW w:w="1080" w:type="dxa"/>
          </w:tcPr>
          <w:p w:rsidRPr="00924421" w:rsidR="00DE3A63" w:rsidP="00DE3A63" w:rsidRDefault="00DE3A63" w14:paraId="3D8AF695" w14:textId="2D6DDD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9401A9">
              <w:rPr>
                <w:sz w:val="20"/>
                <w:szCs w:val="20"/>
              </w:rPr>
              <w:t>2</w:t>
            </w:r>
          </w:p>
        </w:tc>
        <w:tc>
          <w:tcPr>
            <w:tcW w:w="1530" w:type="dxa"/>
          </w:tcPr>
          <w:p w:rsidRPr="00924421" w:rsidR="00DE3A63" w:rsidP="00DE3A63" w:rsidRDefault="00DE3A63" w14:paraId="1722799D" w14:textId="6AE1DB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9401A9">
              <w:rPr>
                <w:sz w:val="20"/>
                <w:szCs w:val="20"/>
              </w:rPr>
              <w:t>87</w:t>
            </w:r>
          </w:p>
        </w:tc>
        <w:tc>
          <w:tcPr>
            <w:tcW w:w="1170" w:type="dxa"/>
          </w:tcPr>
          <w:p w:rsidRPr="00924421" w:rsidR="00DE3A63" w:rsidP="00DE3A63" w:rsidRDefault="00DE3A63" w14:paraId="20A03A74" w14:textId="75A357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2</w:t>
            </w:r>
            <w:r w:rsidR="009401A9">
              <w:rPr>
                <w:sz w:val="20"/>
                <w:szCs w:val="20"/>
              </w:rPr>
              <w:t>87</w:t>
            </w:r>
          </w:p>
        </w:tc>
        <w:tc>
          <w:tcPr>
            <w:tcW w:w="1170" w:type="dxa"/>
          </w:tcPr>
          <w:p w:rsidRPr="00924421" w:rsidR="00DE3A63" w:rsidP="00DE3A63" w:rsidRDefault="00DE3A63" w14:paraId="3DEF336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0.25</w:t>
            </w:r>
          </w:p>
        </w:tc>
        <w:tc>
          <w:tcPr>
            <w:tcW w:w="1350" w:type="dxa"/>
          </w:tcPr>
          <w:p w:rsidRPr="00924421" w:rsidR="00DE3A63" w:rsidP="00DE3A63" w:rsidRDefault="009401A9" w14:paraId="1C92F5C5" w14:textId="166B00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72</w:t>
            </w:r>
          </w:p>
        </w:tc>
        <w:tc>
          <w:tcPr>
            <w:tcW w:w="1080" w:type="dxa"/>
          </w:tcPr>
          <w:p w:rsidRPr="00924421" w:rsidR="00DE3A63" w:rsidP="00DE3A63" w:rsidRDefault="00DE3A63" w14:paraId="4CEB3EC3" w14:textId="3C4DE7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AC1C75">
              <w:rPr>
                <w:sz w:val="20"/>
                <w:szCs w:val="20"/>
              </w:rPr>
              <w:t>8</w:t>
            </w:r>
            <w:r w:rsidRPr="00924421">
              <w:rPr>
                <w:sz w:val="20"/>
                <w:szCs w:val="20"/>
              </w:rPr>
              <w:t>.2</w:t>
            </w:r>
            <w:r w:rsidR="00AC1C75">
              <w:rPr>
                <w:sz w:val="20"/>
                <w:szCs w:val="20"/>
              </w:rPr>
              <w:t>8</w:t>
            </w:r>
          </w:p>
        </w:tc>
        <w:tc>
          <w:tcPr>
            <w:tcW w:w="1264" w:type="dxa"/>
          </w:tcPr>
          <w:p w:rsidRPr="00924421" w:rsidR="00DE3A63" w:rsidP="00DE3A63" w:rsidRDefault="00AC1C75" w14:paraId="77D3A184" w14:textId="4EFA335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7,076</w:t>
            </w:r>
          </w:p>
        </w:tc>
      </w:tr>
      <w:tr w:rsidRPr="00924421" w:rsidR="00B6320D" w:rsidTr="00EA6D44" w14:paraId="6F2D9E98" w14:textId="77777777">
        <w:trPr>
          <w:cantSplit/>
          <w:jc w:val="center"/>
        </w:trPr>
        <w:tc>
          <w:tcPr>
            <w:tcW w:w="1885" w:type="dxa"/>
          </w:tcPr>
          <w:p w:rsidRPr="00924421" w:rsidR="00B6320D" w:rsidP="00B6320D" w:rsidRDefault="00B6320D" w14:paraId="46F6B2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§414.1440 [Other Payer Advanced APM Identification: Payer Initiated Process]</w:t>
            </w:r>
          </w:p>
        </w:tc>
        <w:tc>
          <w:tcPr>
            <w:tcW w:w="1080" w:type="dxa"/>
          </w:tcPr>
          <w:p w:rsidRPr="00924421" w:rsidR="00B6320D" w:rsidP="00B6320D" w:rsidRDefault="002F0DAC" w14:paraId="012E1EEE" w14:textId="6F8FE7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347746">
              <w:rPr>
                <w:sz w:val="20"/>
                <w:szCs w:val="20"/>
              </w:rPr>
              <w:t>3</w:t>
            </w:r>
          </w:p>
        </w:tc>
        <w:tc>
          <w:tcPr>
            <w:tcW w:w="1530" w:type="dxa"/>
          </w:tcPr>
          <w:p w:rsidRPr="00924421" w:rsidR="00B6320D" w:rsidP="00B6320D" w:rsidRDefault="00B6320D" w14:paraId="61653C4B" w14:textId="7E6938B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B6320D" w:rsidP="00B6320D" w:rsidRDefault="00B6320D" w14:paraId="03C6ED0E" w14:textId="25B0C0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B6320D" w:rsidP="00B6320D" w:rsidRDefault="00B6320D" w14:paraId="0180EEEF" w14:textId="08E83F9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Pr="00924421" w:rsidR="00B6320D" w:rsidP="00B6320D" w:rsidRDefault="00B6320D" w14:paraId="4A5AE6D1" w14:textId="50DB64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Pr="00924421" w:rsidR="00B6320D" w:rsidP="00B6320D" w:rsidRDefault="00B6320D" w14:paraId="1C55CF46" w14:textId="7FF79A1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347746">
              <w:rPr>
                <w:sz w:val="20"/>
                <w:szCs w:val="20"/>
              </w:rPr>
              <w:t>8</w:t>
            </w:r>
            <w:r w:rsidRPr="00924421">
              <w:rPr>
                <w:sz w:val="20"/>
                <w:szCs w:val="20"/>
              </w:rPr>
              <w:t>.2</w:t>
            </w:r>
            <w:r w:rsidR="00347746">
              <w:rPr>
                <w:sz w:val="20"/>
                <w:szCs w:val="20"/>
              </w:rPr>
              <w:t>8</w:t>
            </w:r>
          </w:p>
        </w:tc>
        <w:tc>
          <w:tcPr>
            <w:tcW w:w="1264" w:type="dxa"/>
          </w:tcPr>
          <w:p w:rsidRPr="00924421" w:rsidR="00B6320D" w:rsidP="00B6320D" w:rsidRDefault="00B6320D" w14:paraId="22FD6C39" w14:textId="58DF3C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w:t>
            </w:r>
            <w:r w:rsidR="00CB2AB1">
              <w:rPr>
                <w:sz w:val="20"/>
                <w:szCs w:val="20"/>
              </w:rPr>
              <w:t>742</w:t>
            </w:r>
          </w:p>
        </w:tc>
      </w:tr>
      <w:tr w:rsidRPr="00924421" w:rsidR="004242A4" w:rsidTr="00EA6D44" w14:paraId="31A7FE1A" w14:textId="77777777">
        <w:trPr>
          <w:cantSplit/>
          <w:jc w:val="center"/>
        </w:trPr>
        <w:tc>
          <w:tcPr>
            <w:tcW w:w="1885" w:type="dxa"/>
          </w:tcPr>
          <w:p w:rsidRPr="00924421" w:rsidR="004242A4" w:rsidP="009A52AA" w:rsidRDefault="004242A4" w14:paraId="217C35A4" w14:textId="077AE256">
            <w:pPr>
              <w:spacing w:after="0"/>
              <w:rPr>
                <w:sz w:val="20"/>
                <w:szCs w:val="20"/>
              </w:rPr>
            </w:pPr>
            <w:r w:rsidRPr="00924421">
              <w:rPr>
                <w:sz w:val="20"/>
                <w:szCs w:val="20"/>
              </w:rPr>
              <w:lastRenderedPageBreak/>
              <w:t>§414.1445 [Other Payer Advanced APM Identification: Clinician Initiated Process]</w:t>
            </w:r>
          </w:p>
        </w:tc>
        <w:tc>
          <w:tcPr>
            <w:tcW w:w="1080" w:type="dxa"/>
          </w:tcPr>
          <w:p w:rsidRPr="00924421" w:rsidR="004242A4" w:rsidP="004242A4" w:rsidRDefault="002F0DAC" w14:paraId="35229910" w14:textId="071CD90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347746">
              <w:rPr>
                <w:sz w:val="20"/>
                <w:szCs w:val="20"/>
              </w:rPr>
              <w:t>4</w:t>
            </w:r>
          </w:p>
        </w:tc>
        <w:tc>
          <w:tcPr>
            <w:tcW w:w="1530" w:type="dxa"/>
          </w:tcPr>
          <w:p w:rsidRPr="00924421" w:rsidR="004242A4" w:rsidP="004242A4" w:rsidRDefault="004242A4" w14:paraId="0B56D568" w14:textId="4E5D18E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4242A4" w:rsidP="004242A4" w:rsidRDefault="004242A4" w14:paraId="1D459B0D" w14:textId="6490D97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15</w:t>
            </w:r>
          </w:p>
        </w:tc>
        <w:tc>
          <w:tcPr>
            <w:tcW w:w="1170" w:type="dxa"/>
          </w:tcPr>
          <w:p w:rsidRPr="00924421" w:rsidR="004242A4" w:rsidP="004242A4" w:rsidRDefault="004242A4" w14:paraId="1259F1E8" w14:textId="23F28C2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10</w:t>
            </w:r>
          </w:p>
        </w:tc>
        <w:tc>
          <w:tcPr>
            <w:tcW w:w="1350" w:type="dxa"/>
          </w:tcPr>
          <w:p w:rsidRPr="00924421" w:rsidR="004242A4" w:rsidP="004242A4" w:rsidRDefault="004242A4" w14:paraId="1FA1FCE4" w14:textId="2AF6C4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150</w:t>
            </w:r>
          </w:p>
        </w:tc>
        <w:tc>
          <w:tcPr>
            <w:tcW w:w="1080" w:type="dxa"/>
          </w:tcPr>
          <w:p w:rsidRPr="00924421" w:rsidR="004242A4" w:rsidP="004242A4" w:rsidRDefault="004242A4" w14:paraId="246F85BB" w14:textId="3575679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9</w:t>
            </w:r>
            <w:r w:rsidR="00347746">
              <w:rPr>
                <w:sz w:val="20"/>
                <w:szCs w:val="20"/>
              </w:rPr>
              <w:t>8</w:t>
            </w:r>
            <w:r w:rsidRPr="00924421">
              <w:rPr>
                <w:sz w:val="20"/>
                <w:szCs w:val="20"/>
              </w:rPr>
              <w:t>.2</w:t>
            </w:r>
            <w:r w:rsidR="00347746">
              <w:rPr>
                <w:sz w:val="20"/>
                <w:szCs w:val="20"/>
              </w:rPr>
              <w:t>8</w:t>
            </w:r>
          </w:p>
        </w:tc>
        <w:tc>
          <w:tcPr>
            <w:tcW w:w="1264" w:type="dxa"/>
          </w:tcPr>
          <w:p w:rsidRPr="00924421" w:rsidR="004242A4" w:rsidP="004242A4" w:rsidRDefault="004242A4" w14:paraId="656A14AC" w14:textId="741452F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14,</w:t>
            </w:r>
            <w:r w:rsidR="00CB2AB1">
              <w:rPr>
                <w:sz w:val="20"/>
                <w:szCs w:val="20"/>
              </w:rPr>
              <w:t>742</w:t>
            </w:r>
          </w:p>
        </w:tc>
      </w:tr>
      <w:tr w:rsidRPr="00924421" w:rsidR="0040029B" w:rsidTr="006858EF" w14:paraId="5B76B41D" w14:textId="77777777">
        <w:trPr>
          <w:cantSplit/>
          <w:jc w:val="center"/>
        </w:trPr>
        <w:tc>
          <w:tcPr>
            <w:tcW w:w="1885" w:type="dxa"/>
            <w:shd w:val="clear" w:color="auto" w:fill="auto"/>
          </w:tcPr>
          <w:p w:rsidRPr="00924421" w:rsidR="0040029B" w:rsidP="0040029B" w:rsidRDefault="0040029B" w14:paraId="14CBE95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924421">
              <w:rPr>
                <w:sz w:val="20"/>
                <w:szCs w:val="20"/>
              </w:rPr>
              <w:t>§414.1440 [Submission of Data for All-Payer QP Determinations under the All-Payer Combination Option]</w:t>
            </w:r>
          </w:p>
        </w:tc>
        <w:tc>
          <w:tcPr>
            <w:tcW w:w="1080" w:type="dxa"/>
            <w:shd w:val="clear" w:color="auto" w:fill="auto"/>
          </w:tcPr>
          <w:p w:rsidRPr="00924421" w:rsidR="0040029B" w:rsidP="0040029B" w:rsidRDefault="002F0DAC" w14:paraId="6DC3636D" w14:textId="4ABEB2C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w:t>
            </w:r>
            <w:r w:rsidR="00347746">
              <w:rPr>
                <w:sz w:val="20"/>
                <w:szCs w:val="20"/>
              </w:rPr>
              <w:t>5</w:t>
            </w:r>
          </w:p>
        </w:tc>
        <w:tc>
          <w:tcPr>
            <w:tcW w:w="1530" w:type="dxa"/>
            <w:shd w:val="clear" w:color="auto" w:fill="auto"/>
          </w:tcPr>
          <w:p w:rsidRPr="00924421" w:rsidR="0040029B" w:rsidP="0040029B" w:rsidRDefault="0040029B" w14:paraId="7BCA4EF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Pr="00924421" w:rsidR="0040029B" w:rsidP="0040029B" w:rsidRDefault="0040029B" w14:paraId="1B44826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551</w:t>
            </w:r>
          </w:p>
        </w:tc>
        <w:tc>
          <w:tcPr>
            <w:tcW w:w="1170" w:type="dxa"/>
            <w:shd w:val="clear" w:color="auto" w:fill="auto"/>
          </w:tcPr>
          <w:p w:rsidRPr="00924421" w:rsidR="0040029B" w:rsidP="0040029B" w:rsidRDefault="0040029B" w14:paraId="2E4B31B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5</w:t>
            </w:r>
          </w:p>
        </w:tc>
        <w:tc>
          <w:tcPr>
            <w:tcW w:w="1350" w:type="dxa"/>
            <w:shd w:val="clear" w:color="auto" w:fill="auto"/>
          </w:tcPr>
          <w:p w:rsidRPr="00924421" w:rsidR="0040029B" w:rsidP="0040029B" w:rsidRDefault="0040029B" w14:paraId="15BFD95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924421">
              <w:rPr>
                <w:sz w:val="20"/>
                <w:szCs w:val="20"/>
              </w:rPr>
              <w:t>2,755</w:t>
            </w:r>
          </w:p>
        </w:tc>
        <w:tc>
          <w:tcPr>
            <w:tcW w:w="1080" w:type="dxa"/>
            <w:shd w:val="clear" w:color="auto" w:fill="auto"/>
          </w:tcPr>
          <w:p w:rsidRPr="00924421" w:rsidR="0040029B" w:rsidP="0040029B" w:rsidRDefault="0040029B" w14:paraId="7C024CA6" w14:textId="185A8FB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11</w:t>
            </w:r>
            <w:r w:rsidR="00347746">
              <w:rPr>
                <w:sz w:val="20"/>
                <w:szCs w:val="20"/>
              </w:rPr>
              <w:t>5</w:t>
            </w:r>
            <w:r w:rsidRPr="00924421">
              <w:rPr>
                <w:sz w:val="20"/>
                <w:szCs w:val="20"/>
              </w:rPr>
              <w:t>.2</w:t>
            </w:r>
            <w:r w:rsidR="00347746">
              <w:rPr>
                <w:sz w:val="20"/>
                <w:szCs w:val="20"/>
              </w:rPr>
              <w:t>2</w:t>
            </w:r>
          </w:p>
        </w:tc>
        <w:tc>
          <w:tcPr>
            <w:tcW w:w="1264" w:type="dxa"/>
            <w:shd w:val="clear" w:color="auto" w:fill="auto"/>
          </w:tcPr>
          <w:p w:rsidRPr="00924421" w:rsidR="0040029B" w:rsidP="0040029B" w:rsidRDefault="0040029B" w14:paraId="7F437F47" w14:textId="17DB606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924421">
              <w:rPr>
                <w:sz w:val="20"/>
                <w:szCs w:val="20"/>
              </w:rPr>
              <w:t>3</w:t>
            </w:r>
            <w:r w:rsidRPr="00924421" w:rsidR="00744E89">
              <w:rPr>
                <w:sz w:val="20"/>
                <w:szCs w:val="20"/>
              </w:rPr>
              <w:t>1</w:t>
            </w:r>
            <w:r w:rsidR="00CB2AB1">
              <w:rPr>
                <w:sz w:val="20"/>
                <w:szCs w:val="20"/>
              </w:rPr>
              <w:t>7</w:t>
            </w:r>
            <w:r w:rsidRPr="00924421" w:rsidR="00744E89">
              <w:rPr>
                <w:sz w:val="20"/>
                <w:szCs w:val="20"/>
              </w:rPr>
              <w:t>,</w:t>
            </w:r>
            <w:r w:rsidR="00CB2AB1">
              <w:rPr>
                <w:sz w:val="20"/>
                <w:szCs w:val="20"/>
              </w:rPr>
              <w:t>4</w:t>
            </w:r>
            <w:r w:rsidRPr="00924421" w:rsidR="00744E89">
              <w:rPr>
                <w:sz w:val="20"/>
                <w:szCs w:val="20"/>
              </w:rPr>
              <w:t>31</w:t>
            </w:r>
          </w:p>
        </w:tc>
      </w:tr>
      <w:tr w:rsidRPr="00753C6D" w:rsidR="000A4812" w:rsidTr="00EA6D44" w14:paraId="32A305A4" w14:textId="77777777">
        <w:trPr>
          <w:cantSplit/>
          <w:jc w:val="center"/>
        </w:trPr>
        <w:tc>
          <w:tcPr>
            <w:tcW w:w="1885" w:type="dxa"/>
          </w:tcPr>
          <w:p w:rsidRPr="00753C6D" w:rsidR="000A4812" w:rsidP="000A4812" w:rsidRDefault="000A4812" w14:paraId="73E896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753C6D">
              <w:rPr>
                <w:sz w:val="20"/>
                <w:szCs w:val="20"/>
              </w:rPr>
              <w:t xml:space="preserve">§414.1395 [(Physician Compare) </w:t>
            </w:r>
            <w:proofErr w:type="spellStart"/>
            <w:r w:rsidRPr="00753C6D">
              <w:rPr>
                <w:sz w:val="20"/>
                <w:szCs w:val="20"/>
              </w:rPr>
              <w:t>Opt</w:t>
            </w:r>
            <w:proofErr w:type="spellEnd"/>
            <w:r w:rsidRPr="00753C6D">
              <w:rPr>
                <w:sz w:val="20"/>
                <w:szCs w:val="20"/>
              </w:rPr>
              <w:t xml:space="preserve"> Out for Voluntary Participants]</w:t>
            </w:r>
          </w:p>
        </w:tc>
        <w:tc>
          <w:tcPr>
            <w:tcW w:w="1080" w:type="dxa"/>
          </w:tcPr>
          <w:p w:rsidRPr="00753C6D" w:rsidR="000A4812" w:rsidP="000A4812" w:rsidRDefault="00347746" w14:paraId="3CF4B183" w14:textId="5DBACCE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26</w:t>
            </w:r>
          </w:p>
        </w:tc>
        <w:tc>
          <w:tcPr>
            <w:tcW w:w="1530" w:type="dxa"/>
          </w:tcPr>
          <w:p w:rsidRPr="00753C6D" w:rsidR="000A4812" w:rsidP="000A4812" w:rsidRDefault="000A4812" w14:paraId="124ACD87" w14:textId="34910AE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38</w:t>
            </w:r>
          </w:p>
        </w:tc>
        <w:tc>
          <w:tcPr>
            <w:tcW w:w="1170" w:type="dxa"/>
          </w:tcPr>
          <w:p w:rsidRPr="00753C6D" w:rsidR="000A4812" w:rsidP="000A4812" w:rsidRDefault="000A4812" w14:paraId="5ABB6CD6" w14:textId="3B5BE6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38</w:t>
            </w:r>
          </w:p>
        </w:tc>
        <w:tc>
          <w:tcPr>
            <w:tcW w:w="1170" w:type="dxa"/>
          </w:tcPr>
          <w:p w:rsidRPr="00753C6D" w:rsidR="000A4812" w:rsidP="000A4812" w:rsidRDefault="000A4812" w14:paraId="634B41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0.25</w:t>
            </w:r>
          </w:p>
        </w:tc>
        <w:tc>
          <w:tcPr>
            <w:tcW w:w="1350" w:type="dxa"/>
          </w:tcPr>
          <w:p w:rsidRPr="00753C6D" w:rsidR="000A4812" w:rsidP="000A4812" w:rsidRDefault="00CD3CB6" w14:paraId="59286389" w14:textId="31E5ABB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753C6D">
              <w:rPr>
                <w:sz w:val="20"/>
                <w:szCs w:val="20"/>
              </w:rPr>
              <w:t>10</w:t>
            </w:r>
          </w:p>
        </w:tc>
        <w:tc>
          <w:tcPr>
            <w:tcW w:w="1080" w:type="dxa"/>
          </w:tcPr>
          <w:p w:rsidRPr="00753C6D" w:rsidR="000A4812" w:rsidP="000A4812" w:rsidRDefault="000A4812" w14:paraId="7D7F6797" w14:textId="2C2FB9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00347746">
              <w:rPr>
                <w:sz w:val="20"/>
                <w:szCs w:val="20"/>
              </w:rPr>
              <w:t>8</w:t>
            </w:r>
            <w:r w:rsidRPr="00753C6D">
              <w:rPr>
                <w:sz w:val="20"/>
                <w:szCs w:val="20"/>
              </w:rPr>
              <w:t>.2</w:t>
            </w:r>
            <w:r w:rsidR="00347746">
              <w:rPr>
                <w:sz w:val="20"/>
                <w:szCs w:val="20"/>
              </w:rPr>
              <w:t>8</w:t>
            </w:r>
          </w:p>
        </w:tc>
        <w:tc>
          <w:tcPr>
            <w:tcW w:w="1264" w:type="dxa"/>
          </w:tcPr>
          <w:p w:rsidRPr="00753C6D" w:rsidR="000A4812" w:rsidP="000A4812" w:rsidRDefault="00E65B47" w14:paraId="1BB6107B" w14:textId="3DF561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753C6D">
              <w:rPr>
                <w:sz w:val="20"/>
                <w:szCs w:val="20"/>
              </w:rPr>
              <w:t>9</w:t>
            </w:r>
            <w:r w:rsidR="00347746">
              <w:rPr>
                <w:sz w:val="20"/>
                <w:szCs w:val="20"/>
              </w:rPr>
              <w:t>83</w:t>
            </w:r>
          </w:p>
        </w:tc>
      </w:tr>
      <w:tr w:rsidRPr="00753C6D" w:rsidR="00D26368" w:rsidTr="00EA6D44" w14:paraId="1A07A5B0" w14:textId="77777777">
        <w:trPr>
          <w:cantSplit/>
          <w:jc w:val="center"/>
        </w:trPr>
        <w:tc>
          <w:tcPr>
            <w:tcW w:w="1885" w:type="dxa"/>
            <w:shd w:val="clear" w:color="auto" w:fill="D9D9D9" w:themeFill="background1" w:themeFillShade="D9"/>
          </w:tcPr>
          <w:p w:rsidRPr="00753C6D" w:rsidR="00D26368" w:rsidP="00B01FE5" w:rsidRDefault="00D26368" w14:paraId="438C89E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TOTAL</w:t>
            </w:r>
          </w:p>
        </w:tc>
        <w:tc>
          <w:tcPr>
            <w:tcW w:w="1080" w:type="dxa"/>
            <w:shd w:val="clear" w:color="auto" w:fill="D9D9D9" w:themeFill="background1" w:themeFillShade="D9"/>
          </w:tcPr>
          <w:p w:rsidRPr="00753C6D" w:rsidR="00D26368" w:rsidP="00B01FE5" w:rsidRDefault="00D26368" w14:paraId="331C3EF1" w14:textId="14C25BF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n/a</w:t>
            </w:r>
          </w:p>
        </w:tc>
        <w:tc>
          <w:tcPr>
            <w:tcW w:w="1530" w:type="dxa"/>
            <w:shd w:val="clear" w:color="auto" w:fill="D9D9D9" w:themeFill="background1" w:themeFillShade="D9"/>
          </w:tcPr>
          <w:p w:rsidRPr="00753C6D" w:rsidR="00D26368" w:rsidP="00B01FE5" w:rsidRDefault="00D26368" w14:paraId="5DA77FA3" w14:textId="53BA442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sz w:val="20"/>
                <w:szCs w:val="20"/>
              </w:rPr>
              <w:t>1</w:t>
            </w:r>
            <w:r w:rsidR="001D2E29">
              <w:rPr>
                <w:b/>
                <w:sz w:val="20"/>
                <w:szCs w:val="20"/>
              </w:rPr>
              <w:t>80,365</w:t>
            </w:r>
            <w:r w:rsidRPr="00753C6D">
              <w:rPr>
                <w:b/>
                <w:sz w:val="20"/>
                <w:szCs w:val="20"/>
              </w:rPr>
              <w:t>**</w:t>
            </w:r>
          </w:p>
        </w:tc>
        <w:tc>
          <w:tcPr>
            <w:tcW w:w="1170" w:type="dxa"/>
            <w:shd w:val="clear" w:color="auto" w:fill="D9D9D9" w:themeFill="background1" w:themeFillShade="D9"/>
            <w:vAlign w:val="center"/>
          </w:tcPr>
          <w:p w:rsidRPr="00753C6D" w:rsidR="00D26368" w:rsidP="00B01FE5" w:rsidRDefault="00D26368" w14:paraId="7DD8731E" w14:textId="075AC27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3</w:t>
            </w:r>
            <w:r w:rsidR="00784D0F">
              <w:rPr>
                <w:b/>
                <w:bCs/>
                <w:sz w:val="20"/>
                <w:szCs w:val="20"/>
              </w:rPr>
              <w:t>44,023</w:t>
            </w:r>
          </w:p>
        </w:tc>
        <w:tc>
          <w:tcPr>
            <w:tcW w:w="1170" w:type="dxa"/>
            <w:shd w:val="clear" w:color="auto" w:fill="D9D9D9" w:themeFill="background1" w:themeFillShade="D9"/>
            <w:vAlign w:val="center"/>
          </w:tcPr>
          <w:p w:rsidRPr="00753C6D" w:rsidR="00D26368" w:rsidP="00B01FE5" w:rsidRDefault="00D26368" w14:paraId="73C53D1B" w14:textId="0592457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350" w:type="dxa"/>
            <w:shd w:val="clear" w:color="auto" w:fill="D9D9D9" w:themeFill="background1" w:themeFillShade="D9"/>
            <w:vAlign w:val="center"/>
          </w:tcPr>
          <w:p w:rsidRPr="00753C6D" w:rsidR="00D26368" w:rsidP="00B01FE5" w:rsidRDefault="00D26368" w14:paraId="70C634B5" w14:textId="3076E23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753C6D">
              <w:rPr>
                <w:b/>
                <w:bCs/>
                <w:sz w:val="20"/>
                <w:szCs w:val="20"/>
              </w:rPr>
              <w:t>1,</w:t>
            </w:r>
            <w:r w:rsidR="00FC3919">
              <w:rPr>
                <w:b/>
                <w:bCs/>
                <w:sz w:val="20"/>
                <w:szCs w:val="20"/>
              </w:rPr>
              <w:t>469</w:t>
            </w:r>
            <w:r w:rsidRPr="00753C6D">
              <w:rPr>
                <w:b/>
                <w:bCs/>
                <w:sz w:val="20"/>
                <w:szCs w:val="20"/>
              </w:rPr>
              <w:t>,</w:t>
            </w:r>
            <w:r w:rsidR="00FC3919">
              <w:rPr>
                <w:b/>
                <w:bCs/>
                <w:sz w:val="20"/>
                <w:szCs w:val="20"/>
              </w:rPr>
              <w:t>2</w:t>
            </w:r>
            <w:r w:rsidR="009A1616">
              <w:rPr>
                <w:b/>
                <w:bCs/>
                <w:sz w:val="20"/>
                <w:szCs w:val="20"/>
              </w:rPr>
              <w:t>34</w:t>
            </w:r>
          </w:p>
        </w:tc>
        <w:tc>
          <w:tcPr>
            <w:tcW w:w="1080" w:type="dxa"/>
            <w:shd w:val="clear" w:color="auto" w:fill="D9D9D9" w:themeFill="background1" w:themeFillShade="D9"/>
            <w:vAlign w:val="center"/>
          </w:tcPr>
          <w:p w:rsidRPr="00753C6D" w:rsidR="00D26368" w:rsidP="00B01FE5" w:rsidRDefault="00D26368" w14:paraId="7EE1065A" w14:textId="01EFF4B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Varies</w:t>
            </w:r>
          </w:p>
        </w:tc>
        <w:tc>
          <w:tcPr>
            <w:tcW w:w="1264" w:type="dxa"/>
            <w:shd w:val="clear" w:color="auto" w:fill="D9D9D9" w:themeFill="background1" w:themeFillShade="D9"/>
            <w:vAlign w:val="center"/>
          </w:tcPr>
          <w:p w:rsidRPr="00753C6D" w:rsidR="00D26368" w:rsidP="00B01FE5" w:rsidRDefault="00D26368" w14:paraId="19BD9B9D" w14:textId="462B2C5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753C6D">
              <w:rPr>
                <w:b/>
                <w:bCs/>
                <w:sz w:val="20"/>
                <w:szCs w:val="20"/>
              </w:rPr>
              <w:t>1</w:t>
            </w:r>
            <w:r w:rsidR="00B16EDA">
              <w:rPr>
                <w:b/>
                <w:bCs/>
                <w:sz w:val="20"/>
                <w:szCs w:val="20"/>
              </w:rPr>
              <w:t>56,792,565</w:t>
            </w:r>
          </w:p>
        </w:tc>
      </w:tr>
    </w:tbl>
    <w:p w:rsidRPr="00753C6D" w:rsidR="000F0FE3" w:rsidP="000F0FE3" w:rsidRDefault="000F0FE3" w14:paraId="326C07A3" w14:textId="45BC0B2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*With respect to the PRA, the CY 202</w:t>
      </w:r>
      <w:r w:rsidR="00464D0A">
        <w:rPr>
          <w:sz w:val="18"/>
          <w:szCs w:val="18"/>
        </w:rPr>
        <w:t>3</w:t>
      </w:r>
      <w:r w:rsidRPr="00753C6D">
        <w:rPr>
          <w:sz w:val="18"/>
          <w:szCs w:val="18"/>
        </w:rPr>
        <w:t xml:space="preserve"> PFS </w:t>
      </w:r>
      <w:r w:rsidR="00464D0A">
        <w:rPr>
          <w:sz w:val="18"/>
          <w:szCs w:val="18"/>
        </w:rPr>
        <w:t>proposed</w:t>
      </w:r>
      <w:r w:rsidRPr="00753C6D" w:rsidR="00C33F71">
        <w:rPr>
          <w:sz w:val="18"/>
          <w:szCs w:val="18"/>
        </w:rPr>
        <w:t xml:space="preserve"> </w:t>
      </w:r>
      <w:r w:rsidRPr="00753C6D">
        <w:rPr>
          <w:sz w:val="18"/>
          <w:szCs w:val="18"/>
        </w:rPr>
        <w:t>rule does not impose any non-labor costs.</w:t>
      </w:r>
      <w:r w:rsidRPr="00753C6D" w:rsidR="007411B4">
        <w:rPr>
          <w:sz w:val="18"/>
          <w:szCs w:val="18"/>
        </w:rPr>
        <w:t xml:space="preserve"> Due to burden for certain activities being estimated in fractions of hours, totals may not reflect the sum of individual rows due to rounding.</w:t>
      </w:r>
    </w:p>
    <w:p w:rsidRPr="00732012" w:rsidR="000F0FE3" w:rsidP="000F0FE3" w:rsidRDefault="000F0FE3" w14:paraId="756DC29E" w14:textId="47C51C0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753C6D">
        <w:rPr>
          <w:sz w:val="18"/>
          <w:szCs w:val="18"/>
        </w:rPr>
        <w:t>** Total number of unique respondents to quality, Promoting Interoperability, and improvement activity performance categories is calculated to be 1</w:t>
      </w:r>
      <w:r w:rsidR="001D2E29">
        <w:rPr>
          <w:sz w:val="18"/>
          <w:szCs w:val="18"/>
        </w:rPr>
        <w:t>49</w:t>
      </w:r>
      <w:r w:rsidR="00FC782E">
        <w:rPr>
          <w:sz w:val="18"/>
          <w:szCs w:val="18"/>
        </w:rPr>
        <w:t>,081</w:t>
      </w:r>
      <w:r w:rsidRPr="00753C6D">
        <w:rPr>
          <w:sz w:val="18"/>
          <w:szCs w:val="18"/>
        </w:rPr>
        <w:t>.  With the exception of extreme and uncontrollable exception applications, we assume remaining number of applications for reweighting are included in this total.  We also assume that all voluntary participants that opt out of</w:t>
      </w:r>
      <w:r>
        <w:rPr>
          <w:sz w:val="18"/>
          <w:szCs w:val="18"/>
        </w:rPr>
        <w:t xml:space="preserve"> Physician Compare are included in this total.</w:t>
      </w:r>
    </w:p>
    <w:p w:rsidR="007A7388" w:rsidP="00BA2FFA" w:rsidRDefault="007A7388" w14:paraId="4E5E8DA4" w14:textId="77777777">
      <w:pPr>
        <w:rPr>
          <w:i/>
        </w:rPr>
      </w:pPr>
    </w:p>
    <w:p w:rsidRPr="00B8430E" w:rsidR="00334306" w:rsidP="00BA2FFA" w:rsidRDefault="00BA2FFA" w14:paraId="6259403B" w14:textId="7F111BA5">
      <w:pPr>
        <w:rPr>
          <w:i/>
        </w:rPr>
      </w:pPr>
      <w:r w:rsidRPr="00B8430E">
        <w:rPr>
          <w:i/>
        </w:rPr>
        <w:t>Information Collection Instruments/Instructions</w:t>
      </w:r>
    </w:p>
    <w:p w:rsidRPr="00B8430E" w:rsidR="00BA2FFA" w:rsidP="00BA2FFA" w:rsidRDefault="00BA2FFA" w14:paraId="6534995B" w14:textId="23067B4D">
      <w:r w:rsidRPr="00B8430E">
        <w:t xml:space="preserve">Appendix </w:t>
      </w:r>
      <w:r w:rsidRPr="00B8430E" w:rsidR="00686195">
        <w:t>A</w:t>
      </w:r>
      <w:r w:rsidRPr="00B8430E" w:rsidR="00BD5393">
        <w:t xml:space="preserve"> (See Table</w:t>
      </w:r>
      <w:r w:rsidR="00536B25">
        <w:t>s</w:t>
      </w:r>
      <w:r w:rsidRPr="00B8430E" w:rsidR="00BD5393">
        <w:t xml:space="preserve"> </w:t>
      </w:r>
      <w:r w:rsidRPr="00B8430E" w:rsidR="008E6B13">
        <w:t>3</w:t>
      </w:r>
      <w:r w:rsidR="00536B25">
        <w:t>, 4,</w:t>
      </w:r>
      <w:r w:rsidR="00534EA9">
        <w:t xml:space="preserve"> 5, and 6</w:t>
      </w:r>
      <w:r w:rsidRPr="00B8430E" w:rsidR="008E6B13">
        <w:t>)</w:t>
      </w:r>
      <w:r w:rsidRPr="00B8430E">
        <w:t xml:space="preserve">: </w:t>
      </w:r>
      <w:r w:rsidRPr="00B8430E" w:rsidR="00686195">
        <w:t>20</w:t>
      </w:r>
      <w:r w:rsidRPr="00B8430E" w:rsidR="0090246D">
        <w:t>2</w:t>
      </w:r>
      <w:r w:rsidR="004C4CBD">
        <w:t>3</w:t>
      </w:r>
      <w:r w:rsidRPr="00B8430E" w:rsidR="00686195">
        <w:t xml:space="preserve"> </w:t>
      </w:r>
      <w:r w:rsidR="004C4CBD">
        <w:t>QCDR and Registry Self-nomination User Guide</w:t>
      </w:r>
      <w:r w:rsidRPr="00B8430E">
        <w:t xml:space="preserve"> </w:t>
      </w:r>
      <w:r w:rsidRPr="00B8430E" w:rsidR="00CF2851">
        <w:t>(</w:t>
      </w:r>
      <w:r w:rsidR="00903AE8">
        <w:t>New</w:t>
      </w:r>
      <w:r w:rsidRPr="00B8430E" w:rsidR="00CF2851">
        <w:t>)</w:t>
      </w:r>
      <w:bookmarkStart w:name="_GoBack" w:id="17"/>
      <w:bookmarkEnd w:id="17"/>
    </w:p>
    <w:p w:rsidR="003141D8" w:rsidP="003141D8" w:rsidRDefault="003141D8" w14:paraId="14C93F2B" w14:textId="77777777">
      <w:pPr>
        <w:pStyle w:val="paragraph"/>
        <w:textAlignment w:val="baseline"/>
        <w:rPr>
          <w:rStyle w:val="eop"/>
          <w:color w:val="000000" w:themeColor="text1"/>
        </w:rPr>
      </w:pPr>
      <w:r w:rsidRPr="000C4086">
        <w:rPr>
          <w:rStyle w:val="normaltextrun"/>
          <w:color w:val="000000" w:themeColor="text1"/>
        </w:rPr>
        <w:t>Appendix B (See Table 23): 2022 Submission Form for Other Payer Requests for Other Payer Advanced Alternative Payment Model Determinations (Payer Initiated Submission Form) (No change)</w:t>
      </w:r>
      <w:r w:rsidRPr="00A61130">
        <w:rPr>
          <w:rStyle w:val="eop"/>
          <w:color w:val="000000" w:themeColor="text1"/>
        </w:rPr>
        <w:t> </w:t>
      </w:r>
    </w:p>
    <w:p w:rsidRPr="00A61130" w:rsidR="00A61130" w:rsidP="003141D8" w:rsidRDefault="00A61130" w14:paraId="60E349C4" w14:textId="77777777">
      <w:pPr>
        <w:pStyle w:val="paragraph"/>
        <w:textAlignment w:val="baseline"/>
        <w:rPr>
          <w:rFonts w:ascii="Segoe UI" w:hAnsi="Segoe UI" w:cs="Segoe UI"/>
          <w:color w:val="000000" w:themeColor="text1"/>
          <w:sz w:val="18"/>
          <w:szCs w:val="18"/>
        </w:rPr>
      </w:pPr>
    </w:p>
    <w:p w:rsidR="003141D8" w:rsidP="003141D8" w:rsidRDefault="003141D8" w14:paraId="078910A4" w14:textId="77777777">
      <w:pPr>
        <w:pStyle w:val="paragraph"/>
        <w:textAlignment w:val="baseline"/>
        <w:rPr>
          <w:rStyle w:val="eop"/>
          <w:color w:val="000000" w:themeColor="text1"/>
        </w:rPr>
      </w:pPr>
      <w:r w:rsidRPr="000C4086">
        <w:rPr>
          <w:rStyle w:val="normaltextrun"/>
          <w:color w:val="000000" w:themeColor="text1"/>
        </w:rPr>
        <w:t>Appendix C (See Table 24): 2022 Submission Form for Eligible Clinician and APM Entity Requests for Other Payer Advanced Alternative Payment Model Determinations (Eligible Clinician Initiated Submission Form) (No change)</w:t>
      </w:r>
      <w:r w:rsidRPr="00A61130">
        <w:rPr>
          <w:rStyle w:val="eop"/>
          <w:color w:val="000000" w:themeColor="text1"/>
        </w:rPr>
        <w:t> </w:t>
      </w:r>
    </w:p>
    <w:p w:rsidRPr="00A61130" w:rsidR="00A61130" w:rsidP="003141D8" w:rsidRDefault="00A61130" w14:paraId="01F87068" w14:textId="77777777">
      <w:pPr>
        <w:pStyle w:val="paragraph"/>
        <w:textAlignment w:val="baseline"/>
        <w:rPr>
          <w:rFonts w:ascii="Segoe UI" w:hAnsi="Segoe UI" w:cs="Segoe UI"/>
          <w:color w:val="000000" w:themeColor="text1"/>
          <w:sz w:val="18"/>
          <w:szCs w:val="18"/>
        </w:rPr>
      </w:pPr>
    </w:p>
    <w:p w:rsidR="003141D8" w:rsidP="003141D8" w:rsidRDefault="003141D8" w14:paraId="30502A03" w14:textId="77777777">
      <w:pPr>
        <w:pStyle w:val="paragraph"/>
        <w:textAlignment w:val="baseline"/>
        <w:rPr>
          <w:rStyle w:val="eop"/>
          <w:color w:val="000000" w:themeColor="text1"/>
        </w:rPr>
      </w:pPr>
      <w:r w:rsidRPr="000C4086">
        <w:rPr>
          <w:rStyle w:val="normaltextrun"/>
          <w:color w:val="000000" w:themeColor="text1"/>
        </w:rPr>
        <w:t>Appendix D (See Table 25): 2022 Submission Form for Requests for Qualifying Alternative Payment Model Participant (QP) Determinations under the All-Payer Combination Option (No change)</w:t>
      </w:r>
      <w:r w:rsidRPr="00A61130">
        <w:rPr>
          <w:rStyle w:val="eop"/>
          <w:color w:val="000000" w:themeColor="text1"/>
        </w:rPr>
        <w:t> </w:t>
      </w:r>
    </w:p>
    <w:p w:rsidRPr="00A61130" w:rsidR="002071AA" w:rsidP="003141D8" w:rsidRDefault="002071AA" w14:paraId="2CEAA797" w14:textId="77777777">
      <w:pPr>
        <w:pStyle w:val="paragraph"/>
        <w:textAlignment w:val="baseline"/>
        <w:rPr>
          <w:rFonts w:ascii="Segoe UI" w:hAnsi="Segoe UI" w:cs="Segoe UI"/>
          <w:color w:val="000000" w:themeColor="text1"/>
          <w:sz w:val="18"/>
          <w:szCs w:val="18"/>
        </w:rPr>
      </w:pPr>
    </w:p>
    <w:p w:rsidR="003141D8" w:rsidP="003141D8" w:rsidRDefault="003141D8" w14:paraId="0E68850B" w14:textId="77777777">
      <w:pPr>
        <w:pStyle w:val="paragraph"/>
        <w:textAlignment w:val="baseline"/>
        <w:rPr>
          <w:rStyle w:val="eop"/>
          <w:color w:val="000000" w:themeColor="text1"/>
        </w:rPr>
      </w:pPr>
      <w:r w:rsidRPr="000C4086">
        <w:rPr>
          <w:rStyle w:val="normaltextrun"/>
          <w:color w:val="000000" w:themeColor="text1"/>
        </w:rPr>
        <w:t>Appendix E (See Table 15): Measures under Consideration 2021 (for the 2023 performance period), Data Template for Candidate Measures (No change)</w:t>
      </w:r>
      <w:r w:rsidRPr="00A61130">
        <w:rPr>
          <w:rStyle w:val="eop"/>
          <w:color w:val="000000" w:themeColor="text1"/>
        </w:rPr>
        <w:t> </w:t>
      </w:r>
    </w:p>
    <w:p w:rsidRPr="00A61130" w:rsidR="002071AA" w:rsidP="003141D8" w:rsidRDefault="002071AA" w14:paraId="5C77F327" w14:textId="77777777">
      <w:pPr>
        <w:pStyle w:val="paragraph"/>
        <w:textAlignment w:val="baseline"/>
        <w:rPr>
          <w:rFonts w:ascii="Segoe UI" w:hAnsi="Segoe UI" w:cs="Segoe UI"/>
          <w:color w:val="000000" w:themeColor="text1"/>
          <w:sz w:val="18"/>
          <w:szCs w:val="18"/>
        </w:rPr>
      </w:pPr>
    </w:p>
    <w:p w:rsidR="003141D8" w:rsidP="003141D8" w:rsidRDefault="003141D8" w14:paraId="5AC4A334" w14:textId="77777777">
      <w:pPr>
        <w:pStyle w:val="paragraph"/>
        <w:textAlignment w:val="baseline"/>
        <w:rPr>
          <w:rStyle w:val="eop"/>
          <w:color w:val="000000" w:themeColor="text1"/>
        </w:rPr>
      </w:pPr>
      <w:r w:rsidRPr="000C4086">
        <w:rPr>
          <w:rStyle w:val="normaltextrun"/>
          <w:color w:val="000000" w:themeColor="text1"/>
        </w:rPr>
        <w:t>Appendix F (See Table 15):  2022 Peer Reviewed Journal Article Requirement Template (No change)</w:t>
      </w:r>
      <w:r w:rsidRPr="00A61130">
        <w:rPr>
          <w:rStyle w:val="eop"/>
          <w:color w:val="000000" w:themeColor="text1"/>
        </w:rPr>
        <w:t> </w:t>
      </w:r>
    </w:p>
    <w:p w:rsidRPr="00A61130" w:rsidR="002071AA" w:rsidP="003141D8" w:rsidRDefault="002071AA" w14:paraId="7E99296A" w14:textId="77777777">
      <w:pPr>
        <w:pStyle w:val="paragraph"/>
        <w:textAlignment w:val="baseline"/>
        <w:rPr>
          <w:rFonts w:ascii="Segoe UI" w:hAnsi="Segoe UI" w:cs="Segoe UI"/>
          <w:color w:val="000000" w:themeColor="text1"/>
          <w:sz w:val="18"/>
          <w:szCs w:val="18"/>
        </w:rPr>
      </w:pPr>
    </w:p>
    <w:p w:rsidR="003141D8" w:rsidP="003141D8" w:rsidRDefault="003141D8" w14:paraId="44B5E22C" w14:textId="77777777">
      <w:pPr>
        <w:pStyle w:val="paragraph"/>
        <w:textAlignment w:val="baseline"/>
        <w:rPr>
          <w:rStyle w:val="eop"/>
          <w:color w:val="000000" w:themeColor="text1"/>
        </w:rPr>
      </w:pPr>
      <w:r w:rsidRPr="000C4086">
        <w:rPr>
          <w:rStyle w:val="normaltextrun"/>
          <w:color w:val="000000" w:themeColor="text1"/>
        </w:rPr>
        <w:lastRenderedPageBreak/>
        <w:t>Appendix G (See Table 18):  Promoting Interoperability Performance Category, 2022 Call for Measures Submission Form (No change)</w:t>
      </w:r>
      <w:r w:rsidRPr="00A61130">
        <w:rPr>
          <w:rStyle w:val="eop"/>
          <w:color w:val="000000" w:themeColor="text1"/>
        </w:rPr>
        <w:t> </w:t>
      </w:r>
    </w:p>
    <w:p w:rsidRPr="00A61130" w:rsidR="002071AA" w:rsidP="003141D8" w:rsidRDefault="002071AA" w14:paraId="34CDF30B" w14:textId="77777777">
      <w:pPr>
        <w:pStyle w:val="paragraph"/>
        <w:textAlignment w:val="baseline"/>
        <w:rPr>
          <w:rFonts w:ascii="Segoe UI" w:hAnsi="Segoe UI" w:cs="Segoe UI"/>
          <w:color w:val="000000" w:themeColor="text1"/>
          <w:sz w:val="18"/>
          <w:szCs w:val="18"/>
        </w:rPr>
      </w:pPr>
    </w:p>
    <w:p w:rsidR="003141D8" w:rsidP="003141D8" w:rsidRDefault="003141D8" w14:paraId="10B29B7D" w14:textId="77777777">
      <w:pPr>
        <w:pStyle w:val="paragraph"/>
        <w:textAlignment w:val="baseline"/>
        <w:rPr>
          <w:rStyle w:val="eop"/>
          <w:color w:val="000000" w:themeColor="text1"/>
        </w:rPr>
      </w:pPr>
      <w:r w:rsidRPr="000C4086">
        <w:rPr>
          <w:rStyle w:val="normaltextrun"/>
          <w:color w:val="000000" w:themeColor="text1"/>
        </w:rPr>
        <w:t>Appendix H (See Table 20):  Improvement Activities Performance Category, 2022 Call for Activities Submission Form (No change)</w:t>
      </w:r>
      <w:r w:rsidRPr="00A61130">
        <w:rPr>
          <w:rStyle w:val="eop"/>
          <w:color w:val="000000" w:themeColor="text1"/>
        </w:rPr>
        <w:t> </w:t>
      </w:r>
    </w:p>
    <w:p w:rsidRPr="00A61130" w:rsidR="002071AA" w:rsidP="003141D8" w:rsidRDefault="002071AA" w14:paraId="52B34A09" w14:textId="77777777">
      <w:pPr>
        <w:pStyle w:val="paragraph"/>
        <w:textAlignment w:val="baseline"/>
        <w:rPr>
          <w:rFonts w:ascii="Segoe UI" w:hAnsi="Segoe UI" w:cs="Segoe UI"/>
          <w:color w:val="000000" w:themeColor="text1"/>
          <w:sz w:val="18"/>
          <w:szCs w:val="18"/>
        </w:rPr>
      </w:pPr>
    </w:p>
    <w:p w:rsidR="003141D8" w:rsidP="003141D8" w:rsidRDefault="003141D8" w14:paraId="2F03B44C" w14:textId="77777777">
      <w:pPr>
        <w:pStyle w:val="paragraph"/>
        <w:textAlignment w:val="baseline"/>
        <w:rPr>
          <w:rStyle w:val="eop"/>
          <w:color w:val="000000" w:themeColor="text1"/>
        </w:rPr>
      </w:pPr>
      <w:r w:rsidRPr="000C4086">
        <w:rPr>
          <w:rStyle w:val="normaltextrun"/>
          <w:color w:val="000000" w:themeColor="text1"/>
        </w:rPr>
        <w:t>Appendix I (See Table 16): 2021 Hardship Exception Application Form (for the 2023 MIPS payment year) (No change)</w:t>
      </w:r>
      <w:r w:rsidRPr="00A61130">
        <w:rPr>
          <w:rStyle w:val="eop"/>
          <w:color w:val="000000" w:themeColor="text1"/>
        </w:rPr>
        <w:t> </w:t>
      </w:r>
    </w:p>
    <w:p w:rsidRPr="00A61130" w:rsidR="002071AA" w:rsidP="003141D8" w:rsidRDefault="002071AA" w14:paraId="26744781" w14:textId="77777777">
      <w:pPr>
        <w:pStyle w:val="paragraph"/>
        <w:textAlignment w:val="baseline"/>
        <w:rPr>
          <w:rFonts w:ascii="Segoe UI" w:hAnsi="Segoe UI" w:cs="Segoe UI"/>
          <w:color w:val="000000" w:themeColor="text1"/>
          <w:sz w:val="18"/>
          <w:szCs w:val="18"/>
        </w:rPr>
      </w:pPr>
    </w:p>
    <w:p w:rsidR="002071AA" w:rsidP="003141D8" w:rsidRDefault="003141D8" w14:paraId="5845047F" w14:textId="77777777">
      <w:pPr>
        <w:pStyle w:val="paragraph"/>
        <w:textAlignment w:val="baseline"/>
        <w:rPr>
          <w:rStyle w:val="normaltextrun"/>
          <w:color w:val="000000" w:themeColor="text1"/>
        </w:rPr>
      </w:pPr>
      <w:r w:rsidRPr="000C4086">
        <w:rPr>
          <w:rStyle w:val="normaltextrun"/>
          <w:color w:val="000000" w:themeColor="text1"/>
        </w:rPr>
        <w:t>Appendix J (See Table 16): 2021 Extreme and Uncontrollable Circumstances Application Form for the 2023 MIPS payment year (No change)</w:t>
      </w:r>
    </w:p>
    <w:p w:rsidRPr="00A61130" w:rsidR="003141D8" w:rsidP="003141D8" w:rsidRDefault="003141D8" w14:paraId="3C288FB1" w14:textId="3D1E8E47">
      <w:pPr>
        <w:pStyle w:val="paragraph"/>
        <w:textAlignment w:val="baseline"/>
        <w:rPr>
          <w:rFonts w:ascii="Segoe UI" w:hAnsi="Segoe UI" w:cs="Segoe UI"/>
          <w:color w:val="000000" w:themeColor="text1"/>
          <w:sz w:val="18"/>
          <w:szCs w:val="18"/>
        </w:rPr>
      </w:pPr>
      <w:r w:rsidRPr="00A61130">
        <w:rPr>
          <w:rStyle w:val="eop"/>
          <w:color w:val="000000" w:themeColor="text1"/>
        </w:rPr>
        <w:t> </w:t>
      </w:r>
    </w:p>
    <w:p w:rsidR="002071AA" w:rsidP="003141D8" w:rsidRDefault="003141D8" w14:paraId="01B538E0" w14:textId="77777777">
      <w:pPr>
        <w:pStyle w:val="paragraph"/>
        <w:textAlignment w:val="baseline"/>
        <w:rPr>
          <w:rStyle w:val="normaltextrun"/>
          <w:color w:val="000000" w:themeColor="text1"/>
        </w:rPr>
      </w:pPr>
      <w:r w:rsidRPr="000C4086">
        <w:rPr>
          <w:rStyle w:val="normaltextrun"/>
          <w:color w:val="000000" w:themeColor="text1"/>
        </w:rPr>
        <w:t>Appendix K (See Table 21): 2022 MVP Candidates: Instructions and Template (No change)</w:t>
      </w:r>
    </w:p>
    <w:p w:rsidRPr="00A61130" w:rsidR="003141D8" w:rsidP="003141D8" w:rsidRDefault="003141D8" w14:paraId="7B1D4919" w14:textId="4C73634C">
      <w:pPr>
        <w:pStyle w:val="paragraph"/>
        <w:textAlignment w:val="baseline"/>
        <w:rPr>
          <w:rFonts w:ascii="Segoe UI" w:hAnsi="Segoe UI" w:cs="Segoe UI"/>
          <w:color w:val="000000" w:themeColor="text1"/>
          <w:sz w:val="18"/>
          <w:szCs w:val="18"/>
        </w:rPr>
      </w:pPr>
      <w:r w:rsidRPr="000C4086">
        <w:rPr>
          <w:rStyle w:val="normaltextrun"/>
          <w:color w:val="000000" w:themeColor="text1"/>
        </w:rPr>
        <w:t> </w:t>
      </w:r>
      <w:r w:rsidRPr="00A61130">
        <w:rPr>
          <w:rStyle w:val="eop"/>
          <w:color w:val="000000" w:themeColor="text1"/>
        </w:rPr>
        <w:t> </w:t>
      </w:r>
    </w:p>
    <w:p w:rsidRPr="00A61130" w:rsidR="003141D8" w:rsidP="003141D8" w:rsidRDefault="003141D8" w14:paraId="2D8A2F15" w14:textId="77777777">
      <w:pPr>
        <w:pStyle w:val="paragraph"/>
        <w:textAlignment w:val="baseline"/>
        <w:rPr>
          <w:rFonts w:ascii="Segoe UI" w:hAnsi="Segoe UI" w:cs="Segoe UI"/>
          <w:color w:val="000000" w:themeColor="text1"/>
          <w:sz w:val="18"/>
          <w:szCs w:val="18"/>
        </w:rPr>
      </w:pPr>
      <w:r w:rsidRPr="000C4086">
        <w:rPr>
          <w:rStyle w:val="normaltextrun"/>
          <w:color w:val="000000" w:themeColor="text1"/>
        </w:rPr>
        <w:t>Appendix L (See Table 22): 2020 Partial QP Election Form (for the 2022 MIPS payment year) (No change)</w:t>
      </w:r>
      <w:r w:rsidRPr="00A61130">
        <w:rPr>
          <w:rStyle w:val="eop"/>
          <w:color w:val="000000" w:themeColor="text1"/>
        </w:rPr>
        <w:t> </w:t>
      </w:r>
    </w:p>
    <w:p w:rsidRPr="00BC25AD" w:rsidR="002E06AF" w:rsidP="003D552B" w:rsidRDefault="00E10E3A" w14:paraId="34127EDE" w14:textId="60B5B42E">
      <w:pPr>
        <w:pStyle w:val="Heading2"/>
      </w:pPr>
      <w:r w:rsidRPr="00BC25AD">
        <w:t>Capital Costs</w:t>
      </w:r>
    </w:p>
    <w:p w:rsidR="00104ED5" w:rsidP="00715C78" w:rsidRDefault="00104ED5" w14:paraId="42BF1197" w14:textId="76C7C85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We</w:t>
      </w:r>
      <w:r w:rsidR="00435EAA">
        <w:t xml:space="preserve"> </w:t>
      </w:r>
      <w:r w:rsidR="00AB3F20">
        <w:t>finalized</w:t>
      </w:r>
      <w:r w:rsidR="00435EAA">
        <w:t xml:space="preserve"> to</w:t>
      </w:r>
      <w:r>
        <w:t xml:space="preserve"> sunset the CMS Web Interface measures as a collection type for groups and virtual groups with 25 or more eligible clinicians starting with the </w:t>
      </w:r>
      <w:r w:rsidR="00D16382">
        <w:t xml:space="preserve">CY </w:t>
      </w:r>
      <w:r>
        <w:t>202</w:t>
      </w:r>
      <w:r w:rsidR="00D16382">
        <w:t xml:space="preserve">3 </w:t>
      </w:r>
      <w:r>
        <w:t>performance period</w:t>
      </w:r>
      <w:r w:rsidR="00D16382">
        <w:t>/2025 MIPS payment year</w:t>
      </w:r>
      <w:r w:rsidR="0094232B">
        <w:t xml:space="preserve"> (86 FR</w:t>
      </w:r>
      <w:r w:rsidR="00B73004">
        <w:t xml:space="preserve"> 65258)</w:t>
      </w:r>
      <w:r>
        <w:t>.  We recognize that the</w:t>
      </w:r>
      <w:r w:rsidR="00011801">
        <w:t xml:space="preserve"> </w:t>
      </w:r>
      <w:r w:rsidR="00140FDB">
        <w:t xml:space="preserve">finalized policy to </w:t>
      </w:r>
      <w:r>
        <w:t>sunset the CMS Web Interface for groups and virtual groups may be burdensome to current groups and virtual groups submitting quality data on CMS Web Interface measures.  Such groups and virtual groups would need to select a different collection type/submission type and redesign their systems to be able to interact with the new collection type/submission type.  Given that the Medicare Part B claims collection type is limited to small practices, the alternatives for these groups and virtual groups would be either the MIPS CQM, QCDR</w:t>
      </w:r>
      <w:r w:rsidR="00BE1570">
        <w:t>,</w:t>
      </w:r>
      <w:r>
        <w:t xml:space="preserve"> or eCQM collection types.  Given the size of the affected groups and virtual groups, we believe the majority are likely to already be using a QCDR, qualified registry, or </w:t>
      </w:r>
      <w:r w:rsidR="00303545">
        <w:t>C</w:t>
      </w:r>
      <w:r>
        <w:t>EHR</w:t>
      </w:r>
      <w:r w:rsidR="00303545">
        <w:t>T</w:t>
      </w:r>
      <w:r>
        <w:t xml:space="preserve"> as part of their practice workflow. Of the </w:t>
      </w:r>
      <w:r w:rsidR="0059611E">
        <w:t>3,61</w:t>
      </w:r>
      <w:r w:rsidR="0040737B">
        <w:t>1</w:t>
      </w:r>
      <w:r>
        <w:t xml:space="preserve"> TINs comprised of 25 or more clinicians who submitted MIPS data via a collection type other than the CMS Web Interface, </w:t>
      </w:r>
      <w:r w:rsidR="0059611E">
        <w:t>5</w:t>
      </w:r>
      <w:r w:rsidR="009D5F3D">
        <w:t>6</w:t>
      </w:r>
      <w:r>
        <w:t xml:space="preserve"> percent reported via the MIP CQM and QCDR collection type and </w:t>
      </w:r>
      <w:r w:rsidR="0059611E">
        <w:t>4</w:t>
      </w:r>
      <w:r w:rsidR="009D5F3D">
        <w:t>4</w:t>
      </w:r>
      <w:r>
        <w:t xml:space="preserve"> percent reported via the eCQM collection type.  For groups converting from Web Interface, there will be some non-recurring costs associated with modifying clinical and MIPS data reporting workflows to utilize an alternate collection type.  For any remaining groups and virtual groups there will also be registry fees paid to a QCDR or qualified registry or the financial expense of purchasing/licensing and deploying a </w:t>
      </w:r>
      <w:r w:rsidR="00160FA5">
        <w:t>C</w:t>
      </w:r>
      <w:r>
        <w:t>EHR</w:t>
      </w:r>
      <w:r w:rsidR="00160FA5">
        <w:t>T</w:t>
      </w:r>
      <w:r>
        <w:t xml:space="preserve"> system.  Because we are unable to assess either the existing workflows of each individual group and virtual group or the decisions each group and virtual group will make in response to this p</w:t>
      </w:r>
      <w:r w:rsidR="006A7A97">
        <w:t>olicy</w:t>
      </w:r>
      <w:r>
        <w:t xml:space="preserve">, we cannot quantify the resulting economic impact.  While there may be an initial increase in burden for current groups and virtual groups utilizing the CMS Web Interface measures having to transition to the utilization of a different collection type/submission type, we recognize that we would also be reducing reporting requirements. Groups and virtual groups would no longer have to completely report on all pre-determined CMS Web Interface measures and would be able to select their own measures (at least 6) to report. </w:t>
      </w:r>
    </w:p>
    <w:p w:rsidR="002406BF" w:rsidP="00715C78" w:rsidRDefault="00104ED5" w14:paraId="00935E51" w14:textId="1D66748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Groups and virtual groups account for less than 20 percent of organizations utilizing the CMS Web Interface measures while ACOs participating in the Medicare Shared Savings Program and </w:t>
      </w:r>
      <w:r>
        <w:lastRenderedPageBreak/>
        <w:t xml:space="preserve">Next Generation ACO Model account for more than 80 percent.  In assessing the utilization of the CMS Web Interface by groups and virtual groups, there has been a substantial decrease in participation each year since the inception of MIPS in the </w:t>
      </w:r>
      <w:r w:rsidR="003049DE">
        <w:t xml:space="preserve">CY </w:t>
      </w:r>
      <w:r>
        <w:t>2017 performance period</w:t>
      </w:r>
      <w:r w:rsidR="003049DE">
        <w:t>/2019 MIPS payment year</w:t>
      </w:r>
      <w:r>
        <w:t xml:space="preserve">.  From 2017 to 2019, the number of groups eligible to report quality measures via the CMS Web Interface (groups registered to utilize the CMS Web Interface) decreased by approximately 45 </w:t>
      </w:r>
      <w:r w:rsidR="00047C66">
        <w:t>percent.</w:t>
      </w:r>
      <w:r>
        <w:t xml:space="preserve">  Similarly, the number of groups utilizing the CMS Web Interface as a collection type decreased by approximately 40 percent from 2017 to 2019</w:t>
      </w:r>
      <w:r w:rsidR="00570D1A">
        <w:t xml:space="preserve"> (85 FR 85020 through 85021)</w:t>
      </w:r>
      <w:r>
        <w:t xml:space="preserve">.  </w:t>
      </w:r>
    </w:p>
    <w:p w:rsidRPr="00136D86" w:rsidR="002E06AF" w:rsidP="003D552B" w:rsidRDefault="00A64ED4" w14:paraId="35D2B3D9" w14:textId="1692C248">
      <w:pPr>
        <w:pStyle w:val="Heading2"/>
      </w:pPr>
      <w:r w:rsidRPr="00136D86">
        <w:t>Cost to Federal Government</w:t>
      </w:r>
    </w:p>
    <w:p w:rsidR="003C4605" w:rsidP="00536031" w:rsidRDefault="0078551D" w14:paraId="0755C832" w14:textId="3AAAF6B0">
      <w:pPr>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000273E3" w:rsidP="00536031" w:rsidRDefault="000273E3" w14:paraId="4BC68438" w14:textId="24E8306E">
      <w:pPr>
        <w:rPr>
          <w:szCs w:val="20"/>
        </w:rPr>
      </w:pPr>
      <w:r w:rsidRPr="000273E3">
        <w:rPr>
          <w:szCs w:val="20"/>
        </w:rPr>
        <w:t>In the CY 2021 PFS final rule</w:t>
      </w:r>
      <w:r w:rsidR="00530100">
        <w:rPr>
          <w:szCs w:val="20"/>
        </w:rPr>
        <w:t xml:space="preserve"> (85 FR 84884 through 84885)</w:t>
      </w:r>
      <w:r w:rsidRPr="000273E3">
        <w:rPr>
          <w:szCs w:val="20"/>
        </w:rPr>
        <w:t>, we stated</w:t>
      </w:r>
      <w:r w:rsidR="0040031D">
        <w:rPr>
          <w:szCs w:val="20"/>
        </w:rPr>
        <w:t xml:space="preserve"> </w:t>
      </w:r>
      <w:r w:rsidRPr="0040031D" w:rsidR="0040031D">
        <w:rPr>
          <w:szCs w:val="20"/>
        </w:rPr>
        <w:t>to consider agency-nominated improvement activities</w:t>
      </w:r>
      <w:r w:rsidRPr="000273E3">
        <w:rPr>
          <w:szCs w:val="20"/>
        </w:rPr>
        <w:t xml:space="preserve"> beginning with the CY 2021</w:t>
      </w:r>
      <w:r w:rsidR="002B2834">
        <w:rPr>
          <w:szCs w:val="20"/>
        </w:rPr>
        <w:t xml:space="preserve"> </w:t>
      </w:r>
      <w:r w:rsidRPr="000273E3">
        <w:rPr>
          <w:szCs w:val="20"/>
        </w:rPr>
        <w:t>performance period</w:t>
      </w:r>
      <w:r w:rsidR="002B2834">
        <w:rPr>
          <w:szCs w:val="20"/>
        </w:rPr>
        <w:t>/2023 MIPS payment year</w:t>
      </w:r>
      <w:r w:rsidRPr="000273E3">
        <w:rPr>
          <w:szCs w:val="20"/>
        </w:rPr>
        <w:t xml:space="preserve"> and future years. </w:t>
      </w:r>
      <w:r w:rsidR="008D0596">
        <w:rPr>
          <w:szCs w:val="20"/>
        </w:rPr>
        <w:t>As dis</w:t>
      </w:r>
      <w:r w:rsidR="007C1278">
        <w:rPr>
          <w:szCs w:val="20"/>
        </w:rPr>
        <w:t>cussed in the CY 2021 PFS final rule</w:t>
      </w:r>
      <w:r w:rsidR="006D0DBB">
        <w:rPr>
          <w:szCs w:val="20"/>
        </w:rPr>
        <w:t xml:space="preserve"> (85 FR </w:t>
      </w:r>
      <w:r w:rsidR="005A3D5C">
        <w:rPr>
          <w:szCs w:val="20"/>
        </w:rPr>
        <w:t>85021</w:t>
      </w:r>
      <w:r w:rsidR="006D0DBB">
        <w:rPr>
          <w:szCs w:val="20"/>
        </w:rPr>
        <w:t>)</w:t>
      </w:r>
      <w:r w:rsidR="007C1278">
        <w:rPr>
          <w:szCs w:val="20"/>
        </w:rPr>
        <w:t>, w</w:t>
      </w:r>
      <w:r w:rsidRPr="000273E3">
        <w:rPr>
          <w:szCs w:val="20"/>
        </w:rPr>
        <w:t>e are unable to estimate the number of improvement activity nominations we will receive</w:t>
      </w:r>
      <w:r w:rsidR="007C1278">
        <w:rPr>
          <w:szCs w:val="20"/>
        </w:rPr>
        <w:t>. Therefore,</w:t>
      </w:r>
      <w:r w:rsidRPr="000273E3">
        <w:rPr>
          <w:szCs w:val="20"/>
        </w:rPr>
        <w:t xml:space="preserve"> we</w:t>
      </w:r>
      <w:r w:rsidR="008D0596">
        <w:rPr>
          <w:szCs w:val="20"/>
        </w:rPr>
        <w:t xml:space="preserve"> continue to</w:t>
      </w:r>
      <w:r w:rsidRPr="000273E3">
        <w:rPr>
          <w:szCs w:val="20"/>
        </w:rPr>
        <w:t xml:space="preserve"> assume it will require 3 hours at </w:t>
      </w:r>
      <w:r w:rsidR="00251B2D">
        <w:rPr>
          <w:szCs w:val="20"/>
        </w:rPr>
        <w:t>$60.53</w:t>
      </w:r>
      <w:r w:rsidRPr="000273E3">
        <w:rPr>
          <w:szCs w:val="20"/>
        </w:rPr>
        <w:t>/</w:t>
      </w:r>
      <w:proofErr w:type="spellStart"/>
      <w:r w:rsidRPr="000273E3">
        <w:rPr>
          <w:szCs w:val="20"/>
        </w:rPr>
        <w:t>hr</w:t>
      </w:r>
      <w:proofErr w:type="spellEnd"/>
      <w:r w:rsidRPr="000273E3">
        <w:rPr>
          <w:szCs w:val="20"/>
        </w:rPr>
        <w:t xml:space="preserve"> for a GS-13 Step 5 to nominate an improvement activity for a total cost of $1</w:t>
      </w:r>
      <w:r w:rsidR="00251B2D">
        <w:rPr>
          <w:szCs w:val="20"/>
        </w:rPr>
        <w:t>81.59</w:t>
      </w:r>
      <w:r w:rsidRPr="000273E3">
        <w:rPr>
          <w:szCs w:val="20"/>
        </w:rPr>
        <w:t xml:space="preserve"> (3 </w:t>
      </w:r>
      <w:proofErr w:type="spellStart"/>
      <w:r w:rsidRPr="000273E3">
        <w:rPr>
          <w:szCs w:val="20"/>
        </w:rPr>
        <w:t>hrs</w:t>
      </w:r>
      <w:proofErr w:type="spellEnd"/>
      <w:r w:rsidRPr="000273E3">
        <w:rPr>
          <w:szCs w:val="20"/>
        </w:rPr>
        <w:t xml:space="preserve"> x $</w:t>
      </w:r>
      <w:r w:rsidR="00251B2D">
        <w:rPr>
          <w:szCs w:val="20"/>
        </w:rPr>
        <w:t>60.53</w:t>
      </w:r>
      <w:r w:rsidRPr="000273E3">
        <w:rPr>
          <w:szCs w:val="20"/>
        </w:rPr>
        <w:t>/</w:t>
      </w:r>
      <w:proofErr w:type="spellStart"/>
      <w:r w:rsidRPr="000273E3">
        <w:rPr>
          <w:szCs w:val="20"/>
        </w:rPr>
        <w:t>hr</w:t>
      </w:r>
      <w:proofErr w:type="spellEnd"/>
      <w:r w:rsidRPr="000273E3">
        <w:rPr>
          <w:szCs w:val="20"/>
        </w:rPr>
        <w:t>) per activity.</w:t>
      </w:r>
    </w:p>
    <w:p w:rsidR="00CC4CA8" w:rsidP="003D552B" w:rsidRDefault="005F4B49" w14:paraId="12E9A98A" w14:textId="5AC101C1">
      <w:pPr>
        <w:pStyle w:val="Heading2"/>
      </w:pPr>
      <w:r w:rsidRPr="00136D86">
        <w:t xml:space="preserve">Program </w:t>
      </w:r>
      <w:r w:rsidRPr="00136D86" w:rsidR="005A0F91">
        <w:t>and</w:t>
      </w:r>
      <w:r w:rsidRPr="00136D86">
        <w:t xml:space="preserve"> Burden Changes</w:t>
      </w:r>
    </w:p>
    <w:p w:rsidR="00862515" w:rsidP="00764EA4" w:rsidRDefault="003B3820" w14:paraId="36D3AF64" w14:textId="2E65C741">
      <w:pPr>
        <w:spacing w:after="0"/>
        <w:rPr>
          <w:bCs/>
        </w:rPr>
      </w:pPr>
      <w:r>
        <w:t>W</w:t>
      </w:r>
      <w:r w:rsidRPr="00C265CF" w:rsidR="00C265CF">
        <w:t>e have re</w:t>
      </w:r>
      <w:r w:rsidR="0054055B">
        <w:t xml:space="preserve">placed </w:t>
      </w:r>
      <w:r w:rsidRPr="00C265CF" w:rsidR="00C265CF">
        <w:t>Appendices A1 (202</w:t>
      </w:r>
      <w:r w:rsidR="00D65A4E">
        <w:t>2</w:t>
      </w:r>
      <w:r w:rsidRPr="00C265CF" w:rsidR="00C265CF">
        <w:t xml:space="preserve"> Qualified Registry Fact Sheet)</w:t>
      </w:r>
      <w:r w:rsidR="0054055B">
        <w:t xml:space="preserve"> and</w:t>
      </w:r>
      <w:r w:rsidRPr="00C265CF" w:rsidR="00C265CF">
        <w:t xml:space="preserve"> B1 (202</w:t>
      </w:r>
      <w:r w:rsidR="00D65A4E">
        <w:t>2</w:t>
      </w:r>
      <w:r w:rsidRPr="00C265CF" w:rsidR="00C265CF">
        <w:t xml:space="preserve"> QCDR Fact Sheet)</w:t>
      </w:r>
      <w:r w:rsidR="0054055B">
        <w:t xml:space="preserve"> </w:t>
      </w:r>
      <w:r w:rsidR="003A7145">
        <w:t xml:space="preserve">and C1 (2022 QCDR Measure Submission Template) </w:t>
      </w:r>
      <w:r w:rsidR="0054055B">
        <w:t>with Appendix A (2023 QCDR and Registry Self-nomination User Guide)</w:t>
      </w:r>
      <w:r w:rsidR="002E674F">
        <w:t xml:space="preserve">. </w:t>
      </w:r>
      <w:r w:rsidR="00764EA4">
        <w:rPr>
          <w:bCs/>
        </w:rPr>
        <w:t xml:space="preserve">We are also removing </w:t>
      </w:r>
      <w:r w:rsidR="00862515">
        <w:rPr>
          <w:bCs/>
        </w:rPr>
        <w:t>Appendix N</w:t>
      </w:r>
      <w:r w:rsidR="000551E3">
        <w:rPr>
          <w:bCs/>
        </w:rPr>
        <w:t>1, which, in the 2022 MIPS PRA Package, included the</w:t>
      </w:r>
      <w:r w:rsidR="00E3508F">
        <w:rPr>
          <w:bCs/>
        </w:rPr>
        <w:t xml:space="preserve"> registration</w:t>
      </w:r>
      <w:r w:rsidR="000551E3">
        <w:rPr>
          <w:bCs/>
        </w:rPr>
        <w:t xml:space="preserve"> </w:t>
      </w:r>
      <w:r w:rsidR="00E3508F">
        <w:rPr>
          <w:bCs/>
        </w:rPr>
        <w:t>guide for the Web Interface collection type, as</w:t>
      </w:r>
      <w:r w:rsidR="00862515">
        <w:rPr>
          <w:bCs/>
        </w:rPr>
        <w:t xml:space="preserve"> the </w:t>
      </w:r>
      <w:r w:rsidRPr="004416B6" w:rsidR="00862515">
        <w:rPr>
          <w:bCs/>
        </w:rPr>
        <w:t xml:space="preserve">Web Interface collection type </w:t>
      </w:r>
      <w:r w:rsidR="00862515">
        <w:rPr>
          <w:bCs/>
        </w:rPr>
        <w:t>has sunset</w:t>
      </w:r>
      <w:r w:rsidRPr="004416B6" w:rsidR="00862515">
        <w:rPr>
          <w:bCs/>
        </w:rPr>
        <w:t xml:space="preserve"> for the 2023 performance period</w:t>
      </w:r>
      <w:r w:rsidR="00862515">
        <w:rPr>
          <w:bCs/>
        </w:rPr>
        <w:t>.</w:t>
      </w:r>
      <w:r w:rsidR="00A91220">
        <w:rPr>
          <w:bCs/>
        </w:rPr>
        <w:t xml:space="preserve"> </w:t>
      </w:r>
      <w:r w:rsidR="002838D1">
        <w:rPr>
          <w:bCs/>
        </w:rPr>
        <w:t xml:space="preserve">With the new Appendix A </w:t>
      </w:r>
      <w:r w:rsidR="002838D1">
        <w:t>(2023 QCDR and Registry Self-nomination User Guide)</w:t>
      </w:r>
      <w:r w:rsidR="00D60832">
        <w:t xml:space="preserve"> replacing Appendices A1, B1, and C1 from the 2022 MIPS PRA package, </w:t>
      </w:r>
      <w:r w:rsidR="00715CDA">
        <w:t xml:space="preserve">and the </w:t>
      </w:r>
      <w:r w:rsidR="002838D1">
        <w:rPr>
          <w:bCs/>
        </w:rPr>
        <w:t xml:space="preserve">removal of Appendix of N1 </w:t>
      </w:r>
      <w:r w:rsidR="00715CDA">
        <w:rPr>
          <w:bCs/>
        </w:rPr>
        <w:t>from the 2022 MIPS PRA package, our CY 2023</w:t>
      </w:r>
      <w:r w:rsidR="0001219A">
        <w:rPr>
          <w:bCs/>
        </w:rPr>
        <w:t xml:space="preserve"> NPRM</w:t>
      </w:r>
      <w:r w:rsidR="00715CDA">
        <w:rPr>
          <w:bCs/>
        </w:rPr>
        <w:t xml:space="preserve"> MIPS PRA package has three fewer appendices than the </w:t>
      </w:r>
      <w:r w:rsidR="0001219A">
        <w:rPr>
          <w:bCs/>
        </w:rPr>
        <w:t xml:space="preserve">package from last year. </w:t>
      </w:r>
      <w:r w:rsidR="00C07B38">
        <w:rPr>
          <w:bCs/>
        </w:rPr>
        <w:t>We have re-lettered the remaining appendices such that t</w:t>
      </w:r>
      <w:r w:rsidR="00F46F51">
        <w:rPr>
          <w:bCs/>
        </w:rPr>
        <w:t xml:space="preserve">he </w:t>
      </w:r>
      <w:r w:rsidR="008B1DEE">
        <w:rPr>
          <w:bCs/>
        </w:rPr>
        <w:t>A</w:t>
      </w:r>
      <w:r w:rsidR="004C2070">
        <w:rPr>
          <w:bCs/>
        </w:rPr>
        <w:t xml:space="preserve">ppendices </w:t>
      </w:r>
      <w:r w:rsidR="00250A41">
        <w:rPr>
          <w:bCs/>
        </w:rPr>
        <w:t>M1 and O1 from the 2022 MIPS PRA package are now Appendices K and L</w:t>
      </w:r>
      <w:r w:rsidR="008B1DEE">
        <w:rPr>
          <w:bCs/>
        </w:rPr>
        <w:t xml:space="preserve"> respectively</w:t>
      </w:r>
      <w:r w:rsidR="009B7BCB">
        <w:rPr>
          <w:bCs/>
        </w:rPr>
        <w:t>.</w:t>
      </w:r>
      <w:r w:rsidR="00250A41">
        <w:rPr>
          <w:bCs/>
        </w:rPr>
        <w:t xml:space="preserve"> </w:t>
      </w:r>
    </w:p>
    <w:p w:rsidR="00D10FCA" w:rsidP="00861516" w:rsidRDefault="00D10FCA" w14:paraId="4A07A6A9" w14:textId="202FE155">
      <w:pPr>
        <w:spacing w:after="0"/>
        <w:rPr>
          <w:b/>
          <w:bCs/>
        </w:rPr>
      </w:pPr>
    </w:p>
    <w:p w:rsidRPr="00A92FDD" w:rsidR="00A92FDD" w:rsidP="00A92FDD" w:rsidRDefault="00A92FDD" w14:paraId="5647CF61" w14:textId="4C17DD6B">
      <w:pPr>
        <w:spacing w:after="0"/>
      </w:pPr>
      <w:r w:rsidRPr="00A92FDD">
        <w:rPr>
          <w:color w:val="000000"/>
          <w:shd w:val="clear" w:color="auto" w:fill="FFFFFF"/>
        </w:rPr>
        <w:t>The currently approved burden estimate for the policies and information collections in the CY 202</w:t>
      </w:r>
      <w:r w:rsidR="002B7339">
        <w:rPr>
          <w:color w:val="000000"/>
          <w:shd w:val="clear" w:color="auto" w:fill="FFFFFF"/>
        </w:rPr>
        <w:t>2</w:t>
      </w:r>
      <w:r w:rsidRPr="00A92FDD">
        <w:rPr>
          <w:color w:val="000000"/>
          <w:shd w:val="clear" w:color="auto" w:fill="FFFFFF"/>
        </w:rPr>
        <w:t xml:space="preserve"> performance period/202</w:t>
      </w:r>
      <w:r w:rsidR="002B7339">
        <w:rPr>
          <w:color w:val="000000"/>
          <w:shd w:val="clear" w:color="auto" w:fill="FFFFFF"/>
        </w:rPr>
        <w:t>4</w:t>
      </w:r>
      <w:r w:rsidRPr="00A92FDD">
        <w:rPr>
          <w:color w:val="000000"/>
          <w:shd w:val="clear" w:color="auto" w:fill="FFFFFF"/>
        </w:rPr>
        <w:t xml:space="preserve"> MIPS payment year was set forth in the CY 202</w:t>
      </w:r>
      <w:r w:rsidR="002B7339">
        <w:rPr>
          <w:color w:val="000000"/>
          <w:shd w:val="clear" w:color="auto" w:fill="FFFFFF"/>
        </w:rPr>
        <w:t>2</w:t>
      </w:r>
      <w:r w:rsidRPr="00A92FDD">
        <w:rPr>
          <w:color w:val="000000"/>
          <w:shd w:val="clear" w:color="auto" w:fill="FFFFFF"/>
        </w:rPr>
        <w:t xml:space="preserve"> PFS final rule. This burden is associated with the policies and information collections for the CY 202</w:t>
      </w:r>
      <w:r w:rsidR="002B7339">
        <w:rPr>
          <w:color w:val="000000"/>
          <w:shd w:val="clear" w:color="auto" w:fill="FFFFFF"/>
        </w:rPr>
        <w:t xml:space="preserve">2 </w:t>
      </w:r>
      <w:r w:rsidRPr="00A92FDD">
        <w:rPr>
          <w:color w:val="000000"/>
          <w:shd w:val="clear" w:color="auto" w:fill="FFFFFF"/>
        </w:rPr>
        <w:t>performance period/CY 20</w:t>
      </w:r>
      <w:r w:rsidR="002B7339">
        <w:rPr>
          <w:color w:val="000000"/>
          <w:shd w:val="clear" w:color="auto" w:fill="FFFFFF"/>
        </w:rPr>
        <w:t>24</w:t>
      </w:r>
      <w:r w:rsidRPr="00A92FDD">
        <w:rPr>
          <w:color w:val="000000"/>
          <w:shd w:val="clear" w:color="auto" w:fill="FFFFFF"/>
        </w:rPr>
        <w:t xml:space="preserve"> MIPS payment year and </w:t>
      </w:r>
      <w:r w:rsidR="009D055A">
        <w:rPr>
          <w:color w:val="000000"/>
          <w:shd w:val="clear" w:color="auto" w:fill="FFFFFF"/>
        </w:rPr>
        <w:t>will no longer be collected</w:t>
      </w:r>
      <w:r w:rsidR="003375ED">
        <w:rPr>
          <w:color w:val="000000"/>
          <w:shd w:val="clear" w:color="auto" w:fill="FFFFFF"/>
        </w:rPr>
        <w:t xml:space="preserve"> by or reported</w:t>
      </w:r>
      <w:r w:rsidR="009D055A">
        <w:rPr>
          <w:color w:val="000000"/>
          <w:shd w:val="clear" w:color="auto" w:fill="FFFFFF"/>
        </w:rPr>
        <w:t xml:space="preserve"> from clinicians</w:t>
      </w:r>
      <w:r w:rsidR="0046515C">
        <w:rPr>
          <w:color w:val="000000"/>
          <w:shd w:val="clear" w:color="auto" w:fill="FFFFFF"/>
        </w:rPr>
        <w:t xml:space="preserve"> for the Quality Payment Program in the</w:t>
      </w:r>
      <w:r w:rsidRPr="00A92FDD">
        <w:rPr>
          <w:color w:val="000000"/>
          <w:shd w:val="clear" w:color="auto" w:fill="FFFFFF"/>
        </w:rPr>
        <w:t xml:space="preserve"> CY 2023 performance period/2025 MIPS payment year. Therefore, as shown in table </w:t>
      </w:r>
      <w:r w:rsidR="00EE376D">
        <w:rPr>
          <w:color w:val="000000"/>
          <w:shd w:val="clear" w:color="auto" w:fill="FFFFFF"/>
        </w:rPr>
        <w:t>28</w:t>
      </w:r>
      <w:r w:rsidRPr="00A92FDD">
        <w:rPr>
          <w:color w:val="000000"/>
          <w:shd w:val="clear" w:color="auto" w:fill="FFFFFF"/>
        </w:rPr>
        <w:t>, we subtracted this burden in our burden calculations for the C</w:t>
      </w:r>
      <w:r w:rsidR="00EE376D">
        <w:rPr>
          <w:color w:val="000000"/>
          <w:shd w:val="clear" w:color="auto" w:fill="FFFFFF"/>
        </w:rPr>
        <w:t>Y</w:t>
      </w:r>
      <w:r w:rsidRPr="00A92FDD">
        <w:rPr>
          <w:color w:val="000000"/>
          <w:shd w:val="clear" w:color="auto" w:fill="FFFFFF"/>
        </w:rPr>
        <w:t xml:space="preserve"> 2023 performance periods/2025 MIPS payment year. </w:t>
      </w:r>
    </w:p>
    <w:p w:rsidR="00861516" w:rsidP="00861516" w:rsidRDefault="00861516" w14:paraId="18BEF079" w14:textId="701C1311">
      <w:pPr>
        <w:spacing w:after="0"/>
        <w:rPr>
          <w:b/>
          <w:bCs/>
        </w:rPr>
      </w:pPr>
    </w:p>
    <w:p w:rsidRPr="00BE2410" w:rsidR="00437912" w:rsidP="008C0170" w:rsidRDefault="00861516" w14:paraId="723D5E4E" w14:textId="36715879">
      <w:pPr>
        <w:keepNext/>
        <w:keepLines/>
        <w:jc w:val="center"/>
        <w:rPr>
          <w:b/>
          <w:bCs/>
        </w:rPr>
      </w:pPr>
      <w:r w:rsidRPr="00BE2410">
        <w:rPr>
          <w:b/>
          <w:bCs/>
        </w:rPr>
        <w:lastRenderedPageBreak/>
        <w:t xml:space="preserve">TABLE </w:t>
      </w:r>
      <w:r>
        <w:rPr>
          <w:b/>
          <w:bCs/>
        </w:rPr>
        <w:t>28</w:t>
      </w:r>
      <w:r w:rsidRPr="00BE2410">
        <w:rPr>
          <w:b/>
          <w:bCs/>
        </w:rPr>
        <w:t xml:space="preserve">: </w:t>
      </w:r>
      <w:r w:rsidR="00ED35B8">
        <w:rPr>
          <w:b/>
          <w:bCs/>
        </w:rPr>
        <w:t xml:space="preserve">Change in Burden for </w:t>
      </w:r>
      <w:r w:rsidRPr="00BE2410">
        <w:rPr>
          <w:b/>
          <w:bCs/>
        </w:rPr>
        <w:t>CY 2022 MIPS Performance Period</w:t>
      </w:r>
      <w:r w:rsidR="00ED35B8">
        <w:rPr>
          <w:b/>
          <w:bCs/>
        </w:rPr>
        <w:t>/2024</w:t>
      </w:r>
      <w:r w:rsidR="003909AC">
        <w:rPr>
          <w:b/>
          <w:bCs/>
        </w:rPr>
        <w:t xml:space="preserve"> MIPS Payment Year</w:t>
      </w:r>
    </w:p>
    <w:tbl>
      <w:tblPr>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75"/>
        <w:gridCol w:w="1391"/>
        <w:gridCol w:w="1129"/>
        <w:gridCol w:w="1163"/>
        <w:gridCol w:w="1345"/>
        <w:gridCol w:w="1061"/>
        <w:gridCol w:w="1426"/>
      </w:tblGrid>
      <w:tr w:rsidRPr="00AF322A" w:rsidR="00861516" w:rsidTr="00022F9D" w14:paraId="25501BB8" w14:textId="77777777">
        <w:trPr>
          <w:cantSplit/>
          <w:tblHeader/>
          <w:jc w:val="center"/>
        </w:trPr>
        <w:tc>
          <w:tcPr>
            <w:tcW w:w="1975" w:type="dxa"/>
          </w:tcPr>
          <w:p w:rsidRPr="00AF322A" w:rsidR="00861516" w:rsidP="00861516" w:rsidRDefault="00861516" w14:paraId="773A1EF8" w14:textId="0731965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p>
        </w:tc>
        <w:tc>
          <w:tcPr>
            <w:tcW w:w="1391" w:type="dxa"/>
          </w:tcPr>
          <w:p w:rsidRPr="00AF322A" w:rsidR="00861516" w:rsidP="00861516" w:rsidRDefault="00861516" w14:paraId="0BC30EA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AF322A">
              <w:rPr>
                <w:b/>
                <w:bCs/>
                <w:color w:val="000000"/>
                <w:sz w:val="20"/>
                <w:szCs w:val="20"/>
              </w:rPr>
              <w:t>No. Respondents</w:t>
            </w:r>
          </w:p>
        </w:tc>
        <w:tc>
          <w:tcPr>
            <w:tcW w:w="1129" w:type="dxa"/>
          </w:tcPr>
          <w:p w:rsidR="00861516" w:rsidP="00861516" w:rsidRDefault="00861516" w14:paraId="5515C83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Pr>
                <w:b/>
                <w:bCs/>
                <w:color w:val="000000"/>
                <w:sz w:val="20"/>
                <w:szCs w:val="20"/>
              </w:rPr>
              <w:t>Total</w:t>
            </w:r>
          </w:p>
          <w:p w:rsidRPr="00AF322A" w:rsidR="00861516" w:rsidP="00861516" w:rsidRDefault="00861516" w14:paraId="3FAE3AD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Responses</w:t>
            </w:r>
          </w:p>
        </w:tc>
        <w:tc>
          <w:tcPr>
            <w:tcW w:w="1163" w:type="dxa"/>
          </w:tcPr>
          <w:p w:rsidRPr="00AF322A" w:rsidR="00861516" w:rsidP="00861516" w:rsidRDefault="00861516" w14:paraId="1A13728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Time per Response (hours)</w:t>
            </w:r>
          </w:p>
        </w:tc>
        <w:tc>
          <w:tcPr>
            <w:tcW w:w="1345" w:type="dxa"/>
          </w:tcPr>
          <w:p w:rsidRPr="00AF322A" w:rsidR="00861516" w:rsidP="00861516" w:rsidRDefault="00861516" w14:paraId="771CFED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Total</w:t>
            </w:r>
            <w:r>
              <w:rPr>
                <w:b/>
                <w:bCs/>
                <w:color w:val="000000"/>
                <w:sz w:val="20"/>
                <w:szCs w:val="20"/>
              </w:rPr>
              <w:t xml:space="preserve"> </w:t>
            </w:r>
            <w:r w:rsidRPr="00AF322A">
              <w:rPr>
                <w:b/>
                <w:bCs/>
                <w:color w:val="000000"/>
                <w:sz w:val="20"/>
                <w:szCs w:val="20"/>
              </w:rPr>
              <w:t>Time (hours)</w:t>
            </w:r>
          </w:p>
        </w:tc>
        <w:tc>
          <w:tcPr>
            <w:tcW w:w="1061" w:type="dxa"/>
          </w:tcPr>
          <w:p w:rsidRPr="00AF322A" w:rsidR="00861516" w:rsidP="00861516" w:rsidRDefault="00861516" w14:paraId="2E68F2CB" w14:textId="77777777">
            <w:pPr>
              <w:keepNext/>
              <w:keepLines/>
              <w:spacing w:after="0"/>
              <w:jc w:val="center"/>
              <w:rPr>
                <w:b/>
                <w:bCs/>
                <w:color w:val="000000"/>
                <w:sz w:val="20"/>
                <w:szCs w:val="20"/>
              </w:rPr>
            </w:pPr>
            <w:r w:rsidRPr="00AF322A">
              <w:rPr>
                <w:b/>
                <w:bCs/>
                <w:color w:val="000000"/>
                <w:sz w:val="20"/>
                <w:szCs w:val="20"/>
              </w:rPr>
              <w:t>Labor</w:t>
            </w:r>
          </w:p>
          <w:p w:rsidRPr="00AF322A" w:rsidR="00861516" w:rsidP="00861516" w:rsidRDefault="00861516" w14:paraId="0B371F41" w14:textId="77777777">
            <w:pPr>
              <w:keepNext/>
              <w:keepLines/>
              <w:spacing w:after="0"/>
              <w:jc w:val="center"/>
              <w:rPr>
                <w:b/>
                <w:bCs/>
                <w:color w:val="000000"/>
                <w:sz w:val="20"/>
                <w:szCs w:val="20"/>
              </w:rPr>
            </w:pPr>
            <w:r w:rsidRPr="00AF322A">
              <w:rPr>
                <w:b/>
                <w:bCs/>
                <w:color w:val="000000"/>
                <w:sz w:val="20"/>
                <w:szCs w:val="20"/>
              </w:rPr>
              <w:t>Cost</w:t>
            </w:r>
          </w:p>
          <w:p w:rsidRPr="00AF322A" w:rsidR="00861516" w:rsidP="00861516" w:rsidRDefault="00861516" w14:paraId="5CB6BB5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bCs/>
                <w:color w:val="000000"/>
                <w:sz w:val="20"/>
                <w:szCs w:val="20"/>
              </w:rPr>
              <w:t>($/</w:t>
            </w:r>
            <w:proofErr w:type="spellStart"/>
            <w:r w:rsidRPr="00AF322A">
              <w:rPr>
                <w:b/>
                <w:bCs/>
                <w:color w:val="000000"/>
                <w:sz w:val="20"/>
                <w:szCs w:val="20"/>
              </w:rPr>
              <w:t>hr</w:t>
            </w:r>
            <w:proofErr w:type="spellEnd"/>
            <w:r w:rsidRPr="00AF322A">
              <w:rPr>
                <w:b/>
                <w:bCs/>
                <w:color w:val="000000"/>
                <w:sz w:val="20"/>
                <w:szCs w:val="20"/>
              </w:rPr>
              <w:t>)</w:t>
            </w:r>
          </w:p>
        </w:tc>
        <w:tc>
          <w:tcPr>
            <w:tcW w:w="1426" w:type="dxa"/>
          </w:tcPr>
          <w:p w:rsidRPr="00AF322A" w:rsidR="00861516" w:rsidP="00861516" w:rsidRDefault="00861516" w14:paraId="693E7B7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Total Cost</w:t>
            </w:r>
          </w:p>
          <w:p w:rsidRPr="00AF322A" w:rsidR="00861516" w:rsidP="00861516" w:rsidRDefault="00861516" w14:paraId="1D140D5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AF322A">
              <w:rPr>
                <w:b/>
                <w:sz w:val="20"/>
                <w:szCs w:val="20"/>
              </w:rPr>
              <w:t>($)*</w:t>
            </w:r>
          </w:p>
        </w:tc>
      </w:tr>
      <w:tr w:rsidRPr="00054407" w:rsidR="00861516" w:rsidTr="00022F9D" w14:paraId="1F634BD0" w14:textId="77777777">
        <w:trPr>
          <w:cantSplit/>
          <w:jc w:val="center"/>
        </w:trPr>
        <w:tc>
          <w:tcPr>
            <w:tcW w:w="1975" w:type="dxa"/>
            <w:shd w:val="clear" w:color="auto" w:fill="auto"/>
          </w:tcPr>
          <w:p w:rsidRPr="00054407" w:rsidR="00861516" w:rsidP="00861516" w:rsidRDefault="00861516" w14:paraId="0D443145" w14:textId="0291BA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054407">
              <w:rPr>
                <w:sz w:val="20"/>
                <w:szCs w:val="20"/>
              </w:rPr>
              <w:t>202</w:t>
            </w:r>
            <w:r>
              <w:rPr>
                <w:sz w:val="20"/>
                <w:szCs w:val="20"/>
              </w:rPr>
              <w:t>2</w:t>
            </w:r>
            <w:r w:rsidRPr="00054407">
              <w:rPr>
                <w:sz w:val="20"/>
                <w:szCs w:val="20"/>
              </w:rPr>
              <w:t xml:space="preserve"> MIPS Performance Period Burden Summary</w:t>
            </w:r>
          </w:p>
        </w:tc>
        <w:tc>
          <w:tcPr>
            <w:tcW w:w="1391" w:type="dxa"/>
            <w:shd w:val="clear" w:color="auto" w:fill="auto"/>
          </w:tcPr>
          <w:p w:rsidRPr="00DD657A" w:rsidR="00861516" w:rsidP="00861516" w:rsidRDefault="00861516" w14:paraId="0C22EC3A" w14:textId="16FE525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Pr="008A38D5">
              <w:rPr>
                <w:sz w:val="20"/>
                <w:szCs w:val="20"/>
              </w:rPr>
              <w:t>119,890</w:t>
            </w:r>
            <w:r>
              <w:rPr>
                <w:sz w:val="20"/>
                <w:szCs w:val="20"/>
              </w:rPr>
              <w:t>)</w:t>
            </w:r>
          </w:p>
        </w:tc>
        <w:tc>
          <w:tcPr>
            <w:tcW w:w="1129" w:type="dxa"/>
            <w:shd w:val="clear" w:color="auto" w:fill="auto"/>
          </w:tcPr>
          <w:p w:rsidRPr="00DD657A" w:rsidR="00861516" w:rsidP="00861516" w:rsidRDefault="00861516" w14:paraId="32CD1D7A" w14:textId="4E6EE6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Pr="001376EC">
              <w:rPr>
                <w:sz w:val="20"/>
                <w:szCs w:val="20"/>
              </w:rPr>
              <w:t>310,</w:t>
            </w:r>
            <w:r>
              <w:rPr>
                <w:sz w:val="20"/>
                <w:szCs w:val="20"/>
              </w:rPr>
              <w:t>051)</w:t>
            </w:r>
          </w:p>
        </w:tc>
        <w:tc>
          <w:tcPr>
            <w:tcW w:w="1163" w:type="dxa"/>
            <w:shd w:val="clear" w:color="auto" w:fill="auto"/>
          </w:tcPr>
          <w:p w:rsidRPr="00DD657A" w:rsidR="00861516" w:rsidP="00861516" w:rsidRDefault="00861516" w14:paraId="01F091D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345" w:type="dxa"/>
            <w:shd w:val="clear" w:color="auto" w:fill="auto"/>
          </w:tcPr>
          <w:p w:rsidRPr="00DD657A" w:rsidR="00861516" w:rsidP="00861516" w:rsidRDefault="00861516" w14:paraId="05178148" w14:textId="7A9C19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Pr>
                <w:sz w:val="20"/>
                <w:szCs w:val="20"/>
              </w:rPr>
              <w:t>(</w:t>
            </w:r>
            <w:r w:rsidRPr="001376EC">
              <w:rPr>
                <w:sz w:val="20"/>
                <w:szCs w:val="20"/>
              </w:rPr>
              <w:t>1,43</w:t>
            </w:r>
            <w:r>
              <w:rPr>
                <w:sz w:val="20"/>
                <w:szCs w:val="20"/>
              </w:rPr>
              <w:t>5</w:t>
            </w:r>
            <w:r w:rsidRPr="001376EC">
              <w:rPr>
                <w:sz w:val="20"/>
                <w:szCs w:val="20"/>
              </w:rPr>
              <w:t>,</w:t>
            </w:r>
            <w:r>
              <w:rPr>
                <w:sz w:val="20"/>
                <w:szCs w:val="20"/>
              </w:rPr>
              <w:t>361)</w:t>
            </w:r>
          </w:p>
        </w:tc>
        <w:tc>
          <w:tcPr>
            <w:tcW w:w="1061" w:type="dxa"/>
            <w:shd w:val="clear" w:color="auto" w:fill="auto"/>
          </w:tcPr>
          <w:p w:rsidRPr="00DD657A" w:rsidR="00861516" w:rsidP="00861516" w:rsidRDefault="00861516" w14:paraId="71C766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1376EC">
              <w:rPr>
                <w:sz w:val="20"/>
                <w:szCs w:val="20"/>
              </w:rPr>
              <w:t>Varies</w:t>
            </w:r>
          </w:p>
        </w:tc>
        <w:tc>
          <w:tcPr>
            <w:tcW w:w="1426" w:type="dxa"/>
            <w:shd w:val="clear" w:color="auto" w:fill="auto"/>
          </w:tcPr>
          <w:p w:rsidRPr="00DD657A" w:rsidR="00861516" w:rsidP="00861516" w:rsidRDefault="00861516" w14:paraId="09A1CDDD" w14:textId="560F8C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Pr>
                <w:sz w:val="20"/>
                <w:szCs w:val="20"/>
              </w:rPr>
              <w:t>(</w:t>
            </w:r>
            <w:r w:rsidRPr="001376EC">
              <w:rPr>
                <w:sz w:val="20"/>
                <w:szCs w:val="20"/>
              </w:rPr>
              <w:t>144,</w:t>
            </w:r>
            <w:r>
              <w:rPr>
                <w:sz w:val="20"/>
                <w:szCs w:val="20"/>
              </w:rPr>
              <w:t>761,094)</w:t>
            </w:r>
          </w:p>
        </w:tc>
      </w:tr>
    </w:tbl>
    <w:p w:rsidR="00861516" w:rsidP="00861516" w:rsidRDefault="00861516" w14:paraId="00146D77" w14:textId="711D921C">
      <w:pPr>
        <w:spacing w:after="0"/>
        <w:rPr>
          <w:b/>
          <w:bCs/>
        </w:rPr>
      </w:pPr>
    </w:p>
    <w:p w:rsidR="00A45373" w:rsidP="00861516" w:rsidRDefault="00A45373" w14:paraId="4EE457C4" w14:textId="46F2ED7C">
      <w:pPr>
        <w:spacing w:after="0"/>
        <w:rPr>
          <w:b/>
          <w:bCs/>
        </w:rPr>
      </w:pPr>
      <w:r w:rsidRPr="00A92FDD">
        <w:rPr>
          <w:color w:val="000000"/>
          <w:shd w:val="clear" w:color="auto" w:fill="FFFFFF"/>
        </w:rPr>
        <w:t>The currently approved burden estimate for the policies and information collections in the CY 202</w:t>
      </w:r>
      <w:r>
        <w:rPr>
          <w:color w:val="000000"/>
          <w:shd w:val="clear" w:color="auto" w:fill="FFFFFF"/>
        </w:rPr>
        <w:t>3</w:t>
      </w:r>
      <w:r w:rsidRPr="00A92FDD">
        <w:rPr>
          <w:color w:val="000000"/>
          <w:shd w:val="clear" w:color="auto" w:fill="FFFFFF"/>
        </w:rPr>
        <w:t xml:space="preserve"> performance period/202</w:t>
      </w:r>
      <w:r>
        <w:rPr>
          <w:color w:val="000000"/>
          <w:shd w:val="clear" w:color="auto" w:fill="FFFFFF"/>
        </w:rPr>
        <w:t xml:space="preserve">5 </w:t>
      </w:r>
      <w:r w:rsidRPr="00A92FDD">
        <w:rPr>
          <w:color w:val="000000"/>
          <w:shd w:val="clear" w:color="auto" w:fill="FFFFFF"/>
        </w:rPr>
        <w:t>MIPS payment year was set forth in the CY 202</w:t>
      </w:r>
      <w:r>
        <w:rPr>
          <w:color w:val="000000"/>
          <w:shd w:val="clear" w:color="auto" w:fill="FFFFFF"/>
        </w:rPr>
        <w:t>2</w:t>
      </w:r>
      <w:r w:rsidRPr="00A92FDD">
        <w:rPr>
          <w:color w:val="000000"/>
          <w:shd w:val="clear" w:color="auto" w:fill="FFFFFF"/>
        </w:rPr>
        <w:t xml:space="preserve"> PFS final rule. </w:t>
      </w:r>
      <w:r w:rsidR="007C46D0">
        <w:rPr>
          <w:color w:val="000000"/>
          <w:shd w:val="clear" w:color="auto" w:fill="FFFFFF"/>
        </w:rPr>
        <w:t>In table 29 below</w:t>
      </w:r>
      <w:r w:rsidR="00EC354F">
        <w:rPr>
          <w:color w:val="000000"/>
          <w:shd w:val="clear" w:color="auto" w:fill="FFFFFF"/>
        </w:rPr>
        <w:t xml:space="preserve">, we show how our currently approved estimates </w:t>
      </w:r>
      <w:r w:rsidR="00CC3A01">
        <w:rPr>
          <w:color w:val="000000"/>
          <w:shd w:val="clear" w:color="auto" w:fill="FFFFFF"/>
        </w:rPr>
        <w:t xml:space="preserve">for the CY 2023 performance period/2025 payment year </w:t>
      </w:r>
      <w:r w:rsidR="00EC354F">
        <w:rPr>
          <w:color w:val="000000"/>
          <w:shd w:val="clear" w:color="auto" w:fill="FFFFFF"/>
        </w:rPr>
        <w:t>have changed due to new statutes and program adjustments</w:t>
      </w:r>
      <w:r w:rsidR="00CC3A01">
        <w:rPr>
          <w:color w:val="000000"/>
          <w:shd w:val="clear" w:color="auto" w:fill="FFFFFF"/>
        </w:rPr>
        <w:t xml:space="preserve"> </w:t>
      </w:r>
      <w:r w:rsidR="00101640">
        <w:rPr>
          <w:color w:val="000000"/>
          <w:shd w:val="clear" w:color="auto" w:fill="FFFFFF"/>
        </w:rPr>
        <w:t xml:space="preserve">set forth </w:t>
      </w:r>
      <w:r w:rsidR="00CC3A01">
        <w:rPr>
          <w:color w:val="000000"/>
          <w:shd w:val="clear" w:color="auto" w:fill="FFFFFF"/>
        </w:rPr>
        <w:t>in the CY 2023 PFS proposed rule.</w:t>
      </w:r>
    </w:p>
    <w:p w:rsidR="00861516" w:rsidP="00861516" w:rsidRDefault="00861516" w14:paraId="15EFFAF2" w14:textId="77777777">
      <w:pPr>
        <w:spacing w:after="0"/>
        <w:rPr>
          <w:b/>
          <w:bCs/>
        </w:rPr>
      </w:pPr>
    </w:p>
    <w:p w:rsidRPr="00B90263" w:rsidR="00B90263" w:rsidP="004227D4" w:rsidRDefault="00B90263" w14:paraId="2DBD4EC5" w14:textId="535FEC18">
      <w:pPr>
        <w:keepNext/>
        <w:keepLines/>
        <w:jc w:val="center"/>
        <w:rPr>
          <w:b/>
          <w:bCs/>
        </w:rPr>
      </w:pPr>
      <w:bookmarkStart w:name="_Hlk78872000" w:id="18"/>
      <w:r w:rsidRPr="00B90263">
        <w:rPr>
          <w:b/>
          <w:bCs/>
        </w:rPr>
        <w:t>T</w:t>
      </w:r>
      <w:r>
        <w:rPr>
          <w:b/>
          <w:bCs/>
        </w:rPr>
        <w:t>ABLE</w:t>
      </w:r>
      <w:r w:rsidRPr="00B90263">
        <w:rPr>
          <w:b/>
          <w:bCs/>
        </w:rPr>
        <w:t xml:space="preserve"> </w:t>
      </w:r>
      <w:r w:rsidR="00561D9D">
        <w:rPr>
          <w:b/>
          <w:bCs/>
        </w:rPr>
        <w:t>29</w:t>
      </w:r>
      <w:r w:rsidR="00681FC9">
        <w:rPr>
          <w:b/>
          <w:bCs/>
        </w:rPr>
        <w:t>:</w:t>
      </w:r>
      <w:r>
        <w:rPr>
          <w:b/>
          <w:bCs/>
        </w:rPr>
        <w:t xml:space="preserve"> Change in Burden</w:t>
      </w:r>
      <w:r w:rsidR="00C1361E">
        <w:rPr>
          <w:b/>
          <w:bCs/>
        </w:rPr>
        <w:t xml:space="preserve"> for </w:t>
      </w:r>
      <w:r w:rsidR="009B074F">
        <w:rPr>
          <w:b/>
          <w:bCs/>
        </w:rPr>
        <w:t xml:space="preserve">CY </w:t>
      </w:r>
      <w:r w:rsidR="00C1361E">
        <w:rPr>
          <w:b/>
          <w:bCs/>
        </w:rPr>
        <w:t>202</w:t>
      </w:r>
      <w:r w:rsidR="001C601D">
        <w:rPr>
          <w:b/>
          <w:bCs/>
        </w:rPr>
        <w:t>3</w:t>
      </w:r>
      <w:r w:rsidR="00C1361E">
        <w:rPr>
          <w:b/>
          <w:bCs/>
        </w:rPr>
        <w:t xml:space="preserve"> Performance Period</w:t>
      </w:r>
      <w:r w:rsidR="009B074F">
        <w:rPr>
          <w:b/>
          <w:bCs/>
        </w:rPr>
        <w:t>/202</w:t>
      </w:r>
      <w:r w:rsidR="00561D9D">
        <w:rPr>
          <w:b/>
          <w:bCs/>
        </w:rPr>
        <w:t>5</w:t>
      </w:r>
      <w:r w:rsidR="009B074F">
        <w:rPr>
          <w:b/>
          <w:bCs/>
        </w:rPr>
        <w:t xml:space="preserve"> MIPS Payment Year</w:t>
      </w:r>
    </w:p>
    <w:tbl>
      <w:tblPr>
        <w:tblStyle w:val="TableGrid"/>
        <w:tblW w:w="9985" w:type="dxa"/>
        <w:tblLayout w:type="fixed"/>
        <w:tblLook w:val="04A0" w:firstRow="1" w:lastRow="0" w:firstColumn="1" w:lastColumn="0" w:noHBand="0" w:noVBand="1"/>
      </w:tblPr>
      <w:tblGrid>
        <w:gridCol w:w="2238"/>
        <w:gridCol w:w="1627"/>
        <w:gridCol w:w="1440"/>
        <w:gridCol w:w="1530"/>
        <w:gridCol w:w="1620"/>
        <w:gridCol w:w="1530"/>
      </w:tblGrid>
      <w:tr w:rsidRPr="00852A6B" w:rsidR="001D765C" w:rsidTr="00D26368" w14:paraId="7A33F22A" w14:textId="77777777">
        <w:tc>
          <w:tcPr>
            <w:tcW w:w="2238" w:type="dxa"/>
          </w:tcPr>
          <w:p w:rsidRPr="00852A6B" w:rsidR="00B90263" w:rsidP="004227D4" w:rsidRDefault="00B90263" w14:paraId="77BEA862" w14:textId="41B8594F">
            <w:pPr>
              <w:keepNext/>
              <w:keepLines/>
              <w:rPr>
                <w:b/>
                <w:bCs/>
                <w:sz w:val="20"/>
                <w:szCs w:val="20"/>
              </w:rPr>
            </w:pPr>
            <w:r w:rsidRPr="00852A6B">
              <w:rPr>
                <w:b/>
                <w:bCs/>
                <w:sz w:val="20"/>
                <w:szCs w:val="20"/>
              </w:rPr>
              <w:t>Burden Type</w:t>
            </w:r>
          </w:p>
        </w:tc>
        <w:tc>
          <w:tcPr>
            <w:tcW w:w="1627" w:type="dxa"/>
          </w:tcPr>
          <w:p w:rsidRPr="00852A6B" w:rsidR="00B90263" w:rsidP="004227D4" w:rsidRDefault="00B90263" w14:paraId="684EBFBE" w14:textId="4D45FB63">
            <w:pPr>
              <w:keepNext/>
              <w:keepLines/>
              <w:rPr>
                <w:b/>
                <w:bCs/>
                <w:sz w:val="20"/>
                <w:szCs w:val="20"/>
              </w:rPr>
            </w:pPr>
            <w:r w:rsidRPr="00852A6B">
              <w:rPr>
                <w:b/>
                <w:bCs/>
                <w:sz w:val="20"/>
                <w:szCs w:val="20"/>
              </w:rPr>
              <w:t>Total Requested (A)</w:t>
            </w:r>
          </w:p>
        </w:tc>
        <w:tc>
          <w:tcPr>
            <w:tcW w:w="1440" w:type="dxa"/>
          </w:tcPr>
          <w:p w:rsidRPr="00852A6B" w:rsidR="00B90263" w:rsidP="004227D4" w:rsidRDefault="00B90263" w14:paraId="301EDDE0" w14:textId="6EB55F63">
            <w:pPr>
              <w:keepNext/>
              <w:keepLines/>
              <w:rPr>
                <w:b/>
                <w:bCs/>
                <w:sz w:val="20"/>
                <w:szCs w:val="20"/>
              </w:rPr>
            </w:pPr>
            <w:r w:rsidRPr="00852A6B">
              <w:rPr>
                <w:b/>
                <w:bCs/>
                <w:sz w:val="20"/>
                <w:szCs w:val="20"/>
              </w:rPr>
              <w:t>Change Due to New Statute (B)</w:t>
            </w:r>
          </w:p>
        </w:tc>
        <w:tc>
          <w:tcPr>
            <w:tcW w:w="1530" w:type="dxa"/>
          </w:tcPr>
          <w:p w:rsidRPr="00852A6B" w:rsidR="00B90263" w:rsidP="004227D4" w:rsidRDefault="00B90263" w14:paraId="2B32ABE6" w14:textId="0138327D">
            <w:pPr>
              <w:keepNext/>
              <w:keepLines/>
              <w:rPr>
                <w:b/>
                <w:bCs/>
                <w:sz w:val="20"/>
                <w:szCs w:val="20"/>
              </w:rPr>
            </w:pPr>
            <w:r w:rsidRPr="00852A6B">
              <w:rPr>
                <w:b/>
                <w:bCs/>
                <w:sz w:val="20"/>
                <w:szCs w:val="20"/>
              </w:rPr>
              <w:t xml:space="preserve">Change </w:t>
            </w:r>
            <w:r w:rsidRPr="00852A6B" w:rsidR="00A76AE1">
              <w:rPr>
                <w:b/>
                <w:bCs/>
                <w:sz w:val="20"/>
                <w:szCs w:val="20"/>
              </w:rPr>
              <w:t>Due</w:t>
            </w:r>
            <w:r w:rsidRPr="00852A6B">
              <w:rPr>
                <w:b/>
                <w:bCs/>
                <w:sz w:val="20"/>
                <w:szCs w:val="20"/>
              </w:rPr>
              <w:t xml:space="preserve"> to Program Discretion (C)</w:t>
            </w:r>
          </w:p>
        </w:tc>
        <w:tc>
          <w:tcPr>
            <w:tcW w:w="1620" w:type="dxa"/>
          </w:tcPr>
          <w:p w:rsidRPr="00852A6B" w:rsidR="00B90263" w:rsidP="004227D4" w:rsidRDefault="00B90263" w14:paraId="51F96202" w14:textId="192D6ABE">
            <w:pPr>
              <w:keepNext/>
              <w:keepLines/>
              <w:rPr>
                <w:b/>
                <w:bCs/>
                <w:sz w:val="20"/>
                <w:szCs w:val="20"/>
              </w:rPr>
            </w:pPr>
            <w:r w:rsidRPr="00852A6B">
              <w:rPr>
                <w:b/>
                <w:bCs/>
                <w:sz w:val="20"/>
                <w:szCs w:val="20"/>
              </w:rPr>
              <w:t>Change Due to Program Adjustment (D)</w:t>
            </w:r>
          </w:p>
        </w:tc>
        <w:tc>
          <w:tcPr>
            <w:tcW w:w="1530" w:type="dxa"/>
          </w:tcPr>
          <w:p w:rsidRPr="00852A6B" w:rsidR="00286250" w:rsidP="0013664B" w:rsidRDefault="00B90263" w14:paraId="6731BD31" w14:textId="2FA57D45">
            <w:pPr>
              <w:keepNext/>
              <w:keepLines/>
              <w:spacing w:after="200"/>
              <w:rPr>
                <w:b/>
                <w:bCs/>
                <w:sz w:val="20"/>
                <w:szCs w:val="20"/>
              </w:rPr>
            </w:pPr>
            <w:r w:rsidRPr="00852A6B">
              <w:rPr>
                <w:b/>
                <w:bCs/>
                <w:sz w:val="20"/>
                <w:szCs w:val="20"/>
              </w:rPr>
              <w:t>Total Currently Approved (E)</w:t>
            </w:r>
          </w:p>
        </w:tc>
      </w:tr>
      <w:tr w:rsidRPr="00852A6B" w:rsidR="001D765C" w:rsidTr="00D26368" w14:paraId="07E3D2B8" w14:textId="77777777">
        <w:tc>
          <w:tcPr>
            <w:tcW w:w="2238" w:type="dxa"/>
          </w:tcPr>
          <w:p w:rsidRPr="00852A6B" w:rsidR="00B90263" w:rsidP="004227D4" w:rsidRDefault="00B90263" w14:paraId="35DE2EA5" w14:textId="63C9A2A0">
            <w:pPr>
              <w:keepNext/>
              <w:keepLines/>
              <w:rPr>
                <w:sz w:val="20"/>
                <w:szCs w:val="20"/>
              </w:rPr>
            </w:pPr>
            <w:bookmarkStart w:name="_Hlk89430411" w:id="19"/>
            <w:r w:rsidRPr="00852A6B">
              <w:rPr>
                <w:sz w:val="20"/>
                <w:szCs w:val="20"/>
              </w:rPr>
              <w:t>Total Responses</w:t>
            </w:r>
          </w:p>
        </w:tc>
        <w:tc>
          <w:tcPr>
            <w:tcW w:w="1627" w:type="dxa"/>
          </w:tcPr>
          <w:p w:rsidRPr="00852A6B" w:rsidR="00B90263" w:rsidP="002D0233" w:rsidRDefault="00B87FB4" w14:paraId="27B02D4F" w14:textId="310B3A9D">
            <w:pPr>
              <w:keepNext/>
              <w:keepLines/>
              <w:rPr>
                <w:sz w:val="20"/>
                <w:szCs w:val="20"/>
              </w:rPr>
            </w:pPr>
            <w:r w:rsidRPr="00852A6B">
              <w:rPr>
                <w:sz w:val="20"/>
                <w:szCs w:val="20"/>
              </w:rPr>
              <w:t>344,023</w:t>
            </w:r>
          </w:p>
        </w:tc>
        <w:tc>
          <w:tcPr>
            <w:tcW w:w="1440" w:type="dxa"/>
          </w:tcPr>
          <w:p w:rsidRPr="00852A6B" w:rsidR="00B90263" w:rsidP="004227D4" w:rsidRDefault="00180863" w14:paraId="2CC70079" w14:textId="6D6629C5">
            <w:pPr>
              <w:keepNext/>
              <w:keepLines/>
              <w:rPr>
                <w:sz w:val="20"/>
                <w:szCs w:val="20"/>
              </w:rPr>
            </w:pPr>
            <w:r w:rsidRPr="00852A6B">
              <w:rPr>
                <w:sz w:val="20"/>
                <w:szCs w:val="20"/>
              </w:rPr>
              <w:t xml:space="preserve">      +2,034</w:t>
            </w:r>
          </w:p>
        </w:tc>
        <w:tc>
          <w:tcPr>
            <w:tcW w:w="1530" w:type="dxa"/>
          </w:tcPr>
          <w:p w:rsidRPr="00852A6B" w:rsidR="00B90263" w:rsidP="004227D4" w:rsidRDefault="00EE5AE5" w14:paraId="6969F473" w14:textId="6D815656">
            <w:pPr>
              <w:keepNext/>
              <w:keepLines/>
              <w:rPr>
                <w:sz w:val="20"/>
                <w:szCs w:val="20"/>
              </w:rPr>
            </w:pPr>
            <w:r w:rsidRPr="00852A6B">
              <w:rPr>
                <w:sz w:val="20"/>
                <w:szCs w:val="20"/>
              </w:rPr>
              <w:t xml:space="preserve">    0</w:t>
            </w:r>
          </w:p>
        </w:tc>
        <w:tc>
          <w:tcPr>
            <w:tcW w:w="1620" w:type="dxa"/>
          </w:tcPr>
          <w:p w:rsidRPr="00852A6B" w:rsidR="00B90263" w:rsidP="004227D4" w:rsidRDefault="00694844" w14:paraId="20D3DF75" w14:textId="30408BA0">
            <w:pPr>
              <w:keepNext/>
              <w:keepLines/>
              <w:rPr>
                <w:sz w:val="20"/>
                <w:szCs w:val="20"/>
              </w:rPr>
            </w:pPr>
            <w:r w:rsidRPr="00852A6B">
              <w:rPr>
                <w:sz w:val="20"/>
                <w:szCs w:val="20"/>
              </w:rPr>
              <w:t xml:space="preserve">    +19,019</w:t>
            </w:r>
          </w:p>
        </w:tc>
        <w:tc>
          <w:tcPr>
            <w:tcW w:w="1530" w:type="dxa"/>
          </w:tcPr>
          <w:p w:rsidRPr="00852A6B" w:rsidR="00B90263" w:rsidP="004227D4" w:rsidRDefault="002F0227" w14:paraId="7B3052C2" w14:textId="2A4DE0A4">
            <w:pPr>
              <w:keepNext/>
              <w:keepLines/>
              <w:rPr>
                <w:sz w:val="20"/>
                <w:szCs w:val="20"/>
              </w:rPr>
            </w:pPr>
            <w:bookmarkStart w:name="_Hlk89430606" w:id="20"/>
            <w:r w:rsidRPr="00852A6B">
              <w:rPr>
                <w:sz w:val="20"/>
                <w:szCs w:val="20"/>
              </w:rPr>
              <w:t>32</w:t>
            </w:r>
            <w:r w:rsidRPr="00852A6B" w:rsidR="0012607A">
              <w:rPr>
                <w:sz w:val="20"/>
                <w:szCs w:val="20"/>
              </w:rPr>
              <w:t>2,970</w:t>
            </w:r>
            <w:bookmarkEnd w:id="20"/>
          </w:p>
        </w:tc>
      </w:tr>
      <w:tr w:rsidRPr="00852A6B" w:rsidR="001D765C" w:rsidTr="00D26368" w14:paraId="3B309FA6" w14:textId="77777777">
        <w:tc>
          <w:tcPr>
            <w:tcW w:w="2238" w:type="dxa"/>
          </w:tcPr>
          <w:p w:rsidRPr="00852A6B" w:rsidR="00B90263" w:rsidP="004227D4" w:rsidRDefault="00B90263" w14:paraId="4A17823C" w14:textId="13D96C48">
            <w:pPr>
              <w:keepNext/>
              <w:keepLines/>
              <w:rPr>
                <w:sz w:val="20"/>
                <w:szCs w:val="20"/>
              </w:rPr>
            </w:pPr>
            <w:bookmarkStart w:name="_Hlk89430488" w:id="21"/>
            <w:bookmarkEnd w:id="19"/>
            <w:r w:rsidRPr="00852A6B">
              <w:rPr>
                <w:sz w:val="20"/>
                <w:szCs w:val="20"/>
              </w:rPr>
              <w:t>Total Time (</w:t>
            </w:r>
            <w:proofErr w:type="spellStart"/>
            <w:r w:rsidRPr="00852A6B">
              <w:rPr>
                <w:sz w:val="20"/>
                <w:szCs w:val="20"/>
              </w:rPr>
              <w:t>hr</w:t>
            </w:r>
            <w:proofErr w:type="spellEnd"/>
            <w:r w:rsidRPr="00852A6B">
              <w:rPr>
                <w:sz w:val="20"/>
                <w:szCs w:val="20"/>
              </w:rPr>
              <w:t>)</w:t>
            </w:r>
          </w:p>
        </w:tc>
        <w:tc>
          <w:tcPr>
            <w:tcW w:w="1627" w:type="dxa"/>
          </w:tcPr>
          <w:p w:rsidRPr="00852A6B" w:rsidR="00B90263" w:rsidP="002D0233" w:rsidRDefault="00B87FB4" w14:paraId="02EC03C7" w14:textId="216A3585">
            <w:pPr>
              <w:keepNext/>
              <w:keepLines/>
              <w:rPr>
                <w:sz w:val="20"/>
                <w:szCs w:val="20"/>
              </w:rPr>
            </w:pPr>
            <w:r w:rsidRPr="00852A6B">
              <w:rPr>
                <w:sz w:val="20"/>
                <w:szCs w:val="20"/>
              </w:rPr>
              <w:t>1,469,2</w:t>
            </w:r>
            <w:r w:rsidRPr="00852A6B" w:rsidR="00C268DB">
              <w:rPr>
                <w:sz w:val="20"/>
                <w:szCs w:val="20"/>
              </w:rPr>
              <w:t>34</w:t>
            </w:r>
          </w:p>
        </w:tc>
        <w:tc>
          <w:tcPr>
            <w:tcW w:w="1440" w:type="dxa"/>
          </w:tcPr>
          <w:p w:rsidRPr="00852A6B" w:rsidR="00B90263" w:rsidP="004227D4" w:rsidRDefault="006E12E4" w14:paraId="3359A3D0" w14:textId="52B4BEB8">
            <w:pPr>
              <w:keepNext/>
              <w:keepLines/>
              <w:rPr>
                <w:sz w:val="20"/>
                <w:szCs w:val="20"/>
              </w:rPr>
            </w:pPr>
            <w:r w:rsidRPr="00852A6B">
              <w:rPr>
                <w:sz w:val="20"/>
                <w:szCs w:val="20"/>
              </w:rPr>
              <w:t xml:space="preserve">     </w:t>
            </w:r>
            <w:r w:rsidRPr="00852A6B" w:rsidR="00000014">
              <w:rPr>
                <w:sz w:val="20"/>
                <w:szCs w:val="20"/>
              </w:rPr>
              <w:t>-</w:t>
            </w:r>
            <w:r w:rsidRPr="00852A6B">
              <w:rPr>
                <w:sz w:val="20"/>
                <w:szCs w:val="20"/>
              </w:rPr>
              <w:t>11,039</w:t>
            </w:r>
          </w:p>
        </w:tc>
        <w:tc>
          <w:tcPr>
            <w:tcW w:w="1530" w:type="dxa"/>
          </w:tcPr>
          <w:p w:rsidRPr="00852A6B" w:rsidR="00B90263" w:rsidP="004227D4" w:rsidRDefault="00EE5AE5" w14:paraId="10EE3716" w14:textId="30A342AD">
            <w:pPr>
              <w:keepNext/>
              <w:keepLines/>
              <w:rPr>
                <w:sz w:val="20"/>
                <w:szCs w:val="20"/>
              </w:rPr>
            </w:pPr>
            <w:r w:rsidRPr="00852A6B">
              <w:rPr>
                <w:sz w:val="20"/>
                <w:szCs w:val="20"/>
              </w:rPr>
              <w:t xml:space="preserve">    0</w:t>
            </w:r>
          </w:p>
        </w:tc>
        <w:tc>
          <w:tcPr>
            <w:tcW w:w="1620" w:type="dxa"/>
          </w:tcPr>
          <w:p w:rsidRPr="00852A6B" w:rsidR="00B90263" w:rsidP="004227D4" w:rsidRDefault="006E12E4" w14:paraId="1DC40D47" w14:textId="189AEE1C">
            <w:pPr>
              <w:keepNext/>
              <w:keepLines/>
              <w:rPr>
                <w:sz w:val="20"/>
                <w:szCs w:val="20"/>
              </w:rPr>
            </w:pPr>
            <w:r w:rsidRPr="00852A6B">
              <w:rPr>
                <w:sz w:val="20"/>
                <w:szCs w:val="20"/>
              </w:rPr>
              <w:t xml:space="preserve">   +90,254</w:t>
            </w:r>
          </w:p>
        </w:tc>
        <w:tc>
          <w:tcPr>
            <w:tcW w:w="1530" w:type="dxa"/>
          </w:tcPr>
          <w:p w:rsidRPr="00852A6B" w:rsidR="00B90263" w:rsidP="00C02594" w:rsidRDefault="00134BC8" w14:paraId="053E1ECF" w14:textId="0AAD5DC0">
            <w:pPr>
              <w:keepNext/>
              <w:keepLines/>
              <w:rPr>
                <w:sz w:val="20"/>
                <w:szCs w:val="20"/>
              </w:rPr>
            </w:pPr>
            <w:bookmarkStart w:name="_Hlk89430659" w:id="22"/>
            <w:r w:rsidRPr="00852A6B">
              <w:rPr>
                <w:sz w:val="20"/>
                <w:szCs w:val="20"/>
              </w:rPr>
              <w:t>1,</w:t>
            </w:r>
            <w:r w:rsidRPr="00852A6B" w:rsidR="0012607A">
              <w:rPr>
                <w:sz w:val="20"/>
                <w:szCs w:val="20"/>
              </w:rPr>
              <w:t>390,019</w:t>
            </w:r>
            <w:bookmarkEnd w:id="22"/>
          </w:p>
        </w:tc>
      </w:tr>
      <w:bookmarkEnd w:id="21"/>
      <w:tr w:rsidRPr="00D66128" w:rsidR="001D765C" w:rsidTr="00D26368" w14:paraId="11305C9A" w14:textId="77777777">
        <w:tc>
          <w:tcPr>
            <w:tcW w:w="2238" w:type="dxa"/>
          </w:tcPr>
          <w:p w:rsidRPr="00852A6B" w:rsidR="00B90263" w:rsidP="004227D4" w:rsidRDefault="00B90263" w14:paraId="536982D6" w14:textId="64BE9D02">
            <w:pPr>
              <w:keepNext/>
              <w:keepLines/>
              <w:rPr>
                <w:sz w:val="20"/>
                <w:szCs w:val="20"/>
              </w:rPr>
            </w:pPr>
            <w:r w:rsidRPr="00852A6B">
              <w:rPr>
                <w:sz w:val="20"/>
                <w:szCs w:val="20"/>
              </w:rPr>
              <w:t>Total Cost ($)</w:t>
            </w:r>
          </w:p>
        </w:tc>
        <w:tc>
          <w:tcPr>
            <w:tcW w:w="1627" w:type="dxa"/>
          </w:tcPr>
          <w:p w:rsidRPr="00852A6B" w:rsidR="00B90263" w:rsidP="002D0233" w:rsidRDefault="00B87FB4" w14:paraId="11CD3C4A" w14:textId="0B477A1C">
            <w:pPr>
              <w:keepNext/>
              <w:keepLines/>
              <w:rPr>
                <w:sz w:val="20"/>
                <w:szCs w:val="20"/>
              </w:rPr>
            </w:pPr>
            <w:r w:rsidRPr="00852A6B">
              <w:rPr>
                <w:sz w:val="20"/>
                <w:szCs w:val="20"/>
              </w:rPr>
              <w:t>156,792,565</w:t>
            </w:r>
          </w:p>
        </w:tc>
        <w:tc>
          <w:tcPr>
            <w:tcW w:w="1440" w:type="dxa"/>
          </w:tcPr>
          <w:p w:rsidRPr="00852A6B" w:rsidR="00B90263" w:rsidP="004227D4" w:rsidRDefault="00DC5B25" w14:paraId="098E8F9E" w14:textId="223110CD">
            <w:pPr>
              <w:keepNext/>
              <w:keepLines/>
              <w:rPr>
                <w:sz w:val="20"/>
                <w:szCs w:val="20"/>
              </w:rPr>
            </w:pPr>
            <w:r w:rsidRPr="00852A6B">
              <w:rPr>
                <w:sz w:val="20"/>
                <w:szCs w:val="20"/>
              </w:rPr>
              <w:t xml:space="preserve">   -1,213,933</w:t>
            </w:r>
          </w:p>
        </w:tc>
        <w:tc>
          <w:tcPr>
            <w:tcW w:w="1530" w:type="dxa"/>
          </w:tcPr>
          <w:p w:rsidRPr="00852A6B" w:rsidR="00B90263" w:rsidP="004227D4" w:rsidRDefault="00EE5AE5" w14:paraId="3D2864BC" w14:textId="036955A3">
            <w:pPr>
              <w:keepNext/>
              <w:keepLines/>
              <w:rPr>
                <w:sz w:val="20"/>
                <w:szCs w:val="20"/>
              </w:rPr>
            </w:pPr>
            <w:r w:rsidRPr="00852A6B">
              <w:rPr>
                <w:sz w:val="20"/>
                <w:szCs w:val="20"/>
              </w:rPr>
              <w:t xml:space="preserve">    0</w:t>
            </w:r>
          </w:p>
        </w:tc>
        <w:tc>
          <w:tcPr>
            <w:tcW w:w="1620" w:type="dxa"/>
          </w:tcPr>
          <w:p w:rsidRPr="00852A6B" w:rsidR="00B90263" w:rsidP="004227D4" w:rsidRDefault="00DC5B25" w14:paraId="51AD4CF3" w14:textId="5E5FB57A">
            <w:pPr>
              <w:keepNext/>
              <w:keepLines/>
              <w:rPr>
                <w:sz w:val="20"/>
                <w:szCs w:val="20"/>
              </w:rPr>
            </w:pPr>
            <w:r w:rsidRPr="00852A6B">
              <w:rPr>
                <w:sz w:val="20"/>
                <w:szCs w:val="20"/>
              </w:rPr>
              <w:t xml:space="preserve"> </w:t>
            </w:r>
            <w:r w:rsidRPr="00852A6B" w:rsidR="00254CB8">
              <w:rPr>
                <w:sz w:val="20"/>
                <w:szCs w:val="20"/>
              </w:rPr>
              <w:t>+9</w:t>
            </w:r>
            <w:r w:rsidRPr="00852A6B">
              <w:rPr>
                <w:sz w:val="20"/>
                <w:szCs w:val="20"/>
              </w:rPr>
              <w:t>,625,784</w:t>
            </w:r>
          </w:p>
        </w:tc>
        <w:tc>
          <w:tcPr>
            <w:tcW w:w="1530" w:type="dxa"/>
          </w:tcPr>
          <w:p w:rsidRPr="00D66128" w:rsidR="00B90263" w:rsidP="004227D4" w:rsidRDefault="003E4A59" w14:paraId="006DD927" w14:textId="3A9A6600">
            <w:pPr>
              <w:keepNext/>
              <w:keepLines/>
              <w:rPr>
                <w:sz w:val="20"/>
                <w:szCs w:val="20"/>
              </w:rPr>
            </w:pPr>
            <w:r w:rsidRPr="00852A6B">
              <w:rPr>
                <w:sz w:val="20"/>
                <w:szCs w:val="20"/>
              </w:rPr>
              <w:t>148,380,714</w:t>
            </w:r>
          </w:p>
        </w:tc>
      </w:tr>
    </w:tbl>
    <w:bookmarkEnd w:id="18"/>
    <w:p w:rsidRPr="00D66128" w:rsidR="00B90263" w:rsidP="00471B0F" w:rsidRDefault="00471B0F" w14:paraId="358B8E30" w14:textId="4B74EBE5">
      <w:pPr>
        <w:spacing w:after="0"/>
        <w:rPr>
          <w:bCs/>
          <w:sz w:val="18"/>
          <w:szCs w:val="18"/>
        </w:rPr>
      </w:pPr>
      <w:r w:rsidRPr="00D66128">
        <w:rPr>
          <w:bCs/>
          <w:sz w:val="18"/>
          <w:szCs w:val="18"/>
        </w:rPr>
        <w:t>*</w:t>
      </w:r>
      <w:r w:rsidR="00362BE5">
        <w:rPr>
          <w:bCs/>
          <w:sz w:val="18"/>
          <w:szCs w:val="18"/>
        </w:rPr>
        <w:t>+2,034</w:t>
      </w:r>
      <w:r w:rsidRPr="00D66128">
        <w:rPr>
          <w:bCs/>
          <w:sz w:val="18"/>
          <w:szCs w:val="18"/>
        </w:rPr>
        <w:t xml:space="preserve"> </w:t>
      </w:r>
      <w:r w:rsidRPr="00D66128" w:rsidR="0037244A">
        <w:rPr>
          <w:bCs/>
          <w:sz w:val="18"/>
          <w:szCs w:val="18"/>
        </w:rPr>
        <w:t xml:space="preserve">responses </w:t>
      </w:r>
      <w:r w:rsidRPr="00D66128">
        <w:rPr>
          <w:bCs/>
          <w:sz w:val="18"/>
          <w:szCs w:val="18"/>
        </w:rPr>
        <w:t xml:space="preserve">= </w:t>
      </w:r>
      <w:r w:rsidR="008672F0">
        <w:rPr>
          <w:bCs/>
          <w:sz w:val="18"/>
          <w:szCs w:val="18"/>
        </w:rPr>
        <w:t>-614</w:t>
      </w:r>
      <w:r w:rsidR="008A3F10">
        <w:rPr>
          <w:bCs/>
          <w:sz w:val="18"/>
          <w:szCs w:val="18"/>
        </w:rPr>
        <w:t xml:space="preserve"> (</w:t>
      </w:r>
      <w:r w:rsidR="0053248F">
        <w:rPr>
          <w:bCs/>
          <w:sz w:val="18"/>
          <w:szCs w:val="18"/>
        </w:rPr>
        <w:t>Table</w:t>
      </w:r>
      <w:r w:rsidR="00617884">
        <w:rPr>
          <w:bCs/>
          <w:sz w:val="18"/>
          <w:szCs w:val="18"/>
        </w:rPr>
        <w:t xml:space="preserve"> 3</w:t>
      </w:r>
      <w:r w:rsidR="004528FD">
        <w:rPr>
          <w:bCs/>
          <w:sz w:val="18"/>
          <w:szCs w:val="18"/>
        </w:rPr>
        <w:t>0F</w:t>
      </w:r>
      <w:r w:rsidR="008A3F10">
        <w:rPr>
          <w:bCs/>
          <w:sz w:val="18"/>
          <w:szCs w:val="18"/>
        </w:rPr>
        <w:t>)</w:t>
      </w:r>
      <w:r w:rsidRPr="00D66128">
        <w:rPr>
          <w:bCs/>
          <w:sz w:val="18"/>
          <w:szCs w:val="18"/>
        </w:rPr>
        <w:t xml:space="preserve"> </w:t>
      </w:r>
      <w:r w:rsidR="008672F0">
        <w:rPr>
          <w:bCs/>
          <w:sz w:val="18"/>
          <w:szCs w:val="18"/>
        </w:rPr>
        <w:t>-1,082</w:t>
      </w:r>
      <w:r w:rsidR="00417C4E">
        <w:rPr>
          <w:bCs/>
          <w:sz w:val="18"/>
          <w:szCs w:val="18"/>
        </w:rPr>
        <w:t xml:space="preserve"> </w:t>
      </w:r>
      <w:r w:rsidR="00C741C0">
        <w:rPr>
          <w:bCs/>
          <w:sz w:val="18"/>
          <w:szCs w:val="18"/>
        </w:rPr>
        <w:t>(Table 3</w:t>
      </w:r>
      <w:r w:rsidR="004528FD">
        <w:rPr>
          <w:bCs/>
          <w:sz w:val="18"/>
          <w:szCs w:val="18"/>
        </w:rPr>
        <w:t>0G</w:t>
      </w:r>
      <w:r w:rsidR="00C741C0">
        <w:rPr>
          <w:bCs/>
          <w:sz w:val="18"/>
          <w:szCs w:val="18"/>
        </w:rPr>
        <w:t xml:space="preserve">) - </w:t>
      </w:r>
      <w:r w:rsidR="008672F0">
        <w:rPr>
          <w:bCs/>
          <w:sz w:val="18"/>
          <w:szCs w:val="18"/>
        </w:rPr>
        <w:t>1,040</w:t>
      </w:r>
      <w:r w:rsidR="00E6240D">
        <w:rPr>
          <w:bCs/>
          <w:sz w:val="18"/>
          <w:szCs w:val="18"/>
        </w:rPr>
        <w:t xml:space="preserve"> </w:t>
      </w:r>
      <w:r w:rsidR="00777DFB">
        <w:rPr>
          <w:bCs/>
          <w:sz w:val="18"/>
          <w:szCs w:val="18"/>
        </w:rPr>
        <w:t>(</w:t>
      </w:r>
      <w:r w:rsidR="00A46B05">
        <w:rPr>
          <w:bCs/>
          <w:sz w:val="18"/>
          <w:szCs w:val="18"/>
        </w:rPr>
        <w:t xml:space="preserve">Table </w:t>
      </w:r>
      <w:r w:rsidR="008D2441">
        <w:rPr>
          <w:bCs/>
          <w:sz w:val="18"/>
          <w:szCs w:val="18"/>
        </w:rPr>
        <w:t>3</w:t>
      </w:r>
      <w:r w:rsidR="004528FD">
        <w:rPr>
          <w:bCs/>
          <w:sz w:val="18"/>
          <w:szCs w:val="18"/>
        </w:rPr>
        <w:t>0H</w:t>
      </w:r>
      <w:r w:rsidR="00777DFB">
        <w:rPr>
          <w:bCs/>
          <w:sz w:val="18"/>
          <w:szCs w:val="18"/>
        </w:rPr>
        <w:t>)</w:t>
      </w:r>
      <w:r w:rsidR="0005321D">
        <w:rPr>
          <w:bCs/>
          <w:sz w:val="18"/>
          <w:szCs w:val="18"/>
        </w:rPr>
        <w:t xml:space="preserve"> </w:t>
      </w:r>
      <w:r w:rsidR="001470F8">
        <w:rPr>
          <w:bCs/>
          <w:sz w:val="18"/>
          <w:szCs w:val="18"/>
        </w:rPr>
        <w:t>+2,736</w:t>
      </w:r>
      <w:r w:rsidR="00777DFB">
        <w:rPr>
          <w:bCs/>
          <w:sz w:val="18"/>
          <w:szCs w:val="18"/>
        </w:rPr>
        <w:t xml:space="preserve"> (</w:t>
      </w:r>
      <w:r w:rsidR="00A46B05">
        <w:rPr>
          <w:bCs/>
          <w:sz w:val="18"/>
          <w:szCs w:val="18"/>
        </w:rPr>
        <w:t xml:space="preserve">Table </w:t>
      </w:r>
      <w:r w:rsidR="008D2441">
        <w:rPr>
          <w:bCs/>
          <w:sz w:val="18"/>
          <w:szCs w:val="18"/>
        </w:rPr>
        <w:t>3</w:t>
      </w:r>
      <w:r w:rsidR="0004783F">
        <w:rPr>
          <w:bCs/>
          <w:sz w:val="18"/>
          <w:szCs w:val="18"/>
        </w:rPr>
        <w:t>0I</w:t>
      </w:r>
      <w:r w:rsidR="00777DFB">
        <w:rPr>
          <w:bCs/>
          <w:sz w:val="18"/>
          <w:szCs w:val="18"/>
        </w:rPr>
        <w:t>) +</w:t>
      </w:r>
      <w:r w:rsidR="005406EC">
        <w:rPr>
          <w:bCs/>
          <w:sz w:val="18"/>
          <w:szCs w:val="18"/>
        </w:rPr>
        <w:t xml:space="preserve"> </w:t>
      </w:r>
      <w:r w:rsidR="00D12079">
        <w:rPr>
          <w:bCs/>
          <w:sz w:val="18"/>
          <w:szCs w:val="18"/>
        </w:rPr>
        <w:t>2,034</w:t>
      </w:r>
      <w:r w:rsidR="003D44D2">
        <w:rPr>
          <w:bCs/>
          <w:sz w:val="18"/>
          <w:szCs w:val="18"/>
        </w:rPr>
        <w:t xml:space="preserve"> (Table </w:t>
      </w:r>
      <w:r w:rsidR="0004783F">
        <w:rPr>
          <w:bCs/>
          <w:sz w:val="18"/>
          <w:szCs w:val="18"/>
        </w:rPr>
        <w:t>30K</w:t>
      </w:r>
      <w:r w:rsidR="003D44D2">
        <w:rPr>
          <w:bCs/>
          <w:sz w:val="18"/>
          <w:szCs w:val="18"/>
        </w:rPr>
        <w:t>)</w:t>
      </w:r>
      <w:r w:rsidR="005406EC">
        <w:rPr>
          <w:bCs/>
          <w:sz w:val="18"/>
          <w:szCs w:val="18"/>
        </w:rPr>
        <w:t xml:space="preserve"> </w:t>
      </w:r>
    </w:p>
    <w:p w:rsidR="00024F4A" w:rsidP="00E12B53" w:rsidRDefault="00471B0F" w14:paraId="37A2042F" w14:textId="4A275342">
      <w:pPr>
        <w:rPr>
          <w:b/>
          <w:bCs/>
        </w:rPr>
      </w:pPr>
      <w:r w:rsidRPr="00D66128">
        <w:rPr>
          <w:bCs/>
          <w:sz w:val="18"/>
          <w:szCs w:val="18"/>
        </w:rPr>
        <w:t>**</w:t>
      </w:r>
      <w:r w:rsidR="007856AD">
        <w:rPr>
          <w:bCs/>
          <w:sz w:val="18"/>
          <w:szCs w:val="18"/>
        </w:rPr>
        <w:t>-11,039</w:t>
      </w:r>
      <w:r w:rsidR="00C1021C">
        <w:rPr>
          <w:bCs/>
          <w:sz w:val="18"/>
          <w:szCs w:val="18"/>
        </w:rPr>
        <w:t xml:space="preserve"> </w:t>
      </w:r>
      <w:r w:rsidRPr="00D66128" w:rsidR="0037244A">
        <w:rPr>
          <w:bCs/>
          <w:sz w:val="18"/>
          <w:szCs w:val="18"/>
        </w:rPr>
        <w:t xml:space="preserve">hours </w:t>
      </w:r>
      <w:r w:rsidRPr="00D66128">
        <w:rPr>
          <w:bCs/>
          <w:sz w:val="18"/>
          <w:szCs w:val="18"/>
        </w:rPr>
        <w:t xml:space="preserve">= </w:t>
      </w:r>
      <w:bookmarkStart w:name="_Hlk76639335" w:id="23"/>
      <w:r w:rsidR="0090121B">
        <w:rPr>
          <w:bCs/>
          <w:sz w:val="18"/>
          <w:szCs w:val="18"/>
        </w:rPr>
        <w:t>-8,719</w:t>
      </w:r>
      <w:r w:rsidRPr="00E06A9A" w:rsidR="00E06A9A">
        <w:rPr>
          <w:bCs/>
          <w:sz w:val="18"/>
          <w:szCs w:val="18"/>
        </w:rPr>
        <w:t xml:space="preserve"> (Table 3</w:t>
      </w:r>
      <w:r w:rsidR="00BD65B2">
        <w:rPr>
          <w:bCs/>
          <w:sz w:val="18"/>
          <w:szCs w:val="18"/>
        </w:rPr>
        <w:t>0F</w:t>
      </w:r>
      <w:r w:rsidRPr="00E06A9A" w:rsidR="00E06A9A">
        <w:rPr>
          <w:bCs/>
          <w:sz w:val="18"/>
          <w:szCs w:val="18"/>
        </w:rPr>
        <w:t xml:space="preserve">) </w:t>
      </w:r>
      <w:r w:rsidR="0090121B">
        <w:rPr>
          <w:bCs/>
          <w:sz w:val="18"/>
          <w:szCs w:val="18"/>
        </w:rPr>
        <w:t>-9,828</w:t>
      </w:r>
      <w:r w:rsidR="00C1021C">
        <w:rPr>
          <w:bCs/>
          <w:sz w:val="18"/>
          <w:szCs w:val="18"/>
        </w:rPr>
        <w:t xml:space="preserve"> </w:t>
      </w:r>
      <w:r w:rsidRPr="00E06A9A" w:rsidR="00E06A9A">
        <w:rPr>
          <w:bCs/>
          <w:sz w:val="18"/>
          <w:szCs w:val="18"/>
        </w:rPr>
        <w:t>(Table 3</w:t>
      </w:r>
      <w:r w:rsidR="00BD65B2">
        <w:rPr>
          <w:bCs/>
          <w:sz w:val="18"/>
          <w:szCs w:val="18"/>
        </w:rPr>
        <w:t>0G</w:t>
      </w:r>
      <w:r w:rsidRPr="00E06A9A" w:rsidR="00E06A9A">
        <w:rPr>
          <w:bCs/>
          <w:sz w:val="18"/>
          <w:szCs w:val="18"/>
        </w:rPr>
        <w:t xml:space="preserve">) </w:t>
      </w:r>
      <w:r w:rsidR="00AB2B44">
        <w:rPr>
          <w:bCs/>
          <w:sz w:val="18"/>
          <w:szCs w:val="18"/>
        </w:rPr>
        <w:t>–</w:t>
      </w:r>
      <w:r w:rsidR="001F6A96">
        <w:rPr>
          <w:bCs/>
          <w:sz w:val="18"/>
          <w:szCs w:val="18"/>
        </w:rPr>
        <w:t xml:space="preserve"> </w:t>
      </w:r>
      <w:r w:rsidR="00AB2B44">
        <w:rPr>
          <w:bCs/>
          <w:sz w:val="18"/>
          <w:szCs w:val="18"/>
        </w:rPr>
        <w:t>8,320</w:t>
      </w:r>
      <w:r w:rsidRPr="00E06A9A" w:rsidR="00E06A9A">
        <w:rPr>
          <w:bCs/>
          <w:sz w:val="18"/>
          <w:szCs w:val="18"/>
        </w:rPr>
        <w:t xml:space="preserve"> (Table 3</w:t>
      </w:r>
      <w:r w:rsidR="00BD65B2">
        <w:rPr>
          <w:bCs/>
          <w:sz w:val="18"/>
          <w:szCs w:val="18"/>
        </w:rPr>
        <w:t>0H</w:t>
      </w:r>
      <w:r w:rsidRPr="00E06A9A" w:rsidR="00E06A9A">
        <w:rPr>
          <w:bCs/>
          <w:sz w:val="18"/>
          <w:szCs w:val="18"/>
        </w:rPr>
        <w:t xml:space="preserve">) + </w:t>
      </w:r>
      <w:r w:rsidR="00807CCB">
        <w:rPr>
          <w:bCs/>
          <w:sz w:val="18"/>
          <w:szCs w:val="18"/>
        </w:rPr>
        <w:t>684</w:t>
      </w:r>
      <w:r w:rsidRPr="00E06A9A" w:rsidR="00E06A9A">
        <w:rPr>
          <w:bCs/>
          <w:sz w:val="18"/>
          <w:szCs w:val="18"/>
        </w:rPr>
        <w:t xml:space="preserve"> (Table 3</w:t>
      </w:r>
      <w:r w:rsidR="00CE60C1">
        <w:rPr>
          <w:bCs/>
          <w:sz w:val="18"/>
          <w:szCs w:val="18"/>
        </w:rPr>
        <w:t>0I</w:t>
      </w:r>
      <w:r w:rsidRPr="00E06A9A" w:rsidR="00E06A9A">
        <w:rPr>
          <w:bCs/>
          <w:sz w:val="18"/>
          <w:szCs w:val="18"/>
        </w:rPr>
        <w:t>) +</w:t>
      </w:r>
      <w:r w:rsidR="00FA220A">
        <w:rPr>
          <w:bCs/>
          <w:sz w:val="18"/>
          <w:szCs w:val="18"/>
        </w:rPr>
        <w:t xml:space="preserve"> </w:t>
      </w:r>
      <w:r w:rsidR="00402F1E">
        <w:rPr>
          <w:bCs/>
          <w:sz w:val="18"/>
          <w:szCs w:val="18"/>
        </w:rPr>
        <w:t>14,048</w:t>
      </w:r>
      <w:r w:rsidRPr="00E06A9A" w:rsidR="00E06A9A">
        <w:rPr>
          <w:bCs/>
          <w:sz w:val="18"/>
          <w:szCs w:val="18"/>
        </w:rPr>
        <w:t xml:space="preserve"> (Table 3</w:t>
      </w:r>
      <w:r w:rsidR="00CE60C1">
        <w:rPr>
          <w:bCs/>
          <w:sz w:val="18"/>
          <w:szCs w:val="18"/>
        </w:rPr>
        <w:t>0K</w:t>
      </w:r>
      <w:r w:rsidRPr="00E06A9A" w:rsidR="00E06A9A">
        <w:rPr>
          <w:bCs/>
          <w:sz w:val="18"/>
          <w:szCs w:val="18"/>
        </w:rPr>
        <w:t xml:space="preserve">) </w:t>
      </w:r>
      <w:bookmarkEnd w:id="23"/>
      <w:r w:rsidR="00CE60C1">
        <w:rPr>
          <w:bCs/>
          <w:sz w:val="18"/>
          <w:szCs w:val="18"/>
        </w:rPr>
        <w:t>+ 1,096 (Table 30</w:t>
      </w:r>
      <w:r w:rsidR="004E01A9">
        <w:rPr>
          <w:bCs/>
          <w:sz w:val="18"/>
          <w:szCs w:val="18"/>
        </w:rPr>
        <w:t>N</w:t>
      </w:r>
      <w:r w:rsidR="00CE60C1">
        <w:rPr>
          <w:bCs/>
          <w:sz w:val="18"/>
          <w:szCs w:val="18"/>
        </w:rPr>
        <w:t>)</w:t>
      </w:r>
    </w:p>
    <w:p w:rsidR="00FD5B7C" w:rsidP="00E53E05" w:rsidRDefault="00542E46" w14:paraId="1CF5DAAB" w14:textId="43B13B27">
      <w:pPr>
        <w:spacing w:after="0"/>
        <w:rPr>
          <w:rFonts w:eastAsia="Calibri"/>
        </w:rPr>
      </w:pPr>
      <w:r>
        <w:rPr>
          <w:rFonts w:eastAsia="Calibri"/>
        </w:rPr>
        <w:t xml:space="preserve">As shown above in table </w:t>
      </w:r>
      <w:r w:rsidR="004E6928">
        <w:rPr>
          <w:rFonts w:eastAsia="Calibri"/>
        </w:rPr>
        <w:t>29</w:t>
      </w:r>
      <w:r>
        <w:rPr>
          <w:rFonts w:eastAsia="Calibri"/>
        </w:rPr>
        <w:t>, t</w:t>
      </w:r>
      <w:r w:rsidRPr="008101FB" w:rsidR="000E4C1F">
        <w:rPr>
          <w:rFonts w:eastAsia="Calibri"/>
        </w:rPr>
        <w:t xml:space="preserve">he </w:t>
      </w:r>
      <w:r w:rsidR="009526B0">
        <w:rPr>
          <w:rFonts w:eastAsia="Calibri"/>
        </w:rPr>
        <w:t>increase</w:t>
      </w:r>
      <w:r w:rsidR="00E06A9A">
        <w:rPr>
          <w:rFonts w:eastAsia="Calibri"/>
        </w:rPr>
        <w:t xml:space="preserve"> </w:t>
      </w:r>
      <w:r w:rsidR="009526B0">
        <w:rPr>
          <w:rFonts w:eastAsia="Calibri"/>
        </w:rPr>
        <w:t>in</w:t>
      </w:r>
      <w:r w:rsidR="00E06A9A">
        <w:rPr>
          <w:rFonts w:eastAsia="Calibri"/>
        </w:rPr>
        <w:t xml:space="preserve"> </w:t>
      </w:r>
      <w:r w:rsidR="009526B0">
        <w:rPr>
          <w:rFonts w:eastAsia="Calibri"/>
        </w:rPr>
        <w:t>2,034</w:t>
      </w:r>
      <w:r w:rsidRPr="008101FB" w:rsidR="000E4C1F">
        <w:rPr>
          <w:rFonts w:eastAsia="Calibri"/>
        </w:rPr>
        <w:t xml:space="preserve"> responses with a total</w:t>
      </w:r>
      <w:r w:rsidR="00217F26">
        <w:rPr>
          <w:rFonts w:eastAsia="Calibri"/>
        </w:rPr>
        <w:t xml:space="preserve"> decrease in</w:t>
      </w:r>
      <w:r w:rsidRPr="008101FB" w:rsidR="000E4C1F">
        <w:rPr>
          <w:rFonts w:eastAsia="Calibri"/>
        </w:rPr>
        <w:t xml:space="preserve"> burden of </w:t>
      </w:r>
      <w:r w:rsidR="00217F26">
        <w:rPr>
          <w:rFonts w:eastAsia="Calibri"/>
        </w:rPr>
        <w:t>11,039</w:t>
      </w:r>
      <w:r w:rsidRPr="008101FB" w:rsidR="000C3495">
        <w:rPr>
          <w:rFonts w:eastAsia="Calibri"/>
        </w:rPr>
        <w:t xml:space="preserve"> hours</w:t>
      </w:r>
      <w:r w:rsidRPr="008101FB" w:rsidR="000E4C1F">
        <w:rPr>
          <w:rFonts w:eastAsia="Calibri"/>
        </w:rPr>
        <w:t xml:space="preserve"> at a cost of $</w:t>
      </w:r>
      <w:r w:rsidR="00217F26">
        <w:rPr>
          <w:rFonts w:eastAsia="Calibri"/>
        </w:rPr>
        <w:t>1,213,933</w:t>
      </w:r>
      <w:r w:rsidR="005859B6">
        <w:rPr>
          <w:rFonts w:eastAsia="Calibri"/>
        </w:rPr>
        <w:t xml:space="preserve"> </w:t>
      </w:r>
      <w:r w:rsidRPr="008101FB" w:rsidR="000E4C1F">
        <w:rPr>
          <w:rFonts w:eastAsia="Calibri"/>
        </w:rPr>
        <w:t>due to new statute</w:t>
      </w:r>
      <w:r w:rsidRPr="008101FB" w:rsidR="000C3495">
        <w:rPr>
          <w:rFonts w:eastAsia="Calibri"/>
        </w:rPr>
        <w:t>s</w:t>
      </w:r>
      <w:r w:rsidRPr="008101FB" w:rsidR="000E4C1F">
        <w:rPr>
          <w:rFonts w:eastAsia="Calibri"/>
        </w:rPr>
        <w:t xml:space="preserve"> (Column B) is due to </w:t>
      </w:r>
      <w:r w:rsidRPr="00F374BB" w:rsidR="00F374BB">
        <w:rPr>
          <w:rFonts w:eastAsia="Calibri"/>
        </w:rPr>
        <w:t>the proposed requirement for clinicians to submit their level of active engagement for the Public Health and Clinical Data Exchange Objective</w:t>
      </w:r>
      <w:r w:rsidR="00F374BB">
        <w:rPr>
          <w:rFonts w:eastAsia="Calibri"/>
        </w:rPr>
        <w:t xml:space="preserve">, </w:t>
      </w:r>
      <w:r w:rsidR="00CC4811">
        <w:rPr>
          <w:rFonts w:eastAsia="Calibri"/>
        </w:rPr>
        <w:t>proposed addition of 5 new MVPs to the existing MVP Inventory</w:t>
      </w:r>
      <w:r w:rsidR="004D302F">
        <w:rPr>
          <w:rFonts w:eastAsia="Calibri"/>
        </w:rPr>
        <w:t xml:space="preserve"> resulting in an </w:t>
      </w:r>
      <w:r w:rsidR="001629A1">
        <w:rPr>
          <w:rFonts w:eastAsia="Calibri"/>
        </w:rPr>
        <w:t xml:space="preserve">increase in the number of respondents registering for MVP reporting and </w:t>
      </w:r>
      <w:r w:rsidR="00CC4811">
        <w:rPr>
          <w:rFonts w:eastAsia="Calibri"/>
        </w:rPr>
        <w:t>an increase</w:t>
      </w:r>
      <w:r w:rsidR="004D302F">
        <w:rPr>
          <w:rFonts w:eastAsia="Calibri"/>
        </w:rPr>
        <w:t xml:space="preserve"> in the number of respondents submitting for the quality performance category of MVPs, </w:t>
      </w:r>
      <w:r w:rsidR="00910409">
        <w:rPr>
          <w:rFonts w:eastAsia="Calibri"/>
        </w:rPr>
        <w:t>and a decrease in the number of respondents submitting for the Medicare Part B Claims, MIPS CQM and QCDR, and eCQM collection types</w:t>
      </w:r>
      <w:r w:rsidRPr="00F374BB" w:rsidR="00F374BB">
        <w:rPr>
          <w:rFonts w:eastAsia="Calibri"/>
        </w:rPr>
        <w:t>.</w:t>
      </w:r>
      <w:r w:rsidR="00910409">
        <w:rPr>
          <w:rFonts w:eastAsia="Calibri"/>
        </w:rPr>
        <w:t xml:space="preserve"> </w:t>
      </w:r>
      <w:r w:rsidRPr="008101FB" w:rsidR="000E4C1F">
        <w:rPr>
          <w:rFonts w:eastAsia="Calibri"/>
        </w:rPr>
        <w:t>The remaining changes due to program adjustment (Column D) are entirely due to availability of updated data</w:t>
      </w:r>
      <w:r w:rsidR="00910409">
        <w:rPr>
          <w:rFonts w:eastAsia="Calibri"/>
        </w:rPr>
        <w:t xml:space="preserve"> and assumptions</w:t>
      </w:r>
      <w:r w:rsidRPr="008101FB" w:rsidR="000E4C1F">
        <w:rPr>
          <w:rFonts w:eastAsia="Calibri"/>
        </w:rPr>
        <w:t xml:space="preserve">.  </w:t>
      </w:r>
      <w:bookmarkStart w:name="_Hlk76638718" w:id="24"/>
      <w:r w:rsidRPr="008101FB" w:rsidR="000E4C1F">
        <w:rPr>
          <w:rFonts w:eastAsia="Calibri"/>
        </w:rPr>
        <w:t>Table</w:t>
      </w:r>
      <w:r w:rsidRPr="008101FB" w:rsidR="00B30713">
        <w:rPr>
          <w:rFonts w:eastAsia="Calibri"/>
        </w:rPr>
        <w:t xml:space="preserve"> series </w:t>
      </w:r>
      <w:r w:rsidRPr="008101FB" w:rsidR="00533003">
        <w:rPr>
          <w:rFonts w:eastAsia="Calibri"/>
        </w:rPr>
        <w:t>3</w:t>
      </w:r>
      <w:r w:rsidR="003C5DCA">
        <w:rPr>
          <w:rFonts w:eastAsia="Calibri"/>
        </w:rPr>
        <w:t>0</w:t>
      </w:r>
      <w:r w:rsidRPr="008101FB" w:rsidR="000E4C1F">
        <w:rPr>
          <w:rFonts w:eastAsia="Calibri"/>
        </w:rPr>
        <w:t xml:space="preserve"> below provides additional detail as to the changes in burden for each information collection.</w:t>
      </w:r>
      <w:bookmarkEnd w:id="24"/>
    </w:p>
    <w:p w:rsidR="00C54DEE" w:rsidP="00E53E05" w:rsidRDefault="00C54DEE" w14:paraId="46E60EAB" w14:textId="77777777">
      <w:pPr>
        <w:spacing w:after="0"/>
        <w:rPr>
          <w:rFonts w:eastAsia="Calibri"/>
        </w:rPr>
      </w:pPr>
    </w:p>
    <w:p w:rsidR="00423D13" w:rsidP="00136D86" w:rsidRDefault="00B30713" w14:paraId="78987D35" w14:textId="74438317">
      <w:pPr>
        <w:keepNext/>
        <w:keepLines/>
        <w:jc w:val="center"/>
        <w:rPr>
          <w:b/>
          <w:bCs/>
        </w:rPr>
      </w:pPr>
      <w:r w:rsidRPr="00B30713">
        <w:rPr>
          <w:rFonts w:eastAsia="Calibri"/>
          <w:b/>
          <w:bCs/>
        </w:rPr>
        <w:lastRenderedPageBreak/>
        <w:t xml:space="preserve">TABLE </w:t>
      </w:r>
      <w:r w:rsidR="00C1361E">
        <w:rPr>
          <w:rFonts w:eastAsia="Calibri"/>
          <w:b/>
          <w:bCs/>
        </w:rPr>
        <w:t>3</w:t>
      </w:r>
      <w:r w:rsidR="007A200B">
        <w:rPr>
          <w:rFonts w:eastAsia="Calibri"/>
          <w:b/>
          <w:bCs/>
        </w:rPr>
        <w:t>0</w:t>
      </w:r>
      <w:r w:rsidRPr="00B30713">
        <w:rPr>
          <w:rFonts w:eastAsia="Calibri"/>
          <w:b/>
          <w:bCs/>
        </w:rPr>
        <w:t xml:space="preserve">A: Burden Reconciliation for Qualified Registry Self-Nomination </w:t>
      </w:r>
    </w:p>
    <w:tbl>
      <w:tblPr>
        <w:tblStyle w:val="TableGrid"/>
        <w:tblW w:w="9355" w:type="dxa"/>
        <w:tblLook w:val="04A0" w:firstRow="1" w:lastRow="0" w:firstColumn="1" w:lastColumn="0" w:noHBand="0" w:noVBand="1"/>
      </w:tblPr>
      <w:tblGrid>
        <w:gridCol w:w="1251"/>
        <w:gridCol w:w="1306"/>
        <w:gridCol w:w="1168"/>
        <w:gridCol w:w="1094"/>
        <w:gridCol w:w="1077"/>
        <w:gridCol w:w="1071"/>
        <w:gridCol w:w="1068"/>
        <w:gridCol w:w="1320"/>
      </w:tblGrid>
      <w:tr w:rsidR="005664AD" w:rsidTr="00D26368" w14:paraId="08112641" w14:textId="77777777">
        <w:trPr>
          <w:tblHeader/>
        </w:trPr>
        <w:tc>
          <w:tcPr>
            <w:tcW w:w="1251" w:type="dxa"/>
          </w:tcPr>
          <w:p w:rsidRPr="00C748DF" w:rsidR="00BB7053" w:rsidP="00136D86" w:rsidRDefault="00BB7053" w14:paraId="573CF526" w14:textId="21432F27">
            <w:pPr>
              <w:keepNext/>
              <w:keepLines/>
              <w:tabs>
                <w:tab w:val="left" w:pos="6030"/>
              </w:tabs>
              <w:spacing w:line="276" w:lineRule="auto"/>
              <w:jc w:val="both"/>
              <w:rPr>
                <w:b/>
                <w:bCs/>
                <w:sz w:val="20"/>
                <w:szCs w:val="20"/>
              </w:rPr>
            </w:pPr>
            <w:r w:rsidRPr="00C748DF">
              <w:rPr>
                <w:b/>
                <w:bCs/>
                <w:sz w:val="20"/>
                <w:szCs w:val="20"/>
              </w:rPr>
              <w:t>Burden Category</w:t>
            </w:r>
          </w:p>
        </w:tc>
        <w:tc>
          <w:tcPr>
            <w:tcW w:w="1306" w:type="dxa"/>
          </w:tcPr>
          <w:p w:rsidRPr="00C748DF" w:rsidR="00BB7053" w:rsidP="00136D86" w:rsidRDefault="00BB7053" w14:paraId="58958B5E" w14:textId="62A9ACF6">
            <w:pPr>
              <w:keepNext/>
              <w:keepLines/>
              <w:tabs>
                <w:tab w:val="left" w:pos="6030"/>
              </w:tabs>
              <w:spacing w:line="276" w:lineRule="auto"/>
              <w:jc w:val="both"/>
              <w:rPr>
                <w:b/>
                <w:bCs/>
                <w:sz w:val="20"/>
                <w:szCs w:val="20"/>
              </w:rPr>
            </w:pPr>
            <w:r w:rsidRPr="00C748DF">
              <w:rPr>
                <w:b/>
                <w:bCs/>
                <w:sz w:val="20"/>
                <w:szCs w:val="20"/>
              </w:rPr>
              <w:t>Total Annual Respondents</w:t>
            </w:r>
          </w:p>
        </w:tc>
        <w:tc>
          <w:tcPr>
            <w:tcW w:w="1168" w:type="dxa"/>
          </w:tcPr>
          <w:p w:rsidRPr="00C748DF" w:rsidR="00BB7053" w:rsidP="00136D86" w:rsidRDefault="00BB7053" w14:paraId="7C1089CF" w14:textId="5707D023">
            <w:pPr>
              <w:keepNext/>
              <w:keepLines/>
              <w:tabs>
                <w:tab w:val="left" w:pos="6030"/>
              </w:tabs>
              <w:spacing w:line="276" w:lineRule="auto"/>
              <w:jc w:val="both"/>
              <w:rPr>
                <w:b/>
                <w:bCs/>
                <w:sz w:val="20"/>
                <w:szCs w:val="20"/>
              </w:rPr>
            </w:pPr>
            <w:r w:rsidRPr="00C748DF">
              <w:rPr>
                <w:b/>
                <w:bCs/>
                <w:sz w:val="20"/>
                <w:szCs w:val="20"/>
              </w:rPr>
              <w:t>Response Frequency (per year)</w:t>
            </w:r>
          </w:p>
        </w:tc>
        <w:tc>
          <w:tcPr>
            <w:tcW w:w="1094" w:type="dxa"/>
          </w:tcPr>
          <w:p w:rsidRPr="00C748DF" w:rsidR="00BB7053" w:rsidP="00136D86" w:rsidRDefault="00BB7053" w14:paraId="2183C349" w14:textId="737A2C8E">
            <w:pPr>
              <w:keepNext/>
              <w:keepLines/>
              <w:tabs>
                <w:tab w:val="left" w:pos="6030"/>
              </w:tabs>
              <w:spacing w:line="276" w:lineRule="auto"/>
              <w:jc w:val="both"/>
              <w:rPr>
                <w:b/>
                <w:bCs/>
                <w:sz w:val="20"/>
                <w:szCs w:val="20"/>
              </w:rPr>
            </w:pPr>
            <w:r w:rsidRPr="00C748DF">
              <w:rPr>
                <w:b/>
                <w:bCs/>
                <w:sz w:val="20"/>
                <w:szCs w:val="20"/>
              </w:rPr>
              <w:t>Total Annual Responses</w:t>
            </w:r>
          </w:p>
        </w:tc>
        <w:tc>
          <w:tcPr>
            <w:tcW w:w="1077" w:type="dxa"/>
          </w:tcPr>
          <w:p w:rsidRPr="00C748DF" w:rsidR="00BB7053" w:rsidP="00136D86" w:rsidRDefault="00BB7053" w14:paraId="56E78F60" w14:textId="54661BE5">
            <w:pPr>
              <w:keepNext/>
              <w:keepLines/>
              <w:tabs>
                <w:tab w:val="left" w:pos="6030"/>
              </w:tabs>
              <w:spacing w:line="276" w:lineRule="auto"/>
              <w:rPr>
                <w:b/>
                <w:bCs/>
                <w:sz w:val="20"/>
                <w:szCs w:val="20"/>
              </w:rPr>
            </w:pPr>
            <w:r w:rsidRPr="00C748DF">
              <w:rPr>
                <w:b/>
                <w:bCs/>
                <w:sz w:val="20"/>
                <w:szCs w:val="20"/>
              </w:rPr>
              <w:t>Time Per Response (</w:t>
            </w:r>
            <w:proofErr w:type="spellStart"/>
            <w:r w:rsidRPr="00C748DF">
              <w:rPr>
                <w:b/>
                <w:bCs/>
                <w:sz w:val="20"/>
                <w:szCs w:val="20"/>
              </w:rPr>
              <w:t>hr</w:t>
            </w:r>
            <w:proofErr w:type="spellEnd"/>
            <w:r w:rsidRPr="00C748DF">
              <w:rPr>
                <w:b/>
                <w:bCs/>
                <w:sz w:val="20"/>
                <w:szCs w:val="20"/>
              </w:rPr>
              <w:t>)</w:t>
            </w:r>
          </w:p>
        </w:tc>
        <w:tc>
          <w:tcPr>
            <w:tcW w:w="1071" w:type="dxa"/>
          </w:tcPr>
          <w:p w:rsidRPr="00C748DF" w:rsidR="00BB7053" w:rsidP="00136D86" w:rsidRDefault="00BB7053" w14:paraId="0C743723" w14:textId="538D8F13">
            <w:pPr>
              <w:keepNext/>
              <w:keepLines/>
              <w:tabs>
                <w:tab w:val="left" w:pos="6030"/>
              </w:tabs>
              <w:spacing w:line="276" w:lineRule="auto"/>
              <w:jc w:val="both"/>
              <w:rPr>
                <w:b/>
                <w:bCs/>
                <w:sz w:val="20"/>
                <w:szCs w:val="20"/>
              </w:rPr>
            </w:pPr>
            <w:r w:rsidRPr="00C748DF">
              <w:rPr>
                <w:b/>
                <w:bCs/>
                <w:sz w:val="20"/>
                <w:szCs w:val="20"/>
              </w:rPr>
              <w:t>Total Annual Time (</w:t>
            </w:r>
            <w:proofErr w:type="spellStart"/>
            <w:r w:rsidRPr="00C748DF">
              <w:rPr>
                <w:b/>
                <w:bCs/>
                <w:sz w:val="20"/>
                <w:szCs w:val="20"/>
              </w:rPr>
              <w:t>hr</w:t>
            </w:r>
            <w:proofErr w:type="spellEnd"/>
            <w:r w:rsidRPr="00C748DF">
              <w:rPr>
                <w:b/>
                <w:bCs/>
                <w:sz w:val="20"/>
                <w:szCs w:val="20"/>
              </w:rPr>
              <w:t>)</w:t>
            </w:r>
          </w:p>
        </w:tc>
        <w:tc>
          <w:tcPr>
            <w:tcW w:w="1068" w:type="dxa"/>
          </w:tcPr>
          <w:p w:rsidRPr="00C748DF" w:rsidR="00BB7053" w:rsidP="00136D86" w:rsidRDefault="00BB7053" w14:paraId="6173E459" w14:textId="46C4B5B7">
            <w:pPr>
              <w:keepNext/>
              <w:keepLines/>
              <w:tabs>
                <w:tab w:val="left" w:pos="6030"/>
              </w:tabs>
              <w:spacing w:line="276" w:lineRule="auto"/>
              <w:jc w:val="both"/>
              <w:rPr>
                <w:b/>
                <w:bCs/>
                <w:sz w:val="20"/>
                <w:szCs w:val="20"/>
              </w:rPr>
            </w:pPr>
            <w:r w:rsidRPr="00C748DF">
              <w:rPr>
                <w:b/>
                <w:bCs/>
                <w:sz w:val="20"/>
                <w:szCs w:val="20"/>
              </w:rPr>
              <w:t>Labor Cost ($/</w:t>
            </w:r>
            <w:proofErr w:type="spellStart"/>
            <w:r w:rsidRPr="00C748DF">
              <w:rPr>
                <w:b/>
                <w:bCs/>
                <w:sz w:val="20"/>
                <w:szCs w:val="20"/>
              </w:rPr>
              <w:t>hr</w:t>
            </w:r>
            <w:proofErr w:type="spellEnd"/>
            <w:r w:rsidRPr="00C748DF">
              <w:rPr>
                <w:b/>
                <w:bCs/>
                <w:sz w:val="20"/>
                <w:szCs w:val="20"/>
              </w:rPr>
              <w:t>)</w:t>
            </w:r>
          </w:p>
        </w:tc>
        <w:tc>
          <w:tcPr>
            <w:tcW w:w="1320" w:type="dxa"/>
          </w:tcPr>
          <w:p w:rsidRPr="00C748DF" w:rsidR="00BB7053" w:rsidP="00136D86" w:rsidRDefault="00BB7053" w14:paraId="360C11BC" w14:textId="23120ABB">
            <w:pPr>
              <w:keepNext/>
              <w:keepLines/>
              <w:tabs>
                <w:tab w:val="left" w:pos="6030"/>
              </w:tabs>
              <w:spacing w:line="276" w:lineRule="auto"/>
              <w:rPr>
                <w:b/>
                <w:bCs/>
                <w:sz w:val="20"/>
                <w:szCs w:val="20"/>
              </w:rPr>
            </w:pPr>
            <w:r w:rsidRPr="00C748DF">
              <w:rPr>
                <w:b/>
                <w:bCs/>
                <w:sz w:val="20"/>
                <w:szCs w:val="20"/>
              </w:rPr>
              <w:t>Total</w:t>
            </w:r>
            <w:r w:rsidRPr="00C748DF" w:rsidR="005664AD">
              <w:rPr>
                <w:b/>
                <w:bCs/>
                <w:sz w:val="20"/>
                <w:szCs w:val="20"/>
              </w:rPr>
              <w:t xml:space="preserve"> </w:t>
            </w:r>
            <w:r w:rsidRPr="00C748DF">
              <w:rPr>
                <w:b/>
                <w:bCs/>
                <w:sz w:val="20"/>
                <w:szCs w:val="20"/>
              </w:rPr>
              <w:t>Annual Cost ($)</w:t>
            </w:r>
          </w:p>
        </w:tc>
      </w:tr>
      <w:tr w:rsidR="005664AD" w:rsidTr="00D26368" w14:paraId="1AB7D727" w14:textId="77777777">
        <w:tc>
          <w:tcPr>
            <w:tcW w:w="1251" w:type="dxa"/>
          </w:tcPr>
          <w:p w:rsidRPr="00BB7053" w:rsidR="00BB7053" w:rsidP="00136D86" w:rsidRDefault="00BB7053" w14:paraId="0A918F2B" w14:textId="592338DE">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Pr="00BB7053" w:rsidR="00BB7053" w:rsidP="00136D86" w:rsidRDefault="005664AD" w14:paraId="0D2E2331" w14:textId="374974FD">
            <w:pPr>
              <w:keepNext/>
              <w:keepLines/>
              <w:tabs>
                <w:tab w:val="left" w:pos="6030"/>
              </w:tabs>
              <w:spacing w:line="276" w:lineRule="auto"/>
              <w:jc w:val="right"/>
              <w:rPr>
                <w:sz w:val="20"/>
                <w:szCs w:val="20"/>
              </w:rPr>
            </w:pPr>
            <w:r>
              <w:rPr>
                <w:sz w:val="20"/>
                <w:szCs w:val="20"/>
              </w:rPr>
              <w:t>1</w:t>
            </w:r>
            <w:r w:rsidR="00080109">
              <w:rPr>
                <w:sz w:val="20"/>
                <w:szCs w:val="20"/>
              </w:rPr>
              <w:t>47</w:t>
            </w:r>
          </w:p>
        </w:tc>
        <w:tc>
          <w:tcPr>
            <w:tcW w:w="1168" w:type="dxa"/>
          </w:tcPr>
          <w:p w:rsidRPr="00BB7053" w:rsidR="00BB7053" w:rsidP="00136D86" w:rsidRDefault="005664AD" w14:paraId="3E08B59D" w14:textId="19690F85">
            <w:pPr>
              <w:keepNext/>
              <w:keepLines/>
              <w:tabs>
                <w:tab w:val="left" w:pos="6030"/>
              </w:tabs>
              <w:spacing w:line="276" w:lineRule="auto"/>
              <w:jc w:val="right"/>
              <w:rPr>
                <w:sz w:val="20"/>
                <w:szCs w:val="20"/>
              </w:rPr>
            </w:pPr>
            <w:r>
              <w:rPr>
                <w:sz w:val="20"/>
                <w:szCs w:val="20"/>
              </w:rPr>
              <w:t>1</w:t>
            </w:r>
          </w:p>
        </w:tc>
        <w:tc>
          <w:tcPr>
            <w:tcW w:w="1094" w:type="dxa"/>
          </w:tcPr>
          <w:p w:rsidRPr="00BB7053" w:rsidR="00BB7053" w:rsidP="00136D86" w:rsidRDefault="005664AD" w14:paraId="6F2C2551" w14:textId="1819EDAC">
            <w:pPr>
              <w:keepNext/>
              <w:keepLines/>
              <w:tabs>
                <w:tab w:val="left" w:pos="6030"/>
              </w:tabs>
              <w:spacing w:line="276" w:lineRule="auto"/>
              <w:jc w:val="right"/>
              <w:rPr>
                <w:sz w:val="20"/>
                <w:szCs w:val="20"/>
              </w:rPr>
            </w:pPr>
            <w:r>
              <w:rPr>
                <w:sz w:val="20"/>
                <w:szCs w:val="20"/>
              </w:rPr>
              <w:t>1</w:t>
            </w:r>
            <w:r w:rsidR="00F40378">
              <w:rPr>
                <w:sz w:val="20"/>
                <w:szCs w:val="20"/>
              </w:rPr>
              <w:t>47</w:t>
            </w:r>
          </w:p>
        </w:tc>
        <w:tc>
          <w:tcPr>
            <w:tcW w:w="1077" w:type="dxa"/>
          </w:tcPr>
          <w:p w:rsidRPr="00BB7053" w:rsidR="00BB7053" w:rsidP="00136D86" w:rsidRDefault="00F40378" w14:paraId="0BA09A1A" w14:textId="35BF9835">
            <w:pPr>
              <w:keepNext/>
              <w:keepLines/>
              <w:tabs>
                <w:tab w:val="left" w:pos="6030"/>
              </w:tabs>
              <w:spacing w:line="276" w:lineRule="auto"/>
              <w:jc w:val="right"/>
              <w:rPr>
                <w:sz w:val="20"/>
                <w:szCs w:val="20"/>
              </w:rPr>
            </w:pPr>
            <w:r>
              <w:rPr>
                <w:sz w:val="20"/>
                <w:szCs w:val="20"/>
              </w:rPr>
              <w:t>2</w:t>
            </w:r>
          </w:p>
        </w:tc>
        <w:tc>
          <w:tcPr>
            <w:tcW w:w="1071" w:type="dxa"/>
          </w:tcPr>
          <w:p w:rsidRPr="00BB7053" w:rsidR="00BB7053" w:rsidP="00136D86" w:rsidRDefault="005A02DA" w14:paraId="2B448CB9" w14:textId="1389825F">
            <w:pPr>
              <w:keepNext/>
              <w:keepLines/>
              <w:tabs>
                <w:tab w:val="left" w:pos="6030"/>
              </w:tabs>
              <w:spacing w:line="276" w:lineRule="auto"/>
              <w:jc w:val="right"/>
              <w:rPr>
                <w:sz w:val="20"/>
                <w:szCs w:val="20"/>
              </w:rPr>
            </w:pPr>
            <w:r>
              <w:rPr>
                <w:sz w:val="20"/>
                <w:szCs w:val="20"/>
              </w:rPr>
              <w:t>841</w:t>
            </w:r>
          </w:p>
        </w:tc>
        <w:tc>
          <w:tcPr>
            <w:tcW w:w="1068" w:type="dxa"/>
          </w:tcPr>
          <w:p w:rsidRPr="00BB7053" w:rsidR="00BB7053" w:rsidP="00136D86" w:rsidRDefault="005664AD" w14:paraId="7FD74E4C" w14:textId="4F97275D">
            <w:pPr>
              <w:keepNext/>
              <w:keepLines/>
              <w:tabs>
                <w:tab w:val="left" w:pos="6030"/>
              </w:tabs>
              <w:spacing w:line="276" w:lineRule="auto"/>
              <w:jc w:val="right"/>
              <w:rPr>
                <w:sz w:val="20"/>
                <w:szCs w:val="20"/>
              </w:rPr>
            </w:pPr>
            <w:r>
              <w:rPr>
                <w:sz w:val="20"/>
                <w:szCs w:val="20"/>
              </w:rPr>
              <w:t>9</w:t>
            </w:r>
            <w:r w:rsidR="005A02DA">
              <w:rPr>
                <w:sz w:val="20"/>
                <w:szCs w:val="20"/>
              </w:rPr>
              <w:t>8</w:t>
            </w:r>
            <w:r w:rsidR="003C5EB6">
              <w:rPr>
                <w:sz w:val="20"/>
                <w:szCs w:val="20"/>
              </w:rPr>
              <w:t>.2</w:t>
            </w:r>
            <w:r w:rsidR="005A02DA">
              <w:rPr>
                <w:sz w:val="20"/>
                <w:szCs w:val="20"/>
              </w:rPr>
              <w:t>8</w:t>
            </w:r>
          </w:p>
        </w:tc>
        <w:tc>
          <w:tcPr>
            <w:tcW w:w="1320" w:type="dxa"/>
          </w:tcPr>
          <w:p w:rsidRPr="00BB7053" w:rsidR="00BB7053" w:rsidP="0013664B" w:rsidRDefault="00B77222" w14:paraId="01E3C98D" w14:textId="0137310C">
            <w:pPr>
              <w:keepNext/>
              <w:keepLines/>
              <w:tabs>
                <w:tab w:val="left" w:pos="6030"/>
              </w:tabs>
              <w:spacing w:line="276" w:lineRule="auto"/>
              <w:jc w:val="center"/>
              <w:rPr>
                <w:sz w:val="20"/>
                <w:szCs w:val="20"/>
              </w:rPr>
            </w:pPr>
            <w:r>
              <w:rPr>
                <w:sz w:val="20"/>
                <w:szCs w:val="20"/>
              </w:rPr>
              <w:t>82,653</w:t>
            </w:r>
          </w:p>
        </w:tc>
      </w:tr>
      <w:tr w:rsidR="005664AD" w:rsidTr="00D26368" w14:paraId="1FB22BD0" w14:textId="77777777">
        <w:tc>
          <w:tcPr>
            <w:tcW w:w="1251" w:type="dxa"/>
          </w:tcPr>
          <w:p w:rsidR="0047236F" w:rsidP="00192E2E" w:rsidRDefault="00371D4F" w14:paraId="78A9DA9D" w14:textId="1C6ACD15">
            <w:pPr>
              <w:keepNext/>
              <w:keepLines/>
              <w:tabs>
                <w:tab w:val="left" w:pos="6030"/>
              </w:tabs>
              <w:spacing w:line="276" w:lineRule="auto"/>
              <w:rPr>
                <w:sz w:val="20"/>
                <w:szCs w:val="20"/>
              </w:rPr>
            </w:pPr>
            <w:r>
              <w:rPr>
                <w:sz w:val="20"/>
                <w:szCs w:val="20"/>
              </w:rPr>
              <w:t>Proposed</w:t>
            </w:r>
          </w:p>
          <w:p w:rsidRPr="00BB7053" w:rsidR="00BB7053" w:rsidP="00192E2E" w:rsidRDefault="00A67FD9" w14:paraId="19C5BE1A" w14:textId="6A7576DA">
            <w:pPr>
              <w:keepNext/>
              <w:keepLines/>
              <w:tabs>
                <w:tab w:val="left" w:pos="6030"/>
              </w:tabs>
              <w:spacing w:line="276" w:lineRule="auto"/>
              <w:rPr>
                <w:sz w:val="20"/>
                <w:szCs w:val="20"/>
              </w:rPr>
            </w:pPr>
            <w:r w:rsidRPr="00A67FD9">
              <w:rPr>
                <w:sz w:val="20"/>
                <w:szCs w:val="20"/>
              </w:rPr>
              <w:t>(See Table 3)</w:t>
            </w:r>
          </w:p>
        </w:tc>
        <w:tc>
          <w:tcPr>
            <w:tcW w:w="1306" w:type="dxa"/>
          </w:tcPr>
          <w:p w:rsidRPr="00BB7053" w:rsidR="00BB7053" w:rsidP="00136D86" w:rsidRDefault="00441672" w14:paraId="521AA823" w14:textId="375D79F7">
            <w:pPr>
              <w:keepNext/>
              <w:keepLines/>
              <w:tabs>
                <w:tab w:val="left" w:pos="6030"/>
              </w:tabs>
              <w:spacing w:line="276" w:lineRule="auto"/>
              <w:jc w:val="right"/>
              <w:rPr>
                <w:sz w:val="20"/>
                <w:szCs w:val="20"/>
              </w:rPr>
            </w:pPr>
            <w:r>
              <w:rPr>
                <w:sz w:val="20"/>
                <w:szCs w:val="20"/>
              </w:rPr>
              <w:t>1</w:t>
            </w:r>
            <w:r w:rsidR="00080109">
              <w:rPr>
                <w:sz w:val="20"/>
                <w:szCs w:val="20"/>
              </w:rPr>
              <w:t>60</w:t>
            </w:r>
          </w:p>
        </w:tc>
        <w:tc>
          <w:tcPr>
            <w:tcW w:w="1168" w:type="dxa"/>
          </w:tcPr>
          <w:p w:rsidRPr="00BB7053" w:rsidR="00BB7053" w:rsidP="001376EC" w:rsidRDefault="00663727" w14:paraId="63B1257F" w14:textId="60B06666">
            <w:pPr>
              <w:keepNext/>
              <w:keepLines/>
              <w:tabs>
                <w:tab w:val="left" w:pos="6030"/>
              </w:tabs>
              <w:spacing w:line="276" w:lineRule="auto"/>
              <w:jc w:val="center"/>
              <w:rPr>
                <w:sz w:val="20"/>
                <w:szCs w:val="20"/>
              </w:rPr>
            </w:pPr>
            <w:r>
              <w:rPr>
                <w:sz w:val="20"/>
                <w:szCs w:val="20"/>
              </w:rPr>
              <w:t xml:space="preserve">                 1</w:t>
            </w:r>
          </w:p>
        </w:tc>
        <w:tc>
          <w:tcPr>
            <w:tcW w:w="1094" w:type="dxa"/>
          </w:tcPr>
          <w:p w:rsidRPr="00BB7053" w:rsidR="00BB7053" w:rsidP="00136D86" w:rsidRDefault="00441672" w14:paraId="1DF870BA" w14:textId="181CBA5F">
            <w:pPr>
              <w:keepNext/>
              <w:keepLines/>
              <w:tabs>
                <w:tab w:val="left" w:pos="6030"/>
              </w:tabs>
              <w:spacing w:line="276" w:lineRule="auto"/>
              <w:jc w:val="right"/>
              <w:rPr>
                <w:sz w:val="20"/>
                <w:szCs w:val="20"/>
              </w:rPr>
            </w:pPr>
            <w:r>
              <w:rPr>
                <w:sz w:val="20"/>
                <w:szCs w:val="20"/>
              </w:rPr>
              <w:t>1</w:t>
            </w:r>
            <w:r w:rsidR="00F40378">
              <w:rPr>
                <w:sz w:val="20"/>
                <w:szCs w:val="20"/>
              </w:rPr>
              <w:t>60</w:t>
            </w:r>
          </w:p>
        </w:tc>
        <w:tc>
          <w:tcPr>
            <w:tcW w:w="1077" w:type="dxa"/>
          </w:tcPr>
          <w:p w:rsidRPr="00BB7053" w:rsidR="00BB7053" w:rsidP="00136D86" w:rsidRDefault="00CD21B5" w14:paraId="5F093F26" w14:textId="330BA185">
            <w:pPr>
              <w:keepNext/>
              <w:keepLines/>
              <w:tabs>
                <w:tab w:val="left" w:pos="6030"/>
              </w:tabs>
              <w:spacing w:line="276" w:lineRule="auto"/>
              <w:jc w:val="right"/>
              <w:rPr>
                <w:sz w:val="20"/>
                <w:szCs w:val="20"/>
              </w:rPr>
            </w:pPr>
            <w:r>
              <w:rPr>
                <w:sz w:val="20"/>
                <w:szCs w:val="20"/>
              </w:rPr>
              <w:t>2</w:t>
            </w:r>
          </w:p>
        </w:tc>
        <w:tc>
          <w:tcPr>
            <w:tcW w:w="1071" w:type="dxa"/>
          </w:tcPr>
          <w:p w:rsidRPr="00BB7053" w:rsidR="00BB7053" w:rsidP="00136D86" w:rsidRDefault="005A02DA" w14:paraId="00C87BC3" w14:textId="5E0210D2">
            <w:pPr>
              <w:keepNext/>
              <w:keepLines/>
              <w:tabs>
                <w:tab w:val="left" w:pos="6030"/>
              </w:tabs>
              <w:spacing w:line="276" w:lineRule="auto"/>
              <w:jc w:val="right"/>
              <w:rPr>
                <w:sz w:val="20"/>
                <w:szCs w:val="20"/>
              </w:rPr>
            </w:pPr>
            <w:r>
              <w:rPr>
                <w:sz w:val="20"/>
                <w:szCs w:val="20"/>
              </w:rPr>
              <w:t>320</w:t>
            </w:r>
          </w:p>
        </w:tc>
        <w:tc>
          <w:tcPr>
            <w:tcW w:w="1068" w:type="dxa"/>
          </w:tcPr>
          <w:p w:rsidRPr="00BB7053" w:rsidR="00BB7053" w:rsidP="00136D86" w:rsidRDefault="005664AD" w14:paraId="26408AFC" w14:textId="56E539B5">
            <w:pPr>
              <w:keepNext/>
              <w:keepLines/>
              <w:tabs>
                <w:tab w:val="left" w:pos="6030"/>
              </w:tabs>
              <w:spacing w:line="276" w:lineRule="auto"/>
              <w:jc w:val="right"/>
              <w:rPr>
                <w:sz w:val="20"/>
                <w:szCs w:val="20"/>
              </w:rPr>
            </w:pPr>
            <w:r>
              <w:rPr>
                <w:sz w:val="20"/>
                <w:szCs w:val="20"/>
              </w:rPr>
              <w:t>9</w:t>
            </w:r>
            <w:r w:rsidR="005A02DA">
              <w:rPr>
                <w:sz w:val="20"/>
                <w:szCs w:val="20"/>
              </w:rPr>
              <w:t>8</w:t>
            </w:r>
            <w:r w:rsidR="00CD21B5">
              <w:rPr>
                <w:sz w:val="20"/>
                <w:szCs w:val="20"/>
              </w:rPr>
              <w:t>.2</w:t>
            </w:r>
            <w:r w:rsidR="005A02DA">
              <w:rPr>
                <w:sz w:val="20"/>
                <w:szCs w:val="20"/>
              </w:rPr>
              <w:t>8</w:t>
            </w:r>
          </w:p>
        </w:tc>
        <w:tc>
          <w:tcPr>
            <w:tcW w:w="1320" w:type="dxa"/>
          </w:tcPr>
          <w:p w:rsidRPr="00BB7053" w:rsidR="00BB7053" w:rsidP="00136D86" w:rsidRDefault="00B77222" w14:paraId="1520A04B" w14:textId="32E3B364">
            <w:pPr>
              <w:keepNext/>
              <w:keepLines/>
              <w:tabs>
                <w:tab w:val="left" w:pos="6030"/>
              </w:tabs>
              <w:spacing w:line="276" w:lineRule="auto"/>
              <w:jc w:val="right"/>
              <w:rPr>
                <w:sz w:val="20"/>
                <w:szCs w:val="20"/>
              </w:rPr>
            </w:pPr>
            <w:r>
              <w:rPr>
                <w:sz w:val="20"/>
                <w:szCs w:val="20"/>
              </w:rPr>
              <w:t>31,450</w:t>
            </w:r>
          </w:p>
        </w:tc>
      </w:tr>
      <w:tr w:rsidR="005664AD" w:rsidTr="00D26368" w14:paraId="63668DB0" w14:textId="77777777">
        <w:tc>
          <w:tcPr>
            <w:tcW w:w="1251" w:type="dxa"/>
            <w:shd w:val="clear" w:color="auto" w:fill="D9D9D9" w:themeFill="background1" w:themeFillShade="D9"/>
          </w:tcPr>
          <w:p w:rsidRPr="00BB7053" w:rsidR="00BB7053" w:rsidP="00136D86" w:rsidRDefault="00BB7053" w14:paraId="11477C21" w14:textId="30EF3211">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BB7053" w:rsidP="00136D86" w:rsidRDefault="00080109" w14:paraId="7E71CA99" w14:textId="6465C69D">
            <w:pPr>
              <w:keepNext/>
              <w:keepLines/>
              <w:tabs>
                <w:tab w:val="left" w:pos="6030"/>
              </w:tabs>
              <w:spacing w:line="276" w:lineRule="auto"/>
              <w:jc w:val="right"/>
              <w:rPr>
                <w:sz w:val="20"/>
                <w:szCs w:val="20"/>
              </w:rPr>
            </w:pPr>
            <w:r>
              <w:rPr>
                <w:sz w:val="20"/>
                <w:szCs w:val="20"/>
              </w:rPr>
              <w:t>+13</w:t>
            </w:r>
          </w:p>
        </w:tc>
        <w:tc>
          <w:tcPr>
            <w:tcW w:w="1168" w:type="dxa"/>
            <w:shd w:val="clear" w:color="auto" w:fill="D9D9D9" w:themeFill="background1" w:themeFillShade="D9"/>
          </w:tcPr>
          <w:p w:rsidRPr="00BB7053" w:rsidR="00BB7053" w:rsidP="001376EC" w:rsidRDefault="00663727" w14:paraId="6E765883" w14:textId="6A5540ED">
            <w:pPr>
              <w:keepNext/>
              <w:keepLines/>
              <w:tabs>
                <w:tab w:val="left" w:pos="6030"/>
              </w:tabs>
              <w:spacing w:line="276" w:lineRule="auto"/>
              <w:jc w:val="center"/>
              <w:rPr>
                <w:sz w:val="20"/>
                <w:szCs w:val="20"/>
              </w:rPr>
            </w:pPr>
            <w:r>
              <w:rPr>
                <w:sz w:val="20"/>
                <w:szCs w:val="20"/>
              </w:rPr>
              <w:t>No change</w:t>
            </w:r>
          </w:p>
        </w:tc>
        <w:tc>
          <w:tcPr>
            <w:tcW w:w="1094" w:type="dxa"/>
            <w:shd w:val="clear" w:color="auto" w:fill="D9D9D9" w:themeFill="background1" w:themeFillShade="D9"/>
          </w:tcPr>
          <w:p w:rsidRPr="00BB7053" w:rsidR="00BB7053" w:rsidP="00136D86" w:rsidRDefault="00F40378" w14:paraId="4D2E84A9" w14:textId="2F815339">
            <w:pPr>
              <w:keepNext/>
              <w:keepLines/>
              <w:tabs>
                <w:tab w:val="left" w:pos="6030"/>
              </w:tabs>
              <w:spacing w:line="276" w:lineRule="auto"/>
              <w:jc w:val="right"/>
              <w:rPr>
                <w:sz w:val="20"/>
                <w:szCs w:val="20"/>
              </w:rPr>
            </w:pPr>
            <w:r>
              <w:rPr>
                <w:sz w:val="20"/>
                <w:szCs w:val="20"/>
              </w:rPr>
              <w:t>+13</w:t>
            </w:r>
          </w:p>
        </w:tc>
        <w:tc>
          <w:tcPr>
            <w:tcW w:w="1077" w:type="dxa"/>
            <w:shd w:val="clear" w:color="auto" w:fill="D9D9D9" w:themeFill="background1" w:themeFillShade="D9"/>
          </w:tcPr>
          <w:p w:rsidRPr="00BB7053" w:rsidR="00BB7053" w:rsidP="00136D86" w:rsidRDefault="00F40378" w14:paraId="0CA436F7" w14:textId="0F62718D">
            <w:pPr>
              <w:keepNext/>
              <w:keepLines/>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BB7053" w:rsidP="00136D86" w:rsidRDefault="002A3196" w14:paraId="12DD66F8" w14:textId="0B3CF1BD">
            <w:pPr>
              <w:keepNext/>
              <w:keepLines/>
              <w:tabs>
                <w:tab w:val="left" w:pos="6030"/>
              </w:tabs>
              <w:spacing w:line="276" w:lineRule="auto"/>
              <w:jc w:val="right"/>
              <w:rPr>
                <w:sz w:val="20"/>
                <w:szCs w:val="20"/>
              </w:rPr>
            </w:pPr>
            <w:r>
              <w:rPr>
                <w:sz w:val="20"/>
                <w:szCs w:val="20"/>
              </w:rPr>
              <w:t>-</w:t>
            </w:r>
            <w:r w:rsidR="005A02DA">
              <w:rPr>
                <w:sz w:val="20"/>
                <w:szCs w:val="20"/>
              </w:rPr>
              <w:t>521</w:t>
            </w:r>
          </w:p>
        </w:tc>
        <w:tc>
          <w:tcPr>
            <w:tcW w:w="1068" w:type="dxa"/>
            <w:shd w:val="clear" w:color="auto" w:fill="D9D9D9" w:themeFill="background1" w:themeFillShade="D9"/>
          </w:tcPr>
          <w:p w:rsidRPr="00BB7053" w:rsidR="00BB7053" w:rsidP="00136D86" w:rsidRDefault="005664AD" w14:paraId="52C3E546" w14:textId="503F31B9">
            <w:pPr>
              <w:keepNext/>
              <w:keepLines/>
              <w:tabs>
                <w:tab w:val="left" w:pos="6030"/>
              </w:tabs>
              <w:spacing w:line="276" w:lineRule="auto"/>
              <w:jc w:val="right"/>
              <w:rPr>
                <w:sz w:val="20"/>
                <w:szCs w:val="20"/>
              </w:rPr>
            </w:pPr>
            <w:r>
              <w:rPr>
                <w:sz w:val="20"/>
                <w:szCs w:val="20"/>
              </w:rPr>
              <w:t>No change</w:t>
            </w:r>
          </w:p>
        </w:tc>
        <w:tc>
          <w:tcPr>
            <w:tcW w:w="1320" w:type="dxa"/>
            <w:shd w:val="clear" w:color="auto" w:fill="D9D9D9" w:themeFill="background1" w:themeFillShade="D9"/>
          </w:tcPr>
          <w:p w:rsidRPr="00BB7053" w:rsidR="00BB7053" w:rsidP="00136D86" w:rsidRDefault="001216C8" w14:paraId="403F9C93" w14:textId="3C129EFA">
            <w:pPr>
              <w:keepNext/>
              <w:keepLines/>
              <w:tabs>
                <w:tab w:val="left" w:pos="6030"/>
              </w:tabs>
              <w:spacing w:line="276" w:lineRule="auto"/>
              <w:jc w:val="right"/>
              <w:rPr>
                <w:sz w:val="20"/>
                <w:szCs w:val="20"/>
              </w:rPr>
            </w:pPr>
            <w:r>
              <w:rPr>
                <w:sz w:val="20"/>
                <w:szCs w:val="20"/>
              </w:rPr>
              <w:t>-</w:t>
            </w:r>
            <w:r w:rsidR="00B77222">
              <w:rPr>
                <w:sz w:val="20"/>
                <w:szCs w:val="20"/>
              </w:rPr>
              <w:t>51,203</w:t>
            </w:r>
          </w:p>
        </w:tc>
      </w:tr>
    </w:tbl>
    <w:p w:rsidR="007A200B" w:rsidP="00715C78" w:rsidRDefault="007A200B" w14:paraId="71709437" w14:textId="77777777">
      <w:pPr>
        <w:keepNext/>
        <w:keepLines/>
        <w:jc w:val="center"/>
        <w:rPr>
          <w:rFonts w:eastAsia="Calibri"/>
          <w:b/>
          <w:bCs/>
        </w:rPr>
      </w:pPr>
    </w:p>
    <w:p w:rsidR="003C6D38" w:rsidP="00715C78" w:rsidRDefault="003C6D38" w14:paraId="116DD3EC" w14:textId="2DE34F87">
      <w:pPr>
        <w:keepNext/>
        <w:keepLines/>
        <w:jc w:val="center"/>
        <w:rPr>
          <w:b/>
          <w:bCs/>
        </w:rPr>
      </w:pPr>
      <w:bookmarkStart w:name="_Hlk107401733" w:id="25"/>
      <w:r w:rsidRPr="00B30713">
        <w:rPr>
          <w:rFonts w:eastAsia="Calibri"/>
          <w:b/>
          <w:bCs/>
        </w:rPr>
        <w:t xml:space="preserve">TABLE </w:t>
      </w:r>
      <w:r w:rsidR="00C1361E">
        <w:rPr>
          <w:rFonts w:eastAsia="Calibri"/>
          <w:b/>
          <w:bCs/>
        </w:rPr>
        <w:t>3</w:t>
      </w:r>
      <w:r w:rsidR="006715BD">
        <w:rPr>
          <w:rFonts w:eastAsia="Calibri"/>
          <w:b/>
          <w:bCs/>
        </w:rPr>
        <w:t>0</w:t>
      </w:r>
      <w:r w:rsidR="00885183">
        <w:rPr>
          <w:rFonts w:eastAsia="Calibri"/>
          <w:b/>
          <w:bCs/>
        </w:rPr>
        <w:t>B</w:t>
      </w:r>
      <w:r w:rsidRPr="00B30713">
        <w:rPr>
          <w:rFonts w:eastAsia="Calibri"/>
          <w:b/>
          <w:bCs/>
        </w:rPr>
        <w:t xml:space="preserve">: Burden Reconciliation for </w:t>
      </w:r>
      <w:r w:rsidRPr="00AD1106" w:rsidR="00AD1106">
        <w:rPr>
          <w:rFonts w:eastAsia="Calibri"/>
          <w:b/>
          <w:bCs/>
        </w:rPr>
        <w:t xml:space="preserve">QCDR Self-Nomination and </w:t>
      </w:r>
      <w:r w:rsidR="00EA614E">
        <w:rPr>
          <w:rFonts w:eastAsia="Calibri"/>
          <w:b/>
          <w:bCs/>
        </w:rPr>
        <w:t>QCDR Measure Submission</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3C6D38" w:rsidTr="00D26368" w14:paraId="2DE1A8E0" w14:textId="77777777">
        <w:trPr>
          <w:tblHeader/>
        </w:trPr>
        <w:tc>
          <w:tcPr>
            <w:tcW w:w="1251" w:type="dxa"/>
          </w:tcPr>
          <w:p w:rsidRPr="00DF4016" w:rsidR="003C6D38" w:rsidP="00715C78" w:rsidRDefault="003C6D38" w14:paraId="3D67C613"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715C78" w:rsidRDefault="003C6D38" w14:paraId="5126895D"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715C78" w:rsidRDefault="003C6D38" w14:paraId="4E70930B"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715C78" w:rsidRDefault="003C6D38" w14:paraId="4FC5FA2A"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715C78" w:rsidRDefault="003C6D38" w14:paraId="791B100B" w14:textId="77777777">
            <w:pPr>
              <w:keepNext/>
              <w:keepLines/>
              <w:tabs>
                <w:tab w:val="left" w:pos="6030"/>
              </w:tabs>
              <w:spacing w:line="276" w:lineRule="auto"/>
              <w:rPr>
                <w:b/>
                <w:bCs/>
                <w:sz w:val="20"/>
                <w:szCs w:val="20"/>
              </w:rPr>
            </w:pPr>
            <w:r w:rsidRPr="00DF4016">
              <w:rPr>
                <w:b/>
                <w:bCs/>
                <w:sz w:val="20"/>
                <w:szCs w:val="20"/>
              </w:rPr>
              <w:t>Time Per Response (</w:t>
            </w:r>
            <w:proofErr w:type="spellStart"/>
            <w:r w:rsidRPr="00DF4016">
              <w:rPr>
                <w:b/>
                <w:bCs/>
                <w:sz w:val="20"/>
                <w:szCs w:val="20"/>
              </w:rPr>
              <w:t>hr</w:t>
            </w:r>
            <w:proofErr w:type="spellEnd"/>
            <w:r w:rsidRPr="00DF4016">
              <w:rPr>
                <w:b/>
                <w:bCs/>
                <w:sz w:val="20"/>
                <w:szCs w:val="20"/>
              </w:rPr>
              <w:t>)</w:t>
            </w:r>
          </w:p>
        </w:tc>
        <w:tc>
          <w:tcPr>
            <w:tcW w:w="1071" w:type="dxa"/>
          </w:tcPr>
          <w:p w:rsidRPr="00DF4016" w:rsidR="003C6D38" w:rsidP="00715C78" w:rsidRDefault="003C6D38" w14:paraId="1E4380B1" w14:textId="77777777">
            <w:pPr>
              <w:keepNext/>
              <w:keepLines/>
              <w:tabs>
                <w:tab w:val="left" w:pos="6030"/>
              </w:tabs>
              <w:spacing w:line="276" w:lineRule="auto"/>
              <w:jc w:val="both"/>
              <w:rPr>
                <w:b/>
                <w:bCs/>
                <w:sz w:val="20"/>
                <w:szCs w:val="20"/>
              </w:rPr>
            </w:pPr>
            <w:r w:rsidRPr="00DF4016">
              <w:rPr>
                <w:b/>
                <w:bCs/>
                <w:sz w:val="20"/>
                <w:szCs w:val="20"/>
              </w:rPr>
              <w:t>Total Annual Time (</w:t>
            </w:r>
            <w:proofErr w:type="spellStart"/>
            <w:r w:rsidRPr="00DF4016">
              <w:rPr>
                <w:b/>
                <w:bCs/>
                <w:sz w:val="20"/>
                <w:szCs w:val="20"/>
              </w:rPr>
              <w:t>hr</w:t>
            </w:r>
            <w:proofErr w:type="spellEnd"/>
            <w:r w:rsidRPr="00DF4016">
              <w:rPr>
                <w:b/>
                <w:bCs/>
                <w:sz w:val="20"/>
                <w:szCs w:val="20"/>
              </w:rPr>
              <w:t>)</w:t>
            </w:r>
          </w:p>
        </w:tc>
        <w:tc>
          <w:tcPr>
            <w:tcW w:w="1068" w:type="dxa"/>
          </w:tcPr>
          <w:p w:rsidRPr="00DF4016" w:rsidR="003C6D38" w:rsidP="00715C78" w:rsidRDefault="003C6D38" w14:paraId="1EACC22C" w14:textId="77777777">
            <w:pPr>
              <w:keepNext/>
              <w:keepLines/>
              <w:tabs>
                <w:tab w:val="left" w:pos="6030"/>
              </w:tabs>
              <w:spacing w:line="276" w:lineRule="auto"/>
              <w:jc w:val="both"/>
              <w:rPr>
                <w:b/>
                <w:bCs/>
                <w:sz w:val="20"/>
                <w:szCs w:val="20"/>
              </w:rPr>
            </w:pPr>
            <w:r w:rsidRPr="00DF4016">
              <w:rPr>
                <w:b/>
                <w:bCs/>
                <w:sz w:val="20"/>
                <w:szCs w:val="20"/>
              </w:rPr>
              <w:t>Labor Cost ($/</w:t>
            </w:r>
            <w:proofErr w:type="spellStart"/>
            <w:r w:rsidRPr="00DF4016">
              <w:rPr>
                <w:b/>
                <w:bCs/>
                <w:sz w:val="20"/>
                <w:szCs w:val="20"/>
              </w:rPr>
              <w:t>hr</w:t>
            </w:r>
            <w:proofErr w:type="spellEnd"/>
            <w:r w:rsidRPr="00DF4016">
              <w:rPr>
                <w:b/>
                <w:bCs/>
                <w:sz w:val="20"/>
                <w:szCs w:val="20"/>
              </w:rPr>
              <w:t>)</w:t>
            </w:r>
          </w:p>
        </w:tc>
        <w:tc>
          <w:tcPr>
            <w:tcW w:w="1410" w:type="dxa"/>
          </w:tcPr>
          <w:p w:rsidRPr="00DF4016" w:rsidR="003C6D38" w:rsidP="00715C78" w:rsidRDefault="003C6D38" w14:paraId="64A1CA7A" w14:textId="77777777">
            <w:pPr>
              <w:keepNext/>
              <w:keepLines/>
              <w:tabs>
                <w:tab w:val="left" w:pos="6030"/>
              </w:tabs>
              <w:spacing w:line="276" w:lineRule="auto"/>
              <w:rPr>
                <w:b/>
                <w:bCs/>
                <w:sz w:val="20"/>
                <w:szCs w:val="20"/>
              </w:rPr>
            </w:pPr>
            <w:r w:rsidRPr="00DF4016">
              <w:rPr>
                <w:b/>
                <w:bCs/>
                <w:sz w:val="20"/>
                <w:szCs w:val="20"/>
              </w:rPr>
              <w:t>Total Annual Cost ($)</w:t>
            </w:r>
          </w:p>
        </w:tc>
      </w:tr>
      <w:tr w:rsidR="00DD286B" w:rsidTr="00D26368" w14:paraId="0BEC95A6" w14:textId="77777777">
        <w:tc>
          <w:tcPr>
            <w:tcW w:w="1251" w:type="dxa"/>
          </w:tcPr>
          <w:p w:rsidRPr="00BB7053" w:rsidR="00DD286B" w:rsidP="00715C78" w:rsidRDefault="00DD286B" w14:paraId="45186B32" w14:textId="1A38A79E">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Pr="00BB7053" w:rsidR="00DD286B" w:rsidP="00715C78" w:rsidRDefault="00B27E52" w14:paraId="54D5447D" w14:textId="0A831EC2">
            <w:pPr>
              <w:keepNext/>
              <w:keepLines/>
              <w:tabs>
                <w:tab w:val="left" w:pos="6030"/>
              </w:tabs>
              <w:spacing w:line="276" w:lineRule="auto"/>
              <w:jc w:val="right"/>
              <w:rPr>
                <w:sz w:val="20"/>
                <w:szCs w:val="20"/>
              </w:rPr>
            </w:pPr>
            <w:r>
              <w:rPr>
                <w:sz w:val="20"/>
                <w:szCs w:val="20"/>
              </w:rPr>
              <w:t>84</w:t>
            </w:r>
          </w:p>
        </w:tc>
        <w:tc>
          <w:tcPr>
            <w:tcW w:w="1168" w:type="dxa"/>
          </w:tcPr>
          <w:p w:rsidRPr="00BB7053" w:rsidR="00DD286B" w:rsidP="00715C78" w:rsidRDefault="00DD286B" w14:paraId="14B15BC2" w14:textId="16ABCE87">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373AF4" w14:paraId="7319EDFA" w14:textId="633FC174">
            <w:pPr>
              <w:keepNext/>
              <w:keepLines/>
              <w:tabs>
                <w:tab w:val="left" w:pos="6030"/>
              </w:tabs>
              <w:spacing w:line="276" w:lineRule="auto"/>
              <w:jc w:val="right"/>
              <w:rPr>
                <w:sz w:val="20"/>
                <w:szCs w:val="20"/>
              </w:rPr>
            </w:pPr>
            <w:r>
              <w:rPr>
                <w:sz w:val="20"/>
                <w:szCs w:val="20"/>
              </w:rPr>
              <w:t>8</w:t>
            </w:r>
            <w:r w:rsidR="00B27E52">
              <w:rPr>
                <w:sz w:val="20"/>
                <w:szCs w:val="20"/>
              </w:rPr>
              <w:t>4</w:t>
            </w:r>
          </w:p>
        </w:tc>
        <w:tc>
          <w:tcPr>
            <w:tcW w:w="1077" w:type="dxa"/>
          </w:tcPr>
          <w:p w:rsidRPr="00BB7053" w:rsidR="00DD286B" w:rsidP="00715C78" w:rsidRDefault="00B27E52" w14:paraId="44CB7B1E" w14:textId="1FED7C33">
            <w:pPr>
              <w:keepNext/>
              <w:keepLines/>
              <w:tabs>
                <w:tab w:val="left" w:pos="6030"/>
              </w:tabs>
              <w:spacing w:line="276" w:lineRule="auto"/>
              <w:jc w:val="right"/>
              <w:rPr>
                <w:sz w:val="20"/>
                <w:szCs w:val="20"/>
              </w:rPr>
            </w:pPr>
            <w:r>
              <w:rPr>
                <w:sz w:val="20"/>
                <w:szCs w:val="20"/>
              </w:rPr>
              <w:t>11.5</w:t>
            </w:r>
          </w:p>
        </w:tc>
        <w:tc>
          <w:tcPr>
            <w:tcW w:w="1071" w:type="dxa"/>
          </w:tcPr>
          <w:p w:rsidRPr="00BB7053" w:rsidR="00DD286B" w:rsidP="00715C78" w:rsidRDefault="009E2D29" w14:paraId="4D3F0BEF" w14:textId="74C26A12">
            <w:pPr>
              <w:keepNext/>
              <w:keepLines/>
              <w:tabs>
                <w:tab w:val="left" w:pos="6030"/>
              </w:tabs>
              <w:spacing w:line="276" w:lineRule="auto"/>
              <w:jc w:val="right"/>
              <w:rPr>
                <w:sz w:val="20"/>
                <w:szCs w:val="20"/>
              </w:rPr>
            </w:pPr>
            <w:r>
              <w:rPr>
                <w:sz w:val="20"/>
                <w:szCs w:val="20"/>
              </w:rPr>
              <w:t>1,176</w:t>
            </w:r>
          </w:p>
        </w:tc>
        <w:tc>
          <w:tcPr>
            <w:tcW w:w="1068" w:type="dxa"/>
          </w:tcPr>
          <w:p w:rsidRPr="00BB7053" w:rsidR="00DD286B" w:rsidP="00715C78" w:rsidRDefault="00DD286B" w14:paraId="06B9A818" w14:textId="0C504FE2">
            <w:pPr>
              <w:keepNext/>
              <w:keepLines/>
              <w:tabs>
                <w:tab w:val="left" w:pos="6030"/>
              </w:tabs>
              <w:spacing w:line="276" w:lineRule="auto"/>
              <w:jc w:val="right"/>
              <w:rPr>
                <w:sz w:val="20"/>
                <w:szCs w:val="20"/>
              </w:rPr>
            </w:pPr>
            <w:r>
              <w:rPr>
                <w:sz w:val="20"/>
                <w:szCs w:val="20"/>
              </w:rPr>
              <w:t>9</w:t>
            </w:r>
            <w:r w:rsidR="009E2D29">
              <w:rPr>
                <w:sz w:val="20"/>
                <w:szCs w:val="20"/>
              </w:rPr>
              <w:t>8</w:t>
            </w:r>
            <w:r w:rsidR="0048558B">
              <w:rPr>
                <w:sz w:val="20"/>
                <w:szCs w:val="20"/>
              </w:rPr>
              <w:t>.2</w:t>
            </w:r>
            <w:r w:rsidR="009E2D29">
              <w:rPr>
                <w:sz w:val="20"/>
                <w:szCs w:val="20"/>
              </w:rPr>
              <w:t>8</w:t>
            </w:r>
          </w:p>
        </w:tc>
        <w:tc>
          <w:tcPr>
            <w:tcW w:w="1410" w:type="dxa"/>
          </w:tcPr>
          <w:p w:rsidRPr="00BB7053" w:rsidR="00DD286B" w:rsidP="00715C78" w:rsidRDefault="000A6BE1" w14:paraId="1B725326" w14:textId="001537EB">
            <w:pPr>
              <w:keepNext/>
              <w:keepLines/>
              <w:tabs>
                <w:tab w:val="left" w:pos="6030"/>
              </w:tabs>
              <w:spacing w:line="276" w:lineRule="auto"/>
              <w:jc w:val="right"/>
              <w:rPr>
                <w:sz w:val="20"/>
                <w:szCs w:val="20"/>
              </w:rPr>
            </w:pPr>
            <w:r>
              <w:rPr>
                <w:sz w:val="20"/>
                <w:szCs w:val="20"/>
              </w:rPr>
              <w:t>115,577</w:t>
            </w:r>
          </w:p>
        </w:tc>
      </w:tr>
      <w:tr w:rsidR="00DD286B" w:rsidTr="00D26368" w14:paraId="3B546B42" w14:textId="77777777">
        <w:tc>
          <w:tcPr>
            <w:tcW w:w="1251" w:type="dxa"/>
          </w:tcPr>
          <w:p w:rsidRPr="00BB7053" w:rsidR="00DD286B" w:rsidP="00192E2E" w:rsidRDefault="00371D4F" w14:paraId="0E35C7AA" w14:textId="1EA5D2A1">
            <w:pPr>
              <w:keepNext/>
              <w:keepLines/>
              <w:tabs>
                <w:tab w:val="left" w:pos="6030"/>
              </w:tabs>
              <w:spacing w:line="276" w:lineRule="auto"/>
              <w:rPr>
                <w:sz w:val="20"/>
                <w:szCs w:val="20"/>
              </w:rPr>
            </w:pPr>
            <w:r>
              <w:rPr>
                <w:sz w:val="20"/>
                <w:szCs w:val="20"/>
              </w:rPr>
              <w:t>Proposed</w:t>
            </w:r>
            <w:r w:rsidR="008B6075">
              <w:rPr>
                <w:sz w:val="20"/>
                <w:szCs w:val="20"/>
              </w:rPr>
              <w:t xml:space="preserve"> </w:t>
            </w:r>
            <w:r w:rsidRPr="00A67FD9" w:rsidR="00A67FD9">
              <w:rPr>
                <w:sz w:val="20"/>
                <w:szCs w:val="20"/>
              </w:rPr>
              <w:t>(See Table 4)</w:t>
            </w:r>
          </w:p>
        </w:tc>
        <w:tc>
          <w:tcPr>
            <w:tcW w:w="1306" w:type="dxa"/>
          </w:tcPr>
          <w:p w:rsidRPr="00BB7053" w:rsidR="00DD286B" w:rsidP="00715C78" w:rsidRDefault="00B27E52" w14:paraId="40398DBD" w14:textId="5A8E3EEE">
            <w:pPr>
              <w:keepNext/>
              <w:keepLines/>
              <w:tabs>
                <w:tab w:val="left" w:pos="6030"/>
              </w:tabs>
              <w:spacing w:line="276" w:lineRule="auto"/>
              <w:jc w:val="right"/>
              <w:rPr>
                <w:sz w:val="20"/>
                <w:szCs w:val="20"/>
              </w:rPr>
            </w:pPr>
            <w:r>
              <w:rPr>
                <w:sz w:val="20"/>
                <w:szCs w:val="20"/>
              </w:rPr>
              <w:t>90</w:t>
            </w:r>
          </w:p>
        </w:tc>
        <w:tc>
          <w:tcPr>
            <w:tcW w:w="1168" w:type="dxa"/>
          </w:tcPr>
          <w:p w:rsidRPr="00BB7053" w:rsidR="00DD286B" w:rsidP="00715C78" w:rsidRDefault="00DD286B" w14:paraId="7AFF6259" w14:textId="2CB01981">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B27E52" w14:paraId="326CF69B" w14:textId="1E112580">
            <w:pPr>
              <w:keepNext/>
              <w:keepLines/>
              <w:tabs>
                <w:tab w:val="left" w:pos="6030"/>
              </w:tabs>
              <w:spacing w:line="276" w:lineRule="auto"/>
              <w:jc w:val="right"/>
              <w:rPr>
                <w:sz w:val="20"/>
                <w:szCs w:val="20"/>
              </w:rPr>
            </w:pPr>
            <w:r>
              <w:rPr>
                <w:sz w:val="20"/>
                <w:szCs w:val="20"/>
              </w:rPr>
              <w:t>90</w:t>
            </w:r>
          </w:p>
        </w:tc>
        <w:tc>
          <w:tcPr>
            <w:tcW w:w="1077" w:type="dxa"/>
          </w:tcPr>
          <w:p w:rsidRPr="00BB7053" w:rsidR="00DD286B" w:rsidP="00715C78" w:rsidRDefault="0048558B" w14:paraId="193D5EF8" w14:textId="6511177B">
            <w:pPr>
              <w:keepNext/>
              <w:keepLines/>
              <w:tabs>
                <w:tab w:val="left" w:pos="6030"/>
              </w:tabs>
              <w:spacing w:line="276" w:lineRule="auto"/>
              <w:jc w:val="right"/>
              <w:rPr>
                <w:sz w:val="20"/>
                <w:szCs w:val="20"/>
              </w:rPr>
            </w:pPr>
            <w:r>
              <w:rPr>
                <w:sz w:val="20"/>
                <w:szCs w:val="20"/>
              </w:rPr>
              <w:t>11.5</w:t>
            </w:r>
          </w:p>
        </w:tc>
        <w:tc>
          <w:tcPr>
            <w:tcW w:w="1071" w:type="dxa"/>
          </w:tcPr>
          <w:p w:rsidRPr="00BB7053" w:rsidR="00DD286B" w:rsidP="00715C78" w:rsidRDefault="00A4046A" w14:paraId="62710E95" w14:textId="12D86EB4">
            <w:pPr>
              <w:keepNext/>
              <w:keepLines/>
              <w:tabs>
                <w:tab w:val="left" w:pos="6030"/>
              </w:tabs>
              <w:spacing w:line="276" w:lineRule="auto"/>
              <w:jc w:val="right"/>
              <w:rPr>
                <w:sz w:val="20"/>
                <w:szCs w:val="20"/>
              </w:rPr>
            </w:pPr>
            <w:r>
              <w:rPr>
                <w:sz w:val="20"/>
                <w:szCs w:val="20"/>
              </w:rPr>
              <w:t>1</w:t>
            </w:r>
            <w:r w:rsidR="00DB285C">
              <w:rPr>
                <w:sz w:val="20"/>
                <w:szCs w:val="20"/>
              </w:rPr>
              <w:t>,</w:t>
            </w:r>
            <w:r w:rsidR="009E2D29">
              <w:rPr>
                <w:sz w:val="20"/>
                <w:szCs w:val="20"/>
              </w:rPr>
              <w:t>035</w:t>
            </w:r>
          </w:p>
        </w:tc>
        <w:tc>
          <w:tcPr>
            <w:tcW w:w="1068" w:type="dxa"/>
          </w:tcPr>
          <w:p w:rsidRPr="00BB7053" w:rsidR="00DD286B" w:rsidP="00715C78" w:rsidRDefault="00DD286B" w14:paraId="264956B4" w14:textId="033B50B6">
            <w:pPr>
              <w:keepNext/>
              <w:keepLines/>
              <w:tabs>
                <w:tab w:val="left" w:pos="6030"/>
              </w:tabs>
              <w:spacing w:line="276" w:lineRule="auto"/>
              <w:jc w:val="right"/>
              <w:rPr>
                <w:sz w:val="20"/>
                <w:szCs w:val="20"/>
              </w:rPr>
            </w:pPr>
            <w:r>
              <w:rPr>
                <w:sz w:val="20"/>
                <w:szCs w:val="20"/>
              </w:rPr>
              <w:t>9</w:t>
            </w:r>
            <w:r w:rsidR="009E2D29">
              <w:rPr>
                <w:sz w:val="20"/>
                <w:szCs w:val="20"/>
              </w:rPr>
              <w:t>8</w:t>
            </w:r>
            <w:r w:rsidR="00A4046A">
              <w:rPr>
                <w:sz w:val="20"/>
                <w:szCs w:val="20"/>
              </w:rPr>
              <w:t>.2</w:t>
            </w:r>
            <w:r w:rsidR="009E2D29">
              <w:rPr>
                <w:sz w:val="20"/>
                <w:szCs w:val="20"/>
              </w:rPr>
              <w:t>8</w:t>
            </w:r>
          </w:p>
        </w:tc>
        <w:tc>
          <w:tcPr>
            <w:tcW w:w="1410" w:type="dxa"/>
          </w:tcPr>
          <w:p w:rsidRPr="00BB7053" w:rsidR="00DD286B" w:rsidP="00715C78" w:rsidRDefault="002C2326" w14:paraId="668FF26F" w14:textId="6D09E954">
            <w:pPr>
              <w:keepNext/>
              <w:keepLines/>
              <w:tabs>
                <w:tab w:val="left" w:pos="6030"/>
              </w:tabs>
              <w:spacing w:line="276" w:lineRule="auto"/>
              <w:jc w:val="right"/>
              <w:rPr>
                <w:sz w:val="20"/>
                <w:szCs w:val="20"/>
              </w:rPr>
            </w:pPr>
            <w:r>
              <w:rPr>
                <w:sz w:val="20"/>
                <w:szCs w:val="20"/>
              </w:rPr>
              <w:t>1</w:t>
            </w:r>
            <w:r w:rsidR="000A6BE1">
              <w:rPr>
                <w:sz w:val="20"/>
                <w:szCs w:val="20"/>
              </w:rPr>
              <w:t>01</w:t>
            </w:r>
            <w:r w:rsidR="00C12212">
              <w:rPr>
                <w:sz w:val="20"/>
                <w:szCs w:val="20"/>
              </w:rPr>
              <w:t>,</w:t>
            </w:r>
            <w:r w:rsidR="000A6BE1">
              <w:rPr>
                <w:sz w:val="20"/>
                <w:szCs w:val="20"/>
              </w:rPr>
              <w:t>72</w:t>
            </w:r>
            <w:r w:rsidR="00C12212">
              <w:rPr>
                <w:sz w:val="20"/>
                <w:szCs w:val="20"/>
              </w:rPr>
              <w:t>0</w:t>
            </w:r>
          </w:p>
        </w:tc>
      </w:tr>
      <w:tr w:rsidR="00C12212" w:rsidTr="00D26368" w14:paraId="2D4E4EE2" w14:textId="77777777">
        <w:tc>
          <w:tcPr>
            <w:tcW w:w="1251" w:type="dxa"/>
            <w:shd w:val="clear" w:color="auto" w:fill="D9D9D9" w:themeFill="background1" w:themeFillShade="D9"/>
          </w:tcPr>
          <w:p w:rsidRPr="00BB7053" w:rsidR="00DD286B" w:rsidP="00715C78" w:rsidRDefault="00DD286B" w14:paraId="30A3A223"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D286B" w:rsidP="00715C78" w:rsidRDefault="00373AF4" w14:paraId="108FE66B" w14:textId="304928D6">
            <w:pPr>
              <w:keepNext/>
              <w:keepLines/>
              <w:tabs>
                <w:tab w:val="left" w:pos="6030"/>
              </w:tabs>
              <w:spacing w:line="276" w:lineRule="auto"/>
              <w:jc w:val="right"/>
              <w:rPr>
                <w:sz w:val="20"/>
                <w:szCs w:val="20"/>
              </w:rPr>
            </w:pPr>
            <w:r>
              <w:rPr>
                <w:sz w:val="20"/>
                <w:szCs w:val="20"/>
              </w:rPr>
              <w:t>+</w:t>
            </w:r>
            <w:r w:rsidR="00B27E52">
              <w:rPr>
                <w:sz w:val="20"/>
                <w:szCs w:val="20"/>
              </w:rPr>
              <w:t>6</w:t>
            </w:r>
          </w:p>
        </w:tc>
        <w:tc>
          <w:tcPr>
            <w:tcW w:w="1168" w:type="dxa"/>
            <w:shd w:val="clear" w:color="auto" w:fill="D9D9D9" w:themeFill="background1" w:themeFillShade="D9"/>
          </w:tcPr>
          <w:p w:rsidRPr="00BB7053" w:rsidR="00DD286B" w:rsidP="00715C78" w:rsidRDefault="00DD286B" w14:paraId="7B875835" w14:textId="367AD47F">
            <w:pPr>
              <w:keepNext/>
              <w:keepLines/>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DD286B" w:rsidP="00715C78" w:rsidRDefault="00373AF4" w14:paraId="124FD215" w14:textId="01B0742F">
            <w:pPr>
              <w:keepNext/>
              <w:keepLines/>
              <w:tabs>
                <w:tab w:val="left" w:pos="6030"/>
              </w:tabs>
              <w:spacing w:line="276" w:lineRule="auto"/>
              <w:jc w:val="right"/>
              <w:rPr>
                <w:sz w:val="20"/>
                <w:szCs w:val="20"/>
              </w:rPr>
            </w:pPr>
            <w:r>
              <w:rPr>
                <w:sz w:val="20"/>
                <w:szCs w:val="20"/>
              </w:rPr>
              <w:t>+</w:t>
            </w:r>
            <w:r w:rsidR="00B27E52">
              <w:rPr>
                <w:sz w:val="20"/>
                <w:szCs w:val="20"/>
              </w:rPr>
              <w:t>6</w:t>
            </w:r>
          </w:p>
        </w:tc>
        <w:tc>
          <w:tcPr>
            <w:tcW w:w="1077" w:type="dxa"/>
            <w:shd w:val="clear" w:color="auto" w:fill="D9D9D9" w:themeFill="background1" w:themeFillShade="D9"/>
          </w:tcPr>
          <w:p w:rsidRPr="00BB7053" w:rsidR="00DD286B" w:rsidP="00715C78" w:rsidRDefault="00B27E52" w14:paraId="1B3B279A" w14:textId="6965EBC4">
            <w:pPr>
              <w:keepNext/>
              <w:keepLines/>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DD286B" w:rsidP="00715C78" w:rsidRDefault="009E2D29" w14:paraId="476B0CB9" w14:textId="131D7E23">
            <w:pPr>
              <w:keepNext/>
              <w:keepLines/>
              <w:tabs>
                <w:tab w:val="left" w:pos="6030"/>
              </w:tabs>
              <w:spacing w:line="276" w:lineRule="auto"/>
              <w:jc w:val="right"/>
              <w:rPr>
                <w:sz w:val="20"/>
                <w:szCs w:val="20"/>
              </w:rPr>
            </w:pPr>
            <w:r>
              <w:rPr>
                <w:sz w:val="20"/>
                <w:szCs w:val="20"/>
              </w:rPr>
              <w:t>-141</w:t>
            </w:r>
          </w:p>
        </w:tc>
        <w:tc>
          <w:tcPr>
            <w:tcW w:w="1068" w:type="dxa"/>
            <w:shd w:val="clear" w:color="auto" w:fill="D9D9D9" w:themeFill="background1" w:themeFillShade="D9"/>
          </w:tcPr>
          <w:p w:rsidRPr="00BB7053" w:rsidR="00DD286B" w:rsidP="00715C78" w:rsidRDefault="00DD286B" w14:paraId="70D3DD83" w14:textId="17352B62">
            <w:pPr>
              <w:keepNext/>
              <w:keepLines/>
              <w:tabs>
                <w:tab w:val="left" w:pos="6030"/>
              </w:tabs>
              <w:spacing w:line="276" w:lineRule="auto"/>
              <w:jc w:val="right"/>
              <w:rPr>
                <w:sz w:val="20"/>
                <w:szCs w:val="20"/>
              </w:rPr>
            </w:pPr>
            <w:r w:rsidRPr="00224344">
              <w:rPr>
                <w:sz w:val="20"/>
                <w:szCs w:val="20"/>
              </w:rPr>
              <w:t>No change</w:t>
            </w:r>
          </w:p>
        </w:tc>
        <w:tc>
          <w:tcPr>
            <w:tcW w:w="1410" w:type="dxa"/>
            <w:shd w:val="clear" w:color="auto" w:fill="D9D9D9" w:themeFill="background1" w:themeFillShade="D9"/>
          </w:tcPr>
          <w:p w:rsidRPr="00BB7053" w:rsidR="00DD286B" w:rsidP="00715C78" w:rsidRDefault="000A6BE1" w14:paraId="0AE5CF4C" w14:textId="688175A1">
            <w:pPr>
              <w:keepNext/>
              <w:keepLines/>
              <w:tabs>
                <w:tab w:val="left" w:pos="6030"/>
              </w:tabs>
              <w:spacing w:line="276" w:lineRule="auto"/>
              <w:jc w:val="right"/>
              <w:rPr>
                <w:sz w:val="20"/>
                <w:szCs w:val="20"/>
              </w:rPr>
            </w:pPr>
            <w:r>
              <w:rPr>
                <w:sz w:val="20"/>
                <w:szCs w:val="20"/>
              </w:rPr>
              <w:t>-13,857</w:t>
            </w:r>
          </w:p>
        </w:tc>
      </w:tr>
      <w:bookmarkEnd w:id="25"/>
    </w:tbl>
    <w:p w:rsidR="003C6D38" w:rsidP="00BB7053" w:rsidRDefault="003C6D38" w14:paraId="2C714B98" w14:textId="777E9EF8">
      <w:pPr>
        <w:tabs>
          <w:tab w:val="left" w:pos="6030"/>
        </w:tabs>
        <w:spacing w:line="276" w:lineRule="auto"/>
        <w:jc w:val="both"/>
      </w:pPr>
    </w:p>
    <w:p w:rsidR="00F76B0E" w:rsidP="00F76B0E" w:rsidRDefault="00F76B0E" w14:paraId="34BA9A5C" w14:textId="32231FAB">
      <w:pPr>
        <w:keepNext/>
        <w:keepLines/>
        <w:jc w:val="center"/>
        <w:rPr>
          <w:b/>
          <w:bCs/>
        </w:rPr>
      </w:pPr>
      <w:r w:rsidRPr="00B30713">
        <w:rPr>
          <w:rFonts w:eastAsia="Calibri"/>
          <w:b/>
          <w:bCs/>
        </w:rPr>
        <w:t xml:space="preserve">TABLE </w:t>
      </w:r>
      <w:r>
        <w:rPr>
          <w:rFonts w:eastAsia="Calibri"/>
          <w:b/>
          <w:bCs/>
        </w:rPr>
        <w:t>30C</w:t>
      </w:r>
      <w:r w:rsidRPr="00B30713">
        <w:rPr>
          <w:rFonts w:eastAsia="Calibri"/>
          <w:b/>
          <w:bCs/>
        </w:rPr>
        <w:t xml:space="preserve">: Burden Reconciliation for </w:t>
      </w:r>
      <w:r>
        <w:rPr>
          <w:rFonts w:eastAsia="Calibri"/>
          <w:b/>
          <w:bCs/>
        </w:rPr>
        <w:t>Third Party Intermediary Plan Audits</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6C28D8" w:rsidTr="006330BC" w14:paraId="1CEC1EF4" w14:textId="77777777">
        <w:trPr>
          <w:tblHeader/>
        </w:trPr>
        <w:tc>
          <w:tcPr>
            <w:tcW w:w="1251" w:type="dxa"/>
          </w:tcPr>
          <w:p w:rsidRPr="00DF4016" w:rsidR="00F76B0E" w:rsidP="006330BC" w:rsidRDefault="00F76B0E" w14:paraId="75C08F44"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F76B0E" w:rsidP="006330BC" w:rsidRDefault="00F76B0E" w14:paraId="7745075B"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F76B0E" w:rsidP="006330BC" w:rsidRDefault="00F76B0E" w14:paraId="2E381E61"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F76B0E" w:rsidP="006330BC" w:rsidRDefault="00F76B0E" w14:paraId="39F22D81"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F76B0E" w:rsidP="006330BC" w:rsidRDefault="00F76B0E" w14:paraId="1AC88588" w14:textId="77777777">
            <w:pPr>
              <w:keepNext/>
              <w:keepLines/>
              <w:tabs>
                <w:tab w:val="left" w:pos="6030"/>
              </w:tabs>
              <w:spacing w:line="276" w:lineRule="auto"/>
              <w:rPr>
                <w:b/>
                <w:bCs/>
                <w:sz w:val="20"/>
                <w:szCs w:val="20"/>
              </w:rPr>
            </w:pPr>
            <w:r w:rsidRPr="00DF4016">
              <w:rPr>
                <w:b/>
                <w:bCs/>
                <w:sz w:val="20"/>
                <w:szCs w:val="20"/>
              </w:rPr>
              <w:t>Time Per Response (</w:t>
            </w:r>
            <w:proofErr w:type="spellStart"/>
            <w:r w:rsidRPr="00DF4016">
              <w:rPr>
                <w:b/>
                <w:bCs/>
                <w:sz w:val="20"/>
                <w:szCs w:val="20"/>
              </w:rPr>
              <w:t>hr</w:t>
            </w:r>
            <w:proofErr w:type="spellEnd"/>
            <w:r w:rsidRPr="00DF4016">
              <w:rPr>
                <w:b/>
                <w:bCs/>
                <w:sz w:val="20"/>
                <w:szCs w:val="20"/>
              </w:rPr>
              <w:t>)</w:t>
            </w:r>
          </w:p>
        </w:tc>
        <w:tc>
          <w:tcPr>
            <w:tcW w:w="1071" w:type="dxa"/>
          </w:tcPr>
          <w:p w:rsidRPr="00DF4016" w:rsidR="00F76B0E" w:rsidP="006330BC" w:rsidRDefault="00F76B0E" w14:paraId="19B779D1" w14:textId="77777777">
            <w:pPr>
              <w:keepNext/>
              <w:keepLines/>
              <w:tabs>
                <w:tab w:val="left" w:pos="6030"/>
              </w:tabs>
              <w:spacing w:line="276" w:lineRule="auto"/>
              <w:jc w:val="both"/>
              <w:rPr>
                <w:b/>
                <w:bCs/>
                <w:sz w:val="20"/>
                <w:szCs w:val="20"/>
              </w:rPr>
            </w:pPr>
            <w:r w:rsidRPr="00DF4016">
              <w:rPr>
                <w:b/>
                <w:bCs/>
                <w:sz w:val="20"/>
                <w:szCs w:val="20"/>
              </w:rPr>
              <w:t>Total Annual Time (</w:t>
            </w:r>
            <w:proofErr w:type="spellStart"/>
            <w:r w:rsidRPr="00DF4016">
              <w:rPr>
                <w:b/>
                <w:bCs/>
                <w:sz w:val="20"/>
                <w:szCs w:val="20"/>
              </w:rPr>
              <w:t>hr</w:t>
            </w:r>
            <w:proofErr w:type="spellEnd"/>
            <w:r w:rsidRPr="00DF4016">
              <w:rPr>
                <w:b/>
                <w:bCs/>
                <w:sz w:val="20"/>
                <w:szCs w:val="20"/>
              </w:rPr>
              <w:t>)</w:t>
            </w:r>
          </w:p>
        </w:tc>
        <w:tc>
          <w:tcPr>
            <w:tcW w:w="1068" w:type="dxa"/>
          </w:tcPr>
          <w:p w:rsidRPr="00DF4016" w:rsidR="00F76B0E" w:rsidP="006330BC" w:rsidRDefault="00F76B0E" w14:paraId="2EC8FE60" w14:textId="77777777">
            <w:pPr>
              <w:keepNext/>
              <w:keepLines/>
              <w:tabs>
                <w:tab w:val="left" w:pos="6030"/>
              </w:tabs>
              <w:spacing w:line="276" w:lineRule="auto"/>
              <w:jc w:val="both"/>
              <w:rPr>
                <w:b/>
                <w:bCs/>
                <w:sz w:val="20"/>
                <w:szCs w:val="20"/>
              </w:rPr>
            </w:pPr>
            <w:r w:rsidRPr="00DF4016">
              <w:rPr>
                <w:b/>
                <w:bCs/>
                <w:sz w:val="20"/>
                <w:szCs w:val="20"/>
              </w:rPr>
              <w:t>Labor Cost ($/</w:t>
            </w:r>
            <w:proofErr w:type="spellStart"/>
            <w:r w:rsidRPr="00DF4016">
              <w:rPr>
                <w:b/>
                <w:bCs/>
                <w:sz w:val="20"/>
                <w:szCs w:val="20"/>
              </w:rPr>
              <w:t>hr</w:t>
            </w:r>
            <w:proofErr w:type="spellEnd"/>
            <w:r w:rsidRPr="00DF4016">
              <w:rPr>
                <w:b/>
                <w:bCs/>
                <w:sz w:val="20"/>
                <w:szCs w:val="20"/>
              </w:rPr>
              <w:t>)</w:t>
            </w:r>
          </w:p>
        </w:tc>
        <w:tc>
          <w:tcPr>
            <w:tcW w:w="1410" w:type="dxa"/>
          </w:tcPr>
          <w:p w:rsidRPr="00DF4016" w:rsidR="00F76B0E" w:rsidP="006330BC" w:rsidRDefault="00F76B0E" w14:paraId="6FD36C3C" w14:textId="77777777">
            <w:pPr>
              <w:keepNext/>
              <w:keepLines/>
              <w:tabs>
                <w:tab w:val="left" w:pos="6030"/>
              </w:tabs>
              <w:spacing w:line="276" w:lineRule="auto"/>
              <w:rPr>
                <w:b/>
                <w:bCs/>
                <w:sz w:val="20"/>
                <w:szCs w:val="20"/>
              </w:rPr>
            </w:pPr>
            <w:r w:rsidRPr="00DF4016">
              <w:rPr>
                <w:b/>
                <w:bCs/>
                <w:sz w:val="20"/>
                <w:szCs w:val="20"/>
              </w:rPr>
              <w:t>Total Annual Cost ($)</w:t>
            </w:r>
          </w:p>
        </w:tc>
      </w:tr>
      <w:tr w:rsidR="006C28D8" w:rsidTr="006330BC" w14:paraId="0A39EE6F" w14:textId="77777777">
        <w:tc>
          <w:tcPr>
            <w:tcW w:w="1251" w:type="dxa"/>
          </w:tcPr>
          <w:p w:rsidRPr="00BB7053" w:rsidR="00F76B0E" w:rsidP="006330BC" w:rsidRDefault="00F76B0E" w14:paraId="296C3283" w14:textId="77777777">
            <w:pPr>
              <w:keepNext/>
              <w:keepLines/>
              <w:tabs>
                <w:tab w:val="left" w:pos="6030"/>
              </w:tabs>
              <w:spacing w:line="276" w:lineRule="auto"/>
              <w:jc w:val="both"/>
              <w:rPr>
                <w:sz w:val="20"/>
                <w:szCs w:val="20"/>
              </w:rPr>
            </w:pPr>
            <w:r>
              <w:rPr>
                <w:sz w:val="20"/>
                <w:szCs w:val="20"/>
              </w:rPr>
              <w:t xml:space="preserve">Currently Approved </w:t>
            </w:r>
          </w:p>
        </w:tc>
        <w:tc>
          <w:tcPr>
            <w:tcW w:w="1306" w:type="dxa"/>
          </w:tcPr>
          <w:p w:rsidRPr="00BB7053" w:rsidR="00F76B0E" w:rsidP="006330BC" w:rsidRDefault="00153914" w14:paraId="36DA8416" w14:textId="561B5FDA">
            <w:pPr>
              <w:keepNext/>
              <w:keepLines/>
              <w:tabs>
                <w:tab w:val="left" w:pos="6030"/>
              </w:tabs>
              <w:spacing w:line="276" w:lineRule="auto"/>
              <w:jc w:val="right"/>
              <w:rPr>
                <w:sz w:val="20"/>
                <w:szCs w:val="20"/>
              </w:rPr>
            </w:pPr>
            <w:r>
              <w:rPr>
                <w:sz w:val="20"/>
                <w:szCs w:val="20"/>
              </w:rPr>
              <w:t>N/A</w:t>
            </w:r>
          </w:p>
        </w:tc>
        <w:tc>
          <w:tcPr>
            <w:tcW w:w="1168" w:type="dxa"/>
          </w:tcPr>
          <w:p w:rsidRPr="00BB7053" w:rsidR="00F76B0E" w:rsidP="006330BC" w:rsidRDefault="00153914" w14:paraId="780A182E" w14:textId="733920C2">
            <w:pPr>
              <w:keepNext/>
              <w:keepLines/>
              <w:tabs>
                <w:tab w:val="left" w:pos="6030"/>
              </w:tabs>
              <w:spacing w:line="276" w:lineRule="auto"/>
              <w:jc w:val="right"/>
              <w:rPr>
                <w:sz w:val="20"/>
                <w:szCs w:val="20"/>
              </w:rPr>
            </w:pPr>
            <w:r>
              <w:rPr>
                <w:sz w:val="20"/>
                <w:szCs w:val="20"/>
              </w:rPr>
              <w:t>N/A</w:t>
            </w:r>
          </w:p>
        </w:tc>
        <w:tc>
          <w:tcPr>
            <w:tcW w:w="1094" w:type="dxa"/>
          </w:tcPr>
          <w:p w:rsidRPr="00BB7053" w:rsidR="00F76B0E" w:rsidP="006330BC" w:rsidRDefault="00153914" w14:paraId="364E94E6" w14:textId="3B0600DC">
            <w:pPr>
              <w:keepNext/>
              <w:keepLines/>
              <w:tabs>
                <w:tab w:val="left" w:pos="6030"/>
              </w:tabs>
              <w:spacing w:line="276" w:lineRule="auto"/>
              <w:jc w:val="right"/>
              <w:rPr>
                <w:sz w:val="20"/>
                <w:szCs w:val="20"/>
              </w:rPr>
            </w:pPr>
            <w:r>
              <w:rPr>
                <w:sz w:val="20"/>
                <w:szCs w:val="20"/>
              </w:rPr>
              <w:t>N/A</w:t>
            </w:r>
          </w:p>
        </w:tc>
        <w:tc>
          <w:tcPr>
            <w:tcW w:w="1077" w:type="dxa"/>
          </w:tcPr>
          <w:p w:rsidRPr="00BB7053" w:rsidR="00F76B0E" w:rsidP="006330BC" w:rsidRDefault="00153914" w14:paraId="7FB2FC84" w14:textId="705BCEC3">
            <w:pPr>
              <w:keepNext/>
              <w:keepLines/>
              <w:tabs>
                <w:tab w:val="left" w:pos="6030"/>
              </w:tabs>
              <w:spacing w:line="276" w:lineRule="auto"/>
              <w:jc w:val="right"/>
              <w:rPr>
                <w:sz w:val="20"/>
                <w:szCs w:val="20"/>
              </w:rPr>
            </w:pPr>
            <w:r>
              <w:rPr>
                <w:sz w:val="20"/>
                <w:szCs w:val="20"/>
              </w:rPr>
              <w:t>N/A</w:t>
            </w:r>
          </w:p>
        </w:tc>
        <w:tc>
          <w:tcPr>
            <w:tcW w:w="1071" w:type="dxa"/>
          </w:tcPr>
          <w:p w:rsidRPr="00BB7053" w:rsidR="00F76B0E" w:rsidP="006330BC" w:rsidRDefault="00153914" w14:paraId="108E404D" w14:textId="0D17FCB0">
            <w:pPr>
              <w:keepNext/>
              <w:keepLines/>
              <w:tabs>
                <w:tab w:val="left" w:pos="6030"/>
              </w:tabs>
              <w:spacing w:line="276" w:lineRule="auto"/>
              <w:jc w:val="right"/>
              <w:rPr>
                <w:sz w:val="20"/>
                <w:szCs w:val="20"/>
              </w:rPr>
            </w:pPr>
            <w:r>
              <w:rPr>
                <w:sz w:val="20"/>
                <w:szCs w:val="20"/>
              </w:rPr>
              <w:t>N/A</w:t>
            </w:r>
          </w:p>
        </w:tc>
        <w:tc>
          <w:tcPr>
            <w:tcW w:w="1068" w:type="dxa"/>
          </w:tcPr>
          <w:p w:rsidRPr="00BB7053" w:rsidR="00F76B0E" w:rsidP="006330BC" w:rsidRDefault="00F6743B" w14:paraId="3C4596A0" w14:textId="6C45AA80">
            <w:pPr>
              <w:keepNext/>
              <w:keepLines/>
              <w:tabs>
                <w:tab w:val="left" w:pos="6030"/>
              </w:tabs>
              <w:spacing w:line="276" w:lineRule="auto"/>
              <w:jc w:val="right"/>
              <w:rPr>
                <w:sz w:val="20"/>
                <w:szCs w:val="20"/>
              </w:rPr>
            </w:pPr>
            <w:r>
              <w:rPr>
                <w:sz w:val="20"/>
                <w:szCs w:val="20"/>
              </w:rPr>
              <w:t>N/A</w:t>
            </w:r>
          </w:p>
        </w:tc>
        <w:tc>
          <w:tcPr>
            <w:tcW w:w="1410" w:type="dxa"/>
          </w:tcPr>
          <w:p w:rsidRPr="00BB7053" w:rsidR="00F76B0E" w:rsidP="006330BC" w:rsidRDefault="00F6743B" w14:paraId="54B04AFF" w14:textId="47AAE40A">
            <w:pPr>
              <w:keepNext/>
              <w:keepLines/>
              <w:tabs>
                <w:tab w:val="left" w:pos="6030"/>
              </w:tabs>
              <w:spacing w:line="276" w:lineRule="auto"/>
              <w:jc w:val="right"/>
              <w:rPr>
                <w:sz w:val="20"/>
                <w:szCs w:val="20"/>
              </w:rPr>
            </w:pPr>
            <w:r>
              <w:rPr>
                <w:sz w:val="20"/>
                <w:szCs w:val="20"/>
              </w:rPr>
              <w:t>N/A</w:t>
            </w:r>
          </w:p>
        </w:tc>
      </w:tr>
      <w:tr w:rsidR="006C28D8" w:rsidTr="006330BC" w14:paraId="6FDAA899" w14:textId="77777777">
        <w:tc>
          <w:tcPr>
            <w:tcW w:w="1251" w:type="dxa"/>
          </w:tcPr>
          <w:p w:rsidRPr="00BB7053" w:rsidR="00F76B0E" w:rsidP="006330BC" w:rsidRDefault="00F76B0E" w14:paraId="6B7CCAF9" w14:textId="01FB3113">
            <w:pPr>
              <w:keepNext/>
              <w:keepLines/>
              <w:tabs>
                <w:tab w:val="left" w:pos="6030"/>
              </w:tabs>
              <w:spacing w:line="276" w:lineRule="auto"/>
              <w:rPr>
                <w:sz w:val="20"/>
                <w:szCs w:val="20"/>
              </w:rPr>
            </w:pPr>
            <w:r>
              <w:rPr>
                <w:sz w:val="20"/>
                <w:szCs w:val="20"/>
              </w:rPr>
              <w:t xml:space="preserve">Proposed </w:t>
            </w:r>
            <w:r w:rsidRPr="00A67FD9">
              <w:rPr>
                <w:sz w:val="20"/>
                <w:szCs w:val="20"/>
              </w:rPr>
              <w:t xml:space="preserve">(See Table </w:t>
            </w:r>
            <w:r w:rsidR="00EC7941">
              <w:rPr>
                <w:sz w:val="20"/>
                <w:szCs w:val="20"/>
              </w:rPr>
              <w:t>6</w:t>
            </w:r>
            <w:r w:rsidRPr="00A67FD9">
              <w:rPr>
                <w:sz w:val="20"/>
                <w:szCs w:val="20"/>
              </w:rPr>
              <w:t>)</w:t>
            </w:r>
          </w:p>
        </w:tc>
        <w:tc>
          <w:tcPr>
            <w:tcW w:w="1306" w:type="dxa"/>
          </w:tcPr>
          <w:p w:rsidRPr="00BB7053" w:rsidR="00F76B0E" w:rsidP="006330BC" w:rsidRDefault="00EC7941" w14:paraId="2D83AA92" w14:textId="1C96466C">
            <w:pPr>
              <w:keepNext/>
              <w:keepLines/>
              <w:tabs>
                <w:tab w:val="left" w:pos="6030"/>
              </w:tabs>
              <w:spacing w:line="276" w:lineRule="auto"/>
              <w:jc w:val="right"/>
              <w:rPr>
                <w:sz w:val="20"/>
                <w:szCs w:val="20"/>
              </w:rPr>
            </w:pPr>
            <w:r>
              <w:rPr>
                <w:sz w:val="20"/>
                <w:szCs w:val="20"/>
              </w:rPr>
              <w:t>124</w:t>
            </w:r>
          </w:p>
        </w:tc>
        <w:tc>
          <w:tcPr>
            <w:tcW w:w="1168" w:type="dxa"/>
          </w:tcPr>
          <w:p w:rsidRPr="00BB7053" w:rsidR="00F76B0E" w:rsidP="006330BC" w:rsidRDefault="00F76B0E" w14:paraId="2F335D1C" w14:textId="77777777">
            <w:pPr>
              <w:keepNext/>
              <w:keepLines/>
              <w:tabs>
                <w:tab w:val="left" w:pos="6030"/>
              </w:tabs>
              <w:spacing w:line="276" w:lineRule="auto"/>
              <w:jc w:val="right"/>
              <w:rPr>
                <w:sz w:val="20"/>
                <w:szCs w:val="20"/>
              </w:rPr>
            </w:pPr>
            <w:r>
              <w:rPr>
                <w:sz w:val="20"/>
                <w:szCs w:val="20"/>
              </w:rPr>
              <w:t>1</w:t>
            </w:r>
          </w:p>
        </w:tc>
        <w:tc>
          <w:tcPr>
            <w:tcW w:w="1094" w:type="dxa"/>
          </w:tcPr>
          <w:p w:rsidRPr="00BB7053" w:rsidR="00F76B0E" w:rsidP="006330BC" w:rsidRDefault="00EC7941" w14:paraId="6087CC3E" w14:textId="4C1870A2">
            <w:pPr>
              <w:keepNext/>
              <w:keepLines/>
              <w:tabs>
                <w:tab w:val="left" w:pos="6030"/>
              </w:tabs>
              <w:spacing w:line="276" w:lineRule="auto"/>
              <w:jc w:val="right"/>
              <w:rPr>
                <w:sz w:val="20"/>
                <w:szCs w:val="20"/>
              </w:rPr>
            </w:pPr>
            <w:r>
              <w:rPr>
                <w:sz w:val="20"/>
                <w:szCs w:val="20"/>
              </w:rPr>
              <w:t>124</w:t>
            </w:r>
          </w:p>
        </w:tc>
        <w:tc>
          <w:tcPr>
            <w:tcW w:w="1077" w:type="dxa"/>
          </w:tcPr>
          <w:p w:rsidRPr="00BB7053" w:rsidR="00F76B0E" w:rsidP="006330BC" w:rsidRDefault="00153914" w14:paraId="54B354E4" w14:textId="60A5C7B3">
            <w:pPr>
              <w:keepNext/>
              <w:keepLines/>
              <w:tabs>
                <w:tab w:val="left" w:pos="6030"/>
              </w:tabs>
              <w:spacing w:line="276" w:lineRule="auto"/>
              <w:jc w:val="right"/>
              <w:rPr>
                <w:sz w:val="20"/>
                <w:szCs w:val="20"/>
              </w:rPr>
            </w:pPr>
            <w:r>
              <w:rPr>
                <w:sz w:val="20"/>
                <w:szCs w:val="20"/>
              </w:rPr>
              <w:t>Varies</w:t>
            </w:r>
          </w:p>
        </w:tc>
        <w:tc>
          <w:tcPr>
            <w:tcW w:w="1071" w:type="dxa"/>
          </w:tcPr>
          <w:p w:rsidRPr="00BB7053" w:rsidR="00F76B0E" w:rsidP="006330BC" w:rsidRDefault="006C28D8" w14:paraId="7ECC9E05" w14:textId="52EAF77E">
            <w:pPr>
              <w:keepNext/>
              <w:keepLines/>
              <w:tabs>
                <w:tab w:val="left" w:pos="6030"/>
              </w:tabs>
              <w:spacing w:line="276" w:lineRule="auto"/>
              <w:jc w:val="right"/>
              <w:rPr>
                <w:sz w:val="20"/>
                <w:szCs w:val="20"/>
              </w:rPr>
            </w:pPr>
            <w:r>
              <w:rPr>
                <w:sz w:val="20"/>
                <w:szCs w:val="20"/>
              </w:rPr>
              <w:t>832</w:t>
            </w:r>
          </w:p>
        </w:tc>
        <w:tc>
          <w:tcPr>
            <w:tcW w:w="1068" w:type="dxa"/>
          </w:tcPr>
          <w:p w:rsidRPr="00BB7053" w:rsidR="00F76B0E" w:rsidP="006330BC" w:rsidRDefault="00F76B0E" w14:paraId="0AD714F0" w14:textId="77777777">
            <w:pPr>
              <w:keepNext/>
              <w:keepLines/>
              <w:tabs>
                <w:tab w:val="left" w:pos="6030"/>
              </w:tabs>
              <w:spacing w:line="276" w:lineRule="auto"/>
              <w:jc w:val="right"/>
              <w:rPr>
                <w:sz w:val="20"/>
                <w:szCs w:val="20"/>
              </w:rPr>
            </w:pPr>
            <w:r>
              <w:rPr>
                <w:sz w:val="20"/>
                <w:szCs w:val="20"/>
              </w:rPr>
              <w:t>98.28</w:t>
            </w:r>
          </w:p>
        </w:tc>
        <w:tc>
          <w:tcPr>
            <w:tcW w:w="1410" w:type="dxa"/>
          </w:tcPr>
          <w:p w:rsidRPr="00BB7053" w:rsidR="00F76B0E" w:rsidP="006330BC" w:rsidRDefault="009F6D23" w14:paraId="784AFD0C" w14:textId="1B2571F8">
            <w:pPr>
              <w:keepNext/>
              <w:keepLines/>
              <w:tabs>
                <w:tab w:val="left" w:pos="6030"/>
              </w:tabs>
              <w:spacing w:line="276" w:lineRule="auto"/>
              <w:jc w:val="right"/>
              <w:rPr>
                <w:sz w:val="20"/>
                <w:szCs w:val="20"/>
              </w:rPr>
            </w:pPr>
            <w:r>
              <w:rPr>
                <w:sz w:val="20"/>
                <w:szCs w:val="20"/>
              </w:rPr>
              <w:t>81,769</w:t>
            </w:r>
          </w:p>
        </w:tc>
      </w:tr>
      <w:tr w:rsidR="00F76B0E" w:rsidTr="006330BC" w14:paraId="65AA63F3" w14:textId="77777777">
        <w:tc>
          <w:tcPr>
            <w:tcW w:w="1251" w:type="dxa"/>
            <w:shd w:val="clear" w:color="auto" w:fill="D9D9D9" w:themeFill="background1" w:themeFillShade="D9"/>
          </w:tcPr>
          <w:p w:rsidRPr="00BB7053" w:rsidR="00F76B0E" w:rsidP="006330BC" w:rsidRDefault="00F76B0E" w14:paraId="3282DD82"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76B0E" w:rsidP="006330BC" w:rsidRDefault="00EC7941" w14:paraId="61789BAB" w14:textId="0691FEBB">
            <w:pPr>
              <w:keepNext/>
              <w:keepLines/>
              <w:tabs>
                <w:tab w:val="left" w:pos="6030"/>
              </w:tabs>
              <w:spacing w:line="276" w:lineRule="auto"/>
              <w:jc w:val="right"/>
              <w:rPr>
                <w:sz w:val="20"/>
                <w:szCs w:val="20"/>
              </w:rPr>
            </w:pPr>
            <w:r>
              <w:rPr>
                <w:sz w:val="20"/>
                <w:szCs w:val="20"/>
              </w:rPr>
              <w:t>+124</w:t>
            </w:r>
          </w:p>
        </w:tc>
        <w:tc>
          <w:tcPr>
            <w:tcW w:w="1168" w:type="dxa"/>
            <w:shd w:val="clear" w:color="auto" w:fill="D9D9D9" w:themeFill="background1" w:themeFillShade="D9"/>
          </w:tcPr>
          <w:p w:rsidRPr="00BB7053" w:rsidR="00F76B0E" w:rsidP="006330BC" w:rsidRDefault="00F76B0E" w14:paraId="6AF8C7FC" w14:textId="77777777">
            <w:pPr>
              <w:keepNext/>
              <w:keepLines/>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F76B0E" w:rsidP="006330BC" w:rsidRDefault="00F76B0E" w14:paraId="651CF8B8" w14:textId="29E5F1ED">
            <w:pPr>
              <w:keepNext/>
              <w:keepLines/>
              <w:tabs>
                <w:tab w:val="left" w:pos="6030"/>
              </w:tabs>
              <w:spacing w:line="276" w:lineRule="auto"/>
              <w:jc w:val="right"/>
              <w:rPr>
                <w:sz w:val="20"/>
                <w:szCs w:val="20"/>
              </w:rPr>
            </w:pPr>
            <w:r>
              <w:rPr>
                <w:sz w:val="20"/>
                <w:szCs w:val="20"/>
              </w:rPr>
              <w:t>+</w:t>
            </w:r>
            <w:r w:rsidR="00EC7941">
              <w:rPr>
                <w:sz w:val="20"/>
                <w:szCs w:val="20"/>
              </w:rPr>
              <w:t>124</w:t>
            </w:r>
          </w:p>
        </w:tc>
        <w:tc>
          <w:tcPr>
            <w:tcW w:w="1077" w:type="dxa"/>
            <w:shd w:val="clear" w:color="auto" w:fill="D9D9D9" w:themeFill="background1" w:themeFillShade="D9"/>
          </w:tcPr>
          <w:p w:rsidRPr="00BB7053" w:rsidR="00F76B0E" w:rsidP="006330BC" w:rsidRDefault="00153914" w14:paraId="237E9385" w14:textId="757EC818">
            <w:pPr>
              <w:keepNext/>
              <w:keepLines/>
              <w:tabs>
                <w:tab w:val="left" w:pos="6030"/>
              </w:tabs>
              <w:spacing w:line="276" w:lineRule="auto"/>
              <w:jc w:val="right"/>
              <w:rPr>
                <w:sz w:val="20"/>
                <w:szCs w:val="20"/>
              </w:rPr>
            </w:pPr>
            <w:r>
              <w:rPr>
                <w:sz w:val="20"/>
                <w:szCs w:val="20"/>
              </w:rPr>
              <w:t>Varies</w:t>
            </w:r>
          </w:p>
        </w:tc>
        <w:tc>
          <w:tcPr>
            <w:tcW w:w="1071" w:type="dxa"/>
            <w:shd w:val="clear" w:color="auto" w:fill="D9D9D9" w:themeFill="background1" w:themeFillShade="D9"/>
          </w:tcPr>
          <w:p w:rsidRPr="00BB7053" w:rsidR="00F76B0E" w:rsidP="006330BC" w:rsidRDefault="006C28D8" w14:paraId="49EE25A4" w14:textId="1BCF2700">
            <w:pPr>
              <w:keepNext/>
              <w:keepLines/>
              <w:tabs>
                <w:tab w:val="left" w:pos="6030"/>
              </w:tabs>
              <w:spacing w:line="276" w:lineRule="auto"/>
              <w:jc w:val="right"/>
              <w:rPr>
                <w:sz w:val="20"/>
                <w:szCs w:val="20"/>
              </w:rPr>
            </w:pPr>
            <w:r>
              <w:rPr>
                <w:sz w:val="20"/>
                <w:szCs w:val="20"/>
              </w:rPr>
              <w:t>+832</w:t>
            </w:r>
          </w:p>
        </w:tc>
        <w:tc>
          <w:tcPr>
            <w:tcW w:w="1068" w:type="dxa"/>
            <w:shd w:val="clear" w:color="auto" w:fill="D9D9D9" w:themeFill="background1" w:themeFillShade="D9"/>
          </w:tcPr>
          <w:p w:rsidRPr="00BB7053" w:rsidR="00F76B0E" w:rsidP="006330BC" w:rsidRDefault="006C28D8" w14:paraId="5026D3A0" w14:textId="7517DC3A">
            <w:pPr>
              <w:keepNext/>
              <w:keepLines/>
              <w:tabs>
                <w:tab w:val="left" w:pos="6030"/>
              </w:tabs>
              <w:spacing w:line="276" w:lineRule="auto"/>
              <w:jc w:val="right"/>
              <w:rPr>
                <w:sz w:val="20"/>
                <w:szCs w:val="20"/>
              </w:rPr>
            </w:pPr>
            <w:r>
              <w:rPr>
                <w:sz w:val="20"/>
                <w:szCs w:val="20"/>
              </w:rPr>
              <w:t>98.28</w:t>
            </w:r>
          </w:p>
        </w:tc>
        <w:tc>
          <w:tcPr>
            <w:tcW w:w="1410" w:type="dxa"/>
            <w:shd w:val="clear" w:color="auto" w:fill="D9D9D9" w:themeFill="background1" w:themeFillShade="D9"/>
          </w:tcPr>
          <w:p w:rsidRPr="00BB7053" w:rsidR="00F76B0E" w:rsidP="006330BC" w:rsidRDefault="009F6D23" w14:paraId="7C91932A" w14:textId="2F6883E0">
            <w:pPr>
              <w:keepNext/>
              <w:keepLines/>
              <w:tabs>
                <w:tab w:val="left" w:pos="6030"/>
              </w:tabs>
              <w:spacing w:line="276" w:lineRule="auto"/>
              <w:jc w:val="right"/>
              <w:rPr>
                <w:sz w:val="20"/>
                <w:szCs w:val="20"/>
              </w:rPr>
            </w:pPr>
            <w:r>
              <w:rPr>
                <w:sz w:val="20"/>
                <w:szCs w:val="20"/>
              </w:rPr>
              <w:t>+81,769</w:t>
            </w:r>
          </w:p>
        </w:tc>
      </w:tr>
    </w:tbl>
    <w:p w:rsidR="00F76B0E" w:rsidP="00BB7053" w:rsidRDefault="00F76B0E" w14:paraId="4FA5910B" w14:textId="77777777">
      <w:pPr>
        <w:tabs>
          <w:tab w:val="left" w:pos="6030"/>
        </w:tabs>
        <w:spacing w:line="276" w:lineRule="auto"/>
        <w:jc w:val="both"/>
      </w:pPr>
    </w:p>
    <w:p w:rsidR="003C6D38" w:rsidP="00BC3C0D" w:rsidRDefault="003C6D38" w14:paraId="4DCBEB02" w14:textId="79107DE6">
      <w:pPr>
        <w:keepNext/>
        <w:keepLines/>
        <w:jc w:val="center"/>
        <w:rPr>
          <w:b/>
          <w:bCs/>
        </w:rPr>
      </w:pPr>
      <w:r w:rsidRPr="00B30713">
        <w:rPr>
          <w:rFonts w:eastAsia="Calibri"/>
          <w:b/>
          <w:bCs/>
        </w:rPr>
        <w:lastRenderedPageBreak/>
        <w:t xml:space="preserve">TABLE </w:t>
      </w:r>
      <w:r w:rsidR="00C1361E">
        <w:rPr>
          <w:rFonts w:eastAsia="Calibri"/>
          <w:b/>
          <w:bCs/>
        </w:rPr>
        <w:t>3</w:t>
      </w:r>
      <w:r w:rsidR="001B255E">
        <w:rPr>
          <w:rFonts w:eastAsia="Calibri"/>
          <w:b/>
          <w:bCs/>
        </w:rPr>
        <w:t>0D</w:t>
      </w:r>
      <w:r w:rsidRPr="00B30713">
        <w:rPr>
          <w:rFonts w:eastAsia="Calibri"/>
          <w:b/>
          <w:bCs/>
        </w:rPr>
        <w:t xml:space="preserve">: Burden Reconciliation for </w:t>
      </w:r>
      <w:r w:rsidRPr="00EB72E5" w:rsidR="00EB72E5">
        <w:rPr>
          <w:rFonts w:eastAsia="Calibri"/>
          <w:b/>
          <w:bCs/>
        </w:rPr>
        <w:t>Open Authorization Credentialing and Token Request Process</w:t>
      </w:r>
    </w:p>
    <w:tbl>
      <w:tblPr>
        <w:tblStyle w:val="TableGrid"/>
        <w:tblW w:w="9445" w:type="dxa"/>
        <w:tblLook w:val="04A0" w:firstRow="1" w:lastRow="0" w:firstColumn="1" w:lastColumn="0" w:noHBand="0" w:noVBand="1"/>
      </w:tblPr>
      <w:tblGrid>
        <w:gridCol w:w="1252"/>
        <w:gridCol w:w="1306"/>
        <w:gridCol w:w="1168"/>
        <w:gridCol w:w="1094"/>
        <w:gridCol w:w="1077"/>
        <w:gridCol w:w="1071"/>
        <w:gridCol w:w="1068"/>
        <w:gridCol w:w="1409"/>
      </w:tblGrid>
      <w:tr w:rsidR="003C6D38" w:rsidTr="00D26368" w14:paraId="79EAA177" w14:textId="77777777">
        <w:trPr>
          <w:tblHeader/>
        </w:trPr>
        <w:tc>
          <w:tcPr>
            <w:tcW w:w="1252" w:type="dxa"/>
          </w:tcPr>
          <w:p w:rsidRPr="00DF4016" w:rsidR="003C6D38" w:rsidP="00BC3C0D" w:rsidRDefault="003C6D38" w14:paraId="23037C47"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BC3C0D" w:rsidRDefault="003C6D38" w14:paraId="57C36D62"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BC3C0D" w:rsidRDefault="003C6D38" w14:paraId="7F482E47"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BC3C0D" w:rsidRDefault="003C6D38" w14:paraId="0F24464B"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BC3C0D" w:rsidRDefault="003C6D38" w14:paraId="7DA95F51" w14:textId="77777777">
            <w:pPr>
              <w:keepNext/>
              <w:keepLines/>
              <w:tabs>
                <w:tab w:val="left" w:pos="6030"/>
              </w:tabs>
              <w:spacing w:line="276" w:lineRule="auto"/>
              <w:rPr>
                <w:b/>
                <w:bCs/>
                <w:sz w:val="20"/>
                <w:szCs w:val="20"/>
              </w:rPr>
            </w:pPr>
            <w:r w:rsidRPr="00DF4016">
              <w:rPr>
                <w:b/>
                <w:bCs/>
                <w:sz w:val="20"/>
                <w:szCs w:val="20"/>
              </w:rPr>
              <w:t>Time Per Response (</w:t>
            </w:r>
            <w:proofErr w:type="spellStart"/>
            <w:r w:rsidRPr="00DF4016">
              <w:rPr>
                <w:b/>
                <w:bCs/>
                <w:sz w:val="20"/>
                <w:szCs w:val="20"/>
              </w:rPr>
              <w:t>hr</w:t>
            </w:r>
            <w:proofErr w:type="spellEnd"/>
            <w:r w:rsidRPr="00DF4016">
              <w:rPr>
                <w:b/>
                <w:bCs/>
                <w:sz w:val="20"/>
                <w:szCs w:val="20"/>
              </w:rPr>
              <w:t>)</w:t>
            </w:r>
          </w:p>
        </w:tc>
        <w:tc>
          <w:tcPr>
            <w:tcW w:w="1071" w:type="dxa"/>
          </w:tcPr>
          <w:p w:rsidRPr="00DF4016" w:rsidR="003C6D38" w:rsidP="00BC3C0D" w:rsidRDefault="003C6D38" w14:paraId="65BAAFD8" w14:textId="77777777">
            <w:pPr>
              <w:keepNext/>
              <w:keepLines/>
              <w:tabs>
                <w:tab w:val="left" w:pos="6030"/>
              </w:tabs>
              <w:spacing w:line="276" w:lineRule="auto"/>
              <w:jc w:val="both"/>
              <w:rPr>
                <w:b/>
                <w:bCs/>
                <w:sz w:val="20"/>
                <w:szCs w:val="20"/>
              </w:rPr>
            </w:pPr>
            <w:r w:rsidRPr="00DF4016">
              <w:rPr>
                <w:b/>
                <w:bCs/>
                <w:sz w:val="20"/>
                <w:szCs w:val="20"/>
              </w:rPr>
              <w:t>Total Annual Time (</w:t>
            </w:r>
            <w:proofErr w:type="spellStart"/>
            <w:r w:rsidRPr="00DF4016">
              <w:rPr>
                <w:b/>
                <w:bCs/>
                <w:sz w:val="20"/>
                <w:szCs w:val="20"/>
              </w:rPr>
              <w:t>hr</w:t>
            </w:r>
            <w:proofErr w:type="spellEnd"/>
            <w:r w:rsidRPr="00DF4016">
              <w:rPr>
                <w:b/>
                <w:bCs/>
                <w:sz w:val="20"/>
                <w:szCs w:val="20"/>
              </w:rPr>
              <w:t>)</w:t>
            </w:r>
          </w:p>
        </w:tc>
        <w:tc>
          <w:tcPr>
            <w:tcW w:w="1068" w:type="dxa"/>
          </w:tcPr>
          <w:p w:rsidRPr="00DF4016" w:rsidR="003C6D38" w:rsidP="00BC3C0D" w:rsidRDefault="003C6D38" w14:paraId="45F8D067" w14:textId="77777777">
            <w:pPr>
              <w:keepNext/>
              <w:keepLines/>
              <w:tabs>
                <w:tab w:val="left" w:pos="6030"/>
              </w:tabs>
              <w:spacing w:line="276" w:lineRule="auto"/>
              <w:jc w:val="both"/>
              <w:rPr>
                <w:b/>
                <w:bCs/>
                <w:sz w:val="20"/>
                <w:szCs w:val="20"/>
              </w:rPr>
            </w:pPr>
            <w:r w:rsidRPr="00DF4016">
              <w:rPr>
                <w:b/>
                <w:bCs/>
                <w:sz w:val="20"/>
                <w:szCs w:val="20"/>
              </w:rPr>
              <w:t>Labor Cost ($/</w:t>
            </w:r>
            <w:proofErr w:type="spellStart"/>
            <w:r w:rsidRPr="00DF4016">
              <w:rPr>
                <w:b/>
                <w:bCs/>
                <w:sz w:val="20"/>
                <w:szCs w:val="20"/>
              </w:rPr>
              <w:t>hr</w:t>
            </w:r>
            <w:proofErr w:type="spellEnd"/>
            <w:r w:rsidRPr="00DF4016">
              <w:rPr>
                <w:b/>
                <w:bCs/>
                <w:sz w:val="20"/>
                <w:szCs w:val="20"/>
              </w:rPr>
              <w:t>)</w:t>
            </w:r>
          </w:p>
        </w:tc>
        <w:tc>
          <w:tcPr>
            <w:tcW w:w="1409" w:type="dxa"/>
          </w:tcPr>
          <w:p w:rsidRPr="00DF4016" w:rsidR="003C6D38" w:rsidP="00BC3C0D" w:rsidRDefault="003C6D38" w14:paraId="755FDE93" w14:textId="77777777">
            <w:pPr>
              <w:keepNext/>
              <w:keepLines/>
              <w:tabs>
                <w:tab w:val="left" w:pos="6030"/>
              </w:tabs>
              <w:spacing w:line="276" w:lineRule="auto"/>
              <w:rPr>
                <w:b/>
                <w:bCs/>
                <w:sz w:val="20"/>
                <w:szCs w:val="20"/>
              </w:rPr>
            </w:pPr>
            <w:r w:rsidRPr="00DF4016">
              <w:rPr>
                <w:b/>
                <w:bCs/>
                <w:sz w:val="20"/>
                <w:szCs w:val="20"/>
              </w:rPr>
              <w:t>Total Annual Cost ($)</w:t>
            </w:r>
          </w:p>
        </w:tc>
      </w:tr>
      <w:tr w:rsidR="003A343F" w:rsidTr="00D26368" w14:paraId="6C074F10" w14:textId="77777777">
        <w:tc>
          <w:tcPr>
            <w:tcW w:w="1252" w:type="dxa"/>
          </w:tcPr>
          <w:p w:rsidRPr="00BB7053" w:rsidR="003A343F" w:rsidP="00BC3C0D" w:rsidRDefault="003A343F" w14:paraId="39413A02" w14:textId="60E13D65">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Pr="00BB7053" w:rsidR="003A343F" w:rsidP="00BC3C0D" w:rsidRDefault="000A7F22" w14:paraId="165B283C" w14:textId="0A964365">
            <w:pPr>
              <w:keepNext/>
              <w:keepLines/>
              <w:tabs>
                <w:tab w:val="left" w:pos="6030"/>
              </w:tabs>
              <w:spacing w:line="276" w:lineRule="auto"/>
              <w:jc w:val="right"/>
              <w:rPr>
                <w:sz w:val="20"/>
                <w:szCs w:val="20"/>
              </w:rPr>
            </w:pPr>
            <w:r>
              <w:rPr>
                <w:sz w:val="20"/>
                <w:szCs w:val="20"/>
              </w:rPr>
              <w:t>15</w:t>
            </w:r>
          </w:p>
        </w:tc>
        <w:tc>
          <w:tcPr>
            <w:tcW w:w="1168" w:type="dxa"/>
          </w:tcPr>
          <w:p w:rsidRPr="00BB7053" w:rsidR="003A343F" w:rsidP="00BC3C0D" w:rsidRDefault="000A7F22" w14:paraId="4223408A" w14:textId="41A42467">
            <w:pPr>
              <w:keepNext/>
              <w:keepLines/>
              <w:tabs>
                <w:tab w:val="left" w:pos="6030"/>
              </w:tabs>
              <w:spacing w:line="276" w:lineRule="auto"/>
              <w:jc w:val="right"/>
              <w:rPr>
                <w:sz w:val="20"/>
                <w:szCs w:val="20"/>
              </w:rPr>
            </w:pPr>
            <w:r>
              <w:rPr>
                <w:sz w:val="20"/>
                <w:szCs w:val="20"/>
              </w:rPr>
              <w:t>1</w:t>
            </w:r>
          </w:p>
        </w:tc>
        <w:tc>
          <w:tcPr>
            <w:tcW w:w="1094" w:type="dxa"/>
          </w:tcPr>
          <w:p w:rsidRPr="00BB7053" w:rsidR="003A343F" w:rsidP="00BC3C0D" w:rsidRDefault="000A7F22" w14:paraId="5D6FD78E" w14:textId="51154B6C">
            <w:pPr>
              <w:keepNext/>
              <w:keepLines/>
              <w:tabs>
                <w:tab w:val="left" w:pos="6030"/>
              </w:tabs>
              <w:spacing w:line="276" w:lineRule="auto"/>
              <w:jc w:val="right"/>
              <w:rPr>
                <w:sz w:val="20"/>
                <w:szCs w:val="20"/>
              </w:rPr>
            </w:pPr>
            <w:r>
              <w:rPr>
                <w:sz w:val="20"/>
                <w:szCs w:val="20"/>
              </w:rPr>
              <w:t>15</w:t>
            </w:r>
          </w:p>
        </w:tc>
        <w:tc>
          <w:tcPr>
            <w:tcW w:w="1077" w:type="dxa"/>
          </w:tcPr>
          <w:p w:rsidRPr="00BB7053" w:rsidR="003A343F" w:rsidP="00BC3C0D" w:rsidRDefault="000A7F22" w14:paraId="26AD523B" w14:textId="38FB5D6E">
            <w:pPr>
              <w:keepNext/>
              <w:keepLines/>
              <w:tabs>
                <w:tab w:val="left" w:pos="6030"/>
              </w:tabs>
              <w:spacing w:line="276" w:lineRule="auto"/>
              <w:jc w:val="right"/>
              <w:rPr>
                <w:sz w:val="20"/>
                <w:szCs w:val="20"/>
              </w:rPr>
            </w:pPr>
            <w:r>
              <w:rPr>
                <w:sz w:val="20"/>
                <w:szCs w:val="20"/>
              </w:rPr>
              <w:t>1</w:t>
            </w:r>
          </w:p>
        </w:tc>
        <w:tc>
          <w:tcPr>
            <w:tcW w:w="1071" w:type="dxa"/>
          </w:tcPr>
          <w:p w:rsidRPr="00BB7053" w:rsidR="003A343F" w:rsidP="00BC3C0D" w:rsidRDefault="000A7F22" w14:paraId="62386DA2" w14:textId="1E3C0DB8">
            <w:pPr>
              <w:keepNext/>
              <w:keepLines/>
              <w:tabs>
                <w:tab w:val="left" w:pos="6030"/>
              </w:tabs>
              <w:spacing w:line="276" w:lineRule="auto"/>
              <w:jc w:val="right"/>
              <w:rPr>
                <w:sz w:val="20"/>
                <w:szCs w:val="20"/>
              </w:rPr>
            </w:pPr>
            <w:r>
              <w:rPr>
                <w:sz w:val="20"/>
                <w:szCs w:val="20"/>
              </w:rPr>
              <w:t>15</w:t>
            </w:r>
          </w:p>
        </w:tc>
        <w:tc>
          <w:tcPr>
            <w:tcW w:w="1068" w:type="dxa"/>
          </w:tcPr>
          <w:p w:rsidRPr="00BB7053" w:rsidR="003A343F" w:rsidP="00BC3C0D" w:rsidRDefault="000A7F22" w14:paraId="29D2D5A4" w14:textId="7C980CE1">
            <w:pPr>
              <w:keepNext/>
              <w:keepLines/>
              <w:tabs>
                <w:tab w:val="left" w:pos="6030"/>
              </w:tabs>
              <w:spacing w:line="276" w:lineRule="auto"/>
              <w:jc w:val="right"/>
              <w:rPr>
                <w:sz w:val="20"/>
                <w:szCs w:val="20"/>
              </w:rPr>
            </w:pPr>
            <w:r>
              <w:rPr>
                <w:sz w:val="20"/>
                <w:szCs w:val="20"/>
              </w:rPr>
              <w:t>9</w:t>
            </w:r>
            <w:r w:rsidR="00A015F3">
              <w:rPr>
                <w:sz w:val="20"/>
                <w:szCs w:val="20"/>
              </w:rPr>
              <w:t>8</w:t>
            </w:r>
            <w:r>
              <w:rPr>
                <w:sz w:val="20"/>
                <w:szCs w:val="20"/>
              </w:rPr>
              <w:t>.2</w:t>
            </w:r>
            <w:r w:rsidR="00A015F3">
              <w:rPr>
                <w:sz w:val="20"/>
                <w:szCs w:val="20"/>
              </w:rPr>
              <w:t>8</w:t>
            </w:r>
          </w:p>
        </w:tc>
        <w:tc>
          <w:tcPr>
            <w:tcW w:w="1409" w:type="dxa"/>
          </w:tcPr>
          <w:p w:rsidRPr="00BB7053" w:rsidR="003A343F" w:rsidP="00BC3C0D" w:rsidRDefault="00DC1433" w14:paraId="185ABCBD" w14:textId="70331390">
            <w:pPr>
              <w:keepNext/>
              <w:keepLines/>
              <w:tabs>
                <w:tab w:val="left" w:pos="6030"/>
              </w:tabs>
              <w:spacing w:line="276" w:lineRule="auto"/>
              <w:jc w:val="right"/>
              <w:rPr>
                <w:sz w:val="20"/>
                <w:szCs w:val="20"/>
              </w:rPr>
            </w:pPr>
            <w:r>
              <w:rPr>
                <w:sz w:val="20"/>
                <w:szCs w:val="20"/>
              </w:rPr>
              <w:t>1,4</w:t>
            </w:r>
            <w:r w:rsidR="00A015F3">
              <w:rPr>
                <w:sz w:val="20"/>
                <w:szCs w:val="20"/>
              </w:rPr>
              <w:t>74</w:t>
            </w:r>
          </w:p>
        </w:tc>
      </w:tr>
      <w:tr w:rsidR="003A343F" w:rsidTr="00D26368" w14:paraId="3B27E55A" w14:textId="77777777">
        <w:tc>
          <w:tcPr>
            <w:tcW w:w="1252" w:type="dxa"/>
          </w:tcPr>
          <w:p w:rsidR="00765026" w:rsidP="00BC3C0D" w:rsidRDefault="00B92E7B" w14:paraId="7D614DAA" w14:textId="72827704">
            <w:pPr>
              <w:keepNext/>
              <w:keepLines/>
              <w:tabs>
                <w:tab w:val="left" w:pos="6030"/>
              </w:tabs>
              <w:spacing w:line="276" w:lineRule="auto"/>
              <w:rPr>
                <w:sz w:val="20"/>
                <w:szCs w:val="20"/>
              </w:rPr>
            </w:pPr>
            <w:r>
              <w:rPr>
                <w:sz w:val="20"/>
                <w:szCs w:val="20"/>
              </w:rPr>
              <w:t>Proposed</w:t>
            </w:r>
          </w:p>
          <w:p w:rsidRPr="00BB7053" w:rsidR="003A343F" w:rsidP="00BC3C0D" w:rsidRDefault="00A67FD9" w14:paraId="6F70FFB0" w14:textId="1B292751">
            <w:pPr>
              <w:keepNext/>
              <w:keepLines/>
              <w:tabs>
                <w:tab w:val="left" w:pos="6030"/>
              </w:tabs>
              <w:spacing w:line="276" w:lineRule="auto"/>
              <w:rPr>
                <w:sz w:val="20"/>
                <w:szCs w:val="20"/>
              </w:rPr>
            </w:pPr>
            <w:r w:rsidRPr="00A67FD9">
              <w:rPr>
                <w:sz w:val="20"/>
                <w:szCs w:val="20"/>
              </w:rPr>
              <w:t xml:space="preserve">(See Table </w:t>
            </w:r>
            <w:r w:rsidR="009E46B9">
              <w:rPr>
                <w:sz w:val="20"/>
                <w:szCs w:val="20"/>
              </w:rPr>
              <w:t>7</w:t>
            </w:r>
            <w:r w:rsidRPr="00A67FD9">
              <w:rPr>
                <w:sz w:val="20"/>
                <w:szCs w:val="20"/>
              </w:rPr>
              <w:t>)</w:t>
            </w:r>
          </w:p>
        </w:tc>
        <w:tc>
          <w:tcPr>
            <w:tcW w:w="1306" w:type="dxa"/>
          </w:tcPr>
          <w:p w:rsidRPr="00BB7053" w:rsidR="003A343F" w:rsidP="00BC3C0D" w:rsidRDefault="003A343F" w14:paraId="5D0DEBE9" w14:textId="411D1A92">
            <w:pPr>
              <w:keepNext/>
              <w:keepLines/>
              <w:tabs>
                <w:tab w:val="left" w:pos="6030"/>
              </w:tabs>
              <w:spacing w:line="276" w:lineRule="auto"/>
              <w:jc w:val="right"/>
              <w:rPr>
                <w:sz w:val="20"/>
                <w:szCs w:val="20"/>
              </w:rPr>
            </w:pPr>
            <w:r>
              <w:rPr>
                <w:sz w:val="20"/>
                <w:szCs w:val="20"/>
              </w:rPr>
              <w:t>15</w:t>
            </w:r>
          </w:p>
        </w:tc>
        <w:tc>
          <w:tcPr>
            <w:tcW w:w="1168" w:type="dxa"/>
          </w:tcPr>
          <w:p w:rsidRPr="00BB7053" w:rsidR="003A343F" w:rsidP="00BC3C0D" w:rsidRDefault="003A343F" w14:paraId="7A2035EA" w14:textId="1FA48EB9">
            <w:pPr>
              <w:keepNext/>
              <w:keepLines/>
              <w:tabs>
                <w:tab w:val="left" w:pos="6030"/>
              </w:tabs>
              <w:spacing w:line="276" w:lineRule="auto"/>
              <w:jc w:val="right"/>
              <w:rPr>
                <w:sz w:val="20"/>
                <w:szCs w:val="20"/>
              </w:rPr>
            </w:pPr>
            <w:r>
              <w:rPr>
                <w:sz w:val="20"/>
                <w:szCs w:val="20"/>
              </w:rPr>
              <w:t>1</w:t>
            </w:r>
          </w:p>
        </w:tc>
        <w:tc>
          <w:tcPr>
            <w:tcW w:w="1094" w:type="dxa"/>
          </w:tcPr>
          <w:p w:rsidRPr="00BB7053" w:rsidR="003A343F" w:rsidP="00BC3C0D" w:rsidRDefault="003A343F" w14:paraId="40C13DE8" w14:textId="440F5565">
            <w:pPr>
              <w:keepNext/>
              <w:keepLines/>
              <w:tabs>
                <w:tab w:val="left" w:pos="6030"/>
              </w:tabs>
              <w:spacing w:line="276" w:lineRule="auto"/>
              <w:jc w:val="right"/>
              <w:rPr>
                <w:sz w:val="20"/>
                <w:szCs w:val="20"/>
              </w:rPr>
            </w:pPr>
            <w:r>
              <w:rPr>
                <w:sz w:val="20"/>
                <w:szCs w:val="20"/>
              </w:rPr>
              <w:t>15</w:t>
            </w:r>
          </w:p>
        </w:tc>
        <w:tc>
          <w:tcPr>
            <w:tcW w:w="1077" w:type="dxa"/>
          </w:tcPr>
          <w:p w:rsidRPr="00BB7053" w:rsidR="003A343F" w:rsidP="00BC3C0D" w:rsidRDefault="009E46B9" w14:paraId="5070B656" w14:textId="14D61264">
            <w:pPr>
              <w:keepNext/>
              <w:keepLines/>
              <w:tabs>
                <w:tab w:val="left" w:pos="6030"/>
              </w:tabs>
              <w:spacing w:line="276" w:lineRule="auto"/>
              <w:jc w:val="right"/>
              <w:rPr>
                <w:sz w:val="20"/>
                <w:szCs w:val="20"/>
              </w:rPr>
            </w:pPr>
            <w:r>
              <w:rPr>
                <w:sz w:val="20"/>
                <w:szCs w:val="20"/>
              </w:rPr>
              <w:t>2</w:t>
            </w:r>
          </w:p>
        </w:tc>
        <w:tc>
          <w:tcPr>
            <w:tcW w:w="1071" w:type="dxa"/>
          </w:tcPr>
          <w:p w:rsidRPr="00BB7053" w:rsidR="003A343F" w:rsidP="00BC3C0D" w:rsidRDefault="009E46B9" w14:paraId="0F0FDEE8" w14:textId="738C3023">
            <w:pPr>
              <w:keepNext/>
              <w:keepLines/>
              <w:tabs>
                <w:tab w:val="left" w:pos="6030"/>
              </w:tabs>
              <w:spacing w:line="276" w:lineRule="auto"/>
              <w:jc w:val="right"/>
              <w:rPr>
                <w:sz w:val="20"/>
                <w:szCs w:val="20"/>
              </w:rPr>
            </w:pPr>
            <w:r>
              <w:rPr>
                <w:sz w:val="20"/>
                <w:szCs w:val="20"/>
              </w:rPr>
              <w:t>30</w:t>
            </w:r>
          </w:p>
        </w:tc>
        <w:tc>
          <w:tcPr>
            <w:tcW w:w="1068" w:type="dxa"/>
          </w:tcPr>
          <w:p w:rsidRPr="00BB7053" w:rsidR="003A343F" w:rsidP="00BC3C0D" w:rsidRDefault="003A343F" w14:paraId="6EE71FB4" w14:textId="2AD1A9CC">
            <w:pPr>
              <w:keepNext/>
              <w:keepLines/>
              <w:tabs>
                <w:tab w:val="left" w:pos="6030"/>
              </w:tabs>
              <w:spacing w:line="276" w:lineRule="auto"/>
              <w:jc w:val="right"/>
              <w:rPr>
                <w:sz w:val="20"/>
                <w:szCs w:val="20"/>
              </w:rPr>
            </w:pPr>
            <w:r>
              <w:rPr>
                <w:sz w:val="20"/>
                <w:szCs w:val="20"/>
              </w:rPr>
              <w:t>9</w:t>
            </w:r>
            <w:r w:rsidR="006A5D59">
              <w:rPr>
                <w:sz w:val="20"/>
                <w:szCs w:val="20"/>
              </w:rPr>
              <w:t>8</w:t>
            </w:r>
            <w:r w:rsidR="00DC1433">
              <w:rPr>
                <w:sz w:val="20"/>
                <w:szCs w:val="20"/>
              </w:rPr>
              <w:t>.2</w:t>
            </w:r>
            <w:r w:rsidR="006A5D59">
              <w:rPr>
                <w:sz w:val="20"/>
                <w:szCs w:val="20"/>
              </w:rPr>
              <w:t>8</w:t>
            </w:r>
          </w:p>
        </w:tc>
        <w:tc>
          <w:tcPr>
            <w:tcW w:w="1409" w:type="dxa"/>
          </w:tcPr>
          <w:p w:rsidRPr="00BB7053" w:rsidR="003A343F" w:rsidP="00BC3C0D" w:rsidRDefault="006A5D59" w14:paraId="33B829C9" w14:textId="690B452A">
            <w:pPr>
              <w:keepNext/>
              <w:keepLines/>
              <w:tabs>
                <w:tab w:val="left" w:pos="6030"/>
              </w:tabs>
              <w:spacing w:line="276" w:lineRule="auto"/>
              <w:jc w:val="right"/>
              <w:rPr>
                <w:sz w:val="20"/>
                <w:szCs w:val="20"/>
              </w:rPr>
            </w:pPr>
            <w:r>
              <w:rPr>
                <w:sz w:val="20"/>
                <w:szCs w:val="20"/>
              </w:rPr>
              <w:t>2,948</w:t>
            </w:r>
          </w:p>
        </w:tc>
      </w:tr>
      <w:tr w:rsidR="00EE08BB" w:rsidTr="00D26368" w14:paraId="27A028B7" w14:textId="77777777">
        <w:tc>
          <w:tcPr>
            <w:tcW w:w="1252" w:type="dxa"/>
            <w:shd w:val="clear" w:color="auto" w:fill="D9D9D9" w:themeFill="background1" w:themeFillShade="D9"/>
          </w:tcPr>
          <w:p w:rsidRPr="00BB7053" w:rsidR="003A343F" w:rsidP="003A343F" w:rsidRDefault="003A343F" w14:paraId="049685A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3A343F" w:rsidP="003A343F" w:rsidRDefault="00DC1433" w14:paraId="1D9287AD" w14:textId="3C85E3C7">
            <w:pPr>
              <w:tabs>
                <w:tab w:val="left" w:pos="6030"/>
              </w:tabs>
              <w:spacing w:line="276" w:lineRule="auto"/>
              <w:jc w:val="right"/>
              <w:rPr>
                <w:sz w:val="20"/>
                <w:szCs w:val="20"/>
              </w:rPr>
            </w:pPr>
            <w:r>
              <w:rPr>
                <w:sz w:val="20"/>
                <w:szCs w:val="20"/>
              </w:rPr>
              <w:t xml:space="preserve">No </w:t>
            </w:r>
            <w:r w:rsidR="005E3519">
              <w:rPr>
                <w:sz w:val="20"/>
                <w:szCs w:val="20"/>
              </w:rPr>
              <w:t xml:space="preserve">change </w:t>
            </w:r>
          </w:p>
        </w:tc>
        <w:tc>
          <w:tcPr>
            <w:tcW w:w="1168" w:type="dxa"/>
            <w:shd w:val="clear" w:color="auto" w:fill="D9D9D9" w:themeFill="background1" w:themeFillShade="D9"/>
          </w:tcPr>
          <w:p w:rsidRPr="00BB7053" w:rsidR="003A343F" w:rsidP="003A343F" w:rsidRDefault="00DC1433" w14:paraId="196BC52D" w14:textId="778028E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3A343F" w:rsidP="003A343F" w:rsidRDefault="00DC1433" w14:paraId="56781435" w14:textId="0AADF712">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Pr="00BB7053" w:rsidR="003A343F" w:rsidP="003A343F" w:rsidRDefault="009E46B9" w14:paraId="57AC0C52" w14:textId="706959FC">
            <w:pPr>
              <w:tabs>
                <w:tab w:val="left" w:pos="6030"/>
              </w:tabs>
              <w:spacing w:line="276" w:lineRule="auto"/>
              <w:jc w:val="right"/>
              <w:rPr>
                <w:sz w:val="20"/>
                <w:szCs w:val="20"/>
              </w:rPr>
            </w:pPr>
            <w:r>
              <w:rPr>
                <w:sz w:val="20"/>
                <w:szCs w:val="20"/>
              </w:rPr>
              <w:t>+1</w:t>
            </w:r>
          </w:p>
        </w:tc>
        <w:tc>
          <w:tcPr>
            <w:tcW w:w="1071" w:type="dxa"/>
            <w:shd w:val="clear" w:color="auto" w:fill="D9D9D9" w:themeFill="background1" w:themeFillShade="D9"/>
          </w:tcPr>
          <w:p w:rsidRPr="00BB7053" w:rsidR="003A343F" w:rsidP="003A343F" w:rsidRDefault="006A5D59" w14:paraId="7E61822C" w14:textId="14AE10CF">
            <w:pPr>
              <w:tabs>
                <w:tab w:val="left" w:pos="6030"/>
              </w:tabs>
              <w:spacing w:line="276" w:lineRule="auto"/>
              <w:jc w:val="right"/>
              <w:rPr>
                <w:sz w:val="20"/>
                <w:szCs w:val="20"/>
              </w:rPr>
            </w:pPr>
            <w:r>
              <w:rPr>
                <w:sz w:val="20"/>
                <w:szCs w:val="20"/>
              </w:rPr>
              <w:t>+15</w:t>
            </w:r>
          </w:p>
        </w:tc>
        <w:tc>
          <w:tcPr>
            <w:tcW w:w="1068" w:type="dxa"/>
            <w:shd w:val="clear" w:color="auto" w:fill="D9D9D9" w:themeFill="background1" w:themeFillShade="D9"/>
          </w:tcPr>
          <w:p w:rsidRPr="00BB7053" w:rsidR="003A343F" w:rsidP="003A343F" w:rsidRDefault="00DC1433" w14:paraId="7DCBD0C2" w14:textId="4FFADCC2">
            <w:pPr>
              <w:tabs>
                <w:tab w:val="left" w:pos="6030"/>
              </w:tabs>
              <w:spacing w:line="276" w:lineRule="auto"/>
              <w:jc w:val="right"/>
              <w:rPr>
                <w:sz w:val="20"/>
                <w:szCs w:val="20"/>
              </w:rPr>
            </w:pPr>
            <w:r>
              <w:rPr>
                <w:sz w:val="20"/>
                <w:szCs w:val="20"/>
              </w:rPr>
              <w:t>No change</w:t>
            </w:r>
          </w:p>
        </w:tc>
        <w:tc>
          <w:tcPr>
            <w:tcW w:w="1409" w:type="dxa"/>
            <w:shd w:val="clear" w:color="auto" w:fill="D9D9D9" w:themeFill="background1" w:themeFillShade="D9"/>
          </w:tcPr>
          <w:p w:rsidRPr="00BB7053" w:rsidR="003A343F" w:rsidP="003A343F" w:rsidRDefault="006A5D59" w14:paraId="0F14AF92" w14:textId="74C79D34">
            <w:pPr>
              <w:tabs>
                <w:tab w:val="left" w:pos="6030"/>
              </w:tabs>
              <w:spacing w:line="276" w:lineRule="auto"/>
              <w:jc w:val="right"/>
              <w:rPr>
                <w:sz w:val="20"/>
                <w:szCs w:val="20"/>
              </w:rPr>
            </w:pPr>
            <w:r>
              <w:rPr>
                <w:sz w:val="20"/>
                <w:szCs w:val="20"/>
              </w:rPr>
              <w:t>+1,</w:t>
            </w:r>
            <w:r w:rsidR="007E2BC4">
              <w:rPr>
                <w:sz w:val="20"/>
                <w:szCs w:val="20"/>
              </w:rPr>
              <w:t>474</w:t>
            </w:r>
          </w:p>
        </w:tc>
      </w:tr>
    </w:tbl>
    <w:p w:rsidR="003C6D38" w:rsidP="00BB7053" w:rsidRDefault="003C6D38" w14:paraId="7B036F25" w14:textId="4646C28E">
      <w:pPr>
        <w:tabs>
          <w:tab w:val="left" w:pos="6030"/>
        </w:tabs>
        <w:spacing w:line="276" w:lineRule="auto"/>
        <w:jc w:val="both"/>
      </w:pPr>
    </w:p>
    <w:p w:rsidR="003C6D38" w:rsidP="001212E7" w:rsidRDefault="003C6D38" w14:paraId="31BE246C" w14:textId="37D6EBC0">
      <w:pPr>
        <w:keepNext/>
        <w:keepLines/>
        <w:jc w:val="center"/>
        <w:rPr>
          <w:b/>
          <w:bCs/>
        </w:rPr>
      </w:pPr>
      <w:r w:rsidRPr="00B30713">
        <w:rPr>
          <w:rFonts w:eastAsia="Calibri"/>
          <w:b/>
          <w:bCs/>
        </w:rPr>
        <w:t xml:space="preserve">TABLE </w:t>
      </w:r>
      <w:r w:rsidR="00C1361E">
        <w:rPr>
          <w:rFonts w:eastAsia="Calibri"/>
          <w:b/>
          <w:bCs/>
        </w:rPr>
        <w:t>3</w:t>
      </w:r>
      <w:r w:rsidR="00872B52">
        <w:rPr>
          <w:rFonts w:eastAsia="Calibri"/>
          <w:b/>
          <w:bCs/>
        </w:rPr>
        <w:t>0E</w:t>
      </w:r>
      <w:r w:rsidRPr="00B30713">
        <w:rPr>
          <w:rFonts w:eastAsia="Calibri"/>
          <w:b/>
          <w:bCs/>
        </w:rPr>
        <w:t xml:space="preserve">: Burden Reconciliation for </w:t>
      </w:r>
      <w:r w:rsidRPr="00686855" w:rsidR="00686855">
        <w:rPr>
          <w:rFonts w:eastAsia="Calibri"/>
          <w:b/>
          <w:bCs/>
        </w:rPr>
        <w:t>Quality Payment Program Identity Management Application Process</w:t>
      </w:r>
    </w:p>
    <w:tbl>
      <w:tblPr>
        <w:tblStyle w:val="TableGrid"/>
        <w:tblW w:w="9445" w:type="dxa"/>
        <w:tblLook w:val="04A0" w:firstRow="1" w:lastRow="0" w:firstColumn="1" w:lastColumn="0" w:noHBand="0" w:noVBand="1"/>
      </w:tblPr>
      <w:tblGrid>
        <w:gridCol w:w="1251"/>
        <w:gridCol w:w="1306"/>
        <w:gridCol w:w="1168"/>
        <w:gridCol w:w="1094"/>
        <w:gridCol w:w="1077"/>
        <w:gridCol w:w="1071"/>
        <w:gridCol w:w="1068"/>
        <w:gridCol w:w="1410"/>
      </w:tblGrid>
      <w:tr w:rsidR="003C6D38" w:rsidTr="00D26368" w14:paraId="29437C65" w14:textId="77777777">
        <w:trPr>
          <w:tblHeader/>
        </w:trPr>
        <w:tc>
          <w:tcPr>
            <w:tcW w:w="1251" w:type="dxa"/>
          </w:tcPr>
          <w:p w:rsidRPr="001212E7" w:rsidR="003C6D38" w:rsidP="001212E7" w:rsidRDefault="003C6D38" w14:paraId="6688235E"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06" w:type="dxa"/>
          </w:tcPr>
          <w:p w:rsidRPr="001212E7" w:rsidR="003C6D38" w:rsidP="001212E7" w:rsidRDefault="003C6D38" w14:paraId="0FC1A8B7"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68" w:type="dxa"/>
          </w:tcPr>
          <w:p w:rsidRPr="001212E7" w:rsidR="003C6D38" w:rsidP="001212E7" w:rsidRDefault="003C6D38" w14:paraId="1372269C"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94" w:type="dxa"/>
          </w:tcPr>
          <w:p w:rsidRPr="001212E7" w:rsidR="003C6D38" w:rsidP="001212E7" w:rsidRDefault="003C6D38" w14:paraId="1D3FF602"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77" w:type="dxa"/>
          </w:tcPr>
          <w:p w:rsidRPr="001212E7" w:rsidR="003C6D38" w:rsidP="001212E7" w:rsidRDefault="003C6D38" w14:paraId="39CD5B35" w14:textId="77777777">
            <w:pPr>
              <w:keepNext/>
              <w:keepLines/>
              <w:tabs>
                <w:tab w:val="left" w:pos="6030"/>
              </w:tabs>
              <w:spacing w:line="276" w:lineRule="auto"/>
              <w:rPr>
                <w:b/>
                <w:bCs/>
                <w:sz w:val="20"/>
                <w:szCs w:val="20"/>
              </w:rPr>
            </w:pPr>
            <w:r w:rsidRPr="001212E7">
              <w:rPr>
                <w:b/>
                <w:bCs/>
                <w:sz w:val="20"/>
                <w:szCs w:val="20"/>
              </w:rPr>
              <w:t>Time Per Response (</w:t>
            </w:r>
            <w:proofErr w:type="spellStart"/>
            <w:r w:rsidRPr="001212E7">
              <w:rPr>
                <w:b/>
                <w:bCs/>
                <w:sz w:val="20"/>
                <w:szCs w:val="20"/>
              </w:rPr>
              <w:t>hr</w:t>
            </w:r>
            <w:proofErr w:type="spellEnd"/>
            <w:r w:rsidRPr="001212E7">
              <w:rPr>
                <w:b/>
                <w:bCs/>
                <w:sz w:val="20"/>
                <w:szCs w:val="20"/>
              </w:rPr>
              <w:t>)</w:t>
            </w:r>
          </w:p>
        </w:tc>
        <w:tc>
          <w:tcPr>
            <w:tcW w:w="1071" w:type="dxa"/>
          </w:tcPr>
          <w:p w:rsidRPr="001212E7" w:rsidR="003C6D38" w:rsidP="001212E7" w:rsidRDefault="003C6D38" w14:paraId="1630C7BD" w14:textId="77777777">
            <w:pPr>
              <w:keepNext/>
              <w:keepLines/>
              <w:tabs>
                <w:tab w:val="left" w:pos="6030"/>
              </w:tabs>
              <w:spacing w:line="276" w:lineRule="auto"/>
              <w:jc w:val="both"/>
              <w:rPr>
                <w:b/>
                <w:bCs/>
                <w:sz w:val="20"/>
                <w:szCs w:val="20"/>
              </w:rPr>
            </w:pPr>
            <w:r w:rsidRPr="001212E7">
              <w:rPr>
                <w:b/>
                <w:bCs/>
                <w:sz w:val="20"/>
                <w:szCs w:val="20"/>
              </w:rPr>
              <w:t>Total Annual Time (</w:t>
            </w:r>
            <w:proofErr w:type="spellStart"/>
            <w:r w:rsidRPr="001212E7">
              <w:rPr>
                <w:b/>
                <w:bCs/>
                <w:sz w:val="20"/>
                <w:szCs w:val="20"/>
              </w:rPr>
              <w:t>hr</w:t>
            </w:r>
            <w:proofErr w:type="spellEnd"/>
            <w:r w:rsidRPr="001212E7">
              <w:rPr>
                <w:b/>
                <w:bCs/>
                <w:sz w:val="20"/>
                <w:szCs w:val="20"/>
              </w:rPr>
              <w:t>)</w:t>
            </w:r>
          </w:p>
        </w:tc>
        <w:tc>
          <w:tcPr>
            <w:tcW w:w="1068" w:type="dxa"/>
          </w:tcPr>
          <w:p w:rsidRPr="001212E7" w:rsidR="003C6D38" w:rsidP="001212E7" w:rsidRDefault="003C6D38" w14:paraId="686B5C13" w14:textId="77777777">
            <w:pPr>
              <w:keepNext/>
              <w:keepLines/>
              <w:tabs>
                <w:tab w:val="left" w:pos="6030"/>
              </w:tabs>
              <w:spacing w:line="276" w:lineRule="auto"/>
              <w:jc w:val="both"/>
              <w:rPr>
                <w:b/>
                <w:bCs/>
                <w:sz w:val="20"/>
                <w:szCs w:val="20"/>
              </w:rPr>
            </w:pPr>
            <w:r w:rsidRPr="001212E7">
              <w:rPr>
                <w:b/>
                <w:bCs/>
                <w:sz w:val="20"/>
                <w:szCs w:val="20"/>
              </w:rPr>
              <w:t>Labor Cost ($/</w:t>
            </w:r>
            <w:proofErr w:type="spellStart"/>
            <w:r w:rsidRPr="001212E7">
              <w:rPr>
                <w:b/>
                <w:bCs/>
                <w:sz w:val="20"/>
                <w:szCs w:val="20"/>
              </w:rPr>
              <w:t>hr</w:t>
            </w:r>
            <w:proofErr w:type="spellEnd"/>
            <w:r w:rsidRPr="001212E7">
              <w:rPr>
                <w:b/>
                <w:bCs/>
                <w:sz w:val="20"/>
                <w:szCs w:val="20"/>
              </w:rPr>
              <w:t>)</w:t>
            </w:r>
          </w:p>
        </w:tc>
        <w:tc>
          <w:tcPr>
            <w:tcW w:w="1410" w:type="dxa"/>
          </w:tcPr>
          <w:p w:rsidRPr="001212E7" w:rsidR="003C6D38" w:rsidP="001212E7" w:rsidRDefault="003C6D38" w14:paraId="79B82A80" w14:textId="77777777">
            <w:pPr>
              <w:keepNext/>
              <w:keepLines/>
              <w:tabs>
                <w:tab w:val="left" w:pos="6030"/>
              </w:tabs>
              <w:spacing w:line="276" w:lineRule="auto"/>
              <w:rPr>
                <w:b/>
                <w:bCs/>
                <w:sz w:val="20"/>
                <w:szCs w:val="20"/>
              </w:rPr>
            </w:pPr>
            <w:r w:rsidRPr="001212E7">
              <w:rPr>
                <w:b/>
                <w:bCs/>
                <w:sz w:val="20"/>
                <w:szCs w:val="20"/>
              </w:rPr>
              <w:t>Total Annual Cost ($)</w:t>
            </w:r>
          </w:p>
        </w:tc>
      </w:tr>
      <w:tr w:rsidR="00FB22E6" w:rsidTr="00D26368" w14:paraId="4400BC87" w14:textId="77777777">
        <w:tc>
          <w:tcPr>
            <w:tcW w:w="1251" w:type="dxa"/>
          </w:tcPr>
          <w:p w:rsidRPr="00BB7053" w:rsidR="00FB22E6" w:rsidP="001212E7" w:rsidRDefault="00FB22E6" w14:paraId="1D07E6F7" w14:textId="527E2587">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Pr="00BB7053" w:rsidR="00FB22E6" w:rsidP="001212E7" w:rsidRDefault="00FB22E6" w14:paraId="53345504" w14:textId="00EA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19AE58A4" w14:textId="1AAAE62B">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508B4B6B" w14:textId="0256AB87">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0AD9186C" w14:textId="42266870">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458AA4D3" w14:textId="3CF1F973">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72E21854" w14:textId="63C2DB87">
            <w:pPr>
              <w:keepNext/>
              <w:keepLines/>
              <w:tabs>
                <w:tab w:val="left" w:pos="6030"/>
              </w:tabs>
              <w:spacing w:line="276" w:lineRule="auto"/>
              <w:jc w:val="right"/>
              <w:rPr>
                <w:sz w:val="20"/>
                <w:szCs w:val="20"/>
              </w:rPr>
            </w:pPr>
            <w:r>
              <w:rPr>
                <w:sz w:val="20"/>
                <w:szCs w:val="20"/>
              </w:rPr>
              <w:t>9</w:t>
            </w:r>
            <w:r w:rsidR="003F6632">
              <w:rPr>
                <w:sz w:val="20"/>
                <w:szCs w:val="20"/>
              </w:rPr>
              <w:t>8</w:t>
            </w:r>
            <w:r w:rsidR="00344F5F">
              <w:rPr>
                <w:sz w:val="20"/>
                <w:szCs w:val="20"/>
              </w:rPr>
              <w:t>.2</w:t>
            </w:r>
            <w:r w:rsidR="003F6632">
              <w:rPr>
                <w:sz w:val="20"/>
                <w:szCs w:val="20"/>
              </w:rPr>
              <w:t>8</w:t>
            </w:r>
          </w:p>
        </w:tc>
        <w:tc>
          <w:tcPr>
            <w:tcW w:w="1410" w:type="dxa"/>
          </w:tcPr>
          <w:p w:rsidRPr="00BB7053" w:rsidR="00FB22E6" w:rsidP="001212E7" w:rsidRDefault="00FB22E6" w14:paraId="66CC3B02" w14:textId="456CA5D5">
            <w:pPr>
              <w:keepNext/>
              <w:keepLines/>
              <w:tabs>
                <w:tab w:val="left" w:pos="6030"/>
              </w:tabs>
              <w:spacing w:line="276" w:lineRule="auto"/>
              <w:jc w:val="right"/>
              <w:rPr>
                <w:sz w:val="20"/>
                <w:szCs w:val="20"/>
              </w:rPr>
            </w:pPr>
            <w:r>
              <w:rPr>
                <w:sz w:val="20"/>
                <w:szCs w:val="20"/>
              </w:rPr>
              <w:t>3</w:t>
            </w:r>
            <w:r w:rsidR="0074048C">
              <w:rPr>
                <w:sz w:val="20"/>
                <w:szCs w:val="20"/>
              </w:rPr>
              <w:t>67,665</w:t>
            </w:r>
          </w:p>
        </w:tc>
      </w:tr>
      <w:tr w:rsidR="00FB22E6" w:rsidTr="00D26368" w14:paraId="6FBC8BD8" w14:textId="77777777">
        <w:tc>
          <w:tcPr>
            <w:tcW w:w="1251" w:type="dxa"/>
          </w:tcPr>
          <w:p w:rsidRPr="00BB7053" w:rsidR="00FB22E6" w:rsidP="00192E2E" w:rsidRDefault="00872B52" w14:paraId="6B4D6A19" w14:textId="66AEE76C">
            <w:pPr>
              <w:keepNext/>
              <w:keepLines/>
              <w:tabs>
                <w:tab w:val="left" w:pos="6030"/>
              </w:tabs>
              <w:spacing w:line="276" w:lineRule="auto"/>
              <w:rPr>
                <w:sz w:val="20"/>
                <w:szCs w:val="20"/>
              </w:rPr>
            </w:pPr>
            <w:r>
              <w:rPr>
                <w:sz w:val="20"/>
                <w:szCs w:val="20"/>
              </w:rPr>
              <w:t>Proposed</w:t>
            </w:r>
            <w:r w:rsidR="00A64437">
              <w:rPr>
                <w:sz w:val="20"/>
                <w:szCs w:val="20"/>
              </w:rPr>
              <w:t xml:space="preserve"> </w:t>
            </w:r>
            <w:r w:rsidRPr="00A67FD9" w:rsidR="00A67FD9">
              <w:rPr>
                <w:sz w:val="20"/>
                <w:szCs w:val="20"/>
              </w:rPr>
              <w:t xml:space="preserve">(See Table </w:t>
            </w:r>
            <w:r w:rsidR="00B92E7B">
              <w:rPr>
                <w:sz w:val="20"/>
                <w:szCs w:val="20"/>
              </w:rPr>
              <w:t>8</w:t>
            </w:r>
            <w:r w:rsidRPr="00A67FD9" w:rsidR="00A67FD9">
              <w:rPr>
                <w:sz w:val="20"/>
                <w:szCs w:val="20"/>
              </w:rPr>
              <w:t>)</w:t>
            </w:r>
          </w:p>
        </w:tc>
        <w:tc>
          <w:tcPr>
            <w:tcW w:w="1306" w:type="dxa"/>
          </w:tcPr>
          <w:p w:rsidRPr="00BB7053" w:rsidR="00FB22E6" w:rsidP="001212E7" w:rsidRDefault="00B92E7B" w14:paraId="13EC1FDF" w14:textId="5EF11497">
            <w:pPr>
              <w:keepNext/>
              <w:keepLines/>
              <w:tabs>
                <w:tab w:val="left" w:pos="6030"/>
              </w:tabs>
              <w:spacing w:line="276" w:lineRule="auto"/>
              <w:jc w:val="right"/>
              <w:rPr>
                <w:sz w:val="20"/>
                <w:szCs w:val="20"/>
              </w:rPr>
            </w:pPr>
            <w:r>
              <w:rPr>
                <w:sz w:val="20"/>
                <w:szCs w:val="20"/>
              </w:rPr>
              <w:t>6,500</w:t>
            </w:r>
          </w:p>
        </w:tc>
        <w:tc>
          <w:tcPr>
            <w:tcW w:w="1168" w:type="dxa"/>
          </w:tcPr>
          <w:p w:rsidRPr="00BB7053" w:rsidR="00FB22E6" w:rsidP="001212E7" w:rsidRDefault="00FB22E6" w14:paraId="648F58F2" w14:textId="2A593523">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940334" w14:paraId="6A5418D3" w14:textId="61AFD672">
            <w:pPr>
              <w:keepNext/>
              <w:keepLines/>
              <w:tabs>
                <w:tab w:val="left" w:pos="6030"/>
              </w:tabs>
              <w:spacing w:line="276" w:lineRule="auto"/>
              <w:jc w:val="right"/>
              <w:rPr>
                <w:sz w:val="20"/>
                <w:szCs w:val="20"/>
              </w:rPr>
            </w:pPr>
            <w:r>
              <w:rPr>
                <w:sz w:val="20"/>
                <w:szCs w:val="20"/>
              </w:rPr>
              <w:t>6,500</w:t>
            </w:r>
          </w:p>
        </w:tc>
        <w:tc>
          <w:tcPr>
            <w:tcW w:w="1077" w:type="dxa"/>
          </w:tcPr>
          <w:p w:rsidRPr="00BB7053" w:rsidR="00FB22E6" w:rsidP="001212E7" w:rsidRDefault="00FB22E6" w14:paraId="3749397C" w14:textId="5159E213">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3F6632" w14:paraId="0F2F13EE" w14:textId="31C2BB57">
            <w:pPr>
              <w:keepNext/>
              <w:keepLines/>
              <w:tabs>
                <w:tab w:val="left" w:pos="6030"/>
              </w:tabs>
              <w:spacing w:line="276" w:lineRule="auto"/>
              <w:jc w:val="right"/>
              <w:rPr>
                <w:sz w:val="20"/>
                <w:szCs w:val="20"/>
              </w:rPr>
            </w:pPr>
            <w:r>
              <w:rPr>
                <w:sz w:val="20"/>
                <w:szCs w:val="20"/>
              </w:rPr>
              <w:t>6,500</w:t>
            </w:r>
          </w:p>
        </w:tc>
        <w:tc>
          <w:tcPr>
            <w:tcW w:w="1068" w:type="dxa"/>
          </w:tcPr>
          <w:p w:rsidRPr="00BB7053" w:rsidR="00FB22E6" w:rsidP="001212E7" w:rsidRDefault="00FB22E6" w14:paraId="1C1C48B0" w14:textId="25CC555B">
            <w:pPr>
              <w:keepNext/>
              <w:keepLines/>
              <w:tabs>
                <w:tab w:val="left" w:pos="6030"/>
              </w:tabs>
              <w:spacing w:line="276" w:lineRule="auto"/>
              <w:jc w:val="right"/>
              <w:rPr>
                <w:sz w:val="20"/>
                <w:szCs w:val="20"/>
              </w:rPr>
            </w:pPr>
            <w:r>
              <w:rPr>
                <w:sz w:val="20"/>
                <w:szCs w:val="20"/>
              </w:rPr>
              <w:t>9</w:t>
            </w:r>
            <w:r w:rsidR="003F6632">
              <w:rPr>
                <w:sz w:val="20"/>
                <w:szCs w:val="20"/>
              </w:rPr>
              <w:t>8</w:t>
            </w:r>
            <w:r w:rsidR="00344F5F">
              <w:rPr>
                <w:sz w:val="20"/>
                <w:szCs w:val="20"/>
              </w:rPr>
              <w:t>.2</w:t>
            </w:r>
            <w:r w:rsidR="003F6632">
              <w:rPr>
                <w:sz w:val="20"/>
                <w:szCs w:val="20"/>
              </w:rPr>
              <w:t>8</w:t>
            </w:r>
          </w:p>
        </w:tc>
        <w:tc>
          <w:tcPr>
            <w:tcW w:w="1410" w:type="dxa"/>
          </w:tcPr>
          <w:p w:rsidRPr="00BB7053" w:rsidR="00FB22E6" w:rsidP="001212E7" w:rsidRDefault="0074048C" w14:paraId="041D3666" w14:textId="52B71122">
            <w:pPr>
              <w:keepNext/>
              <w:keepLines/>
              <w:tabs>
                <w:tab w:val="left" w:pos="6030"/>
              </w:tabs>
              <w:spacing w:line="276" w:lineRule="auto"/>
              <w:jc w:val="right"/>
              <w:rPr>
                <w:sz w:val="20"/>
                <w:szCs w:val="20"/>
              </w:rPr>
            </w:pPr>
            <w:r>
              <w:rPr>
                <w:sz w:val="20"/>
                <w:szCs w:val="20"/>
              </w:rPr>
              <w:t>638,820</w:t>
            </w:r>
          </w:p>
        </w:tc>
      </w:tr>
      <w:tr w:rsidR="00FB22E6" w:rsidTr="00D26368" w14:paraId="1AEBBFA4" w14:textId="77777777">
        <w:tc>
          <w:tcPr>
            <w:tcW w:w="1251" w:type="dxa"/>
            <w:shd w:val="clear" w:color="auto" w:fill="D9D9D9" w:themeFill="background1" w:themeFillShade="D9"/>
          </w:tcPr>
          <w:p w:rsidRPr="00BB7053" w:rsidR="00FB22E6" w:rsidP="00FB22E6" w:rsidRDefault="00FB22E6" w14:paraId="2F4DBE6D"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B22E6" w:rsidP="00FB22E6" w:rsidRDefault="00940334" w14:paraId="548F373C" w14:textId="54193897">
            <w:pPr>
              <w:tabs>
                <w:tab w:val="left" w:pos="6030"/>
              </w:tabs>
              <w:spacing w:line="276" w:lineRule="auto"/>
              <w:jc w:val="right"/>
              <w:rPr>
                <w:sz w:val="20"/>
                <w:szCs w:val="20"/>
              </w:rPr>
            </w:pPr>
            <w:r>
              <w:rPr>
                <w:sz w:val="20"/>
                <w:szCs w:val="20"/>
              </w:rPr>
              <w:t>+2,759</w:t>
            </w:r>
          </w:p>
        </w:tc>
        <w:tc>
          <w:tcPr>
            <w:tcW w:w="1168" w:type="dxa"/>
            <w:shd w:val="clear" w:color="auto" w:fill="D9D9D9" w:themeFill="background1" w:themeFillShade="D9"/>
          </w:tcPr>
          <w:p w:rsidRPr="00BB7053" w:rsidR="00FB22E6" w:rsidP="00FB22E6" w:rsidRDefault="00FB22E6" w14:paraId="1546D842" w14:textId="5BA3A8A5">
            <w:pPr>
              <w:tabs>
                <w:tab w:val="left" w:pos="6030"/>
              </w:tabs>
              <w:spacing w:line="276" w:lineRule="auto"/>
              <w:jc w:val="right"/>
              <w:rPr>
                <w:sz w:val="20"/>
                <w:szCs w:val="20"/>
              </w:rPr>
            </w:pPr>
            <w:r w:rsidRPr="00224344">
              <w:rPr>
                <w:sz w:val="20"/>
                <w:szCs w:val="20"/>
              </w:rPr>
              <w:t>No change</w:t>
            </w:r>
          </w:p>
        </w:tc>
        <w:tc>
          <w:tcPr>
            <w:tcW w:w="1094" w:type="dxa"/>
            <w:shd w:val="clear" w:color="auto" w:fill="D9D9D9" w:themeFill="background1" w:themeFillShade="D9"/>
          </w:tcPr>
          <w:p w:rsidRPr="00BB7053" w:rsidR="00FB22E6" w:rsidP="00FB22E6" w:rsidRDefault="00940334" w14:paraId="59E31F30" w14:textId="669CE0A1">
            <w:pPr>
              <w:tabs>
                <w:tab w:val="left" w:pos="6030"/>
              </w:tabs>
              <w:spacing w:line="276" w:lineRule="auto"/>
              <w:jc w:val="right"/>
              <w:rPr>
                <w:sz w:val="20"/>
                <w:szCs w:val="20"/>
              </w:rPr>
            </w:pPr>
            <w:r>
              <w:rPr>
                <w:sz w:val="20"/>
                <w:szCs w:val="20"/>
              </w:rPr>
              <w:t>+2,759</w:t>
            </w:r>
          </w:p>
        </w:tc>
        <w:tc>
          <w:tcPr>
            <w:tcW w:w="1077" w:type="dxa"/>
            <w:shd w:val="clear" w:color="auto" w:fill="D9D9D9" w:themeFill="background1" w:themeFillShade="D9"/>
          </w:tcPr>
          <w:p w:rsidRPr="00BB7053" w:rsidR="00FB22E6" w:rsidP="00FB22E6" w:rsidRDefault="00FB22E6" w14:paraId="79304BA7" w14:textId="7C746CA0">
            <w:pPr>
              <w:tabs>
                <w:tab w:val="left" w:pos="6030"/>
              </w:tabs>
              <w:spacing w:line="276" w:lineRule="auto"/>
              <w:jc w:val="right"/>
              <w:rPr>
                <w:sz w:val="20"/>
                <w:szCs w:val="20"/>
              </w:rPr>
            </w:pPr>
            <w:r w:rsidRPr="00224344">
              <w:rPr>
                <w:sz w:val="20"/>
                <w:szCs w:val="20"/>
              </w:rPr>
              <w:t>No change</w:t>
            </w:r>
          </w:p>
        </w:tc>
        <w:tc>
          <w:tcPr>
            <w:tcW w:w="1071" w:type="dxa"/>
            <w:shd w:val="clear" w:color="auto" w:fill="D9D9D9" w:themeFill="background1" w:themeFillShade="D9"/>
          </w:tcPr>
          <w:p w:rsidRPr="00BB7053" w:rsidR="00FB22E6" w:rsidP="00FB22E6" w:rsidRDefault="003F6632" w14:paraId="4CD32FFE" w14:textId="2B627048">
            <w:pPr>
              <w:tabs>
                <w:tab w:val="left" w:pos="6030"/>
              </w:tabs>
              <w:spacing w:line="276" w:lineRule="auto"/>
              <w:jc w:val="right"/>
              <w:rPr>
                <w:sz w:val="20"/>
                <w:szCs w:val="20"/>
              </w:rPr>
            </w:pPr>
            <w:r>
              <w:rPr>
                <w:sz w:val="20"/>
                <w:szCs w:val="20"/>
              </w:rPr>
              <w:t>+2,759</w:t>
            </w:r>
          </w:p>
        </w:tc>
        <w:tc>
          <w:tcPr>
            <w:tcW w:w="1068" w:type="dxa"/>
            <w:shd w:val="clear" w:color="auto" w:fill="D9D9D9" w:themeFill="background1" w:themeFillShade="D9"/>
          </w:tcPr>
          <w:p w:rsidRPr="00BB7053" w:rsidR="00FB22E6" w:rsidP="00FB22E6" w:rsidRDefault="00FB22E6" w14:paraId="5CE4F385" w14:textId="4616143F">
            <w:pPr>
              <w:tabs>
                <w:tab w:val="left" w:pos="6030"/>
              </w:tabs>
              <w:spacing w:line="276" w:lineRule="auto"/>
              <w:jc w:val="right"/>
              <w:rPr>
                <w:sz w:val="20"/>
                <w:szCs w:val="20"/>
              </w:rPr>
            </w:pPr>
            <w:r w:rsidRPr="00224344">
              <w:rPr>
                <w:sz w:val="20"/>
                <w:szCs w:val="20"/>
              </w:rPr>
              <w:t>No change</w:t>
            </w:r>
          </w:p>
        </w:tc>
        <w:tc>
          <w:tcPr>
            <w:tcW w:w="1410" w:type="dxa"/>
            <w:shd w:val="clear" w:color="auto" w:fill="D9D9D9" w:themeFill="background1" w:themeFillShade="D9"/>
          </w:tcPr>
          <w:p w:rsidRPr="00BB7053" w:rsidR="00FB22E6" w:rsidP="00FB22E6" w:rsidRDefault="0074048C" w14:paraId="565F23C2" w14:textId="7A7A544B">
            <w:pPr>
              <w:tabs>
                <w:tab w:val="left" w:pos="6030"/>
              </w:tabs>
              <w:spacing w:line="276" w:lineRule="auto"/>
              <w:jc w:val="right"/>
              <w:rPr>
                <w:sz w:val="20"/>
                <w:szCs w:val="20"/>
              </w:rPr>
            </w:pPr>
            <w:r>
              <w:rPr>
                <w:sz w:val="20"/>
                <w:szCs w:val="20"/>
              </w:rPr>
              <w:t>+271,155</w:t>
            </w:r>
          </w:p>
        </w:tc>
      </w:tr>
    </w:tbl>
    <w:p w:rsidR="003C6D38" w:rsidP="00BB7053" w:rsidRDefault="003C6D38" w14:paraId="23A2A5C4" w14:textId="5CB6E1D1">
      <w:pPr>
        <w:tabs>
          <w:tab w:val="left" w:pos="6030"/>
        </w:tabs>
        <w:spacing w:line="276" w:lineRule="auto"/>
        <w:jc w:val="both"/>
      </w:pPr>
    </w:p>
    <w:p w:rsidR="00885183" w:rsidP="00536031" w:rsidRDefault="00885183" w14:paraId="380090BA" w14:textId="2F3E6ACD">
      <w:pPr>
        <w:keepNext/>
        <w:keepLines/>
        <w:jc w:val="center"/>
        <w:rPr>
          <w:b/>
          <w:bCs/>
        </w:rPr>
      </w:pPr>
      <w:r w:rsidRPr="00B30713">
        <w:rPr>
          <w:rFonts w:eastAsia="Calibri"/>
          <w:b/>
          <w:bCs/>
        </w:rPr>
        <w:t xml:space="preserve">TABLE </w:t>
      </w:r>
      <w:r w:rsidR="00C1361E">
        <w:rPr>
          <w:rFonts w:eastAsia="Calibri"/>
          <w:b/>
          <w:bCs/>
        </w:rPr>
        <w:t>3</w:t>
      </w:r>
      <w:r w:rsidR="00A64437">
        <w:rPr>
          <w:rFonts w:eastAsia="Calibri"/>
          <w:b/>
          <w:bCs/>
        </w:rPr>
        <w:t>0F</w:t>
      </w:r>
      <w:r w:rsidRPr="00B30713">
        <w:rPr>
          <w:rFonts w:eastAsia="Calibri"/>
          <w:b/>
          <w:bCs/>
        </w:rPr>
        <w:t xml:space="preserve">: Burden Reconciliation for </w:t>
      </w:r>
      <w:r w:rsidRPr="00862C11" w:rsidR="00862C11">
        <w:rPr>
          <w:rFonts w:eastAsia="Calibri"/>
          <w:b/>
          <w:bCs/>
        </w:rPr>
        <w:t>Quality Performance Category Claims Collection Type</w:t>
      </w:r>
    </w:p>
    <w:tbl>
      <w:tblPr>
        <w:tblStyle w:val="TableGrid"/>
        <w:tblW w:w="9625" w:type="dxa"/>
        <w:tblLook w:val="04A0" w:firstRow="1" w:lastRow="0" w:firstColumn="1" w:lastColumn="0" w:noHBand="0" w:noVBand="1"/>
      </w:tblPr>
      <w:tblGrid>
        <w:gridCol w:w="1238"/>
        <w:gridCol w:w="1315"/>
        <w:gridCol w:w="1127"/>
        <w:gridCol w:w="1294"/>
        <w:gridCol w:w="1017"/>
        <w:gridCol w:w="1310"/>
        <w:gridCol w:w="888"/>
        <w:gridCol w:w="1436"/>
      </w:tblGrid>
      <w:tr w:rsidR="00885183" w:rsidTr="003830B0" w14:paraId="2C8C1EEF" w14:textId="77777777">
        <w:trPr>
          <w:cantSplit/>
          <w:tblHeader/>
        </w:trPr>
        <w:tc>
          <w:tcPr>
            <w:tcW w:w="1238" w:type="dxa"/>
          </w:tcPr>
          <w:p w:rsidRPr="001212E7" w:rsidR="00885183" w:rsidP="00536031" w:rsidRDefault="00885183" w14:paraId="08BD11F4"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15" w:type="dxa"/>
          </w:tcPr>
          <w:p w:rsidRPr="001212E7" w:rsidR="00885183" w:rsidP="00536031" w:rsidRDefault="00885183" w14:paraId="58668412"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27" w:type="dxa"/>
          </w:tcPr>
          <w:p w:rsidRPr="001212E7" w:rsidR="00885183" w:rsidP="00536031" w:rsidRDefault="00885183" w14:paraId="6FE59CD9"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294" w:type="dxa"/>
          </w:tcPr>
          <w:p w:rsidRPr="001212E7" w:rsidR="00885183" w:rsidP="00536031" w:rsidRDefault="00885183" w14:paraId="56BF29C4"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17" w:type="dxa"/>
          </w:tcPr>
          <w:p w:rsidRPr="001212E7" w:rsidR="00885183" w:rsidP="00536031" w:rsidRDefault="00885183" w14:paraId="7EB224A2" w14:textId="77777777">
            <w:pPr>
              <w:keepNext/>
              <w:keepLines/>
              <w:tabs>
                <w:tab w:val="left" w:pos="6030"/>
              </w:tabs>
              <w:spacing w:line="276" w:lineRule="auto"/>
              <w:rPr>
                <w:b/>
                <w:bCs/>
                <w:sz w:val="20"/>
                <w:szCs w:val="20"/>
              </w:rPr>
            </w:pPr>
            <w:r w:rsidRPr="001212E7">
              <w:rPr>
                <w:b/>
                <w:bCs/>
                <w:sz w:val="20"/>
                <w:szCs w:val="20"/>
              </w:rPr>
              <w:t>Time Per Response (</w:t>
            </w:r>
            <w:proofErr w:type="spellStart"/>
            <w:r w:rsidRPr="001212E7">
              <w:rPr>
                <w:b/>
                <w:bCs/>
                <w:sz w:val="20"/>
                <w:szCs w:val="20"/>
              </w:rPr>
              <w:t>hr</w:t>
            </w:r>
            <w:proofErr w:type="spellEnd"/>
            <w:r w:rsidRPr="001212E7">
              <w:rPr>
                <w:b/>
                <w:bCs/>
                <w:sz w:val="20"/>
                <w:szCs w:val="20"/>
              </w:rPr>
              <w:t>)</w:t>
            </w:r>
          </w:p>
        </w:tc>
        <w:tc>
          <w:tcPr>
            <w:tcW w:w="1310" w:type="dxa"/>
          </w:tcPr>
          <w:p w:rsidRPr="001212E7" w:rsidR="00885183" w:rsidP="00536031" w:rsidRDefault="00885183" w14:paraId="1334524A" w14:textId="77777777">
            <w:pPr>
              <w:keepNext/>
              <w:keepLines/>
              <w:tabs>
                <w:tab w:val="left" w:pos="6030"/>
              </w:tabs>
              <w:spacing w:line="276" w:lineRule="auto"/>
              <w:jc w:val="both"/>
              <w:rPr>
                <w:b/>
                <w:bCs/>
                <w:sz w:val="20"/>
                <w:szCs w:val="20"/>
              </w:rPr>
            </w:pPr>
            <w:r w:rsidRPr="001212E7">
              <w:rPr>
                <w:b/>
                <w:bCs/>
                <w:sz w:val="20"/>
                <w:szCs w:val="20"/>
              </w:rPr>
              <w:t>Total Annual Time (</w:t>
            </w:r>
            <w:proofErr w:type="spellStart"/>
            <w:r w:rsidRPr="001212E7">
              <w:rPr>
                <w:b/>
                <w:bCs/>
                <w:sz w:val="20"/>
                <w:szCs w:val="20"/>
              </w:rPr>
              <w:t>hr</w:t>
            </w:r>
            <w:proofErr w:type="spellEnd"/>
            <w:r w:rsidRPr="001212E7">
              <w:rPr>
                <w:b/>
                <w:bCs/>
                <w:sz w:val="20"/>
                <w:szCs w:val="20"/>
              </w:rPr>
              <w:t>)</w:t>
            </w:r>
          </w:p>
        </w:tc>
        <w:tc>
          <w:tcPr>
            <w:tcW w:w="888" w:type="dxa"/>
          </w:tcPr>
          <w:p w:rsidRPr="001212E7" w:rsidR="00885183" w:rsidP="00536031" w:rsidRDefault="00885183" w14:paraId="5945A90A" w14:textId="77777777">
            <w:pPr>
              <w:keepNext/>
              <w:keepLines/>
              <w:tabs>
                <w:tab w:val="left" w:pos="6030"/>
              </w:tabs>
              <w:spacing w:line="276" w:lineRule="auto"/>
              <w:jc w:val="both"/>
              <w:rPr>
                <w:b/>
                <w:bCs/>
                <w:sz w:val="20"/>
                <w:szCs w:val="20"/>
              </w:rPr>
            </w:pPr>
            <w:r w:rsidRPr="001212E7">
              <w:rPr>
                <w:b/>
                <w:bCs/>
                <w:sz w:val="20"/>
                <w:szCs w:val="20"/>
              </w:rPr>
              <w:t>Labor Cost ($/</w:t>
            </w:r>
            <w:proofErr w:type="spellStart"/>
            <w:r w:rsidRPr="001212E7">
              <w:rPr>
                <w:b/>
                <w:bCs/>
                <w:sz w:val="20"/>
                <w:szCs w:val="20"/>
              </w:rPr>
              <w:t>hr</w:t>
            </w:r>
            <w:proofErr w:type="spellEnd"/>
            <w:r w:rsidRPr="001212E7">
              <w:rPr>
                <w:b/>
                <w:bCs/>
                <w:sz w:val="20"/>
                <w:szCs w:val="20"/>
              </w:rPr>
              <w:t>)</w:t>
            </w:r>
          </w:p>
        </w:tc>
        <w:tc>
          <w:tcPr>
            <w:tcW w:w="1436" w:type="dxa"/>
          </w:tcPr>
          <w:p w:rsidRPr="001212E7" w:rsidR="00885183" w:rsidP="00536031" w:rsidRDefault="00885183" w14:paraId="6072BB66" w14:textId="77777777">
            <w:pPr>
              <w:keepNext/>
              <w:keepLines/>
              <w:tabs>
                <w:tab w:val="left" w:pos="6030"/>
              </w:tabs>
              <w:spacing w:line="276" w:lineRule="auto"/>
              <w:rPr>
                <w:b/>
                <w:bCs/>
                <w:sz w:val="20"/>
                <w:szCs w:val="20"/>
              </w:rPr>
            </w:pPr>
            <w:r w:rsidRPr="001212E7">
              <w:rPr>
                <w:b/>
                <w:bCs/>
                <w:sz w:val="20"/>
                <w:szCs w:val="20"/>
              </w:rPr>
              <w:t>Total Annual Cost ($)</w:t>
            </w:r>
          </w:p>
        </w:tc>
      </w:tr>
      <w:tr w:rsidR="00555018" w:rsidTr="003830B0" w14:paraId="755C8675" w14:textId="77777777">
        <w:trPr>
          <w:cantSplit/>
        </w:trPr>
        <w:tc>
          <w:tcPr>
            <w:tcW w:w="1238" w:type="dxa"/>
          </w:tcPr>
          <w:p w:rsidRPr="00BB7053" w:rsidR="00555018" w:rsidP="00555018" w:rsidRDefault="00555018" w14:paraId="168B795D" w14:textId="14CEA81D">
            <w:pPr>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15" w:type="dxa"/>
          </w:tcPr>
          <w:p w:rsidRPr="00BB7053" w:rsidR="00555018" w:rsidP="00555018" w:rsidRDefault="00A11E26" w14:paraId="7FBBA3A5" w14:textId="57141B81">
            <w:pPr>
              <w:tabs>
                <w:tab w:val="left" w:pos="6030"/>
              </w:tabs>
              <w:spacing w:line="276" w:lineRule="auto"/>
              <w:jc w:val="right"/>
              <w:rPr>
                <w:sz w:val="20"/>
                <w:szCs w:val="20"/>
              </w:rPr>
            </w:pPr>
            <w:r w:rsidRPr="00A11E26">
              <w:rPr>
                <w:sz w:val="20"/>
                <w:szCs w:val="20"/>
              </w:rPr>
              <w:t>2</w:t>
            </w:r>
            <w:r w:rsidR="00BF0597">
              <w:rPr>
                <w:sz w:val="20"/>
                <w:szCs w:val="20"/>
              </w:rPr>
              <w:t>5,427</w:t>
            </w:r>
          </w:p>
        </w:tc>
        <w:tc>
          <w:tcPr>
            <w:tcW w:w="1127" w:type="dxa"/>
          </w:tcPr>
          <w:p w:rsidRPr="00BB7053" w:rsidR="00555018" w:rsidP="00555018" w:rsidRDefault="00555018" w14:paraId="5C82005A" w14:textId="4B025CAC">
            <w:pPr>
              <w:tabs>
                <w:tab w:val="left" w:pos="6030"/>
              </w:tabs>
              <w:spacing w:line="276" w:lineRule="auto"/>
              <w:jc w:val="right"/>
              <w:rPr>
                <w:sz w:val="20"/>
                <w:szCs w:val="20"/>
              </w:rPr>
            </w:pPr>
            <w:r>
              <w:rPr>
                <w:sz w:val="20"/>
                <w:szCs w:val="20"/>
              </w:rPr>
              <w:t>1</w:t>
            </w:r>
          </w:p>
        </w:tc>
        <w:tc>
          <w:tcPr>
            <w:tcW w:w="1294" w:type="dxa"/>
          </w:tcPr>
          <w:p w:rsidRPr="00BB7053" w:rsidR="00555018" w:rsidP="00555018" w:rsidRDefault="00A11E26" w14:paraId="02547004" w14:textId="396FFBD4">
            <w:pPr>
              <w:tabs>
                <w:tab w:val="left" w:pos="6030"/>
              </w:tabs>
              <w:spacing w:line="276" w:lineRule="auto"/>
              <w:jc w:val="right"/>
              <w:rPr>
                <w:sz w:val="20"/>
                <w:szCs w:val="20"/>
              </w:rPr>
            </w:pPr>
            <w:r w:rsidRPr="00A11E26">
              <w:rPr>
                <w:sz w:val="20"/>
                <w:szCs w:val="20"/>
              </w:rPr>
              <w:t>2</w:t>
            </w:r>
            <w:r w:rsidR="000B420E">
              <w:rPr>
                <w:sz w:val="20"/>
                <w:szCs w:val="20"/>
              </w:rPr>
              <w:t>5,427</w:t>
            </w:r>
          </w:p>
        </w:tc>
        <w:tc>
          <w:tcPr>
            <w:tcW w:w="1017" w:type="dxa"/>
          </w:tcPr>
          <w:p w:rsidRPr="00BB7053" w:rsidR="00555018" w:rsidP="00555018" w:rsidRDefault="00555018" w14:paraId="7C59EB78" w14:textId="137C46D0">
            <w:pPr>
              <w:tabs>
                <w:tab w:val="left" w:pos="6030"/>
              </w:tabs>
              <w:spacing w:line="276" w:lineRule="auto"/>
              <w:jc w:val="right"/>
              <w:rPr>
                <w:sz w:val="20"/>
                <w:szCs w:val="20"/>
              </w:rPr>
            </w:pPr>
            <w:r>
              <w:rPr>
                <w:sz w:val="20"/>
                <w:szCs w:val="20"/>
              </w:rPr>
              <w:t>14.2</w:t>
            </w:r>
          </w:p>
        </w:tc>
        <w:tc>
          <w:tcPr>
            <w:tcW w:w="1310" w:type="dxa"/>
          </w:tcPr>
          <w:p w:rsidRPr="00BB7053" w:rsidR="00555018" w:rsidP="00555018" w:rsidRDefault="000B420E" w14:paraId="20AB4645" w14:textId="181CD74C">
            <w:pPr>
              <w:tabs>
                <w:tab w:val="left" w:pos="6030"/>
              </w:tabs>
              <w:spacing w:line="276" w:lineRule="auto"/>
              <w:jc w:val="right"/>
              <w:rPr>
                <w:sz w:val="20"/>
                <w:szCs w:val="20"/>
              </w:rPr>
            </w:pPr>
            <w:r>
              <w:rPr>
                <w:sz w:val="20"/>
                <w:szCs w:val="20"/>
              </w:rPr>
              <w:t>361,063</w:t>
            </w:r>
          </w:p>
        </w:tc>
        <w:tc>
          <w:tcPr>
            <w:tcW w:w="888" w:type="dxa"/>
          </w:tcPr>
          <w:p w:rsidRPr="00BB7053" w:rsidR="00555018" w:rsidP="00555018" w:rsidRDefault="00555018" w14:paraId="65B39038" w14:textId="3E6CFF07">
            <w:pPr>
              <w:tabs>
                <w:tab w:val="left" w:pos="6030"/>
              </w:tabs>
              <w:spacing w:line="276" w:lineRule="auto"/>
              <w:jc w:val="right"/>
              <w:rPr>
                <w:sz w:val="20"/>
                <w:szCs w:val="20"/>
              </w:rPr>
            </w:pPr>
            <w:r>
              <w:rPr>
                <w:sz w:val="20"/>
                <w:szCs w:val="20"/>
              </w:rPr>
              <w:t>Varies</w:t>
            </w:r>
          </w:p>
        </w:tc>
        <w:tc>
          <w:tcPr>
            <w:tcW w:w="1436" w:type="dxa"/>
          </w:tcPr>
          <w:p w:rsidRPr="00BB7053" w:rsidR="00555018" w:rsidP="00555018" w:rsidRDefault="00706088" w14:paraId="34B0954D" w14:textId="2C79FB0C">
            <w:pPr>
              <w:tabs>
                <w:tab w:val="left" w:pos="6030"/>
              </w:tabs>
              <w:spacing w:line="276" w:lineRule="auto"/>
              <w:jc w:val="right"/>
              <w:rPr>
                <w:sz w:val="20"/>
                <w:szCs w:val="20"/>
              </w:rPr>
            </w:pPr>
            <w:r>
              <w:rPr>
                <w:sz w:val="20"/>
                <w:szCs w:val="20"/>
              </w:rPr>
              <w:t>38,203,813</w:t>
            </w:r>
          </w:p>
        </w:tc>
      </w:tr>
      <w:tr w:rsidR="00555018" w:rsidTr="003830B0" w14:paraId="1C0F00DB" w14:textId="77777777">
        <w:trPr>
          <w:cantSplit/>
        </w:trPr>
        <w:tc>
          <w:tcPr>
            <w:tcW w:w="1238" w:type="dxa"/>
          </w:tcPr>
          <w:p w:rsidR="00765026" w:rsidP="00192E2E" w:rsidRDefault="000B420E" w14:paraId="2553A2C0" w14:textId="5EA0D26D">
            <w:pPr>
              <w:tabs>
                <w:tab w:val="left" w:pos="6030"/>
              </w:tabs>
              <w:spacing w:line="276" w:lineRule="auto"/>
              <w:rPr>
                <w:sz w:val="20"/>
                <w:szCs w:val="20"/>
              </w:rPr>
            </w:pPr>
            <w:r>
              <w:rPr>
                <w:sz w:val="20"/>
                <w:szCs w:val="20"/>
              </w:rPr>
              <w:t>Propos</w:t>
            </w:r>
            <w:r w:rsidR="00773DD1">
              <w:rPr>
                <w:sz w:val="20"/>
                <w:szCs w:val="20"/>
              </w:rPr>
              <w:t>ed</w:t>
            </w:r>
          </w:p>
          <w:p w:rsidRPr="00BB7053" w:rsidR="00555018" w:rsidP="00192E2E" w:rsidRDefault="00A67FD9" w14:paraId="799F2E63" w14:textId="79B7FDA0">
            <w:pPr>
              <w:tabs>
                <w:tab w:val="left" w:pos="6030"/>
              </w:tabs>
              <w:spacing w:line="276" w:lineRule="auto"/>
              <w:rPr>
                <w:sz w:val="20"/>
                <w:szCs w:val="20"/>
              </w:rPr>
            </w:pPr>
            <w:r w:rsidRPr="00A67FD9">
              <w:rPr>
                <w:sz w:val="20"/>
                <w:szCs w:val="20"/>
              </w:rPr>
              <w:t xml:space="preserve">(See Table </w:t>
            </w:r>
            <w:r w:rsidR="00A64437">
              <w:rPr>
                <w:sz w:val="20"/>
                <w:szCs w:val="20"/>
              </w:rPr>
              <w:t>9</w:t>
            </w:r>
            <w:r w:rsidRPr="00A67FD9">
              <w:rPr>
                <w:sz w:val="20"/>
                <w:szCs w:val="20"/>
              </w:rPr>
              <w:t>)</w:t>
            </w:r>
          </w:p>
        </w:tc>
        <w:tc>
          <w:tcPr>
            <w:tcW w:w="1315" w:type="dxa"/>
          </w:tcPr>
          <w:p w:rsidRPr="00BB7053" w:rsidR="00555018" w:rsidP="00555018" w:rsidRDefault="00F5178A" w14:paraId="6AC37DC7" w14:textId="2289CE46">
            <w:pPr>
              <w:tabs>
                <w:tab w:val="left" w:pos="6030"/>
              </w:tabs>
              <w:spacing w:line="276" w:lineRule="auto"/>
              <w:jc w:val="right"/>
              <w:rPr>
                <w:sz w:val="20"/>
                <w:szCs w:val="20"/>
              </w:rPr>
            </w:pPr>
            <w:r>
              <w:rPr>
                <w:sz w:val="20"/>
                <w:szCs w:val="20"/>
              </w:rPr>
              <w:t>2</w:t>
            </w:r>
            <w:r w:rsidR="00BF0597">
              <w:rPr>
                <w:sz w:val="20"/>
                <w:szCs w:val="20"/>
              </w:rPr>
              <w:t>7,006</w:t>
            </w:r>
          </w:p>
        </w:tc>
        <w:tc>
          <w:tcPr>
            <w:tcW w:w="1127" w:type="dxa"/>
          </w:tcPr>
          <w:p w:rsidRPr="00BB7053" w:rsidR="00555018" w:rsidP="00555018" w:rsidRDefault="00555018" w14:paraId="68BD3832" w14:textId="280EFBFE">
            <w:pPr>
              <w:tabs>
                <w:tab w:val="left" w:pos="6030"/>
              </w:tabs>
              <w:spacing w:line="276" w:lineRule="auto"/>
              <w:jc w:val="right"/>
              <w:rPr>
                <w:sz w:val="20"/>
                <w:szCs w:val="20"/>
              </w:rPr>
            </w:pPr>
            <w:r>
              <w:rPr>
                <w:sz w:val="20"/>
                <w:szCs w:val="20"/>
              </w:rPr>
              <w:t>1</w:t>
            </w:r>
          </w:p>
        </w:tc>
        <w:tc>
          <w:tcPr>
            <w:tcW w:w="1294" w:type="dxa"/>
          </w:tcPr>
          <w:p w:rsidRPr="00BB7053" w:rsidR="00555018" w:rsidP="00555018" w:rsidRDefault="00F5178A" w14:paraId="3E21CE80" w14:textId="1BBB23AE">
            <w:pPr>
              <w:tabs>
                <w:tab w:val="left" w:pos="6030"/>
              </w:tabs>
              <w:spacing w:line="276" w:lineRule="auto"/>
              <w:jc w:val="right"/>
              <w:rPr>
                <w:sz w:val="20"/>
                <w:szCs w:val="20"/>
              </w:rPr>
            </w:pPr>
            <w:r>
              <w:rPr>
                <w:sz w:val="20"/>
                <w:szCs w:val="20"/>
              </w:rPr>
              <w:t>2</w:t>
            </w:r>
            <w:r w:rsidR="000B420E">
              <w:rPr>
                <w:sz w:val="20"/>
                <w:szCs w:val="20"/>
              </w:rPr>
              <w:t>7,006</w:t>
            </w:r>
          </w:p>
        </w:tc>
        <w:tc>
          <w:tcPr>
            <w:tcW w:w="1017" w:type="dxa"/>
          </w:tcPr>
          <w:p w:rsidRPr="00BB7053" w:rsidR="00555018" w:rsidP="00555018" w:rsidRDefault="00555018" w14:paraId="31FBD367" w14:textId="61841EB2">
            <w:pPr>
              <w:tabs>
                <w:tab w:val="left" w:pos="6030"/>
              </w:tabs>
              <w:spacing w:line="276" w:lineRule="auto"/>
              <w:jc w:val="right"/>
              <w:rPr>
                <w:sz w:val="20"/>
                <w:szCs w:val="20"/>
              </w:rPr>
            </w:pPr>
            <w:r>
              <w:rPr>
                <w:sz w:val="20"/>
                <w:szCs w:val="20"/>
              </w:rPr>
              <w:t>14.2</w:t>
            </w:r>
          </w:p>
        </w:tc>
        <w:tc>
          <w:tcPr>
            <w:tcW w:w="1310" w:type="dxa"/>
          </w:tcPr>
          <w:p w:rsidRPr="00BB7053" w:rsidR="00555018" w:rsidP="00555018" w:rsidRDefault="00706088" w14:paraId="24E9D429" w14:textId="487D170B">
            <w:pPr>
              <w:tabs>
                <w:tab w:val="left" w:pos="6030"/>
              </w:tabs>
              <w:spacing w:line="276" w:lineRule="auto"/>
              <w:jc w:val="right"/>
              <w:rPr>
                <w:sz w:val="20"/>
                <w:szCs w:val="20"/>
              </w:rPr>
            </w:pPr>
            <w:r>
              <w:rPr>
                <w:sz w:val="20"/>
                <w:szCs w:val="20"/>
              </w:rPr>
              <w:t>383,485</w:t>
            </w:r>
          </w:p>
        </w:tc>
        <w:tc>
          <w:tcPr>
            <w:tcW w:w="888" w:type="dxa"/>
          </w:tcPr>
          <w:p w:rsidRPr="00BB7053" w:rsidR="00555018" w:rsidP="00555018" w:rsidRDefault="00555018" w14:paraId="397CF625" w14:textId="3EA75ADC">
            <w:pPr>
              <w:tabs>
                <w:tab w:val="left" w:pos="6030"/>
              </w:tabs>
              <w:spacing w:line="276" w:lineRule="auto"/>
              <w:jc w:val="right"/>
              <w:rPr>
                <w:sz w:val="20"/>
                <w:szCs w:val="20"/>
              </w:rPr>
            </w:pPr>
            <w:r>
              <w:rPr>
                <w:sz w:val="20"/>
                <w:szCs w:val="20"/>
              </w:rPr>
              <w:t>Varies</w:t>
            </w:r>
          </w:p>
        </w:tc>
        <w:tc>
          <w:tcPr>
            <w:tcW w:w="1436" w:type="dxa"/>
          </w:tcPr>
          <w:p w:rsidRPr="00BB7053" w:rsidR="00555018" w:rsidP="00555018" w:rsidRDefault="0022078F" w14:paraId="09FBCDB3" w14:textId="061237AC">
            <w:pPr>
              <w:tabs>
                <w:tab w:val="left" w:pos="6030"/>
              </w:tabs>
              <w:spacing w:line="276" w:lineRule="auto"/>
              <w:jc w:val="right"/>
              <w:rPr>
                <w:sz w:val="20"/>
                <w:szCs w:val="20"/>
              </w:rPr>
            </w:pPr>
            <w:r>
              <w:rPr>
                <w:sz w:val="20"/>
                <w:szCs w:val="20"/>
              </w:rPr>
              <w:t>40</w:t>
            </w:r>
            <w:r w:rsidR="00675AF1">
              <w:rPr>
                <w:sz w:val="20"/>
                <w:szCs w:val="20"/>
              </w:rPr>
              <w:t>,</w:t>
            </w:r>
            <w:r w:rsidR="00706088">
              <w:rPr>
                <w:sz w:val="20"/>
                <w:szCs w:val="20"/>
              </w:rPr>
              <w:t>576,245</w:t>
            </w:r>
          </w:p>
        </w:tc>
      </w:tr>
      <w:tr w:rsidR="006A6349" w:rsidTr="005255DD" w14:paraId="2985E698" w14:textId="77777777">
        <w:trPr>
          <w:cantSplit/>
        </w:trPr>
        <w:tc>
          <w:tcPr>
            <w:tcW w:w="1238" w:type="dxa"/>
            <w:shd w:val="clear" w:color="auto" w:fill="D9D9D9" w:themeFill="background1" w:themeFillShade="D9"/>
          </w:tcPr>
          <w:p w:rsidRPr="00BB7053" w:rsidR="00555018" w:rsidP="00555018" w:rsidRDefault="00555018" w14:paraId="06A08736" w14:textId="182B520A">
            <w:pPr>
              <w:tabs>
                <w:tab w:val="left" w:pos="6030"/>
              </w:tabs>
              <w:spacing w:line="276" w:lineRule="auto"/>
              <w:jc w:val="both"/>
              <w:rPr>
                <w:sz w:val="20"/>
                <w:szCs w:val="20"/>
              </w:rPr>
            </w:pPr>
            <w:r>
              <w:rPr>
                <w:sz w:val="20"/>
                <w:szCs w:val="20"/>
              </w:rPr>
              <w:t>Adjustment</w:t>
            </w:r>
            <w:r w:rsidR="00DF2470">
              <w:rPr>
                <w:sz w:val="20"/>
                <w:szCs w:val="20"/>
              </w:rPr>
              <w:t xml:space="preserve"> </w:t>
            </w:r>
          </w:p>
        </w:tc>
        <w:tc>
          <w:tcPr>
            <w:tcW w:w="1315" w:type="dxa"/>
            <w:shd w:val="clear" w:color="auto" w:fill="D9D9D9" w:themeFill="background1" w:themeFillShade="D9"/>
          </w:tcPr>
          <w:p w:rsidRPr="00BB7053" w:rsidR="00555018" w:rsidP="00555018" w:rsidRDefault="00BF0597" w14:paraId="576FD831" w14:textId="6FA7D768">
            <w:pPr>
              <w:tabs>
                <w:tab w:val="left" w:pos="6030"/>
              </w:tabs>
              <w:spacing w:line="276" w:lineRule="auto"/>
              <w:jc w:val="right"/>
              <w:rPr>
                <w:sz w:val="20"/>
                <w:szCs w:val="20"/>
              </w:rPr>
            </w:pPr>
            <w:r>
              <w:rPr>
                <w:sz w:val="20"/>
                <w:szCs w:val="20"/>
              </w:rPr>
              <w:t>+1,579</w:t>
            </w:r>
          </w:p>
        </w:tc>
        <w:tc>
          <w:tcPr>
            <w:tcW w:w="1127" w:type="dxa"/>
            <w:shd w:val="clear" w:color="auto" w:fill="D9D9D9" w:themeFill="background1" w:themeFillShade="D9"/>
          </w:tcPr>
          <w:p w:rsidRPr="00BB7053" w:rsidR="00555018" w:rsidP="00555018" w:rsidRDefault="00555018" w14:paraId="78C5A4C4" w14:textId="17FC59AB">
            <w:pPr>
              <w:tabs>
                <w:tab w:val="left" w:pos="6030"/>
              </w:tabs>
              <w:spacing w:line="276" w:lineRule="auto"/>
              <w:jc w:val="right"/>
              <w:rPr>
                <w:sz w:val="20"/>
                <w:szCs w:val="20"/>
              </w:rPr>
            </w:pPr>
            <w:r>
              <w:rPr>
                <w:sz w:val="20"/>
                <w:szCs w:val="20"/>
              </w:rPr>
              <w:t>No change</w:t>
            </w:r>
          </w:p>
        </w:tc>
        <w:tc>
          <w:tcPr>
            <w:tcW w:w="1294" w:type="dxa"/>
            <w:shd w:val="clear" w:color="auto" w:fill="D9D9D9" w:themeFill="background1" w:themeFillShade="D9"/>
          </w:tcPr>
          <w:p w:rsidRPr="00BB7053" w:rsidR="00555018" w:rsidP="00555018" w:rsidRDefault="000B420E" w14:paraId="514EF2A8" w14:textId="2F8D00E3">
            <w:pPr>
              <w:tabs>
                <w:tab w:val="left" w:pos="6030"/>
              </w:tabs>
              <w:spacing w:line="276" w:lineRule="auto"/>
              <w:jc w:val="right"/>
              <w:rPr>
                <w:sz w:val="20"/>
                <w:szCs w:val="20"/>
              </w:rPr>
            </w:pPr>
            <w:r>
              <w:rPr>
                <w:sz w:val="20"/>
                <w:szCs w:val="20"/>
              </w:rPr>
              <w:t>+1,579</w:t>
            </w:r>
          </w:p>
        </w:tc>
        <w:tc>
          <w:tcPr>
            <w:tcW w:w="1017" w:type="dxa"/>
            <w:shd w:val="clear" w:color="auto" w:fill="D9D9D9" w:themeFill="background1" w:themeFillShade="D9"/>
          </w:tcPr>
          <w:p w:rsidRPr="00BB7053" w:rsidR="00555018" w:rsidP="00555018" w:rsidRDefault="00555018" w14:paraId="5CBFEFD2" w14:textId="46BED106">
            <w:pPr>
              <w:tabs>
                <w:tab w:val="left" w:pos="6030"/>
              </w:tabs>
              <w:spacing w:line="276" w:lineRule="auto"/>
              <w:jc w:val="right"/>
              <w:rPr>
                <w:sz w:val="20"/>
                <w:szCs w:val="20"/>
              </w:rPr>
            </w:pPr>
            <w:r>
              <w:rPr>
                <w:sz w:val="20"/>
                <w:szCs w:val="20"/>
              </w:rPr>
              <w:t>No change</w:t>
            </w:r>
          </w:p>
        </w:tc>
        <w:tc>
          <w:tcPr>
            <w:tcW w:w="1310" w:type="dxa"/>
            <w:shd w:val="clear" w:color="auto" w:fill="D9D9D9" w:themeFill="background1" w:themeFillShade="D9"/>
          </w:tcPr>
          <w:p w:rsidRPr="00BB7053" w:rsidR="00555018" w:rsidP="00555018" w:rsidRDefault="00706088" w14:paraId="4A602E7E" w14:textId="5BD9E9C3">
            <w:pPr>
              <w:tabs>
                <w:tab w:val="left" w:pos="6030"/>
              </w:tabs>
              <w:spacing w:line="276" w:lineRule="auto"/>
              <w:jc w:val="right"/>
              <w:rPr>
                <w:sz w:val="20"/>
                <w:szCs w:val="20"/>
              </w:rPr>
            </w:pPr>
            <w:r>
              <w:rPr>
                <w:sz w:val="20"/>
                <w:szCs w:val="20"/>
              </w:rPr>
              <w:t>+22,422</w:t>
            </w:r>
          </w:p>
        </w:tc>
        <w:tc>
          <w:tcPr>
            <w:tcW w:w="888" w:type="dxa"/>
            <w:shd w:val="clear" w:color="auto" w:fill="D9D9D9" w:themeFill="background1" w:themeFillShade="D9"/>
          </w:tcPr>
          <w:p w:rsidRPr="00BB7053" w:rsidR="00555018" w:rsidP="00555018" w:rsidRDefault="00555018" w14:paraId="66E4847E" w14:textId="2BE95409">
            <w:pPr>
              <w:tabs>
                <w:tab w:val="left" w:pos="6030"/>
              </w:tabs>
              <w:spacing w:line="276" w:lineRule="auto"/>
              <w:jc w:val="right"/>
              <w:rPr>
                <w:sz w:val="20"/>
                <w:szCs w:val="20"/>
              </w:rPr>
            </w:pPr>
            <w:r>
              <w:rPr>
                <w:sz w:val="20"/>
                <w:szCs w:val="20"/>
              </w:rPr>
              <w:t>No change</w:t>
            </w:r>
          </w:p>
        </w:tc>
        <w:tc>
          <w:tcPr>
            <w:tcW w:w="1436" w:type="dxa"/>
            <w:shd w:val="clear" w:color="auto" w:fill="D9D9D9" w:themeFill="background1" w:themeFillShade="D9"/>
          </w:tcPr>
          <w:p w:rsidRPr="00BB7053" w:rsidR="00555018" w:rsidP="00555018" w:rsidRDefault="00706088" w14:paraId="67BBC51D" w14:textId="3D569B12">
            <w:pPr>
              <w:tabs>
                <w:tab w:val="left" w:pos="6030"/>
              </w:tabs>
              <w:spacing w:line="276" w:lineRule="auto"/>
              <w:jc w:val="right"/>
              <w:rPr>
                <w:sz w:val="20"/>
                <w:szCs w:val="20"/>
              </w:rPr>
            </w:pPr>
            <w:r>
              <w:rPr>
                <w:sz w:val="20"/>
                <w:szCs w:val="20"/>
              </w:rPr>
              <w:t>+2,372,432</w:t>
            </w:r>
          </w:p>
        </w:tc>
      </w:tr>
    </w:tbl>
    <w:p w:rsidR="00885183" w:rsidP="00BB7053" w:rsidRDefault="00885183" w14:paraId="6F01ED7C" w14:textId="10EC0EC4">
      <w:pPr>
        <w:tabs>
          <w:tab w:val="left" w:pos="6030"/>
        </w:tabs>
        <w:spacing w:line="276" w:lineRule="auto"/>
        <w:jc w:val="both"/>
      </w:pPr>
    </w:p>
    <w:p w:rsidR="00885183" w:rsidP="00F377C1" w:rsidRDefault="00885183" w14:paraId="3CA84BC7" w14:textId="7BF5358C">
      <w:pPr>
        <w:keepNext/>
        <w:keepLines/>
        <w:jc w:val="center"/>
        <w:rPr>
          <w:b/>
          <w:bCs/>
        </w:rPr>
      </w:pPr>
      <w:r w:rsidRPr="00B30713">
        <w:rPr>
          <w:rFonts w:eastAsia="Calibri"/>
          <w:b/>
          <w:bCs/>
        </w:rPr>
        <w:lastRenderedPageBreak/>
        <w:t xml:space="preserve">TABLE </w:t>
      </w:r>
      <w:r w:rsidR="00C1361E">
        <w:rPr>
          <w:rFonts w:eastAsia="Calibri"/>
          <w:b/>
          <w:bCs/>
        </w:rPr>
        <w:t>3</w:t>
      </w:r>
      <w:r w:rsidR="00096EA2">
        <w:rPr>
          <w:rFonts w:eastAsia="Calibri"/>
          <w:b/>
          <w:bCs/>
        </w:rPr>
        <w:t>0G</w:t>
      </w:r>
      <w:r w:rsidRPr="00B30713">
        <w:rPr>
          <w:rFonts w:eastAsia="Calibri"/>
          <w:b/>
          <w:bCs/>
        </w:rPr>
        <w:t xml:space="preserve">: Burden Reconciliation for </w:t>
      </w:r>
      <w:r w:rsidRPr="00485336" w:rsidR="00485336">
        <w:rPr>
          <w:rFonts w:eastAsia="Calibri"/>
          <w:b/>
          <w:bCs/>
        </w:rPr>
        <w:t>Quality Performance Category QCDR/MIPS CQM Collection Type</w:t>
      </w:r>
    </w:p>
    <w:tbl>
      <w:tblPr>
        <w:tblStyle w:val="TableGrid"/>
        <w:tblW w:w="9990" w:type="dxa"/>
        <w:tblInd w:w="-275" w:type="dxa"/>
        <w:tblLayout w:type="fixed"/>
        <w:tblLook w:val="04A0" w:firstRow="1" w:lastRow="0" w:firstColumn="1" w:lastColumn="0" w:noHBand="0" w:noVBand="1"/>
      </w:tblPr>
      <w:tblGrid>
        <w:gridCol w:w="1350"/>
        <w:gridCol w:w="1358"/>
        <w:gridCol w:w="1276"/>
        <w:gridCol w:w="1326"/>
        <w:gridCol w:w="1080"/>
        <w:gridCol w:w="1170"/>
        <w:gridCol w:w="990"/>
        <w:gridCol w:w="1440"/>
      </w:tblGrid>
      <w:tr w:rsidRPr="00B76FCA" w:rsidR="005D6016" w:rsidTr="00DE0E95" w14:paraId="0F913CDB" w14:textId="77777777">
        <w:trPr>
          <w:trHeight w:val="781"/>
          <w:tblHeader/>
        </w:trPr>
        <w:tc>
          <w:tcPr>
            <w:tcW w:w="1350" w:type="dxa"/>
          </w:tcPr>
          <w:p w:rsidRPr="00B76FCA" w:rsidR="00885183" w:rsidP="00F377C1" w:rsidRDefault="00885183" w14:paraId="1F6FD781" w14:textId="77777777">
            <w:pPr>
              <w:keepNext/>
              <w:keepLines/>
              <w:tabs>
                <w:tab w:val="left" w:pos="6030"/>
              </w:tabs>
              <w:spacing w:line="276" w:lineRule="auto"/>
              <w:jc w:val="both"/>
              <w:rPr>
                <w:b/>
                <w:bCs/>
                <w:sz w:val="20"/>
                <w:szCs w:val="20"/>
              </w:rPr>
            </w:pPr>
            <w:r w:rsidRPr="004F3C8C">
              <w:rPr>
                <w:b/>
                <w:bCs/>
                <w:sz w:val="20"/>
                <w:szCs w:val="20"/>
              </w:rPr>
              <w:t>Burden Category</w:t>
            </w:r>
          </w:p>
        </w:tc>
        <w:tc>
          <w:tcPr>
            <w:tcW w:w="1358" w:type="dxa"/>
          </w:tcPr>
          <w:p w:rsidRPr="00B76FCA" w:rsidR="00885183" w:rsidP="00F377C1" w:rsidRDefault="00885183" w14:paraId="20AB2AE9" w14:textId="77777777">
            <w:pPr>
              <w:keepNext/>
              <w:keepLines/>
              <w:tabs>
                <w:tab w:val="left" w:pos="6030"/>
              </w:tabs>
              <w:spacing w:line="276" w:lineRule="auto"/>
              <w:rPr>
                <w:b/>
                <w:bCs/>
                <w:sz w:val="20"/>
                <w:szCs w:val="20"/>
              </w:rPr>
            </w:pPr>
            <w:r w:rsidRPr="00B76FCA">
              <w:rPr>
                <w:b/>
                <w:bCs/>
                <w:sz w:val="20"/>
                <w:szCs w:val="20"/>
              </w:rPr>
              <w:t>Total Annual Respondents</w:t>
            </w:r>
          </w:p>
        </w:tc>
        <w:tc>
          <w:tcPr>
            <w:tcW w:w="1276" w:type="dxa"/>
          </w:tcPr>
          <w:p w:rsidRPr="00B76FCA" w:rsidR="00885183" w:rsidP="00F377C1" w:rsidRDefault="00885183" w14:paraId="6199E537" w14:textId="77777777">
            <w:pPr>
              <w:keepNext/>
              <w:keepLines/>
              <w:tabs>
                <w:tab w:val="left" w:pos="6030"/>
              </w:tabs>
              <w:spacing w:line="276" w:lineRule="auto"/>
              <w:jc w:val="both"/>
              <w:rPr>
                <w:b/>
                <w:bCs/>
                <w:sz w:val="20"/>
                <w:szCs w:val="20"/>
              </w:rPr>
            </w:pPr>
            <w:r w:rsidRPr="00B76FCA">
              <w:rPr>
                <w:b/>
                <w:bCs/>
                <w:sz w:val="20"/>
                <w:szCs w:val="20"/>
              </w:rPr>
              <w:t>Response Frequency (per year)</w:t>
            </w:r>
          </w:p>
        </w:tc>
        <w:tc>
          <w:tcPr>
            <w:tcW w:w="1326" w:type="dxa"/>
          </w:tcPr>
          <w:p w:rsidRPr="00B76FCA" w:rsidR="00885183" w:rsidP="00F377C1" w:rsidRDefault="00885183" w14:paraId="67FB4E23" w14:textId="77777777">
            <w:pPr>
              <w:keepNext/>
              <w:keepLines/>
              <w:tabs>
                <w:tab w:val="left" w:pos="6030"/>
              </w:tabs>
              <w:spacing w:line="276" w:lineRule="auto"/>
              <w:jc w:val="both"/>
              <w:rPr>
                <w:b/>
                <w:bCs/>
                <w:sz w:val="20"/>
                <w:szCs w:val="20"/>
              </w:rPr>
            </w:pPr>
            <w:r w:rsidRPr="00B76FCA">
              <w:rPr>
                <w:b/>
                <w:bCs/>
                <w:sz w:val="20"/>
                <w:szCs w:val="20"/>
              </w:rPr>
              <w:t>Total Annual Responses</w:t>
            </w:r>
          </w:p>
        </w:tc>
        <w:tc>
          <w:tcPr>
            <w:tcW w:w="1080" w:type="dxa"/>
          </w:tcPr>
          <w:p w:rsidRPr="00B76FCA" w:rsidR="00885183" w:rsidP="00F377C1" w:rsidRDefault="00885183" w14:paraId="2EF188C8" w14:textId="77777777">
            <w:pPr>
              <w:keepNext/>
              <w:keepLines/>
              <w:tabs>
                <w:tab w:val="left" w:pos="6030"/>
              </w:tabs>
              <w:spacing w:line="276" w:lineRule="auto"/>
              <w:rPr>
                <w:b/>
                <w:bCs/>
                <w:sz w:val="20"/>
                <w:szCs w:val="20"/>
              </w:rPr>
            </w:pPr>
            <w:r w:rsidRPr="00B76FCA">
              <w:rPr>
                <w:b/>
                <w:bCs/>
                <w:sz w:val="20"/>
                <w:szCs w:val="20"/>
              </w:rPr>
              <w:t>Time Per Response (</w:t>
            </w:r>
            <w:proofErr w:type="spellStart"/>
            <w:r w:rsidRPr="00B76FCA">
              <w:rPr>
                <w:b/>
                <w:bCs/>
                <w:sz w:val="20"/>
                <w:szCs w:val="20"/>
              </w:rPr>
              <w:t>hr</w:t>
            </w:r>
            <w:proofErr w:type="spellEnd"/>
            <w:r w:rsidRPr="00B76FCA">
              <w:rPr>
                <w:b/>
                <w:bCs/>
                <w:sz w:val="20"/>
                <w:szCs w:val="20"/>
              </w:rPr>
              <w:t>)</w:t>
            </w:r>
          </w:p>
        </w:tc>
        <w:tc>
          <w:tcPr>
            <w:tcW w:w="1170" w:type="dxa"/>
          </w:tcPr>
          <w:p w:rsidRPr="00B76FCA" w:rsidR="00885183" w:rsidP="00F377C1" w:rsidRDefault="00885183" w14:paraId="031921FF" w14:textId="77777777">
            <w:pPr>
              <w:keepNext/>
              <w:keepLines/>
              <w:tabs>
                <w:tab w:val="left" w:pos="6030"/>
              </w:tabs>
              <w:spacing w:line="276" w:lineRule="auto"/>
              <w:jc w:val="both"/>
              <w:rPr>
                <w:b/>
                <w:bCs/>
                <w:sz w:val="20"/>
                <w:szCs w:val="20"/>
              </w:rPr>
            </w:pPr>
            <w:r w:rsidRPr="00B76FCA">
              <w:rPr>
                <w:b/>
                <w:bCs/>
                <w:sz w:val="20"/>
                <w:szCs w:val="20"/>
              </w:rPr>
              <w:t>Total Annual Time (</w:t>
            </w:r>
            <w:proofErr w:type="spellStart"/>
            <w:r w:rsidRPr="00B76FCA">
              <w:rPr>
                <w:b/>
                <w:bCs/>
                <w:sz w:val="20"/>
                <w:szCs w:val="20"/>
              </w:rPr>
              <w:t>hr</w:t>
            </w:r>
            <w:proofErr w:type="spellEnd"/>
            <w:r w:rsidRPr="00B76FCA">
              <w:rPr>
                <w:b/>
                <w:bCs/>
                <w:sz w:val="20"/>
                <w:szCs w:val="20"/>
              </w:rPr>
              <w:t>)</w:t>
            </w:r>
          </w:p>
        </w:tc>
        <w:tc>
          <w:tcPr>
            <w:tcW w:w="990" w:type="dxa"/>
          </w:tcPr>
          <w:p w:rsidRPr="00B76FCA" w:rsidR="00885183" w:rsidP="00F377C1" w:rsidRDefault="00885183" w14:paraId="7639F618" w14:textId="77777777">
            <w:pPr>
              <w:keepNext/>
              <w:keepLines/>
              <w:tabs>
                <w:tab w:val="left" w:pos="6030"/>
              </w:tabs>
              <w:spacing w:line="276" w:lineRule="auto"/>
              <w:jc w:val="both"/>
              <w:rPr>
                <w:b/>
                <w:bCs/>
                <w:sz w:val="20"/>
                <w:szCs w:val="20"/>
              </w:rPr>
            </w:pPr>
            <w:r w:rsidRPr="00B76FCA">
              <w:rPr>
                <w:b/>
                <w:bCs/>
                <w:sz w:val="20"/>
                <w:szCs w:val="20"/>
              </w:rPr>
              <w:t>Labor Cost ($/</w:t>
            </w:r>
            <w:proofErr w:type="spellStart"/>
            <w:r w:rsidRPr="00B76FCA">
              <w:rPr>
                <w:b/>
                <w:bCs/>
                <w:sz w:val="20"/>
                <w:szCs w:val="20"/>
              </w:rPr>
              <w:t>hr</w:t>
            </w:r>
            <w:proofErr w:type="spellEnd"/>
            <w:r w:rsidRPr="00B76FCA">
              <w:rPr>
                <w:b/>
                <w:bCs/>
                <w:sz w:val="20"/>
                <w:szCs w:val="20"/>
              </w:rPr>
              <w:t>)</w:t>
            </w:r>
          </w:p>
        </w:tc>
        <w:tc>
          <w:tcPr>
            <w:tcW w:w="1440" w:type="dxa"/>
          </w:tcPr>
          <w:p w:rsidRPr="00B76FCA" w:rsidR="00885183" w:rsidP="00F377C1" w:rsidRDefault="00885183" w14:paraId="28A2FB59" w14:textId="77777777">
            <w:pPr>
              <w:keepNext/>
              <w:keepLines/>
              <w:tabs>
                <w:tab w:val="left" w:pos="6030"/>
              </w:tabs>
              <w:spacing w:line="276" w:lineRule="auto"/>
              <w:rPr>
                <w:b/>
                <w:bCs/>
                <w:sz w:val="20"/>
                <w:szCs w:val="20"/>
              </w:rPr>
            </w:pPr>
            <w:r w:rsidRPr="00B76FCA">
              <w:rPr>
                <w:b/>
                <w:bCs/>
                <w:sz w:val="20"/>
                <w:szCs w:val="20"/>
              </w:rPr>
              <w:t>Total Annual Cost ($)</w:t>
            </w:r>
          </w:p>
        </w:tc>
      </w:tr>
      <w:tr w:rsidRPr="00B76FCA" w:rsidR="005D6016" w:rsidTr="00DE0E95" w14:paraId="4610A13C" w14:textId="77777777">
        <w:trPr>
          <w:trHeight w:val="521"/>
        </w:trPr>
        <w:tc>
          <w:tcPr>
            <w:tcW w:w="1350" w:type="dxa"/>
          </w:tcPr>
          <w:p w:rsidRPr="00B76FCA" w:rsidR="00595F34" w:rsidP="00F377C1" w:rsidRDefault="00595F34" w14:paraId="51D867E3" w14:textId="3699988D">
            <w:pPr>
              <w:keepNext/>
              <w:keepLines/>
              <w:tabs>
                <w:tab w:val="left" w:pos="6030"/>
              </w:tabs>
              <w:spacing w:line="276" w:lineRule="auto"/>
              <w:jc w:val="both"/>
              <w:rPr>
                <w:sz w:val="20"/>
                <w:szCs w:val="20"/>
              </w:rPr>
            </w:pPr>
            <w:r w:rsidRPr="00B76FCA">
              <w:rPr>
                <w:sz w:val="20"/>
                <w:szCs w:val="20"/>
              </w:rPr>
              <w:t>Currently Approved</w:t>
            </w:r>
            <w:r w:rsidR="00E4635E">
              <w:rPr>
                <w:sz w:val="20"/>
                <w:szCs w:val="20"/>
              </w:rPr>
              <w:t xml:space="preserve"> </w:t>
            </w:r>
          </w:p>
        </w:tc>
        <w:tc>
          <w:tcPr>
            <w:tcW w:w="1358" w:type="dxa"/>
          </w:tcPr>
          <w:p w:rsidRPr="00B76FCA" w:rsidR="00595F34" w:rsidP="00F377C1" w:rsidRDefault="00857D6F" w14:paraId="7616507E" w14:textId="446627A7">
            <w:pPr>
              <w:keepNext/>
              <w:keepLines/>
              <w:tabs>
                <w:tab w:val="left" w:pos="6030"/>
              </w:tabs>
              <w:spacing w:line="276" w:lineRule="auto"/>
              <w:jc w:val="right"/>
              <w:rPr>
                <w:sz w:val="20"/>
                <w:szCs w:val="20"/>
              </w:rPr>
            </w:pPr>
            <w:r>
              <w:rPr>
                <w:sz w:val="20"/>
                <w:szCs w:val="20"/>
              </w:rPr>
              <w:t>46,890</w:t>
            </w:r>
          </w:p>
        </w:tc>
        <w:tc>
          <w:tcPr>
            <w:tcW w:w="1276" w:type="dxa"/>
          </w:tcPr>
          <w:p w:rsidRPr="00B76FCA" w:rsidR="00595F34" w:rsidP="00F377C1" w:rsidRDefault="00595F34" w14:paraId="511AFA97" w14:textId="37528126">
            <w:pPr>
              <w:keepNext/>
              <w:keepLines/>
              <w:tabs>
                <w:tab w:val="left" w:pos="6030"/>
              </w:tabs>
              <w:spacing w:line="276" w:lineRule="auto"/>
              <w:jc w:val="right"/>
              <w:rPr>
                <w:sz w:val="20"/>
                <w:szCs w:val="20"/>
              </w:rPr>
            </w:pPr>
            <w:r w:rsidRPr="00B76FCA">
              <w:rPr>
                <w:sz w:val="20"/>
                <w:szCs w:val="20"/>
              </w:rPr>
              <w:t>1</w:t>
            </w:r>
          </w:p>
        </w:tc>
        <w:tc>
          <w:tcPr>
            <w:tcW w:w="1326" w:type="dxa"/>
          </w:tcPr>
          <w:p w:rsidRPr="00B76FCA" w:rsidR="00595F34" w:rsidP="00F377C1" w:rsidRDefault="00C15062" w14:paraId="130C66C6" w14:textId="1333BAFF">
            <w:pPr>
              <w:keepNext/>
              <w:keepLines/>
              <w:tabs>
                <w:tab w:val="left" w:pos="6030"/>
              </w:tabs>
              <w:spacing w:line="276" w:lineRule="auto"/>
              <w:jc w:val="right"/>
              <w:rPr>
                <w:sz w:val="20"/>
                <w:szCs w:val="20"/>
              </w:rPr>
            </w:pPr>
            <w:r>
              <w:rPr>
                <w:sz w:val="20"/>
                <w:szCs w:val="20"/>
              </w:rPr>
              <w:t>46,890</w:t>
            </w:r>
          </w:p>
        </w:tc>
        <w:tc>
          <w:tcPr>
            <w:tcW w:w="1080" w:type="dxa"/>
          </w:tcPr>
          <w:p w:rsidRPr="00B76FCA" w:rsidR="00595F34" w:rsidP="00F377C1" w:rsidRDefault="00595F34" w14:paraId="5DCF6D54" w14:textId="16114D18">
            <w:pPr>
              <w:keepNext/>
              <w:keepLines/>
              <w:tabs>
                <w:tab w:val="left" w:pos="6030"/>
              </w:tabs>
              <w:spacing w:line="276" w:lineRule="auto"/>
              <w:jc w:val="right"/>
              <w:rPr>
                <w:sz w:val="20"/>
                <w:szCs w:val="20"/>
              </w:rPr>
            </w:pPr>
            <w:r w:rsidRPr="00B76FCA">
              <w:rPr>
                <w:sz w:val="20"/>
                <w:szCs w:val="20"/>
              </w:rPr>
              <w:t>9.083</w:t>
            </w:r>
          </w:p>
        </w:tc>
        <w:tc>
          <w:tcPr>
            <w:tcW w:w="1170" w:type="dxa"/>
          </w:tcPr>
          <w:p w:rsidRPr="00B76FCA" w:rsidR="00595F34" w:rsidP="00F377C1" w:rsidRDefault="00642BBE" w14:paraId="79A22094" w14:textId="1501B8CC">
            <w:pPr>
              <w:keepNext/>
              <w:keepLines/>
              <w:tabs>
                <w:tab w:val="left" w:pos="6030"/>
              </w:tabs>
              <w:spacing w:line="276" w:lineRule="auto"/>
              <w:jc w:val="right"/>
              <w:rPr>
                <w:sz w:val="20"/>
                <w:szCs w:val="20"/>
              </w:rPr>
            </w:pPr>
            <w:r w:rsidRPr="00B76FCA">
              <w:rPr>
                <w:sz w:val="20"/>
                <w:szCs w:val="20"/>
              </w:rPr>
              <w:t>4</w:t>
            </w:r>
            <w:r w:rsidR="003B5A3E">
              <w:rPr>
                <w:sz w:val="20"/>
                <w:szCs w:val="20"/>
              </w:rPr>
              <w:t>25,902</w:t>
            </w:r>
          </w:p>
        </w:tc>
        <w:tc>
          <w:tcPr>
            <w:tcW w:w="990" w:type="dxa"/>
          </w:tcPr>
          <w:p w:rsidRPr="00B76FCA" w:rsidR="00595F34" w:rsidP="00F377C1" w:rsidRDefault="00595F34" w14:paraId="5BC8D1A3" w14:textId="6587E663">
            <w:pPr>
              <w:keepNext/>
              <w:keepLines/>
              <w:tabs>
                <w:tab w:val="left" w:pos="6030"/>
              </w:tabs>
              <w:spacing w:line="276" w:lineRule="auto"/>
              <w:jc w:val="right"/>
              <w:rPr>
                <w:sz w:val="20"/>
                <w:szCs w:val="20"/>
              </w:rPr>
            </w:pPr>
            <w:r w:rsidRPr="00B76FCA">
              <w:rPr>
                <w:sz w:val="20"/>
                <w:szCs w:val="20"/>
              </w:rPr>
              <w:t>Varies</w:t>
            </w:r>
          </w:p>
        </w:tc>
        <w:tc>
          <w:tcPr>
            <w:tcW w:w="1440" w:type="dxa"/>
          </w:tcPr>
          <w:p w:rsidRPr="00B76FCA" w:rsidR="00595F34" w:rsidP="00F377C1" w:rsidRDefault="001C6D04" w14:paraId="421F4E6E" w14:textId="062179FF">
            <w:pPr>
              <w:keepNext/>
              <w:keepLines/>
              <w:tabs>
                <w:tab w:val="left" w:pos="6030"/>
              </w:tabs>
              <w:spacing w:line="276" w:lineRule="auto"/>
              <w:jc w:val="right"/>
              <w:rPr>
                <w:sz w:val="20"/>
                <w:szCs w:val="20"/>
              </w:rPr>
            </w:pPr>
            <w:r w:rsidRPr="00B76FCA">
              <w:rPr>
                <w:sz w:val="20"/>
                <w:szCs w:val="20"/>
              </w:rPr>
              <w:t>4</w:t>
            </w:r>
            <w:r w:rsidR="003B5A3E">
              <w:rPr>
                <w:sz w:val="20"/>
                <w:szCs w:val="20"/>
              </w:rPr>
              <w:t>6,076,459</w:t>
            </w:r>
          </w:p>
        </w:tc>
      </w:tr>
      <w:tr w:rsidRPr="00B76FCA" w:rsidR="005D6016" w:rsidTr="00DE0E95" w14:paraId="5C560AD5" w14:textId="77777777">
        <w:trPr>
          <w:trHeight w:val="1303"/>
        </w:trPr>
        <w:tc>
          <w:tcPr>
            <w:tcW w:w="1350" w:type="dxa"/>
          </w:tcPr>
          <w:p w:rsidRPr="00B76FCA" w:rsidR="00595F34" w:rsidP="00F377C1" w:rsidRDefault="00096EA2" w14:paraId="07065B62" w14:textId="21079275">
            <w:pPr>
              <w:keepNext/>
              <w:keepLines/>
              <w:tabs>
                <w:tab w:val="left" w:pos="6030"/>
              </w:tabs>
              <w:spacing w:line="276" w:lineRule="auto"/>
              <w:rPr>
                <w:sz w:val="20"/>
                <w:szCs w:val="20"/>
              </w:rPr>
            </w:pPr>
            <w:r>
              <w:rPr>
                <w:sz w:val="20"/>
                <w:szCs w:val="20"/>
              </w:rPr>
              <w:t>Proposed</w:t>
            </w:r>
            <w:r w:rsidRPr="00765026" w:rsidR="00F424A2">
              <w:rPr>
                <w:sz w:val="20"/>
                <w:szCs w:val="20"/>
              </w:rPr>
              <w:br/>
            </w:r>
            <w:r w:rsidRPr="00B76FCA" w:rsidR="00A67FD9">
              <w:rPr>
                <w:sz w:val="20"/>
                <w:szCs w:val="20"/>
              </w:rPr>
              <w:t xml:space="preserve">(See Table </w:t>
            </w:r>
            <w:r w:rsidR="006B4EF6">
              <w:rPr>
                <w:sz w:val="20"/>
                <w:szCs w:val="20"/>
              </w:rPr>
              <w:t>10</w:t>
            </w:r>
            <w:r w:rsidRPr="00B76FCA" w:rsidR="00A67FD9">
              <w:rPr>
                <w:sz w:val="20"/>
                <w:szCs w:val="20"/>
              </w:rPr>
              <w:t>)</w:t>
            </w:r>
          </w:p>
        </w:tc>
        <w:tc>
          <w:tcPr>
            <w:tcW w:w="1358" w:type="dxa"/>
          </w:tcPr>
          <w:p w:rsidRPr="00B76FCA" w:rsidR="00595F34" w:rsidP="00F377C1" w:rsidRDefault="00857D6F" w14:paraId="19EC7740" w14:textId="6AE3EC62">
            <w:pPr>
              <w:keepNext/>
              <w:keepLines/>
              <w:tabs>
                <w:tab w:val="left" w:pos="6030"/>
              </w:tabs>
              <w:spacing w:line="276" w:lineRule="auto"/>
              <w:jc w:val="right"/>
              <w:rPr>
                <w:sz w:val="20"/>
                <w:szCs w:val="20"/>
              </w:rPr>
            </w:pPr>
            <w:r>
              <w:rPr>
                <w:sz w:val="20"/>
                <w:szCs w:val="20"/>
              </w:rPr>
              <w:t>47,584</w:t>
            </w:r>
          </w:p>
        </w:tc>
        <w:tc>
          <w:tcPr>
            <w:tcW w:w="1276" w:type="dxa"/>
          </w:tcPr>
          <w:p w:rsidRPr="00B76FCA" w:rsidR="00595F34" w:rsidP="00F377C1" w:rsidRDefault="00595F34" w14:paraId="1FA79204" w14:textId="6095FFFD">
            <w:pPr>
              <w:keepNext/>
              <w:keepLines/>
              <w:tabs>
                <w:tab w:val="left" w:pos="6030"/>
              </w:tabs>
              <w:spacing w:line="276" w:lineRule="auto"/>
              <w:jc w:val="right"/>
              <w:rPr>
                <w:sz w:val="20"/>
                <w:szCs w:val="20"/>
              </w:rPr>
            </w:pPr>
            <w:r w:rsidRPr="00B76FCA">
              <w:rPr>
                <w:sz w:val="20"/>
                <w:szCs w:val="20"/>
              </w:rPr>
              <w:t>1</w:t>
            </w:r>
          </w:p>
        </w:tc>
        <w:tc>
          <w:tcPr>
            <w:tcW w:w="1326" w:type="dxa"/>
          </w:tcPr>
          <w:p w:rsidRPr="00B76FCA" w:rsidR="00595F34" w:rsidP="00F377C1" w:rsidRDefault="00C15062" w14:paraId="7A996D08" w14:textId="52EC579E">
            <w:pPr>
              <w:keepNext/>
              <w:keepLines/>
              <w:tabs>
                <w:tab w:val="left" w:pos="6030"/>
              </w:tabs>
              <w:spacing w:line="276" w:lineRule="auto"/>
              <w:jc w:val="right"/>
              <w:rPr>
                <w:sz w:val="20"/>
                <w:szCs w:val="20"/>
              </w:rPr>
            </w:pPr>
            <w:r>
              <w:rPr>
                <w:sz w:val="20"/>
                <w:szCs w:val="20"/>
              </w:rPr>
              <w:t>47,584</w:t>
            </w:r>
          </w:p>
        </w:tc>
        <w:tc>
          <w:tcPr>
            <w:tcW w:w="1080" w:type="dxa"/>
          </w:tcPr>
          <w:p w:rsidRPr="00B76FCA" w:rsidR="00595F34" w:rsidP="00F377C1" w:rsidRDefault="00595F34" w14:paraId="6AF8B3FB" w14:textId="623372EA">
            <w:pPr>
              <w:keepNext/>
              <w:keepLines/>
              <w:tabs>
                <w:tab w:val="left" w:pos="6030"/>
              </w:tabs>
              <w:spacing w:line="276" w:lineRule="auto"/>
              <w:jc w:val="right"/>
              <w:rPr>
                <w:sz w:val="20"/>
                <w:szCs w:val="20"/>
              </w:rPr>
            </w:pPr>
            <w:r w:rsidRPr="00B76FCA">
              <w:rPr>
                <w:sz w:val="20"/>
                <w:szCs w:val="20"/>
              </w:rPr>
              <w:t>9.083</w:t>
            </w:r>
          </w:p>
        </w:tc>
        <w:tc>
          <w:tcPr>
            <w:tcW w:w="1170" w:type="dxa"/>
          </w:tcPr>
          <w:p w:rsidRPr="00B76FCA" w:rsidR="00595F34" w:rsidP="00F377C1" w:rsidRDefault="00E90FC4" w14:paraId="621D898F" w14:textId="4FEA3724">
            <w:pPr>
              <w:keepNext/>
              <w:keepLines/>
              <w:tabs>
                <w:tab w:val="left" w:pos="6030"/>
              </w:tabs>
              <w:spacing w:line="276" w:lineRule="auto"/>
              <w:jc w:val="right"/>
              <w:rPr>
                <w:sz w:val="20"/>
                <w:szCs w:val="20"/>
              </w:rPr>
            </w:pPr>
            <w:r w:rsidRPr="00B76FCA">
              <w:rPr>
                <w:sz w:val="20"/>
                <w:szCs w:val="20"/>
              </w:rPr>
              <w:t>4</w:t>
            </w:r>
            <w:r w:rsidR="003B5A3E">
              <w:rPr>
                <w:sz w:val="20"/>
                <w:szCs w:val="20"/>
              </w:rPr>
              <w:t>32,205</w:t>
            </w:r>
          </w:p>
        </w:tc>
        <w:tc>
          <w:tcPr>
            <w:tcW w:w="990" w:type="dxa"/>
          </w:tcPr>
          <w:p w:rsidRPr="00B76FCA" w:rsidR="00595F34" w:rsidP="00F377C1" w:rsidRDefault="00595F34" w14:paraId="22332A03" w14:textId="167548DB">
            <w:pPr>
              <w:keepNext/>
              <w:keepLines/>
              <w:tabs>
                <w:tab w:val="left" w:pos="6030"/>
              </w:tabs>
              <w:spacing w:line="276" w:lineRule="auto"/>
              <w:jc w:val="right"/>
              <w:rPr>
                <w:sz w:val="20"/>
                <w:szCs w:val="20"/>
              </w:rPr>
            </w:pPr>
            <w:r w:rsidRPr="00B76FCA">
              <w:rPr>
                <w:sz w:val="20"/>
                <w:szCs w:val="20"/>
              </w:rPr>
              <w:t>Varies</w:t>
            </w:r>
          </w:p>
        </w:tc>
        <w:tc>
          <w:tcPr>
            <w:tcW w:w="1440" w:type="dxa"/>
          </w:tcPr>
          <w:p w:rsidRPr="00B76FCA" w:rsidR="00595F34" w:rsidP="00F377C1" w:rsidRDefault="00FC0276" w14:paraId="1FDF809F" w14:textId="7CF1F75C">
            <w:pPr>
              <w:keepNext/>
              <w:keepLines/>
              <w:tabs>
                <w:tab w:val="left" w:pos="6030"/>
              </w:tabs>
              <w:spacing w:line="276" w:lineRule="auto"/>
              <w:jc w:val="right"/>
              <w:rPr>
                <w:sz w:val="20"/>
                <w:szCs w:val="20"/>
              </w:rPr>
            </w:pPr>
            <w:r>
              <w:rPr>
                <w:sz w:val="20"/>
                <w:szCs w:val="20"/>
              </w:rPr>
              <w:t>4</w:t>
            </w:r>
            <w:r w:rsidR="003B5A3E">
              <w:rPr>
                <w:sz w:val="20"/>
                <w:szCs w:val="20"/>
              </w:rPr>
              <w:t>6,758,418</w:t>
            </w:r>
          </w:p>
        </w:tc>
      </w:tr>
      <w:tr w:rsidRPr="00B76FCA" w:rsidR="00494779" w:rsidTr="00DE0E95" w14:paraId="3BA3005E" w14:textId="77777777">
        <w:trPr>
          <w:trHeight w:val="521"/>
        </w:trPr>
        <w:tc>
          <w:tcPr>
            <w:tcW w:w="1350" w:type="dxa"/>
            <w:shd w:val="clear" w:color="auto" w:fill="D9D9D9" w:themeFill="background1" w:themeFillShade="D9"/>
          </w:tcPr>
          <w:p w:rsidRPr="00B76FCA" w:rsidR="00595F34" w:rsidP="00F377C1" w:rsidRDefault="00595F34" w14:paraId="6BEA7A9F" w14:textId="2638B0C8">
            <w:pPr>
              <w:tabs>
                <w:tab w:val="left" w:pos="6030"/>
              </w:tabs>
              <w:spacing w:line="276" w:lineRule="auto"/>
              <w:jc w:val="both"/>
              <w:rPr>
                <w:sz w:val="20"/>
                <w:szCs w:val="20"/>
              </w:rPr>
            </w:pPr>
            <w:r w:rsidRPr="00B76FCA">
              <w:rPr>
                <w:sz w:val="20"/>
                <w:szCs w:val="20"/>
              </w:rPr>
              <w:t>Adjustment</w:t>
            </w:r>
            <w:r w:rsidRPr="00B76FCA" w:rsidR="00C1361E">
              <w:rPr>
                <w:sz w:val="20"/>
                <w:szCs w:val="20"/>
              </w:rPr>
              <w:t xml:space="preserve"> </w:t>
            </w:r>
          </w:p>
        </w:tc>
        <w:tc>
          <w:tcPr>
            <w:tcW w:w="1358" w:type="dxa"/>
            <w:shd w:val="clear" w:color="auto" w:fill="D9D9D9" w:themeFill="background1" w:themeFillShade="D9"/>
          </w:tcPr>
          <w:p w:rsidRPr="00B76FCA" w:rsidR="00595F34" w:rsidP="00F377C1" w:rsidRDefault="00857D6F" w14:paraId="1D6F1F86" w14:textId="69AB8572">
            <w:pPr>
              <w:tabs>
                <w:tab w:val="left" w:pos="6030"/>
              </w:tabs>
              <w:spacing w:line="276" w:lineRule="auto"/>
              <w:jc w:val="right"/>
              <w:rPr>
                <w:sz w:val="20"/>
                <w:szCs w:val="20"/>
              </w:rPr>
            </w:pPr>
            <w:r>
              <w:rPr>
                <w:sz w:val="20"/>
                <w:szCs w:val="20"/>
              </w:rPr>
              <w:t>+694</w:t>
            </w:r>
          </w:p>
        </w:tc>
        <w:tc>
          <w:tcPr>
            <w:tcW w:w="1276" w:type="dxa"/>
            <w:shd w:val="clear" w:color="auto" w:fill="D9D9D9" w:themeFill="background1" w:themeFillShade="D9"/>
          </w:tcPr>
          <w:p w:rsidRPr="00B76FCA" w:rsidR="00595F34" w:rsidP="00F377C1" w:rsidRDefault="00595F34" w14:paraId="4B191199" w14:textId="446A5F2B">
            <w:pPr>
              <w:tabs>
                <w:tab w:val="left" w:pos="6030"/>
              </w:tabs>
              <w:spacing w:line="276" w:lineRule="auto"/>
              <w:jc w:val="right"/>
              <w:rPr>
                <w:sz w:val="20"/>
                <w:szCs w:val="20"/>
              </w:rPr>
            </w:pPr>
            <w:r w:rsidRPr="00B76FCA">
              <w:rPr>
                <w:sz w:val="20"/>
                <w:szCs w:val="20"/>
              </w:rPr>
              <w:t>No change</w:t>
            </w:r>
          </w:p>
        </w:tc>
        <w:tc>
          <w:tcPr>
            <w:tcW w:w="1326" w:type="dxa"/>
            <w:shd w:val="clear" w:color="auto" w:fill="D9D9D9" w:themeFill="background1" w:themeFillShade="D9"/>
          </w:tcPr>
          <w:p w:rsidRPr="00B76FCA" w:rsidR="00595F34" w:rsidP="00F377C1" w:rsidRDefault="00C15062" w14:paraId="1BC50415" w14:textId="3ED61B0A">
            <w:pPr>
              <w:tabs>
                <w:tab w:val="left" w:pos="6030"/>
              </w:tabs>
              <w:spacing w:line="276" w:lineRule="auto"/>
              <w:jc w:val="right"/>
              <w:rPr>
                <w:sz w:val="20"/>
                <w:szCs w:val="20"/>
              </w:rPr>
            </w:pPr>
            <w:r>
              <w:rPr>
                <w:sz w:val="20"/>
                <w:szCs w:val="20"/>
              </w:rPr>
              <w:t>+694</w:t>
            </w:r>
          </w:p>
        </w:tc>
        <w:tc>
          <w:tcPr>
            <w:tcW w:w="1080" w:type="dxa"/>
            <w:shd w:val="clear" w:color="auto" w:fill="D9D9D9" w:themeFill="background1" w:themeFillShade="D9"/>
          </w:tcPr>
          <w:p w:rsidRPr="00B76FCA" w:rsidR="00595F34" w:rsidP="00F377C1" w:rsidRDefault="00595F34" w14:paraId="703A69E0" w14:textId="7D0F70BB">
            <w:pPr>
              <w:tabs>
                <w:tab w:val="left" w:pos="6030"/>
              </w:tabs>
              <w:spacing w:line="276" w:lineRule="auto"/>
              <w:jc w:val="right"/>
              <w:rPr>
                <w:sz w:val="20"/>
                <w:szCs w:val="20"/>
              </w:rPr>
            </w:pPr>
            <w:r w:rsidRPr="00B76FCA">
              <w:rPr>
                <w:sz w:val="20"/>
                <w:szCs w:val="20"/>
              </w:rPr>
              <w:t>No change</w:t>
            </w:r>
          </w:p>
        </w:tc>
        <w:tc>
          <w:tcPr>
            <w:tcW w:w="1170" w:type="dxa"/>
            <w:shd w:val="clear" w:color="auto" w:fill="D9D9D9" w:themeFill="background1" w:themeFillShade="D9"/>
          </w:tcPr>
          <w:p w:rsidR="006B44F0" w:rsidP="00F377C1" w:rsidRDefault="003B5A3E" w14:paraId="65027BFE" w14:textId="36D818E3">
            <w:pPr>
              <w:jc w:val="right"/>
              <w:rPr>
                <w:color w:val="000000"/>
                <w:sz w:val="20"/>
                <w:szCs w:val="20"/>
              </w:rPr>
            </w:pPr>
            <w:r>
              <w:rPr>
                <w:sz w:val="20"/>
                <w:szCs w:val="20"/>
              </w:rPr>
              <w:t>+6,303</w:t>
            </w:r>
          </w:p>
          <w:p w:rsidRPr="00B76FCA" w:rsidR="00595F34" w:rsidP="00F377C1" w:rsidRDefault="00595F34" w14:paraId="0BFCA4D3" w14:textId="24CB7340">
            <w:pPr>
              <w:tabs>
                <w:tab w:val="left" w:pos="6030"/>
              </w:tabs>
              <w:spacing w:line="276" w:lineRule="auto"/>
              <w:jc w:val="right"/>
              <w:rPr>
                <w:sz w:val="20"/>
                <w:szCs w:val="20"/>
              </w:rPr>
            </w:pPr>
          </w:p>
        </w:tc>
        <w:tc>
          <w:tcPr>
            <w:tcW w:w="990" w:type="dxa"/>
            <w:shd w:val="clear" w:color="auto" w:fill="D9D9D9" w:themeFill="background1" w:themeFillShade="D9"/>
          </w:tcPr>
          <w:p w:rsidRPr="00B76FCA" w:rsidR="00595F34" w:rsidP="00F377C1" w:rsidRDefault="00595F34" w14:paraId="764BDC3C" w14:textId="4B828FAF">
            <w:pPr>
              <w:tabs>
                <w:tab w:val="left" w:pos="6030"/>
              </w:tabs>
              <w:spacing w:line="276" w:lineRule="auto"/>
              <w:jc w:val="right"/>
              <w:rPr>
                <w:sz w:val="20"/>
                <w:szCs w:val="20"/>
              </w:rPr>
            </w:pPr>
            <w:r w:rsidRPr="00B76FCA">
              <w:rPr>
                <w:sz w:val="20"/>
                <w:szCs w:val="20"/>
              </w:rPr>
              <w:t>No change</w:t>
            </w:r>
          </w:p>
        </w:tc>
        <w:tc>
          <w:tcPr>
            <w:tcW w:w="1440" w:type="dxa"/>
            <w:shd w:val="clear" w:color="auto" w:fill="D9D9D9" w:themeFill="background1" w:themeFillShade="D9"/>
          </w:tcPr>
          <w:p w:rsidR="00205254" w:rsidP="00F377C1" w:rsidRDefault="003B5A3E" w14:paraId="06DC1071" w14:textId="717E9F9E">
            <w:pPr>
              <w:jc w:val="right"/>
              <w:rPr>
                <w:color w:val="000000"/>
                <w:sz w:val="20"/>
                <w:szCs w:val="20"/>
              </w:rPr>
            </w:pPr>
            <w:r>
              <w:rPr>
                <w:sz w:val="20"/>
                <w:szCs w:val="20"/>
              </w:rPr>
              <w:t>+681,959</w:t>
            </w:r>
          </w:p>
          <w:p w:rsidRPr="00B76FCA" w:rsidR="00595F34" w:rsidP="00F377C1" w:rsidRDefault="00595F34" w14:paraId="574CE2BB" w14:textId="27BF08C7">
            <w:pPr>
              <w:tabs>
                <w:tab w:val="left" w:pos="6030"/>
              </w:tabs>
              <w:spacing w:line="276" w:lineRule="auto"/>
              <w:jc w:val="right"/>
              <w:rPr>
                <w:sz w:val="20"/>
                <w:szCs w:val="20"/>
              </w:rPr>
            </w:pPr>
          </w:p>
        </w:tc>
      </w:tr>
    </w:tbl>
    <w:p w:rsidR="00885183" w:rsidP="00BB7053" w:rsidRDefault="00885183" w14:paraId="4AFF3BDC" w14:textId="7751E738">
      <w:pPr>
        <w:tabs>
          <w:tab w:val="left" w:pos="6030"/>
        </w:tabs>
        <w:spacing w:line="276" w:lineRule="auto"/>
        <w:jc w:val="both"/>
      </w:pPr>
    </w:p>
    <w:p w:rsidR="00885183" w:rsidP="000D03A8" w:rsidRDefault="00885183" w14:paraId="1BEC5E63" w14:textId="7567100B">
      <w:pPr>
        <w:keepNext/>
        <w:keepLines/>
        <w:jc w:val="center"/>
        <w:rPr>
          <w:b/>
          <w:bCs/>
        </w:rPr>
      </w:pPr>
      <w:r w:rsidRPr="00B30713">
        <w:rPr>
          <w:rFonts w:eastAsia="Calibri"/>
          <w:b/>
          <w:bCs/>
        </w:rPr>
        <w:t xml:space="preserve">TABLE </w:t>
      </w:r>
      <w:r w:rsidR="00C1361E">
        <w:rPr>
          <w:rFonts w:eastAsia="Calibri"/>
          <w:b/>
          <w:bCs/>
        </w:rPr>
        <w:t>3</w:t>
      </w:r>
      <w:r w:rsidR="00BF2FDA">
        <w:rPr>
          <w:rFonts w:eastAsia="Calibri"/>
          <w:b/>
          <w:bCs/>
        </w:rPr>
        <w:t>0H</w:t>
      </w:r>
      <w:r w:rsidRPr="00B30713">
        <w:rPr>
          <w:rFonts w:eastAsia="Calibri"/>
          <w:b/>
          <w:bCs/>
        </w:rPr>
        <w:t xml:space="preserve">: Burden Reconciliation for </w:t>
      </w:r>
      <w:r w:rsidRPr="0020454E" w:rsidR="0020454E">
        <w:rPr>
          <w:rFonts w:eastAsia="Calibri"/>
          <w:b/>
          <w:bCs/>
        </w:rPr>
        <w:t>Quality Performance Category</w:t>
      </w:r>
      <w:r w:rsidR="00BF2FDA">
        <w:rPr>
          <w:rFonts w:eastAsia="Calibri"/>
          <w:b/>
          <w:bCs/>
        </w:rPr>
        <w:t xml:space="preserve"> </w:t>
      </w:r>
      <w:r w:rsidRPr="0020454E" w:rsidR="0020454E">
        <w:rPr>
          <w:rFonts w:eastAsia="Calibri"/>
          <w:b/>
          <w:bCs/>
        </w:rPr>
        <w:t xml:space="preserve">eCQM </w:t>
      </w:r>
      <w:r w:rsidRPr="0020454E" w:rsidR="000D03A8">
        <w:rPr>
          <w:rFonts w:eastAsia="Calibri"/>
          <w:b/>
          <w:bCs/>
        </w:rPr>
        <w:t xml:space="preserve">Collection </w:t>
      </w:r>
      <w:r w:rsidR="000D03A8">
        <w:rPr>
          <w:rFonts w:eastAsia="Calibri"/>
          <w:b/>
          <w:bCs/>
        </w:rPr>
        <w:t>Type</w:t>
      </w:r>
    </w:p>
    <w:tbl>
      <w:tblPr>
        <w:tblStyle w:val="TableGrid"/>
        <w:tblW w:w="10031" w:type="dxa"/>
        <w:tblLook w:val="04A0" w:firstRow="1" w:lastRow="0" w:firstColumn="1" w:lastColumn="0" w:noHBand="0" w:noVBand="1"/>
      </w:tblPr>
      <w:tblGrid>
        <w:gridCol w:w="1238"/>
        <w:gridCol w:w="1306"/>
        <w:gridCol w:w="1127"/>
        <w:gridCol w:w="1303"/>
        <w:gridCol w:w="1017"/>
        <w:gridCol w:w="1480"/>
        <w:gridCol w:w="783"/>
        <w:gridCol w:w="1777"/>
      </w:tblGrid>
      <w:tr w:rsidR="004D6D15" w:rsidTr="003830B0" w14:paraId="12A4DC46" w14:textId="77777777">
        <w:trPr>
          <w:tblHeader/>
        </w:trPr>
        <w:tc>
          <w:tcPr>
            <w:tcW w:w="1238" w:type="dxa"/>
          </w:tcPr>
          <w:p w:rsidRPr="00FB02B1" w:rsidR="00885183" w:rsidP="006F385A" w:rsidRDefault="00885183" w14:paraId="55EDCBB0"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885183" w:rsidP="006F385A" w:rsidRDefault="00885183" w14:paraId="1EAC02F8"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27" w:type="dxa"/>
          </w:tcPr>
          <w:p w:rsidRPr="00FB02B1" w:rsidR="00885183" w:rsidP="006F385A" w:rsidRDefault="00885183" w14:paraId="47FAAA60"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303" w:type="dxa"/>
          </w:tcPr>
          <w:p w:rsidRPr="00FB02B1" w:rsidR="00885183" w:rsidP="006F385A" w:rsidRDefault="00885183" w14:paraId="76670D3F"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17" w:type="dxa"/>
          </w:tcPr>
          <w:p w:rsidRPr="00FB02B1" w:rsidR="00885183" w:rsidP="006F385A" w:rsidRDefault="00885183" w14:paraId="6A742B10" w14:textId="77777777">
            <w:pPr>
              <w:keepNext/>
              <w:keepLines/>
              <w:tabs>
                <w:tab w:val="left" w:pos="6030"/>
              </w:tabs>
              <w:spacing w:line="276" w:lineRule="auto"/>
              <w:rPr>
                <w:b/>
                <w:bCs/>
                <w:sz w:val="20"/>
                <w:szCs w:val="20"/>
              </w:rPr>
            </w:pPr>
            <w:r w:rsidRPr="00FB02B1">
              <w:rPr>
                <w:b/>
                <w:bCs/>
                <w:sz w:val="20"/>
                <w:szCs w:val="20"/>
              </w:rPr>
              <w:t>Time Per Response (</w:t>
            </w:r>
            <w:proofErr w:type="spellStart"/>
            <w:r w:rsidRPr="00FB02B1">
              <w:rPr>
                <w:b/>
                <w:bCs/>
                <w:sz w:val="20"/>
                <w:szCs w:val="20"/>
              </w:rPr>
              <w:t>hr</w:t>
            </w:r>
            <w:proofErr w:type="spellEnd"/>
            <w:r w:rsidRPr="00FB02B1">
              <w:rPr>
                <w:b/>
                <w:bCs/>
                <w:sz w:val="20"/>
                <w:szCs w:val="20"/>
              </w:rPr>
              <w:t>)</w:t>
            </w:r>
          </w:p>
        </w:tc>
        <w:tc>
          <w:tcPr>
            <w:tcW w:w="1480" w:type="dxa"/>
          </w:tcPr>
          <w:p w:rsidRPr="00FB02B1" w:rsidR="00885183" w:rsidP="006F385A" w:rsidRDefault="00885183" w14:paraId="05A4E45A" w14:textId="77777777">
            <w:pPr>
              <w:keepNext/>
              <w:keepLines/>
              <w:tabs>
                <w:tab w:val="left" w:pos="6030"/>
              </w:tabs>
              <w:spacing w:line="276" w:lineRule="auto"/>
              <w:jc w:val="both"/>
              <w:rPr>
                <w:b/>
                <w:bCs/>
                <w:sz w:val="20"/>
                <w:szCs w:val="20"/>
              </w:rPr>
            </w:pPr>
            <w:r w:rsidRPr="00FB02B1">
              <w:rPr>
                <w:b/>
                <w:bCs/>
                <w:sz w:val="20"/>
                <w:szCs w:val="20"/>
              </w:rPr>
              <w:t>Total Annual Time (</w:t>
            </w:r>
            <w:proofErr w:type="spellStart"/>
            <w:r w:rsidRPr="00FB02B1">
              <w:rPr>
                <w:b/>
                <w:bCs/>
                <w:sz w:val="20"/>
                <w:szCs w:val="20"/>
              </w:rPr>
              <w:t>hr</w:t>
            </w:r>
            <w:proofErr w:type="spellEnd"/>
            <w:r w:rsidRPr="00FB02B1">
              <w:rPr>
                <w:b/>
                <w:bCs/>
                <w:sz w:val="20"/>
                <w:szCs w:val="20"/>
              </w:rPr>
              <w:t>)</w:t>
            </w:r>
          </w:p>
        </w:tc>
        <w:tc>
          <w:tcPr>
            <w:tcW w:w="783" w:type="dxa"/>
          </w:tcPr>
          <w:p w:rsidRPr="00FB02B1" w:rsidR="00885183" w:rsidP="006F385A" w:rsidRDefault="00885183" w14:paraId="21D8F483" w14:textId="77777777">
            <w:pPr>
              <w:keepNext/>
              <w:keepLines/>
              <w:tabs>
                <w:tab w:val="left" w:pos="6030"/>
              </w:tabs>
              <w:spacing w:line="276" w:lineRule="auto"/>
              <w:jc w:val="both"/>
              <w:rPr>
                <w:b/>
                <w:bCs/>
                <w:sz w:val="20"/>
                <w:szCs w:val="20"/>
              </w:rPr>
            </w:pPr>
            <w:r w:rsidRPr="00FB02B1">
              <w:rPr>
                <w:b/>
                <w:bCs/>
                <w:sz w:val="20"/>
                <w:szCs w:val="20"/>
              </w:rPr>
              <w:t>Labor Cost ($/</w:t>
            </w:r>
            <w:proofErr w:type="spellStart"/>
            <w:r w:rsidRPr="00FB02B1">
              <w:rPr>
                <w:b/>
                <w:bCs/>
                <w:sz w:val="20"/>
                <w:szCs w:val="20"/>
              </w:rPr>
              <w:t>hr</w:t>
            </w:r>
            <w:proofErr w:type="spellEnd"/>
            <w:r w:rsidRPr="00FB02B1">
              <w:rPr>
                <w:b/>
                <w:bCs/>
                <w:sz w:val="20"/>
                <w:szCs w:val="20"/>
              </w:rPr>
              <w:t>)</w:t>
            </w:r>
          </w:p>
        </w:tc>
        <w:tc>
          <w:tcPr>
            <w:tcW w:w="1777" w:type="dxa"/>
          </w:tcPr>
          <w:p w:rsidRPr="00FB02B1" w:rsidR="00885183" w:rsidP="006F385A" w:rsidRDefault="00885183" w14:paraId="1B2918B0" w14:textId="77777777">
            <w:pPr>
              <w:keepNext/>
              <w:keepLines/>
              <w:tabs>
                <w:tab w:val="left" w:pos="6030"/>
              </w:tabs>
              <w:spacing w:line="276" w:lineRule="auto"/>
              <w:rPr>
                <w:b/>
                <w:bCs/>
                <w:sz w:val="20"/>
                <w:szCs w:val="20"/>
              </w:rPr>
            </w:pPr>
            <w:r w:rsidRPr="00FB02B1">
              <w:rPr>
                <w:b/>
                <w:bCs/>
                <w:sz w:val="20"/>
                <w:szCs w:val="20"/>
              </w:rPr>
              <w:t>Total Annual Cost ($)</w:t>
            </w:r>
          </w:p>
        </w:tc>
      </w:tr>
      <w:tr w:rsidR="004D6D15" w:rsidTr="003830B0" w14:paraId="6926222E" w14:textId="77777777">
        <w:tc>
          <w:tcPr>
            <w:tcW w:w="1238" w:type="dxa"/>
          </w:tcPr>
          <w:p w:rsidRPr="00BB7053" w:rsidR="00F915C9" w:rsidP="006F385A" w:rsidRDefault="00F915C9" w14:paraId="59A33615" w14:textId="018D0684">
            <w:pPr>
              <w:keepNext/>
              <w:keepLines/>
              <w:tabs>
                <w:tab w:val="left" w:pos="6030"/>
              </w:tabs>
              <w:spacing w:line="276" w:lineRule="auto"/>
              <w:jc w:val="both"/>
              <w:rPr>
                <w:sz w:val="20"/>
                <w:szCs w:val="20"/>
              </w:rPr>
            </w:pPr>
            <w:r>
              <w:rPr>
                <w:sz w:val="20"/>
                <w:szCs w:val="20"/>
              </w:rPr>
              <w:t>Currently Approved</w:t>
            </w:r>
            <w:r w:rsidR="00E4635E">
              <w:rPr>
                <w:sz w:val="20"/>
                <w:szCs w:val="20"/>
              </w:rPr>
              <w:t xml:space="preserve"> </w:t>
            </w:r>
          </w:p>
        </w:tc>
        <w:tc>
          <w:tcPr>
            <w:tcW w:w="1306" w:type="dxa"/>
          </w:tcPr>
          <w:p w:rsidRPr="00BB7053" w:rsidR="00F915C9" w:rsidP="006F385A" w:rsidRDefault="00B5655D" w14:paraId="655E967F" w14:textId="17455349">
            <w:pPr>
              <w:keepNext/>
              <w:keepLines/>
              <w:jc w:val="right"/>
              <w:rPr>
                <w:sz w:val="20"/>
                <w:szCs w:val="20"/>
              </w:rPr>
            </w:pPr>
            <w:r>
              <w:rPr>
                <w:color w:val="000000"/>
                <w:sz w:val="20"/>
                <w:szCs w:val="20"/>
              </w:rPr>
              <w:t>43,773</w:t>
            </w:r>
          </w:p>
        </w:tc>
        <w:tc>
          <w:tcPr>
            <w:tcW w:w="1127" w:type="dxa"/>
          </w:tcPr>
          <w:p w:rsidRPr="00BB7053" w:rsidR="00F915C9" w:rsidP="006F385A" w:rsidRDefault="00F915C9" w14:paraId="78C0824A" w14:textId="0D665BBE">
            <w:pPr>
              <w:keepNext/>
              <w:keepLines/>
              <w:tabs>
                <w:tab w:val="left" w:pos="6030"/>
              </w:tabs>
              <w:spacing w:line="276" w:lineRule="auto"/>
              <w:jc w:val="right"/>
              <w:rPr>
                <w:sz w:val="20"/>
                <w:szCs w:val="20"/>
              </w:rPr>
            </w:pPr>
            <w:r>
              <w:rPr>
                <w:sz w:val="20"/>
                <w:szCs w:val="20"/>
              </w:rPr>
              <w:t>1</w:t>
            </w:r>
          </w:p>
        </w:tc>
        <w:tc>
          <w:tcPr>
            <w:tcW w:w="1303" w:type="dxa"/>
          </w:tcPr>
          <w:p w:rsidRPr="00BB7053" w:rsidR="00F915C9" w:rsidP="006F385A" w:rsidRDefault="003B120A" w14:paraId="0C535044" w14:textId="54AF25E2">
            <w:pPr>
              <w:keepNext/>
              <w:keepLines/>
              <w:tabs>
                <w:tab w:val="left" w:pos="6030"/>
              </w:tabs>
              <w:spacing w:line="276" w:lineRule="auto"/>
              <w:jc w:val="right"/>
              <w:rPr>
                <w:sz w:val="20"/>
                <w:szCs w:val="20"/>
              </w:rPr>
            </w:pPr>
            <w:r>
              <w:rPr>
                <w:sz w:val="20"/>
                <w:szCs w:val="20"/>
              </w:rPr>
              <w:t>43,773</w:t>
            </w:r>
          </w:p>
        </w:tc>
        <w:tc>
          <w:tcPr>
            <w:tcW w:w="1017" w:type="dxa"/>
          </w:tcPr>
          <w:p w:rsidRPr="00BB7053" w:rsidR="00F915C9" w:rsidP="006F385A" w:rsidRDefault="00F915C9" w14:paraId="733AEC15" w14:textId="7D2FD8FD">
            <w:pPr>
              <w:keepNext/>
              <w:keepLines/>
              <w:tabs>
                <w:tab w:val="left" w:pos="6030"/>
              </w:tabs>
              <w:spacing w:line="276" w:lineRule="auto"/>
              <w:jc w:val="right"/>
              <w:rPr>
                <w:sz w:val="20"/>
                <w:szCs w:val="20"/>
              </w:rPr>
            </w:pPr>
            <w:r>
              <w:rPr>
                <w:sz w:val="20"/>
                <w:szCs w:val="20"/>
              </w:rPr>
              <w:t>8</w:t>
            </w:r>
          </w:p>
        </w:tc>
        <w:tc>
          <w:tcPr>
            <w:tcW w:w="1480" w:type="dxa"/>
          </w:tcPr>
          <w:p w:rsidRPr="00BB7053" w:rsidR="00F915C9" w:rsidP="006F385A" w:rsidRDefault="004D3692" w14:paraId="367FE85A" w14:textId="51C0D05E">
            <w:pPr>
              <w:keepNext/>
              <w:keepLines/>
              <w:tabs>
                <w:tab w:val="left" w:pos="6030"/>
              </w:tabs>
              <w:spacing w:line="276" w:lineRule="auto"/>
              <w:jc w:val="right"/>
              <w:rPr>
                <w:sz w:val="20"/>
                <w:szCs w:val="20"/>
              </w:rPr>
            </w:pPr>
            <w:r>
              <w:rPr>
                <w:sz w:val="20"/>
                <w:szCs w:val="20"/>
              </w:rPr>
              <w:t>350,184</w:t>
            </w:r>
          </w:p>
        </w:tc>
        <w:tc>
          <w:tcPr>
            <w:tcW w:w="783" w:type="dxa"/>
          </w:tcPr>
          <w:p w:rsidRPr="00BB7053" w:rsidR="00F915C9" w:rsidP="006F385A" w:rsidRDefault="00F915C9" w14:paraId="64018EF3" w14:textId="5C0A1E4B">
            <w:pPr>
              <w:keepNext/>
              <w:keepLines/>
              <w:tabs>
                <w:tab w:val="left" w:pos="6030"/>
              </w:tabs>
              <w:spacing w:line="276" w:lineRule="auto"/>
              <w:jc w:val="right"/>
              <w:rPr>
                <w:sz w:val="20"/>
                <w:szCs w:val="20"/>
              </w:rPr>
            </w:pPr>
            <w:r>
              <w:rPr>
                <w:sz w:val="20"/>
                <w:szCs w:val="20"/>
              </w:rPr>
              <w:t>Varies</w:t>
            </w:r>
          </w:p>
        </w:tc>
        <w:tc>
          <w:tcPr>
            <w:tcW w:w="1777" w:type="dxa"/>
          </w:tcPr>
          <w:p w:rsidR="00696DB3" w:rsidP="006F385A" w:rsidRDefault="004D3692" w14:paraId="23C8EECF" w14:textId="6D068B4D">
            <w:pPr>
              <w:keepNext/>
              <w:keepLines/>
              <w:jc w:val="right"/>
              <w:rPr>
                <w:color w:val="000000"/>
                <w:sz w:val="20"/>
                <w:szCs w:val="20"/>
              </w:rPr>
            </w:pPr>
            <w:r>
              <w:rPr>
                <w:color w:val="000000"/>
                <w:sz w:val="20"/>
                <w:szCs w:val="20"/>
              </w:rPr>
              <w:t>38,354,778</w:t>
            </w:r>
          </w:p>
          <w:p w:rsidRPr="00BB7053" w:rsidR="00F915C9" w:rsidP="006F385A" w:rsidRDefault="00F915C9" w14:paraId="2AD5DA58" w14:textId="4C9908C3">
            <w:pPr>
              <w:keepNext/>
              <w:keepLines/>
              <w:tabs>
                <w:tab w:val="left" w:pos="6030"/>
              </w:tabs>
              <w:spacing w:line="276" w:lineRule="auto"/>
              <w:jc w:val="right"/>
              <w:rPr>
                <w:sz w:val="20"/>
                <w:szCs w:val="20"/>
              </w:rPr>
            </w:pPr>
          </w:p>
        </w:tc>
      </w:tr>
      <w:tr w:rsidR="004D6D15" w:rsidTr="003830B0" w14:paraId="19494939" w14:textId="77777777">
        <w:tc>
          <w:tcPr>
            <w:tcW w:w="1238" w:type="dxa"/>
          </w:tcPr>
          <w:p w:rsidRPr="00BB7053" w:rsidR="00F915C9" w:rsidP="000C0CFC" w:rsidRDefault="00E42B02" w14:paraId="76FA3219" w14:textId="50A9567B">
            <w:pPr>
              <w:keepNext/>
              <w:keepLines/>
              <w:tabs>
                <w:tab w:val="left" w:pos="6030"/>
              </w:tabs>
              <w:spacing w:line="276" w:lineRule="auto"/>
              <w:rPr>
                <w:sz w:val="20"/>
                <w:szCs w:val="20"/>
              </w:rPr>
            </w:pPr>
            <w:r>
              <w:rPr>
                <w:sz w:val="20"/>
                <w:szCs w:val="20"/>
              </w:rPr>
              <w:t>Propos</w:t>
            </w:r>
            <w:r w:rsidR="00F82698">
              <w:rPr>
                <w:sz w:val="20"/>
                <w:szCs w:val="20"/>
              </w:rPr>
              <w:t>ed</w:t>
            </w:r>
            <w:r w:rsidR="00E71312">
              <w:rPr>
                <w:sz w:val="20"/>
                <w:szCs w:val="20"/>
              </w:rPr>
              <w:t xml:space="preserve"> </w:t>
            </w:r>
            <w:r w:rsidR="00F424A2">
              <w:rPr>
                <w:sz w:val="20"/>
                <w:szCs w:val="20"/>
              </w:rPr>
              <w:br/>
            </w:r>
            <w:r w:rsidRPr="00A67FD9" w:rsidR="00A67FD9">
              <w:rPr>
                <w:sz w:val="20"/>
                <w:szCs w:val="20"/>
              </w:rPr>
              <w:t xml:space="preserve">(See Table </w:t>
            </w:r>
            <w:r w:rsidR="000C0CFC">
              <w:rPr>
                <w:sz w:val="20"/>
                <w:szCs w:val="20"/>
              </w:rPr>
              <w:t>11</w:t>
            </w:r>
            <w:r w:rsidRPr="00A67FD9" w:rsidR="00A67FD9">
              <w:rPr>
                <w:sz w:val="20"/>
                <w:szCs w:val="20"/>
              </w:rPr>
              <w:t>)</w:t>
            </w:r>
          </w:p>
        </w:tc>
        <w:tc>
          <w:tcPr>
            <w:tcW w:w="1306" w:type="dxa"/>
          </w:tcPr>
          <w:p w:rsidRPr="00BB7053" w:rsidR="00F915C9" w:rsidP="006F385A" w:rsidRDefault="003B774C" w14:paraId="7760DECB" w14:textId="0B678D0B">
            <w:pPr>
              <w:keepNext/>
              <w:keepLines/>
              <w:tabs>
                <w:tab w:val="left" w:pos="6030"/>
              </w:tabs>
              <w:spacing w:line="276" w:lineRule="auto"/>
              <w:jc w:val="right"/>
              <w:rPr>
                <w:sz w:val="20"/>
                <w:szCs w:val="20"/>
              </w:rPr>
            </w:pPr>
            <w:r>
              <w:rPr>
                <w:sz w:val="20"/>
                <w:szCs w:val="20"/>
              </w:rPr>
              <w:t>4</w:t>
            </w:r>
            <w:r w:rsidR="00B5655D">
              <w:rPr>
                <w:sz w:val="20"/>
                <w:szCs w:val="20"/>
              </w:rPr>
              <w:t>5,760</w:t>
            </w:r>
          </w:p>
        </w:tc>
        <w:tc>
          <w:tcPr>
            <w:tcW w:w="1127" w:type="dxa"/>
          </w:tcPr>
          <w:p w:rsidRPr="00BB7053" w:rsidR="00F915C9" w:rsidP="006F385A" w:rsidRDefault="00F915C9" w14:paraId="5A4FF95F" w14:textId="2E2DDB15">
            <w:pPr>
              <w:keepNext/>
              <w:keepLines/>
              <w:tabs>
                <w:tab w:val="left" w:pos="6030"/>
              </w:tabs>
              <w:spacing w:line="276" w:lineRule="auto"/>
              <w:jc w:val="right"/>
              <w:rPr>
                <w:sz w:val="20"/>
                <w:szCs w:val="20"/>
              </w:rPr>
            </w:pPr>
            <w:r>
              <w:rPr>
                <w:sz w:val="20"/>
                <w:szCs w:val="20"/>
              </w:rPr>
              <w:t>1</w:t>
            </w:r>
          </w:p>
        </w:tc>
        <w:tc>
          <w:tcPr>
            <w:tcW w:w="1303" w:type="dxa"/>
          </w:tcPr>
          <w:p w:rsidRPr="00BB7053" w:rsidR="00F915C9" w:rsidP="006F385A" w:rsidRDefault="009862EB" w14:paraId="491E9371" w14:textId="1E9AA91A">
            <w:pPr>
              <w:keepNext/>
              <w:keepLines/>
              <w:tabs>
                <w:tab w:val="left" w:pos="6030"/>
              </w:tabs>
              <w:spacing w:line="276" w:lineRule="auto"/>
              <w:jc w:val="right"/>
              <w:rPr>
                <w:sz w:val="20"/>
                <w:szCs w:val="20"/>
              </w:rPr>
            </w:pPr>
            <w:r>
              <w:rPr>
                <w:sz w:val="20"/>
                <w:szCs w:val="20"/>
              </w:rPr>
              <w:t>4</w:t>
            </w:r>
            <w:r w:rsidR="003B120A">
              <w:rPr>
                <w:sz w:val="20"/>
                <w:szCs w:val="20"/>
              </w:rPr>
              <w:t>5,760</w:t>
            </w:r>
          </w:p>
        </w:tc>
        <w:tc>
          <w:tcPr>
            <w:tcW w:w="1017" w:type="dxa"/>
          </w:tcPr>
          <w:p w:rsidRPr="00BB7053" w:rsidR="00F915C9" w:rsidP="006F385A" w:rsidRDefault="00F915C9" w14:paraId="350B3F67" w14:textId="71EC6A01">
            <w:pPr>
              <w:keepNext/>
              <w:keepLines/>
              <w:tabs>
                <w:tab w:val="left" w:pos="6030"/>
              </w:tabs>
              <w:spacing w:line="276" w:lineRule="auto"/>
              <w:jc w:val="right"/>
              <w:rPr>
                <w:sz w:val="20"/>
                <w:szCs w:val="20"/>
              </w:rPr>
            </w:pPr>
            <w:r>
              <w:rPr>
                <w:sz w:val="20"/>
                <w:szCs w:val="20"/>
              </w:rPr>
              <w:t>8</w:t>
            </w:r>
          </w:p>
        </w:tc>
        <w:tc>
          <w:tcPr>
            <w:tcW w:w="1480" w:type="dxa"/>
          </w:tcPr>
          <w:p w:rsidRPr="00BB7053" w:rsidR="00F915C9" w:rsidP="006F385A" w:rsidRDefault="002B5D20" w14:paraId="0B8C14BC" w14:textId="2E561693">
            <w:pPr>
              <w:keepNext/>
              <w:keepLines/>
              <w:tabs>
                <w:tab w:val="left" w:pos="6030"/>
              </w:tabs>
              <w:spacing w:line="276" w:lineRule="auto"/>
              <w:jc w:val="right"/>
              <w:rPr>
                <w:sz w:val="20"/>
                <w:szCs w:val="20"/>
              </w:rPr>
            </w:pPr>
            <w:r>
              <w:rPr>
                <w:sz w:val="20"/>
                <w:szCs w:val="20"/>
              </w:rPr>
              <w:t>3</w:t>
            </w:r>
            <w:r w:rsidR="004D3692">
              <w:rPr>
                <w:sz w:val="20"/>
                <w:szCs w:val="20"/>
              </w:rPr>
              <w:t>66,080</w:t>
            </w:r>
          </w:p>
        </w:tc>
        <w:tc>
          <w:tcPr>
            <w:tcW w:w="783" w:type="dxa"/>
          </w:tcPr>
          <w:p w:rsidRPr="00BB7053" w:rsidR="00F915C9" w:rsidP="006F385A" w:rsidRDefault="00F915C9" w14:paraId="18041A42" w14:textId="68478642">
            <w:pPr>
              <w:keepNext/>
              <w:keepLines/>
              <w:tabs>
                <w:tab w:val="left" w:pos="6030"/>
              </w:tabs>
              <w:spacing w:line="276" w:lineRule="auto"/>
              <w:jc w:val="right"/>
              <w:rPr>
                <w:sz w:val="20"/>
                <w:szCs w:val="20"/>
              </w:rPr>
            </w:pPr>
            <w:r>
              <w:rPr>
                <w:sz w:val="20"/>
                <w:szCs w:val="20"/>
              </w:rPr>
              <w:t>Varies</w:t>
            </w:r>
          </w:p>
        </w:tc>
        <w:tc>
          <w:tcPr>
            <w:tcW w:w="1777" w:type="dxa"/>
          </w:tcPr>
          <w:p w:rsidRPr="00BB7053" w:rsidR="00F915C9" w:rsidP="006F385A" w:rsidRDefault="005446AE" w14:paraId="70702506" w14:textId="37ACCDDC">
            <w:pPr>
              <w:keepNext/>
              <w:keepLines/>
              <w:tabs>
                <w:tab w:val="left" w:pos="6030"/>
              </w:tabs>
              <w:spacing w:line="276" w:lineRule="auto"/>
              <w:jc w:val="right"/>
              <w:rPr>
                <w:sz w:val="20"/>
                <w:szCs w:val="20"/>
              </w:rPr>
            </w:pPr>
            <w:r>
              <w:rPr>
                <w:sz w:val="20"/>
                <w:szCs w:val="20"/>
              </w:rPr>
              <w:t>40,095,827</w:t>
            </w:r>
          </w:p>
        </w:tc>
      </w:tr>
      <w:tr w:rsidR="00832F96" w:rsidTr="003830B0" w14:paraId="6A6C7DA4" w14:textId="77777777">
        <w:tc>
          <w:tcPr>
            <w:tcW w:w="1238" w:type="dxa"/>
            <w:shd w:val="clear" w:color="auto" w:fill="D9D9D9" w:themeFill="background1" w:themeFillShade="D9"/>
          </w:tcPr>
          <w:p w:rsidRPr="00BB7053" w:rsidR="00F915C9" w:rsidP="00F377C1" w:rsidRDefault="00F915C9" w14:paraId="2B8AD4DE" w14:textId="55A82DBA">
            <w:pPr>
              <w:tabs>
                <w:tab w:val="left" w:pos="6030"/>
              </w:tabs>
              <w:spacing w:line="276" w:lineRule="auto"/>
              <w:jc w:val="both"/>
              <w:rPr>
                <w:sz w:val="20"/>
                <w:szCs w:val="20"/>
              </w:rPr>
            </w:pPr>
            <w:r>
              <w:rPr>
                <w:sz w:val="20"/>
                <w:szCs w:val="20"/>
              </w:rPr>
              <w:t>Adjustment</w:t>
            </w:r>
            <w:r w:rsidR="00C1361E">
              <w:rPr>
                <w:sz w:val="20"/>
                <w:szCs w:val="20"/>
              </w:rPr>
              <w:t xml:space="preserve"> </w:t>
            </w:r>
            <w:r w:rsidR="00F424A2">
              <w:rPr>
                <w:sz w:val="20"/>
                <w:szCs w:val="20"/>
              </w:rPr>
              <w:br/>
            </w:r>
          </w:p>
        </w:tc>
        <w:tc>
          <w:tcPr>
            <w:tcW w:w="1306" w:type="dxa"/>
            <w:shd w:val="clear" w:color="auto" w:fill="D9D9D9" w:themeFill="background1" w:themeFillShade="D9"/>
          </w:tcPr>
          <w:p w:rsidRPr="00BB7053" w:rsidR="00F915C9" w:rsidP="00F377C1" w:rsidRDefault="003B120A" w14:paraId="0815153B" w14:textId="7B623D32">
            <w:pPr>
              <w:tabs>
                <w:tab w:val="left" w:pos="6030"/>
              </w:tabs>
              <w:spacing w:line="276" w:lineRule="auto"/>
              <w:jc w:val="right"/>
              <w:rPr>
                <w:sz w:val="20"/>
                <w:szCs w:val="20"/>
              </w:rPr>
            </w:pPr>
            <w:r>
              <w:rPr>
                <w:sz w:val="20"/>
                <w:szCs w:val="20"/>
              </w:rPr>
              <w:t>+1,987</w:t>
            </w:r>
            <w:r w:rsidR="00983DBE">
              <w:rPr>
                <w:sz w:val="20"/>
                <w:szCs w:val="20"/>
              </w:rPr>
              <w:t xml:space="preserve"> </w:t>
            </w:r>
          </w:p>
        </w:tc>
        <w:tc>
          <w:tcPr>
            <w:tcW w:w="1127" w:type="dxa"/>
            <w:shd w:val="clear" w:color="auto" w:fill="D9D9D9" w:themeFill="background1" w:themeFillShade="D9"/>
          </w:tcPr>
          <w:p w:rsidRPr="00BB7053" w:rsidR="00F915C9" w:rsidP="00F377C1" w:rsidRDefault="00F915C9" w14:paraId="2BDC1DF9" w14:textId="6E961EB5">
            <w:pPr>
              <w:tabs>
                <w:tab w:val="left" w:pos="6030"/>
              </w:tabs>
              <w:spacing w:line="276" w:lineRule="auto"/>
              <w:jc w:val="right"/>
              <w:rPr>
                <w:sz w:val="20"/>
                <w:szCs w:val="20"/>
              </w:rPr>
            </w:pPr>
            <w:r>
              <w:rPr>
                <w:sz w:val="20"/>
                <w:szCs w:val="20"/>
              </w:rPr>
              <w:t>No change</w:t>
            </w:r>
          </w:p>
        </w:tc>
        <w:tc>
          <w:tcPr>
            <w:tcW w:w="1303" w:type="dxa"/>
            <w:shd w:val="clear" w:color="auto" w:fill="D9D9D9" w:themeFill="background1" w:themeFillShade="D9"/>
          </w:tcPr>
          <w:p w:rsidRPr="00BB7053" w:rsidR="00F915C9" w:rsidP="00F377C1" w:rsidRDefault="003B120A" w14:paraId="3676B35F" w14:textId="65E758D8">
            <w:pPr>
              <w:tabs>
                <w:tab w:val="left" w:pos="6030"/>
              </w:tabs>
              <w:spacing w:line="276" w:lineRule="auto"/>
              <w:jc w:val="right"/>
              <w:rPr>
                <w:sz w:val="20"/>
                <w:szCs w:val="20"/>
              </w:rPr>
            </w:pPr>
            <w:r>
              <w:rPr>
                <w:sz w:val="20"/>
                <w:szCs w:val="20"/>
              </w:rPr>
              <w:t>+1,987</w:t>
            </w:r>
            <w:r w:rsidR="00983DBE">
              <w:rPr>
                <w:sz w:val="20"/>
                <w:szCs w:val="20"/>
              </w:rPr>
              <w:t xml:space="preserve"> </w:t>
            </w:r>
          </w:p>
        </w:tc>
        <w:tc>
          <w:tcPr>
            <w:tcW w:w="1017" w:type="dxa"/>
            <w:shd w:val="clear" w:color="auto" w:fill="D9D9D9" w:themeFill="background1" w:themeFillShade="D9"/>
          </w:tcPr>
          <w:p w:rsidRPr="00BB7053" w:rsidR="00F915C9" w:rsidP="00F377C1" w:rsidRDefault="00F915C9" w14:paraId="02CC1C28" w14:textId="7062C02C">
            <w:pPr>
              <w:tabs>
                <w:tab w:val="left" w:pos="6030"/>
              </w:tabs>
              <w:spacing w:line="276" w:lineRule="auto"/>
              <w:jc w:val="right"/>
              <w:rPr>
                <w:sz w:val="20"/>
                <w:szCs w:val="20"/>
              </w:rPr>
            </w:pPr>
            <w:r>
              <w:rPr>
                <w:sz w:val="20"/>
                <w:szCs w:val="20"/>
              </w:rPr>
              <w:t>No change</w:t>
            </w:r>
          </w:p>
        </w:tc>
        <w:tc>
          <w:tcPr>
            <w:tcW w:w="1480" w:type="dxa"/>
            <w:shd w:val="clear" w:color="auto" w:fill="D9D9D9" w:themeFill="background1" w:themeFillShade="D9"/>
          </w:tcPr>
          <w:p w:rsidR="00F930D6" w:rsidP="00F377C1" w:rsidRDefault="004D3692" w14:paraId="04477317" w14:textId="28160801">
            <w:pPr>
              <w:tabs>
                <w:tab w:val="left" w:pos="6030"/>
              </w:tabs>
              <w:spacing w:line="276" w:lineRule="auto"/>
              <w:jc w:val="right"/>
              <w:rPr>
                <w:sz w:val="20"/>
                <w:szCs w:val="20"/>
              </w:rPr>
            </w:pPr>
            <w:r>
              <w:rPr>
                <w:sz w:val="20"/>
                <w:szCs w:val="20"/>
              </w:rPr>
              <w:t>+15,896</w:t>
            </w:r>
          </w:p>
          <w:p w:rsidRPr="00BB7053" w:rsidR="00F915C9" w:rsidP="00F377C1" w:rsidRDefault="00F915C9" w14:paraId="6B60D96F" w14:textId="2BF2C5AD">
            <w:pPr>
              <w:tabs>
                <w:tab w:val="left" w:pos="6030"/>
              </w:tabs>
              <w:spacing w:line="276" w:lineRule="auto"/>
              <w:jc w:val="right"/>
              <w:rPr>
                <w:sz w:val="20"/>
                <w:szCs w:val="20"/>
              </w:rPr>
            </w:pPr>
          </w:p>
        </w:tc>
        <w:tc>
          <w:tcPr>
            <w:tcW w:w="783" w:type="dxa"/>
            <w:shd w:val="clear" w:color="auto" w:fill="D9D9D9" w:themeFill="background1" w:themeFillShade="D9"/>
          </w:tcPr>
          <w:p w:rsidRPr="00BB7053" w:rsidR="00F915C9" w:rsidP="00F377C1" w:rsidRDefault="00F915C9" w14:paraId="7D826C49" w14:textId="3566F18E">
            <w:pPr>
              <w:tabs>
                <w:tab w:val="left" w:pos="6030"/>
              </w:tabs>
              <w:spacing w:line="276" w:lineRule="auto"/>
              <w:jc w:val="right"/>
              <w:rPr>
                <w:sz w:val="20"/>
                <w:szCs w:val="20"/>
              </w:rPr>
            </w:pPr>
            <w:r>
              <w:rPr>
                <w:sz w:val="20"/>
                <w:szCs w:val="20"/>
              </w:rPr>
              <w:t>No change</w:t>
            </w:r>
          </w:p>
        </w:tc>
        <w:tc>
          <w:tcPr>
            <w:tcW w:w="1777" w:type="dxa"/>
            <w:shd w:val="clear" w:color="auto" w:fill="D9D9D9" w:themeFill="background1" w:themeFillShade="D9"/>
          </w:tcPr>
          <w:p w:rsidRPr="00BB7053" w:rsidR="00F915C9" w:rsidP="00F377C1" w:rsidRDefault="005446AE" w14:paraId="0F81321F" w14:textId="0FE57CE1">
            <w:pPr>
              <w:tabs>
                <w:tab w:val="left" w:pos="6030"/>
              </w:tabs>
              <w:spacing w:line="276" w:lineRule="auto"/>
              <w:jc w:val="right"/>
              <w:rPr>
                <w:sz w:val="20"/>
                <w:szCs w:val="20"/>
              </w:rPr>
            </w:pPr>
            <w:r>
              <w:rPr>
                <w:sz w:val="20"/>
                <w:szCs w:val="20"/>
              </w:rPr>
              <w:t>+1,741,049</w:t>
            </w:r>
            <w:r w:rsidR="003A47AE">
              <w:rPr>
                <w:sz w:val="20"/>
                <w:szCs w:val="20"/>
              </w:rPr>
              <w:t xml:space="preserve"> </w:t>
            </w:r>
          </w:p>
        </w:tc>
      </w:tr>
    </w:tbl>
    <w:p w:rsidR="00E17C8B" w:rsidP="005E6666" w:rsidRDefault="00E17C8B" w14:paraId="3B0A4F0D" w14:textId="77777777">
      <w:pPr>
        <w:rPr>
          <w:rFonts w:eastAsia="Calibri"/>
          <w:b/>
          <w:bCs/>
        </w:rPr>
      </w:pPr>
    </w:p>
    <w:p w:rsidR="00C1361E" w:rsidP="00C1361E" w:rsidRDefault="00885183" w14:paraId="1126D762" w14:textId="081E5ACF">
      <w:pPr>
        <w:keepNext/>
        <w:keepLines/>
        <w:jc w:val="center"/>
        <w:rPr>
          <w:b/>
          <w:bCs/>
        </w:rPr>
      </w:pPr>
      <w:r w:rsidRPr="00B30713">
        <w:rPr>
          <w:rFonts w:eastAsia="Calibri"/>
          <w:b/>
          <w:bCs/>
        </w:rPr>
        <w:t xml:space="preserve">TABLE </w:t>
      </w:r>
      <w:r w:rsidR="00C1361E">
        <w:rPr>
          <w:rFonts w:eastAsia="Calibri"/>
          <w:b/>
          <w:bCs/>
        </w:rPr>
        <w:t>3</w:t>
      </w:r>
      <w:r w:rsidR="000F2B2C">
        <w:rPr>
          <w:rFonts w:eastAsia="Calibri"/>
          <w:b/>
          <w:bCs/>
        </w:rPr>
        <w:t>0I</w:t>
      </w:r>
      <w:r w:rsidRPr="00B30713" w:rsidR="00C1361E">
        <w:rPr>
          <w:rFonts w:eastAsia="Calibri"/>
          <w:b/>
          <w:bCs/>
        </w:rPr>
        <w:t xml:space="preserve">: Burden Reconciliation for </w:t>
      </w:r>
      <w:r w:rsidR="00E2094C">
        <w:rPr>
          <w:rFonts w:eastAsia="Calibri"/>
          <w:b/>
          <w:bCs/>
        </w:rPr>
        <w:t>MVP Registration</w:t>
      </w:r>
    </w:p>
    <w:tbl>
      <w:tblPr>
        <w:tblStyle w:val="TableGrid"/>
        <w:tblW w:w="10525" w:type="dxa"/>
        <w:tblLook w:val="04A0" w:firstRow="1" w:lastRow="0" w:firstColumn="1" w:lastColumn="0" w:noHBand="0" w:noVBand="1"/>
      </w:tblPr>
      <w:tblGrid>
        <w:gridCol w:w="1238"/>
        <w:gridCol w:w="1306"/>
        <w:gridCol w:w="1127"/>
        <w:gridCol w:w="1094"/>
        <w:gridCol w:w="1350"/>
        <w:gridCol w:w="1350"/>
        <w:gridCol w:w="1170"/>
        <w:gridCol w:w="1890"/>
      </w:tblGrid>
      <w:tr w:rsidR="00EF2DE6" w:rsidTr="0013664B" w14:paraId="17593DB0" w14:textId="77777777">
        <w:trPr>
          <w:tblHeader/>
        </w:trPr>
        <w:tc>
          <w:tcPr>
            <w:tcW w:w="1238" w:type="dxa"/>
          </w:tcPr>
          <w:p w:rsidRPr="00FB02B1" w:rsidR="00C1361E" w:rsidP="0068663C" w:rsidRDefault="00C1361E" w14:paraId="1A217DD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11E5F754"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27" w:type="dxa"/>
          </w:tcPr>
          <w:p w:rsidRPr="00FB02B1" w:rsidR="00C1361E" w:rsidP="0068663C" w:rsidRDefault="00C1361E" w14:paraId="3E4E10E8"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53EB6162"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350" w:type="dxa"/>
          </w:tcPr>
          <w:p w:rsidRPr="00FB02B1" w:rsidR="00C1361E" w:rsidP="0068663C" w:rsidRDefault="00C1361E" w14:paraId="0803C2EC" w14:textId="77777777">
            <w:pPr>
              <w:keepNext/>
              <w:keepLines/>
              <w:tabs>
                <w:tab w:val="left" w:pos="6030"/>
              </w:tabs>
              <w:spacing w:line="276" w:lineRule="auto"/>
              <w:rPr>
                <w:b/>
                <w:bCs/>
                <w:sz w:val="20"/>
                <w:szCs w:val="20"/>
              </w:rPr>
            </w:pPr>
            <w:r w:rsidRPr="00FB02B1">
              <w:rPr>
                <w:b/>
                <w:bCs/>
                <w:sz w:val="20"/>
                <w:szCs w:val="20"/>
              </w:rPr>
              <w:t>Time Per Response (</w:t>
            </w:r>
            <w:proofErr w:type="spellStart"/>
            <w:r w:rsidRPr="00FB02B1">
              <w:rPr>
                <w:b/>
                <w:bCs/>
                <w:sz w:val="20"/>
                <w:szCs w:val="20"/>
              </w:rPr>
              <w:t>hr</w:t>
            </w:r>
            <w:proofErr w:type="spellEnd"/>
            <w:r w:rsidRPr="00FB02B1">
              <w:rPr>
                <w:b/>
                <w:bCs/>
                <w:sz w:val="20"/>
                <w:szCs w:val="20"/>
              </w:rPr>
              <w:t>)</w:t>
            </w:r>
          </w:p>
        </w:tc>
        <w:tc>
          <w:tcPr>
            <w:tcW w:w="1350" w:type="dxa"/>
          </w:tcPr>
          <w:p w:rsidRPr="00FB02B1" w:rsidR="00C1361E" w:rsidP="0068663C" w:rsidRDefault="00C1361E" w14:paraId="135994CE" w14:textId="77777777">
            <w:pPr>
              <w:keepNext/>
              <w:keepLines/>
              <w:tabs>
                <w:tab w:val="left" w:pos="6030"/>
              </w:tabs>
              <w:spacing w:line="276" w:lineRule="auto"/>
              <w:jc w:val="both"/>
              <w:rPr>
                <w:b/>
                <w:bCs/>
                <w:sz w:val="20"/>
                <w:szCs w:val="20"/>
              </w:rPr>
            </w:pPr>
            <w:r w:rsidRPr="00FB02B1">
              <w:rPr>
                <w:b/>
                <w:bCs/>
                <w:sz w:val="20"/>
                <w:szCs w:val="20"/>
              </w:rPr>
              <w:t>Total Annual Time (</w:t>
            </w:r>
            <w:proofErr w:type="spellStart"/>
            <w:r w:rsidRPr="00FB02B1">
              <w:rPr>
                <w:b/>
                <w:bCs/>
                <w:sz w:val="20"/>
                <w:szCs w:val="20"/>
              </w:rPr>
              <w:t>hr</w:t>
            </w:r>
            <w:proofErr w:type="spellEnd"/>
            <w:r w:rsidRPr="00FB02B1">
              <w:rPr>
                <w:b/>
                <w:bCs/>
                <w:sz w:val="20"/>
                <w:szCs w:val="20"/>
              </w:rPr>
              <w:t>)</w:t>
            </w:r>
          </w:p>
        </w:tc>
        <w:tc>
          <w:tcPr>
            <w:tcW w:w="1170" w:type="dxa"/>
          </w:tcPr>
          <w:p w:rsidRPr="00FB02B1" w:rsidR="00C1361E" w:rsidP="0068663C" w:rsidRDefault="00C1361E" w14:paraId="6EAE57BC" w14:textId="77777777">
            <w:pPr>
              <w:keepNext/>
              <w:keepLines/>
              <w:tabs>
                <w:tab w:val="left" w:pos="6030"/>
              </w:tabs>
              <w:spacing w:line="276" w:lineRule="auto"/>
              <w:jc w:val="both"/>
              <w:rPr>
                <w:b/>
                <w:bCs/>
                <w:sz w:val="20"/>
                <w:szCs w:val="20"/>
              </w:rPr>
            </w:pPr>
            <w:r w:rsidRPr="00FB02B1">
              <w:rPr>
                <w:b/>
                <w:bCs/>
                <w:sz w:val="20"/>
                <w:szCs w:val="20"/>
              </w:rPr>
              <w:t>Labor Cost ($/</w:t>
            </w:r>
            <w:proofErr w:type="spellStart"/>
            <w:r w:rsidRPr="00FB02B1">
              <w:rPr>
                <w:b/>
                <w:bCs/>
                <w:sz w:val="20"/>
                <w:szCs w:val="20"/>
              </w:rPr>
              <w:t>hr</w:t>
            </w:r>
            <w:proofErr w:type="spellEnd"/>
            <w:r w:rsidRPr="00FB02B1">
              <w:rPr>
                <w:b/>
                <w:bCs/>
                <w:sz w:val="20"/>
                <w:szCs w:val="20"/>
              </w:rPr>
              <w:t>)</w:t>
            </w:r>
          </w:p>
        </w:tc>
        <w:tc>
          <w:tcPr>
            <w:tcW w:w="1890" w:type="dxa"/>
          </w:tcPr>
          <w:p w:rsidRPr="00FB02B1" w:rsidR="00C1361E" w:rsidP="0068663C" w:rsidRDefault="00C1361E" w14:paraId="3168AA47" w14:textId="77777777">
            <w:pPr>
              <w:keepNext/>
              <w:keepLines/>
              <w:tabs>
                <w:tab w:val="left" w:pos="6030"/>
              </w:tabs>
              <w:spacing w:line="276" w:lineRule="auto"/>
              <w:rPr>
                <w:b/>
                <w:bCs/>
                <w:sz w:val="20"/>
                <w:szCs w:val="20"/>
              </w:rPr>
            </w:pPr>
            <w:r w:rsidRPr="00FB02B1">
              <w:rPr>
                <w:b/>
                <w:bCs/>
                <w:sz w:val="20"/>
                <w:szCs w:val="20"/>
              </w:rPr>
              <w:t>Total Annual Cost ($)</w:t>
            </w:r>
          </w:p>
        </w:tc>
      </w:tr>
      <w:tr w:rsidR="00EF2DE6" w:rsidTr="0013664B" w14:paraId="066A584F" w14:textId="77777777">
        <w:tc>
          <w:tcPr>
            <w:tcW w:w="1238" w:type="dxa"/>
          </w:tcPr>
          <w:p w:rsidR="00B16A4B" w:rsidP="0068663C" w:rsidRDefault="00C1361E" w14:paraId="50774218" w14:textId="77777777">
            <w:pPr>
              <w:keepNext/>
              <w:keepLines/>
              <w:tabs>
                <w:tab w:val="left" w:pos="6030"/>
              </w:tabs>
              <w:spacing w:line="276" w:lineRule="auto"/>
              <w:jc w:val="both"/>
              <w:rPr>
                <w:sz w:val="20"/>
                <w:szCs w:val="20"/>
              </w:rPr>
            </w:pPr>
            <w:r>
              <w:rPr>
                <w:sz w:val="20"/>
                <w:szCs w:val="20"/>
              </w:rPr>
              <w:t>Currently Approved</w:t>
            </w:r>
            <w:r w:rsidR="00B5392B">
              <w:rPr>
                <w:sz w:val="20"/>
                <w:szCs w:val="20"/>
              </w:rPr>
              <w:t xml:space="preserve"> </w:t>
            </w:r>
          </w:p>
          <w:p w:rsidRPr="00BB7053" w:rsidR="00C1361E" w:rsidP="0068663C" w:rsidRDefault="00C1361E" w14:paraId="55A03EE3" w14:textId="117ED2EB">
            <w:pPr>
              <w:keepNext/>
              <w:keepLines/>
              <w:tabs>
                <w:tab w:val="left" w:pos="6030"/>
              </w:tabs>
              <w:spacing w:line="276" w:lineRule="auto"/>
              <w:jc w:val="both"/>
              <w:rPr>
                <w:sz w:val="20"/>
                <w:szCs w:val="20"/>
              </w:rPr>
            </w:pPr>
          </w:p>
        </w:tc>
        <w:tc>
          <w:tcPr>
            <w:tcW w:w="1306" w:type="dxa"/>
          </w:tcPr>
          <w:p w:rsidRPr="00BB7053" w:rsidR="00C1361E" w:rsidP="0068663C" w:rsidRDefault="009E5347" w14:paraId="7F995BE9" w14:textId="496E3A04">
            <w:pPr>
              <w:keepNext/>
              <w:keepLines/>
              <w:tabs>
                <w:tab w:val="left" w:pos="6030"/>
              </w:tabs>
              <w:spacing w:line="276" w:lineRule="auto"/>
              <w:jc w:val="right"/>
              <w:rPr>
                <w:sz w:val="20"/>
                <w:szCs w:val="20"/>
              </w:rPr>
            </w:pPr>
            <w:r>
              <w:rPr>
                <w:sz w:val="20"/>
                <w:szCs w:val="20"/>
              </w:rPr>
              <w:t>12,917</w:t>
            </w:r>
          </w:p>
        </w:tc>
        <w:tc>
          <w:tcPr>
            <w:tcW w:w="1127" w:type="dxa"/>
          </w:tcPr>
          <w:p w:rsidRPr="00BB7053" w:rsidR="00C1361E" w:rsidP="0068663C" w:rsidRDefault="00637F56" w14:paraId="3967E47E" w14:textId="0070DF88">
            <w:pPr>
              <w:keepNext/>
              <w:keepLines/>
              <w:tabs>
                <w:tab w:val="left" w:pos="6030"/>
              </w:tabs>
              <w:spacing w:line="276" w:lineRule="auto"/>
              <w:jc w:val="right"/>
              <w:rPr>
                <w:sz w:val="20"/>
                <w:szCs w:val="20"/>
              </w:rPr>
            </w:pPr>
            <w:r>
              <w:rPr>
                <w:sz w:val="20"/>
                <w:szCs w:val="20"/>
              </w:rPr>
              <w:t>0</w:t>
            </w:r>
          </w:p>
        </w:tc>
        <w:tc>
          <w:tcPr>
            <w:tcW w:w="1094" w:type="dxa"/>
          </w:tcPr>
          <w:p w:rsidRPr="00BB7053" w:rsidR="00C1361E" w:rsidP="0068663C" w:rsidRDefault="00672F58" w14:paraId="61B59083" w14:textId="24B49195">
            <w:pPr>
              <w:keepNext/>
              <w:keepLines/>
              <w:tabs>
                <w:tab w:val="left" w:pos="6030"/>
              </w:tabs>
              <w:spacing w:line="276" w:lineRule="auto"/>
              <w:jc w:val="right"/>
              <w:rPr>
                <w:sz w:val="20"/>
                <w:szCs w:val="20"/>
              </w:rPr>
            </w:pPr>
            <w:r>
              <w:rPr>
                <w:sz w:val="20"/>
                <w:szCs w:val="20"/>
              </w:rPr>
              <w:t>12,917</w:t>
            </w:r>
          </w:p>
        </w:tc>
        <w:tc>
          <w:tcPr>
            <w:tcW w:w="1350" w:type="dxa"/>
          </w:tcPr>
          <w:p w:rsidRPr="00BB7053" w:rsidR="00C1361E" w:rsidP="0068663C" w:rsidRDefault="00672F58" w14:paraId="0D75CA29" w14:textId="3E41CAB5">
            <w:pPr>
              <w:keepNext/>
              <w:keepLines/>
              <w:tabs>
                <w:tab w:val="left" w:pos="6030"/>
              </w:tabs>
              <w:spacing w:line="276" w:lineRule="auto"/>
              <w:jc w:val="right"/>
              <w:rPr>
                <w:sz w:val="20"/>
                <w:szCs w:val="20"/>
              </w:rPr>
            </w:pPr>
            <w:r>
              <w:rPr>
                <w:sz w:val="20"/>
                <w:szCs w:val="20"/>
              </w:rPr>
              <w:t>0.25</w:t>
            </w:r>
          </w:p>
        </w:tc>
        <w:tc>
          <w:tcPr>
            <w:tcW w:w="1350" w:type="dxa"/>
          </w:tcPr>
          <w:p w:rsidRPr="00BB7053" w:rsidR="00C1361E" w:rsidP="0068663C" w:rsidRDefault="007E7AB8" w14:paraId="7AD92ED4" w14:textId="7D0A69D3">
            <w:pPr>
              <w:keepNext/>
              <w:keepLines/>
              <w:tabs>
                <w:tab w:val="left" w:pos="6030"/>
              </w:tabs>
              <w:spacing w:line="276" w:lineRule="auto"/>
              <w:jc w:val="right"/>
              <w:rPr>
                <w:sz w:val="20"/>
                <w:szCs w:val="20"/>
              </w:rPr>
            </w:pPr>
            <w:r>
              <w:rPr>
                <w:sz w:val="20"/>
                <w:szCs w:val="20"/>
              </w:rPr>
              <w:t>3,229</w:t>
            </w:r>
          </w:p>
        </w:tc>
        <w:tc>
          <w:tcPr>
            <w:tcW w:w="1170" w:type="dxa"/>
          </w:tcPr>
          <w:p w:rsidRPr="00BB7053" w:rsidR="00C1361E" w:rsidP="0068663C" w:rsidRDefault="007E7AB8" w14:paraId="78E67419" w14:textId="138ACF52">
            <w:pPr>
              <w:keepNext/>
              <w:keepLines/>
              <w:tabs>
                <w:tab w:val="left" w:pos="6030"/>
              </w:tabs>
              <w:spacing w:line="276" w:lineRule="auto"/>
              <w:jc w:val="right"/>
              <w:rPr>
                <w:sz w:val="20"/>
                <w:szCs w:val="20"/>
              </w:rPr>
            </w:pPr>
            <w:r>
              <w:rPr>
                <w:sz w:val="20"/>
                <w:szCs w:val="20"/>
              </w:rPr>
              <w:t>98.28</w:t>
            </w:r>
          </w:p>
        </w:tc>
        <w:tc>
          <w:tcPr>
            <w:tcW w:w="1890" w:type="dxa"/>
          </w:tcPr>
          <w:p w:rsidRPr="00BB7053" w:rsidR="00C1361E" w:rsidP="0068663C" w:rsidRDefault="007E7AB8" w14:paraId="3C00D14D" w14:textId="4F404671">
            <w:pPr>
              <w:keepNext/>
              <w:keepLines/>
              <w:tabs>
                <w:tab w:val="left" w:pos="6030"/>
              </w:tabs>
              <w:spacing w:line="276" w:lineRule="auto"/>
              <w:jc w:val="right"/>
              <w:rPr>
                <w:sz w:val="20"/>
                <w:szCs w:val="20"/>
              </w:rPr>
            </w:pPr>
            <w:r>
              <w:rPr>
                <w:sz w:val="20"/>
                <w:szCs w:val="20"/>
              </w:rPr>
              <w:t>317,346</w:t>
            </w:r>
          </w:p>
        </w:tc>
      </w:tr>
      <w:tr w:rsidR="00EF2DE6" w:rsidTr="0013664B" w14:paraId="56CF29C7" w14:textId="77777777">
        <w:tc>
          <w:tcPr>
            <w:tcW w:w="1238" w:type="dxa"/>
          </w:tcPr>
          <w:p w:rsidRPr="00BB7053" w:rsidR="00C1361E" w:rsidP="00192E2E" w:rsidRDefault="00E2094C" w14:paraId="38CA804D" w14:textId="2E963978">
            <w:pPr>
              <w:keepNext/>
              <w:keepLines/>
              <w:tabs>
                <w:tab w:val="left" w:pos="6030"/>
              </w:tabs>
              <w:spacing w:line="276" w:lineRule="auto"/>
              <w:rPr>
                <w:sz w:val="20"/>
                <w:szCs w:val="20"/>
              </w:rPr>
            </w:pPr>
            <w:r>
              <w:rPr>
                <w:sz w:val="20"/>
                <w:szCs w:val="20"/>
              </w:rPr>
              <w:t xml:space="preserve">Proposed </w:t>
            </w:r>
            <w:r w:rsidR="00F424A2">
              <w:rPr>
                <w:sz w:val="20"/>
                <w:szCs w:val="20"/>
              </w:rPr>
              <w:br/>
            </w:r>
            <w:r w:rsidRPr="00A67FD9" w:rsidR="00A67FD9">
              <w:rPr>
                <w:sz w:val="20"/>
                <w:szCs w:val="20"/>
              </w:rPr>
              <w:t>(See Table 1</w:t>
            </w:r>
            <w:r w:rsidR="006219F7">
              <w:rPr>
                <w:sz w:val="20"/>
                <w:szCs w:val="20"/>
              </w:rPr>
              <w:t>2</w:t>
            </w:r>
            <w:r w:rsidRPr="00A67FD9" w:rsidR="00A67FD9">
              <w:rPr>
                <w:sz w:val="20"/>
                <w:szCs w:val="20"/>
              </w:rPr>
              <w:t>)</w:t>
            </w:r>
          </w:p>
        </w:tc>
        <w:tc>
          <w:tcPr>
            <w:tcW w:w="1306" w:type="dxa"/>
          </w:tcPr>
          <w:p w:rsidRPr="00BB7053" w:rsidR="00C1361E" w:rsidP="0068663C" w:rsidRDefault="00A10AEF" w14:paraId="4BA8ED41" w14:textId="0B21DF92">
            <w:pPr>
              <w:keepNext/>
              <w:keepLines/>
              <w:tabs>
                <w:tab w:val="left" w:pos="6030"/>
              </w:tabs>
              <w:spacing w:line="276" w:lineRule="auto"/>
              <w:jc w:val="right"/>
              <w:rPr>
                <w:sz w:val="20"/>
                <w:szCs w:val="20"/>
              </w:rPr>
            </w:pPr>
            <w:r>
              <w:rPr>
                <w:sz w:val="20"/>
                <w:szCs w:val="20"/>
              </w:rPr>
              <w:t>1</w:t>
            </w:r>
            <w:r w:rsidR="009E5347">
              <w:rPr>
                <w:sz w:val="20"/>
                <w:szCs w:val="20"/>
              </w:rPr>
              <w:t>6,432</w:t>
            </w:r>
          </w:p>
        </w:tc>
        <w:tc>
          <w:tcPr>
            <w:tcW w:w="1127" w:type="dxa"/>
          </w:tcPr>
          <w:p w:rsidRPr="00BB7053" w:rsidR="00C1361E" w:rsidP="0068663C" w:rsidRDefault="00A10AEF" w14:paraId="2AA2A3F1" w14:textId="2EA753F8">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A10AEF" w14:paraId="3C781969" w14:textId="388778C4">
            <w:pPr>
              <w:keepNext/>
              <w:keepLines/>
              <w:tabs>
                <w:tab w:val="left" w:pos="6030"/>
              </w:tabs>
              <w:spacing w:line="276" w:lineRule="auto"/>
              <w:jc w:val="right"/>
              <w:rPr>
                <w:sz w:val="20"/>
                <w:szCs w:val="20"/>
              </w:rPr>
            </w:pPr>
            <w:r>
              <w:rPr>
                <w:sz w:val="20"/>
                <w:szCs w:val="20"/>
              </w:rPr>
              <w:t>1</w:t>
            </w:r>
            <w:r w:rsidR="00672F58">
              <w:rPr>
                <w:sz w:val="20"/>
                <w:szCs w:val="20"/>
              </w:rPr>
              <w:t>6,432</w:t>
            </w:r>
          </w:p>
        </w:tc>
        <w:tc>
          <w:tcPr>
            <w:tcW w:w="1350" w:type="dxa"/>
          </w:tcPr>
          <w:p w:rsidRPr="00BB7053" w:rsidR="00C1361E" w:rsidP="0068663C" w:rsidRDefault="00672F58" w14:paraId="6673A836" w14:textId="4030BB03">
            <w:pPr>
              <w:keepNext/>
              <w:keepLines/>
              <w:tabs>
                <w:tab w:val="left" w:pos="6030"/>
              </w:tabs>
              <w:spacing w:line="276" w:lineRule="auto"/>
              <w:jc w:val="right"/>
              <w:rPr>
                <w:sz w:val="20"/>
                <w:szCs w:val="20"/>
              </w:rPr>
            </w:pPr>
            <w:r>
              <w:rPr>
                <w:sz w:val="20"/>
                <w:szCs w:val="20"/>
              </w:rPr>
              <w:t>0.25</w:t>
            </w:r>
          </w:p>
        </w:tc>
        <w:tc>
          <w:tcPr>
            <w:tcW w:w="1350" w:type="dxa"/>
          </w:tcPr>
          <w:p w:rsidRPr="00BB7053" w:rsidR="00C1361E" w:rsidP="0068663C" w:rsidRDefault="007E7AB8" w14:paraId="7E08FC00" w14:textId="28834AB1">
            <w:pPr>
              <w:keepNext/>
              <w:keepLines/>
              <w:tabs>
                <w:tab w:val="left" w:pos="6030"/>
              </w:tabs>
              <w:spacing w:line="276" w:lineRule="auto"/>
              <w:jc w:val="right"/>
              <w:rPr>
                <w:sz w:val="20"/>
                <w:szCs w:val="20"/>
              </w:rPr>
            </w:pPr>
            <w:r>
              <w:rPr>
                <w:sz w:val="20"/>
                <w:szCs w:val="20"/>
              </w:rPr>
              <w:t>4,108</w:t>
            </w:r>
          </w:p>
        </w:tc>
        <w:tc>
          <w:tcPr>
            <w:tcW w:w="1170" w:type="dxa"/>
          </w:tcPr>
          <w:p w:rsidRPr="00BB7053" w:rsidR="00C1361E" w:rsidP="0068663C" w:rsidRDefault="00A10AEF" w14:paraId="39B88AC8" w14:textId="40DECD34">
            <w:pPr>
              <w:keepNext/>
              <w:keepLines/>
              <w:tabs>
                <w:tab w:val="left" w:pos="6030"/>
              </w:tabs>
              <w:spacing w:line="276" w:lineRule="auto"/>
              <w:jc w:val="right"/>
              <w:rPr>
                <w:sz w:val="20"/>
                <w:szCs w:val="20"/>
              </w:rPr>
            </w:pPr>
            <w:r>
              <w:rPr>
                <w:sz w:val="20"/>
                <w:szCs w:val="20"/>
              </w:rPr>
              <w:t>9</w:t>
            </w:r>
            <w:r w:rsidR="007E7AB8">
              <w:rPr>
                <w:sz w:val="20"/>
                <w:szCs w:val="20"/>
              </w:rPr>
              <w:t>8</w:t>
            </w:r>
            <w:r w:rsidR="006311C1">
              <w:rPr>
                <w:sz w:val="20"/>
                <w:szCs w:val="20"/>
              </w:rPr>
              <w:t>.2</w:t>
            </w:r>
            <w:r w:rsidR="007E7AB8">
              <w:rPr>
                <w:sz w:val="20"/>
                <w:szCs w:val="20"/>
              </w:rPr>
              <w:t>8</w:t>
            </w:r>
          </w:p>
        </w:tc>
        <w:tc>
          <w:tcPr>
            <w:tcW w:w="1890" w:type="dxa"/>
          </w:tcPr>
          <w:p w:rsidRPr="00BB7053" w:rsidR="00C1361E" w:rsidP="0068663C" w:rsidRDefault="007E7AB8" w14:paraId="77B0DB04" w14:textId="5F1AB9B1">
            <w:pPr>
              <w:keepNext/>
              <w:keepLines/>
              <w:tabs>
                <w:tab w:val="left" w:pos="6030"/>
              </w:tabs>
              <w:spacing w:line="276" w:lineRule="auto"/>
              <w:jc w:val="right"/>
              <w:rPr>
                <w:sz w:val="20"/>
                <w:szCs w:val="20"/>
              </w:rPr>
            </w:pPr>
            <w:r>
              <w:rPr>
                <w:sz w:val="20"/>
                <w:szCs w:val="20"/>
              </w:rPr>
              <w:t>403,734</w:t>
            </w:r>
          </w:p>
        </w:tc>
      </w:tr>
      <w:tr w:rsidR="00EF2DE6" w:rsidTr="0013664B" w14:paraId="68FD0602" w14:textId="77777777">
        <w:tc>
          <w:tcPr>
            <w:tcW w:w="1238" w:type="dxa"/>
            <w:shd w:val="clear" w:color="auto" w:fill="D9D9D9" w:themeFill="background1" w:themeFillShade="D9"/>
          </w:tcPr>
          <w:p w:rsidRPr="00BB7053" w:rsidR="00C1361E" w:rsidP="0068663C" w:rsidRDefault="00C1361E" w14:paraId="6482A4E9" w14:textId="1848DA13">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Pr="00BB7053" w:rsidR="00C1361E" w:rsidP="0068663C" w:rsidRDefault="00A10AEF" w14:paraId="02FD74E3" w14:textId="1F52B4E9">
            <w:pPr>
              <w:keepNext/>
              <w:keepLines/>
              <w:tabs>
                <w:tab w:val="left" w:pos="6030"/>
              </w:tabs>
              <w:spacing w:line="276" w:lineRule="auto"/>
              <w:jc w:val="right"/>
              <w:rPr>
                <w:sz w:val="20"/>
                <w:szCs w:val="20"/>
              </w:rPr>
            </w:pPr>
            <w:r>
              <w:rPr>
                <w:sz w:val="20"/>
                <w:szCs w:val="20"/>
              </w:rPr>
              <w:t>+</w:t>
            </w:r>
            <w:r w:rsidR="00672F58">
              <w:rPr>
                <w:sz w:val="20"/>
                <w:szCs w:val="20"/>
              </w:rPr>
              <w:t>3,515</w:t>
            </w:r>
          </w:p>
        </w:tc>
        <w:tc>
          <w:tcPr>
            <w:tcW w:w="1127" w:type="dxa"/>
            <w:shd w:val="clear" w:color="auto" w:fill="D9D9D9" w:themeFill="background1" w:themeFillShade="D9"/>
          </w:tcPr>
          <w:p w:rsidRPr="00BB7053" w:rsidR="00C1361E" w:rsidP="0068663C" w:rsidRDefault="00E6476C" w14:paraId="5079CDB4" w14:textId="015FA76A">
            <w:pPr>
              <w:keepNext/>
              <w:keepLines/>
              <w:tabs>
                <w:tab w:val="left" w:pos="6030"/>
              </w:tabs>
              <w:spacing w:line="276" w:lineRule="auto"/>
              <w:jc w:val="right"/>
              <w:rPr>
                <w:sz w:val="20"/>
                <w:szCs w:val="20"/>
              </w:rPr>
            </w:pPr>
            <w:r>
              <w:rPr>
                <w:sz w:val="20"/>
                <w:szCs w:val="20"/>
              </w:rPr>
              <w:t>1</w:t>
            </w:r>
          </w:p>
        </w:tc>
        <w:tc>
          <w:tcPr>
            <w:tcW w:w="1094" w:type="dxa"/>
            <w:shd w:val="clear" w:color="auto" w:fill="D9D9D9" w:themeFill="background1" w:themeFillShade="D9"/>
          </w:tcPr>
          <w:p w:rsidRPr="00BB7053" w:rsidR="00C1361E" w:rsidP="0068663C" w:rsidRDefault="00A10AEF" w14:paraId="6BD556CB" w14:textId="42F320EA">
            <w:pPr>
              <w:keepNext/>
              <w:keepLines/>
              <w:tabs>
                <w:tab w:val="left" w:pos="6030"/>
              </w:tabs>
              <w:spacing w:line="276" w:lineRule="auto"/>
              <w:jc w:val="right"/>
              <w:rPr>
                <w:sz w:val="20"/>
                <w:szCs w:val="20"/>
              </w:rPr>
            </w:pPr>
            <w:r>
              <w:rPr>
                <w:sz w:val="20"/>
                <w:szCs w:val="20"/>
              </w:rPr>
              <w:t>+</w:t>
            </w:r>
            <w:r w:rsidR="00672F58">
              <w:rPr>
                <w:sz w:val="20"/>
                <w:szCs w:val="20"/>
              </w:rPr>
              <w:t>3,515</w:t>
            </w:r>
          </w:p>
        </w:tc>
        <w:tc>
          <w:tcPr>
            <w:tcW w:w="1350" w:type="dxa"/>
            <w:shd w:val="clear" w:color="auto" w:fill="D9D9D9" w:themeFill="background1" w:themeFillShade="D9"/>
          </w:tcPr>
          <w:p w:rsidRPr="00BB7053" w:rsidR="00C1361E" w:rsidP="0068663C" w:rsidRDefault="00672F58" w14:paraId="726FA9DF" w14:textId="04429BC9">
            <w:pPr>
              <w:keepNext/>
              <w:keepLines/>
              <w:tabs>
                <w:tab w:val="left" w:pos="6030"/>
              </w:tabs>
              <w:spacing w:line="276" w:lineRule="auto"/>
              <w:jc w:val="right"/>
              <w:rPr>
                <w:sz w:val="20"/>
                <w:szCs w:val="20"/>
              </w:rPr>
            </w:pPr>
            <w:r>
              <w:rPr>
                <w:sz w:val="20"/>
                <w:szCs w:val="20"/>
              </w:rPr>
              <w:t>No change</w:t>
            </w:r>
          </w:p>
        </w:tc>
        <w:tc>
          <w:tcPr>
            <w:tcW w:w="1350" w:type="dxa"/>
            <w:shd w:val="clear" w:color="auto" w:fill="D9D9D9" w:themeFill="background1" w:themeFillShade="D9"/>
          </w:tcPr>
          <w:p w:rsidRPr="00BB7053" w:rsidR="00C1361E" w:rsidP="0068663C" w:rsidRDefault="00F52046" w14:paraId="40D4C13B" w14:textId="1DA1D4F9">
            <w:pPr>
              <w:keepNext/>
              <w:keepLines/>
              <w:tabs>
                <w:tab w:val="left" w:pos="6030"/>
              </w:tabs>
              <w:spacing w:line="276" w:lineRule="auto"/>
              <w:jc w:val="right"/>
              <w:rPr>
                <w:sz w:val="20"/>
                <w:szCs w:val="20"/>
              </w:rPr>
            </w:pPr>
            <w:r>
              <w:rPr>
                <w:sz w:val="20"/>
                <w:szCs w:val="20"/>
              </w:rPr>
              <w:t>+</w:t>
            </w:r>
            <w:r w:rsidR="006C2447">
              <w:rPr>
                <w:sz w:val="20"/>
                <w:szCs w:val="20"/>
              </w:rPr>
              <w:t>879</w:t>
            </w:r>
          </w:p>
        </w:tc>
        <w:tc>
          <w:tcPr>
            <w:tcW w:w="1170" w:type="dxa"/>
            <w:shd w:val="clear" w:color="auto" w:fill="D9D9D9" w:themeFill="background1" w:themeFillShade="D9"/>
          </w:tcPr>
          <w:p w:rsidRPr="00BB7053" w:rsidR="00C1361E" w:rsidP="0068663C" w:rsidRDefault="000B4C31" w14:paraId="3D05B998" w14:textId="7DA6418A">
            <w:pPr>
              <w:keepNext/>
              <w:keepLines/>
              <w:tabs>
                <w:tab w:val="left" w:pos="6030"/>
              </w:tabs>
              <w:spacing w:line="276" w:lineRule="auto"/>
              <w:jc w:val="right"/>
              <w:rPr>
                <w:sz w:val="20"/>
                <w:szCs w:val="20"/>
              </w:rPr>
            </w:pPr>
            <w:r>
              <w:rPr>
                <w:sz w:val="20"/>
                <w:szCs w:val="20"/>
              </w:rPr>
              <w:t>9</w:t>
            </w:r>
            <w:r w:rsidR="007E7AB8">
              <w:rPr>
                <w:sz w:val="20"/>
                <w:szCs w:val="20"/>
              </w:rPr>
              <w:t>8</w:t>
            </w:r>
            <w:r>
              <w:rPr>
                <w:sz w:val="20"/>
                <w:szCs w:val="20"/>
              </w:rPr>
              <w:t>.2</w:t>
            </w:r>
            <w:r w:rsidR="007E7AB8">
              <w:rPr>
                <w:sz w:val="20"/>
                <w:szCs w:val="20"/>
              </w:rPr>
              <w:t>8</w:t>
            </w:r>
          </w:p>
        </w:tc>
        <w:tc>
          <w:tcPr>
            <w:tcW w:w="1890" w:type="dxa"/>
            <w:shd w:val="clear" w:color="auto" w:fill="D9D9D9" w:themeFill="background1" w:themeFillShade="D9"/>
          </w:tcPr>
          <w:p w:rsidRPr="00BB7053" w:rsidR="00C1361E" w:rsidP="0068663C" w:rsidRDefault="00F52046" w14:paraId="1FADC8CC" w14:textId="5A231A66">
            <w:pPr>
              <w:keepNext/>
              <w:keepLines/>
              <w:tabs>
                <w:tab w:val="left" w:pos="6030"/>
              </w:tabs>
              <w:spacing w:line="276" w:lineRule="auto"/>
              <w:jc w:val="right"/>
              <w:rPr>
                <w:sz w:val="20"/>
                <w:szCs w:val="20"/>
              </w:rPr>
            </w:pPr>
            <w:r>
              <w:rPr>
                <w:sz w:val="20"/>
                <w:szCs w:val="20"/>
              </w:rPr>
              <w:t>+</w:t>
            </w:r>
            <w:r w:rsidR="007E7AB8">
              <w:rPr>
                <w:sz w:val="20"/>
                <w:szCs w:val="20"/>
              </w:rPr>
              <w:t>86,388</w:t>
            </w:r>
          </w:p>
        </w:tc>
      </w:tr>
    </w:tbl>
    <w:p w:rsidR="00C1361E" w:rsidP="00885183" w:rsidRDefault="00C1361E" w14:paraId="1A678A06" w14:textId="0884B226">
      <w:pPr>
        <w:jc w:val="center"/>
        <w:rPr>
          <w:rFonts w:eastAsia="Calibri"/>
          <w:b/>
          <w:bCs/>
        </w:rPr>
      </w:pPr>
    </w:p>
    <w:p w:rsidR="00C1361E" w:rsidP="00C1361E" w:rsidRDefault="00C1361E" w14:paraId="1FDA004A" w14:textId="6F97D941">
      <w:pPr>
        <w:keepNext/>
        <w:keepLines/>
        <w:jc w:val="center"/>
        <w:rPr>
          <w:b/>
          <w:bCs/>
        </w:rPr>
      </w:pPr>
      <w:r w:rsidRPr="00B30713">
        <w:rPr>
          <w:rFonts w:eastAsia="Calibri"/>
          <w:b/>
          <w:bCs/>
        </w:rPr>
        <w:lastRenderedPageBreak/>
        <w:t xml:space="preserve">TABLE </w:t>
      </w:r>
      <w:r>
        <w:rPr>
          <w:rFonts w:eastAsia="Calibri"/>
          <w:b/>
          <w:bCs/>
        </w:rPr>
        <w:t>3</w:t>
      </w:r>
      <w:r w:rsidR="003D7D7F">
        <w:rPr>
          <w:rFonts w:eastAsia="Calibri"/>
          <w:b/>
          <w:bCs/>
        </w:rPr>
        <w:t>0J</w:t>
      </w:r>
      <w:r w:rsidRPr="00B30713">
        <w:rPr>
          <w:rFonts w:eastAsia="Calibri"/>
          <w:b/>
          <w:bCs/>
        </w:rPr>
        <w:t xml:space="preserve">: Burden Reconciliation for </w:t>
      </w:r>
      <w:r w:rsidR="003D7D7F">
        <w:rPr>
          <w:rFonts w:eastAsia="Calibri"/>
          <w:b/>
          <w:bCs/>
        </w:rPr>
        <w:t>Subg</w:t>
      </w:r>
      <w:r>
        <w:rPr>
          <w:rFonts w:eastAsia="Calibri"/>
          <w:b/>
          <w:bCs/>
        </w:rPr>
        <w:t xml:space="preserve">roup Registration </w:t>
      </w:r>
    </w:p>
    <w:tbl>
      <w:tblPr>
        <w:tblStyle w:val="TableGrid"/>
        <w:tblW w:w="9445" w:type="dxa"/>
        <w:tblLook w:val="04A0" w:firstRow="1" w:lastRow="0" w:firstColumn="1" w:lastColumn="0" w:noHBand="0" w:noVBand="1"/>
      </w:tblPr>
      <w:tblGrid>
        <w:gridCol w:w="1555"/>
        <w:gridCol w:w="1306"/>
        <w:gridCol w:w="1145"/>
        <w:gridCol w:w="1094"/>
        <w:gridCol w:w="1044"/>
        <w:gridCol w:w="949"/>
        <w:gridCol w:w="1233"/>
        <w:gridCol w:w="1119"/>
      </w:tblGrid>
      <w:tr w:rsidR="00C1361E" w:rsidTr="006042C9" w14:paraId="7AA9FF04" w14:textId="77777777">
        <w:trPr>
          <w:tblHeader/>
        </w:trPr>
        <w:tc>
          <w:tcPr>
            <w:tcW w:w="1555" w:type="dxa"/>
          </w:tcPr>
          <w:p w:rsidRPr="00FB02B1" w:rsidR="00C1361E" w:rsidP="0068663C" w:rsidRDefault="00C1361E" w14:paraId="0949DD2B"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C1361E" w:rsidP="0068663C" w:rsidRDefault="00C1361E" w14:paraId="71B67CA1"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45" w:type="dxa"/>
          </w:tcPr>
          <w:p w:rsidRPr="00FB02B1" w:rsidR="00C1361E" w:rsidP="0068663C" w:rsidRDefault="00C1361E" w14:paraId="00D82DAB"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C1361E" w:rsidP="0068663C" w:rsidRDefault="00C1361E" w14:paraId="005CB24C"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44" w:type="dxa"/>
          </w:tcPr>
          <w:p w:rsidRPr="00FB02B1" w:rsidR="00C1361E" w:rsidP="0068663C" w:rsidRDefault="00C1361E" w14:paraId="7F30B16C" w14:textId="77777777">
            <w:pPr>
              <w:keepNext/>
              <w:keepLines/>
              <w:tabs>
                <w:tab w:val="left" w:pos="6030"/>
              </w:tabs>
              <w:spacing w:line="276" w:lineRule="auto"/>
              <w:rPr>
                <w:b/>
                <w:bCs/>
                <w:sz w:val="20"/>
                <w:szCs w:val="20"/>
              </w:rPr>
            </w:pPr>
            <w:r w:rsidRPr="00FB02B1">
              <w:rPr>
                <w:b/>
                <w:bCs/>
                <w:sz w:val="20"/>
                <w:szCs w:val="20"/>
              </w:rPr>
              <w:t>Time Per Response (</w:t>
            </w:r>
            <w:proofErr w:type="spellStart"/>
            <w:r w:rsidRPr="00FB02B1">
              <w:rPr>
                <w:b/>
                <w:bCs/>
                <w:sz w:val="20"/>
                <w:szCs w:val="20"/>
              </w:rPr>
              <w:t>hr</w:t>
            </w:r>
            <w:proofErr w:type="spellEnd"/>
            <w:r w:rsidRPr="00FB02B1">
              <w:rPr>
                <w:b/>
                <w:bCs/>
                <w:sz w:val="20"/>
                <w:szCs w:val="20"/>
              </w:rPr>
              <w:t>)</w:t>
            </w:r>
          </w:p>
        </w:tc>
        <w:tc>
          <w:tcPr>
            <w:tcW w:w="949" w:type="dxa"/>
          </w:tcPr>
          <w:p w:rsidRPr="00FB02B1" w:rsidR="00C1361E" w:rsidP="0068663C" w:rsidRDefault="00C1361E" w14:paraId="0A138132" w14:textId="77777777">
            <w:pPr>
              <w:keepNext/>
              <w:keepLines/>
              <w:tabs>
                <w:tab w:val="left" w:pos="6030"/>
              </w:tabs>
              <w:spacing w:line="276" w:lineRule="auto"/>
              <w:jc w:val="both"/>
              <w:rPr>
                <w:b/>
                <w:bCs/>
                <w:sz w:val="20"/>
                <w:szCs w:val="20"/>
              </w:rPr>
            </w:pPr>
            <w:r w:rsidRPr="00FB02B1">
              <w:rPr>
                <w:b/>
                <w:bCs/>
                <w:sz w:val="20"/>
                <w:szCs w:val="20"/>
              </w:rPr>
              <w:t>Total Annual Time (</w:t>
            </w:r>
            <w:proofErr w:type="spellStart"/>
            <w:r w:rsidRPr="00FB02B1">
              <w:rPr>
                <w:b/>
                <w:bCs/>
                <w:sz w:val="20"/>
                <w:szCs w:val="20"/>
              </w:rPr>
              <w:t>hr</w:t>
            </w:r>
            <w:proofErr w:type="spellEnd"/>
            <w:r w:rsidRPr="00FB02B1">
              <w:rPr>
                <w:b/>
                <w:bCs/>
                <w:sz w:val="20"/>
                <w:szCs w:val="20"/>
              </w:rPr>
              <w:t>)</w:t>
            </w:r>
          </w:p>
        </w:tc>
        <w:tc>
          <w:tcPr>
            <w:tcW w:w="1233" w:type="dxa"/>
          </w:tcPr>
          <w:p w:rsidRPr="00FB02B1" w:rsidR="00C1361E" w:rsidP="0068663C" w:rsidRDefault="00C1361E" w14:paraId="29501A08" w14:textId="77777777">
            <w:pPr>
              <w:keepNext/>
              <w:keepLines/>
              <w:tabs>
                <w:tab w:val="left" w:pos="6030"/>
              </w:tabs>
              <w:spacing w:line="276" w:lineRule="auto"/>
              <w:jc w:val="both"/>
              <w:rPr>
                <w:b/>
                <w:bCs/>
                <w:sz w:val="20"/>
                <w:szCs w:val="20"/>
              </w:rPr>
            </w:pPr>
            <w:r w:rsidRPr="00FB02B1">
              <w:rPr>
                <w:b/>
                <w:bCs/>
                <w:sz w:val="20"/>
                <w:szCs w:val="20"/>
              </w:rPr>
              <w:t>Labor Cost ($/</w:t>
            </w:r>
            <w:proofErr w:type="spellStart"/>
            <w:r w:rsidRPr="00FB02B1">
              <w:rPr>
                <w:b/>
                <w:bCs/>
                <w:sz w:val="20"/>
                <w:szCs w:val="20"/>
              </w:rPr>
              <w:t>hr</w:t>
            </w:r>
            <w:proofErr w:type="spellEnd"/>
            <w:r w:rsidRPr="00FB02B1">
              <w:rPr>
                <w:b/>
                <w:bCs/>
                <w:sz w:val="20"/>
                <w:szCs w:val="20"/>
              </w:rPr>
              <w:t>)</w:t>
            </w:r>
          </w:p>
        </w:tc>
        <w:tc>
          <w:tcPr>
            <w:tcW w:w="1119" w:type="dxa"/>
          </w:tcPr>
          <w:p w:rsidRPr="00FB02B1" w:rsidR="00C1361E" w:rsidP="0068663C" w:rsidRDefault="00C1361E" w14:paraId="01036799" w14:textId="77777777">
            <w:pPr>
              <w:keepNext/>
              <w:keepLines/>
              <w:tabs>
                <w:tab w:val="left" w:pos="6030"/>
              </w:tabs>
              <w:spacing w:line="276" w:lineRule="auto"/>
              <w:rPr>
                <w:b/>
                <w:bCs/>
                <w:sz w:val="20"/>
                <w:szCs w:val="20"/>
              </w:rPr>
            </w:pPr>
            <w:r w:rsidRPr="00FB02B1">
              <w:rPr>
                <w:b/>
                <w:bCs/>
                <w:sz w:val="20"/>
                <w:szCs w:val="20"/>
              </w:rPr>
              <w:t>Total Annual Cost ($)</w:t>
            </w:r>
          </w:p>
        </w:tc>
      </w:tr>
      <w:tr w:rsidR="00C1361E" w:rsidTr="006042C9" w14:paraId="432A5302" w14:textId="77777777">
        <w:tc>
          <w:tcPr>
            <w:tcW w:w="1555" w:type="dxa"/>
          </w:tcPr>
          <w:p w:rsidR="008C77CE" w:rsidP="0068663C" w:rsidRDefault="00C1361E" w14:paraId="258BC624" w14:textId="77777777">
            <w:pPr>
              <w:keepNext/>
              <w:keepLines/>
              <w:tabs>
                <w:tab w:val="left" w:pos="6030"/>
              </w:tabs>
              <w:spacing w:line="276" w:lineRule="auto"/>
              <w:jc w:val="both"/>
              <w:rPr>
                <w:sz w:val="20"/>
                <w:szCs w:val="20"/>
              </w:rPr>
            </w:pPr>
            <w:r>
              <w:rPr>
                <w:sz w:val="20"/>
                <w:szCs w:val="20"/>
              </w:rPr>
              <w:t>Currently Approved</w:t>
            </w:r>
            <w:r w:rsidR="008C77CE">
              <w:rPr>
                <w:sz w:val="20"/>
                <w:szCs w:val="20"/>
              </w:rPr>
              <w:t xml:space="preserve"> </w:t>
            </w:r>
          </w:p>
          <w:p w:rsidRPr="00BB7053" w:rsidR="00C1361E" w:rsidP="0068663C" w:rsidRDefault="00C1361E" w14:paraId="66A9439F" w14:textId="7C971C7C">
            <w:pPr>
              <w:keepNext/>
              <w:keepLines/>
              <w:tabs>
                <w:tab w:val="left" w:pos="6030"/>
              </w:tabs>
              <w:spacing w:line="276" w:lineRule="auto"/>
              <w:jc w:val="both"/>
              <w:rPr>
                <w:sz w:val="20"/>
                <w:szCs w:val="20"/>
              </w:rPr>
            </w:pPr>
          </w:p>
        </w:tc>
        <w:tc>
          <w:tcPr>
            <w:tcW w:w="1306" w:type="dxa"/>
          </w:tcPr>
          <w:p w:rsidRPr="00BB7053" w:rsidR="00C1361E" w:rsidP="0068663C" w:rsidRDefault="00467C50" w14:paraId="06942A38" w14:textId="4C2CC6DE">
            <w:pPr>
              <w:keepNext/>
              <w:keepLines/>
              <w:tabs>
                <w:tab w:val="left" w:pos="6030"/>
              </w:tabs>
              <w:spacing w:line="276" w:lineRule="auto"/>
              <w:jc w:val="right"/>
              <w:rPr>
                <w:sz w:val="20"/>
                <w:szCs w:val="20"/>
              </w:rPr>
            </w:pPr>
            <w:r>
              <w:rPr>
                <w:sz w:val="20"/>
                <w:szCs w:val="20"/>
              </w:rPr>
              <w:t>20</w:t>
            </w:r>
          </w:p>
        </w:tc>
        <w:tc>
          <w:tcPr>
            <w:tcW w:w="1145" w:type="dxa"/>
          </w:tcPr>
          <w:p w:rsidRPr="00BB7053" w:rsidR="00C1361E" w:rsidP="0068663C" w:rsidRDefault="00467C50" w14:paraId="7D2458B1" w14:textId="6CD61C5F">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467C50" w14:paraId="766B80E6" w14:textId="5350C10C">
            <w:pPr>
              <w:keepNext/>
              <w:keepLines/>
              <w:tabs>
                <w:tab w:val="left" w:pos="6030"/>
              </w:tabs>
              <w:spacing w:line="276" w:lineRule="auto"/>
              <w:jc w:val="right"/>
              <w:rPr>
                <w:sz w:val="20"/>
                <w:szCs w:val="20"/>
              </w:rPr>
            </w:pPr>
            <w:r>
              <w:rPr>
                <w:sz w:val="20"/>
                <w:szCs w:val="20"/>
              </w:rPr>
              <w:t>2</w:t>
            </w:r>
            <w:r w:rsidR="008F037A">
              <w:rPr>
                <w:sz w:val="20"/>
                <w:szCs w:val="20"/>
              </w:rPr>
              <w:t>0</w:t>
            </w:r>
          </w:p>
        </w:tc>
        <w:tc>
          <w:tcPr>
            <w:tcW w:w="1044" w:type="dxa"/>
          </w:tcPr>
          <w:p w:rsidRPr="00BB7053" w:rsidR="00C1361E" w:rsidP="0068663C" w:rsidRDefault="008F037A" w14:paraId="153CE879" w14:textId="04EE3C9C">
            <w:pPr>
              <w:keepNext/>
              <w:keepLines/>
              <w:tabs>
                <w:tab w:val="left" w:pos="6030"/>
              </w:tabs>
              <w:spacing w:line="276" w:lineRule="auto"/>
              <w:jc w:val="right"/>
              <w:rPr>
                <w:sz w:val="20"/>
                <w:szCs w:val="20"/>
              </w:rPr>
            </w:pPr>
            <w:r>
              <w:rPr>
                <w:sz w:val="20"/>
                <w:szCs w:val="20"/>
              </w:rPr>
              <w:t>0</w:t>
            </w:r>
            <w:r w:rsidR="004C0DDF">
              <w:rPr>
                <w:sz w:val="20"/>
                <w:szCs w:val="20"/>
              </w:rPr>
              <w:t>.5</w:t>
            </w:r>
          </w:p>
        </w:tc>
        <w:tc>
          <w:tcPr>
            <w:tcW w:w="949" w:type="dxa"/>
          </w:tcPr>
          <w:p w:rsidRPr="00BB7053" w:rsidR="00C1361E" w:rsidP="0068663C" w:rsidRDefault="004C0DDF" w14:paraId="5CAF399B" w14:textId="42ACDAD8">
            <w:pPr>
              <w:keepNext/>
              <w:keepLines/>
              <w:tabs>
                <w:tab w:val="left" w:pos="6030"/>
              </w:tabs>
              <w:spacing w:line="276" w:lineRule="auto"/>
              <w:jc w:val="right"/>
              <w:rPr>
                <w:sz w:val="20"/>
                <w:szCs w:val="20"/>
              </w:rPr>
            </w:pPr>
            <w:r>
              <w:rPr>
                <w:sz w:val="20"/>
                <w:szCs w:val="20"/>
              </w:rPr>
              <w:t>1</w:t>
            </w:r>
            <w:r w:rsidR="008F037A">
              <w:rPr>
                <w:sz w:val="20"/>
                <w:szCs w:val="20"/>
              </w:rPr>
              <w:t>0</w:t>
            </w:r>
          </w:p>
        </w:tc>
        <w:tc>
          <w:tcPr>
            <w:tcW w:w="1233" w:type="dxa"/>
          </w:tcPr>
          <w:p w:rsidRPr="00BB7053" w:rsidR="00C1361E" w:rsidP="0068663C" w:rsidRDefault="004C0DDF" w14:paraId="4941CC5F" w14:textId="6D0B4DAA">
            <w:pPr>
              <w:keepNext/>
              <w:keepLines/>
              <w:tabs>
                <w:tab w:val="left" w:pos="6030"/>
              </w:tabs>
              <w:spacing w:line="276" w:lineRule="auto"/>
              <w:jc w:val="right"/>
              <w:rPr>
                <w:sz w:val="20"/>
                <w:szCs w:val="20"/>
              </w:rPr>
            </w:pPr>
            <w:r>
              <w:rPr>
                <w:sz w:val="20"/>
                <w:szCs w:val="20"/>
              </w:rPr>
              <w:t>98.28</w:t>
            </w:r>
          </w:p>
        </w:tc>
        <w:tc>
          <w:tcPr>
            <w:tcW w:w="1119" w:type="dxa"/>
          </w:tcPr>
          <w:p w:rsidRPr="00BB7053" w:rsidR="00C1361E" w:rsidP="0068663C" w:rsidRDefault="004C0DDF" w14:paraId="7C4A22EA" w14:textId="65AF54FD">
            <w:pPr>
              <w:keepNext/>
              <w:keepLines/>
              <w:tabs>
                <w:tab w:val="left" w:pos="6030"/>
              </w:tabs>
              <w:spacing w:line="276" w:lineRule="auto"/>
              <w:jc w:val="right"/>
              <w:rPr>
                <w:sz w:val="20"/>
                <w:szCs w:val="20"/>
              </w:rPr>
            </w:pPr>
            <w:r>
              <w:rPr>
                <w:sz w:val="20"/>
                <w:szCs w:val="20"/>
              </w:rPr>
              <w:t>983</w:t>
            </w:r>
          </w:p>
        </w:tc>
      </w:tr>
      <w:tr w:rsidR="00C1361E" w:rsidTr="006042C9" w14:paraId="5188946A" w14:textId="77777777">
        <w:tc>
          <w:tcPr>
            <w:tcW w:w="1555" w:type="dxa"/>
          </w:tcPr>
          <w:p w:rsidR="00BE4779" w:rsidP="00192E2E" w:rsidRDefault="00467C50" w14:paraId="508A4D44" w14:textId="6FBD667F">
            <w:pPr>
              <w:keepNext/>
              <w:keepLines/>
              <w:tabs>
                <w:tab w:val="left" w:pos="6030"/>
              </w:tabs>
              <w:spacing w:line="276" w:lineRule="auto"/>
              <w:rPr>
                <w:sz w:val="20"/>
                <w:szCs w:val="20"/>
              </w:rPr>
            </w:pPr>
            <w:r>
              <w:rPr>
                <w:sz w:val="20"/>
                <w:szCs w:val="20"/>
              </w:rPr>
              <w:t xml:space="preserve">Proposed </w:t>
            </w:r>
          </w:p>
          <w:p w:rsidRPr="00BB7053" w:rsidR="00C1361E" w:rsidP="00192E2E" w:rsidRDefault="00A67FD9" w14:paraId="49BF5210" w14:textId="501208B4">
            <w:pPr>
              <w:keepNext/>
              <w:keepLines/>
              <w:tabs>
                <w:tab w:val="left" w:pos="6030"/>
              </w:tabs>
              <w:spacing w:line="276" w:lineRule="auto"/>
              <w:rPr>
                <w:sz w:val="20"/>
                <w:szCs w:val="20"/>
              </w:rPr>
            </w:pPr>
            <w:r w:rsidRPr="00A67FD9">
              <w:rPr>
                <w:sz w:val="20"/>
                <w:szCs w:val="20"/>
              </w:rPr>
              <w:t>(See Table 1</w:t>
            </w:r>
            <w:r w:rsidR="00467C50">
              <w:rPr>
                <w:sz w:val="20"/>
                <w:szCs w:val="20"/>
              </w:rPr>
              <w:t>3</w:t>
            </w:r>
            <w:r w:rsidRPr="00A67FD9">
              <w:rPr>
                <w:sz w:val="20"/>
                <w:szCs w:val="20"/>
              </w:rPr>
              <w:t>)</w:t>
            </w:r>
          </w:p>
        </w:tc>
        <w:tc>
          <w:tcPr>
            <w:tcW w:w="1306" w:type="dxa"/>
          </w:tcPr>
          <w:p w:rsidRPr="00BB7053" w:rsidR="00C1361E" w:rsidP="0068663C" w:rsidRDefault="00467C50" w14:paraId="4BBBFD96" w14:textId="5EE4B0E3">
            <w:pPr>
              <w:keepNext/>
              <w:keepLines/>
              <w:tabs>
                <w:tab w:val="left" w:pos="6030"/>
              </w:tabs>
              <w:spacing w:line="276" w:lineRule="auto"/>
              <w:jc w:val="right"/>
              <w:rPr>
                <w:sz w:val="20"/>
                <w:szCs w:val="20"/>
              </w:rPr>
            </w:pPr>
            <w:r>
              <w:rPr>
                <w:sz w:val="20"/>
                <w:szCs w:val="20"/>
              </w:rPr>
              <w:t>2</w:t>
            </w:r>
            <w:r w:rsidR="003369BE">
              <w:rPr>
                <w:sz w:val="20"/>
                <w:szCs w:val="20"/>
              </w:rPr>
              <w:t>0</w:t>
            </w:r>
          </w:p>
        </w:tc>
        <w:tc>
          <w:tcPr>
            <w:tcW w:w="1145" w:type="dxa"/>
          </w:tcPr>
          <w:p w:rsidRPr="00BB7053" w:rsidR="00C1361E" w:rsidP="0068663C" w:rsidRDefault="003369BE" w14:paraId="05FC522A" w14:textId="48807C30">
            <w:pPr>
              <w:keepNext/>
              <w:keepLines/>
              <w:tabs>
                <w:tab w:val="left" w:pos="6030"/>
              </w:tabs>
              <w:spacing w:line="276" w:lineRule="auto"/>
              <w:jc w:val="right"/>
              <w:rPr>
                <w:sz w:val="20"/>
                <w:szCs w:val="20"/>
              </w:rPr>
            </w:pPr>
            <w:r>
              <w:rPr>
                <w:sz w:val="20"/>
                <w:szCs w:val="20"/>
              </w:rPr>
              <w:t>1</w:t>
            </w:r>
          </w:p>
        </w:tc>
        <w:tc>
          <w:tcPr>
            <w:tcW w:w="1094" w:type="dxa"/>
          </w:tcPr>
          <w:p w:rsidRPr="00BB7053" w:rsidR="00C1361E" w:rsidP="0068663C" w:rsidRDefault="00467C50" w14:paraId="3BE8D399" w14:textId="0662E9F5">
            <w:pPr>
              <w:keepNext/>
              <w:keepLines/>
              <w:tabs>
                <w:tab w:val="left" w:pos="6030"/>
              </w:tabs>
              <w:spacing w:line="276" w:lineRule="auto"/>
              <w:jc w:val="right"/>
              <w:rPr>
                <w:sz w:val="20"/>
                <w:szCs w:val="20"/>
              </w:rPr>
            </w:pPr>
            <w:r>
              <w:rPr>
                <w:sz w:val="20"/>
                <w:szCs w:val="20"/>
              </w:rPr>
              <w:t>2</w:t>
            </w:r>
            <w:r w:rsidR="003369BE">
              <w:rPr>
                <w:sz w:val="20"/>
                <w:szCs w:val="20"/>
              </w:rPr>
              <w:t>0</w:t>
            </w:r>
          </w:p>
        </w:tc>
        <w:tc>
          <w:tcPr>
            <w:tcW w:w="1044" w:type="dxa"/>
          </w:tcPr>
          <w:p w:rsidRPr="00BB7053" w:rsidR="00C1361E" w:rsidP="0068663C" w:rsidRDefault="003369BE" w14:paraId="6E0A7337" w14:textId="1BB6084A">
            <w:pPr>
              <w:keepNext/>
              <w:keepLines/>
              <w:tabs>
                <w:tab w:val="left" w:pos="6030"/>
              </w:tabs>
              <w:spacing w:line="276" w:lineRule="auto"/>
              <w:jc w:val="right"/>
              <w:rPr>
                <w:sz w:val="20"/>
                <w:szCs w:val="20"/>
              </w:rPr>
            </w:pPr>
            <w:r>
              <w:rPr>
                <w:sz w:val="20"/>
                <w:szCs w:val="20"/>
              </w:rPr>
              <w:t>0.5</w:t>
            </w:r>
          </w:p>
        </w:tc>
        <w:tc>
          <w:tcPr>
            <w:tcW w:w="949" w:type="dxa"/>
          </w:tcPr>
          <w:p w:rsidRPr="00BB7053" w:rsidR="00C1361E" w:rsidP="0068663C" w:rsidRDefault="004C0DDF" w14:paraId="21F2EEA2" w14:textId="1A91CDF2">
            <w:pPr>
              <w:keepNext/>
              <w:keepLines/>
              <w:tabs>
                <w:tab w:val="left" w:pos="6030"/>
              </w:tabs>
              <w:spacing w:line="276" w:lineRule="auto"/>
              <w:jc w:val="right"/>
              <w:rPr>
                <w:sz w:val="20"/>
                <w:szCs w:val="20"/>
              </w:rPr>
            </w:pPr>
            <w:r>
              <w:rPr>
                <w:sz w:val="20"/>
                <w:szCs w:val="20"/>
              </w:rPr>
              <w:t>10</w:t>
            </w:r>
          </w:p>
        </w:tc>
        <w:tc>
          <w:tcPr>
            <w:tcW w:w="1233" w:type="dxa"/>
          </w:tcPr>
          <w:p w:rsidRPr="00BB7053" w:rsidR="00C1361E" w:rsidP="0068663C" w:rsidRDefault="003369BE" w14:paraId="7FB974D2" w14:textId="38C0ABB1">
            <w:pPr>
              <w:keepNext/>
              <w:keepLines/>
              <w:tabs>
                <w:tab w:val="left" w:pos="6030"/>
              </w:tabs>
              <w:spacing w:line="276" w:lineRule="auto"/>
              <w:jc w:val="right"/>
              <w:rPr>
                <w:sz w:val="20"/>
                <w:szCs w:val="20"/>
              </w:rPr>
            </w:pPr>
            <w:r>
              <w:rPr>
                <w:sz w:val="20"/>
                <w:szCs w:val="20"/>
              </w:rPr>
              <w:t>9</w:t>
            </w:r>
            <w:r w:rsidR="004C0DDF">
              <w:rPr>
                <w:sz w:val="20"/>
                <w:szCs w:val="20"/>
              </w:rPr>
              <w:t>8</w:t>
            </w:r>
            <w:r w:rsidR="00FF035B">
              <w:rPr>
                <w:sz w:val="20"/>
                <w:szCs w:val="20"/>
              </w:rPr>
              <w:t>.2</w:t>
            </w:r>
            <w:r w:rsidR="004C0DDF">
              <w:rPr>
                <w:sz w:val="20"/>
                <w:szCs w:val="20"/>
              </w:rPr>
              <w:t>8</w:t>
            </w:r>
          </w:p>
        </w:tc>
        <w:tc>
          <w:tcPr>
            <w:tcW w:w="1119" w:type="dxa"/>
          </w:tcPr>
          <w:p w:rsidRPr="00BB7053" w:rsidR="00C1361E" w:rsidP="0068663C" w:rsidRDefault="004C0DDF" w14:paraId="08C3906E" w14:textId="19458EE1">
            <w:pPr>
              <w:keepNext/>
              <w:keepLines/>
              <w:tabs>
                <w:tab w:val="left" w:pos="6030"/>
              </w:tabs>
              <w:spacing w:line="276" w:lineRule="auto"/>
              <w:jc w:val="right"/>
              <w:rPr>
                <w:sz w:val="20"/>
                <w:szCs w:val="20"/>
              </w:rPr>
            </w:pPr>
            <w:r>
              <w:rPr>
                <w:sz w:val="20"/>
                <w:szCs w:val="20"/>
              </w:rPr>
              <w:t>983</w:t>
            </w:r>
          </w:p>
        </w:tc>
      </w:tr>
      <w:tr w:rsidR="00C1361E" w:rsidTr="006042C9" w14:paraId="75EDFEE3" w14:textId="77777777">
        <w:tc>
          <w:tcPr>
            <w:tcW w:w="1555" w:type="dxa"/>
            <w:shd w:val="clear" w:color="auto" w:fill="D9D9D9" w:themeFill="background1" w:themeFillShade="D9"/>
          </w:tcPr>
          <w:p w:rsidRPr="00BB7053" w:rsidR="00C1361E" w:rsidP="0068663C" w:rsidRDefault="00C1361E" w14:paraId="7FB29925" w14:textId="185F7FE7">
            <w:pPr>
              <w:keepNext/>
              <w:keepLines/>
              <w:tabs>
                <w:tab w:val="left" w:pos="6030"/>
              </w:tabs>
              <w:spacing w:line="276" w:lineRule="auto"/>
              <w:jc w:val="both"/>
              <w:rPr>
                <w:sz w:val="20"/>
                <w:szCs w:val="20"/>
              </w:rPr>
            </w:pPr>
            <w:r>
              <w:rPr>
                <w:sz w:val="20"/>
                <w:szCs w:val="20"/>
              </w:rPr>
              <w:t xml:space="preserve">Adjustment </w:t>
            </w:r>
            <w:r w:rsidR="00F424A2">
              <w:rPr>
                <w:sz w:val="20"/>
                <w:szCs w:val="20"/>
              </w:rPr>
              <w:br/>
            </w:r>
          </w:p>
        </w:tc>
        <w:tc>
          <w:tcPr>
            <w:tcW w:w="1306" w:type="dxa"/>
            <w:shd w:val="clear" w:color="auto" w:fill="D9D9D9" w:themeFill="background1" w:themeFillShade="D9"/>
          </w:tcPr>
          <w:p w:rsidRPr="00BB7053" w:rsidR="00C1361E" w:rsidP="0068663C" w:rsidRDefault="00467C50" w14:paraId="01AA1D33" w14:textId="06513E19">
            <w:pPr>
              <w:keepNext/>
              <w:keepLines/>
              <w:tabs>
                <w:tab w:val="left" w:pos="6030"/>
              </w:tabs>
              <w:spacing w:line="276" w:lineRule="auto"/>
              <w:jc w:val="right"/>
              <w:rPr>
                <w:sz w:val="20"/>
                <w:szCs w:val="20"/>
              </w:rPr>
            </w:pPr>
            <w:r>
              <w:rPr>
                <w:sz w:val="20"/>
                <w:szCs w:val="20"/>
              </w:rPr>
              <w:t>No change</w:t>
            </w:r>
          </w:p>
        </w:tc>
        <w:tc>
          <w:tcPr>
            <w:tcW w:w="1145" w:type="dxa"/>
            <w:shd w:val="clear" w:color="auto" w:fill="D9D9D9" w:themeFill="background1" w:themeFillShade="D9"/>
          </w:tcPr>
          <w:p w:rsidRPr="00BB7053" w:rsidR="00C1361E" w:rsidP="0068663C" w:rsidRDefault="00467C50" w14:paraId="762EF1A2" w14:textId="75C804B1">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C1361E" w:rsidP="0068663C" w:rsidRDefault="00467C50" w14:paraId="01F8D854" w14:textId="78984A6F">
            <w:pPr>
              <w:keepNext/>
              <w:keepLines/>
              <w:tabs>
                <w:tab w:val="left" w:pos="6030"/>
              </w:tabs>
              <w:spacing w:line="276" w:lineRule="auto"/>
              <w:jc w:val="right"/>
              <w:rPr>
                <w:sz w:val="20"/>
                <w:szCs w:val="20"/>
              </w:rPr>
            </w:pPr>
            <w:r>
              <w:rPr>
                <w:sz w:val="20"/>
                <w:szCs w:val="20"/>
              </w:rPr>
              <w:t>No change</w:t>
            </w:r>
          </w:p>
        </w:tc>
        <w:tc>
          <w:tcPr>
            <w:tcW w:w="1044" w:type="dxa"/>
            <w:shd w:val="clear" w:color="auto" w:fill="D9D9D9" w:themeFill="background1" w:themeFillShade="D9"/>
          </w:tcPr>
          <w:p w:rsidRPr="00BB7053" w:rsidR="00C1361E" w:rsidP="0068663C" w:rsidRDefault="004C0DDF" w14:paraId="428FD2ED" w14:textId="056C8F3F">
            <w:pPr>
              <w:keepNext/>
              <w:keepLines/>
              <w:tabs>
                <w:tab w:val="left" w:pos="6030"/>
              </w:tabs>
              <w:spacing w:line="276" w:lineRule="auto"/>
              <w:jc w:val="right"/>
              <w:rPr>
                <w:sz w:val="20"/>
                <w:szCs w:val="20"/>
              </w:rPr>
            </w:pPr>
            <w:r>
              <w:rPr>
                <w:sz w:val="20"/>
                <w:szCs w:val="20"/>
              </w:rPr>
              <w:t>No change</w:t>
            </w:r>
          </w:p>
        </w:tc>
        <w:tc>
          <w:tcPr>
            <w:tcW w:w="949" w:type="dxa"/>
            <w:shd w:val="clear" w:color="auto" w:fill="D9D9D9" w:themeFill="background1" w:themeFillShade="D9"/>
          </w:tcPr>
          <w:p w:rsidRPr="00BB7053" w:rsidR="00C1361E" w:rsidP="0068663C" w:rsidRDefault="004C0DDF" w14:paraId="229BA1B9" w14:textId="7C47EB03">
            <w:pPr>
              <w:keepNext/>
              <w:keepLines/>
              <w:tabs>
                <w:tab w:val="left" w:pos="6030"/>
              </w:tabs>
              <w:spacing w:line="276" w:lineRule="auto"/>
              <w:jc w:val="right"/>
              <w:rPr>
                <w:sz w:val="20"/>
                <w:szCs w:val="20"/>
              </w:rPr>
            </w:pPr>
            <w:r>
              <w:rPr>
                <w:sz w:val="20"/>
                <w:szCs w:val="20"/>
              </w:rPr>
              <w:t>No change</w:t>
            </w:r>
          </w:p>
        </w:tc>
        <w:tc>
          <w:tcPr>
            <w:tcW w:w="1233" w:type="dxa"/>
            <w:shd w:val="clear" w:color="auto" w:fill="D9D9D9" w:themeFill="background1" w:themeFillShade="D9"/>
          </w:tcPr>
          <w:p w:rsidRPr="00BB7053" w:rsidR="00C1361E" w:rsidP="0068663C" w:rsidRDefault="004C0DDF" w14:paraId="4797F599" w14:textId="6E0FC015">
            <w:pPr>
              <w:keepNext/>
              <w:keepLines/>
              <w:tabs>
                <w:tab w:val="left" w:pos="6030"/>
              </w:tabs>
              <w:spacing w:line="276" w:lineRule="auto"/>
              <w:jc w:val="right"/>
              <w:rPr>
                <w:sz w:val="20"/>
                <w:szCs w:val="20"/>
              </w:rPr>
            </w:pPr>
            <w:r>
              <w:rPr>
                <w:sz w:val="20"/>
                <w:szCs w:val="20"/>
              </w:rPr>
              <w:t>No change</w:t>
            </w:r>
          </w:p>
        </w:tc>
        <w:tc>
          <w:tcPr>
            <w:tcW w:w="1119" w:type="dxa"/>
            <w:shd w:val="clear" w:color="auto" w:fill="D9D9D9" w:themeFill="background1" w:themeFillShade="D9"/>
          </w:tcPr>
          <w:p w:rsidRPr="00BB7053" w:rsidR="00C1361E" w:rsidP="0068663C" w:rsidRDefault="004C0DDF" w14:paraId="2BB5BBAF" w14:textId="1EA08568">
            <w:pPr>
              <w:keepNext/>
              <w:keepLines/>
              <w:tabs>
                <w:tab w:val="left" w:pos="6030"/>
              </w:tabs>
              <w:spacing w:line="276" w:lineRule="auto"/>
              <w:jc w:val="right"/>
              <w:rPr>
                <w:sz w:val="20"/>
                <w:szCs w:val="20"/>
              </w:rPr>
            </w:pPr>
            <w:r>
              <w:rPr>
                <w:sz w:val="20"/>
                <w:szCs w:val="20"/>
              </w:rPr>
              <w:t>No change</w:t>
            </w:r>
          </w:p>
        </w:tc>
      </w:tr>
    </w:tbl>
    <w:p w:rsidR="006042C9" w:rsidP="006042C9" w:rsidRDefault="006042C9" w14:paraId="2450C0B7" w14:textId="77777777">
      <w:pPr>
        <w:keepNext/>
        <w:keepLines/>
        <w:jc w:val="center"/>
        <w:rPr>
          <w:rFonts w:eastAsia="Calibri"/>
          <w:b/>
          <w:bCs/>
        </w:rPr>
      </w:pPr>
    </w:p>
    <w:p w:rsidR="006042C9" w:rsidP="006042C9" w:rsidRDefault="006042C9" w14:paraId="3CAC38A0" w14:textId="0F2AADBE">
      <w:pPr>
        <w:keepNext/>
        <w:keepLines/>
        <w:jc w:val="center"/>
        <w:rPr>
          <w:b/>
          <w:bCs/>
        </w:rPr>
      </w:pPr>
      <w:r w:rsidRPr="00B30713">
        <w:rPr>
          <w:rFonts w:eastAsia="Calibri"/>
          <w:b/>
          <w:bCs/>
        </w:rPr>
        <w:t xml:space="preserve">TABLE </w:t>
      </w:r>
      <w:r>
        <w:rPr>
          <w:rFonts w:eastAsia="Calibri"/>
          <w:b/>
          <w:bCs/>
        </w:rPr>
        <w:t>30K</w:t>
      </w:r>
      <w:r w:rsidRPr="00B30713">
        <w:rPr>
          <w:rFonts w:eastAsia="Calibri"/>
          <w:b/>
          <w:bCs/>
        </w:rPr>
        <w:t xml:space="preserve">: Burden Reconciliation for </w:t>
      </w:r>
      <w:r w:rsidR="00C043BD">
        <w:rPr>
          <w:rFonts w:eastAsia="Calibri"/>
          <w:b/>
          <w:bCs/>
        </w:rPr>
        <w:t>MVP Quality Performance Category Submission</w:t>
      </w:r>
      <w:r>
        <w:rPr>
          <w:rFonts w:eastAsia="Calibri"/>
          <w:b/>
          <w:bCs/>
        </w:rPr>
        <w:t xml:space="preserve"> </w:t>
      </w:r>
    </w:p>
    <w:tbl>
      <w:tblPr>
        <w:tblStyle w:val="TableGrid"/>
        <w:tblW w:w="9445" w:type="dxa"/>
        <w:tblLook w:val="04A0" w:firstRow="1" w:lastRow="0" w:firstColumn="1" w:lastColumn="0" w:noHBand="0" w:noVBand="1"/>
      </w:tblPr>
      <w:tblGrid>
        <w:gridCol w:w="1636"/>
        <w:gridCol w:w="1306"/>
        <w:gridCol w:w="1269"/>
        <w:gridCol w:w="1094"/>
        <w:gridCol w:w="1052"/>
        <w:gridCol w:w="981"/>
        <w:gridCol w:w="947"/>
        <w:gridCol w:w="1160"/>
      </w:tblGrid>
      <w:tr w:rsidR="00EB6CC5" w:rsidTr="00CF2ED7" w14:paraId="46D22FA0" w14:textId="77777777">
        <w:trPr>
          <w:tblHeader/>
        </w:trPr>
        <w:tc>
          <w:tcPr>
            <w:tcW w:w="1705" w:type="dxa"/>
          </w:tcPr>
          <w:p w:rsidRPr="00FB02B1" w:rsidR="006042C9" w:rsidP="006330BC" w:rsidRDefault="006042C9" w14:paraId="3605394D"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170" w:type="dxa"/>
          </w:tcPr>
          <w:p w:rsidRPr="00FB02B1" w:rsidR="006042C9" w:rsidP="006330BC" w:rsidRDefault="006042C9" w14:paraId="01741D63"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289" w:type="dxa"/>
          </w:tcPr>
          <w:p w:rsidRPr="00FB02B1" w:rsidR="006042C9" w:rsidP="006330BC" w:rsidRDefault="006042C9" w14:paraId="5E980D58"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6042C9" w:rsidP="006330BC" w:rsidRDefault="006042C9" w14:paraId="0A44D386"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57" w:type="dxa"/>
          </w:tcPr>
          <w:p w:rsidRPr="00FB02B1" w:rsidR="006042C9" w:rsidP="006330BC" w:rsidRDefault="006042C9" w14:paraId="0D735F80" w14:textId="77777777">
            <w:pPr>
              <w:keepNext/>
              <w:keepLines/>
              <w:tabs>
                <w:tab w:val="left" w:pos="6030"/>
              </w:tabs>
              <w:spacing w:line="276" w:lineRule="auto"/>
              <w:rPr>
                <w:b/>
                <w:bCs/>
                <w:sz w:val="20"/>
                <w:szCs w:val="20"/>
              </w:rPr>
            </w:pPr>
            <w:r w:rsidRPr="00FB02B1">
              <w:rPr>
                <w:b/>
                <w:bCs/>
                <w:sz w:val="20"/>
                <w:szCs w:val="20"/>
              </w:rPr>
              <w:t>Time Per Response (</w:t>
            </w:r>
            <w:proofErr w:type="spellStart"/>
            <w:r w:rsidRPr="00FB02B1">
              <w:rPr>
                <w:b/>
                <w:bCs/>
                <w:sz w:val="20"/>
                <w:szCs w:val="20"/>
              </w:rPr>
              <w:t>hr</w:t>
            </w:r>
            <w:proofErr w:type="spellEnd"/>
            <w:r w:rsidRPr="00FB02B1">
              <w:rPr>
                <w:b/>
                <w:bCs/>
                <w:sz w:val="20"/>
                <w:szCs w:val="20"/>
              </w:rPr>
              <w:t>)</w:t>
            </w:r>
          </w:p>
        </w:tc>
        <w:tc>
          <w:tcPr>
            <w:tcW w:w="996" w:type="dxa"/>
          </w:tcPr>
          <w:p w:rsidRPr="00FB02B1" w:rsidR="006042C9" w:rsidP="006330BC" w:rsidRDefault="006042C9" w14:paraId="1E235E3C" w14:textId="77777777">
            <w:pPr>
              <w:keepNext/>
              <w:keepLines/>
              <w:tabs>
                <w:tab w:val="left" w:pos="6030"/>
              </w:tabs>
              <w:spacing w:line="276" w:lineRule="auto"/>
              <w:jc w:val="both"/>
              <w:rPr>
                <w:b/>
                <w:bCs/>
                <w:sz w:val="20"/>
                <w:szCs w:val="20"/>
              </w:rPr>
            </w:pPr>
            <w:r w:rsidRPr="00FB02B1">
              <w:rPr>
                <w:b/>
                <w:bCs/>
                <w:sz w:val="20"/>
                <w:szCs w:val="20"/>
              </w:rPr>
              <w:t>Total Annual Time (</w:t>
            </w:r>
            <w:proofErr w:type="spellStart"/>
            <w:r w:rsidRPr="00FB02B1">
              <w:rPr>
                <w:b/>
                <w:bCs/>
                <w:sz w:val="20"/>
                <w:szCs w:val="20"/>
              </w:rPr>
              <w:t>hr</w:t>
            </w:r>
            <w:proofErr w:type="spellEnd"/>
            <w:r w:rsidRPr="00FB02B1">
              <w:rPr>
                <w:b/>
                <w:bCs/>
                <w:sz w:val="20"/>
                <w:szCs w:val="20"/>
              </w:rPr>
              <w:t>)</w:t>
            </w:r>
          </w:p>
        </w:tc>
        <w:tc>
          <w:tcPr>
            <w:tcW w:w="970" w:type="dxa"/>
          </w:tcPr>
          <w:p w:rsidRPr="00FB02B1" w:rsidR="006042C9" w:rsidP="006330BC" w:rsidRDefault="006042C9" w14:paraId="4DE2E822" w14:textId="77777777">
            <w:pPr>
              <w:keepNext/>
              <w:keepLines/>
              <w:tabs>
                <w:tab w:val="left" w:pos="6030"/>
              </w:tabs>
              <w:spacing w:line="276" w:lineRule="auto"/>
              <w:jc w:val="both"/>
              <w:rPr>
                <w:b/>
                <w:bCs/>
                <w:sz w:val="20"/>
                <w:szCs w:val="20"/>
              </w:rPr>
            </w:pPr>
            <w:r w:rsidRPr="00FB02B1">
              <w:rPr>
                <w:b/>
                <w:bCs/>
                <w:sz w:val="20"/>
                <w:szCs w:val="20"/>
              </w:rPr>
              <w:t>Labor Cost ($/</w:t>
            </w:r>
            <w:proofErr w:type="spellStart"/>
            <w:r w:rsidRPr="00FB02B1">
              <w:rPr>
                <w:b/>
                <w:bCs/>
                <w:sz w:val="20"/>
                <w:szCs w:val="20"/>
              </w:rPr>
              <w:t>hr</w:t>
            </w:r>
            <w:proofErr w:type="spellEnd"/>
            <w:r w:rsidRPr="00FB02B1">
              <w:rPr>
                <w:b/>
                <w:bCs/>
                <w:sz w:val="20"/>
                <w:szCs w:val="20"/>
              </w:rPr>
              <w:t>)</w:t>
            </w:r>
          </w:p>
        </w:tc>
        <w:tc>
          <w:tcPr>
            <w:tcW w:w="1164" w:type="dxa"/>
          </w:tcPr>
          <w:p w:rsidRPr="00FB02B1" w:rsidR="006042C9" w:rsidP="006330BC" w:rsidRDefault="006042C9" w14:paraId="14F02D02" w14:textId="77777777">
            <w:pPr>
              <w:keepNext/>
              <w:keepLines/>
              <w:tabs>
                <w:tab w:val="left" w:pos="6030"/>
              </w:tabs>
              <w:spacing w:line="276" w:lineRule="auto"/>
              <w:rPr>
                <w:b/>
                <w:bCs/>
                <w:sz w:val="20"/>
                <w:szCs w:val="20"/>
              </w:rPr>
            </w:pPr>
            <w:r w:rsidRPr="00FB02B1">
              <w:rPr>
                <w:b/>
                <w:bCs/>
                <w:sz w:val="20"/>
                <w:szCs w:val="20"/>
              </w:rPr>
              <w:t>Total Annual Cost ($)</w:t>
            </w:r>
          </w:p>
        </w:tc>
      </w:tr>
      <w:tr w:rsidR="00EB6CC5" w:rsidTr="00CF2ED7" w14:paraId="1CEE0801" w14:textId="77777777">
        <w:tc>
          <w:tcPr>
            <w:tcW w:w="1705" w:type="dxa"/>
          </w:tcPr>
          <w:p w:rsidR="006042C9" w:rsidP="006330BC" w:rsidRDefault="006042C9" w14:paraId="308E9D97" w14:textId="77777777">
            <w:pPr>
              <w:keepNext/>
              <w:keepLines/>
              <w:tabs>
                <w:tab w:val="left" w:pos="6030"/>
              </w:tabs>
              <w:spacing w:line="276" w:lineRule="auto"/>
              <w:jc w:val="both"/>
              <w:rPr>
                <w:sz w:val="20"/>
                <w:szCs w:val="20"/>
              </w:rPr>
            </w:pPr>
            <w:r>
              <w:rPr>
                <w:sz w:val="20"/>
                <w:szCs w:val="20"/>
              </w:rPr>
              <w:t xml:space="preserve">Currently Approved </w:t>
            </w:r>
          </w:p>
          <w:p w:rsidRPr="00BB7053" w:rsidR="006042C9" w:rsidP="006330BC" w:rsidRDefault="006042C9" w14:paraId="6A4082DE" w14:textId="77777777">
            <w:pPr>
              <w:keepNext/>
              <w:keepLines/>
              <w:tabs>
                <w:tab w:val="left" w:pos="6030"/>
              </w:tabs>
              <w:spacing w:line="276" w:lineRule="auto"/>
              <w:jc w:val="both"/>
              <w:rPr>
                <w:sz w:val="20"/>
                <w:szCs w:val="20"/>
              </w:rPr>
            </w:pPr>
          </w:p>
        </w:tc>
        <w:tc>
          <w:tcPr>
            <w:tcW w:w="1170" w:type="dxa"/>
          </w:tcPr>
          <w:p w:rsidRPr="00BB7053" w:rsidR="006042C9" w:rsidP="0013664B" w:rsidRDefault="00CF2ED7" w14:paraId="47E976C2" w14:textId="12EBF045">
            <w:pPr>
              <w:keepNext/>
              <w:keepLines/>
              <w:tabs>
                <w:tab w:val="left" w:pos="6030"/>
              </w:tabs>
              <w:spacing w:line="276" w:lineRule="auto"/>
              <w:jc w:val="center"/>
              <w:rPr>
                <w:sz w:val="20"/>
                <w:szCs w:val="20"/>
              </w:rPr>
            </w:pPr>
            <w:r>
              <w:rPr>
                <w:sz w:val="20"/>
                <w:szCs w:val="20"/>
              </w:rPr>
              <w:t xml:space="preserve">          </w:t>
            </w:r>
            <w:r w:rsidR="004853B5">
              <w:rPr>
                <w:sz w:val="20"/>
                <w:szCs w:val="20"/>
              </w:rPr>
              <w:t xml:space="preserve">     12,917</w:t>
            </w:r>
          </w:p>
        </w:tc>
        <w:tc>
          <w:tcPr>
            <w:tcW w:w="1289" w:type="dxa"/>
          </w:tcPr>
          <w:p w:rsidRPr="00BB7053" w:rsidR="006042C9" w:rsidP="006330BC" w:rsidRDefault="006042C9" w14:paraId="627DD0D5" w14:textId="77777777">
            <w:pPr>
              <w:keepNext/>
              <w:keepLines/>
              <w:tabs>
                <w:tab w:val="left" w:pos="6030"/>
              </w:tabs>
              <w:spacing w:line="276" w:lineRule="auto"/>
              <w:jc w:val="right"/>
              <w:rPr>
                <w:sz w:val="20"/>
                <w:szCs w:val="20"/>
              </w:rPr>
            </w:pPr>
            <w:r>
              <w:rPr>
                <w:sz w:val="20"/>
                <w:szCs w:val="20"/>
              </w:rPr>
              <w:t>1</w:t>
            </w:r>
          </w:p>
        </w:tc>
        <w:tc>
          <w:tcPr>
            <w:tcW w:w="1094" w:type="dxa"/>
          </w:tcPr>
          <w:p w:rsidRPr="00BB7053" w:rsidR="006042C9" w:rsidP="006330BC" w:rsidRDefault="00F46F11" w14:paraId="0FC16BD9" w14:textId="006D43B0">
            <w:pPr>
              <w:keepNext/>
              <w:keepLines/>
              <w:tabs>
                <w:tab w:val="left" w:pos="6030"/>
              </w:tabs>
              <w:spacing w:line="276" w:lineRule="auto"/>
              <w:jc w:val="right"/>
              <w:rPr>
                <w:sz w:val="20"/>
                <w:szCs w:val="20"/>
              </w:rPr>
            </w:pPr>
            <w:r>
              <w:rPr>
                <w:sz w:val="20"/>
                <w:szCs w:val="20"/>
              </w:rPr>
              <w:t>12,917</w:t>
            </w:r>
          </w:p>
        </w:tc>
        <w:tc>
          <w:tcPr>
            <w:tcW w:w="1057" w:type="dxa"/>
          </w:tcPr>
          <w:p w:rsidRPr="00BB7053" w:rsidR="006042C9" w:rsidP="006330BC" w:rsidRDefault="003212D7" w14:paraId="0A532FF6" w14:textId="7ACA6863">
            <w:pPr>
              <w:keepNext/>
              <w:keepLines/>
              <w:tabs>
                <w:tab w:val="left" w:pos="6030"/>
              </w:tabs>
              <w:spacing w:line="276" w:lineRule="auto"/>
              <w:jc w:val="right"/>
              <w:rPr>
                <w:sz w:val="20"/>
                <w:szCs w:val="20"/>
              </w:rPr>
            </w:pPr>
            <w:r>
              <w:rPr>
                <w:sz w:val="20"/>
                <w:szCs w:val="20"/>
              </w:rPr>
              <w:t>Varies</w:t>
            </w:r>
          </w:p>
        </w:tc>
        <w:tc>
          <w:tcPr>
            <w:tcW w:w="996" w:type="dxa"/>
          </w:tcPr>
          <w:p w:rsidRPr="00BB7053" w:rsidR="006042C9" w:rsidP="006330BC" w:rsidRDefault="00D63401" w14:paraId="3463B8D3" w14:textId="421399AC">
            <w:pPr>
              <w:keepNext/>
              <w:keepLines/>
              <w:tabs>
                <w:tab w:val="left" w:pos="6030"/>
              </w:tabs>
              <w:spacing w:line="276" w:lineRule="auto"/>
              <w:jc w:val="right"/>
              <w:rPr>
                <w:sz w:val="20"/>
                <w:szCs w:val="20"/>
              </w:rPr>
            </w:pPr>
            <w:r>
              <w:rPr>
                <w:sz w:val="20"/>
                <w:szCs w:val="20"/>
              </w:rPr>
              <w:t>83,673</w:t>
            </w:r>
          </w:p>
        </w:tc>
        <w:tc>
          <w:tcPr>
            <w:tcW w:w="970" w:type="dxa"/>
          </w:tcPr>
          <w:p w:rsidRPr="00BB7053" w:rsidR="006042C9" w:rsidP="006330BC" w:rsidRDefault="003C1F46" w14:paraId="70B642ED" w14:textId="04FB3CAC">
            <w:pPr>
              <w:keepNext/>
              <w:keepLines/>
              <w:tabs>
                <w:tab w:val="left" w:pos="6030"/>
              </w:tabs>
              <w:spacing w:line="276" w:lineRule="auto"/>
              <w:jc w:val="right"/>
              <w:rPr>
                <w:sz w:val="20"/>
                <w:szCs w:val="20"/>
              </w:rPr>
            </w:pPr>
            <w:r>
              <w:rPr>
                <w:sz w:val="20"/>
                <w:szCs w:val="20"/>
              </w:rPr>
              <w:t>Varies</w:t>
            </w:r>
          </w:p>
        </w:tc>
        <w:tc>
          <w:tcPr>
            <w:tcW w:w="1164" w:type="dxa"/>
          </w:tcPr>
          <w:p w:rsidRPr="00BB7053" w:rsidR="006042C9" w:rsidP="006330BC" w:rsidRDefault="006042C9" w14:paraId="1B327ADB" w14:textId="35533627">
            <w:pPr>
              <w:keepNext/>
              <w:keepLines/>
              <w:tabs>
                <w:tab w:val="left" w:pos="6030"/>
              </w:tabs>
              <w:spacing w:line="276" w:lineRule="auto"/>
              <w:jc w:val="right"/>
              <w:rPr>
                <w:sz w:val="20"/>
                <w:szCs w:val="20"/>
              </w:rPr>
            </w:pPr>
            <w:r>
              <w:rPr>
                <w:sz w:val="20"/>
                <w:szCs w:val="20"/>
              </w:rPr>
              <w:t>9</w:t>
            </w:r>
            <w:r w:rsidR="00EB6CC5">
              <w:rPr>
                <w:sz w:val="20"/>
                <w:szCs w:val="20"/>
              </w:rPr>
              <w:t>,022,782</w:t>
            </w:r>
          </w:p>
        </w:tc>
      </w:tr>
      <w:tr w:rsidR="00EB6CC5" w:rsidTr="00CF2ED7" w14:paraId="30C86BA4" w14:textId="77777777">
        <w:tc>
          <w:tcPr>
            <w:tcW w:w="1705" w:type="dxa"/>
          </w:tcPr>
          <w:p w:rsidR="006042C9" w:rsidP="006330BC" w:rsidRDefault="006042C9" w14:paraId="6387693B" w14:textId="77777777">
            <w:pPr>
              <w:keepNext/>
              <w:keepLines/>
              <w:tabs>
                <w:tab w:val="left" w:pos="6030"/>
              </w:tabs>
              <w:spacing w:line="276" w:lineRule="auto"/>
              <w:rPr>
                <w:sz w:val="20"/>
                <w:szCs w:val="20"/>
              </w:rPr>
            </w:pPr>
            <w:r>
              <w:rPr>
                <w:sz w:val="20"/>
                <w:szCs w:val="20"/>
              </w:rPr>
              <w:t xml:space="preserve">Proposed </w:t>
            </w:r>
          </w:p>
          <w:p w:rsidRPr="00BB7053" w:rsidR="006042C9" w:rsidP="006330BC" w:rsidRDefault="006042C9" w14:paraId="5CDCDBAB" w14:textId="54513B53">
            <w:pPr>
              <w:keepNext/>
              <w:keepLines/>
              <w:tabs>
                <w:tab w:val="left" w:pos="6030"/>
              </w:tabs>
              <w:spacing w:line="276" w:lineRule="auto"/>
              <w:rPr>
                <w:sz w:val="20"/>
                <w:szCs w:val="20"/>
              </w:rPr>
            </w:pPr>
            <w:r w:rsidRPr="00A67FD9">
              <w:rPr>
                <w:sz w:val="20"/>
                <w:szCs w:val="20"/>
              </w:rPr>
              <w:t>(See Table 1</w:t>
            </w:r>
            <w:r w:rsidR="00FA2E6E">
              <w:rPr>
                <w:sz w:val="20"/>
                <w:szCs w:val="20"/>
              </w:rPr>
              <w:t>4</w:t>
            </w:r>
            <w:r w:rsidRPr="00A67FD9">
              <w:rPr>
                <w:sz w:val="20"/>
                <w:szCs w:val="20"/>
              </w:rPr>
              <w:t>)</w:t>
            </w:r>
          </w:p>
        </w:tc>
        <w:tc>
          <w:tcPr>
            <w:tcW w:w="1170" w:type="dxa"/>
          </w:tcPr>
          <w:p w:rsidRPr="00BB7053" w:rsidR="006042C9" w:rsidP="006330BC" w:rsidRDefault="004853B5" w14:paraId="1FE403CB" w14:textId="4B5DD218">
            <w:pPr>
              <w:keepNext/>
              <w:keepLines/>
              <w:tabs>
                <w:tab w:val="left" w:pos="6030"/>
              </w:tabs>
              <w:spacing w:line="276" w:lineRule="auto"/>
              <w:jc w:val="right"/>
              <w:rPr>
                <w:sz w:val="20"/>
                <w:szCs w:val="20"/>
              </w:rPr>
            </w:pPr>
            <w:r>
              <w:rPr>
                <w:sz w:val="20"/>
                <w:szCs w:val="20"/>
              </w:rPr>
              <w:t>16,432</w:t>
            </w:r>
          </w:p>
        </w:tc>
        <w:tc>
          <w:tcPr>
            <w:tcW w:w="1289" w:type="dxa"/>
          </w:tcPr>
          <w:p w:rsidRPr="00BB7053" w:rsidR="006042C9" w:rsidP="006330BC" w:rsidRDefault="006042C9" w14:paraId="09723FF7" w14:textId="77777777">
            <w:pPr>
              <w:keepNext/>
              <w:keepLines/>
              <w:tabs>
                <w:tab w:val="left" w:pos="6030"/>
              </w:tabs>
              <w:spacing w:line="276" w:lineRule="auto"/>
              <w:jc w:val="right"/>
              <w:rPr>
                <w:sz w:val="20"/>
                <w:szCs w:val="20"/>
              </w:rPr>
            </w:pPr>
            <w:r>
              <w:rPr>
                <w:sz w:val="20"/>
                <w:szCs w:val="20"/>
              </w:rPr>
              <w:t>1</w:t>
            </w:r>
          </w:p>
        </w:tc>
        <w:tc>
          <w:tcPr>
            <w:tcW w:w="1094" w:type="dxa"/>
          </w:tcPr>
          <w:p w:rsidRPr="00BB7053" w:rsidR="006042C9" w:rsidP="006330BC" w:rsidRDefault="003212D7" w14:paraId="7F0CA990" w14:textId="6951AE9E">
            <w:pPr>
              <w:keepNext/>
              <w:keepLines/>
              <w:tabs>
                <w:tab w:val="left" w:pos="6030"/>
              </w:tabs>
              <w:spacing w:line="276" w:lineRule="auto"/>
              <w:jc w:val="right"/>
              <w:rPr>
                <w:sz w:val="20"/>
                <w:szCs w:val="20"/>
              </w:rPr>
            </w:pPr>
            <w:r>
              <w:rPr>
                <w:sz w:val="20"/>
                <w:szCs w:val="20"/>
              </w:rPr>
              <w:t>16,432</w:t>
            </w:r>
          </w:p>
        </w:tc>
        <w:tc>
          <w:tcPr>
            <w:tcW w:w="1057" w:type="dxa"/>
          </w:tcPr>
          <w:p w:rsidRPr="00BB7053" w:rsidR="006042C9" w:rsidP="006330BC" w:rsidRDefault="00744D6C" w14:paraId="23D1FA6A" w14:textId="7DA4E3AC">
            <w:pPr>
              <w:keepNext/>
              <w:keepLines/>
              <w:tabs>
                <w:tab w:val="left" w:pos="6030"/>
              </w:tabs>
              <w:spacing w:line="276" w:lineRule="auto"/>
              <w:jc w:val="right"/>
              <w:rPr>
                <w:sz w:val="20"/>
                <w:szCs w:val="20"/>
              </w:rPr>
            </w:pPr>
            <w:r>
              <w:rPr>
                <w:sz w:val="20"/>
                <w:szCs w:val="20"/>
              </w:rPr>
              <w:t>Varies</w:t>
            </w:r>
          </w:p>
        </w:tc>
        <w:tc>
          <w:tcPr>
            <w:tcW w:w="996" w:type="dxa"/>
          </w:tcPr>
          <w:p w:rsidRPr="00BB7053" w:rsidR="006042C9" w:rsidP="006330BC" w:rsidRDefault="006042C9" w14:paraId="49808D26" w14:textId="36C25A9A">
            <w:pPr>
              <w:keepNext/>
              <w:keepLines/>
              <w:tabs>
                <w:tab w:val="left" w:pos="6030"/>
              </w:tabs>
              <w:spacing w:line="276" w:lineRule="auto"/>
              <w:jc w:val="right"/>
              <w:rPr>
                <w:sz w:val="20"/>
                <w:szCs w:val="20"/>
              </w:rPr>
            </w:pPr>
            <w:r>
              <w:rPr>
                <w:sz w:val="20"/>
                <w:szCs w:val="20"/>
              </w:rPr>
              <w:t>10</w:t>
            </w:r>
            <w:r w:rsidR="00FA2E6E">
              <w:rPr>
                <w:sz w:val="20"/>
                <w:szCs w:val="20"/>
              </w:rPr>
              <w:t>6,692</w:t>
            </w:r>
          </w:p>
        </w:tc>
        <w:tc>
          <w:tcPr>
            <w:tcW w:w="970" w:type="dxa"/>
          </w:tcPr>
          <w:p w:rsidRPr="00BB7053" w:rsidR="006042C9" w:rsidP="006330BC" w:rsidRDefault="002F0B23" w14:paraId="63B3C012" w14:textId="39BF3C7D">
            <w:pPr>
              <w:keepNext/>
              <w:keepLines/>
              <w:tabs>
                <w:tab w:val="left" w:pos="6030"/>
              </w:tabs>
              <w:spacing w:line="276" w:lineRule="auto"/>
              <w:jc w:val="right"/>
              <w:rPr>
                <w:sz w:val="20"/>
                <w:szCs w:val="20"/>
              </w:rPr>
            </w:pPr>
            <w:r>
              <w:rPr>
                <w:sz w:val="20"/>
                <w:szCs w:val="20"/>
              </w:rPr>
              <w:t>Varies</w:t>
            </w:r>
          </w:p>
        </w:tc>
        <w:tc>
          <w:tcPr>
            <w:tcW w:w="1164" w:type="dxa"/>
          </w:tcPr>
          <w:p w:rsidRPr="00BB7053" w:rsidR="006042C9" w:rsidP="006330BC" w:rsidRDefault="00EB6CC5" w14:paraId="01DC6782" w14:textId="78805CC0">
            <w:pPr>
              <w:keepNext/>
              <w:keepLines/>
              <w:tabs>
                <w:tab w:val="left" w:pos="6030"/>
              </w:tabs>
              <w:spacing w:line="276" w:lineRule="auto"/>
              <w:jc w:val="right"/>
              <w:rPr>
                <w:sz w:val="20"/>
                <w:szCs w:val="20"/>
              </w:rPr>
            </w:pPr>
            <w:r>
              <w:rPr>
                <w:sz w:val="20"/>
                <w:szCs w:val="20"/>
              </w:rPr>
              <w:t>11,506,091</w:t>
            </w:r>
          </w:p>
        </w:tc>
      </w:tr>
      <w:tr w:rsidR="00EB6CC5" w:rsidTr="00CF2ED7" w14:paraId="661FC49B" w14:textId="77777777">
        <w:tc>
          <w:tcPr>
            <w:tcW w:w="1705" w:type="dxa"/>
            <w:shd w:val="clear" w:color="auto" w:fill="D9D9D9" w:themeFill="background1" w:themeFillShade="D9"/>
          </w:tcPr>
          <w:p w:rsidRPr="00BB7053" w:rsidR="006042C9" w:rsidP="006330BC" w:rsidRDefault="006042C9" w14:paraId="4120DE75" w14:textId="77777777">
            <w:pPr>
              <w:keepNext/>
              <w:keepLines/>
              <w:tabs>
                <w:tab w:val="left" w:pos="6030"/>
              </w:tabs>
              <w:spacing w:line="276" w:lineRule="auto"/>
              <w:jc w:val="both"/>
              <w:rPr>
                <w:sz w:val="20"/>
                <w:szCs w:val="20"/>
              </w:rPr>
            </w:pPr>
            <w:r>
              <w:rPr>
                <w:sz w:val="20"/>
                <w:szCs w:val="20"/>
              </w:rPr>
              <w:t xml:space="preserve">Adjustment </w:t>
            </w:r>
            <w:r>
              <w:rPr>
                <w:sz w:val="20"/>
                <w:szCs w:val="20"/>
              </w:rPr>
              <w:br/>
            </w:r>
          </w:p>
        </w:tc>
        <w:tc>
          <w:tcPr>
            <w:tcW w:w="1170" w:type="dxa"/>
            <w:shd w:val="clear" w:color="auto" w:fill="D9D9D9" w:themeFill="background1" w:themeFillShade="D9"/>
          </w:tcPr>
          <w:p w:rsidRPr="00BB7053" w:rsidR="006042C9" w:rsidP="006330BC" w:rsidRDefault="00F46F11" w14:paraId="250301E7" w14:textId="6F732DAE">
            <w:pPr>
              <w:keepNext/>
              <w:keepLines/>
              <w:tabs>
                <w:tab w:val="left" w:pos="6030"/>
              </w:tabs>
              <w:spacing w:line="276" w:lineRule="auto"/>
              <w:jc w:val="right"/>
              <w:rPr>
                <w:sz w:val="20"/>
                <w:szCs w:val="20"/>
              </w:rPr>
            </w:pPr>
            <w:r>
              <w:rPr>
                <w:sz w:val="20"/>
                <w:szCs w:val="20"/>
              </w:rPr>
              <w:t>+3,515</w:t>
            </w:r>
          </w:p>
        </w:tc>
        <w:tc>
          <w:tcPr>
            <w:tcW w:w="1289" w:type="dxa"/>
            <w:shd w:val="clear" w:color="auto" w:fill="D9D9D9" w:themeFill="background1" w:themeFillShade="D9"/>
          </w:tcPr>
          <w:p w:rsidRPr="00BB7053" w:rsidR="006042C9" w:rsidP="006330BC" w:rsidRDefault="006042C9" w14:paraId="7F6CB4C2" w14:textId="77777777">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6042C9" w:rsidP="006330BC" w:rsidRDefault="00FA2E6E" w14:paraId="085F7F60" w14:textId="5E8C1580">
            <w:pPr>
              <w:keepNext/>
              <w:keepLines/>
              <w:tabs>
                <w:tab w:val="left" w:pos="6030"/>
              </w:tabs>
              <w:spacing w:line="276" w:lineRule="auto"/>
              <w:jc w:val="right"/>
              <w:rPr>
                <w:sz w:val="20"/>
                <w:szCs w:val="20"/>
              </w:rPr>
            </w:pPr>
            <w:r>
              <w:rPr>
                <w:sz w:val="20"/>
                <w:szCs w:val="20"/>
              </w:rPr>
              <w:t>+3,515</w:t>
            </w:r>
          </w:p>
        </w:tc>
        <w:tc>
          <w:tcPr>
            <w:tcW w:w="1057" w:type="dxa"/>
            <w:shd w:val="clear" w:color="auto" w:fill="D9D9D9" w:themeFill="background1" w:themeFillShade="D9"/>
          </w:tcPr>
          <w:p w:rsidRPr="00BB7053" w:rsidR="006042C9" w:rsidP="006330BC" w:rsidRDefault="006042C9" w14:paraId="52A633F5" w14:textId="77777777">
            <w:pPr>
              <w:keepNext/>
              <w:keepLines/>
              <w:tabs>
                <w:tab w:val="left" w:pos="6030"/>
              </w:tabs>
              <w:spacing w:line="276" w:lineRule="auto"/>
              <w:jc w:val="right"/>
              <w:rPr>
                <w:sz w:val="20"/>
                <w:szCs w:val="20"/>
              </w:rPr>
            </w:pPr>
            <w:r>
              <w:rPr>
                <w:sz w:val="20"/>
                <w:szCs w:val="20"/>
              </w:rPr>
              <w:t>No change</w:t>
            </w:r>
          </w:p>
        </w:tc>
        <w:tc>
          <w:tcPr>
            <w:tcW w:w="996" w:type="dxa"/>
            <w:shd w:val="clear" w:color="auto" w:fill="D9D9D9" w:themeFill="background1" w:themeFillShade="D9"/>
          </w:tcPr>
          <w:p w:rsidRPr="00BB7053" w:rsidR="006042C9" w:rsidP="006330BC" w:rsidRDefault="000A1D69" w14:paraId="4D240CAE" w14:textId="3F21AD76">
            <w:pPr>
              <w:keepNext/>
              <w:keepLines/>
              <w:tabs>
                <w:tab w:val="left" w:pos="6030"/>
              </w:tabs>
              <w:spacing w:line="276" w:lineRule="auto"/>
              <w:jc w:val="right"/>
              <w:rPr>
                <w:sz w:val="20"/>
                <w:szCs w:val="20"/>
              </w:rPr>
            </w:pPr>
            <w:r>
              <w:rPr>
                <w:sz w:val="20"/>
                <w:szCs w:val="20"/>
              </w:rPr>
              <w:t>+23,019</w:t>
            </w:r>
          </w:p>
        </w:tc>
        <w:tc>
          <w:tcPr>
            <w:tcW w:w="970" w:type="dxa"/>
            <w:shd w:val="clear" w:color="auto" w:fill="D9D9D9" w:themeFill="background1" w:themeFillShade="D9"/>
          </w:tcPr>
          <w:p w:rsidRPr="00BB7053" w:rsidR="006042C9" w:rsidP="006330BC" w:rsidRDefault="006042C9" w14:paraId="7B073E68" w14:textId="77777777">
            <w:pPr>
              <w:keepNext/>
              <w:keepLines/>
              <w:tabs>
                <w:tab w:val="left" w:pos="6030"/>
              </w:tabs>
              <w:spacing w:line="276" w:lineRule="auto"/>
              <w:jc w:val="right"/>
              <w:rPr>
                <w:sz w:val="20"/>
                <w:szCs w:val="20"/>
              </w:rPr>
            </w:pPr>
            <w:r>
              <w:rPr>
                <w:sz w:val="20"/>
                <w:szCs w:val="20"/>
              </w:rPr>
              <w:t>No change</w:t>
            </w:r>
          </w:p>
        </w:tc>
        <w:tc>
          <w:tcPr>
            <w:tcW w:w="1164" w:type="dxa"/>
            <w:shd w:val="clear" w:color="auto" w:fill="D9D9D9" w:themeFill="background1" w:themeFillShade="D9"/>
          </w:tcPr>
          <w:p w:rsidRPr="00BB7053" w:rsidR="006042C9" w:rsidP="0013664B" w:rsidRDefault="00F37E53" w14:paraId="5FF21BC2" w14:textId="0A08592B">
            <w:pPr>
              <w:keepNext/>
              <w:keepLines/>
              <w:tabs>
                <w:tab w:val="left" w:pos="6030"/>
              </w:tabs>
              <w:spacing w:line="276" w:lineRule="auto"/>
              <w:jc w:val="center"/>
              <w:rPr>
                <w:sz w:val="20"/>
                <w:szCs w:val="20"/>
              </w:rPr>
            </w:pPr>
            <w:r>
              <w:rPr>
                <w:sz w:val="20"/>
                <w:szCs w:val="20"/>
              </w:rPr>
              <w:t xml:space="preserve">     +2,483,309</w:t>
            </w:r>
          </w:p>
        </w:tc>
      </w:tr>
    </w:tbl>
    <w:p w:rsidR="00C1361E" w:rsidP="00885183" w:rsidRDefault="00C1361E" w14:paraId="65B3052A" w14:textId="77777777">
      <w:pPr>
        <w:jc w:val="center"/>
        <w:rPr>
          <w:rFonts w:eastAsia="Calibri"/>
          <w:b/>
          <w:bCs/>
        </w:rPr>
      </w:pPr>
    </w:p>
    <w:p w:rsidR="00885183" w:rsidP="0041468A" w:rsidRDefault="00885183" w14:paraId="6DF12380" w14:textId="3A3BBD74">
      <w:pPr>
        <w:keepNext/>
        <w:keepLines/>
        <w:jc w:val="center"/>
        <w:rPr>
          <w:b/>
          <w:bCs/>
        </w:rPr>
      </w:pPr>
      <w:r w:rsidRPr="00B30713">
        <w:rPr>
          <w:rFonts w:eastAsia="Calibri"/>
          <w:b/>
          <w:bCs/>
        </w:rPr>
        <w:t xml:space="preserve">TABLE </w:t>
      </w:r>
      <w:r w:rsidR="00C1361E">
        <w:rPr>
          <w:rFonts w:eastAsia="Calibri"/>
          <w:b/>
          <w:bCs/>
        </w:rPr>
        <w:t>3</w:t>
      </w:r>
      <w:r w:rsidR="00F951AF">
        <w:rPr>
          <w:rFonts w:eastAsia="Calibri"/>
          <w:b/>
          <w:bCs/>
        </w:rPr>
        <w:t>0L</w:t>
      </w:r>
      <w:r w:rsidRPr="00B30713">
        <w:rPr>
          <w:rFonts w:eastAsia="Calibri"/>
          <w:b/>
          <w:bCs/>
        </w:rPr>
        <w:t xml:space="preserve">: Burden Reconciliation for </w:t>
      </w:r>
      <w:r w:rsidRPr="005A6B37" w:rsidR="005A6B37">
        <w:rPr>
          <w:rFonts w:eastAsia="Calibri"/>
          <w:b/>
          <w:bCs/>
        </w:rPr>
        <w:t>Call for Quality Measures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A56476" w14:paraId="7DA0547C" w14:textId="77777777">
        <w:trPr>
          <w:tblHeader/>
        </w:trPr>
        <w:tc>
          <w:tcPr>
            <w:tcW w:w="1255" w:type="dxa"/>
          </w:tcPr>
          <w:p w:rsidRPr="00173FA2" w:rsidR="00885183" w:rsidP="0041468A" w:rsidRDefault="00885183" w14:paraId="56EBE0E8"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260" w:type="dxa"/>
          </w:tcPr>
          <w:p w:rsidRPr="00173FA2" w:rsidR="00885183" w:rsidP="0041468A" w:rsidRDefault="00885183" w14:paraId="3220046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70" w:type="dxa"/>
          </w:tcPr>
          <w:p w:rsidRPr="00173FA2" w:rsidR="00885183" w:rsidP="0041468A" w:rsidRDefault="00885183" w14:paraId="1156321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80" w:type="dxa"/>
          </w:tcPr>
          <w:p w:rsidRPr="00173FA2" w:rsidR="00885183" w:rsidP="0041468A" w:rsidRDefault="00885183" w14:paraId="32CBB50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80" w:type="dxa"/>
          </w:tcPr>
          <w:p w:rsidRPr="00173FA2" w:rsidR="00885183" w:rsidP="0041468A" w:rsidRDefault="00885183" w14:paraId="4BECBB3D"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80" w:type="dxa"/>
          </w:tcPr>
          <w:p w:rsidRPr="00173FA2" w:rsidR="00885183" w:rsidP="0041468A" w:rsidRDefault="00885183" w14:paraId="53D7EA00"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80" w:type="dxa"/>
          </w:tcPr>
          <w:p w:rsidRPr="00173FA2" w:rsidR="00885183" w:rsidP="0041468A" w:rsidRDefault="00885183" w14:paraId="1D38EFD9"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620" w:type="dxa"/>
          </w:tcPr>
          <w:p w:rsidRPr="00173FA2" w:rsidR="00885183" w:rsidP="0041468A" w:rsidRDefault="00885183" w14:paraId="2C561640" w14:textId="77777777">
            <w:pPr>
              <w:keepNext/>
              <w:keepLines/>
              <w:tabs>
                <w:tab w:val="left" w:pos="6030"/>
              </w:tabs>
              <w:spacing w:line="276" w:lineRule="auto"/>
              <w:rPr>
                <w:b/>
                <w:bCs/>
                <w:sz w:val="20"/>
                <w:szCs w:val="20"/>
              </w:rPr>
            </w:pPr>
            <w:r w:rsidRPr="00173FA2">
              <w:rPr>
                <w:b/>
                <w:bCs/>
                <w:sz w:val="20"/>
                <w:szCs w:val="20"/>
              </w:rPr>
              <w:t>Total Annual Cost ($)</w:t>
            </w:r>
          </w:p>
        </w:tc>
      </w:tr>
      <w:tr w:rsidR="001667FB" w:rsidTr="00A56476" w14:paraId="7D30C4F2" w14:textId="77777777">
        <w:tc>
          <w:tcPr>
            <w:tcW w:w="1255" w:type="dxa"/>
          </w:tcPr>
          <w:p w:rsidRPr="00BB7053" w:rsidR="001667FB" w:rsidP="0041468A" w:rsidRDefault="001667FB" w14:paraId="0AD624F1" w14:textId="5DA1F420">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260" w:type="dxa"/>
          </w:tcPr>
          <w:p w:rsidRPr="00BB7053" w:rsidR="001667FB" w:rsidP="0041468A" w:rsidRDefault="001667FB" w14:paraId="5453E9D2" w14:textId="2863AA1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323E06F0" w14:textId="111DD318">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109D0360" w14:textId="3F879F2B">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729739B6" w14:textId="730760AE">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2E8DF208" w14:textId="26D6A653">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168ADA93" w14:textId="0257DF17">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1667FB" w14:paraId="67EFFFAF" w14:textId="291F6185">
            <w:pPr>
              <w:keepNext/>
              <w:keepLines/>
              <w:tabs>
                <w:tab w:val="left" w:pos="6030"/>
              </w:tabs>
              <w:spacing w:line="276" w:lineRule="auto"/>
              <w:jc w:val="right"/>
              <w:rPr>
                <w:sz w:val="20"/>
                <w:szCs w:val="20"/>
              </w:rPr>
            </w:pPr>
            <w:r>
              <w:rPr>
                <w:sz w:val="20"/>
                <w:szCs w:val="20"/>
              </w:rPr>
              <w:t>30,</w:t>
            </w:r>
            <w:r w:rsidR="00086E49">
              <w:rPr>
                <w:sz w:val="20"/>
                <w:szCs w:val="20"/>
              </w:rPr>
              <w:t>309</w:t>
            </w:r>
          </w:p>
        </w:tc>
      </w:tr>
      <w:tr w:rsidR="001667FB" w:rsidTr="00A56476" w14:paraId="27DB0A68" w14:textId="77777777">
        <w:tc>
          <w:tcPr>
            <w:tcW w:w="1255" w:type="dxa"/>
          </w:tcPr>
          <w:p w:rsidRPr="00BB7053" w:rsidR="001667FB" w:rsidP="00192E2E" w:rsidRDefault="000C57B1" w14:paraId="53007917" w14:textId="21B5DD36">
            <w:pPr>
              <w:keepNext/>
              <w:keepLines/>
              <w:tabs>
                <w:tab w:val="left" w:pos="6030"/>
              </w:tabs>
              <w:spacing w:line="276" w:lineRule="auto"/>
              <w:rPr>
                <w:sz w:val="20"/>
                <w:szCs w:val="20"/>
              </w:rPr>
            </w:pPr>
            <w:r>
              <w:rPr>
                <w:sz w:val="20"/>
                <w:szCs w:val="20"/>
              </w:rPr>
              <w:t>Propos</w:t>
            </w:r>
            <w:r w:rsidR="00290224">
              <w:rPr>
                <w:sz w:val="20"/>
                <w:szCs w:val="20"/>
              </w:rPr>
              <w:t>ed</w:t>
            </w:r>
            <w:r w:rsidR="00FA7465">
              <w:rPr>
                <w:sz w:val="20"/>
                <w:szCs w:val="20"/>
              </w:rPr>
              <w:t xml:space="preserve"> </w:t>
            </w:r>
            <w:r w:rsidRPr="00A67FD9" w:rsidR="00A67FD9">
              <w:rPr>
                <w:sz w:val="20"/>
                <w:szCs w:val="20"/>
              </w:rPr>
              <w:t>(See Table 1</w:t>
            </w:r>
            <w:r w:rsidR="00E67FEF">
              <w:rPr>
                <w:sz w:val="20"/>
                <w:szCs w:val="20"/>
              </w:rPr>
              <w:t>5</w:t>
            </w:r>
            <w:r w:rsidRPr="00A67FD9" w:rsidR="00A67FD9">
              <w:rPr>
                <w:sz w:val="20"/>
                <w:szCs w:val="20"/>
              </w:rPr>
              <w:t>)</w:t>
            </w:r>
          </w:p>
        </w:tc>
        <w:tc>
          <w:tcPr>
            <w:tcW w:w="1260" w:type="dxa"/>
          </w:tcPr>
          <w:p w:rsidRPr="00BB7053" w:rsidR="001667FB" w:rsidP="0041468A" w:rsidRDefault="001667FB" w14:paraId="543246E3" w14:textId="189374DB">
            <w:pPr>
              <w:keepNext/>
              <w:keepLines/>
              <w:tabs>
                <w:tab w:val="left" w:pos="6030"/>
              </w:tabs>
              <w:spacing w:line="276" w:lineRule="auto"/>
              <w:jc w:val="right"/>
              <w:rPr>
                <w:sz w:val="20"/>
                <w:szCs w:val="20"/>
              </w:rPr>
            </w:pPr>
            <w:r>
              <w:rPr>
                <w:sz w:val="20"/>
                <w:szCs w:val="20"/>
              </w:rPr>
              <w:t>28</w:t>
            </w:r>
          </w:p>
        </w:tc>
        <w:tc>
          <w:tcPr>
            <w:tcW w:w="1170" w:type="dxa"/>
          </w:tcPr>
          <w:p w:rsidRPr="00BB7053" w:rsidR="001667FB" w:rsidP="0041468A" w:rsidRDefault="001667FB" w14:paraId="27D66302" w14:textId="72439E7B">
            <w:pPr>
              <w:keepNext/>
              <w:keepLines/>
              <w:tabs>
                <w:tab w:val="left" w:pos="6030"/>
              </w:tabs>
              <w:spacing w:line="276" w:lineRule="auto"/>
              <w:jc w:val="right"/>
              <w:rPr>
                <w:sz w:val="20"/>
                <w:szCs w:val="20"/>
              </w:rPr>
            </w:pPr>
            <w:r>
              <w:rPr>
                <w:sz w:val="20"/>
                <w:szCs w:val="20"/>
              </w:rPr>
              <w:t>1</w:t>
            </w:r>
          </w:p>
        </w:tc>
        <w:tc>
          <w:tcPr>
            <w:tcW w:w="1080" w:type="dxa"/>
          </w:tcPr>
          <w:p w:rsidRPr="00BB7053" w:rsidR="001667FB" w:rsidP="0041468A" w:rsidRDefault="001667FB" w14:paraId="66A116D2" w14:textId="21B9BC19">
            <w:pPr>
              <w:keepNext/>
              <w:keepLines/>
              <w:tabs>
                <w:tab w:val="left" w:pos="6030"/>
              </w:tabs>
              <w:spacing w:line="276" w:lineRule="auto"/>
              <w:jc w:val="right"/>
              <w:rPr>
                <w:sz w:val="20"/>
                <w:szCs w:val="20"/>
              </w:rPr>
            </w:pPr>
            <w:r>
              <w:rPr>
                <w:sz w:val="20"/>
                <w:szCs w:val="20"/>
              </w:rPr>
              <w:t>28</w:t>
            </w:r>
          </w:p>
        </w:tc>
        <w:tc>
          <w:tcPr>
            <w:tcW w:w="1080" w:type="dxa"/>
          </w:tcPr>
          <w:p w:rsidRPr="00BB7053" w:rsidR="001667FB" w:rsidP="0041468A" w:rsidRDefault="001667FB" w14:paraId="4CF560FD" w14:textId="417710CD">
            <w:pPr>
              <w:keepNext/>
              <w:keepLines/>
              <w:tabs>
                <w:tab w:val="left" w:pos="6030"/>
              </w:tabs>
              <w:spacing w:line="276" w:lineRule="auto"/>
              <w:jc w:val="right"/>
              <w:rPr>
                <w:sz w:val="20"/>
                <w:szCs w:val="20"/>
              </w:rPr>
            </w:pPr>
            <w:r>
              <w:rPr>
                <w:sz w:val="20"/>
                <w:szCs w:val="20"/>
              </w:rPr>
              <w:t>5.5</w:t>
            </w:r>
          </w:p>
        </w:tc>
        <w:tc>
          <w:tcPr>
            <w:tcW w:w="1080" w:type="dxa"/>
          </w:tcPr>
          <w:p w:rsidRPr="00BB7053" w:rsidR="001667FB" w:rsidP="0041468A" w:rsidRDefault="001667FB" w14:paraId="7C96968F" w14:textId="2D23FCE9">
            <w:pPr>
              <w:keepNext/>
              <w:keepLines/>
              <w:tabs>
                <w:tab w:val="left" w:pos="6030"/>
              </w:tabs>
              <w:spacing w:line="276" w:lineRule="auto"/>
              <w:jc w:val="right"/>
              <w:rPr>
                <w:sz w:val="20"/>
                <w:szCs w:val="20"/>
              </w:rPr>
            </w:pPr>
            <w:r>
              <w:rPr>
                <w:sz w:val="20"/>
                <w:szCs w:val="20"/>
              </w:rPr>
              <w:t>154</w:t>
            </w:r>
          </w:p>
        </w:tc>
        <w:tc>
          <w:tcPr>
            <w:tcW w:w="1080" w:type="dxa"/>
          </w:tcPr>
          <w:p w:rsidRPr="00BB7053" w:rsidR="001667FB" w:rsidP="0041468A" w:rsidRDefault="001667FB" w14:paraId="381AE52F" w14:textId="1768C789">
            <w:pPr>
              <w:keepNext/>
              <w:keepLines/>
              <w:tabs>
                <w:tab w:val="left" w:pos="6030"/>
              </w:tabs>
              <w:spacing w:line="276" w:lineRule="auto"/>
              <w:jc w:val="right"/>
              <w:rPr>
                <w:sz w:val="20"/>
                <w:szCs w:val="20"/>
              </w:rPr>
            </w:pPr>
            <w:r>
              <w:rPr>
                <w:sz w:val="20"/>
                <w:szCs w:val="20"/>
              </w:rPr>
              <w:t>Varies</w:t>
            </w:r>
          </w:p>
        </w:tc>
        <w:tc>
          <w:tcPr>
            <w:tcW w:w="1620" w:type="dxa"/>
          </w:tcPr>
          <w:p w:rsidRPr="00BB7053" w:rsidR="001667FB" w:rsidP="0041468A" w:rsidRDefault="00086E49" w14:paraId="7AD71204" w14:textId="2B7C374D">
            <w:pPr>
              <w:keepNext/>
              <w:keepLines/>
              <w:tabs>
                <w:tab w:val="left" w:pos="6030"/>
              </w:tabs>
              <w:spacing w:line="276" w:lineRule="auto"/>
              <w:jc w:val="right"/>
              <w:rPr>
                <w:sz w:val="20"/>
                <w:szCs w:val="20"/>
              </w:rPr>
            </w:pPr>
            <w:r>
              <w:rPr>
                <w:sz w:val="20"/>
                <w:szCs w:val="20"/>
              </w:rPr>
              <w:t>30,309</w:t>
            </w:r>
          </w:p>
        </w:tc>
      </w:tr>
      <w:tr w:rsidR="001667FB" w:rsidTr="00192E2E" w14:paraId="6BE41D16" w14:textId="77777777">
        <w:tc>
          <w:tcPr>
            <w:tcW w:w="1255" w:type="dxa"/>
            <w:shd w:val="clear" w:color="auto" w:fill="D9D9D9" w:themeFill="background1" w:themeFillShade="D9"/>
          </w:tcPr>
          <w:p w:rsidRPr="00BB7053" w:rsidR="001667FB" w:rsidP="001667FB" w:rsidRDefault="001667FB" w14:paraId="192B0170" w14:textId="77777777">
            <w:pPr>
              <w:tabs>
                <w:tab w:val="left" w:pos="6030"/>
              </w:tabs>
              <w:spacing w:line="276" w:lineRule="auto"/>
              <w:jc w:val="both"/>
              <w:rPr>
                <w:sz w:val="20"/>
                <w:szCs w:val="20"/>
              </w:rPr>
            </w:pPr>
            <w:r>
              <w:rPr>
                <w:sz w:val="20"/>
                <w:szCs w:val="20"/>
              </w:rPr>
              <w:t>Adjustment</w:t>
            </w:r>
          </w:p>
        </w:tc>
        <w:tc>
          <w:tcPr>
            <w:tcW w:w="1260" w:type="dxa"/>
            <w:shd w:val="clear" w:color="auto" w:fill="D9D9D9" w:themeFill="background1" w:themeFillShade="D9"/>
          </w:tcPr>
          <w:p w:rsidRPr="00BB7053" w:rsidR="001667FB" w:rsidP="001667FB" w:rsidRDefault="001667FB" w14:paraId="21E2EE5F" w14:textId="727D8DF6">
            <w:pPr>
              <w:tabs>
                <w:tab w:val="left" w:pos="6030"/>
              </w:tabs>
              <w:spacing w:line="276" w:lineRule="auto"/>
              <w:jc w:val="right"/>
              <w:rPr>
                <w:sz w:val="20"/>
                <w:szCs w:val="20"/>
              </w:rPr>
            </w:pPr>
            <w:r>
              <w:rPr>
                <w:sz w:val="20"/>
                <w:szCs w:val="20"/>
              </w:rPr>
              <w:t>No change</w:t>
            </w:r>
          </w:p>
        </w:tc>
        <w:tc>
          <w:tcPr>
            <w:tcW w:w="1170" w:type="dxa"/>
            <w:shd w:val="clear" w:color="auto" w:fill="D9D9D9" w:themeFill="background1" w:themeFillShade="D9"/>
          </w:tcPr>
          <w:p w:rsidRPr="00BB7053" w:rsidR="001667FB" w:rsidP="001667FB" w:rsidRDefault="001667FB" w14:paraId="19DF6D55" w14:textId="2AC93BA7">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B721FE9" w14:textId="400DD54F">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543EF2CD" w14:textId="0B5EF566">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0DF5956B" w14:textId="7247F7DD">
            <w:pPr>
              <w:tabs>
                <w:tab w:val="left" w:pos="6030"/>
              </w:tabs>
              <w:spacing w:line="276" w:lineRule="auto"/>
              <w:jc w:val="right"/>
              <w:rPr>
                <w:sz w:val="20"/>
                <w:szCs w:val="20"/>
              </w:rPr>
            </w:pPr>
            <w:r>
              <w:rPr>
                <w:sz w:val="20"/>
                <w:szCs w:val="20"/>
              </w:rPr>
              <w:t>No change</w:t>
            </w:r>
          </w:p>
        </w:tc>
        <w:tc>
          <w:tcPr>
            <w:tcW w:w="1080" w:type="dxa"/>
            <w:shd w:val="clear" w:color="auto" w:fill="D9D9D9" w:themeFill="background1" w:themeFillShade="D9"/>
          </w:tcPr>
          <w:p w:rsidRPr="00BB7053" w:rsidR="001667FB" w:rsidP="001667FB" w:rsidRDefault="001667FB" w14:paraId="2171CF6A" w14:textId="77AC281A">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Pr="00BB7053" w:rsidR="001667FB" w:rsidP="001667FB" w:rsidRDefault="00086E49" w14:paraId="262EC90F" w14:textId="6F69D672">
            <w:pPr>
              <w:tabs>
                <w:tab w:val="left" w:pos="6030"/>
              </w:tabs>
              <w:spacing w:line="276" w:lineRule="auto"/>
              <w:jc w:val="right"/>
              <w:rPr>
                <w:sz w:val="20"/>
                <w:szCs w:val="20"/>
              </w:rPr>
            </w:pPr>
            <w:r>
              <w:rPr>
                <w:sz w:val="20"/>
                <w:szCs w:val="20"/>
              </w:rPr>
              <w:t>No change</w:t>
            </w:r>
          </w:p>
        </w:tc>
      </w:tr>
    </w:tbl>
    <w:p w:rsidR="00885183" w:rsidP="00BB7053" w:rsidRDefault="00885183" w14:paraId="72DB9BB3" w14:textId="293CD0A0">
      <w:pPr>
        <w:tabs>
          <w:tab w:val="left" w:pos="6030"/>
        </w:tabs>
        <w:spacing w:line="276" w:lineRule="auto"/>
        <w:jc w:val="both"/>
      </w:pPr>
    </w:p>
    <w:p w:rsidR="00885183" w:rsidP="00536031" w:rsidRDefault="00885183" w14:paraId="638A5F8A" w14:textId="308F8571">
      <w:pPr>
        <w:keepNext/>
        <w:keepLines/>
        <w:jc w:val="center"/>
        <w:rPr>
          <w:b/>
          <w:bCs/>
        </w:rPr>
      </w:pPr>
      <w:r w:rsidRPr="00B30713">
        <w:rPr>
          <w:rFonts w:eastAsia="Calibri"/>
          <w:b/>
          <w:bCs/>
        </w:rPr>
        <w:lastRenderedPageBreak/>
        <w:t xml:space="preserve">TABLE </w:t>
      </w:r>
      <w:r w:rsidR="00C1361E">
        <w:rPr>
          <w:rFonts w:eastAsia="Calibri"/>
          <w:b/>
          <w:bCs/>
        </w:rPr>
        <w:t>3</w:t>
      </w:r>
      <w:r w:rsidR="000C57B1">
        <w:rPr>
          <w:rFonts w:eastAsia="Calibri"/>
          <w:b/>
          <w:bCs/>
        </w:rPr>
        <w:t>0M</w:t>
      </w:r>
      <w:r w:rsidRPr="00B30713">
        <w:rPr>
          <w:rFonts w:eastAsia="Calibri"/>
          <w:b/>
          <w:bCs/>
        </w:rPr>
        <w:t xml:space="preserve">: Burden Reconciliation for </w:t>
      </w:r>
      <w:r w:rsidRPr="00160A32" w:rsidR="00160A32">
        <w:rPr>
          <w:rFonts w:eastAsia="Calibri"/>
          <w:b/>
          <w:bCs/>
        </w:rPr>
        <w:t>Reweighting Applications for Promoting Interoperability and Other Performance Categories</w:t>
      </w:r>
    </w:p>
    <w:tbl>
      <w:tblPr>
        <w:tblStyle w:val="TableGrid"/>
        <w:tblW w:w="9715" w:type="dxa"/>
        <w:tblLook w:val="04A0" w:firstRow="1" w:lastRow="0" w:firstColumn="1" w:lastColumn="0" w:noHBand="0" w:noVBand="1"/>
      </w:tblPr>
      <w:tblGrid>
        <w:gridCol w:w="1254"/>
        <w:gridCol w:w="1306"/>
        <w:gridCol w:w="1168"/>
        <w:gridCol w:w="1094"/>
        <w:gridCol w:w="1077"/>
        <w:gridCol w:w="1069"/>
        <w:gridCol w:w="1066"/>
        <w:gridCol w:w="1681"/>
      </w:tblGrid>
      <w:tr w:rsidR="000D078D" w:rsidTr="003830B0" w14:paraId="05709B71" w14:textId="77777777">
        <w:trPr>
          <w:tblHeader/>
        </w:trPr>
        <w:tc>
          <w:tcPr>
            <w:tcW w:w="1254" w:type="dxa"/>
          </w:tcPr>
          <w:p w:rsidRPr="00173FA2" w:rsidR="00885183" w:rsidP="00536031" w:rsidRDefault="00885183" w14:paraId="4E802CF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264AC96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E1DC9BE"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77D1368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30256482"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69" w:type="dxa"/>
          </w:tcPr>
          <w:p w:rsidRPr="00173FA2" w:rsidR="00885183" w:rsidP="00536031" w:rsidRDefault="00885183" w14:paraId="258DA120"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66" w:type="dxa"/>
          </w:tcPr>
          <w:p w:rsidRPr="00173FA2" w:rsidR="00885183" w:rsidP="00536031" w:rsidRDefault="00885183" w14:paraId="456B108E"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681" w:type="dxa"/>
          </w:tcPr>
          <w:p w:rsidRPr="00173FA2" w:rsidR="00885183" w:rsidP="00536031" w:rsidRDefault="00885183" w14:paraId="3766FFD0" w14:textId="77777777">
            <w:pPr>
              <w:keepNext/>
              <w:keepLines/>
              <w:tabs>
                <w:tab w:val="left" w:pos="6030"/>
              </w:tabs>
              <w:spacing w:line="276" w:lineRule="auto"/>
              <w:rPr>
                <w:b/>
                <w:bCs/>
                <w:sz w:val="20"/>
                <w:szCs w:val="20"/>
              </w:rPr>
            </w:pPr>
            <w:r w:rsidRPr="00173FA2">
              <w:rPr>
                <w:b/>
                <w:bCs/>
                <w:sz w:val="20"/>
                <w:szCs w:val="20"/>
              </w:rPr>
              <w:t>Total Annual Cost ($)</w:t>
            </w:r>
          </w:p>
        </w:tc>
      </w:tr>
      <w:tr w:rsidR="000D078D" w:rsidTr="003830B0" w14:paraId="774188B8" w14:textId="77777777">
        <w:tc>
          <w:tcPr>
            <w:tcW w:w="1254" w:type="dxa"/>
          </w:tcPr>
          <w:p w:rsidRPr="00BB7053" w:rsidR="001572E5" w:rsidP="001572E5" w:rsidRDefault="001572E5" w14:paraId="4C07FF76" w14:textId="42BA5D99">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1572E5" w:rsidP="001572E5" w:rsidRDefault="00CA5389" w14:paraId="69E041A8" w14:textId="43769422">
            <w:pPr>
              <w:tabs>
                <w:tab w:val="left" w:pos="6030"/>
              </w:tabs>
              <w:spacing w:line="276" w:lineRule="auto"/>
              <w:jc w:val="right"/>
              <w:rPr>
                <w:sz w:val="20"/>
                <w:szCs w:val="20"/>
              </w:rPr>
            </w:pPr>
            <w:r>
              <w:rPr>
                <w:sz w:val="20"/>
                <w:szCs w:val="20"/>
              </w:rPr>
              <w:t>42,827</w:t>
            </w:r>
          </w:p>
        </w:tc>
        <w:tc>
          <w:tcPr>
            <w:tcW w:w="1168" w:type="dxa"/>
          </w:tcPr>
          <w:p w:rsidRPr="00BB7053" w:rsidR="001572E5" w:rsidP="001572E5" w:rsidRDefault="001572E5" w14:paraId="5B43CA88" w14:textId="477E98C2">
            <w:pPr>
              <w:tabs>
                <w:tab w:val="left" w:pos="6030"/>
              </w:tabs>
              <w:spacing w:line="276" w:lineRule="auto"/>
              <w:jc w:val="right"/>
              <w:rPr>
                <w:sz w:val="20"/>
                <w:szCs w:val="20"/>
              </w:rPr>
            </w:pPr>
            <w:r>
              <w:rPr>
                <w:sz w:val="20"/>
                <w:szCs w:val="20"/>
              </w:rPr>
              <w:t>1</w:t>
            </w:r>
          </w:p>
        </w:tc>
        <w:tc>
          <w:tcPr>
            <w:tcW w:w="1094" w:type="dxa"/>
          </w:tcPr>
          <w:p w:rsidRPr="00BB7053" w:rsidR="001572E5" w:rsidP="0013664B" w:rsidRDefault="009527B4" w14:paraId="52BDB0F3" w14:textId="371DB3A5">
            <w:pPr>
              <w:tabs>
                <w:tab w:val="left" w:pos="6030"/>
              </w:tabs>
              <w:spacing w:line="276" w:lineRule="auto"/>
              <w:jc w:val="center"/>
              <w:rPr>
                <w:sz w:val="20"/>
                <w:szCs w:val="20"/>
              </w:rPr>
            </w:pPr>
            <w:r>
              <w:rPr>
                <w:sz w:val="20"/>
                <w:szCs w:val="20"/>
              </w:rPr>
              <w:t xml:space="preserve">           42,827</w:t>
            </w:r>
          </w:p>
        </w:tc>
        <w:tc>
          <w:tcPr>
            <w:tcW w:w="1077" w:type="dxa"/>
          </w:tcPr>
          <w:p w:rsidRPr="00BB7053" w:rsidR="001572E5" w:rsidP="001572E5" w:rsidRDefault="001572E5" w14:paraId="523A498C" w14:textId="7392A018">
            <w:pPr>
              <w:tabs>
                <w:tab w:val="left" w:pos="6030"/>
              </w:tabs>
              <w:spacing w:line="276" w:lineRule="auto"/>
              <w:jc w:val="right"/>
              <w:rPr>
                <w:sz w:val="20"/>
                <w:szCs w:val="20"/>
              </w:rPr>
            </w:pPr>
            <w:r>
              <w:rPr>
                <w:sz w:val="20"/>
                <w:szCs w:val="20"/>
              </w:rPr>
              <w:t>0.25</w:t>
            </w:r>
          </w:p>
        </w:tc>
        <w:tc>
          <w:tcPr>
            <w:tcW w:w="1069" w:type="dxa"/>
          </w:tcPr>
          <w:p w:rsidRPr="00BB7053" w:rsidR="001572E5" w:rsidP="001572E5" w:rsidRDefault="00710B28" w14:paraId="21244F96" w14:textId="49DFB610">
            <w:pPr>
              <w:tabs>
                <w:tab w:val="left" w:pos="6030"/>
              </w:tabs>
              <w:spacing w:line="276" w:lineRule="auto"/>
              <w:jc w:val="right"/>
              <w:rPr>
                <w:sz w:val="20"/>
                <w:szCs w:val="20"/>
              </w:rPr>
            </w:pPr>
            <w:r>
              <w:rPr>
                <w:sz w:val="20"/>
                <w:szCs w:val="20"/>
              </w:rPr>
              <w:t>1</w:t>
            </w:r>
            <w:r w:rsidR="009527B4">
              <w:rPr>
                <w:sz w:val="20"/>
                <w:szCs w:val="20"/>
              </w:rPr>
              <w:t>0,707</w:t>
            </w:r>
          </w:p>
        </w:tc>
        <w:tc>
          <w:tcPr>
            <w:tcW w:w="1066" w:type="dxa"/>
          </w:tcPr>
          <w:p w:rsidRPr="00BB7053" w:rsidR="001572E5" w:rsidP="001572E5" w:rsidRDefault="001572E5" w14:paraId="090DEB29" w14:textId="29272928">
            <w:pPr>
              <w:tabs>
                <w:tab w:val="left" w:pos="6030"/>
              </w:tabs>
              <w:spacing w:line="276" w:lineRule="auto"/>
              <w:jc w:val="right"/>
              <w:rPr>
                <w:sz w:val="20"/>
                <w:szCs w:val="20"/>
              </w:rPr>
            </w:pPr>
            <w:r>
              <w:rPr>
                <w:sz w:val="20"/>
                <w:szCs w:val="20"/>
              </w:rPr>
              <w:t>9</w:t>
            </w:r>
            <w:r w:rsidR="009527B4">
              <w:rPr>
                <w:sz w:val="20"/>
                <w:szCs w:val="20"/>
              </w:rPr>
              <w:t>8</w:t>
            </w:r>
            <w:r w:rsidR="002817E3">
              <w:rPr>
                <w:sz w:val="20"/>
                <w:szCs w:val="20"/>
              </w:rPr>
              <w:t>.2</w:t>
            </w:r>
            <w:r w:rsidR="009527B4">
              <w:rPr>
                <w:sz w:val="20"/>
                <w:szCs w:val="20"/>
              </w:rPr>
              <w:t>8</w:t>
            </w:r>
          </w:p>
        </w:tc>
        <w:tc>
          <w:tcPr>
            <w:tcW w:w="1681" w:type="dxa"/>
          </w:tcPr>
          <w:p w:rsidRPr="00BB7053" w:rsidR="001572E5" w:rsidP="001572E5" w:rsidRDefault="0067062C" w14:paraId="76034A2D" w14:textId="0404470B">
            <w:pPr>
              <w:tabs>
                <w:tab w:val="left" w:pos="6030"/>
              </w:tabs>
              <w:spacing w:line="276" w:lineRule="auto"/>
              <w:jc w:val="right"/>
              <w:rPr>
                <w:sz w:val="20"/>
                <w:szCs w:val="20"/>
              </w:rPr>
            </w:pPr>
            <w:r>
              <w:rPr>
                <w:sz w:val="20"/>
                <w:szCs w:val="20"/>
              </w:rPr>
              <w:t>1,</w:t>
            </w:r>
            <w:r w:rsidR="00212E66">
              <w:rPr>
                <w:sz w:val="20"/>
                <w:szCs w:val="20"/>
              </w:rPr>
              <w:t>0</w:t>
            </w:r>
            <w:r w:rsidR="005C6A18">
              <w:rPr>
                <w:sz w:val="20"/>
                <w:szCs w:val="20"/>
              </w:rPr>
              <w:t>52</w:t>
            </w:r>
            <w:r w:rsidR="005C3817">
              <w:rPr>
                <w:sz w:val="20"/>
                <w:szCs w:val="20"/>
              </w:rPr>
              <w:t>,2</w:t>
            </w:r>
            <w:r w:rsidR="005C6A18">
              <w:rPr>
                <w:sz w:val="20"/>
                <w:szCs w:val="20"/>
              </w:rPr>
              <w:t>8</w:t>
            </w:r>
            <w:r w:rsidR="00212E66">
              <w:rPr>
                <w:sz w:val="20"/>
                <w:szCs w:val="20"/>
              </w:rPr>
              <w:t>4</w:t>
            </w:r>
          </w:p>
        </w:tc>
      </w:tr>
      <w:tr w:rsidR="000D078D" w:rsidTr="003830B0" w14:paraId="5BF76EF4" w14:textId="77777777">
        <w:tc>
          <w:tcPr>
            <w:tcW w:w="1254" w:type="dxa"/>
          </w:tcPr>
          <w:p w:rsidRPr="00BB7053" w:rsidR="001572E5" w:rsidP="00192E2E" w:rsidRDefault="008E2BA0" w14:paraId="2826FC19" w14:textId="2E8D6EA6">
            <w:pPr>
              <w:tabs>
                <w:tab w:val="left" w:pos="6030"/>
              </w:tabs>
              <w:spacing w:line="276" w:lineRule="auto"/>
              <w:rPr>
                <w:sz w:val="20"/>
                <w:szCs w:val="20"/>
              </w:rPr>
            </w:pPr>
            <w:r>
              <w:rPr>
                <w:sz w:val="20"/>
                <w:szCs w:val="20"/>
              </w:rPr>
              <w:t xml:space="preserve">Proposed </w:t>
            </w:r>
            <w:r w:rsidRPr="00A67FD9" w:rsidR="00A67FD9">
              <w:rPr>
                <w:sz w:val="20"/>
                <w:szCs w:val="20"/>
              </w:rPr>
              <w:t>(See Table 1</w:t>
            </w:r>
            <w:r w:rsidR="00E67FEF">
              <w:rPr>
                <w:sz w:val="20"/>
                <w:szCs w:val="20"/>
              </w:rPr>
              <w:t>6</w:t>
            </w:r>
            <w:r w:rsidRPr="00A67FD9" w:rsidR="00A67FD9">
              <w:rPr>
                <w:sz w:val="20"/>
                <w:szCs w:val="20"/>
              </w:rPr>
              <w:t>)</w:t>
            </w:r>
          </w:p>
        </w:tc>
        <w:tc>
          <w:tcPr>
            <w:tcW w:w="1306" w:type="dxa"/>
          </w:tcPr>
          <w:p w:rsidRPr="00BB7053" w:rsidR="001572E5" w:rsidP="001572E5" w:rsidRDefault="00CA5389" w14:paraId="7AA20B4B" w14:textId="02DA9420">
            <w:pPr>
              <w:tabs>
                <w:tab w:val="left" w:pos="6030"/>
              </w:tabs>
              <w:spacing w:line="276" w:lineRule="auto"/>
              <w:jc w:val="right"/>
              <w:rPr>
                <w:sz w:val="20"/>
                <w:szCs w:val="20"/>
              </w:rPr>
            </w:pPr>
            <w:r>
              <w:rPr>
                <w:sz w:val="20"/>
                <w:szCs w:val="20"/>
              </w:rPr>
              <w:t>31,155</w:t>
            </w:r>
          </w:p>
        </w:tc>
        <w:tc>
          <w:tcPr>
            <w:tcW w:w="1168" w:type="dxa"/>
          </w:tcPr>
          <w:p w:rsidRPr="00BB7053" w:rsidR="001572E5" w:rsidP="001572E5" w:rsidRDefault="001572E5" w14:paraId="35982FA3" w14:textId="562B4AA3">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9527B4" w14:paraId="2A684F91" w14:textId="16713D7C">
            <w:pPr>
              <w:tabs>
                <w:tab w:val="left" w:pos="6030"/>
              </w:tabs>
              <w:spacing w:line="276" w:lineRule="auto"/>
              <w:jc w:val="right"/>
              <w:rPr>
                <w:sz w:val="20"/>
                <w:szCs w:val="20"/>
              </w:rPr>
            </w:pPr>
            <w:r>
              <w:rPr>
                <w:sz w:val="20"/>
                <w:szCs w:val="20"/>
              </w:rPr>
              <w:t>31,155</w:t>
            </w:r>
          </w:p>
        </w:tc>
        <w:tc>
          <w:tcPr>
            <w:tcW w:w="1077" w:type="dxa"/>
          </w:tcPr>
          <w:p w:rsidRPr="00BB7053" w:rsidR="001572E5" w:rsidP="001572E5" w:rsidRDefault="001572E5" w14:paraId="7EC12EDC" w14:textId="17D66708">
            <w:pPr>
              <w:tabs>
                <w:tab w:val="left" w:pos="6030"/>
              </w:tabs>
              <w:spacing w:line="276" w:lineRule="auto"/>
              <w:jc w:val="right"/>
              <w:rPr>
                <w:sz w:val="20"/>
                <w:szCs w:val="20"/>
              </w:rPr>
            </w:pPr>
            <w:r>
              <w:rPr>
                <w:sz w:val="20"/>
                <w:szCs w:val="20"/>
              </w:rPr>
              <w:t>0.25</w:t>
            </w:r>
          </w:p>
        </w:tc>
        <w:tc>
          <w:tcPr>
            <w:tcW w:w="1069" w:type="dxa"/>
          </w:tcPr>
          <w:p w:rsidRPr="00BB7053" w:rsidR="001572E5" w:rsidP="001572E5" w:rsidRDefault="009527B4" w14:paraId="542FAF2C" w14:textId="57117F7D">
            <w:pPr>
              <w:tabs>
                <w:tab w:val="left" w:pos="6030"/>
              </w:tabs>
              <w:spacing w:line="276" w:lineRule="auto"/>
              <w:jc w:val="right"/>
              <w:rPr>
                <w:sz w:val="20"/>
                <w:szCs w:val="20"/>
              </w:rPr>
            </w:pPr>
            <w:r>
              <w:rPr>
                <w:sz w:val="20"/>
                <w:szCs w:val="20"/>
              </w:rPr>
              <w:t>7,</w:t>
            </w:r>
            <w:r w:rsidR="002817E3">
              <w:rPr>
                <w:sz w:val="20"/>
                <w:szCs w:val="20"/>
              </w:rPr>
              <w:t>7</w:t>
            </w:r>
            <w:r>
              <w:rPr>
                <w:sz w:val="20"/>
                <w:szCs w:val="20"/>
              </w:rPr>
              <w:t>89</w:t>
            </w:r>
          </w:p>
        </w:tc>
        <w:tc>
          <w:tcPr>
            <w:tcW w:w="1066" w:type="dxa"/>
          </w:tcPr>
          <w:p w:rsidRPr="00BB7053" w:rsidR="001572E5" w:rsidP="001572E5" w:rsidRDefault="001572E5" w14:paraId="44601190" w14:textId="325D70AF">
            <w:pPr>
              <w:tabs>
                <w:tab w:val="left" w:pos="6030"/>
              </w:tabs>
              <w:spacing w:line="276" w:lineRule="auto"/>
              <w:jc w:val="right"/>
              <w:rPr>
                <w:sz w:val="20"/>
                <w:szCs w:val="20"/>
              </w:rPr>
            </w:pPr>
            <w:r>
              <w:rPr>
                <w:sz w:val="20"/>
                <w:szCs w:val="20"/>
              </w:rPr>
              <w:t>9</w:t>
            </w:r>
            <w:r w:rsidR="005C6A18">
              <w:rPr>
                <w:sz w:val="20"/>
                <w:szCs w:val="20"/>
              </w:rPr>
              <w:t>8</w:t>
            </w:r>
            <w:r w:rsidR="002817E3">
              <w:rPr>
                <w:sz w:val="20"/>
                <w:szCs w:val="20"/>
              </w:rPr>
              <w:t>.2</w:t>
            </w:r>
            <w:r w:rsidR="009527B4">
              <w:rPr>
                <w:sz w:val="20"/>
                <w:szCs w:val="20"/>
              </w:rPr>
              <w:t>8</w:t>
            </w:r>
          </w:p>
        </w:tc>
        <w:tc>
          <w:tcPr>
            <w:tcW w:w="1681" w:type="dxa"/>
          </w:tcPr>
          <w:p w:rsidRPr="00BB7053" w:rsidR="001572E5" w:rsidP="001572E5" w:rsidRDefault="00EC7BCA" w14:paraId="348E8E57" w14:textId="30FA4796">
            <w:pPr>
              <w:tabs>
                <w:tab w:val="left" w:pos="6030"/>
              </w:tabs>
              <w:spacing w:line="276" w:lineRule="auto"/>
              <w:jc w:val="right"/>
              <w:rPr>
                <w:sz w:val="20"/>
                <w:szCs w:val="20"/>
              </w:rPr>
            </w:pPr>
            <w:r>
              <w:rPr>
                <w:sz w:val="20"/>
                <w:szCs w:val="20"/>
              </w:rPr>
              <w:t>765</w:t>
            </w:r>
            <w:r w:rsidR="00F07AF1">
              <w:rPr>
                <w:sz w:val="20"/>
                <w:szCs w:val="20"/>
              </w:rPr>
              <w:t>,</w:t>
            </w:r>
            <w:r w:rsidR="005C3817">
              <w:rPr>
                <w:sz w:val="20"/>
                <w:szCs w:val="20"/>
              </w:rPr>
              <w:t>5</w:t>
            </w:r>
            <w:r>
              <w:rPr>
                <w:sz w:val="20"/>
                <w:szCs w:val="20"/>
              </w:rPr>
              <w:t>03</w:t>
            </w:r>
          </w:p>
        </w:tc>
      </w:tr>
      <w:tr w:rsidR="00EC7BCA" w:rsidTr="003830B0" w14:paraId="19427EC9" w14:textId="77777777">
        <w:tc>
          <w:tcPr>
            <w:tcW w:w="1254" w:type="dxa"/>
            <w:shd w:val="clear" w:color="auto" w:fill="D9D9D9" w:themeFill="background1" w:themeFillShade="D9"/>
          </w:tcPr>
          <w:p w:rsidRPr="00BB7053" w:rsidR="001572E5" w:rsidP="001572E5" w:rsidRDefault="001572E5" w14:paraId="3E686E31"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00B27405" w:rsidP="001572E5" w:rsidRDefault="00B27405" w14:paraId="321089FC" w14:textId="6549001B">
            <w:pPr>
              <w:tabs>
                <w:tab w:val="left" w:pos="6030"/>
              </w:tabs>
              <w:spacing w:line="276" w:lineRule="auto"/>
              <w:jc w:val="right"/>
              <w:rPr>
                <w:sz w:val="20"/>
                <w:szCs w:val="20"/>
              </w:rPr>
            </w:pPr>
            <w:r>
              <w:rPr>
                <w:sz w:val="20"/>
                <w:szCs w:val="20"/>
              </w:rPr>
              <w:t>-</w:t>
            </w:r>
            <w:r w:rsidR="00B9469C">
              <w:rPr>
                <w:sz w:val="20"/>
                <w:szCs w:val="20"/>
              </w:rPr>
              <w:t>11</w:t>
            </w:r>
            <w:r>
              <w:rPr>
                <w:sz w:val="20"/>
                <w:szCs w:val="20"/>
              </w:rPr>
              <w:t>,</w:t>
            </w:r>
            <w:r w:rsidR="00B9469C">
              <w:rPr>
                <w:sz w:val="20"/>
                <w:szCs w:val="20"/>
              </w:rPr>
              <w:t>6</w:t>
            </w:r>
            <w:r>
              <w:rPr>
                <w:sz w:val="20"/>
                <w:szCs w:val="20"/>
              </w:rPr>
              <w:t>72</w:t>
            </w:r>
          </w:p>
          <w:p w:rsidRPr="00BB7053" w:rsidR="001572E5" w:rsidP="001572E5" w:rsidRDefault="001572E5" w14:paraId="475828B0" w14:textId="258A276B">
            <w:pPr>
              <w:tabs>
                <w:tab w:val="left" w:pos="6030"/>
              </w:tabs>
              <w:spacing w:line="276" w:lineRule="auto"/>
              <w:jc w:val="right"/>
              <w:rPr>
                <w:sz w:val="20"/>
                <w:szCs w:val="20"/>
              </w:rPr>
            </w:pPr>
          </w:p>
        </w:tc>
        <w:tc>
          <w:tcPr>
            <w:tcW w:w="1168" w:type="dxa"/>
            <w:shd w:val="clear" w:color="auto" w:fill="D9D9D9" w:themeFill="background1" w:themeFillShade="D9"/>
          </w:tcPr>
          <w:p w:rsidRPr="00BB7053" w:rsidR="001572E5" w:rsidP="001572E5" w:rsidRDefault="001572E5" w14:paraId="1C1DCE71" w14:textId="1F912627">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000D078D" w:rsidP="001572E5" w:rsidRDefault="000D078D" w14:paraId="5FC81D22" w14:textId="61637743">
            <w:pPr>
              <w:tabs>
                <w:tab w:val="left" w:pos="6030"/>
              </w:tabs>
              <w:spacing w:line="276" w:lineRule="auto"/>
              <w:jc w:val="right"/>
              <w:rPr>
                <w:sz w:val="20"/>
                <w:szCs w:val="20"/>
              </w:rPr>
            </w:pPr>
            <w:r>
              <w:rPr>
                <w:sz w:val="20"/>
                <w:szCs w:val="20"/>
              </w:rPr>
              <w:t>-</w:t>
            </w:r>
            <w:r w:rsidR="009527B4">
              <w:rPr>
                <w:sz w:val="20"/>
                <w:szCs w:val="20"/>
              </w:rPr>
              <w:t>11</w:t>
            </w:r>
            <w:r>
              <w:rPr>
                <w:sz w:val="20"/>
                <w:szCs w:val="20"/>
              </w:rPr>
              <w:t>,</w:t>
            </w:r>
            <w:r w:rsidR="009527B4">
              <w:rPr>
                <w:sz w:val="20"/>
                <w:szCs w:val="20"/>
              </w:rPr>
              <w:t>6</w:t>
            </w:r>
            <w:r>
              <w:rPr>
                <w:sz w:val="20"/>
                <w:szCs w:val="20"/>
              </w:rPr>
              <w:t>72</w:t>
            </w:r>
          </w:p>
          <w:p w:rsidRPr="00BB7053" w:rsidR="001572E5" w:rsidP="001572E5" w:rsidRDefault="001572E5" w14:paraId="3E858B1C" w14:textId="4016FA87">
            <w:pPr>
              <w:tabs>
                <w:tab w:val="left" w:pos="6030"/>
              </w:tabs>
              <w:spacing w:line="276" w:lineRule="auto"/>
              <w:jc w:val="right"/>
              <w:rPr>
                <w:sz w:val="20"/>
                <w:szCs w:val="20"/>
              </w:rPr>
            </w:pPr>
          </w:p>
        </w:tc>
        <w:tc>
          <w:tcPr>
            <w:tcW w:w="1077" w:type="dxa"/>
            <w:shd w:val="clear" w:color="auto" w:fill="D9D9D9" w:themeFill="background1" w:themeFillShade="D9"/>
          </w:tcPr>
          <w:p w:rsidRPr="00BB7053" w:rsidR="001572E5" w:rsidP="001572E5" w:rsidRDefault="001572E5" w14:paraId="243684A5" w14:textId="42FFA655">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000D078D" w:rsidP="001572E5" w:rsidRDefault="000D078D" w14:paraId="14838D84" w14:textId="3FE33941">
            <w:pPr>
              <w:tabs>
                <w:tab w:val="left" w:pos="6030"/>
              </w:tabs>
              <w:spacing w:line="276" w:lineRule="auto"/>
              <w:jc w:val="right"/>
              <w:rPr>
                <w:sz w:val="20"/>
                <w:szCs w:val="20"/>
              </w:rPr>
            </w:pPr>
            <w:r>
              <w:rPr>
                <w:sz w:val="20"/>
                <w:szCs w:val="20"/>
              </w:rPr>
              <w:t>-2,</w:t>
            </w:r>
            <w:r w:rsidR="009527B4">
              <w:rPr>
                <w:sz w:val="20"/>
                <w:szCs w:val="20"/>
              </w:rPr>
              <w:t>9</w:t>
            </w:r>
            <w:r>
              <w:rPr>
                <w:sz w:val="20"/>
                <w:szCs w:val="20"/>
              </w:rPr>
              <w:t>18</w:t>
            </w:r>
          </w:p>
          <w:p w:rsidRPr="00BB7053" w:rsidR="001572E5" w:rsidP="001572E5" w:rsidRDefault="001572E5" w14:paraId="5A8B6EC1" w14:textId="4C95F1E5">
            <w:pPr>
              <w:tabs>
                <w:tab w:val="left" w:pos="6030"/>
              </w:tabs>
              <w:spacing w:line="276" w:lineRule="auto"/>
              <w:jc w:val="right"/>
              <w:rPr>
                <w:sz w:val="20"/>
                <w:szCs w:val="20"/>
              </w:rPr>
            </w:pPr>
          </w:p>
        </w:tc>
        <w:tc>
          <w:tcPr>
            <w:tcW w:w="1066" w:type="dxa"/>
            <w:shd w:val="clear" w:color="auto" w:fill="D9D9D9" w:themeFill="background1" w:themeFillShade="D9"/>
          </w:tcPr>
          <w:p w:rsidRPr="00BB7053" w:rsidR="001572E5" w:rsidP="001572E5" w:rsidRDefault="001572E5" w14:paraId="3224C086" w14:textId="1EC3658A">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Pr="00BB7053" w:rsidR="001572E5" w:rsidP="001572E5" w:rsidRDefault="002E1441" w14:paraId="46FAA96C" w14:textId="0B184C62">
            <w:pPr>
              <w:tabs>
                <w:tab w:val="left" w:pos="6030"/>
              </w:tabs>
              <w:spacing w:line="276" w:lineRule="auto"/>
              <w:jc w:val="right"/>
              <w:rPr>
                <w:sz w:val="20"/>
                <w:szCs w:val="20"/>
              </w:rPr>
            </w:pPr>
            <w:r>
              <w:rPr>
                <w:sz w:val="20"/>
                <w:szCs w:val="20"/>
              </w:rPr>
              <w:t>-</w:t>
            </w:r>
            <w:r w:rsidR="00775B37">
              <w:rPr>
                <w:sz w:val="20"/>
                <w:szCs w:val="20"/>
              </w:rPr>
              <w:t>2</w:t>
            </w:r>
            <w:r w:rsidR="00EC7BCA">
              <w:rPr>
                <w:sz w:val="20"/>
                <w:szCs w:val="20"/>
              </w:rPr>
              <w:t>86,781</w:t>
            </w:r>
          </w:p>
        </w:tc>
      </w:tr>
    </w:tbl>
    <w:p w:rsidR="00885183" w:rsidP="00BB7053" w:rsidRDefault="00885183" w14:paraId="1D1C58E1" w14:textId="2706A3BD">
      <w:pPr>
        <w:tabs>
          <w:tab w:val="left" w:pos="6030"/>
        </w:tabs>
        <w:spacing w:line="276" w:lineRule="auto"/>
        <w:jc w:val="both"/>
      </w:pPr>
    </w:p>
    <w:p w:rsidR="00885183" w:rsidP="00657E0A" w:rsidRDefault="00885183" w14:paraId="379B1730" w14:textId="5C9FCE0F">
      <w:pPr>
        <w:keepNext/>
        <w:keepLines/>
        <w:jc w:val="center"/>
        <w:rPr>
          <w:b/>
          <w:bCs/>
        </w:rPr>
      </w:pPr>
      <w:r w:rsidRPr="00B30713">
        <w:rPr>
          <w:rFonts w:eastAsia="Calibri"/>
          <w:b/>
          <w:bCs/>
        </w:rPr>
        <w:t xml:space="preserve">TABLE </w:t>
      </w:r>
      <w:r w:rsidR="00C1361E">
        <w:rPr>
          <w:rFonts w:eastAsia="Calibri"/>
          <w:b/>
          <w:bCs/>
        </w:rPr>
        <w:t>3</w:t>
      </w:r>
      <w:r w:rsidR="00A128F7">
        <w:rPr>
          <w:rFonts w:eastAsia="Calibri"/>
          <w:b/>
          <w:bCs/>
        </w:rPr>
        <w:t>0N</w:t>
      </w:r>
      <w:r w:rsidRPr="00B30713">
        <w:rPr>
          <w:rFonts w:eastAsia="Calibri"/>
          <w:b/>
          <w:bCs/>
        </w:rPr>
        <w:t xml:space="preserve">: Burden Reconciliation for </w:t>
      </w:r>
      <w:r w:rsidRPr="002B4E2D" w:rsidR="002B4E2D">
        <w:rPr>
          <w:rFonts w:eastAsia="Calibri"/>
          <w:b/>
          <w:bCs/>
        </w:rPr>
        <w:t>Promoting Interoperability Performance Category Data Submission</w:t>
      </w:r>
    </w:p>
    <w:tbl>
      <w:tblPr>
        <w:tblStyle w:val="TableGrid"/>
        <w:tblW w:w="9715" w:type="dxa"/>
        <w:tblLayout w:type="fixed"/>
        <w:tblLook w:val="04A0" w:firstRow="1" w:lastRow="0" w:firstColumn="1" w:lastColumn="0" w:noHBand="0" w:noVBand="1"/>
      </w:tblPr>
      <w:tblGrid>
        <w:gridCol w:w="1238"/>
        <w:gridCol w:w="1306"/>
        <w:gridCol w:w="1127"/>
        <w:gridCol w:w="1094"/>
        <w:gridCol w:w="1017"/>
        <w:gridCol w:w="1166"/>
        <w:gridCol w:w="783"/>
        <w:gridCol w:w="1984"/>
      </w:tblGrid>
      <w:tr w:rsidR="00E14979" w:rsidTr="003830B0" w14:paraId="4359804C" w14:textId="77777777">
        <w:trPr>
          <w:tblHeader/>
        </w:trPr>
        <w:tc>
          <w:tcPr>
            <w:tcW w:w="1238" w:type="dxa"/>
          </w:tcPr>
          <w:p w:rsidRPr="00173FA2" w:rsidR="00885183" w:rsidP="00657E0A" w:rsidRDefault="00885183" w14:paraId="53D56C7F"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657E0A" w:rsidRDefault="00885183" w14:paraId="3DB018B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27" w:type="dxa"/>
          </w:tcPr>
          <w:p w:rsidRPr="00173FA2" w:rsidR="00885183" w:rsidP="00657E0A" w:rsidRDefault="00885183" w14:paraId="27B19A8C"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657E0A" w:rsidRDefault="00885183" w14:paraId="6382B3D1"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17" w:type="dxa"/>
          </w:tcPr>
          <w:p w:rsidRPr="00173FA2" w:rsidR="00885183" w:rsidP="00657E0A" w:rsidRDefault="00885183" w14:paraId="2839334B"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166" w:type="dxa"/>
          </w:tcPr>
          <w:p w:rsidRPr="00173FA2" w:rsidR="00885183" w:rsidP="00657E0A" w:rsidRDefault="00885183" w14:paraId="357179F8"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783" w:type="dxa"/>
          </w:tcPr>
          <w:p w:rsidRPr="00173FA2" w:rsidR="00885183" w:rsidP="00657E0A" w:rsidRDefault="00885183" w14:paraId="5D6101FF"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984" w:type="dxa"/>
          </w:tcPr>
          <w:p w:rsidRPr="00173FA2" w:rsidR="00885183" w:rsidP="00657E0A" w:rsidRDefault="00885183" w14:paraId="6D968AD8" w14:textId="77777777">
            <w:pPr>
              <w:keepNext/>
              <w:keepLines/>
              <w:tabs>
                <w:tab w:val="left" w:pos="6030"/>
              </w:tabs>
              <w:spacing w:line="276" w:lineRule="auto"/>
              <w:rPr>
                <w:b/>
                <w:bCs/>
                <w:sz w:val="20"/>
                <w:szCs w:val="20"/>
              </w:rPr>
            </w:pPr>
            <w:r w:rsidRPr="00173FA2">
              <w:rPr>
                <w:b/>
                <w:bCs/>
                <w:sz w:val="20"/>
                <w:szCs w:val="20"/>
              </w:rPr>
              <w:t>Total Annual Cost ($)</w:t>
            </w:r>
          </w:p>
        </w:tc>
      </w:tr>
      <w:tr w:rsidR="00E14979" w:rsidTr="003830B0" w14:paraId="4AA5E1C6" w14:textId="77777777">
        <w:tc>
          <w:tcPr>
            <w:tcW w:w="1238" w:type="dxa"/>
          </w:tcPr>
          <w:p w:rsidRPr="00BB7053" w:rsidR="009971ED" w:rsidP="009971ED" w:rsidRDefault="009971ED" w14:paraId="5B9BB8F4" w14:textId="1D71A9A4">
            <w:pPr>
              <w:tabs>
                <w:tab w:val="left" w:pos="6030"/>
              </w:tabs>
              <w:spacing w:line="276" w:lineRule="auto"/>
              <w:jc w:val="both"/>
              <w:rPr>
                <w:sz w:val="20"/>
                <w:szCs w:val="20"/>
              </w:rPr>
            </w:pPr>
            <w:r>
              <w:rPr>
                <w:sz w:val="20"/>
                <w:szCs w:val="20"/>
              </w:rPr>
              <w:t>Currently Approved</w:t>
            </w:r>
            <w:r w:rsidR="005348CC">
              <w:rPr>
                <w:sz w:val="20"/>
                <w:szCs w:val="20"/>
              </w:rPr>
              <w:t xml:space="preserve"> </w:t>
            </w:r>
          </w:p>
        </w:tc>
        <w:tc>
          <w:tcPr>
            <w:tcW w:w="1306" w:type="dxa"/>
          </w:tcPr>
          <w:p w:rsidRPr="00BB7053" w:rsidR="009971ED" w:rsidP="009971ED" w:rsidRDefault="003D05B2" w14:paraId="00133E37" w14:textId="220365C8">
            <w:pPr>
              <w:tabs>
                <w:tab w:val="left" w:pos="6030"/>
              </w:tabs>
              <w:spacing w:line="276" w:lineRule="auto"/>
              <w:jc w:val="right"/>
              <w:rPr>
                <w:sz w:val="20"/>
                <w:szCs w:val="20"/>
              </w:rPr>
            </w:pPr>
            <w:r>
              <w:rPr>
                <w:sz w:val="20"/>
                <w:szCs w:val="20"/>
              </w:rPr>
              <w:t>5</w:t>
            </w:r>
            <w:r w:rsidR="003B7F4A">
              <w:rPr>
                <w:sz w:val="20"/>
                <w:szCs w:val="20"/>
              </w:rPr>
              <w:t>1,667</w:t>
            </w:r>
          </w:p>
        </w:tc>
        <w:tc>
          <w:tcPr>
            <w:tcW w:w="1127" w:type="dxa"/>
          </w:tcPr>
          <w:p w:rsidRPr="00BB7053" w:rsidR="009971ED" w:rsidP="009971ED" w:rsidRDefault="009971ED" w14:paraId="7D4661B9" w14:textId="36DBF6C7">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3D05B2" w14:paraId="101FFAAF" w14:textId="776473FB">
            <w:pPr>
              <w:tabs>
                <w:tab w:val="left" w:pos="6030"/>
              </w:tabs>
              <w:spacing w:line="276" w:lineRule="auto"/>
              <w:jc w:val="right"/>
              <w:rPr>
                <w:sz w:val="20"/>
                <w:szCs w:val="20"/>
              </w:rPr>
            </w:pPr>
            <w:r>
              <w:rPr>
                <w:sz w:val="20"/>
                <w:szCs w:val="20"/>
              </w:rPr>
              <w:t>5</w:t>
            </w:r>
            <w:r w:rsidR="003B7F4A">
              <w:rPr>
                <w:sz w:val="20"/>
                <w:szCs w:val="20"/>
              </w:rPr>
              <w:t>1,667</w:t>
            </w:r>
          </w:p>
        </w:tc>
        <w:tc>
          <w:tcPr>
            <w:tcW w:w="1017" w:type="dxa"/>
          </w:tcPr>
          <w:p w:rsidRPr="00BB7053" w:rsidR="009971ED" w:rsidP="009971ED" w:rsidRDefault="009971ED" w14:paraId="35E0D23C" w14:textId="63C26B94">
            <w:pPr>
              <w:tabs>
                <w:tab w:val="left" w:pos="6030"/>
              </w:tabs>
              <w:spacing w:line="276" w:lineRule="auto"/>
              <w:jc w:val="right"/>
              <w:rPr>
                <w:sz w:val="20"/>
                <w:szCs w:val="20"/>
              </w:rPr>
            </w:pPr>
            <w:r>
              <w:rPr>
                <w:sz w:val="20"/>
                <w:szCs w:val="20"/>
              </w:rPr>
              <w:t>2.6</w:t>
            </w:r>
            <w:r w:rsidR="003B7F4A">
              <w:rPr>
                <w:sz w:val="20"/>
                <w:szCs w:val="20"/>
              </w:rPr>
              <w:t>9</w:t>
            </w:r>
          </w:p>
        </w:tc>
        <w:tc>
          <w:tcPr>
            <w:tcW w:w="1166" w:type="dxa"/>
          </w:tcPr>
          <w:p w:rsidRPr="00BB7053" w:rsidR="009971ED" w:rsidP="009971ED" w:rsidRDefault="00E14979" w14:paraId="0CEE064A" w14:textId="5CDA0AFA">
            <w:pPr>
              <w:tabs>
                <w:tab w:val="left" w:pos="6030"/>
              </w:tabs>
              <w:spacing w:line="276" w:lineRule="auto"/>
              <w:jc w:val="right"/>
              <w:rPr>
                <w:sz w:val="20"/>
                <w:szCs w:val="20"/>
              </w:rPr>
            </w:pPr>
            <w:r>
              <w:rPr>
                <w:sz w:val="20"/>
                <w:szCs w:val="20"/>
              </w:rPr>
              <w:t>1</w:t>
            </w:r>
            <w:r w:rsidR="00FE6079">
              <w:rPr>
                <w:sz w:val="20"/>
                <w:szCs w:val="20"/>
              </w:rPr>
              <w:t>38,984</w:t>
            </w:r>
          </w:p>
        </w:tc>
        <w:tc>
          <w:tcPr>
            <w:tcW w:w="783" w:type="dxa"/>
          </w:tcPr>
          <w:p w:rsidRPr="00BB7053" w:rsidR="009971ED" w:rsidP="009971ED" w:rsidRDefault="009971ED" w14:paraId="22740B18" w14:textId="53192538">
            <w:pPr>
              <w:tabs>
                <w:tab w:val="left" w:pos="6030"/>
              </w:tabs>
              <w:spacing w:line="276" w:lineRule="auto"/>
              <w:jc w:val="right"/>
              <w:rPr>
                <w:sz w:val="20"/>
                <w:szCs w:val="20"/>
              </w:rPr>
            </w:pPr>
            <w:r>
              <w:rPr>
                <w:sz w:val="20"/>
                <w:szCs w:val="20"/>
              </w:rPr>
              <w:t>9</w:t>
            </w:r>
            <w:r w:rsidR="00BA1A64">
              <w:rPr>
                <w:sz w:val="20"/>
                <w:szCs w:val="20"/>
              </w:rPr>
              <w:t>8</w:t>
            </w:r>
            <w:r w:rsidR="00E14979">
              <w:rPr>
                <w:sz w:val="20"/>
                <w:szCs w:val="20"/>
              </w:rPr>
              <w:t>.2</w:t>
            </w:r>
            <w:r w:rsidR="00BA1A64">
              <w:rPr>
                <w:sz w:val="20"/>
                <w:szCs w:val="20"/>
              </w:rPr>
              <w:t>8</w:t>
            </w:r>
          </w:p>
        </w:tc>
        <w:tc>
          <w:tcPr>
            <w:tcW w:w="1984" w:type="dxa"/>
          </w:tcPr>
          <w:p w:rsidRPr="00BB7053" w:rsidR="009971ED" w:rsidP="009971ED" w:rsidRDefault="00EC0016" w14:paraId="58DA52C3" w14:textId="4DE92C26">
            <w:pPr>
              <w:tabs>
                <w:tab w:val="left" w:pos="6030"/>
              </w:tabs>
              <w:spacing w:line="276" w:lineRule="auto"/>
              <w:jc w:val="right"/>
              <w:rPr>
                <w:sz w:val="20"/>
                <w:szCs w:val="20"/>
              </w:rPr>
            </w:pPr>
            <w:r>
              <w:rPr>
                <w:sz w:val="20"/>
                <w:szCs w:val="20"/>
              </w:rPr>
              <w:t>13,6</w:t>
            </w:r>
            <w:r w:rsidR="003F388D">
              <w:rPr>
                <w:sz w:val="20"/>
                <w:szCs w:val="20"/>
              </w:rPr>
              <w:t>59,348</w:t>
            </w:r>
          </w:p>
        </w:tc>
      </w:tr>
      <w:tr w:rsidR="00E14979" w:rsidTr="003830B0" w14:paraId="5E7EB5F7" w14:textId="77777777">
        <w:tc>
          <w:tcPr>
            <w:tcW w:w="1238" w:type="dxa"/>
          </w:tcPr>
          <w:p w:rsidRPr="00BB7053" w:rsidR="009971ED" w:rsidP="00192E2E" w:rsidRDefault="009E37D7" w14:paraId="58D34816" w14:textId="28642368">
            <w:pPr>
              <w:tabs>
                <w:tab w:val="left" w:pos="6030"/>
              </w:tabs>
              <w:spacing w:line="276" w:lineRule="auto"/>
              <w:rPr>
                <w:sz w:val="20"/>
                <w:szCs w:val="20"/>
              </w:rPr>
            </w:pPr>
            <w:r>
              <w:rPr>
                <w:sz w:val="20"/>
                <w:szCs w:val="20"/>
              </w:rPr>
              <w:t>Propos</w:t>
            </w:r>
            <w:r w:rsidR="003D0441">
              <w:rPr>
                <w:sz w:val="20"/>
                <w:szCs w:val="20"/>
              </w:rPr>
              <w:t>ed</w:t>
            </w:r>
            <w:r w:rsidR="00A67FD9">
              <w:rPr>
                <w:sz w:val="20"/>
                <w:szCs w:val="20"/>
              </w:rPr>
              <w:t xml:space="preserve"> </w:t>
            </w:r>
            <w:r w:rsidRPr="00A67FD9" w:rsidR="00A67FD9">
              <w:rPr>
                <w:sz w:val="20"/>
                <w:szCs w:val="20"/>
              </w:rPr>
              <w:t xml:space="preserve">(See Table </w:t>
            </w:r>
            <w:r w:rsidR="00E67FEF">
              <w:rPr>
                <w:sz w:val="20"/>
                <w:szCs w:val="20"/>
              </w:rPr>
              <w:t>1</w:t>
            </w:r>
            <w:r w:rsidR="0011693E">
              <w:rPr>
                <w:sz w:val="20"/>
                <w:szCs w:val="20"/>
              </w:rPr>
              <w:t>7</w:t>
            </w:r>
            <w:r w:rsidRPr="00A67FD9" w:rsidR="00A67FD9">
              <w:rPr>
                <w:sz w:val="20"/>
                <w:szCs w:val="20"/>
              </w:rPr>
              <w:t>)</w:t>
            </w:r>
          </w:p>
        </w:tc>
        <w:tc>
          <w:tcPr>
            <w:tcW w:w="1306" w:type="dxa"/>
          </w:tcPr>
          <w:p w:rsidRPr="00BB7053" w:rsidR="009971ED" w:rsidP="009971ED" w:rsidRDefault="00626393" w14:paraId="3C81680F" w14:textId="24AF2712">
            <w:pPr>
              <w:tabs>
                <w:tab w:val="left" w:pos="6030"/>
              </w:tabs>
              <w:spacing w:line="276" w:lineRule="auto"/>
              <w:jc w:val="right"/>
              <w:rPr>
                <w:sz w:val="20"/>
                <w:szCs w:val="20"/>
              </w:rPr>
            </w:pPr>
            <w:r>
              <w:rPr>
                <w:sz w:val="20"/>
                <w:szCs w:val="20"/>
              </w:rPr>
              <w:t>5</w:t>
            </w:r>
            <w:r w:rsidR="003B7F4A">
              <w:rPr>
                <w:sz w:val="20"/>
                <w:szCs w:val="20"/>
              </w:rPr>
              <w:t>4,770</w:t>
            </w:r>
          </w:p>
        </w:tc>
        <w:tc>
          <w:tcPr>
            <w:tcW w:w="1127" w:type="dxa"/>
          </w:tcPr>
          <w:p w:rsidRPr="00BB7053" w:rsidR="009971ED" w:rsidP="009971ED" w:rsidRDefault="009971ED" w14:paraId="4B81C8C9" w14:textId="569C7A45">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626393" w14:paraId="4D00AFD8" w14:textId="6E7AB2A8">
            <w:pPr>
              <w:tabs>
                <w:tab w:val="left" w:pos="6030"/>
              </w:tabs>
              <w:spacing w:line="276" w:lineRule="auto"/>
              <w:jc w:val="right"/>
              <w:rPr>
                <w:sz w:val="20"/>
                <w:szCs w:val="20"/>
              </w:rPr>
            </w:pPr>
            <w:r>
              <w:rPr>
                <w:sz w:val="20"/>
                <w:szCs w:val="20"/>
              </w:rPr>
              <w:t>5</w:t>
            </w:r>
            <w:r w:rsidR="003B7F4A">
              <w:rPr>
                <w:sz w:val="20"/>
                <w:szCs w:val="20"/>
              </w:rPr>
              <w:t>4,770</w:t>
            </w:r>
          </w:p>
        </w:tc>
        <w:tc>
          <w:tcPr>
            <w:tcW w:w="1017" w:type="dxa"/>
          </w:tcPr>
          <w:p w:rsidRPr="00BB7053" w:rsidR="009971ED" w:rsidP="009971ED" w:rsidRDefault="009971ED" w14:paraId="2E66CFBB" w14:textId="409C15FF">
            <w:pPr>
              <w:tabs>
                <w:tab w:val="left" w:pos="6030"/>
              </w:tabs>
              <w:spacing w:line="276" w:lineRule="auto"/>
              <w:jc w:val="right"/>
              <w:rPr>
                <w:sz w:val="20"/>
                <w:szCs w:val="20"/>
              </w:rPr>
            </w:pPr>
            <w:r>
              <w:rPr>
                <w:sz w:val="20"/>
                <w:szCs w:val="20"/>
              </w:rPr>
              <w:t>2.</w:t>
            </w:r>
            <w:r w:rsidR="003B7F4A">
              <w:rPr>
                <w:sz w:val="20"/>
                <w:szCs w:val="20"/>
              </w:rPr>
              <w:t>71</w:t>
            </w:r>
          </w:p>
        </w:tc>
        <w:tc>
          <w:tcPr>
            <w:tcW w:w="1166" w:type="dxa"/>
          </w:tcPr>
          <w:p w:rsidRPr="00BB7053" w:rsidR="009971ED" w:rsidP="009971ED" w:rsidRDefault="00626393" w14:paraId="393BFFBE" w14:textId="3F04BBAB">
            <w:pPr>
              <w:tabs>
                <w:tab w:val="left" w:pos="6030"/>
              </w:tabs>
              <w:spacing w:line="276" w:lineRule="auto"/>
              <w:jc w:val="right"/>
              <w:rPr>
                <w:sz w:val="20"/>
                <w:szCs w:val="20"/>
              </w:rPr>
            </w:pPr>
            <w:r>
              <w:rPr>
                <w:sz w:val="20"/>
                <w:szCs w:val="20"/>
              </w:rPr>
              <w:t>1</w:t>
            </w:r>
            <w:r w:rsidR="00FE6079">
              <w:rPr>
                <w:sz w:val="20"/>
                <w:szCs w:val="20"/>
              </w:rPr>
              <w:t>48,427</w:t>
            </w:r>
          </w:p>
        </w:tc>
        <w:tc>
          <w:tcPr>
            <w:tcW w:w="783" w:type="dxa"/>
          </w:tcPr>
          <w:p w:rsidRPr="00BB7053" w:rsidR="009971ED" w:rsidP="009971ED" w:rsidRDefault="009971ED" w14:paraId="4DCEE873" w14:textId="03B52840">
            <w:pPr>
              <w:tabs>
                <w:tab w:val="left" w:pos="6030"/>
              </w:tabs>
              <w:spacing w:line="276" w:lineRule="auto"/>
              <w:jc w:val="right"/>
              <w:rPr>
                <w:sz w:val="20"/>
                <w:szCs w:val="20"/>
              </w:rPr>
            </w:pPr>
            <w:r>
              <w:rPr>
                <w:sz w:val="20"/>
                <w:szCs w:val="20"/>
              </w:rPr>
              <w:t>9</w:t>
            </w:r>
            <w:r w:rsidR="00BA1A64">
              <w:rPr>
                <w:sz w:val="20"/>
                <w:szCs w:val="20"/>
              </w:rPr>
              <w:t>8</w:t>
            </w:r>
            <w:r w:rsidR="009E2B6D">
              <w:rPr>
                <w:sz w:val="20"/>
                <w:szCs w:val="20"/>
              </w:rPr>
              <w:t>.2</w:t>
            </w:r>
            <w:r w:rsidR="00BA1A64">
              <w:rPr>
                <w:sz w:val="20"/>
                <w:szCs w:val="20"/>
              </w:rPr>
              <w:t>8</w:t>
            </w:r>
          </w:p>
        </w:tc>
        <w:tc>
          <w:tcPr>
            <w:tcW w:w="1984" w:type="dxa"/>
          </w:tcPr>
          <w:p w:rsidRPr="00BB7053" w:rsidR="009971ED" w:rsidP="009971ED" w:rsidRDefault="00626393" w14:paraId="15B8681C" w14:textId="28F938CB">
            <w:pPr>
              <w:tabs>
                <w:tab w:val="left" w:pos="6030"/>
              </w:tabs>
              <w:spacing w:line="276" w:lineRule="auto"/>
              <w:jc w:val="right"/>
              <w:rPr>
                <w:sz w:val="20"/>
                <w:szCs w:val="20"/>
              </w:rPr>
            </w:pPr>
            <w:r>
              <w:rPr>
                <w:sz w:val="20"/>
                <w:szCs w:val="20"/>
              </w:rPr>
              <w:t>1</w:t>
            </w:r>
            <w:r w:rsidR="003F388D">
              <w:rPr>
                <w:sz w:val="20"/>
                <w:szCs w:val="20"/>
              </w:rPr>
              <w:t>4,587,406</w:t>
            </w:r>
          </w:p>
        </w:tc>
      </w:tr>
      <w:tr w:rsidR="00E14979" w:rsidTr="003830B0" w14:paraId="27D1DA06" w14:textId="77777777">
        <w:tc>
          <w:tcPr>
            <w:tcW w:w="1238" w:type="dxa"/>
            <w:shd w:val="clear" w:color="auto" w:fill="D9D9D9" w:themeFill="background1" w:themeFillShade="D9"/>
          </w:tcPr>
          <w:p w:rsidRPr="00BB7053" w:rsidR="009971ED" w:rsidP="009971ED" w:rsidRDefault="009971ED" w14:paraId="3E179C9F" w14:textId="156B9761">
            <w:pPr>
              <w:tabs>
                <w:tab w:val="left" w:pos="6030"/>
              </w:tabs>
              <w:spacing w:line="276" w:lineRule="auto"/>
              <w:jc w:val="both"/>
              <w:rPr>
                <w:sz w:val="20"/>
                <w:szCs w:val="20"/>
              </w:rPr>
            </w:pPr>
            <w:r>
              <w:rPr>
                <w:sz w:val="20"/>
                <w:szCs w:val="20"/>
              </w:rPr>
              <w:t>Adjustment</w:t>
            </w:r>
            <w:r w:rsidR="00B42D7E">
              <w:rPr>
                <w:sz w:val="20"/>
                <w:szCs w:val="20"/>
              </w:rPr>
              <w:t xml:space="preserve"> </w:t>
            </w:r>
          </w:p>
        </w:tc>
        <w:tc>
          <w:tcPr>
            <w:tcW w:w="1306" w:type="dxa"/>
            <w:shd w:val="clear" w:color="auto" w:fill="D9D9D9" w:themeFill="background1" w:themeFillShade="D9"/>
          </w:tcPr>
          <w:p w:rsidRPr="00BB7053" w:rsidR="009971ED" w:rsidP="009971ED" w:rsidRDefault="003B7F4A" w14:paraId="2AE05C13" w14:textId="5B05D22E">
            <w:pPr>
              <w:tabs>
                <w:tab w:val="left" w:pos="6030"/>
              </w:tabs>
              <w:spacing w:line="276" w:lineRule="auto"/>
              <w:jc w:val="right"/>
              <w:rPr>
                <w:sz w:val="20"/>
                <w:szCs w:val="20"/>
              </w:rPr>
            </w:pPr>
            <w:r>
              <w:rPr>
                <w:sz w:val="20"/>
                <w:szCs w:val="20"/>
              </w:rPr>
              <w:t>+3,103</w:t>
            </w:r>
          </w:p>
        </w:tc>
        <w:tc>
          <w:tcPr>
            <w:tcW w:w="1127" w:type="dxa"/>
            <w:shd w:val="clear" w:color="auto" w:fill="D9D9D9" w:themeFill="background1" w:themeFillShade="D9"/>
          </w:tcPr>
          <w:p w:rsidRPr="00BB7053" w:rsidR="009971ED" w:rsidP="009971ED" w:rsidRDefault="009971ED" w14:paraId="7C391659" w14:textId="34472E78">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9971ED" w:rsidP="009971ED" w:rsidRDefault="003B7F4A" w14:paraId="351B3F2E" w14:textId="52C18803">
            <w:pPr>
              <w:tabs>
                <w:tab w:val="left" w:pos="6030"/>
              </w:tabs>
              <w:spacing w:line="276" w:lineRule="auto"/>
              <w:jc w:val="right"/>
              <w:rPr>
                <w:sz w:val="20"/>
                <w:szCs w:val="20"/>
              </w:rPr>
            </w:pPr>
            <w:r>
              <w:rPr>
                <w:sz w:val="20"/>
                <w:szCs w:val="20"/>
              </w:rPr>
              <w:t>+3,103</w:t>
            </w:r>
          </w:p>
        </w:tc>
        <w:tc>
          <w:tcPr>
            <w:tcW w:w="1017" w:type="dxa"/>
            <w:shd w:val="clear" w:color="auto" w:fill="D9D9D9" w:themeFill="background1" w:themeFillShade="D9"/>
          </w:tcPr>
          <w:p w:rsidRPr="00BB7053" w:rsidR="009971ED" w:rsidP="009971ED" w:rsidRDefault="0021008C" w14:paraId="7153A272" w14:textId="710858FB">
            <w:pPr>
              <w:tabs>
                <w:tab w:val="left" w:pos="6030"/>
              </w:tabs>
              <w:spacing w:line="276" w:lineRule="auto"/>
              <w:jc w:val="right"/>
              <w:rPr>
                <w:sz w:val="20"/>
                <w:szCs w:val="20"/>
              </w:rPr>
            </w:pPr>
            <w:r>
              <w:rPr>
                <w:sz w:val="20"/>
                <w:szCs w:val="20"/>
              </w:rPr>
              <w:t>+0.02</w:t>
            </w:r>
          </w:p>
        </w:tc>
        <w:tc>
          <w:tcPr>
            <w:tcW w:w="1166" w:type="dxa"/>
            <w:shd w:val="clear" w:color="auto" w:fill="D9D9D9" w:themeFill="background1" w:themeFillShade="D9"/>
          </w:tcPr>
          <w:p w:rsidRPr="00BB7053" w:rsidR="009971ED" w:rsidP="009971ED" w:rsidRDefault="005D62E1" w14:paraId="308BEE58" w14:textId="0B93D8B0">
            <w:pPr>
              <w:tabs>
                <w:tab w:val="left" w:pos="6030"/>
              </w:tabs>
              <w:spacing w:line="276" w:lineRule="auto"/>
              <w:jc w:val="right"/>
              <w:rPr>
                <w:sz w:val="20"/>
                <w:szCs w:val="20"/>
              </w:rPr>
            </w:pPr>
            <w:r>
              <w:rPr>
                <w:sz w:val="20"/>
                <w:szCs w:val="20"/>
              </w:rPr>
              <w:t>+9,443</w:t>
            </w:r>
          </w:p>
        </w:tc>
        <w:tc>
          <w:tcPr>
            <w:tcW w:w="783" w:type="dxa"/>
            <w:shd w:val="clear" w:color="auto" w:fill="D9D9D9" w:themeFill="background1" w:themeFillShade="D9"/>
          </w:tcPr>
          <w:p w:rsidRPr="00BB7053" w:rsidR="009971ED" w:rsidP="009971ED" w:rsidRDefault="009971ED" w14:paraId="0343746C" w14:textId="1E9EC20F">
            <w:pPr>
              <w:tabs>
                <w:tab w:val="left" w:pos="6030"/>
              </w:tabs>
              <w:spacing w:line="276" w:lineRule="auto"/>
              <w:jc w:val="right"/>
              <w:rPr>
                <w:sz w:val="20"/>
                <w:szCs w:val="20"/>
              </w:rPr>
            </w:pPr>
            <w:r>
              <w:rPr>
                <w:sz w:val="20"/>
                <w:szCs w:val="20"/>
              </w:rPr>
              <w:t>No change</w:t>
            </w:r>
          </w:p>
        </w:tc>
        <w:tc>
          <w:tcPr>
            <w:tcW w:w="1984" w:type="dxa"/>
            <w:shd w:val="clear" w:color="auto" w:fill="D9D9D9" w:themeFill="background1" w:themeFillShade="D9"/>
          </w:tcPr>
          <w:p w:rsidRPr="00BB7053" w:rsidR="009971ED" w:rsidP="009971ED" w:rsidRDefault="00140FC5" w14:paraId="4DD60D87" w14:textId="7EA602BE">
            <w:pPr>
              <w:tabs>
                <w:tab w:val="left" w:pos="6030"/>
              </w:tabs>
              <w:spacing w:line="276" w:lineRule="auto"/>
              <w:jc w:val="right"/>
              <w:rPr>
                <w:sz w:val="20"/>
                <w:szCs w:val="20"/>
              </w:rPr>
            </w:pPr>
            <w:r>
              <w:rPr>
                <w:sz w:val="20"/>
                <w:szCs w:val="20"/>
              </w:rPr>
              <w:t>+928,058</w:t>
            </w:r>
          </w:p>
        </w:tc>
      </w:tr>
    </w:tbl>
    <w:p w:rsidR="00CC5836" w:rsidP="00885183" w:rsidRDefault="00CC5836" w14:paraId="13BD980B" w14:textId="77777777">
      <w:pPr>
        <w:jc w:val="center"/>
        <w:rPr>
          <w:rFonts w:eastAsia="Calibri"/>
          <w:b/>
          <w:bCs/>
        </w:rPr>
      </w:pPr>
    </w:p>
    <w:p w:rsidR="00885183" w:rsidP="00885183" w:rsidRDefault="00885183" w14:paraId="24208E4C" w14:textId="1DC8D703">
      <w:pPr>
        <w:jc w:val="center"/>
        <w:rPr>
          <w:b/>
          <w:bCs/>
        </w:rPr>
      </w:pPr>
      <w:r w:rsidRPr="00B30713">
        <w:rPr>
          <w:rFonts w:eastAsia="Calibri"/>
          <w:b/>
          <w:bCs/>
        </w:rPr>
        <w:t xml:space="preserve">TABLE </w:t>
      </w:r>
      <w:r w:rsidR="00C1361E">
        <w:rPr>
          <w:rFonts w:eastAsia="Calibri"/>
          <w:b/>
          <w:bCs/>
        </w:rPr>
        <w:t>3</w:t>
      </w:r>
      <w:r w:rsidR="007B2CD7">
        <w:rPr>
          <w:rFonts w:eastAsia="Calibri"/>
          <w:b/>
          <w:bCs/>
        </w:rPr>
        <w:t>0O</w:t>
      </w:r>
      <w:r w:rsidRPr="00B30713">
        <w:rPr>
          <w:rFonts w:eastAsia="Calibri"/>
          <w:b/>
          <w:bCs/>
        </w:rPr>
        <w:t xml:space="preserve">: Burden Reconciliation for </w:t>
      </w:r>
      <w:r w:rsidRPr="00E33A26" w:rsidR="00E33A26">
        <w:rPr>
          <w:rFonts w:eastAsia="Calibri"/>
          <w:b/>
          <w:bCs/>
        </w:rPr>
        <w:t>Call for Promoting Interoperability Measures</w:t>
      </w:r>
    </w:p>
    <w:tbl>
      <w:tblPr>
        <w:tblStyle w:val="TableGrid"/>
        <w:tblW w:w="9715" w:type="dxa"/>
        <w:tblLook w:val="04A0" w:firstRow="1" w:lastRow="0" w:firstColumn="1" w:lastColumn="0" w:noHBand="0" w:noVBand="1"/>
      </w:tblPr>
      <w:tblGrid>
        <w:gridCol w:w="1399"/>
        <w:gridCol w:w="1306"/>
        <w:gridCol w:w="1163"/>
        <w:gridCol w:w="1094"/>
        <w:gridCol w:w="1069"/>
        <w:gridCol w:w="1043"/>
        <w:gridCol w:w="1032"/>
        <w:gridCol w:w="1609"/>
      </w:tblGrid>
      <w:tr w:rsidR="00885183" w:rsidTr="003830B0" w14:paraId="13B05EB2" w14:textId="77777777">
        <w:trPr>
          <w:tblHeader/>
        </w:trPr>
        <w:tc>
          <w:tcPr>
            <w:tcW w:w="1399" w:type="dxa"/>
          </w:tcPr>
          <w:p w:rsidRPr="00173FA2" w:rsidR="00885183" w:rsidP="00A56476" w:rsidRDefault="00885183" w14:paraId="0FFFCA3C"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2FE245B" w14:textId="77777777">
            <w:pPr>
              <w:tabs>
                <w:tab w:val="left" w:pos="6030"/>
              </w:tabs>
              <w:spacing w:line="276" w:lineRule="auto"/>
              <w:jc w:val="both"/>
              <w:rPr>
                <w:b/>
                <w:bCs/>
                <w:sz w:val="20"/>
                <w:szCs w:val="20"/>
              </w:rPr>
            </w:pPr>
            <w:r w:rsidRPr="00173FA2">
              <w:rPr>
                <w:b/>
                <w:bCs/>
                <w:sz w:val="20"/>
                <w:szCs w:val="20"/>
              </w:rPr>
              <w:t>Total Annual Respondents</w:t>
            </w:r>
          </w:p>
        </w:tc>
        <w:tc>
          <w:tcPr>
            <w:tcW w:w="1163" w:type="dxa"/>
          </w:tcPr>
          <w:p w:rsidRPr="00173FA2" w:rsidR="00885183" w:rsidP="00A56476" w:rsidRDefault="00885183" w14:paraId="4AC5989D"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197CABE9" w14:textId="77777777">
            <w:pPr>
              <w:tabs>
                <w:tab w:val="left" w:pos="6030"/>
              </w:tabs>
              <w:spacing w:line="276" w:lineRule="auto"/>
              <w:jc w:val="both"/>
              <w:rPr>
                <w:b/>
                <w:bCs/>
                <w:sz w:val="20"/>
                <w:szCs w:val="20"/>
              </w:rPr>
            </w:pPr>
            <w:r w:rsidRPr="00173FA2">
              <w:rPr>
                <w:b/>
                <w:bCs/>
                <w:sz w:val="20"/>
                <w:szCs w:val="20"/>
              </w:rPr>
              <w:t>Total Annual Responses</w:t>
            </w:r>
          </w:p>
        </w:tc>
        <w:tc>
          <w:tcPr>
            <w:tcW w:w="1069" w:type="dxa"/>
          </w:tcPr>
          <w:p w:rsidRPr="00173FA2" w:rsidR="00885183" w:rsidP="00A56476" w:rsidRDefault="00885183" w14:paraId="5EDBBA32" w14:textId="77777777">
            <w:pPr>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43" w:type="dxa"/>
          </w:tcPr>
          <w:p w:rsidRPr="00173FA2" w:rsidR="00885183" w:rsidP="00A56476" w:rsidRDefault="00885183" w14:paraId="2E8304FB" w14:textId="77777777">
            <w:pPr>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32" w:type="dxa"/>
          </w:tcPr>
          <w:p w:rsidRPr="00173FA2" w:rsidR="00885183" w:rsidP="00A56476" w:rsidRDefault="00885183" w14:paraId="7362CB7A" w14:textId="77777777">
            <w:pPr>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609" w:type="dxa"/>
          </w:tcPr>
          <w:p w:rsidRPr="00173FA2" w:rsidR="00885183" w:rsidP="00A56476" w:rsidRDefault="00885183" w14:paraId="3024ED4D" w14:textId="77777777">
            <w:pPr>
              <w:tabs>
                <w:tab w:val="left" w:pos="6030"/>
              </w:tabs>
              <w:spacing w:line="276" w:lineRule="auto"/>
              <w:rPr>
                <w:b/>
                <w:bCs/>
                <w:sz w:val="20"/>
                <w:szCs w:val="20"/>
              </w:rPr>
            </w:pPr>
            <w:r w:rsidRPr="00173FA2">
              <w:rPr>
                <w:b/>
                <w:bCs/>
                <w:sz w:val="20"/>
                <w:szCs w:val="20"/>
              </w:rPr>
              <w:t>Total Annual Cost ($)</w:t>
            </w:r>
          </w:p>
        </w:tc>
      </w:tr>
      <w:tr w:rsidR="00DA7D22" w:rsidTr="003830B0" w14:paraId="0A446F48" w14:textId="77777777">
        <w:tc>
          <w:tcPr>
            <w:tcW w:w="1399" w:type="dxa"/>
          </w:tcPr>
          <w:p w:rsidRPr="00BB7053" w:rsidR="00DA7D22" w:rsidP="00DA7D22" w:rsidRDefault="00DA7D22" w14:paraId="702D7D39" w14:textId="3CED4670">
            <w:pPr>
              <w:tabs>
                <w:tab w:val="left" w:pos="6030"/>
              </w:tabs>
              <w:spacing w:line="276" w:lineRule="auto"/>
              <w:jc w:val="both"/>
              <w:rPr>
                <w:sz w:val="20"/>
                <w:szCs w:val="20"/>
              </w:rPr>
            </w:pPr>
            <w:r>
              <w:rPr>
                <w:sz w:val="20"/>
                <w:szCs w:val="20"/>
              </w:rPr>
              <w:t>Currently Approved</w:t>
            </w:r>
            <w:r w:rsidR="0047236F">
              <w:rPr>
                <w:sz w:val="20"/>
                <w:szCs w:val="20"/>
              </w:rPr>
              <w:t xml:space="preserve"> </w:t>
            </w:r>
          </w:p>
        </w:tc>
        <w:tc>
          <w:tcPr>
            <w:tcW w:w="1306" w:type="dxa"/>
          </w:tcPr>
          <w:p w:rsidRPr="00BB7053" w:rsidR="00DA7D22" w:rsidP="00DA7D22" w:rsidRDefault="00DA7D22" w14:paraId="1C29D424" w14:textId="09BA2608">
            <w:pPr>
              <w:tabs>
                <w:tab w:val="left" w:pos="6030"/>
              </w:tabs>
              <w:spacing w:line="276" w:lineRule="auto"/>
              <w:jc w:val="right"/>
              <w:rPr>
                <w:sz w:val="20"/>
                <w:szCs w:val="20"/>
              </w:rPr>
            </w:pPr>
            <w:r>
              <w:rPr>
                <w:sz w:val="20"/>
                <w:szCs w:val="20"/>
              </w:rPr>
              <w:t>10</w:t>
            </w:r>
          </w:p>
        </w:tc>
        <w:tc>
          <w:tcPr>
            <w:tcW w:w="1163" w:type="dxa"/>
          </w:tcPr>
          <w:p w:rsidRPr="00BB7053" w:rsidR="00DA7D22" w:rsidP="00DA7D22" w:rsidRDefault="00DA7D22" w14:paraId="0BBC3A3B" w14:textId="6C425119">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4F12920B" w14:textId="4CF93138">
            <w:pPr>
              <w:tabs>
                <w:tab w:val="left" w:pos="6030"/>
              </w:tabs>
              <w:spacing w:line="276" w:lineRule="auto"/>
              <w:jc w:val="right"/>
              <w:rPr>
                <w:sz w:val="20"/>
                <w:szCs w:val="20"/>
              </w:rPr>
            </w:pPr>
            <w:r>
              <w:rPr>
                <w:sz w:val="20"/>
                <w:szCs w:val="20"/>
              </w:rPr>
              <w:t>10</w:t>
            </w:r>
          </w:p>
        </w:tc>
        <w:tc>
          <w:tcPr>
            <w:tcW w:w="1069" w:type="dxa"/>
          </w:tcPr>
          <w:p w:rsidRPr="00BB7053" w:rsidR="00DA7D22" w:rsidP="00DA7D22" w:rsidRDefault="00DA7D22" w14:paraId="16799B12" w14:textId="13AB1B08">
            <w:pPr>
              <w:tabs>
                <w:tab w:val="left" w:pos="6030"/>
              </w:tabs>
              <w:spacing w:line="276" w:lineRule="auto"/>
              <w:jc w:val="right"/>
              <w:rPr>
                <w:sz w:val="20"/>
                <w:szCs w:val="20"/>
              </w:rPr>
            </w:pPr>
            <w:r>
              <w:rPr>
                <w:sz w:val="20"/>
                <w:szCs w:val="20"/>
              </w:rPr>
              <w:t>0.5</w:t>
            </w:r>
          </w:p>
        </w:tc>
        <w:tc>
          <w:tcPr>
            <w:tcW w:w="1043" w:type="dxa"/>
          </w:tcPr>
          <w:p w:rsidRPr="00BB7053" w:rsidR="00DA7D22" w:rsidP="00DA7D22" w:rsidRDefault="00DA7D22" w14:paraId="523ECAAB" w14:textId="677C6ED1">
            <w:pPr>
              <w:tabs>
                <w:tab w:val="left" w:pos="6030"/>
              </w:tabs>
              <w:spacing w:line="276" w:lineRule="auto"/>
              <w:jc w:val="right"/>
              <w:rPr>
                <w:sz w:val="20"/>
                <w:szCs w:val="20"/>
              </w:rPr>
            </w:pPr>
            <w:r>
              <w:rPr>
                <w:sz w:val="20"/>
                <w:szCs w:val="20"/>
              </w:rPr>
              <w:t>5</w:t>
            </w:r>
          </w:p>
        </w:tc>
        <w:tc>
          <w:tcPr>
            <w:tcW w:w="1032" w:type="dxa"/>
          </w:tcPr>
          <w:p w:rsidRPr="00BB7053" w:rsidR="00DA7D22" w:rsidP="00DA7D22" w:rsidRDefault="00DA7D22" w14:paraId="4DF1E6C0" w14:textId="3AD8F2D9">
            <w:pPr>
              <w:tabs>
                <w:tab w:val="left" w:pos="6030"/>
              </w:tabs>
              <w:spacing w:line="276" w:lineRule="auto"/>
              <w:jc w:val="right"/>
              <w:rPr>
                <w:sz w:val="20"/>
                <w:szCs w:val="20"/>
              </w:rPr>
            </w:pPr>
            <w:r>
              <w:rPr>
                <w:sz w:val="20"/>
                <w:szCs w:val="20"/>
              </w:rPr>
              <w:t>Varies</w:t>
            </w:r>
          </w:p>
        </w:tc>
        <w:tc>
          <w:tcPr>
            <w:tcW w:w="1609" w:type="dxa"/>
          </w:tcPr>
          <w:p w:rsidRPr="00BB7053" w:rsidR="00DA7D22" w:rsidP="00DA7D22" w:rsidRDefault="0081480E" w14:paraId="542E2B6A" w14:textId="1594F79E">
            <w:pPr>
              <w:tabs>
                <w:tab w:val="left" w:pos="6030"/>
              </w:tabs>
              <w:spacing w:line="276" w:lineRule="auto"/>
              <w:jc w:val="right"/>
              <w:rPr>
                <w:sz w:val="20"/>
                <w:szCs w:val="20"/>
              </w:rPr>
            </w:pPr>
            <w:r>
              <w:rPr>
                <w:sz w:val="20"/>
                <w:szCs w:val="20"/>
              </w:rPr>
              <w:t>866</w:t>
            </w:r>
          </w:p>
        </w:tc>
      </w:tr>
      <w:tr w:rsidR="00DA7D22" w:rsidTr="003830B0" w14:paraId="45C8DD9E" w14:textId="77777777">
        <w:tc>
          <w:tcPr>
            <w:tcW w:w="1399" w:type="dxa"/>
          </w:tcPr>
          <w:p w:rsidRPr="00BB7053" w:rsidR="00DA7D22" w:rsidP="00192E2E" w:rsidRDefault="007B2CD7" w14:paraId="7E6DD49A" w14:textId="095F374B">
            <w:pPr>
              <w:tabs>
                <w:tab w:val="left" w:pos="6030"/>
              </w:tabs>
              <w:spacing w:line="276" w:lineRule="auto"/>
              <w:rPr>
                <w:sz w:val="20"/>
                <w:szCs w:val="20"/>
              </w:rPr>
            </w:pPr>
            <w:r>
              <w:rPr>
                <w:sz w:val="20"/>
                <w:szCs w:val="20"/>
              </w:rPr>
              <w:t>Propos</w:t>
            </w:r>
            <w:r w:rsidR="00195D1A">
              <w:rPr>
                <w:sz w:val="20"/>
                <w:szCs w:val="20"/>
              </w:rPr>
              <w:t>ed</w:t>
            </w:r>
            <w:r w:rsidR="00224BBB">
              <w:rPr>
                <w:sz w:val="20"/>
                <w:szCs w:val="20"/>
              </w:rPr>
              <w:t xml:space="preserve"> </w:t>
            </w:r>
            <w:r w:rsidRPr="00A67FD9" w:rsidR="00A67FD9">
              <w:rPr>
                <w:sz w:val="20"/>
                <w:szCs w:val="20"/>
              </w:rPr>
              <w:t xml:space="preserve">(See Table </w:t>
            </w:r>
            <w:r w:rsidR="0081480E">
              <w:rPr>
                <w:sz w:val="20"/>
                <w:szCs w:val="20"/>
              </w:rPr>
              <w:t>18</w:t>
            </w:r>
            <w:r w:rsidRPr="00A67FD9" w:rsidR="00A67FD9">
              <w:rPr>
                <w:sz w:val="20"/>
                <w:szCs w:val="20"/>
              </w:rPr>
              <w:t>)</w:t>
            </w:r>
          </w:p>
        </w:tc>
        <w:tc>
          <w:tcPr>
            <w:tcW w:w="1306" w:type="dxa"/>
          </w:tcPr>
          <w:p w:rsidRPr="00BB7053" w:rsidR="00DA7D22" w:rsidP="00DA7D22" w:rsidRDefault="00DA7D22" w14:paraId="568201AB" w14:textId="6E9FC6E7">
            <w:pPr>
              <w:tabs>
                <w:tab w:val="left" w:pos="6030"/>
              </w:tabs>
              <w:spacing w:line="276" w:lineRule="auto"/>
              <w:jc w:val="right"/>
              <w:rPr>
                <w:sz w:val="20"/>
                <w:szCs w:val="20"/>
              </w:rPr>
            </w:pPr>
            <w:r>
              <w:rPr>
                <w:sz w:val="20"/>
                <w:szCs w:val="20"/>
              </w:rPr>
              <w:t>10</w:t>
            </w:r>
          </w:p>
        </w:tc>
        <w:tc>
          <w:tcPr>
            <w:tcW w:w="1163" w:type="dxa"/>
          </w:tcPr>
          <w:p w:rsidRPr="00BB7053" w:rsidR="00DA7D22" w:rsidP="00DA7D22" w:rsidRDefault="00DA7D22" w14:paraId="5486E259" w14:textId="13EE9B91">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55A65961" w14:textId="068A0B87">
            <w:pPr>
              <w:tabs>
                <w:tab w:val="left" w:pos="6030"/>
              </w:tabs>
              <w:spacing w:line="276" w:lineRule="auto"/>
              <w:jc w:val="right"/>
              <w:rPr>
                <w:sz w:val="20"/>
                <w:szCs w:val="20"/>
              </w:rPr>
            </w:pPr>
            <w:r>
              <w:rPr>
                <w:sz w:val="20"/>
                <w:szCs w:val="20"/>
              </w:rPr>
              <w:t>10</w:t>
            </w:r>
          </w:p>
        </w:tc>
        <w:tc>
          <w:tcPr>
            <w:tcW w:w="1069" w:type="dxa"/>
          </w:tcPr>
          <w:p w:rsidRPr="00BB7053" w:rsidR="00DA7D22" w:rsidP="00DA7D22" w:rsidRDefault="00DA7D22" w14:paraId="69BFD167" w14:textId="1BC74F29">
            <w:pPr>
              <w:tabs>
                <w:tab w:val="left" w:pos="6030"/>
              </w:tabs>
              <w:spacing w:line="276" w:lineRule="auto"/>
              <w:jc w:val="right"/>
              <w:rPr>
                <w:sz w:val="20"/>
                <w:szCs w:val="20"/>
              </w:rPr>
            </w:pPr>
            <w:r>
              <w:rPr>
                <w:sz w:val="20"/>
                <w:szCs w:val="20"/>
              </w:rPr>
              <w:t>0.5</w:t>
            </w:r>
          </w:p>
        </w:tc>
        <w:tc>
          <w:tcPr>
            <w:tcW w:w="1043" w:type="dxa"/>
          </w:tcPr>
          <w:p w:rsidRPr="00BB7053" w:rsidR="00DA7D22" w:rsidP="00DA7D22" w:rsidRDefault="00DA7D22" w14:paraId="7ED13D39" w14:textId="2796565A">
            <w:pPr>
              <w:tabs>
                <w:tab w:val="left" w:pos="6030"/>
              </w:tabs>
              <w:spacing w:line="276" w:lineRule="auto"/>
              <w:jc w:val="right"/>
              <w:rPr>
                <w:sz w:val="20"/>
                <w:szCs w:val="20"/>
              </w:rPr>
            </w:pPr>
            <w:r>
              <w:rPr>
                <w:sz w:val="20"/>
                <w:szCs w:val="20"/>
              </w:rPr>
              <w:t>5</w:t>
            </w:r>
          </w:p>
        </w:tc>
        <w:tc>
          <w:tcPr>
            <w:tcW w:w="1032" w:type="dxa"/>
          </w:tcPr>
          <w:p w:rsidRPr="00BB7053" w:rsidR="00DA7D22" w:rsidP="00DA7D22" w:rsidRDefault="00DA7D22" w14:paraId="3C26A79F" w14:textId="15C8026E">
            <w:pPr>
              <w:tabs>
                <w:tab w:val="left" w:pos="6030"/>
              </w:tabs>
              <w:spacing w:line="276" w:lineRule="auto"/>
              <w:jc w:val="right"/>
              <w:rPr>
                <w:sz w:val="20"/>
                <w:szCs w:val="20"/>
              </w:rPr>
            </w:pPr>
            <w:r>
              <w:rPr>
                <w:sz w:val="20"/>
                <w:szCs w:val="20"/>
              </w:rPr>
              <w:t>Varies</w:t>
            </w:r>
          </w:p>
        </w:tc>
        <w:tc>
          <w:tcPr>
            <w:tcW w:w="1609" w:type="dxa"/>
          </w:tcPr>
          <w:p w:rsidRPr="00BB7053" w:rsidR="00DA7D22" w:rsidP="00DA7D22" w:rsidRDefault="0081480E" w14:paraId="31F9589A" w14:textId="2E70C58E">
            <w:pPr>
              <w:tabs>
                <w:tab w:val="left" w:pos="6030"/>
              </w:tabs>
              <w:spacing w:line="276" w:lineRule="auto"/>
              <w:jc w:val="right"/>
              <w:rPr>
                <w:sz w:val="20"/>
                <w:szCs w:val="20"/>
              </w:rPr>
            </w:pPr>
            <w:r>
              <w:rPr>
                <w:sz w:val="20"/>
                <w:szCs w:val="20"/>
              </w:rPr>
              <w:t>866</w:t>
            </w:r>
          </w:p>
        </w:tc>
      </w:tr>
      <w:tr w:rsidR="00DA7D22" w:rsidTr="003830B0" w14:paraId="3C72D000" w14:textId="77777777">
        <w:tc>
          <w:tcPr>
            <w:tcW w:w="1399" w:type="dxa"/>
            <w:shd w:val="clear" w:color="auto" w:fill="D9D9D9" w:themeFill="background1" w:themeFillShade="D9"/>
          </w:tcPr>
          <w:p w:rsidRPr="00BB7053" w:rsidR="00DA7D22" w:rsidP="00DA7D22" w:rsidRDefault="00DA7D22" w14:paraId="45EACFC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A7D22" w:rsidP="00DA7D22" w:rsidRDefault="00DA7D22" w14:paraId="5C32469B" w14:textId="35B85498">
            <w:pPr>
              <w:tabs>
                <w:tab w:val="left" w:pos="6030"/>
              </w:tabs>
              <w:spacing w:line="276" w:lineRule="auto"/>
              <w:jc w:val="right"/>
              <w:rPr>
                <w:sz w:val="20"/>
                <w:szCs w:val="20"/>
              </w:rPr>
            </w:pPr>
            <w:r>
              <w:rPr>
                <w:sz w:val="20"/>
                <w:szCs w:val="20"/>
              </w:rPr>
              <w:t>No change</w:t>
            </w:r>
          </w:p>
        </w:tc>
        <w:tc>
          <w:tcPr>
            <w:tcW w:w="1163" w:type="dxa"/>
            <w:shd w:val="clear" w:color="auto" w:fill="D9D9D9" w:themeFill="background1" w:themeFillShade="D9"/>
          </w:tcPr>
          <w:p w:rsidRPr="00BB7053" w:rsidR="00DA7D22" w:rsidP="00DA7D22" w:rsidRDefault="00DA7D22" w14:paraId="0FCB9A6D" w14:textId="31E673A3">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DA7D22" w:rsidP="00DA7D22" w:rsidRDefault="00DA7D22" w14:paraId="10F01394" w14:textId="1DC18359">
            <w:pPr>
              <w:tabs>
                <w:tab w:val="left" w:pos="6030"/>
              </w:tabs>
              <w:spacing w:line="276" w:lineRule="auto"/>
              <w:jc w:val="right"/>
              <w:rPr>
                <w:sz w:val="20"/>
                <w:szCs w:val="20"/>
              </w:rPr>
            </w:pPr>
            <w:r>
              <w:rPr>
                <w:sz w:val="20"/>
                <w:szCs w:val="20"/>
              </w:rPr>
              <w:t>No change</w:t>
            </w:r>
          </w:p>
        </w:tc>
        <w:tc>
          <w:tcPr>
            <w:tcW w:w="1069" w:type="dxa"/>
            <w:shd w:val="clear" w:color="auto" w:fill="D9D9D9" w:themeFill="background1" w:themeFillShade="D9"/>
          </w:tcPr>
          <w:p w:rsidRPr="00BB7053" w:rsidR="00DA7D22" w:rsidP="00DA7D22" w:rsidRDefault="00DA7D22" w14:paraId="652BCF48" w14:textId="496CED8F">
            <w:pPr>
              <w:tabs>
                <w:tab w:val="left" w:pos="6030"/>
              </w:tabs>
              <w:spacing w:line="276" w:lineRule="auto"/>
              <w:jc w:val="right"/>
              <w:rPr>
                <w:sz w:val="20"/>
                <w:szCs w:val="20"/>
              </w:rPr>
            </w:pPr>
            <w:r>
              <w:rPr>
                <w:sz w:val="20"/>
                <w:szCs w:val="20"/>
              </w:rPr>
              <w:t>No change</w:t>
            </w:r>
          </w:p>
        </w:tc>
        <w:tc>
          <w:tcPr>
            <w:tcW w:w="1043" w:type="dxa"/>
            <w:shd w:val="clear" w:color="auto" w:fill="D9D9D9" w:themeFill="background1" w:themeFillShade="D9"/>
          </w:tcPr>
          <w:p w:rsidRPr="00BB7053" w:rsidR="00DA7D22" w:rsidP="00DA7D22" w:rsidRDefault="00DA7D22" w14:paraId="5CBBF80A" w14:textId="731DA63D">
            <w:pPr>
              <w:tabs>
                <w:tab w:val="left" w:pos="6030"/>
              </w:tabs>
              <w:spacing w:line="276" w:lineRule="auto"/>
              <w:jc w:val="right"/>
              <w:rPr>
                <w:sz w:val="20"/>
                <w:szCs w:val="20"/>
              </w:rPr>
            </w:pPr>
            <w:r>
              <w:rPr>
                <w:sz w:val="20"/>
                <w:szCs w:val="20"/>
              </w:rPr>
              <w:t>No change</w:t>
            </w:r>
          </w:p>
        </w:tc>
        <w:tc>
          <w:tcPr>
            <w:tcW w:w="1032" w:type="dxa"/>
            <w:shd w:val="clear" w:color="auto" w:fill="D9D9D9" w:themeFill="background1" w:themeFillShade="D9"/>
          </w:tcPr>
          <w:p w:rsidRPr="00BB7053" w:rsidR="00DA7D22" w:rsidP="00DA7D22" w:rsidRDefault="00DA7D22" w14:paraId="32276D47" w14:textId="5B75A9FB">
            <w:pPr>
              <w:tabs>
                <w:tab w:val="left" w:pos="6030"/>
              </w:tabs>
              <w:spacing w:line="276" w:lineRule="auto"/>
              <w:jc w:val="right"/>
              <w:rPr>
                <w:sz w:val="20"/>
                <w:szCs w:val="20"/>
              </w:rPr>
            </w:pPr>
            <w:r>
              <w:rPr>
                <w:sz w:val="20"/>
                <w:szCs w:val="20"/>
              </w:rPr>
              <w:t>No change</w:t>
            </w:r>
          </w:p>
        </w:tc>
        <w:tc>
          <w:tcPr>
            <w:tcW w:w="1609" w:type="dxa"/>
            <w:shd w:val="clear" w:color="auto" w:fill="D9D9D9" w:themeFill="background1" w:themeFillShade="D9"/>
          </w:tcPr>
          <w:p w:rsidRPr="00BB7053" w:rsidR="00DA7D22" w:rsidP="00DA7D22" w:rsidRDefault="00DA7D22" w14:paraId="2D9807DF" w14:textId="3D844BBE">
            <w:pPr>
              <w:tabs>
                <w:tab w:val="left" w:pos="6030"/>
              </w:tabs>
              <w:spacing w:line="276" w:lineRule="auto"/>
              <w:jc w:val="right"/>
              <w:rPr>
                <w:sz w:val="20"/>
                <w:szCs w:val="20"/>
              </w:rPr>
            </w:pPr>
            <w:r>
              <w:rPr>
                <w:sz w:val="20"/>
                <w:szCs w:val="20"/>
              </w:rPr>
              <w:t>No change</w:t>
            </w:r>
          </w:p>
        </w:tc>
      </w:tr>
    </w:tbl>
    <w:p w:rsidR="00885183" w:rsidP="00BB7053" w:rsidRDefault="00885183" w14:paraId="502E87E7" w14:textId="1BA26F9C">
      <w:pPr>
        <w:tabs>
          <w:tab w:val="left" w:pos="6030"/>
        </w:tabs>
        <w:spacing w:line="276" w:lineRule="auto"/>
        <w:jc w:val="both"/>
      </w:pPr>
    </w:p>
    <w:p w:rsidR="00885183" w:rsidP="00BC3C0D" w:rsidRDefault="00885183" w14:paraId="46143B43" w14:textId="3A4252D2">
      <w:pPr>
        <w:keepNext/>
        <w:keepLines/>
        <w:jc w:val="center"/>
        <w:rPr>
          <w:b/>
          <w:bCs/>
        </w:rPr>
      </w:pPr>
      <w:r w:rsidRPr="00B30713">
        <w:rPr>
          <w:rFonts w:eastAsia="Calibri"/>
          <w:b/>
          <w:bCs/>
        </w:rPr>
        <w:lastRenderedPageBreak/>
        <w:t xml:space="preserve">TABLE </w:t>
      </w:r>
      <w:r w:rsidR="00C1361E">
        <w:rPr>
          <w:rFonts w:eastAsia="Calibri"/>
          <w:b/>
          <w:bCs/>
        </w:rPr>
        <w:t>3</w:t>
      </w:r>
      <w:r w:rsidR="00EB22C5">
        <w:rPr>
          <w:rFonts w:eastAsia="Calibri"/>
          <w:b/>
          <w:bCs/>
        </w:rPr>
        <w:t>0P</w:t>
      </w:r>
      <w:r w:rsidRPr="00B30713">
        <w:rPr>
          <w:rFonts w:eastAsia="Calibri"/>
          <w:b/>
          <w:bCs/>
        </w:rPr>
        <w:t xml:space="preserve">: Burden Reconciliation for </w:t>
      </w:r>
      <w:r w:rsidRPr="00BD3CDF" w:rsidR="00BD3CDF">
        <w:rPr>
          <w:rFonts w:eastAsia="Calibri"/>
          <w:b/>
          <w:bCs/>
        </w:rPr>
        <w:t>Improvement Activities Submission</w:t>
      </w:r>
    </w:p>
    <w:tbl>
      <w:tblPr>
        <w:tblStyle w:val="TableGrid"/>
        <w:tblW w:w="9715" w:type="dxa"/>
        <w:tblLook w:val="04A0" w:firstRow="1" w:lastRow="0" w:firstColumn="1" w:lastColumn="0" w:noHBand="0" w:noVBand="1"/>
      </w:tblPr>
      <w:tblGrid>
        <w:gridCol w:w="1398"/>
        <w:gridCol w:w="1392"/>
        <w:gridCol w:w="1127"/>
        <w:gridCol w:w="1346"/>
        <w:gridCol w:w="1017"/>
        <w:gridCol w:w="1058"/>
        <w:gridCol w:w="965"/>
        <w:gridCol w:w="1412"/>
      </w:tblGrid>
      <w:tr w:rsidR="00E030FD" w:rsidTr="003830B0" w14:paraId="1554655C" w14:textId="77777777">
        <w:trPr>
          <w:tblHeader/>
        </w:trPr>
        <w:tc>
          <w:tcPr>
            <w:tcW w:w="1398" w:type="dxa"/>
          </w:tcPr>
          <w:p w:rsidRPr="00173FA2" w:rsidR="00885183" w:rsidP="00BC3C0D" w:rsidRDefault="00885183" w14:paraId="1132646A"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92" w:type="dxa"/>
          </w:tcPr>
          <w:p w:rsidRPr="00173FA2" w:rsidR="00885183" w:rsidP="00BC3C0D" w:rsidRDefault="00885183" w14:paraId="5542FFA3"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27" w:type="dxa"/>
          </w:tcPr>
          <w:p w:rsidRPr="00173FA2" w:rsidR="00885183" w:rsidP="00BC3C0D" w:rsidRDefault="00885183" w14:paraId="0655F4D9"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346" w:type="dxa"/>
          </w:tcPr>
          <w:p w:rsidRPr="00173FA2" w:rsidR="00885183" w:rsidP="00BC3C0D" w:rsidRDefault="00885183" w14:paraId="2A9EDA23"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17" w:type="dxa"/>
          </w:tcPr>
          <w:p w:rsidRPr="00173FA2" w:rsidR="00885183" w:rsidP="00BC3C0D" w:rsidRDefault="00885183" w14:paraId="2B233820"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58" w:type="dxa"/>
          </w:tcPr>
          <w:p w:rsidRPr="00173FA2" w:rsidR="00885183" w:rsidP="00BC3C0D" w:rsidRDefault="00885183" w14:paraId="012CDB13"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965" w:type="dxa"/>
          </w:tcPr>
          <w:p w:rsidRPr="00173FA2" w:rsidR="00885183" w:rsidP="00BC3C0D" w:rsidRDefault="00885183" w14:paraId="30DD2B44"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412" w:type="dxa"/>
          </w:tcPr>
          <w:p w:rsidRPr="00173FA2" w:rsidR="00885183" w:rsidP="00BC3C0D" w:rsidRDefault="00885183" w14:paraId="2FD18E7F" w14:textId="77777777">
            <w:pPr>
              <w:keepNext/>
              <w:keepLines/>
              <w:tabs>
                <w:tab w:val="left" w:pos="6030"/>
              </w:tabs>
              <w:spacing w:line="276" w:lineRule="auto"/>
              <w:rPr>
                <w:b/>
                <w:bCs/>
                <w:sz w:val="20"/>
                <w:szCs w:val="20"/>
              </w:rPr>
            </w:pPr>
            <w:r w:rsidRPr="00173FA2">
              <w:rPr>
                <w:b/>
                <w:bCs/>
                <w:sz w:val="20"/>
                <w:szCs w:val="20"/>
              </w:rPr>
              <w:t>Total Annual Cost ($)</w:t>
            </w:r>
          </w:p>
        </w:tc>
      </w:tr>
      <w:tr w:rsidR="00E030FD" w:rsidTr="003830B0" w14:paraId="3B85BDAF" w14:textId="77777777">
        <w:tc>
          <w:tcPr>
            <w:tcW w:w="1398" w:type="dxa"/>
          </w:tcPr>
          <w:p w:rsidRPr="00BB7053" w:rsidR="001E58F6" w:rsidP="00BC3C0D" w:rsidRDefault="001E58F6" w14:paraId="61C133A1" w14:textId="0EDF0D1E">
            <w:pPr>
              <w:keepNext/>
              <w:keepLines/>
              <w:tabs>
                <w:tab w:val="left" w:pos="6030"/>
              </w:tabs>
              <w:spacing w:line="276" w:lineRule="auto"/>
              <w:jc w:val="both"/>
              <w:rPr>
                <w:sz w:val="20"/>
                <w:szCs w:val="20"/>
              </w:rPr>
            </w:pPr>
            <w:r>
              <w:rPr>
                <w:sz w:val="20"/>
                <w:szCs w:val="20"/>
              </w:rPr>
              <w:t xml:space="preserve">Currently </w:t>
            </w:r>
            <w:r w:rsidR="00D62EC0">
              <w:rPr>
                <w:sz w:val="20"/>
                <w:szCs w:val="20"/>
              </w:rPr>
              <w:t xml:space="preserve">Approved </w:t>
            </w:r>
          </w:p>
        </w:tc>
        <w:tc>
          <w:tcPr>
            <w:tcW w:w="1392" w:type="dxa"/>
          </w:tcPr>
          <w:p w:rsidRPr="00BB7053" w:rsidR="001E58F6" w:rsidP="00BC3C0D" w:rsidRDefault="00FC13C3" w14:paraId="4BE68855" w14:textId="1E06E2E9">
            <w:pPr>
              <w:keepNext/>
              <w:keepLines/>
              <w:tabs>
                <w:tab w:val="left" w:pos="6030"/>
              </w:tabs>
              <w:spacing w:line="276" w:lineRule="auto"/>
              <w:jc w:val="right"/>
              <w:rPr>
                <w:sz w:val="20"/>
                <w:szCs w:val="20"/>
              </w:rPr>
            </w:pPr>
            <w:r>
              <w:rPr>
                <w:sz w:val="20"/>
                <w:szCs w:val="20"/>
              </w:rPr>
              <w:t>81,582</w:t>
            </w:r>
          </w:p>
        </w:tc>
        <w:tc>
          <w:tcPr>
            <w:tcW w:w="1127" w:type="dxa"/>
          </w:tcPr>
          <w:p w:rsidRPr="00BB7053" w:rsidR="001E58F6" w:rsidP="00BC3C0D" w:rsidRDefault="001E58F6" w14:paraId="66090922" w14:textId="5907F51C">
            <w:pPr>
              <w:keepNext/>
              <w:keepLines/>
              <w:tabs>
                <w:tab w:val="left" w:pos="6030"/>
              </w:tabs>
              <w:spacing w:line="276" w:lineRule="auto"/>
              <w:jc w:val="right"/>
              <w:rPr>
                <w:sz w:val="20"/>
                <w:szCs w:val="20"/>
              </w:rPr>
            </w:pPr>
            <w:r>
              <w:rPr>
                <w:sz w:val="20"/>
                <w:szCs w:val="20"/>
              </w:rPr>
              <w:t>1</w:t>
            </w:r>
          </w:p>
        </w:tc>
        <w:tc>
          <w:tcPr>
            <w:tcW w:w="1346" w:type="dxa"/>
          </w:tcPr>
          <w:p w:rsidRPr="00BB7053" w:rsidR="001E58F6" w:rsidP="00BC3C0D" w:rsidRDefault="00FC13C3" w14:paraId="03B0388B" w14:textId="093BC22A">
            <w:pPr>
              <w:keepNext/>
              <w:keepLines/>
              <w:tabs>
                <w:tab w:val="left" w:pos="6030"/>
              </w:tabs>
              <w:spacing w:line="276" w:lineRule="auto"/>
              <w:jc w:val="right"/>
              <w:rPr>
                <w:sz w:val="20"/>
                <w:szCs w:val="20"/>
              </w:rPr>
            </w:pPr>
            <w:r>
              <w:rPr>
                <w:sz w:val="20"/>
                <w:szCs w:val="20"/>
              </w:rPr>
              <w:t>81,582</w:t>
            </w:r>
          </w:p>
        </w:tc>
        <w:tc>
          <w:tcPr>
            <w:tcW w:w="1017" w:type="dxa"/>
          </w:tcPr>
          <w:p w:rsidRPr="00BB7053" w:rsidR="001E58F6" w:rsidP="00BC3C0D" w:rsidRDefault="001E58F6" w14:paraId="1A75E226" w14:textId="75216003">
            <w:pPr>
              <w:keepNext/>
              <w:keepLines/>
              <w:tabs>
                <w:tab w:val="left" w:pos="6030"/>
              </w:tabs>
              <w:spacing w:line="276" w:lineRule="auto"/>
              <w:jc w:val="right"/>
              <w:rPr>
                <w:sz w:val="20"/>
                <w:szCs w:val="20"/>
              </w:rPr>
            </w:pPr>
            <w:r>
              <w:rPr>
                <w:sz w:val="20"/>
                <w:szCs w:val="20"/>
              </w:rPr>
              <w:t>0.083</w:t>
            </w:r>
          </w:p>
        </w:tc>
        <w:tc>
          <w:tcPr>
            <w:tcW w:w="1058" w:type="dxa"/>
          </w:tcPr>
          <w:p w:rsidRPr="00BB7053" w:rsidR="001E58F6" w:rsidP="00BC3C0D" w:rsidRDefault="001B7A11" w14:paraId="37718161" w14:textId="54947D9A">
            <w:pPr>
              <w:keepNext/>
              <w:keepLines/>
              <w:tabs>
                <w:tab w:val="left" w:pos="6030"/>
              </w:tabs>
              <w:spacing w:line="276" w:lineRule="auto"/>
              <w:jc w:val="right"/>
              <w:rPr>
                <w:sz w:val="20"/>
                <w:szCs w:val="20"/>
              </w:rPr>
            </w:pPr>
            <w:r>
              <w:rPr>
                <w:sz w:val="20"/>
                <w:szCs w:val="20"/>
              </w:rPr>
              <w:t>6,</w:t>
            </w:r>
            <w:r w:rsidR="00744A9F">
              <w:rPr>
                <w:sz w:val="20"/>
                <w:szCs w:val="20"/>
              </w:rPr>
              <w:t>77</w:t>
            </w:r>
            <w:r>
              <w:rPr>
                <w:sz w:val="20"/>
                <w:szCs w:val="20"/>
              </w:rPr>
              <w:t>1</w:t>
            </w:r>
          </w:p>
        </w:tc>
        <w:tc>
          <w:tcPr>
            <w:tcW w:w="965" w:type="dxa"/>
          </w:tcPr>
          <w:p w:rsidRPr="00BB7053" w:rsidR="001E58F6" w:rsidP="00BC3C0D" w:rsidRDefault="001E58F6" w14:paraId="187D3B36" w14:textId="1BAF0761">
            <w:pPr>
              <w:keepNext/>
              <w:keepLines/>
              <w:tabs>
                <w:tab w:val="left" w:pos="6030"/>
              </w:tabs>
              <w:spacing w:line="276" w:lineRule="auto"/>
              <w:jc w:val="right"/>
              <w:rPr>
                <w:sz w:val="20"/>
                <w:szCs w:val="20"/>
              </w:rPr>
            </w:pPr>
            <w:r>
              <w:rPr>
                <w:sz w:val="20"/>
                <w:szCs w:val="20"/>
              </w:rPr>
              <w:t>9</w:t>
            </w:r>
            <w:r w:rsidR="00DF059C">
              <w:rPr>
                <w:sz w:val="20"/>
                <w:szCs w:val="20"/>
              </w:rPr>
              <w:t>8</w:t>
            </w:r>
            <w:r w:rsidR="001B7A11">
              <w:rPr>
                <w:sz w:val="20"/>
                <w:szCs w:val="20"/>
              </w:rPr>
              <w:t>.2</w:t>
            </w:r>
            <w:r w:rsidR="00DF059C">
              <w:rPr>
                <w:sz w:val="20"/>
                <w:szCs w:val="20"/>
              </w:rPr>
              <w:t>8</w:t>
            </w:r>
          </w:p>
        </w:tc>
        <w:tc>
          <w:tcPr>
            <w:tcW w:w="1412" w:type="dxa"/>
          </w:tcPr>
          <w:p w:rsidRPr="00BB7053" w:rsidR="001E58F6" w:rsidP="00BC3C0D" w:rsidRDefault="00E030FD" w14:paraId="17553959" w14:textId="2E75332B">
            <w:pPr>
              <w:keepNext/>
              <w:keepLines/>
              <w:tabs>
                <w:tab w:val="left" w:pos="6030"/>
              </w:tabs>
              <w:spacing w:line="276" w:lineRule="auto"/>
              <w:jc w:val="right"/>
              <w:rPr>
                <w:sz w:val="20"/>
                <w:szCs w:val="20"/>
              </w:rPr>
            </w:pPr>
            <w:r>
              <w:rPr>
                <w:sz w:val="20"/>
                <w:szCs w:val="20"/>
              </w:rPr>
              <w:t>6</w:t>
            </w:r>
            <w:r w:rsidR="00DF059C">
              <w:rPr>
                <w:sz w:val="20"/>
                <w:szCs w:val="20"/>
              </w:rPr>
              <w:t>65,454</w:t>
            </w:r>
          </w:p>
        </w:tc>
      </w:tr>
      <w:tr w:rsidR="00E030FD" w:rsidTr="003830B0" w14:paraId="72FB6C9E" w14:textId="77777777">
        <w:tc>
          <w:tcPr>
            <w:tcW w:w="1398" w:type="dxa"/>
          </w:tcPr>
          <w:p w:rsidRPr="00BB7053" w:rsidR="001E58F6" w:rsidP="00BC3C0D" w:rsidRDefault="00EB22C5" w14:paraId="14CABED0" w14:textId="03CCDD59">
            <w:pPr>
              <w:keepNext/>
              <w:keepLines/>
              <w:tabs>
                <w:tab w:val="left" w:pos="6030"/>
              </w:tabs>
              <w:spacing w:line="276" w:lineRule="auto"/>
              <w:rPr>
                <w:sz w:val="20"/>
                <w:szCs w:val="20"/>
              </w:rPr>
            </w:pPr>
            <w:r>
              <w:rPr>
                <w:sz w:val="20"/>
                <w:szCs w:val="20"/>
              </w:rPr>
              <w:t>Propos</w:t>
            </w:r>
            <w:r w:rsidR="00195D1A">
              <w:rPr>
                <w:sz w:val="20"/>
                <w:szCs w:val="20"/>
              </w:rPr>
              <w:t>ed</w:t>
            </w:r>
            <w:r w:rsidR="004607DF">
              <w:rPr>
                <w:sz w:val="20"/>
                <w:szCs w:val="20"/>
              </w:rPr>
              <w:t xml:space="preserve"> </w:t>
            </w:r>
            <w:r w:rsidRPr="00A67FD9" w:rsidR="00A67FD9">
              <w:rPr>
                <w:sz w:val="20"/>
                <w:szCs w:val="20"/>
              </w:rPr>
              <w:t xml:space="preserve">(See Table </w:t>
            </w:r>
            <w:r w:rsidR="004239ED">
              <w:rPr>
                <w:sz w:val="20"/>
                <w:szCs w:val="20"/>
              </w:rPr>
              <w:t>19</w:t>
            </w:r>
            <w:r w:rsidRPr="00A67FD9" w:rsidR="00A67FD9">
              <w:rPr>
                <w:sz w:val="20"/>
                <w:szCs w:val="20"/>
              </w:rPr>
              <w:t>)</w:t>
            </w:r>
          </w:p>
        </w:tc>
        <w:tc>
          <w:tcPr>
            <w:tcW w:w="1392" w:type="dxa"/>
          </w:tcPr>
          <w:p w:rsidRPr="00BB7053" w:rsidR="001E58F6" w:rsidP="00BC3C0D" w:rsidRDefault="00FC13C3" w14:paraId="4106FC0B" w14:textId="65546025">
            <w:pPr>
              <w:keepNext/>
              <w:keepLines/>
              <w:tabs>
                <w:tab w:val="left" w:pos="6030"/>
              </w:tabs>
              <w:spacing w:line="276" w:lineRule="auto"/>
              <w:jc w:val="right"/>
              <w:rPr>
                <w:sz w:val="20"/>
                <w:szCs w:val="20"/>
              </w:rPr>
            </w:pPr>
            <w:r>
              <w:rPr>
                <w:sz w:val="20"/>
                <w:szCs w:val="20"/>
              </w:rPr>
              <w:t>96,980</w:t>
            </w:r>
          </w:p>
        </w:tc>
        <w:tc>
          <w:tcPr>
            <w:tcW w:w="1127" w:type="dxa"/>
          </w:tcPr>
          <w:p w:rsidRPr="00BB7053" w:rsidR="001E58F6" w:rsidP="00BC3C0D" w:rsidRDefault="001E58F6" w14:paraId="43FFFA9A" w14:textId="2DF50565">
            <w:pPr>
              <w:keepNext/>
              <w:keepLines/>
              <w:tabs>
                <w:tab w:val="left" w:pos="6030"/>
              </w:tabs>
              <w:spacing w:line="276" w:lineRule="auto"/>
              <w:jc w:val="right"/>
              <w:rPr>
                <w:sz w:val="20"/>
                <w:szCs w:val="20"/>
              </w:rPr>
            </w:pPr>
            <w:r>
              <w:rPr>
                <w:sz w:val="20"/>
                <w:szCs w:val="20"/>
              </w:rPr>
              <w:t>1</w:t>
            </w:r>
          </w:p>
        </w:tc>
        <w:tc>
          <w:tcPr>
            <w:tcW w:w="1346" w:type="dxa"/>
          </w:tcPr>
          <w:p w:rsidRPr="00BB7053" w:rsidR="001E58F6" w:rsidP="00BC3C0D" w:rsidRDefault="00FC13C3" w14:paraId="4E3DC029" w14:textId="70F949D9">
            <w:pPr>
              <w:keepNext/>
              <w:keepLines/>
              <w:tabs>
                <w:tab w:val="left" w:pos="6030"/>
              </w:tabs>
              <w:spacing w:line="276" w:lineRule="auto"/>
              <w:jc w:val="right"/>
              <w:rPr>
                <w:sz w:val="20"/>
                <w:szCs w:val="20"/>
              </w:rPr>
            </w:pPr>
            <w:r>
              <w:rPr>
                <w:sz w:val="20"/>
                <w:szCs w:val="20"/>
              </w:rPr>
              <w:t>96,980</w:t>
            </w:r>
          </w:p>
        </w:tc>
        <w:tc>
          <w:tcPr>
            <w:tcW w:w="1017" w:type="dxa"/>
          </w:tcPr>
          <w:p w:rsidRPr="00BB7053" w:rsidR="001E58F6" w:rsidP="00BC3C0D" w:rsidRDefault="001E58F6" w14:paraId="3201B30C" w14:textId="5193BCD3">
            <w:pPr>
              <w:keepNext/>
              <w:keepLines/>
              <w:tabs>
                <w:tab w:val="left" w:pos="6030"/>
              </w:tabs>
              <w:spacing w:line="276" w:lineRule="auto"/>
              <w:jc w:val="right"/>
              <w:rPr>
                <w:sz w:val="20"/>
                <w:szCs w:val="20"/>
              </w:rPr>
            </w:pPr>
            <w:r>
              <w:rPr>
                <w:sz w:val="20"/>
                <w:szCs w:val="20"/>
              </w:rPr>
              <w:t>0.083</w:t>
            </w:r>
          </w:p>
        </w:tc>
        <w:tc>
          <w:tcPr>
            <w:tcW w:w="1058" w:type="dxa"/>
          </w:tcPr>
          <w:p w:rsidRPr="00BB7053" w:rsidR="001E58F6" w:rsidP="00BC3C0D" w:rsidRDefault="00744A9F" w14:paraId="063E9826" w14:textId="0CB5D240">
            <w:pPr>
              <w:keepNext/>
              <w:keepLines/>
              <w:tabs>
                <w:tab w:val="left" w:pos="6030"/>
              </w:tabs>
              <w:spacing w:line="276" w:lineRule="auto"/>
              <w:jc w:val="right"/>
              <w:rPr>
                <w:sz w:val="20"/>
                <w:szCs w:val="20"/>
              </w:rPr>
            </w:pPr>
            <w:r>
              <w:rPr>
                <w:sz w:val="20"/>
                <w:szCs w:val="20"/>
              </w:rPr>
              <w:t>8,049</w:t>
            </w:r>
          </w:p>
        </w:tc>
        <w:tc>
          <w:tcPr>
            <w:tcW w:w="965" w:type="dxa"/>
          </w:tcPr>
          <w:p w:rsidRPr="00BB7053" w:rsidR="001E58F6" w:rsidP="00BC3C0D" w:rsidRDefault="001E58F6" w14:paraId="2A5F938B" w14:textId="25A1F9E6">
            <w:pPr>
              <w:keepNext/>
              <w:keepLines/>
              <w:tabs>
                <w:tab w:val="left" w:pos="6030"/>
              </w:tabs>
              <w:spacing w:line="276" w:lineRule="auto"/>
              <w:jc w:val="right"/>
              <w:rPr>
                <w:sz w:val="20"/>
                <w:szCs w:val="20"/>
              </w:rPr>
            </w:pPr>
            <w:r>
              <w:rPr>
                <w:sz w:val="20"/>
                <w:szCs w:val="20"/>
              </w:rPr>
              <w:t>9</w:t>
            </w:r>
            <w:r w:rsidR="00DF059C">
              <w:rPr>
                <w:sz w:val="20"/>
                <w:szCs w:val="20"/>
              </w:rPr>
              <w:t>8</w:t>
            </w:r>
            <w:r w:rsidR="001B7A11">
              <w:rPr>
                <w:sz w:val="20"/>
                <w:szCs w:val="20"/>
              </w:rPr>
              <w:t>.2</w:t>
            </w:r>
            <w:r w:rsidR="00DF059C">
              <w:rPr>
                <w:sz w:val="20"/>
                <w:szCs w:val="20"/>
              </w:rPr>
              <w:t>8</w:t>
            </w:r>
          </w:p>
        </w:tc>
        <w:tc>
          <w:tcPr>
            <w:tcW w:w="1412" w:type="dxa"/>
          </w:tcPr>
          <w:p w:rsidRPr="00BB7053" w:rsidR="001E58F6" w:rsidP="00BC3C0D" w:rsidRDefault="00DF059C" w14:paraId="2FABF5A4" w14:textId="71C54743">
            <w:pPr>
              <w:keepNext/>
              <w:keepLines/>
              <w:tabs>
                <w:tab w:val="left" w:pos="6030"/>
              </w:tabs>
              <w:spacing w:line="276" w:lineRule="auto"/>
              <w:jc w:val="right"/>
              <w:rPr>
                <w:sz w:val="20"/>
                <w:szCs w:val="20"/>
              </w:rPr>
            </w:pPr>
            <w:r>
              <w:rPr>
                <w:sz w:val="20"/>
                <w:szCs w:val="20"/>
              </w:rPr>
              <w:t>791,056</w:t>
            </w:r>
          </w:p>
        </w:tc>
      </w:tr>
      <w:tr w:rsidR="00DF059C" w:rsidTr="003830B0" w14:paraId="37CFF55C" w14:textId="77777777">
        <w:tc>
          <w:tcPr>
            <w:tcW w:w="1398" w:type="dxa"/>
            <w:shd w:val="clear" w:color="auto" w:fill="D9D9D9" w:themeFill="background1" w:themeFillShade="D9"/>
          </w:tcPr>
          <w:p w:rsidRPr="00BB7053" w:rsidR="001E58F6" w:rsidP="001E58F6" w:rsidRDefault="001E58F6" w14:paraId="3282D3A6" w14:textId="7241D7A6">
            <w:pPr>
              <w:tabs>
                <w:tab w:val="left" w:pos="6030"/>
              </w:tabs>
              <w:spacing w:line="276" w:lineRule="auto"/>
              <w:jc w:val="both"/>
              <w:rPr>
                <w:sz w:val="20"/>
                <w:szCs w:val="20"/>
              </w:rPr>
            </w:pPr>
            <w:r>
              <w:rPr>
                <w:sz w:val="20"/>
                <w:szCs w:val="20"/>
              </w:rPr>
              <w:t>Adjustment</w:t>
            </w:r>
          </w:p>
        </w:tc>
        <w:tc>
          <w:tcPr>
            <w:tcW w:w="1392" w:type="dxa"/>
            <w:shd w:val="clear" w:color="auto" w:fill="D9D9D9" w:themeFill="background1" w:themeFillShade="D9"/>
          </w:tcPr>
          <w:p w:rsidRPr="00BB7053" w:rsidR="001E58F6" w:rsidP="001E58F6" w:rsidRDefault="00E73A3B" w14:paraId="5FFE50A8" w14:textId="384BD492">
            <w:pPr>
              <w:tabs>
                <w:tab w:val="left" w:pos="6030"/>
              </w:tabs>
              <w:spacing w:line="276" w:lineRule="auto"/>
              <w:jc w:val="right"/>
              <w:rPr>
                <w:sz w:val="20"/>
                <w:szCs w:val="20"/>
              </w:rPr>
            </w:pPr>
            <w:r>
              <w:rPr>
                <w:sz w:val="20"/>
                <w:szCs w:val="20"/>
              </w:rPr>
              <w:t>+1</w:t>
            </w:r>
            <w:r w:rsidR="00FC13C3">
              <w:rPr>
                <w:sz w:val="20"/>
                <w:szCs w:val="20"/>
              </w:rPr>
              <w:t>5,398</w:t>
            </w:r>
          </w:p>
        </w:tc>
        <w:tc>
          <w:tcPr>
            <w:tcW w:w="1127" w:type="dxa"/>
            <w:shd w:val="clear" w:color="auto" w:fill="D9D9D9" w:themeFill="background1" w:themeFillShade="D9"/>
          </w:tcPr>
          <w:p w:rsidRPr="00BB7053" w:rsidR="001E58F6" w:rsidP="001E58F6" w:rsidRDefault="001E58F6" w14:paraId="3A693691" w14:textId="33A635B3">
            <w:pPr>
              <w:tabs>
                <w:tab w:val="left" w:pos="6030"/>
              </w:tabs>
              <w:spacing w:line="276" w:lineRule="auto"/>
              <w:jc w:val="right"/>
              <w:rPr>
                <w:sz w:val="20"/>
                <w:szCs w:val="20"/>
              </w:rPr>
            </w:pPr>
            <w:r>
              <w:rPr>
                <w:sz w:val="20"/>
                <w:szCs w:val="20"/>
              </w:rPr>
              <w:t>No change</w:t>
            </w:r>
          </w:p>
        </w:tc>
        <w:tc>
          <w:tcPr>
            <w:tcW w:w="1346" w:type="dxa"/>
            <w:shd w:val="clear" w:color="auto" w:fill="D9D9D9" w:themeFill="background1" w:themeFillShade="D9"/>
          </w:tcPr>
          <w:p w:rsidRPr="00BB7053" w:rsidR="001E58F6" w:rsidP="001E58F6" w:rsidRDefault="00E73A3B" w14:paraId="715F23FA" w14:textId="5026A900">
            <w:pPr>
              <w:tabs>
                <w:tab w:val="left" w:pos="6030"/>
              </w:tabs>
              <w:spacing w:line="276" w:lineRule="auto"/>
              <w:jc w:val="right"/>
              <w:rPr>
                <w:sz w:val="20"/>
                <w:szCs w:val="20"/>
              </w:rPr>
            </w:pPr>
            <w:r>
              <w:rPr>
                <w:sz w:val="20"/>
                <w:szCs w:val="20"/>
              </w:rPr>
              <w:t>+1</w:t>
            </w:r>
            <w:r w:rsidR="00FC13C3">
              <w:rPr>
                <w:sz w:val="20"/>
                <w:szCs w:val="20"/>
              </w:rPr>
              <w:t>5,398</w:t>
            </w:r>
          </w:p>
        </w:tc>
        <w:tc>
          <w:tcPr>
            <w:tcW w:w="1017" w:type="dxa"/>
            <w:shd w:val="clear" w:color="auto" w:fill="D9D9D9" w:themeFill="background1" w:themeFillShade="D9"/>
          </w:tcPr>
          <w:p w:rsidRPr="00BB7053" w:rsidR="001E58F6" w:rsidP="001E58F6" w:rsidRDefault="001E58F6" w14:paraId="69F41CB6" w14:textId="223BDD0C">
            <w:pPr>
              <w:tabs>
                <w:tab w:val="left" w:pos="6030"/>
              </w:tabs>
              <w:spacing w:line="276" w:lineRule="auto"/>
              <w:jc w:val="right"/>
              <w:rPr>
                <w:sz w:val="20"/>
                <w:szCs w:val="20"/>
              </w:rPr>
            </w:pPr>
            <w:r>
              <w:rPr>
                <w:sz w:val="20"/>
                <w:szCs w:val="20"/>
              </w:rPr>
              <w:t>No change</w:t>
            </w:r>
          </w:p>
        </w:tc>
        <w:tc>
          <w:tcPr>
            <w:tcW w:w="1058" w:type="dxa"/>
            <w:shd w:val="clear" w:color="auto" w:fill="D9D9D9" w:themeFill="background1" w:themeFillShade="D9"/>
          </w:tcPr>
          <w:p w:rsidRPr="00BB7053" w:rsidR="001E58F6" w:rsidP="001E58F6" w:rsidRDefault="009C33BD" w14:paraId="54FE6BBA" w14:textId="762E352C">
            <w:pPr>
              <w:tabs>
                <w:tab w:val="left" w:pos="6030"/>
              </w:tabs>
              <w:spacing w:line="276" w:lineRule="auto"/>
              <w:jc w:val="right"/>
              <w:rPr>
                <w:sz w:val="20"/>
                <w:szCs w:val="20"/>
              </w:rPr>
            </w:pPr>
            <w:r>
              <w:rPr>
                <w:sz w:val="20"/>
                <w:szCs w:val="20"/>
              </w:rPr>
              <w:t>+1</w:t>
            </w:r>
            <w:r w:rsidR="00744A9F">
              <w:rPr>
                <w:sz w:val="20"/>
                <w:szCs w:val="20"/>
              </w:rPr>
              <w:t>,278</w:t>
            </w:r>
          </w:p>
        </w:tc>
        <w:tc>
          <w:tcPr>
            <w:tcW w:w="965" w:type="dxa"/>
            <w:shd w:val="clear" w:color="auto" w:fill="D9D9D9" w:themeFill="background1" w:themeFillShade="D9"/>
          </w:tcPr>
          <w:p w:rsidRPr="00BB7053" w:rsidR="001E58F6" w:rsidP="001E58F6" w:rsidRDefault="001E58F6" w14:paraId="3F7790D8" w14:textId="0EF5831A">
            <w:pPr>
              <w:tabs>
                <w:tab w:val="left" w:pos="6030"/>
              </w:tabs>
              <w:spacing w:line="276" w:lineRule="auto"/>
              <w:jc w:val="right"/>
              <w:rPr>
                <w:sz w:val="20"/>
                <w:szCs w:val="20"/>
              </w:rPr>
            </w:pPr>
            <w:r>
              <w:rPr>
                <w:sz w:val="20"/>
                <w:szCs w:val="20"/>
              </w:rPr>
              <w:t>No change</w:t>
            </w:r>
          </w:p>
        </w:tc>
        <w:tc>
          <w:tcPr>
            <w:tcW w:w="1412" w:type="dxa"/>
            <w:shd w:val="clear" w:color="auto" w:fill="D9D9D9" w:themeFill="background1" w:themeFillShade="D9"/>
          </w:tcPr>
          <w:p w:rsidRPr="00BB7053" w:rsidR="001E58F6" w:rsidP="001E58F6" w:rsidRDefault="004F4A5E" w14:paraId="68FC72E0" w14:textId="487642DD">
            <w:pPr>
              <w:tabs>
                <w:tab w:val="left" w:pos="6030"/>
              </w:tabs>
              <w:spacing w:line="276" w:lineRule="auto"/>
              <w:jc w:val="right"/>
              <w:rPr>
                <w:sz w:val="20"/>
                <w:szCs w:val="20"/>
              </w:rPr>
            </w:pPr>
            <w:r>
              <w:rPr>
                <w:sz w:val="20"/>
                <w:szCs w:val="20"/>
              </w:rPr>
              <w:t>+</w:t>
            </w:r>
            <w:r w:rsidR="00042650">
              <w:rPr>
                <w:sz w:val="20"/>
                <w:szCs w:val="20"/>
              </w:rPr>
              <w:t>125,602</w:t>
            </w:r>
          </w:p>
        </w:tc>
      </w:tr>
    </w:tbl>
    <w:p w:rsidR="00885183" w:rsidP="00BB7053" w:rsidRDefault="00885183" w14:paraId="41A084D2" w14:textId="4004992C">
      <w:pPr>
        <w:tabs>
          <w:tab w:val="left" w:pos="6030"/>
        </w:tabs>
        <w:spacing w:line="276" w:lineRule="auto"/>
        <w:jc w:val="both"/>
      </w:pPr>
    </w:p>
    <w:p w:rsidR="00885183" w:rsidP="00536031" w:rsidRDefault="00885183" w14:paraId="2306C4AA" w14:textId="3CF80084">
      <w:pPr>
        <w:keepNext/>
        <w:keepLines/>
        <w:jc w:val="center"/>
        <w:rPr>
          <w:b/>
          <w:bCs/>
        </w:rPr>
      </w:pPr>
      <w:r w:rsidRPr="00B30713">
        <w:rPr>
          <w:rFonts w:eastAsia="Calibri"/>
          <w:b/>
          <w:bCs/>
        </w:rPr>
        <w:t xml:space="preserve">TABLE </w:t>
      </w:r>
      <w:r w:rsidR="00C1361E">
        <w:rPr>
          <w:rFonts w:eastAsia="Calibri"/>
          <w:b/>
          <w:bCs/>
        </w:rPr>
        <w:t>3</w:t>
      </w:r>
      <w:r w:rsidR="00A15C5B">
        <w:rPr>
          <w:rFonts w:eastAsia="Calibri"/>
          <w:b/>
          <w:bCs/>
        </w:rPr>
        <w:t>0Q</w:t>
      </w:r>
      <w:r w:rsidRPr="00B30713">
        <w:rPr>
          <w:rFonts w:eastAsia="Calibri"/>
          <w:b/>
          <w:bCs/>
        </w:rPr>
        <w:t xml:space="preserve">: Burden Reconciliation for </w:t>
      </w:r>
      <w:r w:rsidRPr="005D7081" w:rsidR="005D7081">
        <w:rPr>
          <w:rFonts w:eastAsia="Calibri"/>
          <w:b/>
          <w:bCs/>
        </w:rPr>
        <w:t>Nomination of Improvement Activities</w:t>
      </w:r>
    </w:p>
    <w:tbl>
      <w:tblPr>
        <w:tblStyle w:val="TableGrid"/>
        <w:tblW w:w="9810" w:type="dxa"/>
        <w:tblInd w:w="-95" w:type="dxa"/>
        <w:tblLook w:val="04A0" w:firstRow="1" w:lastRow="0" w:firstColumn="1" w:lastColumn="0" w:noHBand="0" w:noVBand="1"/>
      </w:tblPr>
      <w:tblGrid>
        <w:gridCol w:w="1422"/>
        <w:gridCol w:w="1306"/>
        <w:gridCol w:w="1164"/>
        <w:gridCol w:w="1094"/>
        <w:gridCol w:w="1134"/>
        <w:gridCol w:w="1033"/>
        <w:gridCol w:w="1036"/>
        <w:gridCol w:w="1621"/>
      </w:tblGrid>
      <w:tr w:rsidR="00F60BC7" w:rsidTr="00223079" w14:paraId="0849234C" w14:textId="77777777">
        <w:trPr>
          <w:tblHeader/>
        </w:trPr>
        <w:tc>
          <w:tcPr>
            <w:tcW w:w="1422" w:type="dxa"/>
          </w:tcPr>
          <w:p w:rsidRPr="00173FA2" w:rsidR="00885183" w:rsidP="00536031" w:rsidRDefault="00885183" w14:paraId="55B36AE6"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F18DBC9"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4" w:type="dxa"/>
          </w:tcPr>
          <w:p w:rsidRPr="00173FA2" w:rsidR="00885183" w:rsidP="00536031" w:rsidRDefault="00885183" w14:paraId="57B48CE1"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448D6BEE"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134" w:type="dxa"/>
          </w:tcPr>
          <w:p w:rsidRPr="00173FA2" w:rsidR="00885183" w:rsidP="00536031" w:rsidRDefault="00885183" w14:paraId="00725B49"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33" w:type="dxa"/>
          </w:tcPr>
          <w:p w:rsidRPr="00173FA2" w:rsidR="00885183" w:rsidP="00536031" w:rsidRDefault="00885183" w14:paraId="3E24C07C"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36" w:type="dxa"/>
          </w:tcPr>
          <w:p w:rsidRPr="00173FA2" w:rsidR="00885183" w:rsidP="00536031" w:rsidRDefault="00885183" w14:paraId="22F91B08"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621" w:type="dxa"/>
          </w:tcPr>
          <w:p w:rsidRPr="00173FA2" w:rsidR="00885183" w:rsidP="00536031" w:rsidRDefault="00885183" w14:paraId="498ED9DF" w14:textId="77777777">
            <w:pPr>
              <w:keepNext/>
              <w:keepLines/>
              <w:tabs>
                <w:tab w:val="left" w:pos="6030"/>
              </w:tabs>
              <w:spacing w:line="276" w:lineRule="auto"/>
              <w:rPr>
                <w:b/>
                <w:bCs/>
                <w:sz w:val="20"/>
                <w:szCs w:val="20"/>
              </w:rPr>
            </w:pPr>
            <w:r w:rsidRPr="00173FA2">
              <w:rPr>
                <w:b/>
                <w:bCs/>
                <w:sz w:val="20"/>
                <w:szCs w:val="20"/>
              </w:rPr>
              <w:t>Total Annual Cost ($)</w:t>
            </w:r>
          </w:p>
        </w:tc>
      </w:tr>
      <w:tr w:rsidR="00F60BC7" w:rsidTr="00223079" w14:paraId="4C4AC82D" w14:textId="77777777">
        <w:tc>
          <w:tcPr>
            <w:tcW w:w="1422" w:type="dxa"/>
          </w:tcPr>
          <w:p w:rsidRPr="00BB7053" w:rsidR="0020715B" w:rsidP="0020715B" w:rsidRDefault="0020715B" w14:paraId="78DBC192" w14:textId="0F6637C3">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20715B" w:rsidP="0020715B" w:rsidRDefault="0020715B" w14:paraId="219DE943" w14:textId="1D883800">
            <w:pPr>
              <w:tabs>
                <w:tab w:val="left" w:pos="6030"/>
              </w:tabs>
              <w:spacing w:line="276" w:lineRule="auto"/>
              <w:jc w:val="right"/>
              <w:rPr>
                <w:sz w:val="20"/>
                <w:szCs w:val="20"/>
              </w:rPr>
            </w:pPr>
            <w:r>
              <w:rPr>
                <w:sz w:val="20"/>
                <w:szCs w:val="20"/>
              </w:rPr>
              <w:t>31</w:t>
            </w:r>
          </w:p>
        </w:tc>
        <w:tc>
          <w:tcPr>
            <w:tcW w:w="1164" w:type="dxa"/>
          </w:tcPr>
          <w:p w:rsidRPr="00BB7053" w:rsidR="0020715B" w:rsidP="0020715B" w:rsidRDefault="0020715B" w14:paraId="420A867B" w14:textId="5F45E331">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28D6000A" w14:textId="35F21956">
            <w:pPr>
              <w:tabs>
                <w:tab w:val="left" w:pos="6030"/>
              </w:tabs>
              <w:spacing w:line="276" w:lineRule="auto"/>
              <w:jc w:val="right"/>
              <w:rPr>
                <w:sz w:val="20"/>
                <w:szCs w:val="20"/>
              </w:rPr>
            </w:pPr>
            <w:r>
              <w:rPr>
                <w:sz w:val="20"/>
                <w:szCs w:val="20"/>
              </w:rPr>
              <w:t>31</w:t>
            </w:r>
          </w:p>
        </w:tc>
        <w:tc>
          <w:tcPr>
            <w:tcW w:w="1134" w:type="dxa"/>
          </w:tcPr>
          <w:p w:rsidRPr="00BB7053" w:rsidR="0020715B" w:rsidP="0020715B" w:rsidRDefault="00763028" w14:paraId="34CC53EE" w14:textId="5F75F613">
            <w:pPr>
              <w:tabs>
                <w:tab w:val="left" w:pos="6030"/>
              </w:tabs>
              <w:spacing w:line="276" w:lineRule="auto"/>
              <w:jc w:val="right"/>
              <w:rPr>
                <w:sz w:val="20"/>
                <w:szCs w:val="20"/>
              </w:rPr>
            </w:pPr>
            <w:r>
              <w:rPr>
                <w:sz w:val="20"/>
                <w:szCs w:val="20"/>
              </w:rPr>
              <w:t>4.4</w:t>
            </w:r>
          </w:p>
        </w:tc>
        <w:tc>
          <w:tcPr>
            <w:tcW w:w="1033" w:type="dxa"/>
          </w:tcPr>
          <w:p w:rsidRPr="00BB7053" w:rsidR="0020715B" w:rsidP="0020715B" w:rsidRDefault="00763028" w14:paraId="1DBC9234" w14:textId="4B6E269F">
            <w:pPr>
              <w:tabs>
                <w:tab w:val="left" w:pos="6030"/>
              </w:tabs>
              <w:spacing w:line="276" w:lineRule="auto"/>
              <w:jc w:val="right"/>
              <w:rPr>
                <w:sz w:val="20"/>
                <w:szCs w:val="20"/>
              </w:rPr>
            </w:pPr>
            <w:r>
              <w:rPr>
                <w:sz w:val="20"/>
                <w:szCs w:val="20"/>
              </w:rPr>
              <w:t>136</w:t>
            </w:r>
          </w:p>
        </w:tc>
        <w:tc>
          <w:tcPr>
            <w:tcW w:w="1036" w:type="dxa"/>
          </w:tcPr>
          <w:p w:rsidRPr="00BB7053" w:rsidR="0020715B" w:rsidP="0020715B" w:rsidRDefault="0020715B" w14:paraId="664185F7" w14:textId="5A8CE134">
            <w:pPr>
              <w:tabs>
                <w:tab w:val="left" w:pos="6030"/>
              </w:tabs>
              <w:spacing w:line="276" w:lineRule="auto"/>
              <w:jc w:val="right"/>
              <w:rPr>
                <w:sz w:val="20"/>
                <w:szCs w:val="20"/>
              </w:rPr>
            </w:pPr>
            <w:r>
              <w:rPr>
                <w:sz w:val="20"/>
                <w:szCs w:val="20"/>
              </w:rPr>
              <w:t>Varies</w:t>
            </w:r>
          </w:p>
        </w:tc>
        <w:tc>
          <w:tcPr>
            <w:tcW w:w="1621" w:type="dxa"/>
          </w:tcPr>
          <w:p w:rsidRPr="00BB7053" w:rsidR="0020715B" w:rsidP="0020715B" w:rsidRDefault="00086A59" w14:paraId="7ABD53F5" w14:textId="5BCC74EE">
            <w:pPr>
              <w:tabs>
                <w:tab w:val="left" w:pos="6030"/>
              </w:tabs>
              <w:spacing w:line="276" w:lineRule="auto"/>
              <w:jc w:val="right"/>
              <w:rPr>
                <w:sz w:val="20"/>
                <w:szCs w:val="20"/>
              </w:rPr>
            </w:pPr>
            <w:r>
              <w:rPr>
                <w:sz w:val="20"/>
                <w:szCs w:val="20"/>
              </w:rPr>
              <w:t>22,896</w:t>
            </w:r>
          </w:p>
        </w:tc>
      </w:tr>
      <w:tr w:rsidR="00F60BC7" w:rsidTr="00223079" w14:paraId="4D935E95" w14:textId="77777777">
        <w:tc>
          <w:tcPr>
            <w:tcW w:w="1422" w:type="dxa"/>
          </w:tcPr>
          <w:p w:rsidRPr="00BB7053" w:rsidR="0020715B" w:rsidP="00192E2E" w:rsidRDefault="00A15C5B" w14:paraId="6BEE4F05" w14:textId="3A554D96">
            <w:pPr>
              <w:tabs>
                <w:tab w:val="left" w:pos="6030"/>
              </w:tabs>
              <w:spacing w:line="276" w:lineRule="auto"/>
              <w:rPr>
                <w:sz w:val="20"/>
                <w:szCs w:val="20"/>
              </w:rPr>
            </w:pPr>
            <w:r>
              <w:rPr>
                <w:sz w:val="20"/>
                <w:szCs w:val="20"/>
              </w:rPr>
              <w:t xml:space="preserve">Proposed </w:t>
            </w:r>
            <w:r w:rsidRPr="00A67FD9" w:rsidR="00A67FD9">
              <w:rPr>
                <w:sz w:val="20"/>
                <w:szCs w:val="20"/>
              </w:rPr>
              <w:t>(See Table 2</w:t>
            </w:r>
            <w:r>
              <w:rPr>
                <w:sz w:val="20"/>
                <w:szCs w:val="20"/>
              </w:rPr>
              <w:t>0</w:t>
            </w:r>
            <w:r w:rsidRPr="00A67FD9" w:rsidR="00A67FD9">
              <w:rPr>
                <w:sz w:val="20"/>
                <w:szCs w:val="20"/>
              </w:rPr>
              <w:t>)</w:t>
            </w:r>
          </w:p>
        </w:tc>
        <w:tc>
          <w:tcPr>
            <w:tcW w:w="1306" w:type="dxa"/>
          </w:tcPr>
          <w:p w:rsidRPr="00BB7053" w:rsidR="0020715B" w:rsidP="0020715B" w:rsidRDefault="0020715B" w14:paraId="305A6981" w14:textId="396D13D0">
            <w:pPr>
              <w:tabs>
                <w:tab w:val="left" w:pos="6030"/>
              </w:tabs>
              <w:spacing w:line="276" w:lineRule="auto"/>
              <w:jc w:val="right"/>
              <w:rPr>
                <w:sz w:val="20"/>
                <w:szCs w:val="20"/>
              </w:rPr>
            </w:pPr>
            <w:r>
              <w:rPr>
                <w:sz w:val="20"/>
                <w:szCs w:val="20"/>
              </w:rPr>
              <w:t>31</w:t>
            </w:r>
          </w:p>
        </w:tc>
        <w:tc>
          <w:tcPr>
            <w:tcW w:w="1164" w:type="dxa"/>
          </w:tcPr>
          <w:p w:rsidRPr="00BB7053" w:rsidR="0020715B" w:rsidP="0020715B" w:rsidRDefault="0020715B" w14:paraId="178E48EA" w14:textId="4B9D32F2">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489004AF" w14:textId="01775F59">
            <w:pPr>
              <w:tabs>
                <w:tab w:val="left" w:pos="6030"/>
              </w:tabs>
              <w:spacing w:line="276" w:lineRule="auto"/>
              <w:jc w:val="right"/>
              <w:rPr>
                <w:sz w:val="20"/>
                <w:szCs w:val="20"/>
              </w:rPr>
            </w:pPr>
            <w:r>
              <w:rPr>
                <w:sz w:val="20"/>
                <w:szCs w:val="20"/>
              </w:rPr>
              <w:t>31</w:t>
            </w:r>
          </w:p>
        </w:tc>
        <w:tc>
          <w:tcPr>
            <w:tcW w:w="1134" w:type="dxa"/>
          </w:tcPr>
          <w:p w:rsidRPr="00BB7053" w:rsidR="0020715B" w:rsidP="0020715B" w:rsidRDefault="008573D5" w14:paraId="581098F2" w14:textId="32C3F4DA">
            <w:pPr>
              <w:tabs>
                <w:tab w:val="left" w:pos="6030"/>
              </w:tabs>
              <w:spacing w:line="276" w:lineRule="auto"/>
              <w:jc w:val="right"/>
              <w:rPr>
                <w:sz w:val="20"/>
                <w:szCs w:val="20"/>
              </w:rPr>
            </w:pPr>
            <w:r>
              <w:rPr>
                <w:sz w:val="20"/>
                <w:szCs w:val="20"/>
              </w:rPr>
              <w:t>4.4</w:t>
            </w:r>
          </w:p>
        </w:tc>
        <w:tc>
          <w:tcPr>
            <w:tcW w:w="1033" w:type="dxa"/>
          </w:tcPr>
          <w:p w:rsidRPr="00BB7053" w:rsidR="0020715B" w:rsidP="0020715B" w:rsidRDefault="00CE0D21" w14:paraId="0FC860EC" w14:textId="229527D6">
            <w:pPr>
              <w:tabs>
                <w:tab w:val="left" w:pos="6030"/>
              </w:tabs>
              <w:spacing w:line="276" w:lineRule="auto"/>
              <w:jc w:val="right"/>
              <w:rPr>
                <w:sz w:val="20"/>
                <w:szCs w:val="20"/>
              </w:rPr>
            </w:pPr>
            <w:r>
              <w:rPr>
                <w:sz w:val="20"/>
                <w:szCs w:val="20"/>
              </w:rPr>
              <w:t>136</w:t>
            </w:r>
          </w:p>
        </w:tc>
        <w:tc>
          <w:tcPr>
            <w:tcW w:w="1036" w:type="dxa"/>
          </w:tcPr>
          <w:p w:rsidRPr="00BB7053" w:rsidR="0020715B" w:rsidP="0020715B" w:rsidRDefault="0020715B" w14:paraId="153AEB85" w14:textId="670D4789">
            <w:pPr>
              <w:tabs>
                <w:tab w:val="left" w:pos="6030"/>
              </w:tabs>
              <w:spacing w:line="276" w:lineRule="auto"/>
              <w:jc w:val="right"/>
              <w:rPr>
                <w:sz w:val="20"/>
                <w:szCs w:val="20"/>
              </w:rPr>
            </w:pPr>
            <w:r>
              <w:rPr>
                <w:sz w:val="20"/>
                <w:szCs w:val="20"/>
              </w:rPr>
              <w:t>Varies</w:t>
            </w:r>
          </w:p>
        </w:tc>
        <w:tc>
          <w:tcPr>
            <w:tcW w:w="1621" w:type="dxa"/>
          </w:tcPr>
          <w:p w:rsidRPr="00BB7053" w:rsidR="0020715B" w:rsidP="0020715B" w:rsidRDefault="008061F4" w14:paraId="106A001F" w14:textId="758E37E6">
            <w:pPr>
              <w:tabs>
                <w:tab w:val="left" w:pos="6030"/>
              </w:tabs>
              <w:spacing w:line="276" w:lineRule="auto"/>
              <w:jc w:val="right"/>
              <w:rPr>
                <w:sz w:val="20"/>
                <w:szCs w:val="20"/>
              </w:rPr>
            </w:pPr>
            <w:r>
              <w:rPr>
                <w:sz w:val="20"/>
                <w:szCs w:val="20"/>
              </w:rPr>
              <w:t>2</w:t>
            </w:r>
            <w:r w:rsidR="00086A59">
              <w:rPr>
                <w:sz w:val="20"/>
                <w:szCs w:val="20"/>
              </w:rPr>
              <w:t>2,896</w:t>
            </w:r>
          </w:p>
        </w:tc>
      </w:tr>
      <w:tr w:rsidR="00223079" w:rsidTr="00223079" w14:paraId="7585559D" w14:textId="77777777">
        <w:tc>
          <w:tcPr>
            <w:tcW w:w="1422" w:type="dxa"/>
            <w:shd w:val="clear" w:color="auto" w:fill="D9D9D9" w:themeFill="background1" w:themeFillShade="D9"/>
          </w:tcPr>
          <w:p w:rsidRPr="00BB7053" w:rsidR="0020715B" w:rsidP="0020715B" w:rsidRDefault="0020715B" w14:paraId="29A0523F"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20715B" w:rsidP="0020715B" w:rsidRDefault="0020715B" w14:paraId="068005BE" w14:textId="67C7FECB">
            <w:pPr>
              <w:tabs>
                <w:tab w:val="left" w:pos="6030"/>
              </w:tabs>
              <w:spacing w:line="276" w:lineRule="auto"/>
              <w:jc w:val="right"/>
              <w:rPr>
                <w:sz w:val="20"/>
                <w:szCs w:val="20"/>
              </w:rPr>
            </w:pPr>
            <w:r>
              <w:rPr>
                <w:sz w:val="20"/>
                <w:szCs w:val="20"/>
              </w:rPr>
              <w:t>No Change</w:t>
            </w:r>
          </w:p>
        </w:tc>
        <w:tc>
          <w:tcPr>
            <w:tcW w:w="1164" w:type="dxa"/>
            <w:shd w:val="clear" w:color="auto" w:fill="D9D9D9" w:themeFill="background1" w:themeFillShade="D9"/>
          </w:tcPr>
          <w:p w:rsidRPr="00BB7053" w:rsidR="0020715B" w:rsidP="0020715B" w:rsidRDefault="0020715B" w14:paraId="78690F1B" w14:textId="0DBC479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20715B" w:rsidP="0020715B" w:rsidRDefault="0020715B" w14:paraId="71756AC7" w14:textId="0B7A2D2A">
            <w:pPr>
              <w:tabs>
                <w:tab w:val="left" w:pos="6030"/>
              </w:tabs>
              <w:spacing w:line="276" w:lineRule="auto"/>
              <w:jc w:val="right"/>
              <w:rPr>
                <w:sz w:val="20"/>
                <w:szCs w:val="20"/>
              </w:rPr>
            </w:pPr>
            <w:r w:rsidRPr="00567943">
              <w:rPr>
                <w:sz w:val="20"/>
                <w:szCs w:val="20"/>
              </w:rPr>
              <w:t>No change</w:t>
            </w:r>
          </w:p>
        </w:tc>
        <w:tc>
          <w:tcPr>
            <w:tcW w:w="1134" w:type="dxa"/>
            <w:shd w:val="clear" w:color="auto" w:fill="D9D9D9" w:themeFill="background1" w:themeFillShade="D9"/>
          </w:tcPr>
          <w:p w:rsidRPr="00BB7053" w:rsidR="0020715B" w:rsidP="00223079" w:rsidRDefault="00763028" w14:paraId="408E4AC1" w14:textId="5A67B8E2">
            <w:pPr>
              <w:tabs>
                <w:tab w:val="left" w:pos="6030"/>
              </w:tabs>
              <w:spacing w:line="276" w:lineRule="auto"/>
              <w:rPr>
                <w:sz w:val="20"/>
                <w:szCs w:val="20"/>
              </w:rPr>
            </w:pPr>
            <w:r>
              <w:rPr>
                <w:sz w:val="20"/>
                <w:szCs w:val="20"/>
              </w:rPr>
              <w:t>No change</w:t>
            </w:r>
          </w:p>
        </w:tc>
        <w:tc>
          <w:tcPr>
            <w:tcW w:w="1033" w:type="dxa"/>
            <w:shd w:val="clear" w:color="auto" w:fill="D9D9D9" w:themeFill="background1" w:themeFillShade="D9"/>
          </w:tcPr>
          <w:p w:rsidRPr="00BB7053" w:rsidR="0020715B" w:rsidP="00223079" w:rsidRDefault="00763028" w14:paraId="2DD6AEB3" w14:textId="582C8C58">
            <w:pPr>
              <w:tabs>
                <w:tab w:val="left" w:pos="6030"/>
              </w:tabs>
              <w:spacing w:line="276" w:lineRule="auto"/>
              <w:jc w:val="center"/>
              <w:rPr>
                <w:sz w:val="20"/>
                <w:szCs w:val="20"/>
              </w:rPr>
            </w:pPr>
            <w:r>
              <w:rPr>
                <w:sz w:val="20"/>
                <w:szCs w:val="20"/>
              </w:rPr>
              <w:t>No change</w:t>
            </w:r>
          </w:p>
        </w:tc>
        <w:tc>
          <w:tcPr>
            <w:tcW w:w="1036" w:type="dxa"/>
            <w:shd w:val="clear" w:color="auto" w:fill="D9D9D9" w:themeFill="background1" w:themeFillShade="D9"/>
          </w:tcPr>
          <w:p w:rsidRPr="00BB7053" w:rsidR="0020715B" w:rsidP="0020715B" w:rsidRDefault="0073386B" w14:paraId="1FF8C1AD" w14:textId="14CC0D89">
            <w:pPr>
              <w:tabs>
                <w:tab w:val="left" w:pos="6030"/>
              </w:tabs>
              <w:spacing w:line="276" w:lineRule="auto"/>
              <w:jc w:val="right"/>
              <w:rPr>
                <w:sz w:val="20"/>
                <w:szCs w:val="20"/>
              </w:rPr>
            </w:pPr>
            <w:r>
              <w:rPr>
                <w:sz w:val="20"/>
                <w:szCs w:val="20"/>
              </w:rPr>
              <w:t>Varies</w:t>
            </w:r>
          </w:p>
        </w:tc>
        <w:tc>
          <w:tcPr>
            <w:tcW w:w="1621" w:type="dxa"/>
            <w:shd w:val="clear" w:color="auto" w:fill="D9D9D9" w:themeFill="background1" w:themeFillShade="D9"/>
          </w:tcPr>
          <w:p w:rsidRPr="00BB7053" w:rsidR="0020715B" w:rsidP="0020715B" w:rsidRDefault="00086A59" w14:paraId="252AC99D" w14:textId="63B1A358">
            <w:pPr>
              <w:tabs>
                <w:tab w:val="left" w:pos="6030"/>
              </w:tabs>
              <w:spacing w:line="276" w:lineRule="auto"/>
              <w:jc w:val="right"/>
              <w:rPr>
                <w:sz w:val="20"/>
                <w:szCs w:val="20"/>
              </w:rPr>
            </w:pPr>
            <w:r>
              <w:rPr>
                <w:sz w:val="20"/>
                <w:szCs w:val="20"/>
              </w:rPr>
              <w:t>No change</w:t>
            </w:r>
          </w:p>
        </w:tc>
      </w:tr>
    </w:tbl>
    <w:p w:rsidR="00C1361E" w:rsidP="00885183" w:rsidRDefault="00C1361E" w14:paraId="166F1A7D" w14:textId="77777777">
      <w:pPr>
        <w:jc w:val="center"/>
        <w:rPr>
          <w:rFonts w:eastAsia="Calibri"/>
          <w:b/>
          <w:bCs/>
        </w:rPr>
      </w:pPr>
    </w:p>
    <w:p w:rsidR="00885183" w:rsidP="00DE0E95" w:rsidRDefault="00885183" w14:paraId="05521CD9" w14:textId="5B1767BD">
      <w:pPr>
        <w:keepNext/>
        <w:keepLines/>
        <w:jc w:val="center"/>
        <w:rPr>
          <w:b/>
          <w:bCs/>
        </w:rPr>
      </w:pPr>
      <w:r w:rsidRPr="00B30713">
        <w:rPr>
          <w:rFonts w:eastAsia="Calibri"/>
          <w:b/>
          <w:bCs/>
        </w:rPr>
        <w:t xml:space="preserve">TABLE </w:t>
      </w:r>
      <w:r w:rsidR="00C1361E">
        <w:rPr>
          <w:rFonts w:eastAsia="Calibri"/>
          <w:b/>
          <w:bCs/>
        </w:rPr>
        <w:t>3</w:t>
      </w:r>
      <w:r w:rsidR="00507D1D">
        <w:rPr>
          <w:rFonts w:eastAsia="Calibri"/>
          <w:b/>
          <w:bCs/>
        </w:rPr>
        <w:t>0R</w:t>
      </w:r>
      <w:r w:rsidRPr="00B30713">
        <w:rPr>
          <w:rFonts w:eastAsia="Calibri"/>
          <w:b/>
          <w:bCs/>
        </w:rPr>
        <w:t xml:space="preserve">: Burden Reconciliation for </w:t>
      </w:r>
      <w:r w:rsidRPr="000427D0" w:rsidR="000427D0">
        <w:rPr>
          <w:rFonts w:eastAsia="Calibri"/>
          <w:b/>
          <w:bCs/>
        </w:rPr>
        <w:t>Nomination of MVPs</w:t>
      </w:r>
    </w:p>
    <w:tbl>
      <w:tblPr>
        <w:tblStyle w:val="TableGrid"/>
        <w:tblW w:w="9715" w:type="dxa"/>
        <w:tblLook w:val="04A0" w:firstRow="1" w:lastRow="0" w:firstColumn="1" w:lastColumn="0" w:noHBand="0" w:noVBand="1"/>
      </w:tblPr>
      <w:tblGrid>
        <w:gridCol w:w="1251"/>
        <w:gridCol w:w="1306"/>
        <w:gridCol w:w="1168"/>
        <w:gridCol w:w="1094"/>
        <w:gridCol w:w="1077"/>
        <w:gridCol w:w="1071"/>
        <w:gridCol w:w="1067"/>
        <w:gridCol w:w="1681"/>
      </w:tblGrid>
      <w:tr w:rsidR="00885183" w:rsidTr="003830B0" w14:paraId="3D7100E5" w14:textId="77777777">
        <w:trPr>
          <w:tblHeader/>
        </w:trPr>
        <w:tc>
          <w:tcPr>
            <w:tcW w:w="1251" w:type="dxa"/>
          </w:tcPr>
          <w:p w:rsidRPr="00173FA2" w:rsidR="00885183" w:rsidP="00DE0E95" w:rsidRDefault="00885183" w14:paraId="3A29756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DE0E95" w:rsidRDefault="00885183" w14:paraId="63896D41"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DE0E95" w:rsidRDefault="00885183" w14:paraId="2A314E33"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DE0E95" w:rsidRDefault="00885183" w14:paraId="4091D078"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DE0E95" w:rsidRDefault="00885183" w14:paraId="34F7728C"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71" w:type="dxa"/>
          </w:tcPr>
          <w:p w:rsidRPr="00173FA2" w:rsidR="00885183" w:rsidP="00DE0E95" w:rsidRDefault="00885183" w14:paraId="13F22E5E"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67" w:type="dxa"/>
          </w:tcPr>
          <w:p w:rsidRPr="00173FA2" w:rsidR="00885183" w:rsidP="00DE0E95" w:rsidRDefault="00885183" w14:paraId="4CE986E4"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681" w:type="dxa"/>
          </w:tcPr>
          <w:p w:rsidRPr="00173FA2" w:rsidR="00885183" w:rsidP="00DE0E95" w:rsidRDefault="00885183" w14:paraId="35E8C241" w14:textId="77777777">
            <w:pPr>
              <w:keepNext/>
              <w:keepLines/>
              <w:tabs>
                <w:tab w:val="left" w:pos="6030"/>
              </w:tabs>
              <w:spacing w:line="276" w:lineRule="auto"/>
              <w:rPr>
                <w:b/>
                <w:bCs/>
                <w:sz w:val="20"/>
                <w:szCs w:val="20"/>
              </w:rPr>
            </w:pPr>
            <w:r w:rsidRPr="00173FA2">
              <w:rPr>
                <w:b/>
                <w:bCs/>
                <w:sz w:val="20"/>
                <w:szCs w:val="20"/>
              </w:rPr>
              <w:t>Total Annual Cost ($)</w:t>
            </w:r>
          </w:p>
        </w:tc>
      </w:tr>
      <w:tr w:rsidR="00E23B74" w:rsidTr="003830B0" w14:paraId="06ED3541" w14:textId="77777777">
        <w:tc>
          <w:tcPr>
            <w:tcW w:w="1251" w:type="dxa"/>
          </w:tcPr>
          <w:p w:rsidRPr="00BB7053" w:rsidR="00E23B74" w:rsidP="00E23B74" w:rsidRDefault="00E23B74" w14:paraId="333C1D65" w14:textId="5492EEDE">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E23B74" w:rsidP="00E23B74" w:rsidRDefault="00E23B74" w14:paraId="24407B1E" w14:textId="3ACF5FAE">
            <w:pPr>
              <w:tabs>
                <w:tab w:val="left" w:pos="6030"/>
              </w:tabs>
              <w:spacing w:line="276" w:lineRule="auto"/>
              <w:jc w:val="right"/>
              <w:rPr>
                <w:sz w:val="20"/>
                <w:szCs w:val="20"/>
              </w:rPr>
            </w:pPr>
            <w:r>
              <w:rPr>
                <w:sz w:val="20"/>
                <w:szCs w:val="20"/>
              </w:rPr>
              <w:t>25</w:t>
            </w:r>
          </w:p>
        </w:tc>
        <w:tc>
          <w:tcPr>
            <w:tcW w:w="1168" w:type="dxa"/>
          </w:tcPr>
          <w:p w:rsidRPr="00BB7053" w:rsidR="00E23B74" w:rsidP="00E23B74" w:rsidRDefault="00E23B74" w14:paraId="58BFF60E" w14:textId="40966676">
            <w:pPr>
              <w:tabs>
                <w:tab w:val="left" w:pos="6030"/>
              </w:tabs>
              <w:spacing w:line="276" w:lineRule="auto"/>
              <w:jc w:val="right"/>
              <w:rPr>
                <w:sz w:val="20"/>
                <w:szCs w:val="20"/>
              </w:rPr>
            </w:pPr>
            <w:r>
              <w:rPr>
                <w:sz w:val="20"/>
                <w:szCs w:val="20"/>
              </w:rPr>
              <w:t>1</w:t>
            </w:r>
          </w:p>
        </w:tc>
        <w:tc>
          <w:tcPr>
            <w:tcW w:w="1094" w:type="dxa"/>
          </w:tcPr>
          <w:p w:rsidRPr="00BB7053" w:rsidR="00E23B74" w:rsidP="00E23B74" w:rsidRDefault="00E23B74" w14:paraId="574F4DDA" w14:textId="64E584F2">
            <w:pPr>
              <w:tabs>
                <w:tab w:val="left" w:pos="6030"/>
              </w:tabs>
              <w:spacing w:line="276" w:lineRule="auto"/>
              <w:jc w:val="right"/>
              <w:rPr>
                <w:sz w:val="20"/>
                <w:szCs w:val="20"/>
              </w:rPr>
            </w:pPr>
            <w:r>
              <w:rPr>
                <w:sz w:val="20"/>
                <w:szCs w:val="20"/>
              </w:rPr>
              <w:t>25</w:t>
            </w:r>
          </w:p>
        </w:tc>
        <w:tc>
          <w:tcPr>
            <w:tcW w:w="1077" w:type="dxa"/>
          </w:tcPr>
          <w:p w:rsidRPr="00BB7053" w:rsidR="00E23B74" w:rsidP="00E23B74" w:rsidRDefault="00E23B74" w14:paraId="186A8B13" w14:textId="542A2E13">
            <w:pPr>
              <w:tabs>
                <w:tab w:val="left" w:pos="6030"/>
              </w:tabs>
              <w:spacing w:line="276" w:lineRule="auto"/>
              <w:jc w:val="right"/>
              <w:rPr>
                <w:sz w:val="20"/>
                <w:szCs w:val="20"/>
              </w:rPr>
            </w:pPr>
            <w:r>
              <w:rPr>
                <w:sz w:val="20"/>
                <w:szCs w:val="20"/>
              </w:rPr>
              <w:t>12</w:t>
            </w:r>
          </w:p>
        </w:tc>
        <w:tc>
          <w:tcPr>
            <w:tcW w:w="1071" w:type="dxa"/>
          </w:tcPr>
          <w:p w:rsidRPr="00BB7053" w:rsidR="00E23B74" w:rsidP="00E23B74" w:rsidRDefault="00E23B74" w14:paraId="4A661A70" w14:textId="713679E6">
            <w:pPr>
              <w:tabs>
                <w:tab w:val="left" w:pos="6030"/>
              </w:tabs>
              <w:spacing w:line="276" w:lineRule="auto"/>
              <w:jc w:val="right"/>
              <w:rPr>
                <w:sz w:val="20"/>
                <w:szCs w:val="20"/>
              </w:rPr>
            </w:pPr>
            <w:r>
              <w:rPr>
                <w:sz w:val="20"/>
                <w:szCs w:val="20"/>
              </w:rPr>
              <w:t>300</w:t>
            </w:r>
          </w:p>
        </w:tc>
        <w:tc>
          <w:tcPr>
            <w:tcW w:w="1067" w:type="dxa"/>
          </w:tcPr>
          <w:p w:rsidRPr="00BB7053" w:rsidR="00E23B74" w:rsidP="00E23B74" w:rsidRDefault="00E23B74" w14:paraId="4A111FEA" w14:textId="51EF5514">
            <w:pPr>
              <w:tabs>
                <w:tab w:val="left" w:pos="6030"/>
              </w:tabs>
              <w:spacing w:line="276" w:lineRule="auto"/>
              <w:jc w:val="right"/>
              <w:rPr>
                <w:sz w:val="20"/>
                <w:szCs w:val="20"/>
              </w:rPr>
            </w:pPr>
            <w:r>
              <w:rPr>
                <w:sz w:val="20"/>
                <w:szCs w:val="20"/>
              </w:rPr>
              <w:t>Varies</w:t>
            </w:r>
          </w:p>
        </w:tc>
        <w:tc>
          <w:tcPr>
            <w:tcW w:w="1681" w:type="dxa"/>
          </w:tcPr>
          <w:p w:rsidRPr="00BB7053" w:rsidR="00E23B74" w:rsidP="00E23B74" w:rsidRDefault="005A70F8" w14:paraId="0E023D10" w14:textId="453C5E88">
            <w:pPr>
              <w:tabs>
                <w:tab w:val="left" w:pos="6030"/>
              </w:tabs>
              <w:spacing w:line="276" w:lineRule="auto"/>
              <w:jc w:val="right"/>
              <w:rPr>
                <w:sz w:val="20"/>
                <w:szCs w:val="20"/>
              </w:rPr>
            </w:pPr>
            <w:r>
              <w:rPr>
                <w:sz w:val="20"/>
                <w:szCs w:val="20"/>
              </w:rPr>
              <w:t>51,937</w:t>
            </w:r>
          </w:p>
        </w:tc>
      </w:tr>
      <w:tr w:rsidR="00B12E7A" w:rsidTr="003830B0" w14:paraId="1A9CA817" w14:textId="77777777">
        <w:tc>
          <w:tcPr>
            <w:tcW w:w="1251" w:type="dxa"/>
          </w:tcPr>
          <w:p w:rsidRPr="00BB7053" w:rsidR="00B12E7A" w:rsidP="00192E2E" w:rsidRDefault="00507D1D" w14:paraId="5520B90E" w14:textId="3B960A88">
            <w:pPr>
              <w:tabs>
                <w:tab w:val="left" w:pos="6030"/>
              </w:tabs>
              <w:spacing w:line="276" w:lineRule="auto"/>
              <w:rPr>
                <w:sz w:val="20"/>
                <w:szCs w:val="20"/>
              </w:rPr>
            </w:pPr>
            <w:r>
              <w:rPr>
                <w:sz w:val="20"/>
                <w:szCs w:val="20"/>
              </w:rPr>
              <w:t xml:space="preserve">Proposed </w:t>
            </w:r>
            <w:r w:rsidRPr="00A67FD9" w:rsidR="00A67FD9">
              <w:rPr>
                <w:sz w:val="20"/>
                <w:szCs w:val="20"/>
              </w:rPr>
              <w:t>(See Table 2</w:t>
            </w:r>
            <w:r>
              <w:rPr>
                <w:sz w:val="20"/>
                <w:szCs w:val="20"/>
              </w:rPr>
              <w:t>1</w:t>
            </w:r>
            <w:r w:rsidRPr="00A67FD9" w:rsidR="00A67FD9">
              <w:rPr>
                <w:sz w:val="20"/>
                <w:szCs w:val="20"/>
              </w:rPr>
              <w:t>)</w:t>
            </w:r>
          </w:p>
        </w:tc>
        <w:tc>
          <w:tcPr>
            <w:tcW w:w="1306" w:type="dxa"/>
          </w:tcPr>
          <w:p w:rsidRPr="00BB7053" w:rsidR="00B12E7A" w:rsidP="00B12E7A" w:rsidRDefault="00B12E7A" w14:paraId="63684200" w14:textId="061EE857">
            <w:pPr>
              <w:tabs>
                <w:tab w:val="left" w:pos="6030"/>
              </w:tabs>
              <w:spacing w:line="276" w:lineRule="auto"/>
              <w:jc w:val="right"/>
              <w:rPr>
                <w:sz w:val="20"/>
                <w:szCs w:val="20"/>
              </w:rPr>
            </w:pPr>
            <w:r>
              <w:rPr>
                <w:sz w:val="20"/>
                <w:szCs w:val="20"/>
              </w:rPr>
              <w:t>2</w:t>
            </w:r>
            <w:r w:rsidR="00507D1D">
              <w:rPr>
                <w:sz w:val="20"/>
                <w:szCs w:val="20"/>
              </w:rPr>
              <w:t>0</w:t>
            </w:r>
          </w:p>
        </w:tc>
        <w:tc>
          <w:tcPr>
            <w:tcW w:w="1168" w:type="dxa"/>
          </w:tcPr>
          <w:p w:rsidRPr="00BB7053" w:rsidR="00B12E7A" w:rsidP="00B12E7A" w:rsidRDefault="00B12E7A" w14:paraId="31B8D3C4" w14:textId="5982C5DB">
            <w:pPr>
              <w:tabs>
                <w:tab w:val="left" w:pos="6030"/>
              </w:tabs>
              <w:spacing w:line="276" w:lineRule="auto"/>
              <w:jc w:val="right"/>
              <w:rPr>
                <w:sz w:val="20"/>
                <w:szCs w:val="20"/>
              </w:rPr>
            </w:pPr>
            <w:r>
              <w:rPr>
                <w:sz w:val="20"/>
                <w:szCs w:val="20"/>
              </w:rPr>
              <w:t>1</w:t>
            </w:r>
          </w:p>
        </w:tc>
        <w:tc>
          <w:tcPr>
            <w:tcW w:w="1094" w:type="dxa"/>
          </w:tcPr>
          <w:p w:rsidRPr="00BB7053" w:rsidR="00B12E7A" w:rsidP="00B12E7A" w:rsidRDefault="00B12E7A" w14:paraId="1AA0D0E9" w14:textId="6AC3F86B">
            <w:pPr>
              <w:tabs>
                <w:tab w:val="left" w:pos="6030"/>
              </w:tabs>
              <w:spacing w:line="276" w:lineRule="auto"/>
              <w:jc w:val="right"/>
              <w:rPr>
                <w:sz w:val="20"/>
                <w:szCs w:val="20"/>
              </w:rPr>
            </w:pPr>
            <w:r>
              <w:rPr>
                <w:sz w:val="20"/>
                <w:szCs w:val="20"/>
              </w:rPr>
              <w:t>2</w:t>
            </w:r>
            <w:r w:rsidR="00507D1D">
              <w:rPr>
                <w:sz w:val="20"/>
                <w:szCs w:val="20"/>
              </w:rPr>
              <w:t>0</w:t>
            </w:r>
          </w:p>
        </w:tc>
        <w:tc>
          <w:tcPr>
            <w:tcW w:w="1077" w:type="dxa"/>
          </w:tcPr>
          <w:p w:rsidRPr="00BB7053" w:rsidR="00B12E7A" w:rsidP="00B12E7A" w:rsidRDefault="00B12E7A" w14:paraId="267B31CB" w14:textId="179D4487">
            <w:pPr>
              <w:tabs>
                <w:tab w:val="left" w:pos="6030"/>
              </w:tabs>
              <w:spacing w:line="276" w:lineRule="auto"/>
              <w:jc w:val="right"/>
              <w:rPr>
                <w:sz w:val="20"/>
                <w:szCs w:val="20"/>
              </w:rPr>
            </w:pPr>
            <w:r>
              <w:rPr>
                <w:sz w:val="20"/>
                <w:szCs w:val="20"/>
              </w:rPr>
              <w:t>12</w:t>
            </w:r>
          </w:p>
        </w:tc>
        <w:tc>
          <w:tcPr>
            <w:tcW w:w="1071" w:type="dxa"/>
          </w:tcPr>
          <w:p w:rsidRPr="00BB7053" w:rsidR="00B12E7A" w:rsidP="00B12E7A" w:rsidRDefault="00507D1D" w14:paraId="5F320698" w14:textId="7B1DFE27">
            <w:pPr>
              <w:tabs>
                <w:tab w:val="left" w:pos="6030"/>
              </w:tabs>
              <w:spacing w:line="276" w:lineRule="auto"/>
              <w:jc w:val="right"/>
              <w:rPr>
                <w:sz w:val="20"/>
                <w:szCs w:val="20"/>
              </w:rPr>
            </w:pPr>
            <w:r>
              <w:rPr>
                <w:sz w:val="20"/>
                <w:szCs w:val="20"/>
              </w:rPr>
              <w:t>24</w:t>
            </w:r>
            <w:r w:rsidR="00B12E7A">
              <w:rPr>
                <w:sz w:val="20"/>
                <w:szCs w:val="20"/>
              </w:rPr>
              <w:t>0</w:t>
            </w:r>
          </w:p>
        </w:tc>
        <w:tc>
          <w:tcPr>
            <w:tcW w:w="1067" w:type="dxa"/>
          </w:tcPr>
          <w:p w:rsidRPr="00BB7053" w:rsidR="00B12E7A" w:rsidP="00B12E7A" w:rsidRDefault="00B12E7A" w14:paraId="1D33EADC" w14:textId="7F81B8B1">
            <w:pPr>
              <w:tabs>
                <w:tab w:val="left" w:pos="6030"/>
              </w:tabs>
              <w:spacing w:line="276" w:lineRule="auto"/>
              <w:jc w:val="right"/>
              <w:rPr>
                <w:sz w:val="20"/>
                <w:szCs w:val="20"/>
              </w:rPr>
            </w:pPr>
            <w:r>
              <w:rPr>
                <w:sz w:val="20"/>
                <w:szCs w:val="20"/>
              </w:rPr>
              <w:t>Varies</w:t>
            </w:r>
          </w:p>
        </w:tc>
        <w:tc>
          <w:tcPr>
            <w:tcW w:w="1681" w:type="dxa"/>
          </w:tcPr>
          <w:p w:rsidRPr="00BB7053" w:rsidR="00B12E7A" w:rsidP="00B12E7A" w:rsidRDefault="004D6C0A" w14:paraId="6BC5B424" w14:textId="48AC23D7">
            <w:pPr>
              <w:tabs>
                <w:tab w:val="left" w:pos="6030"/>
              </w:tabs>
              <w:spacing w:line="276" w:lineRule="auto"/>
              <w:jc w:val="right"/>
              <w:rPr>
                <w:sz w:val="20"/>
                <w:szCs w:val="20"/>
              </w:rPr>
            </w:pPr>
            <w:r>
              <w:rPr>
                <w:sz w:val="20"/>
                <w:szCs w:val="20"/>
              </w:rPr>
              <w:t>4</w:t>
            </w:r>
            <w:r w:rsidR="005A70F8">
              <w:rPr>
                <w:sz w:val="20"/>
                <w:szCs w:val="20"/>
              </w:rPr>
              <w:t>1,550</w:t>
            </w:r>
          </w:p>
        </w:tc>
      </w:tr>
      <w:tr w:rsidR="00B12E7A" w:rsidTr="003830B0" w14:paraId="37795A02" w14:textId="77777777">
        <w:tc>
          <w:tcPr>
            <w:tcW w:w="1251" w:type="dxa"/>
            <w:shd w:val="clear" w:color="auto" w:fill="D9D9D9" w:themeFill="background1" w:themeFillShade="D9"/>
          </w:tcPr>
          <w:p w:rsidRPr="00BB7053" w:rsidR="00B12E7A" w:rsidP="00B12E7A" w:rsidRDefault="00B12E7A" w14:paraId="06E93A20"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B12E7A" w:rsidP="00B12E7A" w:rsidRDefault="004D6C0A" w14:paraId="3C6780D8" w14:textId="0EE7CABF">
            <w:pPr>
              <w:tabs>
                <w:tab w:val="left" w:pos="6030"/>
              </w:tabs>
              <w:spacing w:line="276" w:lineRule="auto"/>
              <w:jc w:val="right"/>
              <w:rPr>
                <w:sz w:val="20"/>
                <w:szCs w:val="20"/>
              </w:rPr>
            </w:pPr>
            <w:r>
              <w:rPr>
                <w:sz w:val="20"/>
                <w:szCs w:val="20"/>
              </w:rPr>
              <w:t xml:space="preserve"> </w:t>
            </w:r>
            <w:r w:rsidR="00507D1D">
              <w:rPr>
                <w:sz w:val="20"/>
                <w:szCs w:val="20"/>
              </w:rPr>
              <w:t>-5</w:t>
            </w:r>
          </w:p>
        </w:tc>
        <w:tc>
          <w:tcPr>
            <w:tcW w:w="1168" w:type="dxa"/>
            <w:shd w:val="clear" w:color="auto" w:fill="D9D9D9" w:themeFill="background1" w:themeFillShade="D9"/>
          </w:tcPr>
          <w:p w:rsidRPr="00BB7053" w:rsidR="00B12E7A" w:rsidP="00B12E7A" w:rsidRDefault="004D6C0A" w14:paraId="69C6A02E" w14:textId="3BDF43C6">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B12E7A" w:rsidP="00B12E7A" w:rsidRDefault="00507D1D" w14:paraId="03FBEA05" w14:textId="2653EA42">
            <w:pPr>
              <w:tabs>
                <w:tab w:val="left" w:pos="6030"/>
              </w:tabs>
              <w:spacing w:line="276" w:lineRule="auto"/>
              <w:jc w:val="right"/>
              <w:rPr>
                <w:sz w:val="20"/>
                <w:szCs w:val="20"/>
              </w:rPr>
            </w:pPr>
            <w:r>
              <w:rPr>
                <w:sz w:val="20"/>
                <w:szCs w:val="20"/>
              </w:rPr>
              <w:t>-5</w:t>
            </w:r>
          </w:p>
        </w:tc>
        <w:tc>
          <w:tcPr>
            <w:tcW w:w="1077" w:type="dxa"/>
            <w:shd w:val="clear" w:color="auto" w:fill="D9D9D9" w:themeFill="background1" w:themeFillShade="D9"/>
          </w:tcPr>
          <w:p w:rsidRPr="00BB7053" w:rsidR="00B12E7A" w:rsidP="00B12E7A" w:rsidRDefault="00F536EE" w14:paraId="724D651B" w14:textId="1D7C1EF9">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B12E7A" w:rsidP="00B12E7A" w:rsidRDefault="005A70F8" w14:paraId="1E2CABDB" w14:textId="7C4EBD44">
            <w:pPr>
              <w:tabs>
                <w:tab w:val="left" w:pos="6030"/>
              </w:tabs>
              <w:spacing w:line="276" w:lineRule="auto"/>
              <w:jc w:val="right"/>
              <w:rPr>
                <w:sz w:val="20"/>
                <w:szCs w:val="20"/>
              </w:rPr>
            </w:pPr>
            <w:r>
              <w:rPr>
                <w:sz w:val="20"/>
                <w:szCs w:val="20"/>
              </w:rPr>
              <w:t>-60</w:t>
            </w:r>
          </w:p>
        </w:tc>
        <w:tc>
          <w:tcPr>
            <w:tcW w:w="1067" w:type="dxa"/>
            <w:shd w:val="clear" w:color="auto" w:fill="D9D9D9" w:themeFill="background1" w:themeFillShade="D9"/>
          </w:tcPr>
          <w:p w:rsidRPr="00BB7053" w:rsidR="00B12E7A" w:rsidP="00B12E7A" w:rsidRDefault="00F536EE" w14:paraId="32C9AB87" w14:textId="15F6AA03">
            <w:pPr>
              <w:tabs>
                <w:tab w:val="left" w:pos="6030"/>
              </w:tabs>
              <w:spacing w:line="276" w:lineRule="auto"/>
              <w:jc w:val="right"/>
              <w:rPr>
                <w:sz w:val="20"/>
                <w:szCs w:val="20"/>
              </w:rPr>
            </w:pPr>
            <w:r>
              <w:rPr>
                <w:sz w:val="20"/>
                <w:szCs w:val="20"/>
              </w:rPr>
              <w:t>No change</w:t>
            </w:r>
          </w:p>
        </w:tc>
        <w:tc>
          <w:tcPr>
            <w:tcW w:w="1681" w:type="dxa"/>
            <w:shd w:val="clear" w:color="auto" w:fill="D9D9D9" w:themeFill="background1" w:themeFillShade="D9"/>
          </w:tcPr>
          <w:p w:rsidRPr="00BB7053" w:rsidR="00B12E7A" w:rsidP="00B12E7A" w:rsidRDefault="005A70F8" w14:paraId="7DC63201" w14:textId="73BFCAFE">
            <w:pPr>
              <w:tabs>
                <w:tab w:val="left" w:pos="6030"/>
              </w:tabs>
              <w:spacing w:line="276" w:lineRule="auto"/>
              <w:jc w:val="right"/>
              <w:rPr>
                <w:sz w:val="20"/>
                <w:szCs w:val="20"/>
              </w:rPr>
            </w:pPr>
            <w:r>
              <w:rPr>
                <w:sz w:val="20"/>
                <w:szCs w:val="20"/>
              </w:rPr>
              <w:t>-10,387</w:t>
            </w:r>
          </w:p>
        </w:tc>
      </w:tr>
    </w:tbl>
    <w:p w:rsidR="00885183" w:rsidP="00BB7053" w:rsidRDefault="00885183" w14:paraId="0038278E" w14:textId="457ECC21">
      <w:pPr>
        <w:tabs>
          <w:tab w:val="left" w:pos="6030"/>
        </w:tabs>
        <w:spacing w:line="276" w:lineRule="auto"/>
        <w:jc w:val="both"/>
      </w:pPr>
    </w:p>
    <w:p w:rsidR="00885183" w:rsidP="00FC0888" w:rsidRDefault="00885183" w14:paraId="73D5F9DE" w14:textId="3EB29BDD">
      <w:pPr>
        <w:keepNext/>
        <w:keepLines/>
        <w:jc w:val="center"/>
        <w:rPr>
          <w:b/>
          <w:bCs/>
        </w:rPr>
      </w:pPr>
      <w:r w:rsidRPr="00B30713">
        <w:rPr>
          <w:rFonts w:eastAsia="Calibri"/>
          <w:b/>
          <w:bCs/>
        </w:rPr>
        <w:lastRenderedPageBreak/>
        <w:t xml:space="preserve">TABLE </w:t>
      </w:r>
      <w:r w:rsidR="00C1361E">
        <w:rPr>
          <w:rFonts w:eastAsia="Calibri"/>
          <w:b/>
          <w:bCs/>
        </w:rPr>
        <w:t>3</w:t>
      </w:r>
      <w:r w:rsidR="00583747">
        <w:rPr>
          <w:rFonts w:eastAsia="Calibri"/>
          <w:b/>
          <w:bCs/>
        </w:rPr>
        <w:t>0S</w:t>
      </w:r>
      <w:r w:rsidRPr="00B30713">
        <w:rPr>
          <w:rFonts w:eastAsia="Calibri"/>
          <w:b/>
          <w:bCs/>
        </w:rPr>
        <w:t xml:space="preserve">: Burden Reconciliation for </w:t>
      </w:r>
      <w:r w:rsidRPr="00206695" w:rsidR="00206695">
        <w:rPr>
          <w:rFonts w:eastAsia="Calibri"/>
          <w:b/>
          <w:bCs/>
        </w:rPr>
        <w:t>Partial QP Election</w:t>
      </w:r>
    </w:p>
    <w:tbl>
      <w:tblPr>
        <w:tblStyle w:val="TableGrid"/>
        <w:tblW w:w="9805" w:type="dxa"/>
        <w:tblLook w:val="04A0" w:firstRow="1" w:lastRow="0" w:firstColumn="1" w:lastColumn="0" w:noHBand="0" w:noVBand="1"/>
      </w:tblPr>
      <w:tblGrid>
        <w:gridCol w:w="1252"/>
        <w:gridCol w:w="1306"/>
        <w:gridCol w:w="1168"/>
        <w:gridCol w:w="1094"/>
        <w:gridCol w:w="1077"/>
        <w:gridCol w:w="1071"/>
        <w:gridCol w:w="1068"/>
        <w:gridCol w:w="1769"/>
      </w:tblGrid>
      <w:tr w:rsidR="00885183" w:rsidTr="003830B0" w14:paraId="2582352A" w14:textId="77777777">
        <w:trPr>
          <w:tblHeader/>
        </w:trPr>
        <w:tc>
          <w:tcPr>
            <w:tcW w:w="1252" w:type="dxa"/>
          </w:tcPr>
          <w:p w:rsidRPr="00173FA2" w:rsidR="00885183" w:rsidP="00FC0888" w:rsidRDefault="00885183" w14:paraId="72DFBCC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FC0888" w:rsidRDefault="00885183" w14:paraId="0C59CCF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FC0888" w:rsidRDefault="00885183" w14:paraId="6C194C9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FC0888" w:rsidRDefault="00885183" w14:paraId="219C186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FC0888" w:rsidRDefault="00885183" w14:paraId="7C619982"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071" w:type="dxa"/>
          </w:tcPr>
          <w:p w:rsidRPr="00173FA2" w:rsidR="00885183" w:rsidP="00FC0888" w:rsidRDefault="00885183" w14:paraId="474B0BDC"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68" w:type="dxa"/>
          </w:tcPr>
          <w:p w:rsidRPr="00173FA2" w:rsidR="00885183" w:rsidP="00FC0888" w:rsidRDefault="00885183" w14:paraId="2512C5AC"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769" w:type="dxa"/>
          </w:tcPr>
          <w:p w:rsidRPr="00173FA2" w:rsidR="00885183" w:rsidP="00FC0888" w:rsidRDefault="00885183" w14:paraId="5C362DA7" w14:textId="77777777">
            <w:pPr>
              <w:keepNext/>
              <w:keepLines/>
              <w:tabs>
                <w:tab w:val="left" w:pos="6030"/>
              </w:tabs>
              <w:spacing w:line="276" w:lineRule="auto"/>
              <w:rPr>
                <w:b/>
                <w:bCs/>
                <w:sz w:val="20"/>
                <w:szCs w:val="20"/>
              </w:rPr>
            </w:pPr>
            <w:r w:rsidRPr="00173FA2">
              <w:rPr>
                <w:b/>
                <w:bCs/>
                <w:sz w:val="20"/>
                <w:szCs w:val="20"/>
              </w:rPr>
              <w:t>Total Annual Cost ($)</w:t>
            </w:r>
          </w:p>
        </w:tc>
      </w:tr>
      <w:tr w:rsidR="00FD6503" w:rsidTr="003830B0" w14:paraId="3D234594" w14:textId="77777777">
        <w:tc>
          <w:tcPr>
            <w:tcW w:w="1252" w:type="dxa"/>
          </w:tcPr>
          <w:p w:rsidRPr="00BB7053" w:rsidR="00FD6503" w:rsidP="00FC0888" w:rsidRDefault="00FD6503" w14:paraId="0F3E4967" w14:textId="297D5E9C">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FD6503" w:rsidP="00FC0888" w:rsidRDefault="00521814" w14:paraId="6392B049" w14:textId="49A34889">
            <w:pPr>
              <w:keepNext/>
              <w:keepLines/>
              <w:tabs>
                <w:tab w:val="left" w:pos="6030"/>
              </w:tabs>
              <w:spacing w:line="276" w:lineRule="auto"/>
              <w:jc w:val="right"/>
              <w:rPr>
                <w:sz w:val="20"/>
                <w:szCs w:val="20"/>
              </w:rPr>
            </w:pPr>
            <w:r>
              <w:rPr>
                <w:sz w:val="20"/>
                <w:szCs w:val="20"/>
              </w:rPr>
              <w:t>250</w:t>
            </w:r>
          </w:p>
        </w:tc>
        <w:tc>
          <w:tcPr>
            <w:tcW w:w="1168" w:type="dxa"/>
          </w:tcPr>
          <w:p w:rsidRPr="00BB7053" w:rsidR="00FD6503" w:rsidP="00FC0888" w:rsidRDefault="00FD6503" w14:paraId="0D81BF62" w14:textId="59B97962">
            <w:pPr>
              <w:keepNext/>
              <w:keepLines/>
              <w:tabs>
                <w:tab w:val="left" w:pos="6030"/>
              </w:tabs>
              <w:spacing w:line="276" w:lineRule="auto"/>
              <w:jc w:val="right"/>
              <w:rPr>
                <w:sz w:val="20"/>
                <w:szCs w:val="20"/>
              </w:rPr>
            </w:pPr>
            <w:r>
              <w:rPr>
                <w:sz w:val="20"/>
                <w:szCs w:val="20"/>
              </w:rPr>
              <w:t>1</w:t>
            </w:r>
          </w:p>
        </w:tc>
        <w:tc>
          <w:tcPr>
            <w:tcW w:w="1094" w:type="dxa"/>
          </w:tcPr>
          <w:p w:rsidRPr="00BB7053" w:rsidR="00FD6503" w:rsidP="00FC0888" w:rsidRDefault="004A6235" w14:paraId="4597C46E" w14:textId="18227CA6">
            <w:pPr>
              <w:keepNext/>
              <w:keepLines/>
              <w:tabs>
                <w:tab w:val="left" w:pos="6030"/>
              </w:tabs>
              <w:spacing w:line="276" w:lineRule="auto"/>
              <w:jc w:val="right"/>
              <w:rPr>
                <w:sz w:val="20"/>
                <w:szCs w:val="20"/>
              </w:rPr>
            </w:pPr>
            <w:r>
              <w:rPr>
                <w:sz w:val="20"/>
                <w:szCs w:val="20"/>
              </w:rPr>
              <w:t>250</w:t>
            </w:r>
          </w:p>
        </w:tc>
        <w:tc>
          <w:tcPr>
            <w:tcW w:w="1077" w:type="dxa"/>
          </w:tcPr>
          <w:p w:rsidRPr="00BB7053" w:rsidR="00FD6503" w:rsidP="00FC0888" w:rsidRDefault="00FD6503" w14:paraId="6A5781C8" w14:textId="766A32F5">
            <w:pPr>
              <w:keepNext/>
              <w:keepLines/>
              <w:tabs>
                <w:tab w:val="left" w:pos="6030"/>
              </w:tabs>
              <w:spacing w:line="276" w:lineRule="auto"/>
              <w:jc w:val="right"/>
              <w:rPr>
                <w:sz w:val="20"/>
                <w:szCs w:val="20"/>
              </w:rPr>
            </w:pPr>
            <w:r>
              <w:rPr>
                <w:sz w:val="20"/>
                <w:szCs w:val="20"/>
              </w:rPr>
              <w:t>0.25</w:t>
            </w:r>
          </w:p>
        </w:tc>
        <w:tc>
          <w:tcPr>
            <w:tcW w:w="1071" w:type="dxa"/>
          </w:tcPr>
          <w:p w:rsidRPr="00BB7053" w:rsidR="00FD6503" w:rsidP="00FC0888" w:rsidRDefault="00A71A0B" w14:paraId="3A1ABCFC" w14:textId="7E14ADB7">
            <w:pPr>
              <w:keepNext/>
              <w:keepLines/>
              <w:tabs>
                <w:tab w:val="left" w:pos="6030"/>
              </w:tabs>
              <w:spacing w:line="276" w:lineRule="auto"/>
              <w:jc w:val="right"/>
              <w:rPr>
                <w:sz w:val="20"/>
                <w:szCs w:val="20"/>
              </w:rPr>
            </w:pPr>
            <w:r>
              <w:rPr>
                <w:sz w:val="20"/>
                <w:szCs w:val="20"/>
              </w:rPr>
              <w:t>63</w:t>
            </w:r>
          </w:p>
        </w:tc>
        <w:tc>
          <w:tcPr>
            <w:tcW w:w="1068" w:type="dxa"/>
          </w:tcPr>
          <w:p w:rsidRPr="00BB7053" w:rsidR="00FD6503" w:rsidP="00FC0888" w:rsidRDefault="005D7914" w14:paraId="2ED0D588" w14:textId="4B5D9891">
            <w:pPr>
              <w:keepNext/>
              <w:keepLines/>
              <w:tabs>
                <w:tab w:val="left" w:pos="6030"/>
              </w:tabs>
              <w:spacing w:line="276" w:lineRule="auto"/>
              <w:jc w:val="right"/>
              <w:rPr>
                <w:sz w:val="20"/>
                <w:szCs w:val="20"/>
              </w:rPr>
            </w:pPr>
            <w:r>
              <w:rPr>
                <w:sz w:val="20"/>
                <w:szCs w:val="20"/>
              </w:rPr>
              <w:t>9</w:t>
            </w:r>
            <w:r w:rsidR="00A71A0B">
              <w:rPr>
                <w:sz w:val="20"/>
                <w:szCs w:val="20"/>
              </w:rPr>
              <w:t>8</w:t>
            </w:r>
            <w:r>
              <w:rPr>
                <w:sz w:val="20"/>
                <w:szCs w:val="20"/>
              </w:rPr>
              <w:t>.2</w:t>
            </w:r>
            <w:r w:rsidR="00A71A0B">
              <w:rPr>
                <w:sz w:val="20"/>
                <w:szCs w:val="20"/>
              </w:rPr>
              <w:t>8</w:t>
            </w:r>
          </w:p>
        </w:tc>
        <w:tc>
          <w:tcPr>
            <w:tcW w:w="1769" w:type="dxa"/>
          </w:tcPr>
          <w:p w:rsidRPr="00BB7053" w:rsidR="00FD6503" w:rsidP="00FC0888" w:rsidRDefault="00995149" w14:paraId="1C9C8EE9" w14:textId="60B2E04B">
            <w:pPr>
              <w:keepNext/>
              <w:keepLines/>
              <w:tabs>
                <w:tab w:val="left" w:pos="6030"/>
              </w:tabs>
              <w:spacing w:line="276" w:lineRule="auto"/>
              <w:jc w:val="right"/>
              <w:rPr>
                <w:sz w:val="20"/>
                <w:szCs w:val="20"/>
              </w:rPr>
            </w:pPr>
            <w:r>
              <w:rPr>
                <w:sz w:val="20"/>
                <w:szCs w:val="20"/>
              </w:rPr>
              <w:t>6,192</w:t>
            </w:r>
          </w:p>
        </w:tc>
      </w:tr>
      <w:tr w:rsidR="00FD6503" w:rsidTr="003830B0" w14:paraId="515566E8" w14:textId="77777777">
        <w:tc>
          <w:tcPr>
            <w:tcW w:w="1252" w:type="dxa"/>
          </w:tcPr>
          <w:p w:rsidRPr="00BB7053" w:rsidR="00FD6503" w:rsidP="00FC0888" w:rsidRDefault="00583747" w14:paraId="0D311CCE" w14:textId="0AF47BE2">
            <w:pPr>
              <w:keepNext/>
              <w:keepLines/>
              <w:tabs>
                <w:tab w:val="left" w:pos="6030"/>
              </w:tabs>
              <w:spacing w:line="276" w:lineRule="auto"/>
              <w:rPr>
                <w:sz w:val="20"/>
                <w:szCs w:val="20"/>
              </w:rPr>
            </w:pPr>
            <w:r>
              <w:rPr>
                <w:sz w:val="20"/>
                <w:szCs w:val="20"/>
              </w:rPr>
              <w:t xml:space="preserve">Proposed </w:t>
            </w:r>
            <w:r w:rsidRPr="00A67FD9" w:rsidR="00A67FD9">
              <w:rPr>
                <w:sz w:val="20"/>
                <w:szCs w:val="20"/>
              </w:rPr>
              <w:t>(See Table 2</w:t>
            </w:r>
            <w:r w:rsidR="00521814">
              <w:rPr>
                <w:sz w:val="20"/>
                <w:szCs w:val="20"/>
              </w:rPr>
              <w:t>2</w:t>
            </w:r>
            <w:r w:rsidRPr="00A67FD9" w:rsidR="00A67FD9">
              <w:rPr>
                <w:sz w:val="20"/>
                <w:szCs w:val="20"/>
              </w:rPr>
              <w:t>)</w:t>
            </w:r>
          </w:p>
        </w:tc>
        <w:tc>
          <w:tcPr>
            <w:tcW w:w="1306" w:type="dxa"/>
          </w:tcPr>
          <w:p w:rsidRPr="00BB7053" w:rsidR="00FD6503" w:rsidP="00FC0888" w:rsidRDefault="00114812" w14:paraId="302ABCBD" w14:textId="60413A82">
            <w:pPr>
              <w:keepNext/>
              <w:keepLines/>
              <w:tabs>
                <w:tab w:val="left" w:pos="6030"/>
              </w:tabs>
              <w:spacing w:line="276" w:lineRule="auto"/>
              <w:jc w:val="right"/>
              <w:rPr>
                <w:sz w:val="20"/>
                <w:szCs w:val="20"/>
              </w:rPr>
            </w:pPr>
            <w:r>
              <w:rPr>
                <w:sz w:val="20"/>
                <w:szCs w:val="20"/>
              </w:rPr>
              <w:t>2</w:t>
            </w:r>
            <w:r w:rsidR="00521814">
              <w:rPr>
                <w:sz w:val="20"/>
                <w:szCs w:val="20"/>
              </w:rPr>
              <w:t>87</w:t>
            </w:r>
          </w:p>
        </w:tc>
        <w:tc>
          <w:tcPr>
            <w:tcW w:w="1168" w:type="dxa"/>
          </w:tcPr>
          <w:p w:rsidRPr="00BB7053" w:rsidR="00FD6503" w:rsidP="00FC0888" w:rsidRDefault="00FD6503" w14:paraId="72977773" w14:textId="213397C9">
            <w:pPr>
              <w:keepNext/>
              <w:keepLines/>
              <w:tabs>
                <w:tab w:val="left" w:pos="6030"/>
              </w:tabs>
              <w:spacing w:line="276" w:lineRule="auto"/>
              <w:jc w:val="right"/>
              <w:rPr>
                <w:sz w:val="20"/>
                <w:szCs w:val="20"/>
              </w:rPr>
            </w:pPr>
            <w:r>
              <w:rPr>
                <w:sz w:val="20"/>
                <w:szCs w:val="20"/>
              </w:rPr>
              <w:t>1</w:t>
            </w:r>
          </w:p>
        </w:tc>
        <w:tc>
          <w:tcPr>
            <w:tcW w:w="1094" w:type="dxa"/>
          </w:tcPr>
          <w:p w:rsidRPr="00BB7053" w:rsidR="00FD6503" w:rsidP="00FC0888" w:rsidRDefault="00114812" w14:paraId="37CE59FC" w14:textId="416E69EA">
            <w:pPr>
              <w:keepNext/>
              <w:keepLines/>
              <w:tabs>
                <w:tab w:val="left" w:pos="6030"/>
              </w:tabs>
              <w:spacing w:line="276" w:lineRule="auto"/>
              <w:jc w:val="right"/>
              <w:rPr>
                <w:sz w:val="20"/>
                <w:szCs w:val="20"/>
              </w:rPr>
            </w:pPr>
            <w:r>
              <w:rPr>
                <w:sz w:val="20"/>
                <w:szCs w:val="20"/>
              </w:rPr>
              <w:t>2</w:t>
            </w:r>
            <w:r w:rsidR="004A6235">
              <w:rPr>
                <w:sz w:val="20"/>
                <w:szCs w:val="20"/>
              </w:rPr>
              <w:t>87</w:t>
            </w:r>
          </w:p>
        </w:tc>
        <w:tc>
          <w:tcPr>
            <w:tcW w:w="1077" w:type="dxa"/>
          </w:tcPr>
          <w:p w:rsidRPr="00BB7053" w:rsidR="00FD6503" w:rsidP="00FC0888" w:rsidRDefault="00FD6503" w14:paraId="025EDEE9" w14:textId="54C072BB">
            <w:pPr>
              <w:keepNext/>
              <w:keepLines/>
              <w:tabs>
                <w:tab w:val="left" w:pos="6030"/>
              </w:tabs>
              <w:spacing w:line="276" w:lineRule="auto"/>
              <w:jc w:val="right"/>
              <w:rPr>
                <w:sz w:val="20"/>
                <w:szCs w:val="20"/>
              </w:rPr>
            </w:pPr>
            <w:r>
              <w:rPr>
                <w:sz w:val="20"/>
                <w:szCs w:val="20"/>
              </w:rPr>
              <w:t>0.25</w:t>
            </w:r>
          </w:p>
        </w:tc>
        <w:tc>
          <w:tcPr>
            <w:tcW w:w="1071" w:type="dxa"/>
          </w:tcPr>
          <w:p w:rsidRPr="00BB7053" w:rsidR="00FD6503" w:rsidP="00FC0888" w:rsidRDefault="00A71A0B" w14:paraId="0C9A3344" w14:textId="43E203EF">
            <w:pPr>
              <w:keepNext/>
              <w:keepLines/>
              <w:tabs>
                <w:tab w:val="left" w:pos="6030"/>
              </w:tabs>
              <w:spacing w:line="276" w:lineRule="auto"/>
              <w:jc w:val="right"/>
              <w:rPr>
                <w:sz w:val="20"/>
                <w:szCs w:val="20"/>
              </w:rPr>
            </w:pPr>
            <w:r>
              <w:rPr>
                <w:sz w:val="20"/>
                <w:szCs w:val="20"/>
              </w:rPr>
              <w:t>72</w:t>
            </w:r>
          </w:p>
        </w:tc>
        <w:tc>
          <w:tcPr>
            <w:tcW w:w="1068" w:type="dxa"/>
          </w:tcPr>
          <w:p w:rsidRPr="00BB7053" w:rsidR="00FD6503" w:rsidP="00FC0888" w:rsidRDefault="005D7914" w14:paraId="12AD680A" w14:textId="1A316EA4">
            <w:pPr>
              <w:keepNext/>
              <w:keepLines/>
              <w:tabs>
                <w:tab w:val="left" w:pos="6030"/>
              </w:tabs>
              <w:spacing w:line="276" w:lineRule="auto"/>
              <w:jc w:val="right"/>
              <w:rPr>
                <w:sz w:val="20"/>
                <w:szCs w:val="20"/>
              </w:rPr>
            </w:pPr>
            <w:r>
              <w:rPr>
                <w:sz w:val="20"/>
                <w:szCs w:val="20"/>
              </w:rPr>
              <w:t>9</w:t>
            </w:r>
            <w:r w:rsidR="00A71A0B">
              <w:rPr>
                <w:sz w:val="20"/>
                <w:szCs w:val="20"/>
              </w:rPr>
              <w:t>8</w:t>
            </w:r>
            <w:r>
              <w:rPr>
                <w:sz w:val="20"/>
                <w:szCs w:val="20"/>
              </w:rPr>
              <w:t>.2</w:t>
            </w:r>
            <w:r w:rsidR="00A71A0B">
              <w:rPr>
                <w:sz w:val="20"/>
                <w:szCs w:val="20"/>
              </w:rPr>
              <w:t>8</w:t>
            </w:r>
          </w:p>
        </w:tc>
        <w:tc>
          <w:tcPr>
            <w:tcW w:w="1769" w:type="dxa"/>
          </w:tcPr>
          <w:p w:rsidRPr="00BB7053" w:rsidR="00FD6503" w:rsidP="00FC0888" w:rsidRDefault="00D71A74" w14:paraId="217CF1CF" w14:textId="21FDCA31">
            <w:pPr>
              <w:keepNext/>
              <w:keepLines/>
              <w:tabs>
                <w:tab w:val="left" w:pos="6030"/>
              </w:tabs>
              <w:spacing w:line="276" w:lineRule="auto"/>
              <w:jc w:val="right"/>
              <w:rPr>
                <w:sz w:val="20"/>
                <w:szCs w:val="20"/>
              </w:rPr>
            </w:pPr>
            <w:r>
              <w:rPr>
                <w:sz w:val="20"/>
                <w:szCs w:val="20"/>
              </w:rPr>
              <w:t>7,076</w:t>
            </w:r>
          </w:p>
        </w:tc>
      </w:tr>
      <w:tr w:rsidR="00FD6503" w:rsidTr="003830B0" w14:paraId="450FF888" w14:textId="77777777">
        <w:tc>
          <w:tcPr>
            <w:tcW w:w="1252" w:type="dxa"/>
            <w:shd w:val="clear" w:color="auto" w:fill="D9D9D9" w:themeFill="background1" w:themeFillShade="D9"/>
          </w:tcPr>
          <w:p w:rsidRPr="00BB7053" w:rsidR="00FD6503" w:rsidP="00FD6503" w:rsidRDefault="00FD6503" w14:paraId="5459A62A"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D6503" w:rsidP="00FD6503" w:rsidRDefault="00521814" w14:paraId="0E486D2E" w14:textId="2FA08BE1">
            <w:pPr>
              <w:tabs>
                <w:tab w:val="left" w:pos="6030"/>
              </w:tabs>
              <w:spacing w:line="276" w:lineRule="auto"/>
              <w:jc w:val="right"/>
              <w:rPr>
                <w:sz w:val="20"/>
                <w:szCs w:val="20"/>
              </w:rPr>
            </w:pPr>
            <w:r>
              <w:rPr>
                <w:sz w:val="20"/>
                <w:szCs w:val="20"/>
              </w:rPr>
              <w:t>+37</w:t>
            </w:r>
          </w:p>
        </w:tc>
        <w:tc>
          <w:tcPr>
            <w:tcW w:w="1168" w:type="dxa"/>
            <w:shd w:val="clear" w:color="auto" w:fill="D9D9D9" w:themeFill="background1" w:themeFillShade="D9"/>
          </w:tcPr>
          <w:p w:rsidRPr="00BB7053" w:rsidR="00FD6503" w:rsidP="00FD6503" w:rsidRDefault="00FD6503" w14:paraId="0B9141F9" w14:textId="0908C66F">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D6503" w:rsidP="00FD6503" w:rsidRDefault="004A6235" w14:paraId="5E9CB324" w14:textId="04541A0C">
            <w:pPr>
              <w:tabs>
                <w:tab w:val="left" w:pos="6030"/>
              </w:tabs>
              <w:spacing w:line="276" w:lineRule="auto"/>
              <w:jc w:val="right"/>
              <w:rPr>
                <w:sz w:val="20"/>
                <w:szCs w:val="20"/>
              </w:rPr>
            </w:pPr>
            <w:r>
              <w:rPr>
                <w:sz w:val="20"/>
                <w:szCs w:val="20"/>
              </w:rPr>
              <w:t>+37</w:t>
            </w:r>
          </w:p>
        </w:tc>
        <w:tc>
          <w:tcPr>
            <w:tcW w:w="1077" w:type="dxa"/>
            <w:shd w:val="clear" w:color="auto" w:fill="D9D9D9" w:themeFill="background1" w:themeFillShade="D9"/>
          </w:tcPr>
          <w:p w:rsidRPr="00BB7053" w:rsidR="00FD6503" w:rsidP="00FD6503" w:rsidRDefault="00FD6503" w14:paraId="3C914312" w14:textId="65629FF7">
            <w:pPr>
              <w:tabs>
                <w:tab w:val="left" w:pos="6030"/>
              </w:tabs>
              <w:spacing w:line="276" w:lineRule="auto"/>
              <w:jc w:val="right"/>
              <w:rPr>
                <w:sz w:val="20"/>
                <w:szCs w:val="20"/>
              </w:rPr>
            </w:pPr>
            <w:r>
              <w:rPr>
                <w:sz w:val="20"/>
                <w:szCs w:val="20"/>
              </w:rPr>
              <w:t>No change</w:t>
            </w:r>
          </w:p>
        </w:tc>
        <w:tc>
          <w:tcPr>
            <w:tcW w:w="1071" w:type="dxa"/>
            <w:shd w:val="clear" w:color="auto" w:fill="D9D9D9" w:themeFill="background1" w:themeFillShade="D9"/>
          </w:tcPr>
          <w:p w:rsidRPr="00BB7053" w:rsidR="00FD6503" w:rsidP="00FD6503" w:rsidRDefault="00A71A0B" w14:paraId="2BC6DEF5" w14:textId="785A7DDC">
            <w:pPr>
              <w:tabs>
                <w:tab w:val="left" w:pos="6030"/>
              </w:tabs>
              <w:spacing w:line="276" w:lineRule="auto"/>
              <w:jc w:val="right"/>
              <w:rPr>
                <w:sz w:val="20"/>
                <w:szCs w:val="20"/>
              </w:rPr>
            </w:pPr>
            <w:r>
              <w:rPr>
                <w:sz w:val="20"/>
                <w:szCs w:val="20"/>
              </w:rPr>
              <w:t>+9</w:t>
            </w:r>
          </w:p>
        </w:tc>
        <w:tc>
          <w:tcPr>
            <w:tcW w:w="1068" w:type="dxa"/>
            <w:shd w:val="clear" w:color="auto" w:fill="D9D9D9" w:themeFill="background1" w:themeFillShade="D9"/>
          </w:tcPr>
          <w:p w:rsidRPr="00BB7053" w:rsidR="00FD6503" w:rsidP="00FD6503" w:rsidRDefault="00FD6503" w14:paraId="0764398B" w14:textId="1864CC9D">
            <w:pPr>
              <w:tabs>
                <w:tab w:val="left" w:pos="6030"/>
              </w:tabs>
              <w:spacing w:line="276" w:lineRule="auto"/>
              <w:jc w:val="right"/>
              <w:rPr>
                <w:sz w:val="20"/>
                <w:szCs w:val="20"/>
              </w:rPr>
            </w:pPr>
            <w:r>
              <w:rPr>
                <w:sz w:val="20"/>
                <w:szCs w:val="20"/>
              </w:rPr>
              <w:t>No change</w:t>
            </w:r>
          </w:p>
        </w:tc>
        <w:tc>
          <w:tcPr>
            <w:tcW w:w="1769" w:type="dxa"/>
            <w:shd w:val="clear" w:color="auto" w:fill="D9D9D9" w:themeFill="background1" w:themeFillShade="D9"/>
          </w:tcPr>
          <w:p w:rsidRPr="00BB7053" w:rsidR="00FD6503" w:rsidP="00FD6503" w:rsidRDefault="00D71A74" w14:paraId="2B00497D" w14:textId="41F939E7">
            <w:pPr>
              <w:tabs>
                <w:tab w:val="left" w:pos="6030"/>
              </w:tabs>
              <w:spacing w:line="276" w:lineRule="auto"/>
              <w:jc w:val="right"/>
              <w:rPr>
                <w:sz w:val="20"/>
                <w:szCs w:val="20"/>
              </w:rPr>
            </w:pPr>
            <w:r>
              <w:rPr>
                <w:sz w:val="20"/>
                <w:szCs w:val="20"/>
              </w:rPr>
              <w:t>+884</w:t>
            </w:r>
          </w:p>
        </w:tc>
      </w:tr>
    </w:tbl>
    <w:p w:rsidR="00885183" w:rsidP="00BB7053" w:rsidRDefault="00885183" w14:paraId="2C69D9D1" w14:textId="10BE551F">
      <w:pPr>
        <w:tabs>
          <w:tab w:val="left" w:pos="6030"/>
        </w:tabs>
        <w:spacing w:line="276" w:lineRule="auto"/>
        <w:jc w:val="both"/>
      </w:pPr>
    </w:p>
    <w:p w:rsidR="00885183" w:rsidP="0041468A" w:rsidRDefault="00885183" w14:paraId="1A9AC39C" w14:textId="5C13C648">
      <w:pPr>
        <w:keepNext/>
        <w:keepLines/>
        <w:jc w:val="center"/>
        <w:rPr>
          <w:b/>
          <w:bCs/>
        </w:rPr>
      </w:pPr>
      <w:r w:rsidRPr="00B30713">
        <w:rPr>
          <w:rFonts w:eastAsia="Calibri"/>
          <w:b/>
          <w:bCs/>
        </w:rPr>
        <w:t xml:space="preserve">TABLE </w:t>
      </w:r>
      <w:r w:rsidR="00C1361E">
        <w:rPr>
          <w:rFonts w:eastAsia="Calibri"/>
          <w:b/>
          <w:bCs/>
        </w:rPr>
        <w:t>3</w:t>
      </w:r>
      <w:r w:rsidR="00BF60EB">
        <w:rPr>
          <w:rFonts w:eastAsia="Calibri"/>
          <w:b/>
          <w:bCs/>
        </w:rPr>
        <w:t>0T</w:t>
      </w:r>
      <w:r w:rsidRPr="00B30713">
        <w:rPr>
          <w:rFonts w:eastAsia="Calibri"/>
          <w:b/>
          <w:bCs/>
        </w:rPr>
        <w:t xml:space="preserve">: Burden Reconciliation for </w:t>
      </w:r>
      <w:r w:rsidRPr="006A54B3" w:rsidR="006A54B3">
        <w:rPr>
          <w:rFonts w:eastAsia="Calibri"/>
          <w:b/>
          <w:bCs/>
        </w:rPr>
        <w:t>Other Payer Advanced APM Identification: Other Payer Initiated Process</w:t>
      </w:r>
    </w:p>
    <w:tbl>
      <w:tblPr>
        <w:tblStyle w:val="TableGrid"/>
        <w:tblW w:w="9805" w:type="dxa"/>
        <w:tblLook w:val="04A0" w:firstRow="1" w:lastRow="0" w:firstColumn="1" w:lastColumn="0" w:noHBand="0" w:noVBand="1"/>
      </w:tblPr>
      <w:tblGrid>
        <w:gridCol w:w="1251"/>
        <w:gridCol w:w="1306"/>
        <w:gridCol w:w="1168"/>
        <w:gridCol w:w="1094"/>
        <w:gridCol w:w="1077"/>
        <w:gridCol w:w="1209"/>
        <w:gridCol w:w="1080"/>
        <w:gridCol w:w="1620"/>
      </w:tblGrid>
      <w:tr w:rsidR="00612535" w:rsidTr="00223079" w14:paraId="2C8D97A2" w14:textId="77777777">
        <w:trPr>
          <w:tblHeader/>
        </w:trPr>
        <w:tc>
          <w:tcPr>
            <w:tcW w:w="1251" w:type="dxa"/>
          </w:tcPr>
          <w:p w:rsidRPr="00173FA2" w:rsidR="00885183" w:rsidP="0041468A" w:rsidRDefault="00885183" w14:paraId="3E4EE90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41468A" w:rsidRDefault="00885183" w14:paraId="744F661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41468A" w:rsidRDefault="00885183" w14:paraId="250CA6C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41468A" w:rsidRDefault="00885183" w14:paraId="7166BDBD"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41468A" w:rsidRDefault="00885183" w14:paraId="0D89E443"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209" w:type="dxa"/>
          </w:tcPr>
          <w:p w:rsidRPr="00173FA2" w:rsidR="00885183" w:rsidP="0041468A" w:rsidRDefault="00885183" w14:paraId="7E06A7B1"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80" w:type="dxa"/>
          </w:tcPr>
          <w:p w:rsidRPr="00173FA2" w:rsidR="00885183" w:rsidP="0041468A" w:rsidRDefault="00885183" w14:paraId="605C2AD5"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620" w:type="dxa"/>
          </w:tcPr>
          <w:p w:rsidRPr="00173FA2" w:rsidR="00885183" w:rsidP="0041468A" w:rsidRDefault="00885183" w14:paraId="4AE41F32" w14:textId="77777777">
            <w:pPr>
              <w:keepNext/>
              <w:keepLines/>
              <w:tabs>
                <w:tab w:val="left" w:pos="6030"/>
              </w:tabs>
              <w:spacing w:line="276" w:lineRule="auto"/>
              <w:rPr>
                <w:b/>
                <w:bCs/>
                <w:sz w:val="20"/>
                <w:szCs w:val="20"/>
              </w:rPr>
            </w:pPr>
            <w:r w:rsidRPr="00173FA2">
              <w:rPr>
                <w:b/>
                <w:bCs/>
                <w:sz w:val="20"/>
                <w:szCs w:val="20"/>
              </w:rPr>
              <w:t>Total Annual Cost ($)</w:t>
            </w:r>
          </w:p>
        </w:tc>
      </w:tr>
      <w:tr w:rsidR="00612535" w:rsidTr="00223079" w14:paraId="5873AAC5" w14:textId="77777777">
        <w:tc>
          <w:tcPr>
            <w:tcW w:w="1251" w:type="dxa"/>
          </w:tcPr>
          <w:p w:rsidRPr="00BB7053" w:rsidR="00F352CA" w:rsidP="00F352CA" w:rsidRDefault="00F352CA" w14:paraId="4EFEECDB" w14:textId="79C228E0">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F352CA" w:rsidP="00F352CA" w:rsidRDefault="00867D08" w14:paraId="24D16095" w14:textId="2ECC263C">
            <w:pPr>
              <w:tabs>
                <w:tab w:val="left" w:pos="6030"/>
              </w:tabs>
              <w:spacing w:line="276" w:lineRule="auto"/>
              <w:jc w:val="right"/>
              <w:rPr>
                <w:sz w:val="20"/>
                <w:szCs w:val="20"/>
              </w:rPr>
            </w:pPr>
            <w:r>
              <w:rPr>
                <w:sz w:val="20"/>
                <w:szCs w:val="20"/>
              </w:rPr>
              <w:t>15</w:t>
            </w:r>
          </w:p>
        </w:tc>
        <w:tc>
          <w:tcPr>
            <w:tcW w:w="1168" w:type="dxa"/>
          </w:tcPr>
          <w:p w:rsidRPr="00BB7053" w:rsidR="00F352CA" w:rsidP="00F352CA" w:rsidRDefault="00F352CA" w14:paraId="0F72F180" w14:textId="725591F8">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867D08" w14:paraId="47A765E9" w14:textId="7D0BF5C7">
            <w:pPr>
              <w:tabs>
                <w:tab w:val="left" w:pos="6030"/>
              </w:tabs>
              <w:spacing w:line="276" w:lineRule="auto"/>
              <w:jc w:val="right"/>
              <w:rPr>
                <w:sz w:val="20"/>
                <w:szCs w:val="20"/>
              </w:rPr>
            </w:pPr>
            <w:r>
              <w:rPr>
                <w:sz w:val="20"/>
                <w:szCs w:val="20"/>
              </w:rPr>
              <w:t>15</w:t>
            </w:r>
          </w:p>
        </w:tc>
        <w:tc>
          <w:tcPr>
            <w:tcW w:w="1077" w:type="dxa"/>
          </w:tcPr>
          <w:p w:rsidRPr="00BB7053" w:rsidR="00F352CA" w:rsidP="00F352CA" w:rsidRDefault="00F352CA" w14:paraId="7BFD6E23" w14:textId="421EF92A">
            <w:pPr>
              <w:tabs>
                <w:tab w:val="left" w:pos="6030"/>
              </w:tabs>
              <w:spacing w:line="276" w:lineRule="auto"/>
              <w:jc w:val="right"/>
              <w:rPr>
                <w:sz w:val="20"/>
                <w:szCs w:val="20"/>
              </w:rPr>
            </w:pPr>
            <w:r>
              <w:rPr>
                <w:sz w:val="20"/>
                <w:szCs w:val="20"/>
              </w:rPr>
              <w:t>10</w:t>
            </w:r>
          </w:p>
        </w:tc>
        <w:tc>
          <w:tcPr>
            <w:tcW w:w="1209" w:type="dxa"/>
          </w:tcPr>
          <w:p w:rsidRPr="00BB7053" w:rsidR="00F352CA" w:rsidP="00F352CA" w:rsidRDefault="00867D08" w14:paraId="44773465" w14:textId="1F080460">
            <w:pPr>
              <w:tabs>
                <w:tab w:val="left" w:pos="6030"/>
              </w:tabs>
              <w:spacing w:line="276" w:lineRule="auto"/>
              <w:jc w:val="right"/>
              <w:rPr>
                <w:sz w:val="20"/>
                <w:szCs w:val="20"/>
              </w:rPr>
            </w:pPr>
            <w:r>
              <w:rPr>
                <w:sz w:val="20"/>
                <w:szCs w:val="20"/>
              </w:rPr>
              <w:t>150</w:t>
            </w:r>
          </w:p>
        </w:tc>
        <w:tc>
          <w:tcPr>
            <w:tcW w:w="1080" w:type="dxa"/>
          </w:tcPr>
          <w:p w:rsidRPr="00BB7053" w:rsidR="00F352CA" w:rsidP="00C70135" w:rsidRDefault="00C70135" w14:paraId="2C21CDF3" w14:textId="407F6D52">
            <w:pPr>
              <w:tabs>
                <w:tab w:val="left" w:pos="6030"/>
              </w:tabs>
              <w:spacing w:line="276" w:lineRule="auto"/>
              <w:jc w:val="right"/>
              <w:rPr>
                <w:sz w:val="20"/>
                <w:szCs w:val="20"/>
              </w:rPr>
            </w:pPr>
            <w:r>
              <w:rPr>
                <w:sz w:val="20"/>
                <w:szCs w:val="20"/>
              </w:rPr>
              <w:t xml:space="preserve"> 9</w:t>
            </w:r>
            <w:r w:rsidR="00EC1AE3">
              <w:rPr>
                <w:sz w:val="20"/>
                <w:szCs w:val="20"/>
              </w:rPr>
              <w:t>8</w:t>
            </w:r>
            <w:r>
              <w:rPr>
                <w:sz w:val="20"/>
                <w:szCs w:val="20"/>
              </w:rPr>
              <w:t>.2</w:t>
            </w:r>
            <w:r w:rsidR="00EC1AE3">
              <w:rPr>
                <w:sz w:val="20"/>
                <w:szCs w:val="20"/>
              </w:rPr>
              <w:t>8</w:t>
            </w:r>
            <w:r>
              <w:rPr>
                <w:sz w:val="20"/>
                <w:szCs w:val="20"/>
              </w:rPr>
              <w:t xml:space="preserve"> </w:t>
            </w:r>
          </w:p>
        </w:tc>
        <w:tc>
          <w:tcPr>
            <w:tcW w:w="1620" w:type="dxa"/>
          </w:tcPr>
          <w:p w:rsidRPr="00BB7053" w:rsidR="00F352CA" w:rsidP="00F352CA" w:rsidRDefault="00791F15" w14:paraId="27E6B327" w14:textId="7391B7E8">
            <w:pPr>
              <w:tabs>
                <w:tab w:val="left" w:pos="6030"/>
              </w:tabs>
              <w:spacing w:line="276" w:lineRule="auto"/>
              <w:jc w:val="right"/>
              <w:rPr>
                <w:sz w:val="20"/>
                <w:szCs w:val="20"/>
              </w:rPr>
            </w:pPr>
            <w:r>
              <w:rPr>
                <w:sz w:val="20"/>
                <w:szCs w:val="20"/>
              </w:rPr>
              <w:t>14,742</w:t>
            </w:r>
          </w:p>
        </w:tc>
      </w:tr>
      <w:tr w:rsidR="00612535" w:rsidTr="00223079" w14:paraId="2EB99E37" w14:textId="77777777">
        <w:tc>
          <w:tcPr>
            <w:tcW w:w="1251" w:type="dxa"/>
          </w:tcPr>
          <w:p w:rsidRPr="00BB7053" w:rsidR="00F352CA" w:rsidP="00192E2E" w:rsidRDefault="00C36A7C" w14:paraId="686B2BF8" w14:textId="2A5DAB27">
            <w:pPr>
              <w:tabs>
                <w:tab w:val="left" w:pos="6030"/>
              </w:tabs>
              <w:spacing w:line="276" w:lineRule="auto"/>
              <w:rPr>
                <w:sz w:val="20"/>
                <w:szCs w:val="20"/>
              </w:rPr>
            </w:pPr>
            <w:r>
              <w:rPr>
                <w:sz w:val="20"/>
                <w:szCs w:val="20"/>
              </w:rPr>
              <w:t>Propos</w:t>
            </w:r>
            <w:r w:rsidR="006D3AC6">
              <w:rPr>
                <w:sz w:val="20"/>
                <w:szCs w:val="20"/>
              </w:rPr>
              <w:t xml:space="preserve">ed </w:t>
            </w:r>
            <w:r w:rsidRPr="00A67FD9" w:rsidR="00A67FD9">
              <w:rPr>
                <w:sz w:val="20"/>
                <w:szCs w:val="20"/>
              </w:rPr>
              <w:t xml:space="preserve">(See Table </w:t>
            </w:r>
            <w:r w:rsidR="00C20979">
              <w:rPr>
                <w:sz w:val="20"/>
                <w:szCs w:val="20"/>
              </w:rPr>
              <w:t>2</w:t>
            </w:r>
            <w:r w:rsidR="00867D08">
              <w:rPr>
                <w:sz w:val="20"/>
                <w:szCs w:val="20"/>
              </w:rPr>
              <w:t>3</w:t>
            </w:r>
            <w:r w:rsidRPr="00A67FD9" w:rsidR="00A67FD9">
              <w:rPr>
                <w:sz w:val="20"/>
                <w:szCs w:val="20"/>
              </w:rPr>
              <w:t>)</w:t>
            </w:r>
          </w:p>
        </w:tc>
        <w:tc>
          <w:tcPr>
            <w:tcW w:w="1306" w:type="dxa"/>
          </w:tcPr>
          <w:p w:rsidRPr="00BB7053" w:rsidR="00F352CA" w:rsidP="00F352CA" w:rsidRDefault="00D7219E" w14:paraId="7282B237" w14:textId="58181025">
            <w:pPr>
              <w:tabs>
                <w:tab w:val="left" w:pos="6030"/>
              </w:tabs>
              <w:spacing w:line="276" w:lineRule="auto"/>
              <w:jc w:val="right"/>
              <w:rPr>
                <w:sz w:val="20"/>
                <w:szCs w:val="20"/>
              </w:rPr>
            </w:pPr>
            <w:r>
              <w:rPr>
                <w:sz w:val="20"/>
                <w:szCs w:val="20"/>
              </w:rPr>
              <w:t>15</w:t>
            </w:r>
          </w:p>
        </w:tc>
        <w:tc>
          <w:tcPr>
            <w:tcW w:w="1168" w:type="dxa"/>
          </w:tcPr>
          <w:p w:rsidRPr="00BB7053" w:rsidR="00F352CA" w:rsidP="00F352CA" w:rsidRDefault="00F352CA" w14:paraId="1AFBE21E" w14:textId="2D3B1CEA">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A36BE7" w14:paraId="4C1E4F5F" w14:textId="2E304611">
            <w:pPr>
              <w:tabs>
                <w:tab w:val="left" w:pos="6030"/>
              </w:tabs>
              <w:spacing w:line="276" w:lineRule="auto"/>
              <w:jc w:val="right"/>
              <w:rPr>
                <w:sz w:val="20"/>
                <w:szCs w:val="20"/>
              </w:rPr>
            </w:pPr>
            <w:r>
              <w:rPr>
                <w:sz w:val="20"/>
                <w:szCs w:val="20"/>
              </w:rPr>
              <w:t>15</w:t>
            </w:r>
          </w:p>
        </w:tc>
        <w:tc>
          <w:tcPr>
            <w:tcW w:w="1077" w:type="dxa"/>
          </w:tcPr>
          <w:p w:rsidRPr="00BB7053" w:rsidR="00F352CA" w:rsidP="00F352CA" w:rsidRDefault="00F352CA" w14:paraId="41D7CB60" w14:textId="10B59BDA">
            <w:pPr>
              <w:tabs>
                <w:tab w:val="left" w:pos="6030"/>
              </w:tabs>
              <w:spacing w:line="276" w:lineRule="auto"/>
              <w:jc w:val="right"/>
              <w:rPr>
                <w:sz w:val="20"/>
                <w:szCs w:val="20"/>
              </w:rPr>
            </w:pPr>
            <w:r>
              <w:rPr>
                <w:sz w:val="20"/>
                <w:szCs w:val="20"/>
              </w:rPr>
              <w:t>10</w:t>
            </w:r>
          </w:p>
        </w:tc>
        <w:tc>
          <w:tcPr>
            <w:tcW w:w="1209" w:type="dxa"/>
          </w:tcPr>
          <w:p w:rsidRPr="00BB7053" w:rsidR="00F352CA" w:rsidP="00F352CA" w:rsidRDefault="00A36BE7" w14:paraId="0EA1EFE1" w14:textId="0CFCBFDD">
            <w:pPr>
              <w:tabs>
                <w:tab w:val="left" w:pos="6030"/>
              </w:tabs>
              <w:spacing w:line="276" w:lineRule="auto"/>
              <w:jc w:val="right"/>
              <w:rPr>
                <w:sz w:val="20"/>
                <w:szCs w:val="20"/>
              </w:rPr>
            </w:pPr>
            <w:r>
              <w:rPr>
                <w:sz w:val="20"/>
                <w:szCs w:val="20"/>
              </w:rPr>
              <w:t>150</w:t>
            </w:r>
          </w:p>
        </w:tc>
        <w:tc>
          <w:tcPr>
            <w:tcW w:w="1080" w:type="dxa"/>
          </w:tcPr>
          <w:p w:rsidRPr="00BB7053" w:rsidR="00F352CA" w:rsidP="00F352CA" w:rsidRDefault="00F352CA" w14:paraId="757C4195" w14:textId="37250A5D">
            <w:pPr>
              <w:tabs>
                <w:tab w:val="left" w:pos="6030"/>
              </w:tabs>
              <w:spacing w:line="276" w:lineRule="auto"/>
              <w:jc w:val="right"/>
              <w:rPr>
                <w:sz w:val="20"/>
                <w:szCs w:val="20"/>
              </w:rPr>
            </w:pPr>
            <w:r>
              <w:rPr>
                <w:sz w:val="20"/>
                <w:szCs w:val="20"/>
              </w:rPr>
              <w:t>9</w:t>
            </w:r>
            <w:r w:rsidR="00EC1AE3">
              <w:rPr>
                <w:sz w:val="20"/>
                <w:szCs w:val="20"/>
              </w:rPr>
              <w:t>8</w:t>
            </w:r>
            <w:r w:rsidR="00C70135">
              <w:rPr>
                <w:sz w:val="20"/>
                <w:szCs w:val="20"/>
              </w:rPr>
              <w:t>.2</w:t>
            </w:r>
            <w:r w:rsidR="00EC1AE3">
              <w:rPr>
                <w:sz w:val="20"/>
                <w:szCs w:val="20"/>
              </w:rPr>
              <w:t>8</w:t>
            </w:r>
          </w:p>
        </w:tc>
        <w:tc>
          <w:tcPr>
            <w:tcW w:w="1620" w:type="dxa"/>
          </w:tcPr>
          <w:p w:rsidRPr="00BB7053" w:rsidR="00F352CA" w:rsidP="00F352CA" w:rsidRDefault="00612535" w14:paraId="3AECEFD5" w14:textId="230B7092">
            <w:pPr>
              <w:tabs>
                <w:tab w:val="left" w:pos="6030"/>
              </w:tabs>
              <w:spacing w:line="276" w:lineRule="auto"/>
              <w:jc w:val="right"/>
              <w:rPr>
                <w:sz w:val="20"/>
                <w:szCs w:val="20"/>
              </w:rPr>
            </w:pPr>
            <w:r>
              <w:rPr>
                <w:sz w:val="20"/>
                <w:szCs w:val="20"/>
              </w:rPr>
              <w:t>14,</w:t>
            </w:r>
            <w:r w:rsidR="00791F15">
              <w:rPr>
                <w:sz w:val="20"/>
                <w:szCs w:val="20"/>
              </w:rPr>
              <w:t>742</w:t>
            </w:r>
          </w:p>
        </w:tc>
      </w:tr>
      <w:tr w:rsidR="00612535" w:rsidTr="00223079" w14:paraId="1236CE21" w14:textId="77777777">
        <w:tc>
          <w:tcPr>
            <w:tcW w:w="1251" w:type="dxa"/>
            <w:shd w:val="clear" w:color="auto" w:fill="D9D9D9" w:themeFill="background1" w:themeFillShade="D9"/>
          </w:tcPr>
          <w:p w:rsidRPr="00BB7053" w:rsidR="00F352CA" w:rsidP="00F352CA" w:rsidRDefault="00F352CA" w14:paraId="21F763AC"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F352CA" w:rsidP="00F352CA" w:rsidRDefault="00867D08" w14:paraId="2AB78019" w14:textId="22C87A49">
            <w:pPr>
              <w:tabs>
                <w:tab w:val="left" w:pos="6030"/>
              </w:tabs>
              <w:spacing w:line="276" w:lineRule="auto"/>
              <w:jc w:val="right"/>
              <w:rPr>
                <w:sz w:val="20"/>
                <w:szCs w:val="20"/>
              </w:rPr>
            </w:pPr>
            <w:r>
              <w:rPr>
                <w:sz w:val="20"/>
                <w:szCs w:val="20"/>
              </w:rPr>
              <w:t>No change</w:t>
            </w:r>
          </w:p>
        </w:tc>
        <w:tc>
          <w:tcPr>
            <w:tcW w:w="1168" w:type="dxa"/>
            <w:shd w:val="clear" w:color="auto" w:fill="D9D9D9" w:themeFill="background1" w:themeFillShade="D9"/>
          </w:tcPr>
          <w:p w:rsidRPr="00BB7053" w:rsidR="00F352CA" w:rsidP="00F352CA" w:rsidRDefault="00F352CA" w14:paraId="5CBA04EA" w14:textId="2E68870A">
            <w:pPr>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F352CA" w:rsidP="00223079" w:rsidRDefault="00867D08" w14:paraId="675B69EF" w14:textId="4E6C12AD">
            <w:pPr>
              <w:tabs>
                <w:tab w:val="left" w:pos="6030"/>
              </w:tabs>
              <w:spacing w:line="276" w:lineRule="auto"/>
              <w:jc w:val="center"/>
              <w:rPr>
                <w:sz w:val="20"/>
                <w:szCs w:val="20"/>
              </w:rPr>
            </w:pPr>
            <w:r>
              <w:rPr>
                <w:sz w:val="20"/>
                <w:szCs w:val="20"/>
              </w:rPr>
              <w:t>No change</w:t>
            </w:r>
          </w:p>
        </w:tc>
        <w:tc>
          <w:tcPr>
            <w:tcW w:w="1077" w:type="dxa"/>
            <w:shd w:val="clear" w:color="auto" w:fill="D9D9D9" w:themeFill="background1" w:themeFillShade="D9"/>
          </w:tcPr>
          <w:p w:rsidRPr="00BB7053" w:rsidR="00F352CA" w:rsidP="00F352CA" w:rsidRDefault="00F352CA" w14:paraId="38FBE95D" w14:textId="2468A816">
            <w:pPr>
              <w:tabs>
                <w:tab w:val="left" w:pos="6030"/>
              </w:tabs>
              <w:spacing w:line="276" w:lineRule="auto"/>
              <w:jc w:val="right"/>
              <w:rPr>
                <w:sz w:val="20"/>
                <w:szCs w:val="20"/>
              </w:rPr>
            </w:pPr>
            <w:r>
              <w:rPr>
                <w:sz w:val="20"/>
                <w:szCs w:val="20"/>
              </w:rPr>
              <w:t>No change</w:t>
            </w:r>
          </w:p>
        </w:tc>
        <w:tc>
          <w:tcPr>
            <w:tcW w:w="1209" w:type="dxa"/>
            <w:shd w:val="clear" w:color="auto" w:fill="D9D9D9" w:themeFill="background1" w:themeFillShade="D9"/>
          </w:tcPr>
          <w:p w:rsidRPr="00BB7053" w:rsidR="00F352CA" w:rsidP="00223079" w:rsidRDefault="00867D08" w14:paraId="33347212" w14:textId="13AAFACF">
            <w:pPr>
              <w:tabs>
                <w:tab w:val="left" w:pos="6030"/>
              </w:tabs>
              <w:spacing w:line="276" w:lineRule="auto"/>
              <w:jc w:val="center"/>
              <w:rPr>
                <w:sz w:val="20"/>
                <w:szCs w:val="20"/>
              </w:rPr>
            </w:pPr>
            <w:r>
              <w:rPr>
                <w:sz w:val="20"/>
                <w:szCs w:val="20"/>
              </w:rPr>
              <w:t>No</w:t>
            </w:r>
            <w:r w:rsidR="00791F15">
              <w:rPr>
                <w:sz w:val="20"/>
                <w:szCs w:val="20"/>
              </w:rPr>
              <w:t xml:space="preserve"> </w:t>
            </w:r>
            <w:r>
              <w:rPr>
                <w:sz w:val="20"/>
                <w:szCs w:val="20"/>
              </w:rPr>
              <w:t>change</w:t>
            </w:r>
          </w:p>
        </w:tc>
        <w:tc>
          <w:tcPr>
            <w:tcW w:w="1080" w:type="dxa"/>
            <w:shd w:val="clear" w:color="auto" w:fill="D9D9D9" w:themeFill="background1" w:themeFillShade="D9"/>
          </w:tcPr>
          <w:p w:rsidRPr="00BB7053" w:rsidR="00F352CA" w:rsidP="00F352CA" w:rsidRDefault="00F352CA" w14:paraId="7E08FBD8" w14:textId="4CCE9740">
            <w:pPr>
              <w:tabs>
                <w:tab w:val="left" w:pos="6030"/>
              </w:tabs>
              <w:spacing w:line="276" w:lineRule="auto"/>
              <w:jc w:val="right"/>
              <w:rPr>
                <w:sz w:val="20"/>
                <w:szCs w:val="20"/>
              </w:rPr>
            </w:pPr>
            <w:r>
              <w:rPr>
                <w:sz w:val="20"/>
                <w:szCs w:val="20"/>
              </w:rPr>
              <w:t>No change</w:t>
            </w:r>
          </w:p>
        </w:tc>
        <w:tc>
          <w:tcPr>
            <w:tcW w:w="1620" w:type="dxa"/>
            <w:shd w:val="clear" w:color="auto" w:fill="D9D9D9" w:themeFill="background1" w:themeFillShade="D9"/>
          </w:tcPr>
          <w:p w:rsidR="00E7203E" w:rsidP="00223079" w:rsidRDefault="00BC3929" w14:paraId="2F58B09E" w14:textId="2C115F07">
            <w:pPr>
              <w:tabs>
                <w:tab w:val="left" w:pos="6030"/>
              </w:tabs>
              <w:spacing w:line="276" w:lineRule="auto"/>
              <w:jc w:val="center"/>
              <w:rPr>
                <w:sz w:val="20"/>
                <w:szCs w:val="20"/>
              </w:rPr>
            </w:pPr>
            <w:r>
              <w:rPr>
                <w:sz w:val="20"/>
                <w:szCs w:val="20"/>
              </w:rPr>
              <w:t xml:space="preserve">    </w:t>
            </w:r>
            <w:r w:rsidR="00791F15">
              <w:rPr>
                <w:sz w:val="20"/>
                <w:szCs w:val="20"/>
              </w:rPr>
              <w:t>No change</w:t>
            </w:r>
          </w:p>
          <w:p w:rsidRPr="00BB7053" w:rsidR="00F352CA" w:rsidP="00F352CA" w:rsidRDefault="00F352CA" w14:paraId="39B28F78" w14:textId="5E0D1316">
            <w:pPr>
              <w:tabs>
                <w:tab w:val="left" w:pos="6030"/>
              </w:tabs>
              <w:spacing w:line="276" w:lineRule="auto"/>
              <w:jc w:val="right"/>
              <w:rPr>
                <w:sz w:val="20"/>
                <w:szCs w:val="20"/>
              </w:rPr>
            </w:pPr>
          </w:p>
        </w:tc>
      </w:tr>
    </w:tbl>
    <w:p w:rsidR="00885183" w:rsidP="00BB7053" w:rsidRDefault="00885183" w14:paraId="70D44653" w14:textId="5B8E922A">
      <w:pPr>
        <w:tabs>
          <w:tab w:val="left" w:pos="6030"/>
        </w:tabs>
        <w:spacing w:line="276" w:lineRule="auto"/>
        <w:jc w:val="both"/>
      </w:pPr>
    </w:p>
    <w:p w:rsidR="00885183" w:rsidP="00536031" w:rsidRDefault="00885183" w14:paraId="5FFAAD2D" w14:textId="48473D7F">
      <w:pPr>
        <w:keepNext/>
        <w:keepLines/>
        <w:jc w:val="center"/>
        <w:rPr>
          <w:b/>
          <w:bCs/>
        </w:rPr>
      </w:pPr>
      <w:r w:rsidRPr="00B30713">
        <w:rPr>
          <w:rFonts w:eastAsia="Calibri"/>
          <w:b/>
          <w:bCs/>
        </w:rPr>
        <w:t xml:space="preserve">TABLE </w:t>
      </w:r>
      <w:r w:rsidR="00C1361E">
        <w:rPr>
          <w:rFonts w:eastAsia="Calibri"/>
          <w:b/>
          <w:bCs/>
        </w:rPr>
        <w:t>3</w:t>
      </w:r>
      <w:r w:rsidR="00BC3929">
        <w:rPr>
          <w:rFonts w:eastAsia="Calibri"/>
          <w:b/>
          <w:bCs/>
        </w:rPr>
        <w:t>0U</w:t>
      </w:r>
      <w:r w:rsidRPr="00B30713">
        <w:rPr>
          <w:rFonts w:eastAsia="Calibri"/>
          <w:b/>
          <w:bCs/>
        </w:rPr>
        <w:t xml:space="preserve">: Burden Reconciliation for </w:t>
      </w:r>
      <w:r w:rsidRPr="00AB5A74" w:rsidR="00AB5A74">
        <w:rPr>
          <w:rFonts w:eastAsia="Calibri"/>
          <w:b/>
          <w:bCs/>
        </w:rPr>
        <w:t>Other Payer Advanced APM Identification: Eligible Clinician Initiated Process</w:t>
      </w:r>
    </w:p>
    <w:tbl>
      <w:tblPr>
        <w:tblStyle w:val="TableGrid"/>
        <w:tblW w:w="9715" w:type="dxa"/>
        <w:tblLook w:val="04A0" w:firstRow="1" w:lastRow="0" w:firstColumn="1" w:lastColumn="0" w:noHBand="0" w:noVBand="1"/>
      </w:tblPr>
      <w:tblGrid>
        <w:gridCol w:w="1251"/>
        <w:gridCol w:w="1306"/>
        <w:gridCol w:w="1168"/>
        <w:gridCol w:w="1094"/>
        <w:gridCol w:w="1077"/>
        <w:gridCol w:w="1209"/>
        <w:gridCol w:w="1080"/>
        <w:gridCol w:w="1530"/>
      </w:tblGrid>
      <w:tr w:rsidR="00885183" w:rsidTr="00223079" w14:paraId="700EE376" w14:textId="77777777">
        <w:trPr>
          <w:tblHeader/>
        </w:trPr>
        <w:tc>
          <w:tcPr>
            <w:tcW w:w="1251" w:type="dxa"/>
          </w:tcPr>
          <w:p w:rsidRPr="00173FA2" w:rsidR="00885183" w:rsidP="00536031" w:rsidRDefault="00885183" w14:paraId="2ED28A5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E12E4A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5DAD6D4"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077035A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76C7B2DD"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209" w:type="dxa"/>
          </w:tcPr>
          <w:p w:rsidRPr="00173FA2" w:rsidR="00885183" w:rsidP="00536031" w:rsidRDefault="00885183" w14:paraId="6625CF01"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80" w:type="dxa"/>
          </w:tcPr>
          <w:p w:rsidRPr="00173FA2" w:rsidR="00885183" w:rsidP="00536031" w:rsidRDefault="00885183" w14:paraId="538349FB"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530" w:type="dxa"/>
          </w:tcPr>
          <w:p w:rsidRPr="00173FA2" w:rsidR="00885183" w:rsidP="00536031" w:rsidRDefault="00885183" w14:paraId="6EB9FC3F" w14:textId="77777777">
            <w:pPr>
              <w:keepNext/>
              <w:keepLines/>
              <w:tabs>
                <w:tab w:val="left" w:pos="6030"/>
              </w:tabs>
              <w:spacing w:line="276" w:lineRule="auto"/>
              <w:rPr>
                <w:b/>
                <w:bCs/>
                <w:sz w:val="20"/>
                <w:szCs w:val="20"/>
              </w:rPr>
            </w:pPr>
            <w:r w:rsidRPr="00173FA2">
              <w:rPr>
                <w:b/>
                <w:bCs/>
                <w:sz w:val="20"/>
                <w:szCs w:val="20"/>
              </w:rPr>
              <w:t>Total Annual Cost ($)</w:t>
            </w:r>
          </w:p>
        </w:tc>
      </w:tr>
      <w:tr w:rsidR="00460240" w:rsidTr="00223079" w14:paraId="1E5FB047" w14:textId="77777777">
        <w:tc>
          <w:tcPr>
            <w:tcW w:w="1251" w:type="dxa"/>
          </w:tcPr>
          <w:p w:rsidRPr="00BB7053" w:rsidR="00460240" w:rsidP="00536031" w:rsidRDefault="00460240" w14:paraId="06391956" w14:textId="0D308B39">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460240" w:rsidP="00536031" w:rsidRDefault="00460240" w14:paraId="578DA845" w14:textId="1A59C38E">
            <w:pPr>
              <w:keepNext/>
              <w:keepLines/>
              <w:tabs>
                <w:tab w:val="left" w:pos="6030"/>
              </w:tabs>
              <w:spacing w:line="276" w:lineRule="auto"/>
              <w:jc w:val="right"/>
              <w:rPr>
                <w:sz w:val="20"/>
                <w:szCs w:val="20"/>
              </w:rPr>
            </w:pPr>
            <w:r>
              <w:rPr>
                <w:sz w:val="20"/>
                <w:szCs w:val="20"/>
              </w:rPr>
              <w:t>15</w:t>
            </w:r>
          </w:p>
        </w:tc>
        <w:tc>
          <w:tcPr>
            <w:tcW w:w="1168" w:type="dxa"/>
          </w:tcPr>
          <w:p w:rsidRPr="00BB7053" w:rsidR="00460240" w:rsidP="00536031" w:rsidRDefault="00460240" w14:paraId="707D4976" w14:textId="0846C894">
            <w:pPr>
              <w:keepNext/>
              <w:keepLines/>
              <w:tabs>
                <w:tab w:val="left" w:pos="6030"/>
              </w:tabs>
              <w:spacing w:line="276" w:lineRule="auto"/>
              <w:jc w:val="right"/>
              <w:rPr>
                <w:sz w:val="20"/>
                <w:szCs w:val="20"/>
              </w:rPr>
            </w:pPr>
            <w:r>
              <w:rPr>
                <w:sz w:val="20"/>
                <w:szCs w:val="20"/>
              </w:rPr>
              <w:t>1</w:t>
            </w:r>
          </w:p>
        </w:tc>
        <w:tc>
          <w:tcPr>
            <w:tcW w:w="1094" w:type="dxa"/>
          </w:tcPr>
          <w:p w:rsidRPr="00BB7053" w:rsidR="00460240" w:rsidP="00536031" w:rsidRDefault="00460240" w14:paraId="11783160" w14:textId="00AFDAC2">
            <w:pPr>
              <w:keepNext/>
              <w:keepLines/>
              <w:tabs>
                <w:tab w:val="left" w:pos="6030"/>
              </w:tabs>
              <w:spacing w:line="276" w:lineRule="auto"/>
              <w:jc w:val="right"/>
              <w:rPr>
                <w:sz w:val="20"/>
                <w:szCs w:val="20"/>
              </w:rPr>
            </w:pPr>
            <w:r>
              <w:rPr>
                <w:sz w:val="20"/>
                <w:szCs w:val="20"/>
              </w:rPr>
              <w:t>15</w:t>
            </w:r>
          </w:p>
        </w:tc>
        <w:tc>
          <w:tcPr>
            <w:tcW w:w="1077" w:type="dxa"/>
          </w:tcPr>
          <w:p w:rsidRPr="00BB7053" w:rsidR="00460240" w:rsidP="00536031" w:rsidRDefault="00460240" w14:paraId="4B0AECF1" w14:textId="1BB3ED3E">
            <w:pPr>
              <w:keepNext/>
              <w:keepLines/>
              <w:tabs>
                <w:tab w:val="left" w:pos="6030"/>
              </w:tabs>
              <w:spacing w:line="276" w:lineRule="auto"/>
              <w:jc w:val="right"/>
              <w:rPr>
                <w:sz w:val="20"/>
                <w:szCs w:val="20"/>
              </w:rPr>
            </w:pPr>
            <w:r>
              <w:rPr>
                <w:sz w:val="20"/>
                <w:szCs w:val="20"/>
              </w:rPr>
              <w:t>10</w:t>
            </w:r>
          </w:p>
        </w:tc>
        <w:tc>
          <w:tcPr>
            <w:tcW w:w="1209" w:type="dxa"/>
          </w:tcPr>
          <w:p w:rsidRPr="00BB7053" w:rsidR="00460240" w:rsidP="00536031" w:rsidRDefault="00460240" w14:paraId="7D30B4CF" w14:textId="2FCE46C1">
            <w:pPr>
              <w:keepNext/>
              <w:keepLines/>
              <w:tabs>
                <w:tab w:val="left" w:pos="6030"/>
              </w:tabs>
              <w:spacing w:line="276" w:lineRule="auto"/>
              <w:jc w:val="right"/>
              <w:rPr>
                <w:sz w:val="20"/>
                <w:szCs w:val="20"/>
              </w:rPr>
            </w:pPr>
            <w:r>
              <w:rPr>
                <w:sz w:val="20"/>
                <w:szCs w:val="20"/>
              </w:rPr>
              <w:t>150</w:t>
            </w:r>
          </w:p>
        </w:tc>
        <w:tc>
          <w:tcPr>
            <w:tcW w:w="1080" w:type="dxa"/>
          </w:tcPr>
          <w:p w:rsidRPr="00BB7053" w:rsidR="00460240" w:rsidP="00536031" w:rsidRDefault="00460240" w14:paraId="5095728B" w14:textId="3A026085">
            <w:pPr>
              <w:keepNext/>
              <w:keepLines/>
              <w:tabs>
                <w:tab w:val="left" w:pos="6030"/>
              </w:tabs>
              <w:spacing w:line="276" w:lineRule="auto"/>
              <w:jc w:val="right"/>
              <w:rPr>
                <w:sz w:val="20"/>
                <w:szCs w:val="20"/>
              </w:rPr>
            </w:pPr>
            <w:r>
              <w:rPr>
                <w:sz w:val="20"/>
                <w:szCs w:val="20"/>
              </w:rPr>
              <w:t>9</w:t>
            </w:r>
            <w:r w:rsidR="007E51DD">
              <w:rPr>
                <w:sz w:val="20"/>
                <w:szCs w:val="20"/>
              </w:rPr>
              <w:t>8</w:t>
            </w:r>
            <w:r w:rsidR="0088273C">
              <w:rPr>
                <w:sz w:val="20"/>
                <w:szCs w:val="20"/>
              </w:rPr>
              <w:t>.2</w:t>
            </w:r>
            <w:r w:rsidR="007E51DD">
              <w:rPr>
                <w:sz w:val="20"/>
                <w:szCs w:val="20"/>
              </w:rPr>
              <w:t>8</w:t>
            </w:r>
          </w:p>
        </w:tc>
        <w:tc>
          <w:tcPr>
            <w:tcW w:w="1530" w:type="dxa"/>
          </w:tcPr>
          <w:p w:rsidRPr="00BB7053" w:rsidR="00460240" w:rsidP="00536031" w:rsidRDefault="00460240" w14:paraId="10581664" w14:textId="083D9C05">
            <w:pPr>
              <w:keepNext/>
              <w:keepLines/>
              <w:tabs>
                <w:tab w:val="left" w:pos="6030"/>
              </w:tabs>
              <w:spacing w:line="276" w:lineRule="auto"/>
              <w:jc w:val="right"/>
              <w:rPr>
                <w:sz w:val="20"/>
                <w:szCs w:val="20"/>
              </w:rPr>
            </w:pPr>
            <w:r>
              <w:rPr>
                <w:sz w:val="20"/>
                <w:szCs w:val="20"/>
              </w:rPr>
              <w:t>1</w:t>
            </w:r>
            <w:r w:rsidR="007E51DD">
              <w:rPr>
                <w:sz w:val="20"/>
                <w:szCs w:val="20"/>
              </w:rPr>
              <w:t>4,742</w:t>
            </w:r>
          </w:p>
        </w:tc>
      </w:tr>
      <w:tr w:rsidR="00460240" w:rsidTr="00223079" w14:paraId="21B7DDF4" w14:textId="77777777">
        <w:tc>
          <w:tcPr>
            <w:tcW w:w="1251" w:type="dxa"/>
          </w:tcPr>
          <w:p w:rsidRPr="00BB7053" w:rsidR="00460240" w:rsidP="00192E2E" w:rsidRDefault="00BC3929" w14:paraId="57FA653D" w14:textId="508A6593">
            <w:pPr>
              <w:tabs>
                <w:tab w:val="left" w:pos="6030"/>
              </w:tabs>
              <w:spacing w:line="276" w:lineRule="auto"/>
              <w:rPr>
                <w:sz w:val="20"/>
                <w:szCs w:val="20"/>
              </w:rPr>
            </w:pPr>
            <w:r>
              <w:rPr>
                <w:sz w:val="20"/>
                <w:szCs w:val="20"/>
              </w:rPr>
              <w:t xml:space="preserve">Proposed </w:t>
            </w:r>
            <w:r w:rsidRPr="00A67FD9" w:rsidR="00A67FD9">
              <w:rPr>
                <w:sz w:val="20"/>
                <w:szCs w:val="20"/>
              </w:rPr>
              <w:t xml:space="preserve">(See Table </w:t>
            </w:r>
            <w:r w:rsidR="00C20979">
              <w:rPr>
                <w:sz w:val="20"/>
                <w:szCs w:val="20"/>
              </w:rPr>
              <w:t>2</w:t>
            </w:r>
            <w:r w:rsidR="007E51DD">
              <w:rPr>
                <w:sz w:val="20"/>
                <w:szCs w:val="20"/>
              </w:rPr>
              <w:t>4</w:t>
            </w:r>
            <w:r w:rsidRPr="00A67FD9" w:rsidR="00A67FD9">
              <w:rPr>
                <w:sz w:val="20"/>
                <w:szCs w:val="20"/>
              </w:rPr>
              <w:t>)</w:t>
            </w:r>
          </w:p>
        </w:tc>
        <w:tc>
          <w:tcPr>
            <w:tcW w:w="1306" w:type="dxa"/>
          </w:tcPr>
          <w:p w:rsidRPr="00BB7053" w:rsidR="00460240" w:rsidP="00460240" w:rsidRDefault="00460240" w14:paraId="3C0AC002" w14:textId="20FA70F6">
            <w:pPr>
              <w:tabs>
                <w:tab w:val="left" w:pos="6030"/>
              </w:tabs>
              <w:spacing w:line="276" w:lineRule="auto"/>
              <w:jc w:val="right"/>
              <w:rPr>
                <w:sz w:val="20"/>
                <w:szCs w:val="20"/>
              </w:rPr>
            </w:pPr>
            <w:r>
              <w:rPr>
                <w:sz w:val="20"/>
                <w:szCs w:val="20"/>
              </w:rPr>
              <w:t>15</w:t>
            </w:r>
          </w:p>
        </w:tc>
        <w:tc>
          <w:tcPr>
            <w:tcW w:w="1168" w:type="dxa"/>
          </w:tcPr>
          <w:p w:rsidRPr="00BB7053" w:rsidR="00460240" w:rsidP="00460240" w:rsidRDefault="00460240" w14:paraId="0374E752" w14:textId="34C4919A">
            <w:pPr>
              <w:tabs>
                <w:tab w:val="left" w:pos="6030"/>
              </w:tabs>
              <w:spacing w:line="276" w:lineRule="auto"/>
              <w:jc w:val="right"/>
              <w:rPr>
                <w:sz w:val="20"/>
                <w:szCs w:val="20"/>
              </w:rPr>
            </w:pPr>
            <w:r>
              <w:rPr>
                <w:sz w:val="20"/>
                <w:szCs w:val="20"/>
              </w:rPr>
              <w:t>1</w:t>
            </w:r>
          </w:p>
        </w:tc>
        <w:tc>
          <w:tcPr>
            <w:tcW w:w="1094" w:type="dxa"/>
          </w:tcPr>
          <w:p w:rsidRPr="00BB7053" w:rsidR="00460240" w:rsidP="00460240" w:rsidRDefault="00460240" w14:paraId="36DAD90E" w14:textId="42CC5C6B">
            <w:pPr>
              <w:tabs>
                <w:tab w:val="left" w:pos="6030"/>
              </w:tabs>
              <w:spacing w:line="276" w:lineRule="auto"/>
              <w:jc w:val="right"/>
              <w:rPr>
                <w:sz w:val="20"/>
                <w:szCs w:val="20"/>
              </w:rPr>
            </w:pPr>
            <w:r>
              <w:rPr>
                <w:sz w:val="20"/>
                <w:szCs w:val="20"/>
              </w:rPr>
              <w:t>15</w:t>
            </w:r>
          </w:p>
        </w:tc>
        <w:tc>
          <w:tcPr>
            <w:tcW w:w="1077" w:type="dxa"/>
          </w:tcPr>
          <w:p w:rsidRPr="00BB7053" w:rsidR="00460240" w:rsidP="00460240" w:rsidRDefault="00460240" w14:paraId="04C5C4A2" w14:textId="1F3B8129">
            <w:pPr>
              <w:tabs>
                <w:tab w:val="left" w:pos="6030"/>
              </w:tabs>
              <w:spacing w:line="276" w:lineRule="auto"/>
              <w:jc w:val="right"/>
              <w:rPr>
                <w:sz w:val="20"/>
                <w:szCs w:val="20"/>
              </w:rPr>
            </w:pPr>
            <w:r>
              <w:rPr>
                <w:sz w:val="20"/>
                <w:szCs w:val="20"/>
              </w:rPr>
              <w:t>10</w:t>
            </w:r>
          </w:p>
        </w:tc>
        <w:tc>
          <w:tcPr>
            <w:tcW w:w="1209" w:type="dxa"/>
          </w:tcPr>
          <w:p w:rsidRPr="00BB7053" w:rsidR="00460240" w:rsidP="00460240" w:rsidRDefault="00460240" w14:paraId="32152676" w14:textId="3502408D">
            <w:pPr>
              <w:tabs>
                <w:tab w:val="left" w:pos="6030"/>
              </w:tabs>
              <w:spacing w:line="276" w:lineRule="auto"/>
              <w:jc w:val="right"/>
              <w:rPr>
                <w:sz w:val="20"/>
                <w:szCs w:val="20"/>
              </w:rPr>
            </w:pPr>
            <w:r>
              <w:rPr>
                <w:sz w:val="20"/>
                <w:szCs w:val="20"/>
              </w:rPr>
              <w:t>1</w:t>
            </w:r>
            <w:r w:rsidR="00EB2F06">
              <w:rPr>
                <w:sz w:val="20"/>
                <w:szCs w:val="20"/>
              </w:rPr>
              <w:t>50</w:t>
            </w:r>
          </w:p>
        </w:tc>
        <w:tc>
          <w:tcPr>
            <w:tcW w:w="1080" w:type="dxa"/>
          </w:tcPr>
          <w:p w:rsidRPr="00BB7053" w:rsidR="00460240" w:rsidP="00460240" w:rsidRDefault="00460240" w14:paraId="70714BC4" w14:textId="6C1F5B21">
            <w:pPr>
              <w:tabs>
                <w:tab w:val="left" w:pos="6030"/>
              </w:tabs>
              <w:spacing w:line="276" w:lineRule="auto"/>
              <w:jc w:val="right"/>
              <w:rPr>
                <w:sz w:val="20"/>
                <w:szCs w:val="20"/>
              </w:rPr>
            </w:pPr>
            <w:r>
              <w:rPr>
                <w:sz w:val="20"/>
                <w:szCs w:val="20"/>
              </w:rPr>
              <w:t>9</w:t>
            </w:r>
            <w:r w:rsidR="007E51DD">
              <w:rPr>
                <w:sz w:val="20"/>
                <w:szCs w:val="20"/>
              </w:rPr>
              <w:t>8</w:t>
            </w:r>
            <w:r w:rsidR="00EB2F06">
              <w:rPr>
                <w:sz w:val="20"/>
                <w:szCs w:val="20"/>
              </w:rPr>
              <w:t>.2</w:t>
            </w:r>
            <w:r w:rsidR="007E51DD">
              <w:rPr>
                <w:sz w:val="20"/>
                <w:szCs w:val="20"/>
              </w:rPr>
              <w:t>8</w:t>
            </w:r>
          </w:p>
        </w:tc>
        <w:tc>
          <w:tcPr>
            <w:tcW w:w="1530" w:type="dxa"/>
          </w:tcPr>
          <w:p w:rsidRPr="00BB7053" w:rsidR="00460240" w:rsidP="00460240" w:rsidRDefault="00460240" w14:paraId="4574824F" w14:textId="09F7E326">
            <w:pPr>
              <w:tabs>
                <w:tab w:val="left" w:pos="6030"/>
              </w:tabs>
              <w:spacing w:line="276" w:lineRule="auto"/>
              <w:jc w:val="right"/>
              <w:rPr>
                <w:sz w:val="20"/>
                <w:szCs w:val="20"/>
              </w:rPr>
            </w:pPr>
            <w:r>
              <w:rPr>
                <w:sz w:val="20"/>
                <w:szCs w:val="20"/>
              </w:rPr>
              <w:t>1</w:t>
            </w:r>
            <w:r w:rsidR="000E24EB">
              <w:rPr>
                <w:sz w:val="20"/>
                <w:szCs w:val="20"/>
              </w:rPr>
              <w:t>4,</w:t>
            </w:r>
            <w:r w:rsidR="007E51DD">
              <w:rPr>
                <w:sz w:val="20"/>
                <w:szCs w:val="20"/>
              </w:rPr>
              <w:t>742</w:t>
            </w:r>
          </w:p>
        </w:tc>
      </w:tr>
      <w:tr w:rsidR="000E24EB" w:rsidTr="00223079" w14:paraId="055D9A45" w14:textId="77777777">
        <w:tc>
          <w:tcPr>
            <w:tcW w:w="1251" w:type="dxa"/>
            <w:shd w:val="clear" w:color="auto" w:fill="D9D9D9" w:themeFill="background1" w:themeFillShade="D9"/>
          </w:tcPr>
          <w:p w:rsidRPr="00BB7053" w:rsidR="00460240" w:rsidP="00460240" w:rsidRDefault="00460240" w14:paraId="25CA978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460240" w:rsidP="00460240" w:rsidRDefault="007E51DD" w14:paraId="68241798" w14:textId="05D1DA7C">
            <w:pPr>
              <w:tabs>
                <w:tab w:val="left" w:pos="6030"/>
              </w:tabs>
              <w:spacing w:line="276" w:lineRule="auto"/>
              <w:jc w:val="right"/>
              <w:rPr>
                <w:sz w:val="20"/>
                <w:szCs w:val="20"/>
              </w:rPr>
            </w:pPr>
            <w:r>
              <w:rPr>
                <w:sz w:val="20"/>
                <w:szCs w:val="20"/>
              </w:rPr>
              <w:t>No change</w:t>
            </w:r>
          </w:p>
        </w:tc>
        <w:tc>
          <w:tcPr>
            <w:tcW w:w="1168" w:type="dxa"/>
            <w:shd w:val="clear" w:color="auto" w:fill="D9D9D9" w:themeFill="background1" w:themeFillShade="D9"/>
          </w:tcPr>
          <w:p w:rsidRPr="00BB7053" w:rsidR="00460240" w:rsidP="00460240" w:rsidRDefault="00460240" w14:paraId="4BA9FE3B" w14:textId="23DA1A5E">
            <w:pPr>
              <w:tabs>
                <w:tab w:val="left" w:pos="6030"/>
              </w:tabs>
              <w:spacing w:line="276" w:lineRule="auto"/>
              <w:jc w:val="right"/>
              <w:rPr>
                <w:sz w:val="20"/>
                <w:szCs w:val="20"/>
              </w:rPr>
            </w:pPr>
            <w:r w:rsidRPr="00567943">
              <w:rPr>
                <w:sz w:val="20"/>
                <w:szCs w:val="20"/>
              </w:rPr>
              <w:t>No change</w:t>
            </w:r>
          </w:p>
        </w:tc>
        <w:tc>
          <w:tcPr>
            <w:tcW w:w="1094" w:type="dxa"/>
            <w:shd w:val="clear" w:color="auto" w:fill="D9D9D9" w:themeFill="background1" w:themeFillShade="D9"/>
          </w:tcPr>
          <w:p w:rsidRPr="00BB7053" w:rsidR="00460240" w:rsidP="00460240" w:rsidRDefault="007E51DD" w14:paraId="538AF95F" w14:textId="5EB78AEE">
            <w:pPr>
              <w:tabs>
                <w:tab w:val="left" w:pos="6030"/>
              </w:tabs>
              <w:spacing w:line="276" w:lineRule="auto"/>
              <w:jc w:val="right"/>
              <w:rPr>
                <w:sz w:val="20"/>
                <w:szCs w:val="20"/>
              </w:rPr>
            </w:pPr>
            <w:r>
              <w:rPr>
                <w:sz w:val="20"/>
                <w:szCs w:val="20"/>
              </w:rPr>
              <w:t>No change</w:t>
            </w:r>
          </w:p>
        </w:tc>
        <w:tc>
          <w:tcPr>
            <w:tcW w:w="1077" w:type="dxa"/>
            <w:shd w:val="clear" w:color="auto" w:fill="D9D9D9" w:themeFill="background1" w:themeFillShade="D9"/>
          </w:tcPr>
          <w:p w:rsidRPr="00BB7053" w:rsidR="00460240" w:rsidP="00460240" w:rsidRDefault="00460240" w14:paraId="158D867C" w14:textId="330C685D">
            <w:pPr>
              <w:tabs>
                <w:tab w:val="left" w:pos="6030"/>
              </w:tabs>
              <w:spacing w:line="276" w:lineRule="auto"/>
              <w:jc w:val="right"/>
              <w:rPr>
                <w:sz w:val="20"/>
                <w:szCs w:val="20"/>
              </w:rPr>
            </w:pPr>
            <w:r w:rsidRPr="00567943">
              <w:rPr>
                <w:sz w:val="20"/>
                <w:szCs w:val="20"/>
              </w:rPr>
              <w:t>No change</w:t>
            </w:r>
          </w:p>
        </w:tc>
        <w:tc>
          <w:tcPr>
            <w:tcW w:w="1209" w:type="dxa"/>
            <w:shd w:val="clear" w:color="auto" w:fill="D9D9D9" w:themeFill="background1" w:themeFillShade="D9"/>
          </w:tcPr>
          <w:p w:rsidRPr="00BB7053" w:rsidR="00460240" w:rsidP="00223079" w:rsidRDefault="007E51DD" w14:paraId="716CF5C5" w14:textId="4259BC08">
            <w:pPr>
              <w:tabs>
                <w:tab w:val="left" w:pos="6030"/>
              </w:tabs>
              <w:spacing w:line="276" w:lineRule="auto"/>
              <w:jc w:val="center"/>
              <w:rPr>
                <w:sz w:val="20"/>
                <w:szCs w:val="20"/>
              </w:rPr>
            </w:pPr>
            <w:r>
              <w:rPr>
                <w:sz w:val="20"/>
                <w:szCs w:val="20"/>
              </w:rPr>
              <w:t>No change</w:t>
            </w:r>
          </w:p>
        </w:tc>
        <w:tc>
          <w:tcPr>
            <w:tcW w:w="1080" w:type="dxa"/>
            <w:shd w:val="clear" w:color="auto" w:fill="D9D9D9" w:themeFill="background1" w:themeFillShade="D9"/>
          </w:tcPr>
          <w:p w:rsidRPr="00BB7053" w:rsidR="00460240" w:rsidP="00460240" w:rsidRDefault="00460240" w14:paraId="7C1D85A4" w14:textId="235E848A">
            <w:pPr>
              <w:tabs>
                <w:tab w:val="left" w:pos="6030"/>
              </w:tabs>
              <w:spacing w:line="276" w:lineRule="auto"/>
              <w:jc w:val="right"/>
              <w:rPr>
                <w:sz w:val="20"/>
                <w:szCs w:val="20"/>
              </w:rPr>
            </w:pPr>
            <w:r w:rsidRPr="00567943">
              <w:rPr>
                <w:sz w:val="20"/>
                <w:szCs w:val="20"/>
              </w:rPr>
              <w:t>No change</w:t>
            </w:r>
          </w:p>
        </w:tc>
        <w:tc>
          <w:tcPr>
            <w:tcW w:w="1530" w:type="dxa"/>
            <w:shd w:val="clear" w:color="auto" w:fill="D9D9D9" w:themeFill="background1" w:themeFillShade="D9"/>
          </w:tcPr>
          <w:p w:rsidRPr="00BB7053" w:rsidR="00460240" w:rsidP="00460240" w:rsidRDefault="007E51DD" w14:paraId="139CE72E" w14:textId="078F4425">
            <w:pPr>
              <w:tabs>
                <w:tab w:val="left" w:pos="6030"/>
              </w:tabs>
              <w:spacing w:line="276" w:lineRule="auto"/>
              <w:jc w:val="right"/>
              <w:rPr>
                <w:sz w:val="20"/>
                <w:szCs w:val="20"/>
              </w:rPr>
            </w:pPr>
            <w:r>
              <w:rPr>
                <w:sz w:val="20"/>
                <w:szCs w:val="20"/>
              </w:rPr>
              <w:t>No change</w:t>
            </w:r>
          </w:p>
        </w:tc>
      </w:tr>
    </w:tbl>
    <w:p w:rsidR="00885183" w:rsidP="00BB7053" w:rsidRDefault="00885183" w14:paraId="078A4EB8" w14:textId="72F3F246">
      <w:pPr>
        <w:tabs>
          <w:tab w:val="left" w:pos="6030"/>
        </w:tabs>
        <w:spacing w:line="276" w:lineRule="auto"/>
        <w:jc w:val="both"/>
      </w:pPr>
    </w:p>
    <w:p w:rsidR="00885183" w:rsidP="00FC0888" w:rsidRDefault="00885183" w14:paraId="57DECA10" w14:textId="15C37DE9">
      <w:pPr>
        <w:keepNext/>
        <w:keepLines/>
        <w:jc w:val="center"/>
        <w:rPr>
          <w:b/>
          <w:bCs/>
        </w:rPr>
      </w:pPr>
      <w:r w:rsidRPr="00B30713">
        <w:rPr>
          <w:rFonts w:eastAsia="Calibri"/>
          <w:b/>
          <w:bCs/>
        </w:rPr>
        <w:lastRenderedPageBreak/>
        <w:t xml:space="preserve">TABLE </w:t>
      </w:r>
      <w:r w:rsidR="00C1361E">
        <w:rPr>
          <w:rFonts w:eastAsia="Calibri"/>
          <w:b/>
          <w:bCs/>
        </w:rPr>
        <w:t>3</w:t>
      </w:r>
      <w:r w:rsidR="00AD4457">
        <w:rPr>
          <w:rFonts w:eastAsia="Calibri"/>
          <w:b/>
          <w:bCs/>
        </w:rPr>
        <w:t>0V</w:t>
      </w:r>
      <w:r w:rsidRPr="00B30713">
        <w:rPr>
          <w:rFonts w:eastAsia="Calibri"/>
          <w:b/>
          <w:bCs/>
        </w:rPr>
        <w:t xml:space="preserve">: Burden Reconciliation for </w:t>
      </w:r>
      <w:r w:rsidRPr="004E7025" w:rsidR="004E7025">
        <w:rPr>
          <w:rFonts w:eastAsia="Calibri"/>
          <w:b/>
          <w:bCs/>
        </w:rPr>
        <w:t>Submission of Data for All-Payer QP Determinations under the All-Payer Combination Option</w:t>
      </w:r>
    </w:p>
    <w:tbl>
      <w:tblPr>
        <w:tblStyle w:val="TableGrid"/>
        <w:tblW w:w="9715" w:type="dxa"/>
        <w:tblLook w:val="04A0" w:firstRow="1" w:lastRow="0" w:firstColumn="1" w:lastColumn="0" w:noHBand="0" w:noVBand="1"/>
      </w:tblPr>
      <w:tblGrid>
        <w:gridCol w:w="1516"/>
        <w:gridCol w:w="1306"/>
        <w:gridCol w:w="1154"/>
        <w:gridCol w:w="1094"/>
        <w:gridCol w:w="1146"/>
        <w:gridCol w:w="1159"/>
        <w:gridCol w:w="1080"/>
        <w:gridCol w:w="1260"/>
      </w:tblGrid>
      <w:tr w:rsidR="0027634A" w:rsidTr="0027634A" w14:paraId="64A2FC86" w14:textId="77777777">
        <w:trPr>
          <w:tblHeader/>
        </w:trPr>
        <w:tc>
          <w:tcPr>
            <w:tcW w:w="1516" w:type="dxa"/>
          </w:tcPr>
          <w:p w:rsidRPr="00173FA2" w:rsidR="00885183" w:rsidP="00FC0888" w:rsidRDefault="00885183" w14:paraId="18FAB669"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FC0888" w:rsidRDefault="00885183" w14:paraId="65349184"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54" w:type="dxa"/>
          </w:tcPr>
          <w:p w:rsidRPr="00173FA2" w:rsidR="00885183" w:rsidP="00FC0888" w:rsidRDefault="00885183" w14:paraId="2CBF57B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FC0888" w:rsidRDefault="00885183" w14:paraId="4394A407"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146" w:type="dxa"/>
          </w:tcPr>
          <w:p w:rsidRPr="00173FA2" w:rsidR="00885183" w:rsidP="00FC0888" w:rsidRDefault="00885183" w14:paraId="38658240"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159" w:type="dxa"/>
          </w:tcPr>
          <w:p w:rsidRPr="00173FA2" w:rsidR="00885183" w:rsidP="00FC0888" w:rsidRDefault="00885183" w14:paraId="2942A5B2"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080" w:type="dxa"/>
          </w:tcPr>
          <w:p w:rsidRPr="00173FA2" w:rsidR="00885183" w:rsidP="00FC0888" w:rsidRDefault="00885183" w14:paraId="7CDB6C56"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260" w:type="dxa"/>
          </w:tcPr>
          <w:p w:rsidRPr="00173FA2" w:rsidR="00885183" w:rsidP="00FC0888" w:rsidRDefault="00885183" w14:paraId="08D814CF" w14:textId="77777777">
            <w:pPr>
              <w:keepNext/>
              <w:keepLines/>
              <w:tabs>
                <w:tab w:val="left" w:pos="6030"/>
              </w:tabs>
              <w:spacing w:line="276" w:lineRule="auto"/>
              <w:rPr>
                <w:b/>
                <w:bCs/>
                <w:sz w:val="20"/>
                <w:szCs w:val="20"/>
              </w:rPr>
            </w:pPr>
            <w:r w:rsidRPr="00173FA2">
              <w:rPr>
                <w:b/>
                <w:bCs/>
                <w:sz w:val="20"/>
                <w:szCs w:val="20"/>
              </w:rPr>
              <w:t>Total Annual Cost ($)</w:t>
            </w:r>
          </w:p>
        </w:tc>
      </w:tr>
      <w:tr w:rsidR="0027634A" w:rsidTr="0027634A" w14:paraId="3C1EFBC5" w14:textId="77777777">
        <w:tc>
          <w:tcPr>
            <w:tcW w:w="1516" w:type="dxa"/>
          </w:tcPr>
          <w:p w:rsidRPr="00BB7053" w:rsidR="00E62E62" w:rsidP="00E62E62" w:rsidRDefault="00E62E62" w14:paraId="5BBE8AC7" w14:textId="2D35828F">
            <w:pPr>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E62E62" w:rsidP="00E62E62" w:rsidRDefault="00E62E62" w14:paraId="37DED5ED" w14:textId="4D3DD87F">
            <w:pPr>
              <w:tabs>
                <w:tab w:val="left" w:pos="6030"/>
              </w:tabs>
              <w:spacing w:line="276" w:lineRule="auto"/>
              <w:jc w:val="right"/>
              <w:rPr>
                <w:sz w:val="20"/>
                <w:szCs w:val="20"/>
              </w:rPr>
            </w:pPr>
            <w:r>
              <w:rPr>
                <w:sz w:val="20"/>
                <w:szCs w:val="20"/>
              </w:rPr>
              <w:t>551</w:t>
            </w:r>
          </w:p>
        </w:tc>
        <w:tc>
          <w:tcPr>
            <w:tcW w:w="1154" w:type="dxa"/>
          </w:tcPr>
          <w:p w:rsidRPr="00BB7053" w:rsidR="00E62E62" w:rsidP="00E62E62" w:rsidRDefault="00E62E62" w14:paraId="7AC1B292" w14:textId="292D86BC">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73EC8432" w14:textId="7542712B">
            <w:pPr>
              <w:tabs>
                <w:tab w:val="left" w:pos="6030"/>
              </w:tabs>
              <w:spacing w:line="276" w:lineRule="auto"/>
              <w:jc w:val="right"/>
              <w:rPr>
                <w:sz w:val="20"/>
                <w:szCs w:val="20"/>
              </w:rPr>
            </w:pPr>
            <w:r>
              <w:rPr>
                <w:sz w:val="20"/>
                <w:szCs w:val="20"/>
              </w:rPr>
              <w:t>551</w:t>
            </w:r>
          </w:p>
        </w:tc>
        <w:tc>
          <w:tcPr>
            <w:tcW w:w="1146" w:type="dxa"/>
          </w:tcPr>
          <w:p w:rsidRPr="00BB7053" w:rsidR="00E62E62" w:rsidP="00E62E62" w:rsidRDefault="00E62E62" w14:paraId="5398676D" w14:textId="3E97D90F">
            <w:pPr>
              <w:tabs>
                <w:tab w:val="left" w:pos="6030"/>
              </w:tabs>
              <w:spacing w:line="276" w:lineRule="auto"/>
              <w:jc w:val="right"/>
              <w:rPr>
                <w:sz w:val="20"/>
                <w:szCs w:val="20"/>
              </w:rPr>
            </w:pPr>
            <w:r>
              <w:rPr>
                <w:sz w:val="20"/>
                <w:szCs w:val="20"/>
              </w:rPr>
              <w:t>5</w:t>
            </w:r>
          </w:p>
        </w:tc>
        <w:tc>
          <w:tcPr>
            <w:tcW w:w="1159" w:type="dxa"/>
          </w:tcPr>
          <w:p w:rsidRPr="00BB7053" w:rsidR="00E62E62" w:rsidP="00E62E62" w:rsidRDefault="00E62E62" w14:paraId="18C4A4C8" w14:textId="547C0145">
            <w:pPr>
              <w:tabs>
                <w:tab w:val="left" w:pos="6030"/>
              </w:tabs>
              <w:spacing w:line="276" w:lineRule="auto"/>
              <w:jc w:val="right"/>
              <w:rPr>
                <w:sz w:val="20"/>
                <w:szCs w:val="20"/>
              </w:rPr>
            </w:pPr>
            <w:r>
              <w:rPr>
                <w:sz w:val="20"/>
                <w:szCs w:val="20"/>
              </w:rPr>
              <w:t>2,755</w:t>
            </w:r>
          </w:p>
        </w:tc>
        <w:tc>
          <w:tcPr>
            <w:tcW w:w="1080" w:type="dxa"/>
          </w:tcPr>
          <w:p w:rsidRPr="00BB7053" w:rsidR="00E62E62" w:rsidP="00E62E62" w:rsidRDefault="00E62E62" w14:paraId="4AF23A83" w14:textId="09BEA439">
            <w:pPr>
              <w:tabs>
                <w:tab w:val="left" w:pos="6030"/>
              </w:tabs>
              <w:spacing w:line="276" w:lineRule="auto"/>
              <w:jc w:val="right"/>
              <w:rPr>
                <w:sz w:val="20"/>
                <w:szCs w:val="20"/>
              </w:rPr>
            </w:pPr>
            <w:r>
              <w:rPr>
                <w:sz w:val="20"/>
                <w:szCs w:val="20"/>
              </w:rPr>
              <w:t>11</w:t>
            </w:r>
            <w:r w:rsidR="00AD4457">
              <w:rPr>
                <w:sz w:val="20"/>
                <w:szCs w:val="20"/>
              </w:rPr>
              <w:t>5</w:t>
            </w:r>
            <w:r w:rsidR="000434B3">
              <w:rPr>
                <w:sz w:val="20"/>
                <w:szCs w:val="20"/>
              </w:rPr>
              <w:t>.2</w:t>
            </w:r>
            <w:r w:rsidR="00AD4457">
              <w:rPr>
                <w:sz w:val="20"/>
                <w:szCs w:val="20"/>
              </w:rPr>
              <w:t>2</w:t>
            </w:r>
          </w:p>
        </w:tc>
        <w:tc>
          <w:tcPr>
            <w:tcW w:w="1260" w:type="dxa"/>
          </w:tcPr>
          <w:p w:rsidRPr="00BB7053" w:rsidR="00E62E62" w:rsidP="00E62E62" w:rsidRDefault="00E62E62" w14:paraId="49BB93B9" w14:textId="5D294B12">
            <w:pPr>
              <w:tabs>
                <w:tab w:val="left" w:pos="6030"/>
              </w:tabs>
              <w:spacing w:line="276" w:lineRule="auto"/>
              <w:jc w:val="right"/>
              <w:rPr>
                <w:sz w:val="20"/>
                <w:szCs w:val="20"/>
              </w:rPr>
            </w:pPr>
            <w:r>
              <w:rPr>
                <w:sz w:val="20"/>
                <w:szCs w:val="20"/>
              </w:rPr>
              <w:t>3</w:t>
            </w:r>
            <w:r w:rsidR="00F7656F">
              <w:rPr>
                <w:sz w:val="20"/>
                <w:szCs w:val="20"/>
              </w:rPr>
              <w:t>1</w:t>
            </w:r>
            <w:r w:rsidR="006F228A">
              <w:rPr>
                <w:sz w:val="20"/>
                <w:szCs w:val="20"/>
              </w:rPr>
              <w:t>7</w:t>
            </w:r>
            <w:r w:rsidR="00F7656F">
              <w:rPr>
                <w:sz w:val="20"/>
                <w:szCs w:val="20"/>
              </w:rPr>
              <w:t>,</w:t>
            </w:r>
            <w:r w:rsidR="006F228A">
              <w:rPr>
                <w:sz w:val="20"/>
                <w:szCs w:val="20"/>
              </w:rPr>
              <w:t>4</w:t>
            </w:r>
            <w:r w:rsidR="00F7656F">
              <w:rPr>
                <w:sz w:val="20"/>
                <w:szCs w:val="20"/>
              </w:rPr>
              <w:t>31</w:t>
            </w:r>
          </w:p>
        </w:tc>
      </w:tr>
      <w:tr w:rsidR="0027634A" w:rsidTr="0027634A" w14:paraId="19F8EB79" w14:textId="77777777">
        <w:tc>
          <w:tcPr>
            <w:tcW w:w="1516" w:type="dxa"/>
          </w:tcPr>
          <w:p w:rsidRPr="00BB7053" w:rsidR="00E62E62" w:rsidP="00192E2E" w:rsidRDefault="00543E10" w14:paraId="0BAD8D0F" w14:textId="1672D909">
            <w:pPr>
              <w:tabs>
                <w:tab w:val="left" w:pos="6030"/>
              </w:tabs>
              <w:spacing w:line="276" w:lineRule="auto"/>
              <w:rPr>
                <w:sz w:val="20"/>
                <w:szCs w:val="20"/>
              </w:rPr>
            </w:pPr>
            <w:r>
              <w:rPr>
                <w:sz w:val="20"/>
                <w:szCs w:val="20"/>
              </w:rPr>
              <w:t>Propos</w:t>
            </w:r>
            <w:r w:rsidR="00F73C0A">
              <w:rPr>
                <w:sz w:val="20"/>
                <w:szCs w:val="20"/>
              </w:rPr>
              <w:t>ed</w:t>
            </w:r>
            <w:r w:rsidR="00B44DAA">
              <w:rPr>
                <w:sz w:val="20"/>
                <w:szCs w:val="20"/>
              </w:rPr>
              <w:t xml:space="preserve"> </w:t>
            </w:r>
            <w:r w:rsidRPr="00A67FD9" w:rsidR="00A67FD9">
              <w:rPr>
                <w:sz w:val="20"/>
                <w:szCs w:val="20"/>
              </w:rPr>
              <w:t xml:space="preserve">(See Table </w:t>
            </w:r>
            <w:r w:rsidR="00C20979">
              <w:rPr>
                <w:sz w:val="20"/>
                <w:szCs w:val="20"/>
              </w:rPr>
              <w:t>2</w:t>
            </w:r>
            <w:r w:rsidR="00AD4457">
              <w:rPr>
                <w:sz w:val="20"/>
                <w:szCs w:val="20"/>
              </w:rPr>
              <w:t>5</w:t>
            </w:r>
            <w:r w:rsidRPr="00A67FD9" w:rsidR="00A67FD9">
              <w:rPr>
                <w:sz w:val="20"/>
                <w:szCs w:val="20"/>
              </w:rPr>
              <w:t>)</w:t>
            </w:r>
          </w:p>
        </w:tc>
        <w:tc>
          <w:tcPr>
            <w:tcW w:w="1306" w:type="dxa"/>
          </w:tcPr>
          <w:p w:rsidRPr="00BB7053" w:rsidR="00E62E62" w:rsidP="00E62E62" w:rsidRDefault="00E62E62" w14:paraId="1C093FC9" w14:textId="7F4C3FF5">
            <w:pPr>
              <w:tabs>
                <w:tab w:val="left" w:pos="6030"/>
              </w:tabs>
              <w:spacing w:line="276" w:lineRule="auto"/>
              <w:jc w:val="right"/>
              <w:rPr>
                <w:sz w:val="20"/>
                <w:szCs w:val="20"/>
              </w:rPr>
            </w:pPr>
            <w:r>
              <w:rPr>
                <w:sz w:val="20"/>
                <w:szCs w:val="20"/>
              </w:rPr>
              <w:t>551</w:t>
            </w:r>
          </w:p>
        </w:tc>
        <w:tc>
          <w:tcPr>
            <w:tcW w:w="1154" w:type="dxa"/>
          </w:tcPr>
          <w:p w:rsidRPr="00BB7053" w:rsidR="00E62E62" w:rsidP="00E62E62" w:rsidRDefault="00E62E62" w14:paraId="29E0B280" w14:textId="1CB7291B">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2C2C9FFC" w14:textId="4A41E32E">
            <w:pPr>
              <w:tabs>
                <w:tab w:val="left" w:pos="6030"/>
              </w:tabs>
              <w:spacing w:line="276" w:lineRule="auto"/>
              <w:jc w:val="right"/>
              <w:rPr>
                <w:sz w:val="20"/>
                <w:szCs w:val="20"/>
              </w:rPr>
            </w:pPr>
            <w:r>
              <w:rPr>
                <w:sz w:val="20"/>
                <w:szCs w:val="20"/>
              </w:rPr>
              <w:t>551</w:t>
            </w:r>
          </w:p>
        </w:tc>
        <w:tc>
          <w:tcPr>
            <w:tcW w:w="1146" w:type="dxa"/>
          </w:tcPr>
          <w:p w:rsidRPr="00BB7053" w:rsidR="00E62E62" w:rsidP="00E62E62" w:rsidRDefault="00E62E62" w14:paraId="470244F6" w14:textId="2FF686D5">
            <w:pPr>
              <w:tabs>
                <w:tab w:val="left" w:pos="6030"/>
              </w:tabs>
              <w:spacing w:line="276" w:lineRule="auto"/>
              <w:jc w:val="right"/>
              <w:rPr>
                <w:sz w:val="20"/>
                <w:szCs w:val="20"/>
              </w:rPr>
            </w:pPr>
            <w:r>
              <w:rPr>
                <w:sz w:val="20"/>
                <w:szCs w:val="20"/>
              </w:rPr>
              <w:t>5</w:t>
            </w:r>
          </w:p>
        </w:tc>
        <w:tc>
          <w:tcPr>
            <w:tcW w:w="1159" w:type="dxa"/>
          </w:tcPr>
          <w:p w:rsidRPr="00BB7053" w:rsidR="00E62E62" w:rsidP="00E62E62" w:rsidRDefault="00E62E62" w14:paraId="3D1C76F8" w14:textId="43E013D5">
            <w:pPr>
              <w:tabs>
                <w:tab w:val="left" w:pos="6030"/>
              </w:tabs>
              <w:spacing w:line="276" w:lineRule="auto"/>
              <w:jc w:val="right"/>
              <w:rPr>
                <w:sz w:val="20"/>
                <w:szCs w:val="20"/>
              </w:rPr>
            </w:pPr>
            <w:r>
              <w:rPr>
                <w:sz w:val="20"/>
                <w:szCs w:val="20"/>
              </w:rPr>
              <w:t>2,755</w:t>
            </w:r>
          </w:p>
        </w:tc>
        <w:tc>
          <w:tcPr>
            <w:tcW w:w="1080" w:type="dxa"/>
          </w:tcPr>
          <w:p w:rsidRPr="00BB7053" w:rsidR="00E62E62" w:rsidP="00E62E62" w:rsidRDefault="00E62E62" w14:paraId="080CEDA0" w14:textId="5A6F5FE3">
            <w:pPr>
              <w:tabs>
                <w:tab w:val="left" w:pos="6030"/>
              </w:tabs>
              <w:spacing w:line="276" w:lineRule="auto"/>
              <w:jc w:val="right"/>
              <w:rPr>
                <w:sz w:val="20"/>
                <w:szCs w:val="20"/>
              </w:rPr>
            </w:pPr>
            <w:r>
              <w:rPr>
                <w:sz w:val="20"/>
                <w:szCs w:val="20"/>
              </w:rPr>
              <w:t>11</w:t>
            </w:r>
            <w:r w:rsidR="00AD4457">
              <w:rPr>
                <w:sz w:val="20"/>
                <w:szCs w:val="20"/>
              </w:rPr>
              <w:t>5</w:t>
            </w:r>
            <w:r w:rsidR="000434B3">
              <w:rPr>
                <w:sz w:val="20"/>
                <w:szCs w:val="20"/>
              </w:rPr>
              <w:t>.2</w:t>
            </w:r>
            <w:r w:rsidR="00AD4457">
              <w:rPr>
                <w:sz w:val="20"/>
                <w:szCs w:val="20"/>
              </w:rPr>
              <w:t>2</w:t>
            </w:r>
          </w:p>
        </w:tc>
        <w:tc>
          <w:tcPr>
            <w:tcW w:w="1260" w:type="dxa"/>
          </w:tcPr>
          <w:p w:rsidRPr="00BB7053" w:rsidR="00E62E62" w:rsidP="00E62E62" w:rsidRDefault="00E62E62" w14:paraId="7304CB52" w14:textId="0F53B4B9">
            <w:pPr>
              <w:tabs>
                <w:tab w:val="left" w:pos="6030"/>
              </w:tabs>
              <w:spacing w:line="276" w:lineRule="auto"/>
              <w:jc w:val="right"/>
              <w:rPr>
                <w:sz w:val="20"/>
                <w:szCs w:val="20"/>
              </w:rPr>
            </w:pPr>
            <w:r>
              <w:rPr>
                <w:sz w:val="20"/>
                <w:szCs w:val="20"/>
              </w:rPr>
              <w:t>3</w:t>
            </w:r>
            <w:r w:rsidR="00F7656F">
              <w:rPr>
                <w:sz w:val="20"/>
                <w:szCs w:val="20"/>
              </w:rPr>
              <w:t>1</w:t>
            </w:r>
            <w:r w:rsidR="00CF5D4A">
              <w:rPr>
                <w:sz w:val="20"/>
                <w:szCs w:val="20"/>
              </w:rPr>
              <w:t>7</w:t>
            </w:r>
            <w:r w:rsidR="00F7656F">
              <w:rPr>
                <w:sz w:val="20"/>
                <w:szCs w:val="20"/>
              </w:rPr>
              <w:t>,</w:t>
            </w:r>
            <w:r w:rsidR="00CF5D4A">
              <w:rPr>
                <w:sz w:val="20"/>
                <w:szCs w:val="20"/>
              </w:rPr>
              <w:t>4</w:t>
            </w:r>
            <w:r w:rsidR="00F7656F">
              <w:rPr>
                <w:sz w:val="20"/>
                <w:szCs w:val="20"/>
              </w:rPr>
              <w:t>31</w:t>
            </w:r>
          </w:p>
        </w:tc>
      </w:tr>
      <w:tr w:rsidR="00543E10" w:rsidTr="00223079" w14:paraId="518F9B21" w14:textId="77777777">
        <w:tc>
          <w:tcPr>
            <w:tcW w:w="1516" w:type="dxa"/>
            <w:shd w:val="clear" w:color="auto" w:fill="D9D9D9" w:themeFill="background1" w:themeFillShade="D9"/>
          </w:tcPr>
          <w:p w:rsidRPr="00BB7053" w:rsidR="00E62E62" w:rsidP="00E62E62" w:rsidRDefault="00E62E62" w14:paraId="7D6E3CF9" w14:textId="77777777">
            <w:pPr>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E62E62" w:rsidP="00E62E62" w:rsidRDefault="00E62E62" w14:paraId="09260942" w14:textId="0BEBDE8B">
            <w:pPr>
              <w:tabs>
                <w:tab w:val="left" w:pos="6030"/>
              </w:tabs>
              <w:spacing w:line="276" w:lineRule="auto"/>
              <w:jc w:val="right"/>
              <w:rPr>
                <w:sz w:val="20"/>
                <w:szCs w:val="20"/>
              </w:rPr>
            </w:pPr>
            <w:r w:rsidRPr="00B7095A">
              <w:rPr>
                <w:sz w:val="20"/>
                <w:szCs w:val="20"/>
              </w:rPr>
              <w:t>No change</w:t>
            </w:r>
          </w:p>
        </w:tc>
        <w:tc>
          <w:tcPr>
            <w:tcW w:w="1154" w:type="dxa"/>
            <w:shd w:val="clear" w:color="auto" w:fill="D9D9D9" w:themeFill="background1" w:themeFillShade="D9"/>
          </w:tcPr>
          <w:p w:rsidRPr="00BB7053" w:rsidR="00E62E62" w:rsidP="00E62E62" w:rsidRDefault="00E62E62" w14:paraId="133DD291" w14:textId="12C36CA6">
            <w:pPr>
              <w:tabs>
                <w:tab w:val="left" w:pos="6030"/>
              </w:tabs>
              <w:spacing w:line="276" w:lineRule="auto"/>
              <w:jc w:val="right"/>
              <w:rPr>
                <w:sz w:val="20"/>
                <w:szCs w:val="20"/>
              </w:rPr>
            </w:pPr>
            <w:r w:rsidRPr="00B7095A">
              <w:rPr>
                <w:sz w:val="20"/>
                <w:szCs w:val="20"/>
              </w:rPr>
              <w:t>No change</w:t>
            </w:r>
          </w:p>
        </w:tc>
        <w:tc>
          <w:tcPr>
            <w:tcW w:w="1094" w:type="dxa"/>
            <w:shd w:val="clear" w:color="auto" w:fill="D9D9D9" w:themeFill="background1" w:themeFillShade="D9"/>
          </w:tcPr>
          <w:p w:rsidRPr="00BB7053" w:rsidR="00E62E62" w:rsidP="00E62E62" w:rsidRDefault="00E62E62" w14:paraId="45C3B0E2" w14:textId="21957FEB">
            <w:pPr>
              <w:tabs>
                <w:tab w:val="left" w:pos="6030"/>
              </w:tabs>
              <w:spacing w:line="276" w:lineRule="auto"/>
              <w:jc w:val="right"/>
              <w:rPr>
                <w:sz w:val="20"/>
                <w:szCs w:val="20"/>
              </w:rPr>
            </w:pPr>
            <w:r w:rsidRPr="00B7095A">
              <w:rPr>
                <w:sz w:val="20"/>
                <w:szCs w:val="20"/>
              </w:rPr>
              <w:t>No change</w:t>
            </w:r>
          </w:p>
        </w:tc>
        <w:tc>
          <w:tcPr>
            <w:tcW w:w="1146" w:type="dxa"/>
            <w:shd w:val="clear" w:color="auto" w:fill="D9D9D9" w:themeFill="background1" w:themeFillShade="D9"/>
          </w:tcPr>
          <w:p w:rsidRPr="00BB7053" w:rsidR="00E62E62" w:rsidP="00E62E62" w:rsidRDefault="00E62E62" w14:paraId="7F65AE62" w14:textId="17440632">
            <w:pPr>
              <w:tabs>
                <w:tab w:val="left" w:pos="6030"/>
              </w:tabs>
              <w:spacing w:line="276" w:lineRule="auto"/>
              <w:jc w:val="right"/>
              <w:rPr>
                <w:sz w:val="20"/>
                <w:szCs w:val="20"/>
              </w:rPr>
            </w:pPr>
            <w:r w:rsidRPr="00B7095A">
              <w:rPr>
                <w:sz w:val="20"/>
                <w:szCs w:val="20"/>
              </w:rPr>
              <w:t>No change</w:t>
            </w:r>
          </w:p>
        </w:tc>
        <w:tc>
          <w:tcPr>
            <w:tcW w:w="1159" w:type="dxa"/>
            <w:shd w:val="clear" w:color="auto" w:fill="D9D9D9" w:themeFill="background1" w:themeFillShade="D9"/>
          </w:tcPr>
          <w:p w:rsidRPr="00BB7053" w:rsidR="00E62E62" w:rsidP="00E62E62" w:rsidRDefault="00E62E62" w14:paraId="7ADFCF19" w14:textId="6913572D">
            <w:pPr>
              <w:tabs>
                <w:tab w:val="left" w:pos="6030"/>
              </w:tabs>
              <w:spacing w:line="276" w:lineRule="auto"/>
              <w:jc w:val="right"/>
              <w:rPr>
                <w:sz w:val="20"/>
                <w:szCs w:val="20"/>
              </w:rPr>
            </w:pPr>
            <w:r w:rsidRPr="00B7095A">
              <w:rPr>
                <w:sz w:val="20"/>
                <w:szCs w:val="20"/>
              </w:rPr>
              <w:t>No change</w:t>
            </w:r>
          </w:p>
        </w:tc>
        <w:tc>
          <w:tcPr>
            <w:tcW w:w="1080" w:type="dxa"/>
            <w:shd w:val="clear" w:color="auto" w:fill="D9D9D9" w:themeFill="background1" w:themeFillShade="D9"/>
          </w:tcPr>
          <w:p w:rsidRPr="00BB7053" w:rsidR="00E62E62" w:rsidP="00E62E62" w:rsidRDefault="00E62E62" w14:paraId="7718E8B1" w14:textId="0ED29492">
            <w:pPr>
              <w:tabs>
                <w:tab w:val="left" w:pos="6030"/>
              </w:tabs>
              <w:spacing w:line="276" w:lineRule="auto"/>
              <w:jc w:val="right"/>
              <w:rPr>
                <w:sz w:val="20"/>
                <w:szCs w:val="20"/>
              </w:rPr>
            </w:pPr>
            <w:r w:rsidRPr="00B7095A">
              <w:rPr>
                <w:sz w:val="20"/>
                <w:szCs w:val="20"/>
              </w:rPr>
              <w:t>No change</w:t>
            </w:r>
          </w:p>
        </w:tc>
        <w:tc>
          <w:tcPr>
            <w:tcW w:w="1260" w:type="dxa"/>
            <w:shd w:val="clear" w:color="auto" w:fill="D9D9D9" w:themeFill="background1" w:themeFillShade="D9"/>
          </w:tcPr>
          <w:p w:rsidRPr="00BB7053" w:rsidR="00E62E62" w:rsidP="00E62E62" w:rsidRDefault="00E62E62" w14:paraId="11A3BCD3" w14:textId="22396F7C">
            <w:pPr>
              <w:tabs>
                <w:tab w:val="left" w:pos="6030"/>
              </w:tabs>
              <w:spacing w:line="276" w:lineRule="auto"/>
              <w:jc w:val="right"/>
              <w:rPr>
                <w:sz w:val="20"/>
                <w:szCs w:val="20"/>
              </w:rPr>
            </w:pPr>
            <w:r w:rsidRPr="00B7095A">
              <w:rPr>
                <w:sz w:val="20"/>
                <w:szCs w:val="20"/>
              </w:rPr>
              <w:t>No change</w:t>
            </w:r>
          </w:p>
        </w:tc>
      </w:tr>
    </w:tbl>
    <w:p w:rsidR="00885183" w:rsidP="00BB7053" w:rsidRDefault="00885183" w14:paraId="13A263E3" w14:textId="07D92E45">
      <w:pPr>
        <w:tabs>
          <w:tab w:val="left" w:pos="6030"/>
        </w:tabs>
        <w:spacing w:line="276" w:lineRule="auto"/>
        <w:jc w:val="both"/>
      </w:pPr>
    </w:p>
    <w:p w:rsidR="00885183" w:rsidP="006750AE" w:rsidRDefault="00885183" w14:paraId="7ECB9221" w14:textId="18B1644D">
      <w:pPr>
        <w:keepNext/>
        <w:keepLines/>
        <w:jc w:val="center"/>
        <w:rPr>
          <w:b/>
          <w:bCs/>
        </w:rPr>
      </w:pPr>
      <w:r w:rsidRPr="00B30713">
        <w:rPr>
          <w:rFonts w:eastAsia="Calibri"/>
          <w:b/>
          <w:bCs/>
        </w:rPr>
        <w:t xml:space="preserve">TABLE </w:t>
      </w:r>
      <w:r w:rsidR="00C1361E">
        <w:rPr>
          <w:rFonts w:eastAsia="Calibri"/>
          <w:b/>
          <w:bCs/>
        </w:rPr>
        <w:t>3</w:t>
      </w:r>
      <w:r w:rsidR="003562C1">
        <w:rPr>
          <w:rFonts w:eastAsia="Calibri"/>
          <w:b/>
          <w:bCs/>
        </w:rPr>
        <w:t>0</w:t>
      </w:r>
      <w:r w:rsidR="00543E10">
        <w:rPr>
          <w:rFonts w:eastAsia="Calibri"/>
          <w:b/>
          <w:bCs/>
        </w:rPr>
        <w:t>W</w:t>
      </w:r>
      <w:r w:rsidRPr="00B30713">
        <w:rPr>
          <w:rFonts w:eastAsia="Calibri"/>
          <w:b/>
          <w:bCs/>
        </w:rPr>
        <w:t xml:space="preserve">: Burden Reconciliation for </w:t>
      </w:r>
      <w:r w:rsidRPr="003C6CDD" w:rsidR="003C6CDD">
        <w:rPr>
          <w:rFonts w:eastAsia="Calibri"/>
          <w:b/>
          <w:bCs/>
        </w:rPr>
        <w:t xml:space="preserve">Voluntary Participants to Elect to </w:t>
      </w:r>
      <w:proofErr w:type="spellStart"/>
      <w:r w:rsidRPr="003C6CDD" w:rsidR="003C6CDD">
        <w:rPr>
          <w:rFonts w:eastAsia="Calibri"/>
          <w:b/>
          <w:bCs/>
        </w:rPr>
        <w:t>Opt</w:t>
      </w:r>
      <w:proofErr w:type="spellEnd"/>
      <w:r w:rsidRPr="003C6CDD" w:rsidR="003C6CDD">
        <w:rPr>
          <w:rFonts w:eastAsia="Calibri"/>
          <w:b/>
          <w:bCs/>
        </w:rPr>
        <w:t xml:space="preserve"> Out of Performance Data Display on Physician Compare</w:t>
      </w:r>
    </w:p>
    <w:tbl>
      <w:tblPr>
        <w:tblStyle w:val="TableGrid"/>
        <w:tblW w:w="9715" w:type="dxa"/>
        <w:tblLook w:val="04A0" w:firstRow="1" w:lastRow="0" w:firstColumn="1" w:lastColumn="0" w:noHBand="0" w:noVBand="1"/>
      </w:tblPr>
      <w:tblGrid>
        <w:gridCol w:w="1516"/>
        <w:gridCol w:w="1306"/>
        <w:gridCol w:w="1137"/>
        <w:gridCol w:w="1094"/>
        <w:gridCol w:w="1126"/>
        <w:gridCol w:w="1106"/>
        <w:gridCol w:w="1170"/>
        <w:gridCol w:w="1260"/>
      </w:tblGrid>
      <w:tr w:rsidR="0027634A" w:rsidTr="00223079" w14:paraId="6C7E2C5D" w14:textId="77777777">
        <w:trPr>
          <w:tblHeader/>
        </w:trPr>
        <w:tc>
          <w:tcPr>
            <w:tcW w:w="1516" w:type="dxa"/>
          </w:tcPr>
          <w:p w:rsidRPr="00173FA2" w:rsidR="00885183" w:rsidP="006750AE" w:rsidRDefault="00885183" w14:paraId="62B207E1"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6750AE" w:rsidRDefault="00885183" w14:paraId="62E5215F"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37" w:type="dxa"/>
          </w:tcPr>
          <w:p w:rsidRPr="00173FA2" w:rsidR="00885183" w:rsidP="006750AE" w:rsidRDefault="00885183" w14:paraId="0B3E232A"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6750AE" w:rsidRDefault="00885183" w14:paraId="69D7BA1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126" w:type="dxa"/>
          </w:tcPr>
          <w:p w:rsidRPr="00173FA2" w:rsidR="00885183" w:rsidP="006750AE" w:rsidRDefault="00885183" w14:paraId="140A7779" w14:textId="77777777">
            <w:pPr>
              <w:keepNext/>
              <w:keepLines/>
              <w:tabs>
                <w:tab w:val="left" w:pos="6030"/>
              </w:tabs>
              <w:spacing w:line="276" w:lineRule="auto"/>
              <w:rPr>
                <w:b/>
                <w:bCs/>
                <w:sz w:val="20"/>
                <w:szCs w:val="20"/>
              </w:rPr>
            </w:pPr>
            <w:r w:rsidRPr="00173FA2">
              <w:rPr>
                <w:b/>
                <w:bCs/>
                <w:sz w:val="20"/>
                <w:szCs w:val="20"/>
              </w:rPr>
              <w:t>Time Per Response (</w:t>
            </w:r>
            <w:proofErr w:type="spellStart"/>
            <w:r w:rsidRPr="00173FA2">
              <w:rPr>
                <w:b/>
                <w:bCs/>
                <w:sz w:val="20"/>
                <w:szCs w:val="20"/>
              </w:rPr>
              <w:t>hr</w:t>
            </w:r>
            <w:proofErr w:type="spellEnd"/>
            <w:r w:rsidRPr="00173FA2">
              <w:rPr>
                <w:b/>
                <w:bCs/>
                <w:sz w:val="20"/>
                <w:szCs w:val="20"/>
              </w:rPr>
              <w:t>)</w:t>
            </w:r>
          </w:p>
        </w:tc>
        <w:tc>
          <w:tcPr>
            <w:tcW w:w="1106" w:type="dxa"/>
          </w:tcPr>
          <w:p w:rsidRPr="00173FA2" w:rsidR="00885183" w:rsidP="006750AE" w:rsidRDefault="00885183" w14:paraId="70960724" w14:textId="77777777">
            <w:pPr>
              <w:keepNext/>
              <w:keepLines/>
              <w:tabs>
                <w:tab w:val="left" w:pos="6030"/>
              </w:tabs>
              <w:spacing w:line="276" w:lineRule="auto"/>
              <w:jc w:val="both"/>
              <w:rPr>
                <w:b/>
                <w:bCs/>
                <w:sz w:val="20"/>
                <w:szCs w:val="20"/>
              </w:rPr>
            </w:pPr>
            <w:r w:rsidRPr="00173FA2">
              <w:rPr>
                <w:b/>
                <w:bCs/>
                <w:sz w:val="20"/>
                <w:szCs w:val="20"/>
              </w:rPr>
              <w:t>Total Annual Time (</w:t>
            </w:r>
            <w:proofErr w:type="spellStart"/>
            <w:r w:rsidRPr="00173FA2">
              <w:rPr>
                <w:b/>
                <w:bCs/>
                <w:sz w:val="20"/>
                <w:szCs w:val="20"/>
              </w:rPr>
              <w:t>hr</w:t>
            </w:r>
            <w:proofErr w:type="spellEnd"/>
            <w:r w:rsidRPr="00173FA2">
              <w:rPr>
                <w:b/>
                <w:bCs/>
                <w:sz w:val="20"/>
                <w:szCs w:val="20"/>
              </w:rPr>
              <w:t>)</w:t>
            </w:r>
          </w:p>
        </w:tc>
        <w:tc>
          <w:tcPr>
            <w:tcW w:w="1170" w:type="dxa"/>
          </w:tcPr>
          <w:p w:rsidRPr="00173FA2" w:rsidR="00885183" w:rsidP="006750AE" w:rsidRDefault="00885183" w14:paraId="469CD408" w14:textId="77777777">
            <w:pPr>
              <w:keepNext/>
              <w:keepLines/>
              <w:tabs>
                <w:tab w:val="left" w:pos="6030"/>
              </w:tabs>
              <w:spacing w:line="276" w:lineRule="auto"/>
              <w:jc w:val="both"/>
              <w:rPr>
                <w:b/>
                <w:bCs/>
                <w:sz w:val="20"/>
                <w:szCs w:val="20"/>
              </w:rPr>
            </w:pPr>
            <w:r w:rsidRPr="00173FA2">
              <w:rPr>
                <w:b/>
                <w:bCs/>
                <w:sz w:val="20"/>
                <w:szCs w:val="20"/>
              </w:rPr>
              <w:t>Labor Cost ($/</w:t>
            </w:r>
            <w:proofErr w:type="spellStart"/>
            <w:r w:rsidRPr="00173FA2">
              <w:rPr>
                <w:b/>
                <w:bCs/>
                <w:sz w:val="20"/>
                <w:szCs w:val="20"/>
              </w:rPr>
              <w:t>hr</w:t>
            </w:r>
            <w:proofErr w:type="spellEnd"/>
            <w:r w:rsidRPr="00173FA2">
              <w:rPr>
                <w:b/>
                <w:bCs/>
                <w:sz w:val="20"/>
                <w:szCs w:val="20"/>
              </w:rPr>
              <w:t>)</w:t>
            </w:r>
          </w:p>
        </w:tc>
        <w:tc>
          <w:tcPr>
            <w:tcW w:w="1260" w:type="dxa"/>
          </w:tcPr>
          <w:p w:rsidRPr="00173FA2" w:rsidR="00885183" w:rsidP="006750AE" w:rsidRDefault="00885183" w14:paraId="097F1CBD" w14:textId="77777777">
            <w:pPr>
              <w:keepNext/>
              <w:keepLines/>
              <w:tabs>
                <w:tab w:val="left" w:pos="6030"/>
              </w:tabs>
              <w:spacing w:line="276" w:lineRule="auto"/>
              <w:rPr>
                <w:b/>
                <w:bCs/>
                <w:sz w:val="20"/>
                <w:szCs w:val="20"/>
              </w:rPr>
            </w:pPr>
            <w:r w:rsidRPr="00173FA2">
              <w:rPr>
                <w:b/>
                <w:bCs/>
                <w:sz w:val="20"/>
                <w:szCs w:val="20"/>
              </w:rPr>
              <w:t>Total Annual Cost ($)</w:t>
            </w:r>
          </w:p>
        </w:tc>
      </w:tr>
      <w:tr w:rsidR="0027634A" w:rsidTr="00223079" w14:paraId="2435C416" w14:textId="77777777">
        <w:tc>
          <w:tcPr>
            <w:tcW w:w="1516" w:type="dxa"/>
          </w:tcPr>
          <w:p w:rsidRPr="00BB7053" w:rsidR="00DD0D59" w:rsidP="006750AE" w:rsidRDefault="00DD0D59" w14:paraId="3F78E458" w14:textId="162232BE">
            <w:pPr>
              <w:keepNext/>
              <w:keepLines/>
              <w:tabs>
                <w:tab w:val="left" w:pos="6030"/>
              </w:tabs>
              <w:spacing w:line="276" w:lineRule="auto"/>
              <w:jc w:val="both"/>
              <w:rPr>
                <w:sz w:val="20"/>
                <w:szCs w:val="20"/>
              </w:rPr>
            </w:pPr>
            <w:r>
              <w:rPr>
                <w:sz w:val="20"/>
                <w:szCs w:val="20"/>
              </w:rPr>
              <w:t>Currently Approved</w:t>
            </w:r>
            <w:r w:rsidR="00CC5836">
              <w:rPr>
                <w:sz w:val="20"/>
                <w:szCs w:val="20"/>
              </w:rPr>
              <w:t xml:space="preserve"> </w:t>
            </w:r>
          </w:p>
        </w:tc>
        <w:tc>
          <w:tcPr>
            <w:tcW w:w="1306" w:type="dxa"/>
          </w:tcPr>
          <w:p w:rsidRPr="00BB7053" w:rsidR="00DD0D59" w:rsidP="006750AE" w:rsidRDefault="002A4AAB" w14:paraId="1BDCE7DA" w14:textId="04BC0E87">
            <w:pPr>
              <w:keepNext/>
              <w:keepLines/>
              <w:tabs>
                <w:tab w:val="left" w:pos="6030"/>
              </w:tabs>
              <w:spacing w:line="276" w:lineRule="auto"/>
              <w:jc w:val="right"/>
              <w:rPr>
                <w:sz w:val="20"/>
                <w:szCs w:val="20"/>
              </w:rPr>
            </w:pPr>
            <w:r>
              <w:rPr>
                <w:sz w:val="20"/>
                <w:szCs w:val="20"/>
              </w:rPr>
              <w:t>38</w:t>
            </w:r>
          </w:p>
        </w:tc>
        <w:tc>
          <w:tcPr>
            <w:tcW w:w="1137" w:type="dxa"/>
          </w:tcPr>
          <w:p w:rsidRPr="00BB7053" w:rsidR="00DD0D59" w:rsidP="006750AE" w:rsidRDefault="00DD0D59" w14:paraId="04B74E8C" w14:textId="1A542FD0">
            <w:pPr>
              <w:keepNext/>
              <w:keepLines/>
              <w:tabs>
                <w:tab w:val="left" w:pos="6030"/>
              </w:tabs>
              <w:spacing w:line="276" w:lineRule="auto"/>
              <w:jc w:val="right"/>
              <w:rPr>
                <w:sz w:val="20"/>
                <w:szCs w:val="20"/>
              </w:rPr>
            </w:pPr>
            <w:r>
              <w:rPr>
                <w:sz w:val="20"/>
                <w:szCs w:val="20"/>
              </w:rPr>
              <w:t>1</w:t>
            </w:r>
          </w:p>
        </w:tc>
        <w:tc>
          <w:tcPr>
            <w:tcW w:w="1094" w:type="dxa"/>
          </w:tcPr>
          <w:p w:rsidRPr="00BB7053" w:rsidR="00DD0D59" w:rsidP="006750AE" w:rsidRDefault="002A4AAB" w14:paraId="074CF4C1" w14:textId="5959D4A2">
            <w:pPr>
              <w:keepNext/>
              <w:keepLines/>
              <w:tabs>
                <w:tab w:val="left" w:pos="6030"/>
              </w:tabs>
              <w:spacing w:line="276" w:lineRule="auto"/>
              <w:jc w:val="right"/>
              <w:rPr>
                <w:sz w:val="20"/>
                <w:szCs w:val="20"/>
              </w:rPr>
            </w:pPr>
            <w:r>
              <w:rPr>
                <w:sz w:val="20"/>
                <w:szCs w:val="20"/>
              </w:rPr>
              <w:t>38</w:t>
            </w:r>
          </w:p>
        </w:tc>
        <w:tc>
          <w:tcPr>
            <w:tcW w:w="1126" w:type="dxa"/>
          </w:tcPr>
          <w:p w:rsidRPr="00BB7053" w:rsidR="00DD0D59" w:rsidP="006750AE" w:rsidRDefault="00DD0D59" w14:paraId="2E5643D1" w14:textId="56BD883A">
            <w:pPr>
              <w:keepNext/>
              <w:keepLines/>
              <w:tabs>
                <w:tab w:val="left" w:pos="6030"/>
              </w:tabs>
              <w:spacing w:line="276" w:lineRule="auto"/>
              <w:jc w:val="right"/>
              <w:rPr>
                <w:sz w:val="20"/>
                <w:szCs w:val="20"/>
              </w:rPr>
            </w:pPr>
            <w:r>
              <w:rPr>
                <w:sz w:val="20"/>
                <w:szCs w:val="20"/>
              </w:rPr>
              <w:t>0.25</w:t>
            </w:r>
          </w:p>
        </w:tc>
        <w:tc>
          <w:tcPr>
            <w:tcW w:w="1106" w:type="dxa"/>
          </w:tcPr>
          <w:p w:rsidRPr="00BB7053" w:rsidR="00DD0D59" w:rsidP="006750AE" w:rsidRDefault="00543E10" w14:paraId="3E746924" w14:textId="2274A930">
            <w:pPr>
              <w:keepNext/>
              <w:keepLines/>
              <w:tabs>
                <w:tab w:val="left" w:pos="6030"/>
              </w:tabs>
              <w:spacing w:line="276" w:lineRule="auto"/>
              <w:jc w:val="right"/>
              <w:rPr>
                <w:sz w:val="20"/>
                <w:szCs w:val="20"/>
              </w:rPr>
            </w:pPr>
            <w:r>
              <w:rPr>
                <w:sz w:val="20"/>
                <w:szCs w:val="20"/>
              </w:rPr>
              <w:t>10</w:t>
            </w:r>
          </w:p>
        </w:tc>
        <w:tc>
          <w:tcPr>
            <w:tcW w:w="1170" w:type="dxa"/>
          </w:tcPr>
          <w:p w:rsidRPr="00BB7053" w:rsidR="00DD0D59" w:rsidP="006750AE" w:rsidRDefault="00DD0D59" w14:paraId="12F2571C" w14:textId="2B26819A">
            <w:pPr>
              <w:keepNext/>
              <w:keepLines/>
              <w:tabs>
                <w:tab w:val="left" w:pos="6030"/>
              </w:tabs>
              <w:spacing w:line="276" w:lineRule="auto"/>
              <w:jc w:val="right"/>
              <w:rPr>
                <w:sz w:val="20"/>
                <w:szCs w:val="20"/>
              </w:rPr>
            </w:pPr>
            <w:r>
              <w:rPr>
                <w:sz w:val="20"/>
                <w:szCs w:val="20"/>
              </w:rPr>
              <w:t>9</w:t>
            </w:r>
            <w:r w:rsidR="0027634A">
              <w:rPr>
                <w:sz w:val="20"/>
                <w:szCs w:val="20"/>
              </w:rPr>
              <w:t>8</w:t>
            </w:r>
            <w:r w:rsidR="002A4AAB">
              <w:rPr>
                <w:sz w:val="20"/>
                <w:szCs w:val="20"/>
              </w:rPr>
              <w:t>.2</w:t>
            </w:r>
            <w:r w:rsidR="0027634A">
              <w:rPr>
                <w:sz w:val="20"/>
                <w:szCs w:val="20"/>
              </w:rPr>
              <w:t>8</w:t>
            </w:r>
          </w:p>
        </w:tc>
        <w:tc>
          <w:tcPr>
            <w:tcW w:w="1260" w:type="dxa"/>
          </w:tcPr>
          <w:p w:rsidRPr="00BB7053" w:rsidR="00DD0D59" w:rsidP="006750AE" w:rsidRDefault="0027634A" w14:paraId="76047628" w14:textId="7F46C888">
            <w:pPr>
              <w:keepNext/>
              <w:keepLines/>
              <w:tabs>
                <w:tab w:val="left" w:pos="6030"/>
              </w:tabs>
              <w:spacing w:line="276" w:lineRule="auto"/>
              <w:jc w:val="right"/>
              <w:rPr>
                <w:sz w:val="20"/>
                <w:szCs w:val="20"/>
              </w:rPr>
            </w:pPr>
            <w:r>
              <w:rPr>
                <w:sz w:val="20"/>
                <w:szCs w:val="20"/>
              </w:rPr>
              <w:t>983</w:t>
            </w:r>
          </w:p>
        </w:tc>
      </w:tr>
      <w:tr w:rsidR="0027634A" w:rsidTr="00223079" w14:paraId="5B1B0FDC" w14:textId="77777777">
        <w:tc>
          <w:tcPr>
            <w:tcW w:w="1516" w:type="dxa"/>
          </w:tcPr>
          <w:p w:rsidRPr="00BB7053" w:rsidR="00DD0D59" w:rsidP="00192E2E" w:rsidRDefault="00543E10" w14:paraId="3DB034AB" w14:textId="537D7EBA">
            <w:pPr>
              <w:keepNext/>
              <w:keepLines/>
              <w:tabs>
                <w:tab w:val="left" w:pos="6030"/>
              </w:tabs>
              <w:spacing w:line="276" w:lineRule="auto"/>
              <w:rPr>
                <w:sz w:val="20"/>
                <w:szCs w:val="20"/>
              </w:rPr>
            </w:pPr>
            <w:r>
              <w:rPr>
                <w:sz w:val="20"/>
                <w:szCs w:val="20"/>
              </w:rPr>
              <w:t>Propos</w:t>
            </w:r>
            <w:r w:rsidR="00F73C0A">
              <w:rPr>
                <w:sz w:val="20"/>
                <w:szCs w:val="20"/>
              </w:rPr>
              <w:t>ed</w:t>
            </w:r>
            <w:r w:rsidR="002A4AAB">
              <w:rPr>
                <w:sz w:val="20"/>
                <w:szCs w:val="20"/>
              </w:rPr>
              <w:t xml:space="preserve"> </w:t>
            </w:r>
            <w:r w:rsidRPr="00A67FD9" w:rsidR="00A67FD9">
              <w:rPr>
                <w:sz w:val="20"/>
                <w:szCs w:val="20"/>
              </w:rPr>
              <w:t xml:space="preserve">(See Table </w:t>
            </w:r>
            <w:r>
              <w:rPr>
                <w:sz w:val="20"/>
                <w:szCs w:val="20"/>
              </w:rPr>
              <w:t>26</w:t>
            </w:r>
            <w:r w:rsidRPr="00A67FD9" w:rsidR="00A67FD9">
              <w:rPr>
                <w:sz w:val="20"/>
                <w:szCs w:val="20"/>
              </w:rPr>
              <w:t>)</w:t>
            </w:r>
          </w:p>
        </w:tc>
        <w:tc>
          <w:tcPr>
            <w:tcW w:w="1306" w:type="dxa"/>
          </w:tcPr>
          <w:p w:rsidRPr="00BB7053" w:rsidR="00DD0D59" w:rsidP="006750AE" w:rsidRDefault="000C2D86" w14:paraId="2BE15233" w14:textId="60FAAD15">
            <w:pPr>
              <w:keepNext/>
              <w:keepLines/>
              <w:tabs>
                <w:tab w:val="left" w:pos="6030"/>
              </w:tabs>
              <w:spacing w:line="276" w:lineRule="auto"/>
              <w:jc w:val="right"/>
              <w:rPr>
                <w:sz w:val="20"/>
                <w:szCs w:val="20"/>
              </w:rPr>
            </w:pPr>
            <w:r>
              <w:rPr>
                <w:sz w:val="20"/>
                <w:szCs w:val="20"/>
              </w:rPr>
              <w:t>3</w:t>
            </w:r>
            <w:r w:rsidR="009A360C">
              <w:rPr>
                <w:sz w:val="20"/>
                <w:szCs w:val="20"/>
              </w:rPr>
              <w:t>8</w:t>
            </w:r>
          </w:p>
        </w:tc>
        <w:tc>
          <w:tcPr>
            <w:tcW w:w="1137" w:type="dxa"/>
          </w:tcPr>
          <w:p w:rsidRPr="00BB7053" w:rsidR="00DD0D59" w:rsidP="006750AE" w:rsidRDefault="00DD0D59" w14:paraId="7E1B2C57" w14:textId="0F3E89D6">
            <w:pPr>
              <w:keepNext/>
              <w:keepLines/>
              <w:tabs>
                <w:tab w:val="left" w:pos="6030"/>
              </w:tabs>
              <w:spacing w:line="276" w:lineRule="auto"/>
              <w:jc w:val="right"/>
              <w:rPr>
                <w:sz w:val="20"/>
                <w:szCs w:val="20"/>
              </w:rPr>
            </w:pPr>
            <w:r>
              <w:rPr>
                <w:sz w:val="20"/>
                <w:szCs w:val="20"/>
              </w:rPr>
              <w:t>1</w:t>
            </w:r>
          </w:p>
        </w:tc>
        <w:tc>
          <w:tcPr>
            <w:tcW w:w="1094" w:type="dxa"/>
          </w:tcPr>
          <w:p w:rsidRPr="00BB7053" w:rsidR="00DD0D59" w:rsidP="006750AE" w:rsidRDefault="000C2D86" w14:paraId="7381002F" w14:textId="0BCEE762">
            <w:pPr>
              <w:keepNext/>
              <w:keepLines/>
              <w:tabs>
                <w:tab w:val="left" w:pos="6030"/>
              </w:tabs>
              <w:spacing w:line="276" w:lineRule="auto"/>
              <w:jc w:val="right"/>
              <w:rPr>
                <w:sz w:val="20"/>
                <w:szCs w:val="20"/>
              </w:rPr>
            </w:pPr>
            <w:r>
              <w:rPr>
                <w:sz w:val="20"/>
                <w:szCs w:val="20"/>
              </w:rPr>
              <w:t>3</w:t>
            </w:r>
            <w:r w:rsidR="00691E9E">
              <w:rPr>
                <w:sz w:val="20"/>
                <w:szCs w:val="20"/>
              </w:rPr>
              <w:t>8</w:t>
            </w:r>
          </w:p>
        </w:tc>
        <w:tc>
          <w:tcPr>
            <w:tcW w:w="1126" w:type="dxa"/>
          </w:tcPr>
          <w:p w:rsidRPr="00BB7053" w:rsidR="00DD0D59" w:rsidP="006750AE" w:rsidRDefault="00DD0D59" w14:paraId="36F11192" w14:textId="08673B32">
            <w:pPr>
              <w:keepNext/>
              <w:keepLines/>
              <w:tabs>
                <w:tab w:val="left" w:pos="6030"/>
              </w:tabs>
              <w:spacing w:line="276" w:lineRule="auto"/>
              <w:jc w:val="right"/>
              <w:rPr>
                <w:sz w:val="20"/>
                <w:szCs w:val="20"/>
              </w:rPr>
            </w:pPr>
            <w:r>
              <w:rPr>
                <w:sz w:val="20"/>
                <w:szCs w:val="20"/>
              </w:rPr>
              <w:t>0.25</w:t>
            </w:r>
          </w:p>
        </w:tc>
        <w:tc>
          <w:tcPr>
            <w:tcW w:w="1106" w:type="dxa"/>
          </w:tcPr>
          <w:p w:rsidRPr="00BB7053" w:rsidR="00DD0D59" w:rsidP="006750AE" w:rsidRDefault="00941D87" w14:paraId="593BE9AD" w14:textId="57825896">
            <w:pPr>
              <w:keepNext/>
              <w:keepLines/>
              <w:tabs>
                <w:tab w:val="left" w:pos="6030"/>
              </w:tabs>
              <w:spacing w:line="276" w:lineRule="auto"/>
              <w:jc w:val="right"/>
              <w:rPr>
                <w:sz w:val="20"/>
                <w:szCs w:val="20"/>
              </w:rPr>
            </w:pPr>
            <w:r>
              <w:rPr>
                <w:sz w:val="20"/>
                <w:szCs w:val="20"/>
              </w:rPr>
              <w:t>10</w:t>
            </w:r>
          </w:p>
        </w:tc>
        <w:tc>
          <w:tcPr>
            <w:tcW w:w="1170" w:type="dxa"/>
          </w:tcPr>
          <w:p w:rsidRPr="00BB7053" w:rsidR="00DD0D59" w:rsidP="006750AE" w:rsidRDefault="00DD0D59" w14:paraId="6A80714E" w14:textId="387EA13E">
            <w:pPr>
              <w:keepNext/>
              <w:keepLines/>
              <w:tabs>
                <w:tab w:val="left" w:pos="6030"/>
              </w:tabs>
              <w:spacing w:line="276" w:lineRule="auto"/>
              <w:jc w:val="right"/>
              <w:rPr>
                <w:sz w:val="20"/>
                <w:szCs w:val="20"/>
              </w:rPr>
            </w:pPr>
            <w:r>
              <w:rPr>
                <w:sz w:val="20"/>
                <w:szCs w:val="20"/>
              </w:rPr>
              <w:t>9</w:t>
            </w:r>
            <w:r w:rsidR="0027634A">
              <w:rPr>
                <w:sz w:val="20"/>
                <w:szCs w:val="20"/>
              </w:rPr>
              <w:t>8</w:t>
            </w:r>
            <w:r w:rsidR="002A4AAB">
              <w:rPr>
                <w:sz w:val="20"/>
                <w:szCs w:val="20"/>
              </w:rPr>
              <w:t>.2</w:t>
            </w:r>
            <w:r w:rsidR="0027634A">
              <w:rPr>
                <w:sz w:val="20"/>
                <w:szCs w:val="20"/>
              </w:rPr>
              <w:t>8</w:t>
            </w:r>
          </w:p>
        </w:tc>
        <w:tc>
          <w:tcPr>
            <w:tcW w:w="1260" w:type="dxa"/>
          </w:tcPr>
          <w:p w:rsidRPr="00BB7053" w:rsidR="00DD0D59" w:rsidP="006750AE" w:rsidRDefault="0027634A" w14:paraId="5C87A6E9" w14:textId="30A7F6E7">
            <w:pPr>
              <w:keepNext/>
              <w:keepLines/>
              <w:tabs>
                <w:tab w:val="left" w:pos="6030"/>
              </w:tabs>
              <w:spacing w:line="276" w:lineRule="auto"/>
              <w:jc w:val="right"/>
              <w:rPr>
                <w:sz w:val="20"/>
                <w:szCs w:val="20"/>
              </w:rPr>
            </w:pPr>
            <w:r>
              <w:rPr>
                <w:sz w:val="20"/>
                <w:szCs w:val="20"/>
              </w:rPr>
              <w:t>983</w:t>
            </w:r>
          </w:p>
        </w:tc>
      </w:tr>
      <w:tr w:rsidR="0027634A" w:rsidTr="00223079" w14:paraId="62FD497D" w14:textId="77777777">
        <w:tc>
          <w:tcPr>
            <w:tcW w:w="1516" w:type="dxa"/>
            <w:shd w:val="clear" w:color="auto" w:fill="D9D9D9" w:themeFill="background1" w:themeFillShade="D9"/>
          </w:tcPr>
          <w:p w:rsidRPr="00BB7053" w:rsidR="00DD0D59" w:rsidP="006750AE" w:rsidRDefault="00DD0D59" w14:paraId="383C553F" w14:textId="77777777">
            <w:pPr>
              <w:keepNext/>
              <w:keepLines/>
              <w:tabs>
                <w:tab w:val="left" w:pos="6030"/>
              </w:tabs>
              <w:spacing w:line="276" w:lineRule="auto"/>
              <w:jc w:val="both"/>
              <w:rPr>
                <w:sz w:val="20"/>
                <w:szCs w:val="20"/>
              </w:rPr>
            </w:pPr>
            <w:r>
              <w:rPr>
                <w:sz w:val="20"/>
                <w:szCs w:val="20"/>
              </w:rPr>
              <w:t>Adjustment</w:t>
            </w:r>
          </w:p>
        </w:tc>
        <w:tc>
          <w:tcPr>
            <w:tcW w:w="1306" w:type="dxa"/>
            <w:shd w:val="clear" w:color="auto" w:fill="D9D9D9" w:themeFill="background1" w:themeFillShade="D9"/>
          </w:tcPr>
          <w:p w:rsidRPr="00BB7053" w:rsidR="00DD0D59" w:rsidP="006750AE" w:rsidRDefault="00543E10" w14:paraId="7D9F220E" w14:textId="417FB3F7">
            <w:pPr>
              <w:keepNext/>
              <w:keepLines/>
              <w:tabs>
                <w:tab w:val="left" w:pos="6030"/>
              </w:tabs>
              <w:spacing w:line="276" w:lineRule="auto"/>
              <w:jc w:val="right"/>
              <w:rPr>
                <w:sz w:val="20"/>
                <w:szCs w:val="20"/>
              </w:rPr>
            </w:pPr>
            <w:r>
              <w:rPr>
                <w:sz w:val="20"/>
                <w:szCs w:val="20"/>
              </w:rPr>
              <w:t>No change</w:t>
            </w:r>
          </w:p>
        </w:tc>
        <w:tc>
          <w:tcPr>
            <w:tcW w:w="1137" w:type="dxa"/>
            <w:shd w:val="clear" w:color="auto" w:fill="D9D9D9" w:themeFill="background1" w:themeFillShade="D9"/>
          </w:tcPr>
          <w:p w:rsidRPr="00BB7053" w:rsidR="00DD0D59" w:rsidP="006750AE" w:rsidRDefault="00DD0D59" w14:paraId="5CEA80EC" w14:textId="38883ECF">
            <w:pPr>
              <w:keepNext/>
              <w:keepLines/>
              <w:tabs>
                <w:tab w:val="left" w:pos="6030"/>
              </w:tabs>
              <w:spacing w:line="276" w:lineRule="auto"/>
              <w:jc w:val="right"/>
              <w:rPr>
                <w:sz w:val="20"/>
                <w:szCs w:val="20"/>
              </w:rPr>
            </w:pPr>
            <w:r>
              <w:rPr>
                <w:sz w:val="20"/>
                <w:szCs w:val="20"/>
              </w:rPr>
              <w:t>No change</w:t>
            </w:r>
          </w:p>
        </w:tc>
        <w:tc>
          <w:tcPr>
            <w:tcW w:w="1094" w:type="dxa"/>
            <w:shd w:val="clear" w:color="auto" w:fill="D9D9D9" w:themeFill="background1" w:themeFillShade="D9"/>
          </w:tcPr>
          <w:p w:rsidRPr="00BB7053" w:rsidR="00DD0D59" w:rsidP="006750AE" w:rsidRDefault="00543E10" w14:paraId="2B60D818" w14:textId="23C08EFD">
            <w:pPr>
              <w:keepNext/>
              <w:keepLines/>
              <w:tabs>
                <w:tab w:val="left" w:pos="6030"/>
              </w:tabs>
              <w:spacing w:line="276" w:lineRule="auto"/>
              <w:jc w:val="right"/>
              <w:rPr>
                <w:sz w:val="20"/>
                <w:szCs w:val="20"/>
              </w:rPr>
            </w:pPr>
            <w:r>
              <w:rPr>
                <w:sz w:val="20"/>
                <w:szCs w:val="20"/>
              </w:rPr>
              <w:t>No change</w:t>
            </w:r>
          </w:p>
        </w:tc>
        <w:tc>
          <w:tcPr>
            <w:tcW w:w="1126" w:type="dxa"/>
            <w:shd w:val="clear" w:color="auto" w:fill="D9D9D9" w:themeFill="background1" w:themeFillShade="D9"/>
          </w:tcPr>
          <w:p w:rsidRPr="00BB7053" w:rsidR="00DD0D59" w:rsidP="006750AE" w:rsidRDefault="00DD0D59" w14:paraId="3D4EDBF2" w14:textId="18953BE0">
            <w:pPr>
              <w:keepNext/>
              <w:keepLines/>
              <w:tabs>
                <w:tab w:val="left" w:pos="6030"/>
              </w:tabs>
              <w:spacing w:line="276" w:lineRule="auto"/>
              <w:jc w:val="right"/>
              <w:rPr>
                <w:sz w:val="20"/>
                <w:szCs w:val="20"/>
              </w:rPr>
            </w:pPr>
            <w:r>
              <w:rPr>
                <w:sz w:val="20"/>
                <w:szCs w:val="20"/>
              </w:rPr>
              <w:t>No change</w:t>
            </w:r>
          </w:p>
        </w:tc>
        <w:tc>
          <w:tcPr>
            <w:tcW w:w="1106" w:type="dxa"/>
            <w:shd w:val="clear" w:color="auto" w:fill="D9D9D9" w:themeFill="background1" w:themeFillShade="D9"/>
          </w:tcPr>
          <w:p w:rsidR="00D65EE7" w:rsidP="006750AE" w:rsidRDefault="00543E10" w14:paraId="2DB6EAE4" w14:textId="2D3A5481">
            <w:pPr>
              <w:keepNext/>
              <w:keepLines/>
              <w:tabs>
                <w:tab w:val="left" w:pos="6030"/>
              </w:tabs>
              <w:spacing w:line="276" w:lineRule="auto"/>
              <w:jc w:val="right"/>
              <w:rPr>
                <w:sz w:val="20"/>
                <w:szCs w:val="20"/>
              </w:rPr>
            </w:pPr>
            <w:r>
              <w:rPr>
                <w:sz w:val="20"/>
                <w:szCs w:val="20"/>
              </w:rPr>
              <w:t>No change</w:t>
            </w:r>
          </w:p>
          <w:p w:rsidRPr="00BB7053" w:rsidR="00DD0D59" w:rsidP="006750AE" w:rsidRDefault="00DD0D59" w14:paraId="1558BAD8" w14:textId="73E462F2">
            <w:pPr>
              <w:keepNext/>
              <w:keepLines/>
              <w:tabs>
                <w:tab w:val="left" w:pos="6030"/>
              </w:tabs>
              <w:spacing w:line="276" w:lineRule="auto"/>
              <w:jc w:val="right"/>
              <w:rPr>
                <w:sz w:val="20"/>
                <w:szCs w:val="20"/>
              </w:rPr>
            </w:pPr>
          </w:p>
        </w:tc>
        <w:tc>
          <w:tcPr>
            <w:tcW w:w="1170" w:type="dxa"/>
            <w:shd w:val="clear" w:color="auto" w:fill="D9D9D9" w:themeFill="background1" w:themeFillShade="D9"/>
          </w:tcPr>
          <w:p w:rsidRPr="00BB7053" w:rsidR="00DD0D59" w:rsidP="006750AE" w:rsidRDefault="00DD0D59" w14:paraId="0804A17A" w14:textId="66AAD49C">
            <w:pPr>
              <w:keepNext/>
              <w:keepLines/>
              <w:tabs>
                <w:tab w:val="left" w:pos="6030"/>
              </w:tabs>
              <w:spacing w:line="276" w:lineRule="auto"/>
              <w:jc w:val="right"/>
              <w:rPr>
                <w:sz w:val="20"/>
                <w:szCs w:val="20"/>
              </w:rPr>
            </w:pPr>
            <w:r>
              <w:rPr>
                <w:sz w:val="20"/>
                <w:szCs w:val="20"/>
              </w:rPr>
              <w:t>No change</w:t>
            </w:r>
          </w:p>
        </w:tc>
        <w:tc>
          <w:tcPr>
            <w:tcW w:w="1260" w:type="dxa"/>
            <w:shd w:val="clear" w:color="auto" w:fill="D9D9D9" w:themeFill="background1" w:themeFillShade="D9"/>
          </w:tcPr>
          <w:p w:rsidRPr="00BB7053" w:rsidR="00DD0D59" w:rsidP="006750AE" w:rsidRDefault="0027634A" w14:paraId="34B370DB" w14:textId="60D10E28">
            <w:pPr>
              <w:keepNext/>
              <w:keepLines/>
              <w:tabs>
                <w:tab w:val="left" w:pos="6030"/>
              </w:tabs>
              <w:spacing w:line="276" w:lineRule="auto"/>
              <w:jc w:val="right"/>
              <w:rPr>
                <w:sz w:val="20"/>
                <w:szCs w:val="20"/>
              </w:rPr>
            </w:pPr>
            <w:r>
              <w:rPr>
                <w:sz w:val="20"/>
                <w:szCs w:val="20"/>
              </w:rPr>
              <w:t>No change</w:t>
            </w:r>
          </w:p>
        </w:tc>
      </w:tr>
    </w:tbl>
    <w:p w:rsidRPr="00221441" w:rsidR="00221441" w:rsidP="00221441" w:rsidRDefault="00221441" w14:paraId="5C0BDA80" w14:textId="33A3CE42">
      <w:pPr>
        <w:tabs>
          <w:tab w:val="left" w:pos="6030"/>
        </w:tabs>
        <w:spacing w:after="0"/>
        <w:jc w:val="center"/>
        <w:rPr>
          <w:b/>
          <w:bCs/>
        </w:rPr>
      </w:pPr>
    </w:p>
    <w:p w:rsidR="00312E88" w:rsidP="00E12B53" w:rsidRDefault="00333EB4" w14:paraId="3F62561F" w14:textId="493A50AE">
      <w:r>
        <w:t xml:space="preserve">Table </w:t>
      </w:r>
      <w:r w:rsidR="006A371A">
        <w:t>3</w:t>
      </w:r>
      <w:r w:rsidR="002023D5">
        <w:t>1</w:t>
      </w:r>
      <w:r w:rsidRPr="00B67D9F">
        <w:t xml:space="preserve"> </w:t>
      </w:r>
      <w:r w:rsidRPr="0087020E" w:rsidR="0087020E">
        <w:t>provides the reasons for changes in the estimated burden for</w:t>
      </w:r>
      <w:r w:rsidR="00AC6E49">
        <w:t xml:space="preserve"> </w:t>
      </w:r>
      <w:r w:rsidR="002023D5">
        <w:t>proposed</w:t>
      </w:r>
      <w:r w:rsidR="00AC6E49">
        <w:t xml:space="preserve"> policies and</w:t>
      </w:r>
      <w:r w:rsidRPr="0087020E" w:rsidR="0087020E">
        <w:t xml:space="preserve"> information collections </w:t>
      </w:r>
      <w:r w:rsidR="00AC6E49">
        <w:t>for the CY 202</w:t>
      </w:r>
      <w:r w:rsidR="002023D5">
        <w:t>3</w:t>
      </w:r>
      <w:r w:rsidR="00AC6E49">
        <w:t xml:space="preserve"> performance period</w:t>
      </w:r>
      <w:r w:rsidR="009F7519">
        <w:t>/202</w:t>
      </w:r>
      <w:r w:rsidR="002023D5">
        <w:t>5</w:t>
      </w:r>
      <w:r w:rsidR="009F7519">
        <w:t xml:space="preserve"> MIPS payment year</w:t>
      </w:r>
      <w:r w:rsidR="00AC6E49">
        <w:t xml:space="preserve"> set forth </w:t>
      </w:r>
      <w:r w:rsidRPr="0087020E" w:rsidR="0087020E">
        <w:t xml:space="preserve">in </w:t>
      </w:r>
      <w:r w:rsidR="0071481A">
        <w:t>the CY 20</w:t>
      </w:r>
      <w:r w:rsidR="006A371A">
        <w:t>2</w:t>
      </w:r>
      <w:r w:rsidR="002023D5">
        <w:t>3</w:t>
      </w:r>
      <w:r w:rsidR="0071481A">
        <w:t xml:space="preserve"> </w:t>
      </w:r>
      <w:r w:rsidR="00D8477B">
        <w:t>PFS</w:t>
      </w:r>
      <w:r w:rsidR="00390730">
        <w:t xml:space="preserve"> </w:t>
      </w:r>
      <w:r w:rsidR="002023D5">
        <w:t>proposed</w:t>
      </w:r>
      <w:r w:rsidRPr="0087020E" w:rsidR="0087020E">
        <w:t xml:space="preserve"> rule.  We have divided the reasons for our change in burden into those related to new</w:t>
      </w:r>
      <w:r w:rsidR="002925DB">
        <w:t>ly</w:t>
      </w:r>
      <w:r w:rsidRPr="0087020E" w:rsidR="0087020E">
        <w:t xml:space="preserve"> </w:t>
      </w:r>
      <w:r w:rsidR="002023D5">
        <w:t>proposed</w:t>
      </w:r>
      <w:r w:rsidR="000429FC">
        <w:t xml:space="preserve"> </w:t>
      </w:r>
      <w:r w:rsidRPr="0087020E" w:rsidR="0087020E">
        <w:t xml:space="preserve">policies and those related </w:t>
      </w:r>
      <w:r w:rsidR="00022124">
        <w:t xml:space="preserve">to </w:t>
      </w:r>
      <w:r w:rsidR="00772D65">
        <w:t xml:space="preserve">updated data and </w:t>
      </w:r>
      <w:r w:rsidR="00C73182">
        <w:t>methods for</w:t>
      </w:r>
      <w:r w:rsidR="000429FC">
        <w:t xml:space="preserve"> the </w:t>
      </w:r>
      <w:r w:rsidR="00C73182">
        <w:t>CY 202</w:t>
      </w:r>
      <w:r w:rsidR="007B1FDA">
        <w:t>3</w:t>
      </w:r>
      <w:r w:rsidR="00C73182">
        <w:t xml:space="preserve"> performance period</w:t>
      </w:r>
      <w:r w:rsidR="009F7519">
        <w:t>/20</w:t>
      </w:r>
      <w:r w:rsidR="004D45DE">
        <w:t>2</w:t>
      </w:r>
      <w:r w:rsidR="007B1FDA">
        <w:t>5</w:t>
      </w:r>
      <w:r w:rsidR="004D45DE">
        <w:t xml:space="preserve"> MIPS payment year</w:t>
      </w:r>
      <w:r w:rsidR="002925DB">
        <w:t xml:space="preserve"> burden</w:t>
      </w:r>
      <w:r w:rsidR="00C73182">
        <w:t xml:space="preserve"> set forth in the CY 202</w:t>
      </w:r>
      <w:r w:rsidR="007B1FDA">
        <w:t>2</w:t>
      </w:r>
      <w:r w:rsidR="00C73182">
        <w:t xml:space="preserve"> PFS final rule</w:t>
      </w:r>
      <w:r w:rsidRPr="00B67D9F">
        <w:t xml:space="preserve">. </w:t>
      </w:r>
    </w:p>
    <w:p w:rsidRPr="00C47150" w:rsidR="00333EB4" w:rsidP="003A36EF" w:rsidRDefault="00333EB4" w14:paraId="39BD61DA" w14:textId="5CA6E7A6">
      <w:pPr>
        <w:keepNext/>
        <w:keepLines/>
        <w:jc w:val="center"/>
        <w:rPr>
          <w:b/>
          <w:bCs/>
        </w:rPr>
      </w:pPr>
      <w:r w:rsidRPr="00C47150">
        <w:rPr>
          <w:b/>
          <w:bCs/>
        </w:rPr>
        <w:t xml:space="preserve">TABLE </w:t>
      </w:r>
      <w:r w:rsidR="006A371A">
        <w:rPr>
          <w:b/>
          <w:bCs/>
        </w:rPr>
        <w:t>3</w:t>
      </w:r>
      <w:r w:rsidR="00E513E1">
        <w:rPr>
          <w:b/>
          <w:bCs/>
        </w:rPr>
        <w:t>1</w:t>
      </w:r>
      <w:r w:rsidRPr="00C47150">
        <w:rPr>
          <w:b/>
          <w:bCs/>
        </w:rPr>
        <w:t xml:space="preserve">: Reasons for Change in Burden Compared to the Currently Approved </w:t>
      </w:r>
      <w:r w:rsidRPr="00C47150">
        <w:rPr>
          <w:b/>
        </w:rPr>
        <w:br/>
      </w:r>
      <w:r w:rsidRPr="00C47150">
        <w:rPr>
          <w:b/>
          <w:bCs/>
        </w:rPr>
        <w:t>CY 20</w:t>
      </w:r>
      <w:r w:rsidR="00763E80">
        <w:rPr>
          <w:b/>
          <w:bCs/>
        </w:rPr>
        <w:t>2</w:t>
      </w:r>
      <w:r w:rsidR="006310AE">
        <w:rPr>
          <w:b/>
          <w:bCs/>
        </w:rPr>
        <w:t>3</w:t>
      </w:r>
      <w:r w:rsidRPr="00C47150">
        <w:rPr>
          <w:b/>
          <w:bCs/>
        </w:rPr>
        <w:t xml:space="preserve"> Information Collection Burdens</w:t>
      </w:r>
    </w:p>
    <w:tbl>
      <w:tblPr>
        <w:tblW w:w="9805" w:type="dxa"/>
        <w:tblLook w:val="04A0" w:firstRow="1" w:lastRow="0" w:firstColumn="1" w:lastColumn="0" w:noHBand="0" w:noVBand="1"/>
      </w:tblPr>
      <w:tblGrid>
        <w:gridCol w:w="2700"/>
        <w:gridCol w:w="2875"/>
        <w:gridCol w:w="4230"/>
      </w:tblGrid>
      <w:tr w:rsidRPr="00DE6979" w:rsidR="00333EB4" w:rsidTr="00EB5476" w14:paraId="1207708B" w14:textId="2E4A1B31">
        <w:trPr>
          <w:cantSplit/>
          <w:trHeight w:val="548"/>
          <w:tblHeader/>
        </w:trPr>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DE6979" w:rsidR="00333EB4" w:rsidP="00536031" w:rsidRDefault="00333EB4" w14:paraId="315FAB68" w14:textId="5EA6ABD5">
            <w:pPr>
              <w:keepNext/>
              <w:keepLines/>
              <w:spacing w:after="0"/>
              <w:rPr>
                <w:b/>
                <w:bCs/>
                <w:sz w:val="20"/>
                <w:szCs w:val="20"/>
              </w:rPr>
            </w:pPr>
            <w:r w:rsidRPr="00DE6979">
              <w:rPr>
                <w:b/>
                <w:bCs/>
                <w:sz w:val="20"/>
                <w:szCs w:val="20"/>
              </w:rPr>
              <w:t>Table in Collection of Information</w:t>
            </w:r>
          </w:p>
        </w:tc>
        <w:tc>
          <w:tcPr>
            <w:tcW w:w="2875" w:type="dxa"/>
            <w:tcBorders>
              <w:top w:val="single" w:color="auto" w:sz="4" w:space="0"/>
              <w:left w:val="nil"/>
              <w:bottom w:val="single" w:color="auto" w:sz="4" w:space="0"/>
              <w:right w:val="single" w:color="auto" w:sz="4" w:space="0"/>
            </w:tcBorders>
            <w:shd w:val="clear" w:color="auto" w:fill="auto"/>
            <w:hideMark/>
          </w:tcPr>
          <w:p w:rsidRPr="00DE6979" w:rsidR="00333EB4" w:rsidP="00536031" w:rsidRDefault="00333EB4" w14:paraId="3E3F8C00" w14:textId="76946997">
            <w:pPr>
              <w:keepNext/>
              <w:keepLines/>
              <w:spacing w:after="0"/>
              <w:rPr>
                <w:b/>
                <w:bCs/>
                <w:sz w:val="20"/>
                <w:szCs w:val="20"/>
              </w:rPr>
            </w:pPr>
            <w:r w:rsidRPr="00DE6979">
              <w:rPr>
                <w:b/>
                <w:bCs/>
                <w:sz w:val="20"/>
                <w:szCs w:val="20"/>
              </w:rPr>
              <w:t xml:space="preserve">Changes in burden due to </w:t>
            </w:r>
            <w:r w:rsidR="006310AE">
              <w:rPr>
                <w:b/>
                <w:bCs/>
                <w:sz w:val="20"/>
                <w:szCs w:val="20"/>
              </w:rPr>
              <w:t xml:space="preserve">proposed </w:t>
            </w:r>
            <w:r w:rsidRPr="00155BDA" w:rsidR="00155BDA">
              <w:rPr>
                <w:b/>
                <w:bCs/>
                <w:sz w:val="20"/>
                <w:szCs w:val="20"/>
              </w:rPr>
              <w:t>CY 202</w:t>
            </w:r>
            <w:r w:rsidR="006310AE">
              <w:rPr>
                <w:b/>
                <w:bCs/>
                <w:sz w:val="20"/>
                <w:szCs w:val="20"/>
              </w:rPr>
              <w:t>3</w:t>
            </w:r>
            <w:r w:rsidRPr="00DE6979">
              <w:rPr>
                <w:b/>
                <w:bCs/>
                <w:sz w:val="20"/>
                <w:szCs w:val="20"/>
              </w:rPr>
              <w:t xml:space="preserve"> policies</w:t>
            </w:r>
          </w:p>
        </w:tc>
        <w:tc>
          <w:tcPr>
            <w:tcW w:w="4230" w:type="dxa"/>
            <w:tcBorders>
              <w:top w:val="single" w:color="auto" w:sz="4" w:space="0"/>
              <w:left w:val="nil"/>
              <w:bottom w:val="single" w:color="auto" w:sz="4" w:space="0"/>
              <w:right w:val="single" w:color="auto" w:sz="4" w:space="0"/>
            </w:tcBorders>
            <w:shd w:val="clear" w:color="auto" w:fill="auto"/>
            <w:hideMark/>
          </w:tcPr>
          <w:p w:rsidRPr="00DE6979" w:rsidR="00333EB4" w:rsidP="00751145" w:rsidRDefault="004952A9" w14:paraId="26EA9FF6" w14:textId="19F3BD24">
            <w:pPr>
              <w:keepNext/>
              <w:keepLines/>
              <w:spacing w:after="0"/>
              <w:rPr>
                <w:b/>
                <w:bCs/>
                <w:sz w:val="20"/>
                <w:szCs w:val="20"/>
              </w:rPr>
            </w:pPr>
            <w:r w:rsidRPr="00356D13">
              <w:rPr>
                <w:b/>
                <w:bCs/>
                <w:color w:val="000000" w:themeColor="text1"/>
                <w:sz w:val="20"/>
                <w:szCs w:val="20"/>
              </w:rPr>
              <w:t>Proposed Adjustments in burden continued from CY 2022 PFS</w:t>
            </w:r>
            <w:r w:rsidRPr="00356D13">
              <w:rPr>
                <w:color w:val="000000" w:themeColor="text1"/>
                <w:sz w:val="20"/>
                <w:szCs w:val="20"/>
              </w:rPr>
              <w:t xml:space="preserve"> f</w:t>
            </w:r>
            <w:r w:rsidRPr="00356D13">
              <w:rPr>
                <w:b/>
                <w:bCs/>
                <w:color w:val="000000" w:themeColor="text1"/>
                <w:sz w:val="20"/>
                <w:szCs w:val="20"/>
              </w:rPr>
              <w:t>inal rule policies due to revised methods or updated data</w:t>
            </w:r>
          </w:p>
        </w:tc>
      </w:tr>
      <w:tr w:rsidRPr="00DE6979" w:rsidR="003C7350" w:rsidTr="00D26368" w14:paraId="20BB2516" w14:textId="7BA7372A">
        <w:trPr>
          <w:cantSplit/>
          <w:trHeight w:val="566"/>
        </w:trPr>
        <w:tc>
          <w:tcPr>
            <w:tcW w:w="2700" w:type="dxa"/>
            <w:tcBorders>
              <w:top w:val="nil"/>
              <w:left w:val="single" w:color="auto" w:sz="4" w:space="0"/>
              <w:bottom w:val="single" w:color="auto" w:sz="4" w:space="0"/>
              <w:right w:val="single" w:color="auto" w:sz="4" w:space="0"/>
            </w:tcBorders>
            <w:shd w:val="clear" w:color="auto" w:fill="auto"/>
            <w:hideMark/>
          </w:tcPr>
          <w:p w:rsidRPr="00DE6979" w:rsidR="003C7350" w:rsidP="003C7350" w:rsidRDefault="003C7350" w14:paraId="15854D25" w14:textId="582DFFEE">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hideMark/>
          </w:tcPr>
          <w:p w:rsidR="00820D58" w:rsidP="00AF22E4" w:rsidRDefault="00663387" w14:paraId="122B4F66" w14:textId="508642D5">
            <w:pPr>
              <w:keepNext/>
              <w:keepLines/>
              <w:widowControl w:val="0"/>
              <w:spacing w:after="0"/>
              <w:rPr>
                <w:rFonts w:eastAsia="Calibri"/>
                <w:sz w:val="20"/>
                <w:szCs w:val="20"/>
              </w:rPr>
            </w:pPr>
            <w:r>
              <w:rPr>
                <w:rFonts w:eastAsia="Calibri"/>
                <w:sz w:val="20"/>
                <w:szCs w:val="20"/>
              </w:rPr>
              <w:t>None</w:t>
            </w:r>
          </w:p>
          <w:p w:rsidRPr="00DE6979" w:rsidR="003C7350" w:rsidP="003C7350" w:rsidRDefault="003C7350" w14:paraId="35ED337F" w14:textId="474D7D04">
            <w:pPr>
              <w:spacing w:after="0"/>
              <w:rPr>
                <w:sz w:val="20"/>
                <w:szCs w:val="20"/>
              </w:rPr>
            </w:pPr>
          </w:p>
        </w:tc>
        <w:tc>
          <w:tcPr>
            <w:tcW w:w="4230" w:type="dxa"/>
            <w:tcBorders>
              <w:top w:val="nil"/>
              <w:left w:val="nil"/>
              <w:bottom w:val="single" w:color="auto" w:sz="4" w:space="0"/>
              <w:right w:val="single" w:color="auto" w:sz="4" w:space="0"/>
            </w:tcBorders>
            <w:shd w:val="clear" w:color="auto" w:fill="auto"/>
            <w:hideMark/>
          </w:tcPr>
          <w:p w:rsidRPr="00663387" w:rsidR="00663387" w:rsidP="00663387" w:rsidRDefault="00663387" w14:paraId="32BD9F06" w14:textId="77777777">
            <w:pPr>
              <w:spacing w:after="0"/>
              <w:rPr>
                <w:rFonts w:eastAsia="Calibri"/>
                <w:sz w:val="20"/>
                <w:szCs w:val="20"/>
              </w:rPr>
            </w:pPr>
            <w:r w:rsidRPr="00663387">
              <w:rPr>
                <w:rFonts w:eastAsia="Calibri"/>
                <w:sz w:val="20"/>
                <w:szCs w:val="20"/>
              </w:rPr>
              <w:t>Increase in number of respondents due to updated assumptions.</w:t>
            </w:r>
          </w:p>
          <w:p w:rsidRPr="00DE6979" w:rsidR="003C7350" w:rsidP="00663387" w:rsidRDefault="00663387" w14:paraId="7C31E214" w14:textId="389A77E9">
            <w:pPr>
              <w:spacing w:after="0"/>
              <w:rPr>
                <w:i/>
                <w:iCs/>
                <w:sz w:val="20"/>
                <w:szCs w:val="20"/>
              </w:rPr>
            </w:pPr>
            <w:r w:rsidRPr="00663387">
              <w:rPr>
                <w:rFonts w:eastAsia="Calibri"/>
                <w:sz w:val="20"/>
                <w:szCs w:val="20"/>
              </w:rPr>
              <w:t>Decrease in the total number of hours due to restructuring the ICR.</w:t>
            </w:r>
          </w:p>
        </w:tc>
      </w:tr>
      <w:tr w:rsidRPr="00DE6979" w:rsidR="00AD58E6" w:rsidTr="00D26368" w14:paraId="1A498568" w14:textId="4709166E">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AD58E6" w:rsidP="00AD58E6" w:rsidRDefault="00AD58E6" w14:paraId="468A6E5F" w14:textId="5D0BB85C">
            <w:pPr>
              <w:spacing w:after="0"/>
              <w:rPr>
                <w:sz w:val="20"/>
                <w:szCs w:val="20"/>
              </w:rPr>
            </w:pPr>
            <w:r w:rsidRPr="00DE6979">
              <w:rPr>
                <w:sz w:val="20"/>
                <w:szCs w:val="20"/>
              </w:rPr>
              <w:t xml:space="preserve">Table </w:t>
            </w:r>
            <w:r>
              <w:rPr>
                <w:sz w:val="20"/>
                <w:szCs w:val="20"/>
              </w:rPr>
              <w:t>4</w:t>
            </w:r>
            <w:r w:rsidRPr="00DE6979">
              <w:rPr>
                <w:sz w:val="20"/>
                <w:szCs w:val="20"/>
              </w:rPr>
              <w:t>: QCDR Self-Nomination</w:t>
            </w:r>
            <w:r>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tcPr>
          <w:p w:rsidRPr="005D14D3" w:rsidR="00AD58E6" w:rsidP="00133ED6" w:rsidRDefault="00886E2A" w14:paraId="47B900E3" w14:textId="674AD10E">
            <w:pPr>
              <w:spacing w:after="0"/>
              <w:rPr>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886E2A" w:rsidR="00886E2A" w:rsidP="00886E2A" w:rsidRDefault="00886E2A" w14:paraId="3AC8C1DD" w14:textId="77777777">
            <w:pPr>
              <w:spacing w:after="0"/>
              <w:rPr>
                <w:rFonts w:eastAsia="Calibri"/>
                <w:sz w:val="20"/>
                <w:szCs w:val="20"/>
              </w:rPr>
            </w:pPr>
            <w:r w:rsidRPr="00886E2A">
              <w:rPr>
                <w:rFonts w:eastAsia="Calibri"/>
                <w:sz w:val="20"/>
                <w:szCs w:val="20"/>
              </w:rPr>
              <w:t>Increase in number of respondents due to updated assumptions.</w:t>
            </w:r>
          </w:p>
          <w:p w:rsidRPr="00DE6979" w:rsidR="00AD58E6" w:rsidP="00886E2A" w:rsidRDefault="00886E2A" w14:paraId="22CC7FA4" w14:textId="3C42E6AB">
            <w:pPr>
              <w:spacing w:after="0"/>
              <w:rPr>
                <w:sz w:val="20"/>
                <w:szCs w:val="20"/>
              </w:rPr>
            </w:pPr>
            <w:r w:rsidRPr="00886E2A">
              <w:rPr>
                <w:rFonts w:eastAsia="Calibri"/>
                <w:sz w:val="20"/>
                <w:szCs w:val="20"/>
              </w:rPr>
              <w:t>Decrease in the total number of hours due to restructuring the ICR.</w:t>
            </w:r>
          </w:p>
        </w:tc>
      </w:tr>
      <w:tr w:rsidRPr="00DE6979" w:rsidR="00836574" w:rsidTr="00223079" w14:paraId="3A4563CD" w14:textId="77777777">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00836574" w:rsidP="00836574" w:rsidRDefault="00497244" w14:paraId="31782520" w14:textId="0925008D">
            <w:pPr>
              <w:spacing w:after="0"/>
              <w:rPr>
                <w:rFonts w:eastAsia="Calibri"/>
                <w:sz w:val="20"/>
                <w:szCs w:val="20"/>
              </w:rPr>
            </w:pPr>
            <w:r>
              <w:rPr>
                <w:color w:val="000000" w:themeColor="text1"/>
                <w:sz w:val="20"/>
                <w:szCs w:val="20"/>
              </w:rPr>
              <w:t xml:space="preserve">Table 6: </w:t>
            </w:r>
            <w:r w:rsidRPr="00356D13" w:rsidR="00836574">
              <w:rPr>
                <w:color w:val="000000" w:themeColor="text1"/>
                <w:sz w:val="20"/>
                <w:szCs w:val="20"/>
              </w:rPr>
              <w:t>Third Party Intermediary Plan Audits</w:t>
            </w:r>
          </w:p>
        </w:tc>
        <w:tc>
          <w:tcPr>
            <w:tcW w:w="2875" w:type="dxa"/>
            <w:tcBorders>
              <w:top w:val="nil"/>
              <w:left w:val="nil"/>
              <w:bottom w:val="single" w:color="auto" w:sz="4" w:space="0"/>
              <w:right w:val="single" w:color="auto" w:sz="4" w:space="0"/>
            </w:tcBorders>
            <w:shd w:val="clear" w:color="auto" w:fill="auto"/>
            <w:vAlign w:val="center"/>
          </w:tcPr>
          <w:p w:rsidR="00836574" w:rsidP="00836574" w:rsidRDefault="00497244" w14:paraId="693505AE" w14:textId="6D980D21">
            <w:pPr>
              <w:spacing w:after="0"/>
              <w:rPr>
                <w:rFonts w:eastAsia="Calibri"/>
                <w:sz w:val="20"/>
                <w:szCs w:val="20"/>
              </w:rPr>
            </w:pPr>
            <w:r>
              <w:rPr>
                <w:color w:val="000000" w:themeColor="text1"/>
                <w:sz w:val="20"/>
                <w:szCs w:val="20"/>
              </w:rPr>
              <w:t>None</w:t>
            </w:r>
          </w:p>
        </w:tc>
        <w:tc>
          <w:tcPr>
            <w:tcW w:w="4230" w:type="dxa"/>
            <w:tcBorders>
              <w:top w:val="nil"/>
              <w:left w:val="nil"/>
              <w:bottom w:val="single" w:color="auto" w:sz="4" w:space="0"/>
              <w:right w:val="single" w:color="auto" w:sz="4" w:space="0"/>
            </w:tcBorders>
            <w:shd w:val="clear" w:color="auto" w:fill="auto"/>
            <w:vAlign w:val="center"/>
          </w:tcPr>
          <w:p w:rsidR="00836574" w:rsidP="00836574" w:rsidRDefault="00836574" w14:paraId="3227C1DF" w14:textId="78275B7D">
            <w:pPr>
              <w:spacing w:after="0"/>
              <w:rPr>
                <w:rFonts w:eastAsia="Calibri"/>
                <w:sz w:val="20"/>
                <w:szCs w:val="20"/>
              </w:rPr>
            </w:pPr>
            <w:r w:rsidRPr="00356D13">
              <w:rPr>
                <w:color w:val="000000" w:themeColor="text1"/>
                <w:sz w:val="20"/>
                <w:szCs w:val="20"/>
              </w:rPr>
              <w:t>New ICR. Increase in number of respondents and hours due to restructuring the burden for third party intermediaries to submit a targeted audit, CAP, transition plan, or a participation plan.</w:t>
            </w:r>
          </w:p>
        </w:tc>
      </w:tr>
      <w:tr w:rsidRPr="00DE6979" w:rsidR="00836574" w:rsidTr="00D26368" w14:paraId="78B1508F" w14:textId="77777777">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836574" w:rsidP="00836574" w:rsidRDefault="00836574" w14:paraId="7E52E10D" w14:textId="7D3C911D">
            <w:pPr>
              <w:spacing w:after="0"/>
              <w:rPr>
                <w:sz w:val="20"/>
                <w:szCs w:val="20"/>
              </w:rPr>
            </w:pPr>
            <w:r>
              <w:rPr>
                <w:rFonts w:eastAsia="Calibri"/>
                <w:sz w:val="20"/>
                <w:szCs w:val="20"/>
              </w:rPr>
              <w:lastRenderedPageBreak/>
              <w:t xml:space="preserve">Table </w:t>
            </w:r>
            <w:r w:rsidR="00497244">
              <w:rPr>
                <w:rFonts w:eastAsia="Calibri"/>
                <w:sz w:val="20"/>
                <w:szCs w:val="20"/>
              </w:rPr>
              <w:t>7</w:t>
            </w:r>
            <w:r>
              <w:rPr>
                <w:rFonts w:eastAsia="Calibri"/>
                <w:sz w:val="20"/>
                <w:szCs w:val="20"/>
              </w:rPr>
              <w:t>:</w:t>
            </w:r>
            <w:r w:rsidRPr="00927D80">
              <w:rPr>
                <w:rFonts w:eastAsia="Calibri"/>
                <w:sz w:val="20"/>
                <w:szCs w:val="20"/>
              </w:rPr>
              <w:t xml:space="preserve"> Open Authorization Credentialing and Token Request Process</w:t>
            </w:r>
          </w:p>
        </w:tc>
        <w:tc>
          <w:tcPr>
            <w:tcW w:w="2875" w:type="dxa"/>
            <w:tcBorders>
              <w:top w:val="nil"/>
              <w:left w:val="nil"/>
              <w:bottom w:val="single" w:color="auto" w:sz="4" w:space="0"/>
              <w:right w:val="single" w:color="auto" w:sz="4" w:space="0"/>
            </w:tcBorders>
            <w:shd w:val="clear" w:color="auto" w:fill="auto"/>
          </w:tcPr>
          <w:p w:rsidRPr="003428D4" w:rsidR="00836574" w:rsidP="00836574" w:rsidRDefault="00836574" w14:paraId="4C90B83E" w14:textId="3ECB57B4">
            <w:pPr>
              <w:spacing w:after="0"/>
              <w:rPr>
                <w:rFonts w:eastAsia="Calibri"/>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B05DA4" w:rsidR="00836574" w:rsidP="00836574" w:rsidRDefault="00D16125" w14:paraId="66F8FA90" w14:textId="1797F58E">
            <w:pPr>
              <w:spacing w:after="0"/>
              <w:rPr>
                <w:rFonts w:eastAsia="Calibri"/>
                <w:iCs/>
                <w:sz w:val="20"/>
                <w:szCs w:val="20"/>
              </w:rPr>
            </w:pPr>
            <w:r w:rsidRPr="00D16125">
              <w:rPr>
                <w:rFonts w:eastAsia="Calibri"/>
                <w:sz w:val="20"/>
                <w:szCs w:val="20"/>
              </w:rPr>
              <w:t>Increase in the number of hours due to changes in administrative workflow for the application process.</w:t>
            </w:r>
          </w:p>
        </w:tc>
      </w:tr>
      <w:tr w:rsidRPr="00DE6979" w:rsidR="00836574" w:rsidTr="00D26368" w14:paraId="3509AB2E" w14:textId="4EF8252A">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836574" w:rsidP="00836574" w:rsidRDefault="00836574" w14:paraId="7A86D0D0" w14:textId="3BB41158">
            <w:pPr>
              <w:spacing w:after="0"/>
              <w:rPr>
                <w:sz w:val="20"/>
                <w:szCs w:val="20"/>
              </w:rPr>
            </w:pPr>
            <w:r w:rsidRPr="00DE6979">
              <w:rPr>
                <w:sz w:val="20"/>
                <w:szCs w:val="20"/>
              </w:rPr>
              <w:t xml:space="preserve">Table </w:t>
            </w:r>
            <w:r w:rsidR="003D3586">
              <w:rPr>
                <w:sz w:val="20"/>
                <w:szCs w:val="20"/>
              </w:rPr>
              <w:t>8</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color="auto" w:sz="4" w:space="0"/>
              <w:right w:val="single" w:color="auto" w:sz="4" w:space="0"/>
            </w:tcBorders>
            <w:shd w:val="clear" w:color="auto" w:fill="auto"/>
          </w:tcPr>
          <w:p w:rsidRPr="00DE6979" w:rsidR="00836574" w:rsidP="00836574" w:rsidRDefault="00836574" w14:paraId="2105BBFE" w14:textId="02A79504">
            <w:pPr>
              <w:spacing w:after="0"/>
              <w:rPr>
                <w:sz w:val="20"/>
                <w:szCs w:val="20"/>
              </w:rPr>
            </w:pPr>
            <w:r w:rsidRPr="003428D4">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B05DA4" w:rsidR="00836574" w:rsidP="00836574" w:rsidRDefault="004A0D03" w14:paraId="7409BFA2" w14:textId="060A1EC2">
            <w:pPr>
              <w:spacing w:after="0"/>
              <w:rPr>
                <w:iCs/>
                <w:sz w:val="20"/>
                <w:szCs w:val="20"/>
              </w:rPr>
            </w:pPr>
            <w:r w:rsidRPr="004A0D03">
              <w:rPr>
                <w:rFonts w:eastAsia="Calibri"/>
                <w:iCs/>
                <w:sz w:val="20"/>
                <w:szCs w:val="20"/>
              </w:rPr>
              <w:t>Increase in number of respondents due to updated projections for the CY 2023 performance period/2025 MIPS payment year.</w:t>
            </w:r>
          </w:p>
        </w:tc>
      </w:tr>
      <w:tr w:rsidRPr="00DE6979" w:rsidR="00836574" w:rsidTr="00D26368" w14:paraId="7EF4464C" w14:textId="258D277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836574" w:rsidP="00836574" w:rsidRDefault="00836574" w14:paraId="4EF8CAF8" w14:textId="4D4ABE62">
            <w:pPr>
              <w:spacing w:after="0"/>
              <w:rPr>
                <w:sz w:val="20"/>
                <w:szCs w:val="20"/>
              </w:rPr>
            </w:pPr>
            <w:r w:rsidRPr="00DE6979">
              <w:rPr>
                <w:sz w:val="20"/>
                <w:szCs w:val="20"/>
              </w:rPr>
              <w:t xml:space="preserve">Table </w:t>
            </w:r>
            <w:r w:rsidR="000867B5">
              <w:rPr>
                <w:sz w:val="20"/>
                <w:szCs w:val="20"/>
              </w:rPr>
              <w:t>9</w:t>
            </w:r>
            <w:r w:rsidRPr="00DE6979">
              <w:rPr>
                <w:sz w:val="20"/>
                <w:szCs w:val="20"/>
              </w:rPr>
              <w:t xml:space="preserve">: Quality Performance Category Claims Collection Type </w:t>
            </w:r>
          </w:p>
        </w:tc>
        <w:tc>
          <w:tcPr>
            <w:tcW w:w="2875" w:type="dxa"/>
            <w:tcBorders>
              <w:top w:val="nil"/>
              <w:left w:val="nil"/>
              <w:bottom w:val="single" w:color="auto" w:sz="4" w:space="0"/>
              <w:right w:val="single" w:color="auto" w:sz="4" w:space="0"/>
            </w:tcBorders>
            <w:shd w:val="clear" w:color="auto" w:fill="auto"/>
          </w:tcPr>
          <w:p w:rsidRPr="00DE6979" w:rsidR="00836574" w:rsidP="00836574" w:rsidRDefault="00653988" w14:paraId="398F5BF8" w14:textId="4776A180">
            <w:pPr>
              <w:spacing w:after="0"/>
              <w:rPr>
                <w:sz w:val="20"/>
                <w:szCs w:val="20"/>
              </w:rPr>
            </w:pPr>
            <w:r w:rsidRPr="00653988">
              <w:rPr>
                <w:rFonts w:eastAsia="Calibri"/>
                <w:sz w:val="20"/>
                <w:szCs w:val="20"/>
              </w:rPr>
              <w:t>Decrease in number of respondents due to the proposed increase in the number of respondents submitting for the MVP quality performance category via the claims collection type.</w:t>
            </w:r>
          </w:p>
        </w:tc>
        <w:tc>
          <w:tcPr>
            <w:tcW w:w="4230" w:type="dxa"/>
            <w:tcBorders>
              <w:top w:val="nil"/>
              <w:left w:val="nil"/>
              <w:bottom w:val="single" w:color="auto" w:sz="4" w:space="0"/>
              <w:right w:val="single" w:color="auto" w:sz="4" w:space="0"/>
            </w:tcBorders>
            <w:shd w:val="clear" w:color="auto" w:fill="auto"/>
          </w:tcPr>
          <w:p w:rsidRPr="00DE6979" w:rsidR="00836574" w:rsidP="00836574" w:rsidRDefault="000B10AA" w14:paraId="53690511" w14:textId="2D1E748E">
            <w:pPr>
              <w:spacing w:after="0"/>
              <w:rPr>
                <w:i/>
                <w:iCs/>
                <w:sz w:val="20"/>
                <w:szCs w:val="20"/>
              </w:rPr>
            </w:pPr>
            <w:r w:rsidRPr="000B10AA">
              <w:rPr>
                <w:rFonts w:eastAsia="Calibri"/>
                <w:sz w:val="20"/>
                <w:szCs w:val="20"/>
              </w:rPr>
              <w:t>Increase in number of respondents due to updated projections for the CY 2023 performance period/2025 MIPS payment year.</w:t>
            </w:r>
          </w:p>
        </w:tc>
      </w:tr>
      <w:tr w:rsidRPr="00DE6979" w:rsidR="00836574" w:rsidTr="00D26368" w14:paraId="6F1327E3" w14:textId="4A7A5DE2">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836574" w:rsidP="00836574" w:rsidRDefault="00836574" w14:paraId="7C39CBBD" w14:textId="046A4940">
            <w:pPr>
              <w:spacing w:after="0"/>
              <w:rPr>
                <w:sz w:val="20"/>
                <w:szCs w:val="20"/>
              </w:rPr>
            </w:pPr>
            <w:r w:rsidRPr="00DE6979">
              <w:rPr>
                <w:sz w:val="20"/>
                <w:szCs w:val="20"/>
              </w:rPr>
              <w:t xml:space="preserve">Table </w:t>
            </w:r>
            <w:r w:rsidR="000867B5">
              <w:rPr>
                <w:sz w:val="20"/>
                <w:szCs w:val="20"/>
              </w:rPr>
              <w:t>10</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color="auto" w:sz="4" w:space="0"/>
              <w:right w:val="single" w:color="auto" w:sz="4" w:space="0"/>
            </w:tcBorders>
            <w:shd w:val="clear" w:color="auto" w:fill="auto"/>
          </w:tcPr>
          <w:p w:rsidRPr="00DE6979" w:rsidR="00836574" w:rsidP="00836574" w:rsidRDefault="007323D1" w14:paraId="504A14DC" w14:textId="7E43A913">
            <w:pPr>
              <w:spacing w:after="0"/>
              <w:rPr>
                <w:sz w:val="20"/>
                <w:szCs w:val="20"/>
              </w:rPr>
            </w:pPr>
            <w:r w:rsidRPr="007323D1">
              <w:rPr>
                <w:rFonts w:eastAsia="Calibri"/>
                <w:sz w:val="20"/>
                <w:szCs w:val="20"/>
              </w:rPr>
              <w:t>Decrease in number of respondents due to the proposed increase in the number of respondents submitting for the MVP quality performance category via the QCDR and MIPS CQM collection type.</w:t>
            </w:r>
          </w:p>
        </w:tc>
        <w:tc>
          <w:tcPr>
            <w:tcW w:w="4230" w:type="dxa"/>
            <w:tcBorders>
              <w:top w:val="nil"/>
              <w:left w:val="nil"/>
              <w:bottom w:val="single" w:color="auto" w:sz="4" w:space="0"/>
              <w:right w:val="single" w:color="auto" w:sz="4" w:space="0"/>
            </w:tcBorders>
            <w:shd w:val="clear" w:color="auto" w:fill="auto"/>
          </w:tcPr>
          <w:p w:rsidRPr="00DE6979" w:rsidR="00836574" w:rsidP="00836574" w:rsidRDefault="00090BDE" w14:paraId="450F17DC" w14:textId="04BA37F7">
            <w:pPr>
              <w:spacing w:after="0"/>
              <w:rPr>
                <w:i/>
                <w:iCs/>
                <w:sz w:val="20"/>
                <w:szCs w:val="20"/>
              </w:rPr>
            </w:pPr>
            <w:r w:rsidRPr="00090BDE">
              <w:rPr>
                <w:rFonts w:eastAsia="Calibri"/>
                <w:sz w:val="20"/>
                <w:szCs w:val="20"/>
              </w:rPr>
              <w:t>Increase in number of respondents due to updated projections for the CY 2023 performance period/2025 MIPS payment year.</w:t>
            </w:r>
          </w:p>
        </w:tc>
      </w:tr>
      <w:tr w:rsidRPr="00DE6979" w:rsidR="00836574" w:rsidTr="00D26368" w14:paraId="074E09CF" w14:textId="100021D6">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836574" w:rsidP="00836574" w:rsidRDefault="00836574" w14:paraId="4CEE2EEB" w14:textId="7701AE28">
            <w:pPr>
              <w:spacing w:after="0"/>
              <w:rPr>
                <w:sz w:val="20"/>
                <w:szCs w:val="20"/>
              </w:rPr>
            </w:pPr>
            <w:r w:rsidRPr="00DE6979">
              <w:rPr>
                <w:sz w:val="20"/>
                <w:szCs w:val="20"/>
              </w:rPr>
              <w:t xml:space="preserve">Table </w:t>
            </w:r>
            <w:r w:rsidR="000867B5">
              <w:rPr>
                <w:sz w:val="20"/>
                <w:szCs w:val="20"/>
              </w:rPr>
              <w:t>11</w:t>
            </w:r>
            <w:r>
              <w:rPr>
                <w:sz w:val="20"/>
                <w:szCs w:val="20"/>
              </w:rPr>
              <w:t>:</w:t>
            </w:r>
            <w:r w:rsidRPr="00DE6979">
              <w:rPr>
                <w:sz w:val="20"/>
                <w:szCs w:val="20"/>
              </w:rPr>
              <w:t xml:space="preserve"> Quality Performance Category eCQM Collection Type</w:t>
            </w:r>
          </w:p>
        </w:tc>
        <w:tc>
          <w:tcPr>
            <w:tcW w:w="2875" w:type="dxa"/>
            <w:tcBorders>
              <w:top w:val="nil"/>
              <w:left w:val="nil"/>
              <w:bottom w:val="single" w:color="auto" w:sz="4" w:space="0"/>
              <w:right w:val="single" w:color="auto" w:sz="4" w:space="0"/>
            </w:tcBorders>
            <w:shd w:val="clear" w:color="auto" w:fill="auto"/>
          </w:tcPr>
          <w:p w:rsidRPr="00DE6979" w:rsidR="00836574" w:rsidP="00836574" w:rsidRDefault="00D80863" w14:paraId="688AC629" w14:textId="6A9CB10A">
            <w:pPr>
              <w:spacing w:after="0"/>
              <w:rPr>
                <w:sz w:val="20"/>
                <w:szCs w:val="20"/>
              </w:rPr>
            </w:pPr>
            <w:r w:rsidRPr="00D80863">
              <w:rPr>
                <w:rFonts w:eastAsia="Calibri"/>
                <w:sz w:val="20"/>
                <w:szCs w:val="20"/>
              </w:rPr>
              <w:t>Decrease in number of respondents due to the proposed increase in the number of respondents submitting for the MVP quality performance category via the eCQM collection type.</w:t>
            </w:r>
          </w:p>
        </w:tc>
        <w:tc>
          <w:tcPr>
            <w:tcW w:w="4230" w:type="dxa"/>
            <w:tcBorders>
              <w:top w:val="nil"/>
              <w:left w:val="nil"/>
              <w:bottom w:val="single" w:color="auto" w:sz="4" w:space="0"/>
              <w:right w:val="single" w:color="auto" w:sz="4" w:space="0"/>
            </w:tcBorders>
            <w:shd w:val="clear" w:color="auto" w:fill="auto"/>
          </w:tcPr>
          <w:p w:rsidRPr="00DE6979" w:rsidR="00836574" w:rsidP="00836574" w:rsidRDefault="00275407" w14:paraId="2EE0F61A" w14:textId="1840BF20">
            <w:pPr>
              <w:spacing w:after="0"/>
              <w:rPr>
                <w:i/>
                <w:iCs/>
                <w:sz w:val="20"/>
                <w:szCs w:val="20"/>
              </w:rPr>
            </w:pPr>
            <w:r w:rsidRPr="00356D13">
              <w:rPr>
                <w:color w:val="000000" w:themeColor="text1"/>
                <w:sz w:val="20"/>
                <w:szCs w:val="20"/>
              </w:rPr>
              <w:t>Increase in number of respondents due to updated projections for the CY 2023 performance period/2025 MIPS payment year.</w:t>
            </w:r>
          </w:p>
        </w:tc>
      </w:tr>
      <w:tr w:rsidRPr="00DE6979" w:rsidR="005520C5" w:rsidTr="00223079" w14:paraId="3BD4CE47"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5520C5" w:rsidP="005520C5" w:rsidRDefault="005520C5" w14:paraId="3EDBE38E" w14:textId="704D16AC">
            <w:pPr>
              <w:spacing w:after="0"/>
              <w:rPr>
                <w:sz w:val="20"/>
                <w:szCs w:val="20"/>
              </w:rPr>
            </w:pPr>
            <w:r>
              <w:rPr>
                <w:sz w:val="20"/>
                <w:szCs w:val="20"/>
              </w:rPr>
              <w:t>Table 1</w:t>
            </w:r>
            <w:r w:rsidR="000867B5">
              <w:rPr>
                <w:sz w:val="20"/>
                <w:szCs w:val="20"/>
              </w:rPr>
              <w:t>2</w:t>
            </w:r>
            <w:r>
              <w:rPr>
                <w:sz w:val="20"/>
                <w:szCs w:val="20"/>
              </w:rPr>
              <w:t>: MVP Registration</w:t>
            </w:r>
          </w:p>
        </w:tc>
        <w:tc>
          <w:tcPr>
            <w:tcW w:w="2875" w:type="dxa"/>
            <w:tcBorders>
              <w:top w:val="nil"/>
              <w:left w:val="nil"/>
              <w:bottom w:val="single" w:color="auto" w:sz="4" w:space="0"/>
              <w:right w:val="single" w:color="auto" w:sz="4" w:space="0"/>
            </w:tcBorders>
            <w:shd w:val="clear" w:color="auto" w:fill="auto"/>
            <w:vAlign w:val="center"/>
          </w:tcPr>
          <w:p w:rsidRPr="003428D4" w:rsidR="005520C5" w:rsidP="005520C5" w:rsidRDefault="005520C5" w14:paraId="14B5876B" w14:textId="70F43E2A">
            <w:pPr>
              <w:spacing w:after="0"/>
              <w:rPr>
                <w:rFonts w:eastAsia="Calibri"/>
                <w:sz w:val="20"/>
                <w:szCs w:val="20"/>
              </w:rPr>
            </w:pPr>
            <w:r w:rsidRPr="00356D13">
              <w:rPr>
                <w:color w:val="000000" w:themeColor="text1"/>
                <w:sz w:val="20"/>
                <w:szCs w:val="20"/>
              </w:rPr>
              <w:t>Increase in number of respondents due to proposed addition of 5 new MVPs.</w:t>
            </w:r>
          </w:p>
        </w:tc>
        <w:tc>
          <w:tcPr>
            <w:tcW w:w="4230" w:type="dxa"/>
            <w:tcBorders>
              <w:top w:val="nil"/>
              <w:left w:val="nil"/>
              <w:bottom w:val="single" w:color="auto" w:sz="4" w:space="0"/>
              <w:right w:val="single" w:color="auto" w:sz="4" w:space="0"/>
            </w:tcBorders>
            <w:shd w:val="clear" w:color="auto" w:fill="auto"/>
          </w:tcPr>
          <w:p w:rsidRPr="00B05DA4" w:rsidR="005520C5" w:rsidP="005520C5" w:rsidRDefault="00CC2EB1" w14:paraId="1318DCA1" w14:textId="57D5C96F">
            <w:pPr>
              <w:spacing w:after="0"/>
              <w:rPr>
                <w:rFonts w:eastAsia="Calibri"/>
                <w:iCs/>
                <w:sz w:val="20"/>
                <w:szCs w:val="20"/>
              </w:rPr>
            </w:pPr>
            <w:r w:rsidRPr="00CC2EB1">
              <w:rPr>
                <w:rFonts w:eastAsia="Calibri"/>
                <w:sz w:val="20"/>
                <w:szCs w:val="20"/>
              </w:rPr>
              <w:t>Increase in number of respondents due to updated projections for the CY 2023 performance period/2025 MIPS payment year.</w:t>
            </w:r>
          </w:p>
        </w:tc>
      </w:tr>
      <w:tr w:rsidRPr="00DE6979" w:rsidR="005520C5" w:rsidTr="00D26368" w14:paraId="6D1377A4"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5520C5" w:rsidP="005520C5" w:rsidRDefault="005520C5" w14:paraId="3A1AC07C" w14:textId="1C838A78">
            <w:pPr>
              <w:spacing w:after="0"/>
              <w:rPr>
                <w:sz w:val="20"/>
                <w:szCs w:val="20"/>
              </w:rPr>
            </w:pPr>
            <w:r>
              <w:rPr>
                <w:sz w:val="20"/>
                <w:szCs w:val="20"/>
              </w:rPr>
              <w:t>Table 1</w:t>
            </w:r>
            <w:r w:rsidR="000867B5">
              <w:rPr>
                <w:sz w:val="20"/>
                <w:szCs w:val="20"/>
              </w:rPr>
              <w:t>3</w:t>
            </w:r>
            <w:r>
              <w:rPr>
                <w:sz w:val="20"/>
                <w:szCs w:val="20"/>
              </w:rPr>
              <w:t xml:space="preserve">: </w:t>
            </w:r>
            <w:r w:rsidR="00CC2EB1">
              <w:rPr>
                <w:sz w:val="20"/>
                <w:szCs w:val="20"/>
              </w:rPr>
              <w:t xml:space="preserve">Subgroup </w:t>
            </w:r>
            <w:r>
              <w:rPr>
                <w:sz w:val="20"/>
                <w:szCs w:val="20"/>
              </w:rPr>
              <w:t xml:space="preserve">Registration </w:t>
            </w:r>
          </w:p>
        </w:tc>
        <w:tc>
          <w:tcPr>
            <w:tcW w:w="2875" w:type="dxa"/>
            <w:tcBorders>
              <w:top w:val="nil"/>
              <w:left w:val="nil"/>
              <w:bottom w:val="single" w:color="auto" w:sz="4" w:space="0"/>
              <w:right w:val="single" w:color="auto" w:sz="4" w:space="0"/>
            </w:tcBorders>
            <w:shd w:val="clear" w:color="auto" w:fill="auto"/>
          </w:tcPr>
          <w:p w:rsidRPr="00AB3AC5" w:rsidR="005520C5" w:rsidP="005520C5" w:rsidRDefault="00CC2EB1" w14:paraId="3F572B3F" w14:textId="19E857B1">
            <w:pPr>
              <w:spacing w:after="0"/>
              <w:rPr>
                <w:rFonts w:eastAsia="Calibri"/>
                <w:sz w:val="20"/>
                <w:szCs w:val="20"/>
              </w:rPr>
            </w:pPr>
            <w:r>
              <w:rPr>
                <w:rFonts w:eastAsia="Calibri"/>
                <w:sz w:val="20"/>
                <w:szCs w:val="20"/>
              </w:rPr>
              <w:t>None</w:t>
            </w:r>
          </w:p>
          <w:p w:rsidRPr="003428D4" w:rsidR="005520C5" w:rsidP="005520C5" w:rsidRDefault="005520C5" w14:paraId="2F572020" w14:textId="7678CB70">
            <w:pPr>
              <w:spacing w:after="0"/>
              <w:rPr>
                <w:rFonts w:eastAsia="Calibri"/>
                <w:sz w:val="20"/>
                <w:szCs w:val="20"/>
              </w:rPr>
            </w:pPr>
          </w:p>
        </w:tc>
        <w:tc>
          <w:tcPr>
            <w:tcW w:w="4230" w:type="dxa"/>
            <w:tcBorders>
              <w:top w:val="nil"/>
              <w:left w:val="nil"/>
              <w:bottom w:val="single" w:color="auto" w:sz="4" w:space="0"/>
              <w:right w:val="single" w:color="auto" w:sz="4" w:space="0"/>
            </w:tcBorders>
            <w:shd w:val="clear" w:color="auto" w:fill="auto"/>
          </w:tcPr>
          <w:p w:rsidRPr="00AB3AC5" w:rsidR="005520C5" w:rsidP="005520C5" w:rsidRDefault="005520C5" w14:paraId="39A4B5FC" w14:textId="391DCD6D">
            <w:pPr>
              <w:spacing w:after="0"/>
              <w:rPr>
                <w:rFonts w:eastAsia="Calibri"/>
                <w:sz w:val="20"/>
                <w:szCs w:val="20"/>
              </w:rPr>
            </w:pPr>
            <w:r>
              <w:rPr>
                <w:rFonts w:eastAsia="Calibri"/>
                <w:sz w:val="20"/>
                <w:szCs w:val="20"/>
              </w:rPr>
              <w:t>None</w:t>
            </w:r>
          </w:p>
          <w:p w:rsidRPr="00B05DA4" w:rsidR="005520C5" w:rsidP="005520C5" w:rsidRDefault="005520C5" w14:paraId="3C78459D" w14:textId="3114CFBD">
            <w:pPr>
              <w:spacing w:after="0"/>
              <w:rPr>
                <w:rFonts w:eastAsia="Calibri"/>
                <w:iCs/>
                <w:sz w:val="20"/>
                <w:szCs w:val="20"/>
              </w:rPr>
            </w:pPr>
          </w:p>
        </w:tc>
      </w:tr>
      <w:tr w:rsidRPr="00DE6979" w:rsidR="00CC2EB1" w:rsidTr="00D26368" w14:paraId="11FAA9E2" w14:textId="77777777">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CC2EB1" w:rsidP="005520C5" w:rsidRDefault="00CC2EB1" w14:paraId="61693490" w14:textId="0178EA36">
            <w:pPr>
              <w:spacing w:after="0"/>
              <w:rPr>
                <w:sz w:val="20"/>
                <w:szCs w:val="20"/>
              </w:rPr>
            </w:pPr>
            <w:r>
              <w:rPr>
                <w:sz w:val="20"/>
                <w:szCs w:val="20"/>
              </w:rPr>
              <w:t>Table</w:t>
            </w:r>
            <w:r w:rsidR="000867B5">
              <w:rPr>
                <w:sz w:val="20"/>
                <w:szCs w:val="20"/>
              </w:rPr>
              <w:t xml:space="preserve"> 14</w:t>
            </w:r>
            <w:r>
              <w:rPr>
                <w:sz w:val="20"/>
                <w:szCs w:val="20"/>
              </w:rPr>
              <w:t>: MVP Quality Performance Category Submission</w:t>
            </w:r>
          </w:p>
        </w:tc>
        <w:tc>
          <w:tcPr>
            <w:tcW w:w="2875" w:type="dxa"/>
            <w:tcBorders>
              <w:top w:val="nil"/>
              <w:left w:val="nil"/>
              <w:bottom w:val="single" w:color="auto" w:sz="4" w:space="0"/>
              <w:right w:val="single" w:color="auto" w:sz="4" w:space="0"/>
            </w:tcBorders>
            <w:shd w:val="clear" w:color="auto" w:fill="auto"/>
          </w:tcPr>
          <w:p w:rsidRPr="003428D4" w:rsidR="00CC2EB1" w:rsidP="005520C5" w:rsidRDefault="00D17BF2" w14:paraId="1C126722" w14:textId="34012E42">
            <w:pPr>
              <w:spacing w:after="0"/>
              <w:rPr>
                <w:rFonts w:eastAsia="Calibri"/>
                <w:sz w:val="20"/>
                <w:szCs w:val="20"/>
              </w:rPr>
            </w:pPr>
            <w:r w:rsidRPr="00D17BF2">
              <w:rPr>
                <w:rFonts w:eastAsia="Calibri"/>
                <w:sz w:val="20"/>
                <w:szCs w:val="20"/>
              </w:rPr>
              <w:t>Increase in number of respondents due to proposed addition of 5 new MVPs.</w:t>
            </w:r>
          </w:p>
        </w:tc>
        <w:tc>
          <w:tcPr>
            <w:tcW w:w="4230" w:type="dxa"/>
            <w:tcBorders>
              <w:top w:val="nil"/>
              <w:left w:val="nil"/>
              <w:bottom w:val="single" w:color="auto" w:sz="4" w:space="0"/>
              <w:right w:val="single" w:color="auto" w:sz="4" w:space="0"/>
            </w:tcBorders>
            <w:shd w:val="clear" w:color="auto" w:fill="auto"/>
          </w:tcPr>
          <w:p w:rsidRPr="00B05DA4" w:rsidR="00CC2EB1" w:rsidP="005520C5" w:rsidRDefault="00C912BA" w14:paraId="090B4FA2" w14:textId="5E752E2D">
            <w:pPr>
              <w:spacing w:after="0"/>
              <w:rPr>
                <w:rFonts w:eastAsia="Calibri"/>
                <w:iCs/>
                <w:sz w:val="20"/>
                <w:szCs w:val="20"/>
              </w:rPr>
            </w:pPr>
            <w:r w:rsidRPr="00C912BA">
              <w:rPr>
                <w:rFonts w:eastAsia="Calibri"/>
                <w:iCs/>
                <w:sz w:val="20"/>
                <w:szCs w:val="20"/>
              </w:rPr>
              <w:t>Increase in number of respondents due to updated projections for the CY 2023 performance period/2025 MIPS payment year.</w:t>
            </w:r>
          </w:p>
        </w:tc>
      </w:tr>
      <w:tr w:rsidRPr="00DE6979" w:rsidR="005520C5" w:rsidTr="00D26368" w14:paraId="192EB4AB" w14:textId="2687EAA5">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5520C5" w:rsidP="005520C5" w:rsidRDefault="005520C5" w14:paraId="5E30FD0A" w14:textId="6EDDC47F">
            <w:pPr>
              <w:spacing w:after="0"/>
              <w:rPr>
                <w:sz w:val="20"/>
                <w:szCs w:val="20"/>
              </w:rPr>
            </w:pPr>
            <w:r w:rsidRPr="00DE6979">
              <w:rPr>
                <w:sz w:val="20"/>
                <w:szCs w:val="20"/>
              </w:rPr>
              <w:t xml:space="preserve">Table </w:t>
            </w:r>
            <w:r>
              <w:rPr>
                <w:sz w:val="20"/>
                <w:szCs w:val="20"/>
              </w:rPr>
              <w:t>15</w:t>
            </w:r>
            <w:r w:rsidRPr="00DE6979">
              <w:rPr>
                <w:sz w:val="20"/>
                <w:szCs w:val="20"/>
              </w:rPr>
              <w:t>: Call for Quality Measures</w:t>
            </w:r>
          </w:p>
        </w:tc>
        <w:tc>
          <w:tcPr>
            <w:tcW w:w="2875" w:type="dxa"/>
            <w:tcBorders>
              <w:top w:val="nil"/>
              <w:left w:val="nil"/>
              <w:bottom w:val="single" w:color="auto" w:sz="4" w:space="0"/>
              <w:right w:val="single" w:color="auto" w:sz="4" w:space="0"/>
            </w:tcBorders>
            <w:shd w:val="clear" w:color="auto" w:fill="auto"/>
          </w:tcPr>
          <w:p w:rsidRPr="00485C90" w:rsidR="005520C5" w:rsidP="005520C5" w:rsidRDefault="005520C5" w14:paraId="186861B8" w14:textId="062D8E0C">
            <w:pPr>
              <w:spacing w:after="0"/>
              <w:rPr>
                <w:i/>
                <w:iCs/>
                <w:sz w:val="20"/>
                <w:szCs w:val="20"/>
              </w:rPr>
            </w:pPr>
            <w:r w:rsidRPr="003428D4">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5520C5" w:rsidP="005520C5" w:rsidRDefault="005520C5" w14:paraId="0EBD8F4A" w14:textId="04725E15">
            <w:pPr>
              <w:spacing w:after="0"/>
              <w:rPr>
                <w:iCs/>
                <w:sz w:val="20"/>
                <w:szCs w:val="20"/>
              </w:rPr>
            </w:pPr>
            <w:r w:rsidRPr="00B05DA4">
              <w:rPr>
                <w:rFonts w:eastAsia="Calibri"/>
                <w:iCs/>
                <w:sz w:val="20"/>
                <w:szCs w:val="20"/>
              </w:rPr>
              <w:t>None</w:t>
            </w:r>
          </w:p>
        </w:tc>
      </w:tr>
      <w:tr w:rsidRPr="00DE6979" w:rsidR="00467FB3" w:rsidTr="00223079" w14:paraId="42E28208" w14:textId="0F2ACC4B">
        <w:trPr>
          <w:cantSplit/>
          <w:trHeight w:val="89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2FD5D319" w14:textId="4CC81DD8">
            <w:pPr>
              <w:spacing w:after="0"/>
              <w:rPr>
                <w:sz w:val="20"/>
                <w:szCs w:val="20"/>
              </w:rPr>
            </w:pPr>
            <w:r w:rsidRPr="00DE6979">
              <w:rPr>
                <w:sz w:val="20"/>
                <w:szCs w:val="20"/>
              </w:rPr>
              <w:t xml:space="preserve">Table </w:t>
            </w:r>
            <w:r>
              <w:rPr>
                <w:sz w:val="20"/>
                <w:szCs w:val="20"/>
              </w:rPr>
              <w:t>16</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467FB3" w14:paraId="39102ACB" w14:textId="7F5FEDD7">
            <w:pPr>
              <w:spacing w:after="0"/>
              <w:rPr>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vAlign w:val="center"/>
          </w:tcPr>
          <w:p w:rsidRPr="00DE6979" w:rsidR="00467FB3" w:rsidP="00467FB3" w:rsidRDefault="00467FB3" w14:paraId="764B5400" w14:textId="1E3452B2">
            <w:pPr>
              <w:spacing w:after="0"/>
              <w:rPr>
                <w:iCs/>
                <w:sz w:val="20"/>
                <w:szCs w:val="20"/>
              </w:rPr>
            </w:pPr>
            <w:r w:rsidRPr="00356D13">
              <w:rPr>
                <w:color w:val="000000" w:themeColor="text1"/>
                <w:sz w:val="20"/>
                <w:szCs w:val="20"/>
              </w:rPr>
              <w:t>Decrease in number of respondents due to updated projections for the CY 2023 performance period/2025 MIPS payment year.</w:t>
            </w:r>
          </w:p>
        </w:tc>
      </w:tr>
      <w:tr w:rsidRPr="00DE6979" w:rsidR="00467FB3" w:rsidTr="00D26368" w14:paraId="255363DC" w14:textId="0126F323">
        <w:trPr>
          <w:cantSplit/>
          <w:trHeight w:val="1223"/>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06A33477" w14:textId="58554304">
            <w:pPr>
              <w:spacing w:after="0"/>
              <w:rPr>
                <w:sz w:val="20"/>
                <w:szCs w:val="20"/>
              </w:rPr>
            </w:pPr>
            <w:r w:rsidRPr="00DE6979">
              <w:rPr>
                <w:sz w:val="20"/>
                <w:szCs w:val="20"/>
              </w:rPr>
              <w:t>Table</w:t>
            </w:r>
            <w:r>
              <w:rPr>
                <w:sz w:val="20"/>
                <w:szCs w:val="20"/>
              </w:rPr>
              <w:t>s 1</w:t>
            </w:r>
            <w:r w:rsidR="005011E5">
              <w:rPr>
                <w:sz w:val="20"/>
                <w:szCs w:val="20"/>
              </w:rPr>
              <w:t>7</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C90BF6" w14:paraId="3E207E9D" w14:textId="0F4200D5">
            <w:pPr>
              <w:spacing w:after="0"/>
              <w:rPr>
                <w:sz w:val="20"/>
                <w:szCs w:val="20"/>
              </w:rPr>
            </w:pPr>
            <w:r w:rsidRPr="00C90BF6">
              <w:rPr>
                <w:rFonts w:eastAsia="Calibri"/>
                <w:sz w:val="20"/>
                <w:szCs w:val="20"/>
              </w:rPr>
              <w:t>Increase in the number of hours due to the proposed requirement for clinicians to submit their level of active engagement for the Public Health and Clinical Data Exchange Objective</w:t>
            </w:r>
            <w:r w:rsidRPr="00C90BF6" w:rsidDel="00C90BF6">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467FB3" w:rsidP="00467FB3" w:rsidRDefault="00466D3E" w14:paraId="7FA62E83" w14:textId="50527617">
            <w:pPr>
              <w:spacing w:after="0"/>
              <w:rPr>
                <w:i/>
                <w:sz w:val="20"/>
                <w:szCs w:val="20"/>
              </w:rPr>
            </w:pPr>
            <w:r w:rsidRPr="00466D3E">
              <w:rPr>
                <w:rFonts w:eastAsia="Calibri"/>
                <w:sz w:val="20"/>
                <w:szCs w:val="20"/>
              </w:rPr>
              <w:t>Increase in number of respondents due to updated projections for the CY 2023 performance period/2025 MIPS payment year.</w:t>
            </w:r>
          </w:p>
        </w:tc>
      </w:tr>
      <w:tr w:rsidRPr="00DE6979" w:rsidR="00467FB3" w:rsidTr="00D26368" w14:paraId="33B91AEA" w14:textId="443D52D5">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467FB3" w:rsidP="00467FB3" w:rsidRDefault="00467FB3" w14:paraId="0B2AA39A" w14:textId="06892DCB">
            <w:pPr>
              <w:spacing w:after="0"/>
              <w:rPr>
                <w:sz w:val="20"/>
                <w:szCs w:val="20"/>
              </w:rPr>
            </w:pPr>
            <w:r w:rsidRPr="00DE6979">
              <w:rPr>
                <w:sz w:val="20"/>
                <w:szCs w:val="20"/>
              </w:rPr>
              <w:lastRenderedPageBreak/>
              <w:t xml:space="preserve">Table </w:t>
            </w:r>
            <w:r w:rsidR="005011E5">
              <w:rPr>
                <w:sz w:val="20"/>
                <w:szCs w:val="20"/>
              </w:rPr>
              <w:t>18</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467FB3" w14:paraId="7DD2F2A7" w14:textId="588772D9">
            <w:pPr>
              <w:spacing w:after="0"/>
              <w:rPr>
                <w:sz w:val="20"/>
                <w:szCs w:val="20"/>
              </w:rPr>
            </w:pPr>
            <w:r w:rsidRPr="00CC2BFB">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467FB3" w:rsidP="00467FB3" w:rsidRDefault="00467FB3" w14:paraId="20B3FB36" w14:textId="2AAEB557">
            <w:pPr>
              <w:spacing w:after="0"/>
              <w:rPr>
                <w:i/>
                <w:iCs/>
                <w:sz w:val="20"/>
                <w:szCs w:val="20"/>
              </w:rPr>
            </w:pPr>
            <w:r w:rsidRPr="00CC2BFB">
              <w:rPr>
                <w:rFonts w:eastAsia="Calibri"/>
                <w:sz w:val="20"/>
                <w:szCs w:val="20"/>
              </w:rPr>
              <w:t>None.</w:t>
            </w:r>
          </w:p>
        </w:tc>
      </w:tr>
      <w:tr w:rsidRPr="00DE6979" w:rsidR="00467FB3" w:rsidTr="00D26368" w14:paraId="0A8B963F" w14:textId="4773AB89">
        <w:trPr>
          <w:cantSplit/>
          <w:trHeight w:val="71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5F4A43BF" w14:textId="57AE8BA1">
            <w:pPr>
              <w:spacing w:after="0"/>
              <w:rPr>
                <w:sz w:val="20"/>
                <w:szCs w:val="20"/>
              </w:rPr>
            </w:pPr>
            <w:r w:rsidRPr="00DE6979">
              <w:rPr>
                <w:sz w:val="20"/>
                <w:szCs w:val="20"/>
              </w:rPr>
              <w:t>Table</w:t>
            </w:r>
            <w:r>
              <w:rPr>
                <w:sz w:val="20"/>
                <w:szCs w:val="20"/>
              </w:rPr>
              <w:t>s</w:t>
            </w:r>
            <w:r w:rsidRPr="00DE6979">
              <w:rPr>
                <w:sz w:val="20"/>
                <w:szCs w:val="20"/>
              </w:rPr>
              <w:t xml:space="preserve"> </w:t>
            </w:r>
            <w:r w:rsidR="005011E5">
              <w:rPr>
                <w:sz w:val="20"/>
                <w:szCs w:val="20"/>
              </w:rPr>
              <w:t>19</w:t>
            </w:r>
            <w:r w:rsidRPr="00DE6979">
              <w:rPr>
                <w:sz w:val="20"/>
                <w:szCs w:val="20"/>
              </w:rPr>
              <w:t>: Improvement Activities Submission</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171907" w14:paraId="3F15CDD4" w14:textId="279A9651">
            <w:pPr>
              <w:spacing w:after="0"/>
              <w:rPr>
                <w:sz w:val="20"/>
                <w:szCs w:val="20"/>
              </w:rPr>
            </w:pPr>
            <w:r>
              <w:rPr>
                <w:rFonts w:eastAsia="Calibri"/>
                <w:sz w:val="20"/>
                <w:szCs w:val="20"/>
              </w:rPr>
              <w:t>None</w:t>
            </w:r>
            <w:r w:rsidR="00467FB3">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467FB3" w:rsidP="00467FB3" w:rsidRDefault="00467FB3" w14:paraId="2D289FEA" w14:textId="49E8479E">
            <w:pPr>
              <w:spacing w:after="0"/>
              <w:rPr>
                <w:sz w:val="20"/>
                <w:szCs w:val="20"/>
              </w:rPr>
            </w:pPr>
            <w:r w:rsidRPr="00D95F15">
              <w:rPr>
                <w:rFonts w:eastAsia="Calibri"/>
                <w:sz w:val="20"/>
                <w:szCs w:val="20"/>
              </w:rPr>
              <w:t>Increase in number of respondents due to updated projections for the CY 202</w:t>
            </w:r>
            <w:r w:rsidR="00171907">
              <w:rPr>
                <w:rFonts w:eastAsia="Calibri"/>
                <w:sz w:val="20"/>
                <w:szCs w:val="20"/>
              </w:rPr>
              <w:t>3</w:t>
            </w:r>
            <w:r w:rsidRPr="00D95F15">
              <w:rPr>
                <w:rFonts w:eastAsia="Calibri"/>
                <w:sz w:val="20"/>
                <w:szCs w:val="20"/>
              </w:rPr>
              <w:t xml:space="preserve"> performance period/202</w:t>
            </w:r>
            <w:r w:rsidR="00171907">
              <w:rPr>
                <w:rFonts w:eastAsia="Calibri"/>
                <w:sz w:val="20"/>
                <w:szCs w:val="20"/>
              </w:rPr>
              <w:t>5</w:t>
            </w:r>
            <w:r w:rsidRPr="00D95F15">
              <w:rPr>
                <w:rFonts w:eastAsia="Calibri"/>
                <w:sz w:val="20"/>
                <w:szCs w:val="20"/>
              </w:rPr>
              <w:t xml:space="preserve"> MIPS payment year</w:t>
            </w:r>
          </w:p>
        </w:tc>
      </w:tr>
      <w:tr w:rsidRPr="00DE6979" w:rsidR="00467FB3" w:rsidTr="00D26368" w14:paraId="47068AB3" w14:textId="1C535E8A">
        <w:trPr>
          <w:cantSplit/>
          <w:trHeight w:val="1259"/>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280FB83E" w14:textId="6F106438">
            <w:pPr>
              <w:spacing w:after="0"/>
              <w:rPr>
                <w:sz w:val="20"/>
                <w:szCs w:val="20"/>
              </w:rPr>
            </w:pPr>
            <w:r w:rsidRPr="00DE6979">
              <w:rPr>
                <w:sz w:val="20"/>
                <w:szCs w:val="20"/>
              </w:rPr>
              <w:t xml:space="preserve">Table </w:t>
            </w:r>
            <w:r>
              <w:rPr>
                <w:sz w:val="20"/>
                <w:szCs w:val="20"/>
              </w:rPr>
              <w:t>2</w:t>
            </w:r>
            <w:r w:rsidR="005011E5">
              <w:rPr>
                <w:sz w:val="20"/>
                <w:szCs w:val="20"/>
              </w:rPr>
              <w:t>0</w:t>
            </w:r>
            <w:r w:rsidRPr="00DE6979">
              <w:rPr>
                <w:sz w:val="20"/>
                <w:szCs w:val="20"/>
              </w:rPr>
              <w:t xml:space="preserve">: Nomination of Improvement Activities </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171907" w14:paraId="7E1BF5B1" w14:textId="7D966F32">
            <w:pPr>
              <w:spacing w:after="0"/>
              <w:rPr>
                <w:sz w:val="20"/>
                <w:szCs w:val="20"/>
              </w:rPr>
            </w:pPr>
            <w:r>
              <w:rPr>
                <w:rFonts w:eastAsia="Calibri"/>
                <w:sz w:val="20"/>
                <w:szCs w:val="20"/>
              </w:rPr>
              <w:t>None</w:t>
            </w:r>
            <w:r w:rsidR="00467FB3">
              <w:rPr>
                <w:rFonts w:eastAsia="Calibri"/>
                <w:sz w:val="20"/>
                <w:szCs w:val="20"/>
              </w:rPr>
              <w:t xml:space="preserve">. </w:t>
            </w:r>
          </w:p>
        </w:tc>
        <w:tc>
          <w:tcPr>
            <w:tcW w:w="4230" w:type="dxa"/>
            <w:tcBorders>
              <w:top w:val="nil"/>
              <w:left w:val="nil"/>
              <w:bottom w:val="single" w:color="auto" w:sz="4" w:space="0"/>
              <w:right w:val="single" w:color="auto" w:sz="4" w:space="0"/>
            </w:tcBorders>
            <w:shd w:val="clear" w:color="auto" w:fill="auto"/>
          </w:tcPr>
          <w:p w:rsidRPr="00DE6979" w:rsidR="00467FB3" w:rsidP="00467FB3" w:rsidRDefault="00467FB3" w14:paraId="11AD78F8" w14:textId="6AF98A88">
            <w:pPr>
              <w:spacing w:after="0"/>
              <w:rPr>
                <w:sz w:val="20"/>
                <w:szCs w:val="20"/>
              </w:rPr>
            </w:pPr>
            <w:r>
              <w:rPr>
                <w:rFonts w:eastAsia="Calibri"/>
                <w:sz w:val="20"/>
                <w:szCs w:val="20"/>
              </w:rPr>
              <w:t>None.</w:t>
            </w:r>
          </w:p>
        </w:tc>
      </w:tr>
      <w:tr w:rsidRPr="00DE6979" w:rsidR="00467FB3" w:rsidTr="00D26368" w14:paraId="67A8EC18" w14:textId="77777777">
        <w:trPr>
          <w:cantSplit/>
          <w:trHeight w:val="710"/>
        </w:trPr>
        <w:tc>
          <w:tcPr>
            <w:tcW w:w="2700" w:type="dxa"/>
            <w:tcBorders>
              <w:top w:val="nil"/>
              <w:left w:val="single" w:color="auto" w:sz="4" w:space="0"/>
              <w:bottom w:val="single" w:color="auto" w:sz="4" w:space="0"/>
              <w:right w:val="single" w:color="auto" w:sz="4" w:space="0"/>
            </w:tcBorders>
            <w:shd w:val="clear" w:color="auto" w:fill="auto"/>
          </w:tcPr>
          <w:p w:rsidRPr="00DE6979" w:rsidR="00467FB3" w:rsidP="00467FB3" w:rsidRDefault="00467FB3" w14:paraId="53DFFAA2" w14:textId="0F34B9D8">
            <w:pPr>
              <w:spacing w:after="0"/>
              <w:rPr>
                <w:sz w:val="20"/>
                <w:szCs w:val="20"/>
              </w:rPr>
            </w:pPr>
            <w:r>
              <w:rPr>
                <w:sz w:val="20"/>
                <w:szCs w:val="20"/>
              </w:rPr>
              <w:t>Table 2</w:t>
            </w:r>
            <w:r w:rsidR="005011E5">
              <w:rPr>
                <w:sz w:val="20"/>
                <w:szCs w:val="20"/>
              </w:rPr>
              <w:t>1</w:t>
            </w:r>
            <w:r>
              <w:rPr>
                <w:sz w:val="20"/>
                <w:szCs w:val="20"/>
              </w:rPr>
              <w:t>: Nomination of MVPs</w:t>
            </w:r>
          </w:p>
        </w:tc>
        <w:tc>
          <w:tcPr>
            <w:tcW w:w="2875" w:type="dxa"/>
            <w:tcBorders>
              <w:top w:val="nil"/>
              <w:left w:val="nil"/>
              <w:bottom w:val="single" w:color="auto" w:sz="4" w:space="0"/>
              <w:right w:val="single" w:color="auto" w:sz="4" w:space="0"/>
            </w:tcBorders>
            <w:shd w:val="clear" w:color="auto" w:fill="auto"/>
          </w:tcPr>
          <w:p w:rsidRPr="00CC2BFB" w:rsidR="00467FB3" w:rsidP="00467FB3" w:rsidRDefault="00467FB3" w14:paraId="529EEF18" w14:textId="5552C636">
            <w:pPr>
              <w:spacing w:after="0"/>
              <w:rPr>
                <w:rFonts w:eastAsia="Calibri"/>
                <w:sz w:val="20"/>
                <w:szCs w:val="20"/>
              </w:rPr>
            </w:pPr>
            <w:r>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CC2BFB" w:rsidR="00467FB3" w:rsidP="00467FB3" w:rsidRDefault="00121DF2" w14:paraId="3647482E" w14:textId="74CA3D80">
            <w:pPr>
              <w:spacing w:after="0"/>
              <w:rPr>
                <w:rFonts w:eastAsia="Calibri"/>
                <w:sz w:val="20"/>
                <w:szCs w:val="20"/>
              </w:rPr>
            </w:pPr>
            <w:r w:rsidRPr="00121DF2">
              <w:rPr>
                <w:rFonts w:eastAsia="Calibri"/>
                <w:sz w:val="20"/>
                <w:szCs w:val="20"/>
              </w:rPr>
              <w:t>Decrease in number of respondents due to updated projections for the CY 2023 performance period/2025 MIPS payment year.</w:t>
            </w:r>
          </w:p>
        </w:tc>
      </w:tr>
      <w:tr w:rsidRPr="00DE6979" w:rsidR="00467FB3" w:rsidTr="00D26368" w14:paraId="2E5546F4" w14:textId="62C7493B">
        <w:trPr>
          <w:cantSplit/>
          <w:trHeight w:val="638"/>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6103CF3D" w14:textId="0DA653E2">
            <w:pPr>
              <w:spacing w:after="0"/>
              <w:rPr>
                <w:sz w:val="20"/>
                <w:szCs w:val="20"/>
              </w:rPr>
            </w:pPr>
            <w:r w:rsidRPr="00DE6979">
              <w:rPr>
                <w:sz w:val="20"/>
                <w:szCs w:val="20"/>
              </w:rPr>
              <w:t xml:space="preserve">Table </w:t>
            </w:r>
            <w:r>
              <w:rPr>
                <w:sz w:val="20"/>
                <w:szCs w:val="20"/>
              </w:rPr>
              <w:t>2</w:t>
            </w:r>
            <w:r w:rsidR="005011E5">
              <w:rPr>
                <w:sz w:val="20"/>
                <w:szCs w:val="20"/>
              </w:rPr>
              <w:t>2</w:t>
            </w:r>
            <w:r w:rsidRPr="00DE6979">
              <w:rPr>
                <w:sz w:val="20"/>
                <w:szCs w:val="20"/>
              </w:rPr>
              <w:t>: Partial QP Election</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467FB3" w14:paraId="6A324BAC" w14:textId="4906B09E">
            <w:pPr>
              <w:spacing w:after="0"/>
              <w:rPr>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3EB4" w:rsidR="00467FB3" w:rsidP="00467FB3" w:rsidRDefault="00121DF2" w14:paraId="268DF0A2" w14:textId="201997C7">
            <w:pPr>
              <w:spacing w:after="0"/>
              <w:rPr>
                <w:i/>
                <w:sz w:val="20"/>
                <w:szCs w:val="20"/>
              </w:rPr>
            </w:pPr>
            <w:r>
              <w:rPr>
                <w:rFonts w:eastAsia="Calibri"/>
                <w:sz w:val="20"/>
                <w:szCs w:val="20"/>
              </w:rPr>
              <w:t>In</w:t>
            </w:r>
            <w:r w:rsidRPr="00A06D61" w:rsidR="00467FB3">
              <w:rPr>
                <w:rFonts w:eastAsia="Calibri"/>
                <w:sz w:val="20"/>
                <w:szCs w:val="20"/>
              </w:rPr>
              <w:t xml:space="preserve">crease in number of respondents due to updated projections for the </w:t>
            </w:r>
            <w:r w:rsidRPr="009B4B42" w:rsidR="00467FB3">
              <w:rPr>
                <w:rFonts w:eastAsia="Calibri"/>
                <w:sz w:val="20"/>
                <w:szCs w:val="20"/>
              </w:rPr>
              <w:t>CY 202</w:t>
            </w:r>
            <w:r>
              <w:rPr>
                <w:rFonts w:eastAsia="Calibri"/>
                <w:sz w:val="20"/>
                <w:szCs w:val="20"/>
              </w:rPr>
              <w:t>3</w:t>
            </w:r>
            <w:r w:rsidRPr="009B4B42" w:rsidR="00467FB3">
              <w:rPr>
                <w:rFonts w:eastAsia="Calibri"/>
                <w:sz w:val="20"/>
                <w:szCs w:val="20"/>
              </w:rPr>
              <w:t xml:space="preserve"> performance period/202</w:t>
            </w:r>
            <w:r>
              <w:rPr>
                <w:rFonts w:eastAsia="Calibri"/>
                <w:sz w:val="20"/>
                <w:szCs w:val="20"/>
              </w:rPr>
              <w:t>5</w:t>
            </w:r>
            <w:r w:rsidRPr="009B4B42" w:rsidR="00467FB3">
              <w:rPr>
                <w:rFonts w:eastAsia="Calibri"/>
                <w:sz w:val="20"/>
                <w:szCs w:val="20"/>
              </w:rPr>
              <w:t xml:space="preserve"> MIPS payment year</w:t>
            </w:r>
            <w:r w:rsidRPr="00A06D61" w:rsidR="00467FB3">
              <w:rPr>
                <w:rFonts w:eastAsia="Calibri"/>
                <w:sz w:val="20"/>
                <w:szCs w:val="20"/>
              </w:rPr>
              <w:t>.</w:t>
            </w:r>
          </w:p>
        </w:tc>
      </w:tr>
      <w:tr w:rsidRPr="00DE6979" w:rsidR="00467FB3" w:rsidTr="00D26368" w14:paraId="7065083B" w14:textId="3C8E6C90">
        <w:trPr>
          <w:cantSplit/>
          <w:trHeight w:val="764"/>
        </w:trPr>
        <w:tc>
          <w:tcPr>
            <w:tcW w:w="2700" w:type="dxa"/>
            <w:tcBorders>
              <w:top w:val="nil"/>
              <w:left w:val="single" w:color="auto" w:sz="4" w:space="0"/>
              <w:bottom w:val="single" w:color="auto" w:sz="4" w:space="0"/>
              <w:right w:val="single" w:color="auto" w:sz="4" w:space="0"/>
            </w:tcBorders>
            <w:shd w:val="clear" w:color="auto" w:fill="auto"/>
          </w:tcPr>
          <w:p w:rsidRPr="00DE6979" w:rsidR="00467FB3" w:rsidP="00467FB3" w:rsidRDefault="00467FB3" w14:paraId="188FB8CA" w14:textId="10E06CD6">
            <w:pPr>
              <w:spacing w:after="0"/>
              <w:rPr>
                <w:sz w:val="20"/>
                <w:szCs w:val="20"/>
              </w:rPr>
            </w:pPr>
            <w:r w:rsidRPr="00DE6979">
              <w:rPr>
                <w:sz w:val="20"/>
                <w:szCs w:val="20"/>
              </w:rPr>
              <w:t xml:space="preserve">Table </w:t>
            </w:r>
            <w:r>
              <w:rPr>
                <w:sz w:val="20"/>
                <w:szCs w:val="20"/>
              </w:rPr>
              <w:t>2</w:t>
            </w:r>
            <w:r w:rsidR="005011E5">
              <w:rPr>
                <w:sz w:val="20"/>
                <w:szCs w:val="20"/>
              </w:rPr>
              <w:t>3</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467FB3" w14:paraId="5CB0CF0F" w14:textId="52FB1DEF">
            <w:pPr>
              <w:spacing w:after="0"/>
              <w:rPr>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DE6979" w:rsidR="00467FB3" w:rsidP="00467FB3" w:rsidRDefault="007F06B2" w14:paraId="06045CB4" w14:textId="07867819">
            <w:pPr>
              <w:spacing w:after="0"/>
              <w:rPr>
                <w:i/>
                <w:sz w:val="20"/>
                <w:szCs w:val="20"/>
              </w:rPr>
            </w:pPr>
            <w:r>
              <w:rPr>
                <w:rFonts w:eastAsia="Calibri"/>
                <w:sz w:val="20"/>
                <w:szCs w:val="20"/>
              </w:rPr>
              <w:t>None</w:t>
            </w:r>
          </w:p>
        </w:tc>
      </w:tr>
      <w:tr w:rsidRPr="00DE6979" w:rsidR="00467FB3" w:rsidTr="00D26368" w14:paraId="2B2709F8" w14:textId="0B623016">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6EF9AB07" w14:textId="4CBA04F0">
            <w:pPr>
              <w:spacing w:after="0"/>
              <w:rPr>
                <w:sz w:val="20"/>
                <w:szCs w:val="20"/>
              </w:rPr>
            </w:pPr>
            <w:r w:rsidRPr="00DE6979">
              <w:rPr>
                <w:sz w:val="20"/>
                <w:szCs w:val="20"/>
              </w:rPr>
              <w:t xml:space="preserve">Table </w:t>
            </w:r>
            <w:r>
              <w:rPr>
                <w:sz w:val="20"/>
                <w:szCs w:val="20"/>
              </w:rPr>
              <w:t>2</w:t>
            </w:r>
            <w:r w:rsidR="005011E5">
              <w:rPr>
                <w:sz w:val="20"/>
                <w:szCs w:val="20"/>
              </w:rPr>
              <w:t>4</w:t>
            </w:r>
            <w:r>
              <w:rPr>
                <w:sz w:val="20"/>
                <w:szCs w:val="20"/>
              </w:rPr>
              <w:t>:</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467FB3" w14:paraId="7B232573" w14:textId="6AC8D7E7">
            <w:pPr>
              <w:spacing w:after="0"/>
              <w:rPr>
                <w:sz w:val="20"/>
                <w:szCs w:val="20"/>
              </w:rPr>
            </w:pPr>
            <w:r w:rsidRPr="009C0029">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AA2D60" w:rsidR="00467FB3" w:rsidP="00467FB3" w:rsidRDefault="007F06B2" w14:paraId="0E609B00" w14:textId="1E90A930">
            <w:pPr>
              <w:spacing w:after="0"/>
              <w:rPr>
                <w:sz w:val="20"/>
                <w:szCs w:val="20"/>
              </w:rPr>
            </w:pPr>
            <w:r>
              <w:rPr>
                <w:sz w:val="20"/>
                <w:szCs w:val="20"/>
              </w:rPr>
              <w:t>None</w:t>
            </w:r>
          </w:p>
        </w:tc>
      </w:tr>
      <w:tr w:rsidRPr="00DE6979" w:rsidR="00467FB3" w:rsidTr="00D26368" w14:paraId="20408B34" w14:textId="7FE05C99">
        <w:trPr>
          <w:cantSplit/>
          <w:trHeight w:val="1160"/>
        </w:trPr>
        <w:tc>
          <w:tcPr>
            <w:tcW w:w="2700" w:type="dxa"/>
            <w:tcBorders>
              <w:top w:val="nil"/>
              <w:left w:val="single" w:color="auto" w:sz="4" w:space="0"/>
              <w:bottom w:val="single" w:color="auto" w:sz="4" w:space="0"/>
              <w:right w:val="single" w:color="auto" w:sz="4" w:space="0"/>
            </w:tcBorders>
            <w:shd w:val="clear" w:color="auto" w:fill="auto"/>
          </w:tcPr>
          <w:p w:rsidRPr="00DE6979" w:rsidR="00467FB3" w:rsidP="00467FB3" w:rsidRDefault="00467FB3" w14:paraId="13B64710" w14:textId="2EB75DC5">
            <w:pPr>
              <w:spacing w:after="0"/>
              <w:rPr>
                <w:sz w:val="20"/>
                <w:szCs w:val="20"/>
              </w:rPr>
            </w:pPr>
            <w:r w:rsidRPr="00DE6979">
              <w:rPr>
                <w:sz w:val="20"/>
                <w:szCs w:val="20"/>
              </w:rPr>
              <w:t xml:space="preserve">Table </w:t>
            </w:r>
            <w:r>
              <w:rPr>
                <w:sz w:val="20"/>
                <w:szCs w:val="20"/>
              </w:rPr>
              <w:t>2</w:t>
            </w:r>
            <w:r w:rsidR="005011E5">
              <w:rPr>
                <w:sz w:val="20"/>
                <w:szCs w:val="20"/>
              </w:rPr>
              <w:t>5</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color="auto" w:sz="4" w:space="0"/>
              <w:right w:val="single" w:color="auto" w:sz="4" w:space="0"/>
            </w:tcBorders>
            <w:shd w:val="clear" w:color="auto" w:fill="auto"/>
          </w:tcPr>
          <w:p w:rsidRPr="00DE6979" w:rsidR="00467FB3" w:rsidP="00467FB3" w:rsidRDefault="00467FB3" w14:paraId="52D0EDBA" w14:textId="3DB4E82F">
            <w:pPr>
              <w:spacing w:after="0"/>
              <w:rPr>
                <w:sz w:val="20"/>
                <w:szCs w:val="20"/>
              </w:rPr>
            </w:pPr>
            <w:r w:rsidRPr="00CC2BFB">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6813" w:rsidR="00467FB3" w:rsidP="00467FB3" w:rsidRDefault="00467FB3" w14:paraId="343CEC43" w14:textId="0299281A">
            <w:pPr>
              <w:spacing w:after="0"/>
              <w:rPr>
                <w:iCs/>
                <w:sz w:val="20"/>
                <w:szCs w:val="20"/>
              </w:rPr>
            </w:pPr>
            <w:r>
              <w:rPr>
                <w:rFonts w:eastAsia="Calibri"/>
                <w:sz w:val="20"/>
                <w:szCs w:val="20"/>
              </w:rPr>
              <w:t>None.</w:t>
            </w:r>
          </w:p>
        </w:tc>
      </w:tr>
      <w:tr w:rsidRPr="00DE6979" w:rsidR="00467FB3" w:rsidTr="00D26368" w14:paraId="225E06F0" w14:textId="30FB1725">
        <w:trPr>
          <w:cantSplit/>
          <w:trHeight w:val="116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467FB3" w:rsidP="00467FB3" w:rsidRDefault="00467FB3" w14:paraId="6728FA98" w14:textId="4B952568">
            <w:pPr>
              <w:spacing w:after="0"/>
              <w:rPr>
                <w:sz w:val="20"/>
                <w:szCs w:val="20"/>
              </w:rPr>
            </w:pPr>
            <w:r w:rsidRPr="00DE6979">
              <w:rPr>
                <w:sz w:val="20"/>
                <w:szCs w:val="20"/>
              </w:rPr>
              <w:t xml:space="preserve">Table </w:t>
            </w:r>
            <w:r w:rsidR="005011E5">
              <w:rPr>
                <w:sz w:val="20"/>
                <w:szCs w:val="20"/>
              </w:rPr>
              <w:t>26</w:t>
            </w:r>
            <w:r>
              <w:rPr>
                <w:sz w:val="20"/>
                <w:szCs w:val="20"/>
              </w:rPr>
              <w:t>:</w:t>
            </w:r>
            <w:r w:rsidRPr="00DE6979">
              <w:rPr>
                <w:sz w:val="20"/>
                <w:szCs w:val="20"/>
              </w:rPr>
              <w:t xml:space="preserve"> Voluntary Participants to Elect to </w:t>
            </w:r>
            <w:proofErr w:type="spellStart"/>
            <w:r w:rsidRPr="00DE6979">
              <w:rPr>
                <w:sz w:val="20"/>
                <w:szCs w:val="20"/>
              </w:rPr>
              <w:t>Opt</w:t>
            </w:r>
            <w:proofErr w:type="spellEnd"/>
            <w:r w:rsidRPr="00DE6979">
              <w:rPr>
                <w:sz w:val="20"/>
                <w:szCs w:val="20"/>
              </w:rPr>
              <w:t xml:space="preserve"> Out of Performance Data Display on Physician Compare</w:t>
            </w:r>
          </w:p>
        </w:tc>
        <w:tc>
          <w:tcPr>
            <w:tcW w:w="2875" w:type="dxa"/>
            <w:tcBorders>
              <w:top w:val="nil"/>
              <w:left w:val="nil"/>
              <w:bottom w:val="single" w:color="auto" w:sz="4" w:space="0"/>
              <w:right w:val="single" w:color="auto" w:sz="4" w:space="0"/>
            </w:tcBorders>
            <w:shd w:val="clear" w:color="auto" w:fill="auto"/>
          </w:tcPr>
          <w:p w:rsidRPr="0095356F" w:rsidR="00467FB3" w:rsidP="00467FB3" w:rsidRDefault="00467FB3" w14:paraId="2A22759B" w14:textId="48ED9E46">
            <w:pPr>
              <w:spacing w:after="0"/>
              <w:rPr>
                <w:i/>
                <w:sz w:val="20"/>
                <w:szCs w:val="20"/>
              </w:rPr>
            </w:pPr>
            <w:r w:rsidRPr="00A06D61">
              <w:rPr>
                <w:rFonts w:eastAsia="Calibri"/>
                <w:sz w:val="20"/>
                <w:szCs w:val="20"/>
              </w:rPr>
              <w:t>None.</w:t>
            </w:r>
          </w:p>
        </w:tc>
        <w:tc>
          <w:tcPr>
            <w:tcW w:w="4230" w:type="dxa"/>
            <w:tcBorders>
              <w:top w:val="nil"/>
              <w:left w:val="nil"/>
              <w:bottom w:val="single" w:color="auto" w:sz="4" w:space="0"/>
              <w:right w:val="single" w:color="auto" w:sz="4" w:space="0"/>
            </w:tcBorders>
            <w:shd w:val="clear" w:color="auto" w:fill="auto"/>
          </w:tcPr>
          <w:p w:rsidRPr="00336813" w:rsidR="00467FB3" w:rsidP="00467FB3" w:rsidRDefault="007F06B2" w14:paraId="070693BA" w14:textId="33C8F4A1">
            <w:pPr>
              <w:spacing w:after="0"/>
              <w:rPr>
                <w:iCs/>
                <w:sz w:val="20"/>
                <w:szCs w:val="20"/>
              </w:rPr>
            </w:pPr>
            <w:r>
              <w:rPr>
                <w:rFonts w:eastAsia="Calibri"/>
                <w:sz w:val="20"/>
                <w:szCs w:val="20"/>
              </w:rPr>
              <w:t>None</w:t>
            </w:r>
          </w:p>
        </w:tc>
      </w:tr>
    </w:tbl>
    <w:p w:rsidR="00221441" w:rsidP="00B16F83" w:rsidRDefault="00221441" w14:paraId="19CB3130" w14:textId="68AE8DAA">
      <w:pPr>
        <w:pStyle w:val="ListParagraph"/>
        <w:ind w:left="1620"/>
      </w:pPr>
    </w:p>
    <w:p w:rsidR="00E14493" w:rsidP="00E14493" w:rsidRDefault="00E14493" w14:paraId="4626CF79" w14:textId="77777777"/>
    <w:p w:rsidRPr="00A40E1C" w:rsidR="00E14493" w:rsidP="00473017" w:rsidRDefault="00E14493" w14:paraId="38BB33A6" w14:textId="183B75BE">
      <w:pPr>
        <w:jc w:val="center"/>
        <w:rPr>
          <w:b/>
        </w:rPr>
      </w:pPr>
      <w:r w:rsidRPr="00A40E1C">
        <w:rPr>
          <w:b/>
        </w:rPr>
        <w:t xml:space="preserve">Table </w:t>
      </w:r>
      <w:r w:rsidRPr="00A40E1C" w:rsidR="00884F10">
        <w:rPr>
          <w:b/>
        </w:rPr>
        <w:t>3</w:t>
      </w:r>
      <w:r w:rsidR="00BE3A64">
        <w:rPr>
          <w:b/>
        </w:rPr>
        <w:t>2</w:t>
      </w:r>
      <w:r w:rsidRPr="00A40E1C">
        <w:rPr>
          <w:b/>
        </w:rPr>
        <w:t xml:space="preserve">: </w:t>
      </w:r>
      <w:r w:rsidR="00BE3A64">
        <w:rPr>
          <w:b/>
        </w:rPr>
        <w:t>Annual Requirements and Burden</w:t>
      </w:r>
    </w:p>
    <w:tbl>
      <w:tblPr>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63"/>
        <w:gridCol w:w="1484"/>
        <w:gridCol w:w="1284"/>
        <w:gridCol w:w="1199"/>
        <w:gridCol w:w="1274"/>
        <w:gridCol w:w="929"/>
        <w:gridCol w:w="1462"/>
      </w:tblGrid>
      <w:tr w:rsidRPr="00364D88" w:rsidR="00F02F8E" w:rsidTr="005945A5" w14:paraId="34C70940" w14:textId="77777777">
        <w:trPr>
          <w:cantSplit/>
          <w:jc w:val="center"/>
        </w:trPr>
        <w:tc>
          <w:tcPr>
            <w:tcW w:w="1863" w:type="dxa"/>
            <w:shd w:val="clear" w:color="auto" w:fill="auto"/>
            <w:tcMar>
              <w:top w:w="0" w:type="dxa"/>
              <w:left w:w="108" w:type="dxa"/>
              <w:bottom w:w="0" w:type="dxa"/>
              <w:right w:w="108" w:type="dxa"/>
            </w:tcMar>
          </w:tcPr>
          <w:p w:rsidRPr="00364D88" w:rsidR="00364D88" w:rsidP="00364D88" w:rsidRDefault="00364D88" w14:paraId="3D66C215" w14:textId="77777777">
            <w:pPr>
              <w:spacing w:after="0"/>
              <w:jc w:val="center"/>
              <w:textAlignment w:val="baseline"/>
              <w:rPr>
                <w:bCs/>
                <w:sz w:val="20"/>
                <w:szCs w:val="20"/>
              </w:rPr>
            </w:pPr>
            <w:r w:rsidRPr="00364D88">
              <w:rPr>
                <w:bCs/>
                <w:sz w:val="20"/>
                <w:szCs w:val="20"/>
              </w:rPr>
              <w:t>Regulation Section(s) Under Title 42 of the CFR </w:t>
            </w:r>
          </w:p>
        </w:tc>
        <w:tc>
          <w:tcPr>
            <w:tcW w:w="1484" w:type="dxa"/>
            <w:shd w:val="clear" w:color="auto" w:fill="auto"/>
            <w:tcMar>
              <w:top w:w="0" w:type="dxa"/>
              <w:left w:w="108" w:type="dxa"/>
              <w:bottom w:w="0" w:type="dxa"/>
              <w:right w:w="108" w:type="dxa"/>
            </w:tcMar>
          </w:tcPr>
          <w:p w:rsidRPr="00364D88" w:rsidR="00364D88" w:rsidP="00364D88" w:rsidRDefault="00364D88" w14:paraId="2A30811D" w14:textId="77777777">
            <w:pPr>
              <w:spacing w:after="0"/>
              <w:jc w:val="center"/>
              <w:textAlignment w:val="baseline"/>
              <w:rPr>
                <w:bCs/>
                <w:color w:val="000000"/>
                <w:sz w:val="20"/>
                <w:szCs w:val="20"/>
              </w:rPr>
            </w:pPr>
            <w:r w:rsidRPr="00364D88">
              <w:rPr>
                <w:bCs/>
                <w:color w:val="000000"/>
                <w:sz w:val="20"/>
                <w:szCs w:val="20"/>
              </w:rPr>
              <w:t>No. Respondents </w:t>
            </w:r>
          </w:p>
        </w:tc>
        <w:tc>
          <w:tcPr>
            <w:tcW w:w="1284" w:type="dxa"/>
            <w:shd w:val="clear" w:color="auto" w:fill="auto"/>
            <w:tcMar>
              <w:top w:w="0" w:type="dxa"/>
              <w:left w:w="108" w:type="dxa"/>
              <w:bottom w:w="0" w:type="dxa"/>
              <w:right w:w="108" w:type="dxa"/>
            </w:tcMar>
          </w:tcPr>
          <w:p w:rsidRPr="00364D88" w:rsidR="00364D88" w:rsidP="00364D88" w:rsidRDefault="00364D88" w14:paraId="21D5F514" w14:textId="77777777">
            <w:pPr>
              <w:spacing w:after="0"/>
              <w:jc w:val="center"/>
              <w:textAlignment w:val="baseline"/>
              <w:rPr>
                <w:bCs/>
                <w:color w:val="000000"/>
                <w:sz w:val="20"/>
                <w:szCs w:val="20"/>
              </w:rPr>
            </w:pPr>
            <w:r w:rsidRPr="00364D88">
              <w:rPr>
                <w:bCs/>
                <w:color w:val="000000"/>
                <w:sz w:val="20"/>
                <w:szCs w:val="20"/>
              </w:rPr>
              <w:t>Total No. Responses </w:t>
            </w:r>
          </w:p>
        </w:tc>
        <w:tc>
          <w:tcPr>
            <w:tcW w:w="1199" w:type="dxa"/>
            <w:shd w:val="clear" w:color="auto" w:fill="auto"/>
            <w:tcMar>
              <w:top w:w="0" w:type="dxa"/>
              <w:left w:w="108" w:type="dxa"/>
              <w:bottom w:w="0" w:type="dxa"/>
              <w:right w:w="108" w:type="dxa"/>
            </w:tcMar>
          </w:tcPr>
          <w:p w:rsidRPr="00364D88" w:rsidR="00364D88" w:rsidP="00364D88" w:rsidRDefault="00364D88" w14:paraId="2827B4F1" w14:textId="77777777">
            <w:pPr>
              <w:spacing w:after="0"/>
              <w:jc w:val="center"/>
              <w:textAlignment w:val="baseline"/>
              <w:rPr>
                <w:bCs/>
                <w:sz w:val="20"/>
                <w:szCs w:val="20"/>
              </w:rPr>
            </w:pPr>
            <w:r w:rsidRPr="00364D88">
              <w:rPr>
                <w:bCs/>
                <w:sz w:val="20"/>
                <w:szCs w:val="20"/>
              </w:rPr>
              <w:t>Time per Response (hours) </w:t>
            </w:r>
          </w:p>
        </w:tc>
        <w:tc>
          <w:tcPr>
            <w:tcW w:w="1274" w:type="dxa"/>
            <w:shd w:val="clear" w:color="auto" w:fill="auto"/>
            <w:tcMar>
              <w:top w:w="0" w:type="dxa"/>
              <w:left w:w="108" w:type="dxa"/>
              <w:bottom w:w="0" w:type="dxa"/>
              <w:right w:w="108" w:type="dxa"/>
            </w:tcMar>
          </w:tcPr>
          <w:p w:rsidRPr="00364D88" w:rsidR="00364D88" w:rsidP="00364D88" w:rsidRDefault="00364D88" w14:paraId="16554FA1" w14:textId="77777777">
            <w:pPr>
              <w:spacing w:after="0"/>
              <w:jc w:val="center"/>
              <w:textAlignment w:val="baseline"/>
              <w:rPr>
                <w:color w:val="000000"/>
                <w:sz w:val="20"/>
                <w:szCs w:val="20"/>
              </w:rPr>
            </w:pPr>
            <w:r w:rsidRPr="00364D88">
              <w:rPr>
                <w:color w:val="000000"/>
                <w:sz w:val="20"/>
                <w:szCs w:val="20"/>
              </w:rPr>
              <w:t>Total Annual Time (hours) </w:t>
            </w:r>
          </w:p>
        </w:tc>
        <w:tc>
          <w:tcPr>
            <w:tcW w:w="929" w:type="dxa"/>
            <w:shd w:val="clear" w:color="auto" w:fill="auto"/>
            <w:tcMar>
              <w:top w:w="0" w:type="dxa"/>
              <w:left w:w="108" w:type="dxa"/>
              <w:bottom w:w="0" w:type="dxa"/>
              <w:right w:w="108" w:type="dxa"/>
            </w:tcMar>
          </w:tcPr>
          <w:p w:rsidRPr="00364D88" w:rsidR="00364D88" w:rsidP="00364D88" w:rsidRDefault="00364D88" w14:paraId="61DC914D" w14:textId="77777777">
            <w:pPr>
              <w:spacing w:after="0"/>
              <w:jc w:val="center"/>
              <w:textAlignment w:val="baseline"/>
              <w:rPr>
                <w:bCs/>
                <w:sz w:val="20"/>
                <w:szCs w:val="20"/>
              </w:rPr>
            </w:pPr>
            <w:r w:rsidRPr="00364D88">
              <w:rPr>
                <w:bCs/>
                <w:sz w:val="20"/>
                <w:szCs w:val="20"/>
              </w:rPr>
              <w:t>Labor </w:t>
            </w:r>
          </w:p>
          <w:p w:rsidRPr="00364D88" w:rsidR="00364D88" w:rsidP="00364D88" w:rsidRDefault="00364D88" w14:paraId="65BF318E" w14:textId="77777777">
            <w:pPr>
              <w:spacing w:after="0"/>
              <w:jc w:val="center"/>
              <w:textAlignment w:val="baseline"/>
              <w:rPr>
                <w:bCs/>
                <w:sz w:val="20"/>
                <w:szCs w:val="20"/>
              </w:rPr>
            </w:pPr>
            <w:r w:rsidRPr="00364D88">
              <w:rPr>
                <w:bCs/>
                <w:sz w:val="20"/>
                <w:szCs w:val="20"/>
              </w:rPr>
              <w:t>Cost </w:t>
            </w:r>
          </w:p>
          <w:p w:rsidRPr="00364D88" w:rsidR="00364D88" w:rsidP="00364D88" w:rsidRDefault="00364D88" w14:paraId="72DCF4B7" w14:textId="77777777">
            <w:pPr>
              <w:spacing w:after="0"/>
              <w:jc w:val="center"/>
              <w:textAlignment w:val="baseline"/>
              <w:rPr>
                <w:bCs/>
                <w:sz w:val="20"/>
                <w:szCs w:val="20"/>
              </w:rPr>
            </w:pPr>
            <w:r w:rsidRPr="00364D88">
              <w:rPr>
                <w:bCs/>
                <w:sz w:val="20"/>
                <w:szCs w:val="20"/>
              </w:rPr>
              <w:t>($/</w:t>
            </w:r>
            <w:proofErr w:type="spellStart"/>
            <w:r w:rsidRPr="00364D88">
              <w:rPr>
                <w:bCs/>
                <w:sz w:val="20"/>
                <w:szCs w:val="20"/>
              </w:rPr>
              <w:t>hr</w:t>
            </w:r>
            <w:proofErr w:type="spellEnd"/>
            <w:r w:rsidRPr="00364D88">
              <w:rPr>
                <w:bCs/>
                <w:sz w:val="20"/>
                <w:szCs w:val="20"/>
              </w:rPr>
              <w:t>) </w:t>
            </w:r>
          </w:p>
        </w:tc>
        <w:tc>
          <w:tcPr>
            <w:tcW w:w="1462" w:type="dxa"/>
            <w:shd w:val="clear" w:color="auto" w:fill="auto"/>
            <w:tcMar>
              <w:top w:w="0" w:type="dxa"/>
              <w:left w:w="108" w:type="dxa"/>
              <w:bottom w:w="0" w:type="dxa"/>
              <w:right w:w="108" w:type="dxa"/>
            </w:tcMar>
          </w:tcPr>
          <w:p w:rsidRPr="00364D88" w:rsidR="00364D88" w:rsidP="00364D88" w:rsidRDefault="00364D88" w14:paraId="21A51269" w14:textId="77777777">
            <w:pPr>
              <w:spacing w:after="0"/>
              <w:jc w:val="center"/>
              <w:textAlignment w:val="baseline"/>
              <w:rPr>
                <w:sz w:val="20"/>
                <w:szCs w:val="20"/>
              </w:rPr>
            </w:pPr>
            <w:r w:rsidRPr="00364D88">
              <w:rPr>
                <w:sz w:val="20"/>
                <w:szCs w:val="20"/>
              </w:rPr>
              <w:t>Total Cost </w:t>
            </w:r>
          </w:p>
          <w:p w:rsidRPr="00364D88" w:rsidR="00364D88" w:rsidP="00364D88" w:rsidRDefault="00364D88" w14:paraId="54BFF86C" w14:textId="77777777">
            <w:pPr>
              <w:spacing w:after="0"/>
              <w:jc w:val="center"/>
              <w:textAlignment w:val="baseline"/>
              <w:rPr>
                <w:sz w:val="20"/>
                <w:szCs w:val="20"/>
              </w:rPr>
            </w:pPr>
            <w:r w:rsidRPr="00364D88">
              <w:rPr>
                <w:sz w:val="20"/>
                <w:szCs w:val="20"/>
              </w:rPr>
              <w:t>($)* </w:t>
            </w:r>
          </w:p>
        </w:tc>
      </w:tr>
      <w:tr w:rsidRPr="00364D88" w:rsidR="00F02F8E" w:rsidTr="005945A5" w14:paraId="0FABE4D9" w14:textId="77777777">
        <w:trPr>
          <w:cantSplit/>
          <w:jc w:val="center"/>
        </w:trPr>
        <w:tc>
          <w:tcPr>
            <w:tcW w:w="1863" w:type="dxa"/>
            <w:shd w:val="clear" w:color="auto" w:fill="auto"/>
            <w:tcMar>
              <w:top w:w="0" w:type="dxa"/>
              <w:left w:w="108" w:type="dxa"/>
              <w:bottom w:w="0" w:type="dxa"/>
              <w:right w:w="108" w:type="dxa"/>
            </w:tcMar>
          </w:tcPr>
          <w:p w:rsidRPr="00364D88" w:rsidR="00364D88" w:rsidP="00223079" w:rsidRDefault="00364D88" w14:paraId="10144F77" w14:textId="619BFC72">
            <w:pPr>
              <w:spacing w:after="0"/>
              <w:textAlignment w:val="baseline"/>
              <w:rPr>
                <w:bCs/>
                <w:sz w:val="20"/>
                <w:szCs w:val="20"/>
              </w:rPr>
            </w:pPr>
            <w:r w:rsidRPr="00364D88">
              <w:rPr>
                <w:bCs/>
                <w:sz w:val="20"/>
                <w:szCs w:val="20"/>
              </w:rPr>
              <w:t>Quality</w:t>
            </w:r>
            <w:r w:rsidR="00F02F8E">
              <w:rPr>
                <w:bCs/>
                <w:sz w:val="20"/>
                <w:szCs w:val="20"/>
              </w:rPr>
              <w:t xml:space="preserve"> </w:t>
            </w:r>
            <w:r w:rsidRPr="00364D88">
              <w:rPr>
                <w:bCs/>
                <w:sz w:val="20"/>
                <w:szCs w:val="20"/>
              </w:rPr>
              <w:t>Payment Program  </w:t>
            </w:r>
          </w:p>
        </w:tc>
        <w:tc>
          <w:tcPr>
            <w:tcW w:w="1484" w:type="dxa"/>
            <w:shd w:val="clear" w:color="auto" w:fill="auto"/>
            <w:tcMar>
              <w:top w:w="0" w:type="dxa"/>
              <w:left w:w="108" w:type="dxa"/>
              <w:bottom w:w="0" w:type="dxa"/>
              <w:right w:w="108" w:type="dxa"/>
            </w:tcMar>
          </w:tcPr>
          <w:p w:rsidRPr="00364D88" w:rsidR="00364D88" w:rsidP="00364D88" w:rsidRDefault="00155A3C" w14:paraId="76395075" w14:textId="4718D184">
            <w:pPr>
              <w:spacing w:after="0"/>
              <w:jc w:val="center"/>
              <w:textAlignment w:val="baseline"/>
              <w:rPr>
                <w:bCs/>
                <w:color w:val="000000"/>
                <w:sz w:val="20"/>
                <w:szCs w:val="20"/>
              </w:rPr>
            </w:pPr>
            <w:r>
              <w:rPr>
                <w:bCs/>
                <w:color w:val="000000"/>
                <w:sz w:val="20"/>
                <w:szCs w:val="20"/>
              </w:rPr>
              <w:t>180,365</w:t>
            </w:r>
          </w:p>
        </w:tc>
        <w:tc>
          <w:tcPr>
            <w:tcW w:w="1284" w:type="dxa"/>
            <w:shd w:val="clear" w:color="auto" w:fill="auto"/>
            <w:tcMar>
              <w:top w:w="0" w:type="dxa"/>
              <w:left w:w="108" w:type="dxa"/>
              <w:bottom w:w="0" w:type="dxa"/>
              <w:right w:w="108" w:type="dxa"/>
            </w:tcMar>
          </w:tcPr>
          <w:p w:rsidRPr="00364D88" w:rsidR="00364D88" w:rsidP="00364D88" w:rsidRDefault="00155A3C" w14:paraId="0FD09C9B" w14:textId="1FBC2C05">
            <w:pPr>
              <w:spacing w:after="0"/>
              <w:jc w:val="center"/>
              <w:textAlignment w:val="baseline"/>
              <w:rPr>
                <w:bCs/>
                <w:color w:val="000000"/>
                <w:sz w:val="20"/>
                <w:szCs w:val="20"/>
              </w:rPr>
            </w:pPr>
            <w:r>
              <w:rPr>
                <w:bCs/>
                <w:color w:val="000000"/>
                <w:sz w:val="20"/>
                <w:szCs w:val="20"/>
              </w:rPr>
              <w:t>344,023</w:t>
            </w:r>
          </w:p>
        </w:tc>
        <w:tc>
          <w:tcPr>
            <w:tcW w:w="1199" w:type="dxa"/>
            <w:shd w:val="clear" w:color="auto" w:fill="auto"/>
            <w:tcMar>
              <w:top w:w="0" w:type="dxa"/>
              <w:left w:w="108" w:type="dxa"/>
              <w:bottom w:w="0" w:type="dxa"/>
              <w:right w:w="108" w:type="dxa"/>
            </w:tcMar>
          </w:tcPr>
          <w:p w:rsidRPr="00364D88" w:rsidR="00364D88" w:rsidP="00364D88" w:rsidRDefault="00F02F8E" w14:paraId="5114A2C6" w14:textId="053FDDEC">
            <w:pPr>
              <w:spacing w:after="0"/>
              <w:jc w:val="center"/>
              <w:textAlignment w:val="baseline"/>
              <w:rPr>
                <w:bCs/>
                <w:sz w:val="20"/>
                <w:szCs w:val="20"/>
              </w:rPr>
            </w:pPr>
            <w:r>
              <w:rPr>
                <w:bCs/>
                <w:sz w:val="20"/>
                <w:szCs w:val="20"/>
              </w:rPr>
              <w:t>Varies</w:t>
            </w:r>
          </w:p>
        </w:tc>
        <w:tc>
          <w:tcPr>
            <w:tcW w:w="1274" w:type="dxa"/>
            <w:shd w:val="clear" w:color="auto" w:fill="auto"/>
            <w:tcMar>
              <w:top w:w="0" w:type="dxa"/>
              <w:left w:w="108" w:type="dxa"/>
              <w:bottom w:w="0" w:type="dxa"/>
              <w:right w:w="108" w:type="dxa"/>
            </w:tcMar>
          </w:tcPr>
          <w:p w:rsidRPr="00364D88" w:rsidR="00364D88" w:rsidP="00364D88" w:rsidRDefault="00155A3C" w14:paraId="1FB5762D" w14:textId="57380E0C">
            <w:pPr>
              <w:spacing w:after="0"/>
              <w:jc w:val="center"/>
              <w:textAlignment w:val="baseline"/>
              <w:rPr>
                <w:color w:val="000000"/>
                <w:sz w:val="20"/>
                <w:szCs w:val="20"/>
              </w:rPr>
            </w:pPr>
            <w:r>
              <w:rPr>
                <w:color w:val="000000"/>
                <w:sz w:val="20"/>
                <w:szCs w:val="20"/>
              </w:rPr>
              <w:t>1,469,</w:t>
            </w:r>
            <w:r w:rsidR="00FB2656">
              <w:rPr>
                <w:color w:val="000000"/>
                <w:sz w:val="20"/>
                <w:szCs w:val="20"/>
              </w:rPr>
              <w:t>23</w:t>
            </w:r>
            <w:r>
              <w:rPr>
                <w:color w:val="000000"/>
                <w:sz w:val="20"/>
                <w:szCs w:val="20"/>
              </w:rPr>
              <w:t>4</w:t>
            </w:r>
          </w:p>
        </w:tc>
        <w:tc>
          <w:tcPr>
            <w:tcW w:w="929" w:type="dxa"/>
            <w:shd w:val="clear" w:color="auto" w:fill="auto"/>
            <w:tcMar>
              <w:top w:w="0" w:type="dxa"/>
              <w:left w:w="108" w:type="dxa"/>
              <w:bottom w:w="0" w:type="dxa"/>
              <w:right w:w="108" w:type="dxa"/>
            </w:tcMar>
          </w:tcPr>
          <w:p w:rsidRPr="00364D88" w:rsidR="00364D88" w:rsidP="00364D88" w:rsidRDefault="00F02F8E" w14:paraId="0F835393" w14:textId="45088AAE">
            <w:pPr>
              <w:spacing w:after="0"/>
              <w:jc w:val="center"/>
              <w:textAlignment w:val="baseline"/>
              <w:rPr>
                <w:bCs/>
                <w:sz w:val="20"/>
                <w:szCs w:val="20"/>
              </w:rPr>
            </w:pPr>
            <w:r>
              <w:rPr>
                <w:bCs/>
                <w:sz w:val="20"/>
                <w:szCs w:val="20"/>
              </w:rPr>
              <w:t>Varies</w:t>
            </w:r>
          </w:p>
        </w:tc>
        <w:tc>
          <w:tcPr>
            <w:tcW w:w="1462" w:type="dxa"/>
            <w:shd w:val="clear" w:color="auto" w:fill="auto"/>
            <w:tcMar>
              <w:top w:w="0" w:type="dxa"/>
              <w:left w:w="108" w:type="dxa"/>
              <w:bottom w:w="0" w:type="dxa"/>
              <w:right w:w="108" w:type="dxa"/>
            </w:tcMar>
          </w:tcPr>
          <w:p w:rsidRPr="00364D88" w:rsidR="00364D88" w:rsidP="00364D88" w:rsidRDefault="00FB2656" w14:paraId="3C29DCDC" w14:textId="7832F317">
            <w:pPr>
              <w:spacing w:after="0"/>
              <w:jc w:val="center"/>
              <w:textAlignment w:val="baseline"/>
              <w:rPr>
                <w:sz w:val="20"/>
                <w:szCs w:val="20"/>
              </w:rPr>
            </w:pPr>
            <w:r>
              <w:rPr>
                <w:sz w:val="20"/>
                <w:szCs w:val="20"/>
              </w:rPr>
              <w:t>156,792,565</w:t>
            </w:r>
          </w:p>
        </w:tc>
      </w:tr>
    </w:tbl>
    <w:p w:rsidRPr="00223079" w:rsidR="00E14493" w:rsidP="00364D88" w:rsidRDefault="00364D88" w14:paraId="09F5DA86" w14:textId="1D3418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sz w:val="18"/>
          <w:szCs w:val="18"/>
        </w:rPr>
      </w:pPr>
      <w:r>
        <w:rPr>
          <w:sz w:val="18"/>
          <w:szCs w:val="18"/>
        </w:rPr>
        <w:t>*</w:t>
      </w:r>
      <w:r w:rsidRPr="00223079" w:rsidR="00E14493">
        <w:rPr>
          <w:sz w:val="18"/>
          <w:szCs w:val="18"/>
        </w:rPr>
        <w:t>With respect to the PRA, the CY 202</w:t>
      </w:r>
      <w:r w:rsidR="00EF20BF">
        <w:rPr>
          <w:sz w:val="18"/>
          <w:szCs w:val="18"/>
        </w:rPr>
        <w:t>3</w:t>
      </w:r>
      <w:r w:rsidRPr="00223079" w:rsidR="00E14493">
        <w:rPr>
          <w:sz w:val="18"/>
          <w:szCs w:val="18"/>
        </w:rPr>
        <w:t xml:space="preserve"> PFS </w:t>
      </w:r>
      <w:r w:rsidR="00EF20BF">
        <w:rPr>
          <w:sz w:val="18"/>
          <w:szCs w:val="18"/>
        </w:rPr>
        <w:t>proposed</w:t>
      </w:r>
      <w:r w:rsidRPr="00223079" w:rsidR="004F069B">
        <w:rPr>
          <w:sz w:val="18"/>
          <w:szCs w:val="18"/>
        </w:rPr>
        <w:t xml:space="preserve"> </w:t>
      </w:r>
      <w:r w:rsidRPr="00223079" w:rsidR="00E14493">
        <w:rPr>
          <w:sz w:val="18"/>
          <w:szCs w:val="18"/>
        </w:rPr>
        <w:t xml:space="preserve">rule does not impose any non-labor costs. </w:t>
      </w:r>
    </w:p>
    <w:p w:rsidR="00E14493" w:rsidP="00E14493" w:rsidRDefault="00E14493" w14:paraId="37CCFF7A" w14:textId="77777777"/>
    <w:p w:rsidRPr="00136D86" w:rsidR="002E06AF" w:rsidP="00A46175" w:rsidRDefault="00A64ED4" w14:paraId="6FDC9D40" w14:textId="1180BE45">
      <w:pPr>
        <w:pStyle w:val="Heading2"/>
      </w:pPr>
      <w:r w:rsidRPr="00136D86">
        <w:lastRenderedPageBreak/>
        <w:t>Publication and Tabulation Dates</w:t>
      </w:r>
    </w:p>
    <w:p w:rsidR="00602344" w:rsidP="00E12B53" w:rsidRDefault="005F2685" w14:paraId="07921F62" w14:textId="008D1F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order t</w:t>
      </w:r>
      <w:r w:rsidRPr="00602344">
        <w:t>o</w:t>
      </w:r>
      <w:r w:rsidRPr="00602344" w:rsidR="00602344">
        <w:t xml:space="preserve"> provide expert feedback to clinicians and </w:t>
      </w:r>
      <w:r w:rsidRPr="00602344" w:rsidR="00CE754A">
        <w:t>third</w:t>
      </w:r>
      <w:r w:rsidR="00BB7E63">
        <w:t>-</w:t>
      </w:r>
      <w:r w:rsidRPr="00602344" w:rsidR="00CE754A">
        <w:t>party</w:t>
      </w:r>
      <w:r w:rsidRPr="00602344" w:rsidR="00602344">
        <w:t xml:space="preserve">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rsidR="00602344">
        <w:t xml:space="preserve">.  These reports </w:t>
      </w:r>
      <w:r w:rsidR="00390730">
        <w:t>were made</w:t>
      </w:r>
      <w:r w:rsidRPr="00602344" w:rsidR="00602344">
        <w:t xml:space="preserve"> available starting in July 2018 at qpp.cms.gov. We </w:t>
      </w:r>
      <w:r w:rsidR="00390730">
        <w:t>have also</w:t>
      </w:r>
      <w:r w:rsidRPr="00602344" w:rsidR="00602344">
        <w:t xml:space="preserve"> </w:t>
      </w:r>
      <w:r w:rsidR="004E6E6D">
        <w:t>provided</w:t>
      </w:r>
      <w:r w:rsidRPr="00602344" w:rsidR="00602344">
        <w:t xml:space="preserve"> performance feedback to MIPS eligible clinicians who participate in MIPS APMs in 2018 and future years as technically feasible. This reflects our commitment to providing as timely information as possible to eligible clinicians to help th</w:t>
      </w:r>
      <w:r w:rsidR="00602344">
        <w:t xml:space="preserve">em predict their performance </w:t>
      </w:r>
      <w:r w:rsidRPr="00602344" w:rsidR="00602344">
        <w:t>in MIPS.</w:t>
      </w:r>
    </w:p>
    <w:p w:rsidRPr="0078551D" w:rsidR="0078551D" w:rsidP="00E12B53" w:rsidRDefault="0078551D" w14:paraId="7EB588B9" w14:textId="410D12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FF"/>
          <w:u w:val="single"/>
          <w:lang w:val="en"/>
        </w:rPr>
      </w:pPr>
      <w:r w:rsidRPr="00BC322D">
        <w:rPr>
          <w:rFonts w:eastAsia="Calibri"/>
        </w:rPr>
        <w:t xml:space="preserve">MIPS information </w:t>
      </w:r>
      <w:r w:rsidR="00064D6F">
        <w:rPr>
          <w:rFonts w:eastAsia="Calibri"/>
        </w:rPr>
        <w:t>is public</w:t>
      </w:r>
      <w:r w:rsidR="007E5083">
        <w:rPr>
          <w:rFonts w:eastAsia="Calibri"/>
        </w:rPr>
        <w:t xml:space="preserve">ly reported </w:t>
      </w:r>
      <w:r w:rsidRPr="00BC322D">
        <w:rPr>
          <w:rFonts w:eastAsia="Calibri"/>
        </w:rPr>
        <w:t xml:space="preserve">through the </w:t>
      </w:r>
      <w:r w:rsidRPr="000B4434">
        <w:rPr>
          <w:rFonts w:eastAsia="Calibri"/>
        </w:rPr>
        <w:t xml:space="preserve"> Compare</w:t>
      </w:r>
      <w:r w:rsidR="00B05DC1">
        <w:rPr>
          <w:rFonts w:eastAsia="Calibri"/>
        </w:rPr>
        <w:t xml:space="preserve"> Tools</w:t>
      </w:r>
      <w:r w:rsidRPr="00BC322D">
        <w:rPr>
          <w:rFonts w:eastAsia="Calibri"/>
        </w:rPr>
        <w:t xml:space="preserve"> website</w:t>
      </w:r>
      <w:r>
        <w:rPr>
          <w:rFonts w:eastAsia="Calibri"/>
        </w:rPr>
        <w:t xml:space="preserve"> </w:t>
      </w:r>
      <w:r w:rsidR="002259A9">
        <w:rPr>
          <w:rFonts w:eastAsia="Calibri"/>
        </w:rPr>
        <w:t>(</w:t>
      </w:r>
      <w:hyperlink w:history="1" r:id="rId11">
        <w:r w:rsidRPr="009B6BAB" w:rsidR="00C810E9">
          <w:rPr>
            <w:rStyle w:val="Hyperlink"/>
            <w:rFonts w:eastAsia="Calibri"/>
          </w:rPr>
          <w:t>https://www.medicare.gov/care-compare/</w:t>
        </w:r>
      </w:hyperlink>
      <w:r w:rsidR="002259A9">
        <w:rPr>
          <w:rFonts w:eastAsia="Calibri"/>
        </w:rPr>
        <w:t>)</w:t>
      </w:r>
      <w:r w:rsidR="00C810E9">
        <w:rPr>
          <w:rFonts w:eastAsia="Calibri"/>
        </w:rPr>
        <w:t xml:space="preserve"> </w:t>
      </w:r>
      <w:r w:rsidR="007E5083">
        <w:rPr>
          <w:rFonts w:eastAsia="Calibri"/>
        </w:rPr>
        <w:t>both</w:t>
      </w:r>
      <w:r w:rsidRPr="00661E59">
        <w:rPr>
          <w:rFonts w:eastAsia="Calibri"/>
        </w:rPr>
        <w:t xml:space="preserve"> on public profile pages </w:t>
      </w:r>
      <w:r w:rsidR="007E5083">
        <w:rPr>
          <w:rFonts w:eastAsia="Calibri"/>
        </w:rPr>
        <w:t>and</w:t>
      </w:r>
      <w:r w:rsidRPr="00661E59">
        <w:rPr>
          <w:rFonts w:eastAsia="Calibri"/>
        </w:rPr>
        <w:t xml:space="preserve"> via the Downloadable Database </w:t>
      </w:r>
      <w:r w:rsidR="000E7BB4">
        <w:rPr>
          <w:rFonts w:eastAsia="Calibri"/>
        </w:rPr>
        <w:t xml:space="preserve">as discussed at </w:t>
      </w:r>
      <w:hyperlink w:history="1" r:id="rId12">
        <w:r w:rsidRPr="002368E8" w:rsidR="000E7BB4">
          <w:rPr>
            <w:rStyle w:val="Hyperlink"/>
            <w:snapToGrid w:val="0"/>
            <w:lang w:val="en"/>
          </w:rPr>
          <w:t>https://www.cms.gov/medicare/quality-initiatives-patient-assessment-instruments/physician-compare-initiative/</w:t>
        </w:r>
      </w:hyperlink>
      <w:r w:rsidR="000E7BB4">
        <w:rPr>
          <w:rStyle w:val="Hyperlink"/>
          <w:snapToGrid w:val="0"/>
          <w:lang w:val="en"/>
        </w:rPr>
        <w:t>.</w:t>
      </w:r>
      <w:r w:rsidRPr="008101FB" w:rsidR="000E7BB4">
        <w:rPr>
          <w:rStyle w:val="Hyperlink"/>
          <w:snapToGrid w:val="0"/>
          <w:u w:val="none"/>
          <w:lang w:val="en"/>
        </w:rPr>
        <w:t xml:space="preserve">  </w:t>
      </w:r>
      <w:r w:rsidR="00485488">
        <w:rPr>
          <w:rFonts w:eastAsia="Calibri"/>
        </w:rPr>
        <w:t>2017, 2018</w:t>
      </w:r>
      <w:r w:rsidR="00F834F5">
        <w:rPr>
          <w:rFonts w:eastAsia="Calibri"/>
        </w:rPr>
        <w:t>, and 2019</w:t>
      </w:r>
      <w:r w:rsidR="009B7334">
        <w:rPr>
          <w:rFonts w:eastAsia="Calibri"/>
        </w:rPr>
        <w:t xml:space="preserve"> </w:t>
      </w:r>
      <w:r w:rsidR="002E0702">
        <w:rPr>
          <w:rFonts w:eastAsia="Calibri"/>
        </w:rPr>
        <w:t xml:space="preserve">Quality Payment Program performance information has been made available </w:t>
      </w:r>
      <w:r w:rsidR="00E21D5D">
        <w:rPr>
          <w:rFonts w:eastAsia="Calibri"/>
        </w:rPr>
        <w:t>for public review</w:t>
      </w:r>
      <w:r w:rsidR="00BB7F72">
        <w:rPr>
          <w:rFonts w:eastAsia="Calibri"/>
        </w:rPr>
        <w:t>.</w:t>
      </w:r>
      <w:r w:rsidR="00B237E8">
        <w:rPr>
          <w:rFonts w:eastAsia="Calibri"/>
        </w:rPr>
        <w:t xml:space="preserve">  </w:t>
      </w:r>
    </w:p>
    <w:p w:rsidR="0078551D" w:rsidP="00E12B53" w:rsidRDefault="0078551D" w14:paraId="154B23CF" w14:textId="188157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w:t>
      </w:r>
      <w:r w:rsidRPr="00214390" w:rsidR="00485488">
        <w:t>federally funded</w:t>
      </w:r>
      <w:r w:rsidRPr="00214390">
        <w:t xml:space="preserve"> health benefit programs, payment and claims processes, quality improvement outreach and reviews, and transparency projects.</w:t>
      </w:r>
    </w:p>
    <w:p w:rsidRPr="00136D86" w:rsidR="002E06AF" w:rsidP="00A46175" w:rsidRDefault="00A64ED4" w14:paraId="74767B5A" w14:textId="53DDB143">
      <w:pPr>
        <w:pStyle w:val="Heading2"/>
      </w:pPr>
      <w:r w:rsidRPr="00136D86">
        <w:t>Expiration Date</w:t>
      </w:r>
    </w:p>
    <w:p w:rsidR="0078551D" w:rsidP="0023292D" w:rsidRDefault="0078551D" w14:paraId="2703DFBE" w14:textId="3772C30C">
      <w:pPr>
        <w:keepNext/>
        <w:keepLines/>
        <w:jc w:val="both"/>
        <w:rPr>
          <w:szCs w:val="20"/>
        </w:rPr>
      </w:pPr>
      <w:r w:rsidRPr="0000329D">
        <w:rPr>
          <w:szCs w:val="20"/>
        </w:rPr>
        <w:t xml:space="preserve">The expiration date </w:t>
      </w:r>
      <w:r w:rsidR="001B46E4">
        <w:rPr>
          <w:szCs w:val="20"/>
        </w:rPr>
        <w:t xml:space="preserve">is </w:t>
      </w:r>
      <w:r w:rsidRPr="0000329D">
        <w:rPr>
          <w:szCs w:val="20"/>
        </w:rPr>
        <w:t xml:space="preserve">displayed on </w:t>
      </w:r>
      <w:r>
        <w:rPr>
          <w:szCs w:val="20"/>
        </w:rPr>
        <w:t xml:space="preserve">all </w:t>
      </w:r>
      <w:r w:rsidRPr="0000329D">
        <w:rPr>
          <w:szCs w:val="20"/>
        </w:rPr>
        <w:t>web-based data collection forms</w:t>
      </w:r>
      <w:r>
        <w:rPr>
          <w:szCs w:val="20"/>
        </w:rPr>
        <w:t>.</w:t>
      </w:r>
    </w:p>
    <w:p w:rsidRPr="00136D86" w:rsidR="002E06AF" w:rsidP="00A46175" w:rsidRDefault="00A64ED4" w14:paraId="7FB4A24D" w14:textId="0F66DDA4">
      <w:pPr>
        <w:pStyle w:val="Heading2"/>
      </w:pPr>
      <w:r w:rsidRPr="00136D86">
        <w:t>Certification Statement</w:t>
      </w:r>
    </w:p>
    <w:p w:rsidRPr="00A95513" w:rsidR="00A64ED4" w:rsidP="00EB5476" w:rsidRDefault="0078551D" w14:paraId="7E5277CC" w14:textId="159C04B5">
      <w:pPr>
        <w:jc w:val="both"/>
        <w:rPr>
          <w:b/>
          <w:u w:val="single"/>
        </w:rPr>
      </w:pPr>
      <w:r w:rsidRPr="0007426C">
        <w:rPr>
          <w:szCs w:val="20"/>
        </w:rPr>
        <w:t>There are no exceptions to the certification statement.</w:t>
      </w:r>
    </w:p>
    <w:sectPr w:rsidRPr="00A95513" w:rsidR="00A64ED4" w:rsidSect="00333EB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300CD" w14:textId="77777777" w:rsidR="006B2167" w:rsidRDefault="006B2167" w:rsidP="007D4251">
      <w:r>
        <w:separator/>
      </w:r>
    </w:p>
  </w:endnote>
  <w:endnote w:type="continuationSeparator" w:id="0">
    <w:p w14:paraId="4BB04692" w14:textId="77777777" w:rsidR="006B2167" w:rsidRDefault="006B2167" w:rsidP="007D4251">
      <w:r>
        <w:continuationSeparator/>
      </w:r>
    </w:p>
  </w:endnote>
  <w:endnote w:type="continuationNotice" w:id="1">
    <w:p w14:paraId="6C431177" w14:textId="77777777" w:rsidR="006B2167" w:rsidRDefault="006B2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33490"/>
      <w:docPartObj>
        <w:docPartGallery w:val="Page Numbers (Bottom of Page)"/>
        <w:docPartUnique/>
      </w:docPartObj>
    </w:sdtPr>
    <w:sdtEndPr>
      <w:rPr>
        <w:noProof/>
      </w:rPr>
    </w:sdtEndPr>
    <w:sdtContent>
      <w:p w14:paraId="1CCAC9E7" w14:textId="0DDD4B17" w:rsidR="006B2167" w:rsidRDefault="006B216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64E3" w14:textId="77777777" w:rsidR="006B2167" w:rsidRDefault="006B2167" w:rsidP="007D4251">
      <w:r>
        <w:separator/>
      </w:r>
    </w:p>
  </w:footnote>
  <w:footnote w:type="continuationSeparator" w:id="0">
    <w:p w14:paraId="05AFD259" w14:textId="77777777" w:rsidR="006B2167" w:rsidRDefault="006B2167" w:rsidP="007D4251">
      <w:r>
        <w:continuationSeparator/>
      </w:r>
    </w:p>
  </w:footnote>
  <w:footnote w:type="continuationNotice" w:id="1">
    <w:p w14:paraId="457FCD30" w14:textId="77777777" w:rsidR="006B2167" w:rsidRDefault="006B2167"/>
  </w:footnote>
  <w:footnote w:id="2">
    <w:p w14:paraId="223CA378" w14:textId="7E8FC80A" w:rsidR="006B2167" w:rsidRPr="00D15988" w:rsidRDefault="006B2167"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Cost performance category measures do not require the collection of additional data because they are derived from the Medicare Parts A and B claims.</w:t>
      </w:r>
    </w:p>
  </w:footnote>
  <w:footnote w:id="3">
    <w:p w14:paraId="448D18FA" w14:textId="4490D199" w:rsidR="006B2167" w:rsidRPr="00D15988" w:rsidRDefault="006B2167" w:rsidP="00F049CC">
      <w:pPr>
        <w:pStyle w:val="FootnoteText"/>
        <w:spacing w:after="0"/>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56F37ACF" w:rsidR="006B2167" w:rsidRPr="00D15988" w:rsidRDefault="006B2167" w:rsidP="003022E0">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For further detail on MIPS exclusions, see Supporting Statement B and the Regulatory Impact Analysis Section of the CY 202</w:t>
      </w:r>
      <w:r>
        <w:rPr>
          <w:rFonts w:ascii="Times New Roman" w:hAnsi="Times New Roman" w:cs="Times New Roman"/>
          <w:sz w:val="20"/>
        </w:rPr>
        <w:t>3</w:t>
      </w:r>
      <w:r w:rsidRPr="00D15988">
        <w:rPr>
          <w:rFonts w:ascii="Times New Roman" w:hAnsi="Times New Roman" w:cs="Times New Roman"/>
          <w:sz w:val="20"/>
        </w:rPr>
        <w:t xml:space="preserve"> PFS </w:t>
      </w:r>
      <w:r>
        <w:rPr>
          <w:rFonts w:ascii="Times New Roman" w:hAnsi="Times New Roman" w:cs="Times New Roman"/>
          <w:sz w:val="20"/>
        </w:rPr>
        <w:t>proposed</w:t>
      </w:r>
      <w:r w:rsidRPr="00D15988">
        <w:rPr>
          <w:rFonts w:ascii="Times New Roman" w:hAnsi="Times New Roman" w:cs="Times New Roman"/>
          <w:sz w:val="20"/>
        </w:rPr>
        <w:t xml:space="preserve"> rule.</w:t>
      </w:r>
    </w:p>
  </w:footnote>
  <w:footnote w:id="5">
    <w:p w14:paraId="34022E9B" w14:textId="3EBD8436" w:rsidR="006B2167" w:rsidRPr="00D15988" w:rsidRDefault="006B2167">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Lawrence P. Casalino et al, “US Physician Practices Spend More than $15.4 Billion Annually to Report Quality Measures,” Health Affairs, 35, no. 3 (2016): 401-406.</w:t>
      </w:r>
    </w:p>
  </w:footnote>
  <w:footnote w:id="6">
    <w:p w14:paraId="125E619D" w14:textId="738A8716" w:rsidR="006B2167" w:rsidRPr="00D15988" w:rsidRDefault="006B2167">
      <w:pPr>
        <w:pStyle w:val="FootnoteText"/>
        <w:rPr>
          <w:rFonts w:ascii="Times New Roman" w:hAnsi="Times New Roman" w:cs="Times New Roman"/>
          <w:sz w:val="20"/>
        </w:rPr>
      </w:pPr>
      <w:r w:rsidRPr="00D15988">
        <w:rPr>
          <w:rStyle w:val="FootnoteReference"/>
          <w:rFonts w:ascii="Times New Roman" w:hAnsi="Times New Roman" w:cs="Times New Roman"/>
          <w:sz w:val="20"/>
        </w:rPr>
        <w:footnoteRef/>
      </w:r>
      <w:r w:rsidRPr="00D15988">
        <w:rPr>
          <w:rFonts w:ascii="Times New Roman" w:hAnsi="Times New Roman" w:cs="Times New Roman"/>
          <w:sz w:val="20"/>
        </w:rPr>
        <w:t xml:space="preserve"> We do not anticipate any changes in the CEHRT process for health IT vendors as we transition to MIPS.  Hence, health IT vendors are not included in the burden estimates for MIPS.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659"/>
    <w:multiLevelType w:val="hybridMultilevel"/>
    <w:tmpl w:val="A57E5680"/>
    <w:lvl w:ilvl="0" w:tplc="0980C0FC">
      <w:start w:val="1"/>
      <w:numFmt w:val="lowerRoman"/>
      <w:pStyle w:val="Heading4"/>
      <w:lvlText w:val="%1."/>
      <w:lvlJc w:val="righ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B733A0"/>
    <w:multiLevelType w:val="hybridMultilevel"/>
    <w:tmpl w:val="2A5093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62B8"/>
    <w:multiLevelType w:val="hybridMultilevel"/>
    <w:tmpl w:val="BED6C1A0"/>
    <w:lvl w:ilvl="0" w:tplc="DFF66690">
      <w:start w:val="1"/>
      <w:numFmt w:val="upperLetter"/>
      <w:lvlText w:val="%1"/>
      <w:lvlJc w:val="left"/>
      <w:pPr>
        <w:ind w:left="720" w:hanging="360"/>
      </w:pPr>
      <w:rPr>
        <w:rFonts w:hint="default"/>
      </w:rPr>
    </w:lvl>
    <w:lvl w:ilvl="1" w:tplc="0F6E360E">
      <w:start w:val="1"/>
      <w:numFmt w:val="decimal"/>
      <w:lvlText w:val="%2."/>
      <w:lvlJc w:val="left"/>
      <w:pPr>
        <w:ind w:left="1620" w:hanging="360"/>
      </w:pPr>
      <w:rPr>
        <w:rFonts w:hint="default"/>
      </w:rPr>
    </w:lvl>
    <w:lvl w:ilvl="2" w:tplc="3B8E213E">
      <w:start w:val="1"/>
      <w:numFmt w:val="lowerLetter"/>
      <w:lvlText w:val="%3."/>
      <w:lvlJc w:val="right"/>
      <w:pPr>
        <w:ind w:left="2160" w:hanging="360"/>
      </w:pPr>
      <w:rPr>
        <w:rFonts w:hint="default"/>
      </w:rPr>
    </w:lvl>
    <w:lvl w:ilvl="3" w:tplc="46D0EB6C">
      <w:start w:val="1"/>
      <w:numFmt w:val="lowerRoman"/>
      <w:lvlText w:val="%4."/>
      <w:lvlJc w:val="right"/>
      <w:pPr>
        <w:ind w:left="2880" w:hanging="360"/>
      </w:pPr>
      <w:rPr>
        <w:rFonts w:hint="default"/>
      </w:rPr>
    </w:lvl>
    <w:lvl w:ilvl="4" w:tplc="AEEC46D6">
      <w:start w:val="1"/>
      <w:numFmt w:val="lowerLetter"/>
      <w:lvlText w:val="%5."/>
      <w:lvlJc w:val="left"/>
      <w:pPr>
        <w:ind w:left="3600" w:hanging="360"/>
      </w:pPr>
      <w:rPr>
        <w:rFonts w:hint="default"/>
      </w:rPr>
    </w:lvl>
    <w:lvl w:ilvl="5" w:tplc="EB76BF36">
      <w:start w:val="1"/>
      <w:numFmt w:val="lowerRoman"/>
      <w:lvlText w:val="%6."/>
      <w:lvlJc w:val="right"/>
      <w:pPr>
        <w:ind w:left="4320" w:hanging="360"/>
      </w:pPr>
      <w:rPr>
        <w:rFonts w:hint="default"/>
      </w:rPr>
    </w:lvl>
    <w:lvl w:ilvl="6" w:tplc="2A484FD8">
      <w:start w:val="1"/>
      <w:numFmt w:val="decimal"/>
      <w:lvlText w:val="%7."/>
      <w:lvlJc w:val="left"/>
      <w:pPr>
        <w:ind w:left="5040" w:hanging="360"/>
      </w:pPr>
      <w:rPr>
        <w:rFonts w:hint="default"/>
      </w:rPr>
    </w:lvl>
    <w:lvl w:ilvl="7" w:tplc="867A9170">
      <w:start w:val="1"/>
      <w:numFmt w:val="lowerLetter"/>
      <w:lvlText w:val="%8."/>
      <w:lvlJc w:val="left"/>
      <w:pPr>
        <w:ind w:left="5760" w:hanging="360"/>
      </w:pPr>
      <w:rPr>
        <w:rFonts w:hint="default"/>
      </w:rPr>
    </w:lvl>
    <w:lvl w:ilvl="8" w:tplc="155CC662">
      <w:start w:val="1"/>
      <w:numFmt w:val="lowerRoman"/>
      <w:lvlText w:val="%9."/>
      <w:lvlJc w:val="right"/>
      <w:pPr>
        <w:ind w:left="6480" w:hanging="360"/>
      </w:pPr>
      <w:rPr>
        <w:rFonts w:hint="default"/>
      </w:rPr>
    </w:lvl>
  </w:abstractNum>
  <w:abstractNum w:abstractNumId="3" w15:restartNumberingAfterBreak="0">
    <w:nsid w:val="0981542C"/>
    <w:multiLevelType w:val="hybridMultilevel"/>
    <w:tmpl w:val="E7FE9874"/>
    <w:lvl w:ilvl="0" w:tplc="E3641134">
      <w:start w:val="1"/>
      <w:numFmt w:val="upperLetter"/>
      <w:lvlText w:val="%1"/>
      <w:lvlJc w:val="left"/>
      <w:pPr>
        <w:ind w:left="720" w:hanging="360"/>
      </w:pPr>
      <w:rPr>
        <w:rFonts w:hint="default"/>
      </w:rPr>
    </w:lvl>
    <w:lvl w:ilvl="1" w:tplc="7534BAD0">
      <w:start w:val="1"/>
      <w:numFmt w:val="decimal"/>
      <w:lvlText w:val="%2."/>
      <w:lvlJc w:val="left"/>
      <w:pPr>
        <w:ind w:left="1350" w:hanging="360"/>
      </w:pPr>
      <w:rPr>
        <w:rFonts w:hint="default"/>
      </w:rPr>
    </w:lvl>
    <w:lvl w:ilvl="2" w:tplc="37BC8706">
      <w:start w:val="1"/>
      <w:numFmt w:val="lowerLetter"/>
      <w:lvlText w:val="%3."/>
      <w:lvlJc w:val="right"/>
      <w:pPr>
        <w:ind w:left="2160" w:hanging="360"/>
      </w:pPr>
      <w:rPr>
        <w:rFonts w:hint="default"/>
      </w:rPr>
    </w:lvl>
    <w:lvl w:ilvl="3" w:tplc="66E6DE74">
      <w:start w:val="1"/>
      <w:numFmt w:val="lowerRoman"/>
      <w:lvlText w:val="%4"/>
      <w:lvlJc w:val="left"/>
      <w:pPr>
        <w:ind w:left="2880" w:hanging="360"/>
      </w:pPr>
      <w:rPr>
        <w:rFonts w:hint="default"/>
      </w:rPr>
    </w:lvl>
    <w:lvl w:ilvl="4" w:tplc="B5286724">
      <w:start w:val="1"/>
      <w:numFmt w:val="lowerLetter"/>
      <w:lvlText w:val="%5."/>
      <w:lvlJc w:val="left"/>
      <w:pPr>
        <w:ind w:left="3600" w:hanging="360"/>
      </w:pPr>
      <w:rPr>
        <w:rFonts w:hint="default"/>
      </w:rPr>
    </w:lvl>
    <w:lvl w:ilvl="5" w:tplc="4DE82DF2">
      <w:start w:val="1"/>
      <w:numFmt w:val="lowerRoman"/>
      <w:lvlText w:val="%6."/>
      <w:lvlJc w:val="right"/>
      <w:pPr>
        <w:ind w:left="4320" w:hanging="360"/>
      </w:pPr>
      <w:rPr>
        <w:rFonts w:hint="default"/>
      </w:rPr>
    </w:lvl>
    <w:lvl w:ilvl="6" w:tplc="EA98740A">
      <w:start w:val="1"/>
      <w:numFmt w:val="decimal"/>
      <w:lvlText w:val="%7."/>
      <w:lvlJc w:val="left"/>
      <w:pPr>
        <w:ind w:left="5040" w:hanging="360"/>
      </w:pPr>
      <w:rPr>
        <w:rFonts w:hint="default"/>
      </w:rPr>
    </w:lvl>
    <w:lvl w:ilvl="7" w:tplc="2AEC08FC">
      <w:start w:val="1"/>
      <w:numFmt w:val="lowerLetter"/>
      <w:lvlText w:val="%8."/>
      <w:lvlJc w:val="left"/>
      <w:pPr>
        <w:ind w:left="5760" w:hanging="360"/>
      </w:pPr>
      <w:rPr>
        <w:rFonts w:hint="default"/>
      </w:rPr>
    </w:lvl>
    <w:lvl w:ilvl="8" w:tplc="14F69066">
      <w:start w:val="1"/>
      <w:numFmt w:val="lowerRoman"/>
      <w:lvlText w:val="%9."/>
      <w:lvlJc w:val="right"/>
      <w:pPr>
        <w:ind w:left="6480" w:hanging="360"/>
      </w:pPr>
      <w:rPr>
        <w:rFonts w:hint="default"/>
      </w:rPr>
    </w:lvl>
  </w:abstractNum>
  <w:abstractNum w:abstractNumId="4" w15:restartNumberingAfterBreak="0">
    <w:nsid w:val="176D68A5"/>
    <w:multiLevelType w:val="hybridMultilevel"/>
    <w:tmpl w:val="4134BF40"/>
    <w:lvl w:ilvl="0" w:tplc="D54EA614">
      <w:start w:val="1"/>
      <w:numFmt w:val="upperLetter"/>
      <w:lvlText w:val="%1"/>
      <w:lvlJc w:val="left"/>
      <w:pPr>
        <w:ind w:left="720" w:hanging="360"/>
      </w:pPr>
      <w:rPr>
        <w:rFonts w:hint="default"/>
      </w:rPr>
    </w:lvl>
    <w:lvl w:ilvl="1" w:tplc="83CC894C">
      <w:start w:val="1"/>
      <w:numFmt w:val="decimal"/>
      <w:pStyle w:val="Heading2"/>
      <w:lvlText w:val="%2."/>
      <w:lvlJc w:val="left"/>
      <w:pPr>
        <w:ind w:left="1530" w:hanging="360"/>
      </w:pPr>
      <w:rPr>
        <w:rFonts w:hint="default"/>
      </w:rPr>
    </w:lvl>
    <w:lvl w:ilvl="2" w:tplc="4EDCC07C">
      <w:start w:val="1"/>
      <w:numFmt w:val="lowerLetter"/>
      <w:lvlText w:val="%3."/>
      <w:lvlJc w:val="right"/>
      <w:pPr>
        <w:ind w:left="2160" w:hanging="360"/>
      </w:pPr>
      <w:rPr>
        <w:rFonts w:hint="default"/>
      </w:rPr>
    </w:lvl>
    <w:lvl w:ilvl="3" w:tplc="0D7A509A">
      <w:start w:val="1"/>
      <w:numFmt w:val="lowerRoman"/>
      <w:lvlText w:val="%4"/>
      <w:lvlJc w:val="left"/>
      <w:pPr>
        <w:ind w:left="2880" w:hanging="360"/>
      </w:pPr>
      <w:rPr>
        <w:rFonts w:hint="default"/>
      </w:rPr>
    </w:lvl>
    <w:lvl w:ilvl="4" w:tplc="B95CA496">
      <w:start w:val="1"/>
      <w:numFmt w:val="lowerLetter"/>
      <w:lvlText w:val="%5."/>
      <w:lvlJc w:val="left"/>
      <w:pPr>
        <w:ind w:left="3600" w:hanging="360"/>
      </w:pPr>
      <w:rPr>
        <w:rFonts w:hint="default"/>
      </w:rPr>
    </w:lvl>
    <w:lvl w:ilvl="5" w:tplc="8D66FEFA">
      <w:start w:val="1"/>
      <w:numFmt w:val="lowerRoman"/>
      <w:lvlText w:val="%6."/>
      <w:lvlJc w:val="right"/>
      <w:pPr>
        <w:ind w:left="4320" w:hanging="360"/>
      </w:pPr>
      <w:rPr>
        <w:rFonts w:hint="default"/>
      </w:rPr>
    </w:lvl>
    <w:lvl w:ilvl="6" w:tplc="50762D70">
      <w:start w:val="1"/>
      <w:numFmt w:val="decimal"/>
      <w:lvlText w:val="%7."/>
      <w:lvlJc w:val="left"/>
      <w:pPr>
        <w:ind w:left="5040" w:hanging="360"/>
      </w:pPr>
      <w:rPr>
        <w:rFonts w:hint="default"/>
      </w:rPr>
    </w:lvl>
    <w:lvl w:ilvl="7" w:tplc="7E3673F2">
      <w:start w:val="1"/>
      <w:numFmt w:val="lowerLetter"/>
      <w:lvlText w:val="%8."/>
      <w:lvlJc w:val="left"/>
      <w:pPr>
        <w:ind w:left="5760" w:hanging="360"/>
      </w:pPr>
      <w:rPr>
        <w:rFonts w:hint="default"/>
      </w:rPr>
    </w:lvl>
    <w:lvl w:ilvl="8" w:tplc="713469A0">
      <w:start w:val="1"/>
      <w:numFmt w:val="lowerRoman"/>
      <w:lvlText w:val="%9."/>
      <w:lvlJc w:val="right"/>
      <w:pPr>
        <w:ind w:left="6480" w:hanging="360"/>
      </w:pPr>
      <w:rPr>
        <w:rFonts w:hint="default"/>
      </w:rPr>
    </w:lvl>
  </w:abstractNum>
  <w:abstractNum w:abstractNumId="5" w15:restartNumberingAfterBreak="0">
    <w:nsid w:val="1C7C6F64"/>
    <w:multiLevelType w:val="multilevel"/>
    <w:tmpl w:val="0616E6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1FAC5016"/>
    <w:multiLevelType w:val="hybridMultilevel"/>
    <w:tmpl w:val="3FC25BE4"/>
    <w:lvl w:ilvl="0" w:tplc="796CC6CE">
      <w:start w:val="1"/>
      <w:numFmt w:val="upperLetter"/>
      <w:lvlText w:val="%1"/>
      <w:lvlJc w:val="left"/>
      <w:pPr>
        <w:ind w:left="720" w:hanging="360"/>
      </w:pPr>
      <w:rPr>
        <w:rFonts w:hint="default"/>
      </w:rPr>
    </w:lvl>
    <w:lvl w:ilvl="1" w:tplc="5E183582">
      <w:start w:val="1"/>
      <w:numFmt w:val="decimal"/>
      <w:lvlText w:val="%2."/>
      <w:lvlJc w:val="left"/>
      <w:pPr>
        <w:ind w:left="1440" w:hanging="360"/>
      </w:pPr>
      <w:rPr>
        <w:rFonts w:hint="default"/>
      </w:rPr>
    </w:lvl>
    <w:lvl w:ilvl="2" w:tplc="3504403A">
      <w:start w:val="1"/>
      <w:numFmt w:val="lowerLetter"/>
      <w:pStyle w:val="Heading3"/>
      <w:lvlText w:val="%3."/>
      <w:lvlJc w:val="right"/>
      <w:pPr>
        <w:ind w:left="1980" w:hanging="360"/>
      </w:pPr>
      <w:rPr>
        <w:rFonts w:hint="default"/>
      </w:rPr>
    </w:lvl>
    <w:lvl w:ilvl="3" w:tplc="6608AAD0">
      <w:start w:val="1"/>
      <w:numFmt w:val="lowerRoman"/>
      <w:lvlText w:val="%4"/>
      <w:lvlJc w:val="left"/>
      <w:pPr>
        <w:ind w:left="2880" w:hanging="360"/>
      </w:pPr>
      <w:rPr>
        <w:rFonts w:hint="default"/>
      </w:rPr>
    </w:lvl>
    <w:lvl w:ilvl="4" w:tplc="80CECA12">
      <w:start w:val="1"/>
      <w:numFmt w:val="lowerLetter"/>
      <w:lvlText w:val="%5."/>
      <w:lvlJc w:val="left"/>
      <w:pPr>
        <w:ind w:left="3600" w:hanging="360"/>
      </w:pPr>
      <w:rPr>
        <w:rFonts w:hint="default"/>
      </w:rPr>
    </w:lvl>
    <w:lvl w:ilvl="5" w:tplc="958A733A">
      <w:start w:val="1"/>
      <w:numFmt w:val="lowerRoman"/>
      <w:lvlText w:val="%6."/>
      <w:lvlJc w:val="right"/>
      <w:pPr>
        <w:ind w:left="4320" w:hanging="360"/>
      </w:pPr>
      <w:rPr>
        <w:rFonts w:hint="default"/>
      </w:rPr>
    </w:lvl>
    <w:lvl w:ilvl="6" w:tplc="DFC2952A">
      <w:start w:val="1"/>
      <w:numFmt w:val="decimal"/>
      <w:lvlText w:val="%7."/>
      <w:lvlJc w:val="left"/>
      <w:pPr>
        <w:ind w:left="5040" w:hanging="360"/>
      </w:pPr>
      <w:rPr>
        <w:rFonts w:hint="default"/>
      </w:rPr>
    </w:lvl>
    <w:lvl w:ilvl="7" w:tplc="10D8893A">
      <w:start w:val="1"/>
      <w:numFmt w:val="lowerLetter"/>
      <w:lvlText w:val="%8."/>
      <w:lvlJc w:val="left"/>
      <w:pPr>
        <w:ind w:left="5760" w:hanging="360"/>
      </w:pPr>
      <w:rPr>
        <w:rFonts w:hint="default"/>
      </w:rPr>
    </w:lvl>
    <w:lvl w:ilvl="8" w:tplc="E6A86834">
      <w:start w:val="1"/>
      <w:numFmt w:val="lowerRoman"/>
      <w:lvlText w:val="%9."/>
      <w:lvlJc w:val="right"/>
      <w:pPr>
        <w:ind w:left="6480" w:hanging="360"/>
      </w:pPr>
      <w:rPr>
        <w:rFonts w:hint="default"/>
      </w:rPr>
    </w:lvl>
  </w:abstractNum>
  <w:abstractNum w:abstractNumId="7" w15:restartNumberingAfterBreak="0">
    <w:nsid w:val="200C2DC2"/>
    <w:multiLevelType w:val="hybridMultilevel"/>
    <w:tmpl w:val="AEBAB086"/>
    <w:lvl w:ilvl="0" w:tplc="0CC2D036">
      <w:start w:val="1"/>
      <w:numFmt w:val="upperLetter"/>
      <w:pStyle w:val="Heading1"/>
      <w:lvlText w:val="%1."/>
      <w:lvlJc w:val="left"/>
      <w:pPr>
        <w:ind w:left="720" w:hanging="360"/>
      </w:pPr>
      <w:rPr>
        <w:rFonts w:hint="default"/>
      </w:rPr>
    </w:lvl>
    <w:lvl w:ilvl="1" w:tplc="1EC4A89E">
      <w:start w:val="1"/>
      <w:numFmt w:val="decimal"/>
      <w:lvlText w:val="%2"/>
      <w:lvlJc w:val="left"/>
      <w:pPr>
        <w:ind w:left="1440" w:hanging="360"/>
      </w:pPr>
      <w:rPr>
        <w:rFonts w:hint="default"/>
      </w:rPr>
    </w:lvl>
    <w:lvl w:ilvl="2" w:tplc="480EA7BC">
      <w:start w:val="1"/>
      <w:numFmt w:val="lowerLetter"/>
      <w:lvlText w:val="%3."/>
      <w:lvlJc w:val="right"/>
      <w:pPr>
        <w:ind w:left="2160" w:hanging="360"/>
      </w:pPr>
      <w:rPr>
        <w:rFonts w:hint="default"/>
      </w:rPr>
    </w:lvl>
    <w:lvl w:ilvl="3" w:tplc="8C4CC620">
      <w:start w:val="1"/>
      <w:numFmt w:val="lowerRoman"/>
      <w:lvlText w:val="%4"/>
      <w:lvlJc w:val="left"/>
      <w:pPr>
        <w:ind w:left="2880" w:hanging="360"/>
      </w:pPr>
      <w:rPr>
        <w:rFonts w:hint="default"/>
      </w:rPr>
    </w:lvl>
    <w:lvl w:ilvl="4" w:tplc="4CB2DCDC">
      <w:start w:val="1"/>
      <w:numFmt w:val="lowerLetter"/>
      <w:lvlText w:val="%5."/>
      <w:lvlJc w:val="left"/>
      <w:pPr>
        <w:ind w:left="3600" w:hanging="360"/>
      </w:pPr>
      <w:rPr>
        <w:rFonts w:hint="default"/>
      </w:rPr>
    </w:lvl>
    <w:lvl w:ilvl="5" w:tplc="98BE33D0">
      <w:start w:val="1"/>
      <w:numFmt w:val="lowerRoman"/>
      <w:lvlText w:val="%6."/>
      <w:lvlJc w:val="right"/>
      <w:pPr>
        <w:ind w:left="4320" w:hanging="360"/>
      </w:pPr>
      <w:rPr>
        <w:rFonts w:hint="default"/>
      </w:rPr>
    </w:lvl>
    <w:lvl w:ilvl="6" w:tplc="0E90EB2C">
      <w:start w:val="1"/>
      <w:numFmt w:val="decimal"/>
      <w:lvlText w:val="%7."/>
      <w:lvlJc w:val="left"/>
      <w:pPr>
        <w:ind w:left="5040" w:hanging="360"/>
      </w:pPr>
      <w:rPr>
        <w:rFonts w:hint="default"/>
      </w:rPr>
    </w:lvl>
    <w:lvl w:ilvl="7" w:tplc="7564F016">
      <w:start w:val="1"/>
      <w:numFmt w:val="lowerLetter"/>
      <w:lvlText w:val="%8."/>
      <w:lvlJc w:val="left"/>
      <w:pPr>
        <w:ind w:left="5760" w:hanging="360"/>
      </w:pPr>
      <w:rPr>
        <w:rFonts w:hint="default"/>
      </w:rPr>
    </w:lvl>
    <w:lvl w:ilvl="8" w:tplc="14D8132A">
      <w:start w:val="1"/>
      <w:numFmt w:val="lowerRoman"/>
      <w:lvlText w:val="%9."/>
      <w:lvlJc w:val="right"/>
      <w:pPr>
        <w:ind w:left="6480" w:hanging="360"/>
      </w:pPr>
      <w:rPr>
        <w:rFonts w:hint="default"/>
      </w:rPr>
    </w:lvl>
  </w:abstractNum>
  <w:abstractNum w:abstractNumId="8" w15:restartNumberingAfterBreak="0">
    <w:nsid w:val="2C5210E7"/>
    <w:multiLevelType w:val="hybridMultilevel"/>
    <w:tmpl w:val="54F807EC"/>
    <w:lvl w:ilvl="0" w:tplc="46D0EB6C">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66553"/>
    <w:multiLevelType w:val="hybridMultilevel"/>
    <w:tmpl w:val="195C6700"/>
    <w:lvl w:ilvl="0" w:tplc="F38494D0">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2CA2CAA"/>
    <w:multiLevelType w:val="hybridMultilevel"/>
    <w:tmpl w:val="E01664E8"/>
    <w:lvl w:ilvl="0" w:tplc="0CEC1AF8">
      <w:start w:val="1"/>
      <w:numFmt w:val="decimal"/>
      <w:lvlText w:val="%1"/>
      <w:lvlJc w:val="left"/>
      <w:pPr>
        <w:ind w:left="360" w:hanging="360"/>
      </w:pPr>
      <w:rPr>
        <w:rFonts w:hint="default"/>
      </w:rPr>
    </w:lvl>
    <w:lvl w:ilvl="1" w:tplc="3386171E">
      <w:start w:val="1"/>
      <w:numFmt w:val="lowerLetter"/>
      <w:lvlText w:val="%2."/>
      <w:lvlJc w:val="left"/>
      <w:pPr>
        <w:ind w:left="1080" w:hanging="360"/>
      </w:pPr>
    </w:lvl>
    <w:lvl w:ilvl="2" w:tplc="AA02967E">
      <w:start w:val="1"/>
      <w:numFmt w:val="lowerRoman"/>
      <w:lvlText w:val="%3."/>
      <w:lvlJc w:val="right"/>
      <w:pPr>
        <w:ind w:left="1800" w:hanging="180"/>
      </w:pPr>
    </w:lvl>
    <w:lvl w:ilvl="3" w:tplc="5658D470">
      <w:start w:val="1"/>
      <w:numFmt w:val="decimal"/>
      <w:lvlText w:val="%4."/>
      <w:lvlJc w:val="left"/>
      <w:pPr>
        <w:ind w:left="2520" w:hanging="360"/>
      </w:pPr>
      <w:rPr>
        <w:i w:val="0"/>
        <w:i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2C0411"/>
    <w:multiLevelType w:val="hybridMultilevel"/>
    <w:tmpl w:val="7BD04F66"/>
    <w:lvl w:ilvl="0" w:tplc="3B8E213E">
      <w:start w:val="1"/>
      <w:numFmt w:val="lowerLetter"/>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673F8"/>
    <w:multiLevelType w:val="hybridMultilevel"/>
    <w:tmpl w:val="D1B82C46"/>
    <w:lvl w:ilvl="0" w:tplc="45EE1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63374"/>
    <w:multiLevelType w:val="hybridMultilevel"/>
    <w:tmpl w:val="28E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50C75"/>
    <w:multiLevelType w:val="hybridMultilevel"/>
    <w:tmpl w:val="55A8920C"/>
    <w:styleLink w:val="StyleforLevelHeadings"/>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6584"/>
    <w:multiLevelType w:val="hybridMultilevel"/>
    <w:tmpl w:val="945898E2"/>
    <w:lvl w:ilvl="0" w:tplc="0B0E9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2254E8"/>
    <w:multiLevelType w:val="hybridMultilevel"/>
    <w:tmpl w:val="FEFE1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31005"/>
    <w:multiLevelType w:val="hybridMultilevel"/>
    <w:tmpl w:val="341EDAF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09001B">
      <w:start w:val="1"/>
      <w:numFmt w:val="lowerRoman"/>
      <w:lvlText w:val="%3."/>
      <w:lvlJc w:val="right"/>
      <w:pPr>
        <w:ind w:left="1980" w:hanging="360"/>
      </w:pPr>
    </w:lvl>
    <w:lvl w:ilvl="3" w:tplc="FFFFFFFF">
      <w:start w:val="1"/>
      <w:numFmt w:val="lowerRoman"/>
      <w:lvlText w:val="%4"/>
      <w:lvlJc w:val="left"/>
      <w:pPr>
        <w:ind w:left="2880" w:hanging="360"/>
      </w:pPr>
      <w:rPr>
        <w:rFonts w:hint="default"/>
      </w:r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360"/>
      </w:pPr>
      <w:rPr>
        <w:rFonts w:hint="default"/>
      </w:rPr>
    </w:lvl>
    <w:lvl w:ilvl="6" w:tplc="FFFFFFFF">
      <w:start w:val="1"/>
      <w:numFmt w:val="decimal"/>
      <w:lvlText w:val="%7."/>
      <w:lvlJc w:val="left"/>
      <w:pPr>
        <w:ind w:left="5040" w:hanging="360"/>
      </w:pPr>
      <w:rPr>
        <w:rFonts w:hint="default"/>
      </w:rPr>
    </w:lvl>
    <w:lvl w:ilvl="7" w:tplc="FFFFFFFF">
      <w:start w:val="1"/>
      <w:numFmt w:val="lowerLetter"/>
      <w:lvlText w:val="%8."/>
      <w:lvlJc w:val="left"/>
      <w:pPr>
        <w:ind w:left="5760" w:hanging="360"/>
      </w:pPr>
      <w:rPr>
        <w:rFonts w:hint="default"/>
      </w:rPr>
    </w:lvl>
    <w:lvl w:ilvl="8" w:tplc="FFFFFFFF">
      <w:start w:val="1"/>
      <w:numFmt w:val="lowerRoman"/>
      <w:lvlText w:val="%9."/>
      <w:lvlJc w:val="right"/>
      <w:pPr>
        <w:ind w:left="6480" w:hanging="360"/>
      </w:pPr>
      <w:rPr>
        <w:rFonts w:hint="default"/>
      </w:rPr>
    </w:lvl>
  </w:abstractNum>
  <w:abstractNum w:abstractNumId="19"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427A9"/>
    <w:multiLevelType w:val="hybridMultilevel"/>
    <w:tmpl w:val="CA141DE4"/>
    <w:lvl w:ilvl="0" w:tplc="B6DC960E">
      <w:start w:val="1"/>
      <w:numFmt w:val="upperLetter"/>
      <w:lvlText w:val="%1"/>
      <w:lvlJc w:val="left"/>
      <w:pPr>
        <w:ind w:left="720" w:hanging="360"/>
      </w:pPr>
      <w:rPr>
        <w:rFonts w:hint="default"/>
      </w:rPr>
    </w:lvl>
    <w:lvl w:ilvl="1" w:tplc="451836CE">
      <w:start w:val="1"/>
      <w:numFmt w:val="decimal"/>
      <w:lvlText w:val="%2."/>
      <w:lvlJc w:val="left"/>
      <w:pPr>
        <w:ind w:left="1620" w:hanging="360"/>
      </w:pPr>
      <w:rPr>
        <w:rFonts w:hint="default"/>
      </w:rPr>
    </w:lvl>
    <w:lvl w:ilvl="2" w:tplc="D5D6FCE8">
      <w:start w:val="1"/>
      <w:numFmt w:val="lowerLetter"/>
      <w:lvlText w:val="%3."/>
      <w:lvlJc w:val="right"/>
      <w:pPr>
        <w:ind w:left="2160" w:hanging="360"/>
      </w:pPr>
      <w:rPr>
        <w:rFonts w:hint="default"/>
      </w:rPr>
    </w:lvl>
    <w:lvl w:ilvl="3" w:tplc="1270D5B8">
      <w:start w:val="1"/>
      <w:numFmt w:val="lowerRoman"/>
      <w:lvlText w:val="%4"/>
      <w:lvlJc w:val="left"/>
      <w:pPr>
        <w:ind w:left="2880" w:hanging="360"/>
      </w:pPr>
      <w:rPr>
        <w:rFonts w:hint="default"/>
      </w:rPr>
    </w:lvl>
    <w:lvl w:ilvl="4" w:tplc="AD785994">
      <w:start w:val="1"/>
      <w:numFmt w:val="lowerLetter"/>
      <w:lvlText w:val="%5."/>
      <w:lvlJc w:val="left"/>
      <w:pPr>
        <w:ind w:left="3600" w:hanging="360"/>
      </w:pPr>
      <w:rPr>
        <w:rFonts w:hint="default"/>
      </w:rPr>
    </w:lvl>
    <w:lvl w:ilvl="5" w:tplc="E586DA68">
      <w:start w:val="1"/>
      <w:numFmt w:val="lowerRoman"/>
      <w:lvlText w:val="%6."/>
      <w:lvlJc w:val="right"/>
      <w:pPr>
        <w:ind w:left="4320" w:hanging="360"/>
      </w:pPr>
      <w:rPr>
        <w:rFonts w:hint="default"/>
      </w:rPr>
    </w:lvl>
    <w:lvl w:ilvl="6" w:tplc="6324D1D8">
      <w:start w:val="1"/>
      <w:numFmt w:val="decimal"/>
      <w:lvlText w:val="%7."/>
      <w:lvlJc w:val="left"/>
      <w:pPr>
        <w:ind w:left="5040" w:hanging="360"/>
      </w:pPr>
      <w:rPr>
        <w:rFonts w:hint="default"/>
      </w:rPr>
    </w:lvl>
    <w:lvl w:ilvl="7" w:tplc="0C183352">
      <w:start w:val="1"/>
      <w:numFmt w:val="lowerLetter"/>
      <w:lvlText w:val="%8."/>
      <w:lvlJc w:val="left"/>
      <w:pPr>
        <w:ind w:left="5760" w:hanging="360"/>
      </w:pPr>
      <w:rPr>
        <w:rFonts w:hint="default"/>
      </w:rPr>
    </w:lvl>
    <w:lvl w:ilvl="8" w:tplc="60ECD03E">
      <w:start w:val="1"/>
      <w:numFmt w:val="lowerRoman"/>
      <w:lvlText w:val="%9."/>
      <w:lvlJc w:val="right"/>
      <w:pPr>
        <w:ind w:left="6480" w:hanging="360"/>
      </w:pPr>
      <w:rPr>
        <w:rFonts w:hint="default"/>
      </w:rPr>
    </w:lvl>
  </w:abstractNum>
  <w:abstractNum w:abstractNumId="21" w15:restartNumberingAfterBreak="0">
    <w:nsid w:val="6D9671BA"/>
    <w:multiLevelType w:val="hybridMultilevel"/>
    <w:tmpl w:val="C8FAB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C7D93"/>
    <w:multiLevelType w:val="hybridMultilevel"/>
    <w:tmpl w:val="6DF275B2"/>
    <w:lvl w:ilvl="0" w:tplc="04090001">
      <w:start w:val="1"/>
      <w:numFmt w:val="bullet"/>
      <w:lvlText w:val=""/>
      <w:lvlJc w:val="left"/>
      <w:pPr>
        <w:ind w:left="1080" w:hanging="360"/>
      </w:pPr>
      <w:rPr>
        <w:rFonts w:ascii="Symbol" w:hAnsi="Symbol" w:hint="default"/>
      </w:rPr>
    </w:lvl>
    <w:lvl w:ilvl="1" w:tplc="9E000FA2">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922547"/>
    <w:multiLevelType w:val="hybridMultilevel"/>
    <w:tmpl w:val="2342E674"/>
    <w:lvl w:ilvl="0" w:tplc="CF2A0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E5D32"/>
    <w:multiLevelType w:val="hybridMultilevel"/>
    <w:tmpl w:val="26F008B6"/>
    <w:lvl w:ilvl="0" w:tplc="6BE6B2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EB2E62"/>
    <w:multiLevelType w:val="hybridMultilevel"/>
    <w:tmpl w:val="65141D0E"/>
    <w:lvl w:ilvl="0" w:tplc="7F00C0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7"/>
  </w:num>
  <w:num w:numId="3">
    <w:abstractNumId w:val="22"/>
  </w:num>
  <w:num w:numId="4">
    <w:abstractNumId w:val="19"/>
  </w:num>
  <w:num w:numId="5">
    <w:abstractNumId w:val="9"/>
  </w:num>
  <w:num w:numId="6">
    <w:abstractNumId w:val="4"/>
  </w:num>
  <w:num w:numId="7">
    <w:abstractNumId w:val="3"/>
  </w:num>
  <w:num w:numId="8">
    <w:abstractNumId w:val="6"/>
  </w:num>
  <w:num w:numId="9">
    <w:abstractNumId w:val="5"/>
  </w:num>
  <w:num w:numId="10">
    <w:abstractNumId w:val="1"/>
  </w:num>
  <w:num w:numId="11">
    <w:abstractNumId w:val="23"/>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0"/>
  </w:num>
  <w:num w:numId="22">
    <w:abstractNumId w:val="20"/>
  </w:num>
  <w:num w:numId="23">
    <w:abstractNumId w:val="2"/>
  </w:num>
  <w:num w:numId="24">
    <w:abstractNumId w:val="0"/>
  </w:num>
  <w:num w:numId="25">
    <w:abstractNumId w:val="0"/>
  </w:num>
  <w:num w:numId="26">
    <w:abstractNumId w:val="0"/>
  </w:num>
  <w:num w:numId="27">
    <w:abstractNumId w:val="0"/>
  </w:num>
  <w:num w:numId="28">
    <w:abstractNumId w:val="0"/>
  </w:num>
  <w:num w:numId="29">
    <w:abstractNumId w:val="0"/>
  </w:num>
  <w:num w:numId="30">
    <w:abstractNumId w:val="6"/>
  </w:num>
  <w:num w:numId="31">
    <w:abstractNumId w:val="25"/>
  </w:num>
  <w:num w:numId="32">
    <w:abstractNumId w:val="16"/>
  </w:num>
  <w:num w:numId="33">
    <w:abstractNumId w:val="6"/>
  </w:num>
  <w:num w:numId="34">
    <w:abstractNumId w:val="6"/>
  </w:num>
  <w:num w:numId="35">
    <w:abstractNumId w:val="6"/>
  </w:num>
  <w:num w:numId="36">
    <w:abstractNumId w:val="21"/>
  </w:num>
  <w:num w:numId="37">
    <w:abstractNumId w:val="12"/>
  </w:num>
  <w:num w:numId="38">
    <w:abstractNumId w:val="14"/>
  </w:num>
  <w:num w:numId="39">
    <w:abstractNumId w:val="13"/>
  </w:num>
  <w:num w:numId="40">
    <w:abstractNumId w:val="17"/>
  </w:num>
  <w:num w:numId="41">
    <w:abstractNumId w:val="3"/>
  </w:num>
  <w:num w:numId="42">
    <w:abstractNumId w:val="0"/>
  </w:num>
  <w:num w:numId="43">
    <w:abstractNumId w:val="24"/>
  </w:num>
  <w:num w:numId="44">
    <w:abstractNumId w:val="0"/>
  </w:num>
  <w:num w:numId="4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4"/>
    <w:rsid w:val="00000132"/>
    <w:rsid w:val="00000177"/>
    <w:rsid w:val="00000322"/>
    <w:rsid w:val="00000341"/>
    <w:rsid w:val="0000054B"/>
    <w:rsid w:val="0000068E"/>
    <w:rsid w:val="00000945"/>
    <w:rsid w:val="00000A82"/>
    <w:rsid w:val="00000E02"/>
    <w:rsid w:val="00001454"/>
    <w:rsid w:val="0000177A"/>
    <w:rsid w:val="00001818"/>
    <w:rsid w:val="0000185B"/>
    <w:rsid w:val="000018ED"/>
    <w:rsid w:val="00001AD4"/>
    <w:rsid w:val="00001B01"/>
    <w:rsid w:val="00001BAD"/>
    <w:rsid w:val="000027AB"/>
    <w:rsid w:val="00002C57"/>
    <w:rsid w:val="00002E1C"/>
    <w:rsid w:val="00002EA2"/>
    <w:rsid w:val="00002EB6"/>
    <w:rsid w:val="00003063"/>
    <w:rsid w:val="000034A6"/>
    <w:rsid w:val="000037A3"/>
    <w:rsid w:val="00003880"/>
    <w:rsid w:val="000038DC"/>
    <w:rsid w:val="00003CAB"/>
    <w:rsid w:val="00003CEF"/>
    <w:rsid w:val="000042B9"/>
    <w:rsid w:val="0000434B"/>
    <w:rsid w:val="00004523"/>
    <w:rsid w:val="000049F4"/>
    <w:rsid w:val="00004AD3"/>
    <w:rsid w:val="000053DC"/>
    <w:rsid w:val="000057DC"/>
    <w:rsid w:val="00005A1D"/>
    <w:rsid w:val="00005BDD"/>
    <w:rsid w:val="00005BE8"/>
    <w:rsid w:val="000062C7"/>
    <w:rsid w:val="000067D2"/>
    <w:rsid w:val="00006A28"/>
    <w:rsid w:val="00006D74"/>
    <w:rsid w:val="00007047"/>
    <w:rsid w:val="000072E2"/>
    <w:rsid w:val="00007330"/>
    <w:rsid w:val="00007333"/>
    <w:rsid w:val="000073A6"/>
    <w:rsid w:val="00007529"/>
    <w:rsid w:val="000102E0"/>
    <w:rsid w:val="00010400"/>
    <w:rsid w:val="0001111E"/>
    <w:rsid w:val="000112E5"/>
    <w:rsid w:val="00011420"/>
    <w:rsid w:val="00011801"/>
    <w:rsid w:val="000118D8"/>
    <w:rsid w:val="000118DF"/>
    <w:rsid w:val="00011A84"/>
    <w:rsid w:val="00011DCF"/>
    <w:rsid w:val="0001219A"/>
    <w:rsid w:val="000123FA"/>
    <w:rsid w:val="000124DD"/>
    <w:rsid w:val="000125A7"/>
    <w:rsid w:val="000125C4"/>
    <w:rsid w:val="000127C9"/>
    <w:rsid w:val="00012880"/>
    <w:rsid w:val="00012BA9"/>
    <w:rsid w:val="00012CEA"/>
    <w:rsid w:val="000138AF"/>
    <w:rsid w:val="0001395A"/>
    <w:rsid w:val="0001418A"/>
    <w:rsid w:val="00014194"/>
    <w:rsid w:val="00014265"/>
    <w:rsid w:val="000142F5"/>
    <w:rsid w:val="0001456E"/>
    <w:rsid w:val="000146D2"/>
    <w:rsid w:val="000146DA"/>
    <w:rsid w:val="00014752"/>
    <w:rsid w:val="00014B8C"/>
    <w:rsid w:val="00014D48"/>
    <w:rsid w:val="00014FB4"/>
    <w:rsid w:val="00014FDE"/>
    <w:rsid w:val="0001500B"/>
    <w:rsid w:val="000151CC"/>
    <w:rsid w:val="000157FC"/>
    <w:rsid w:val="000158CB"/>
    <w:rsid w:val="000160D9"/>
    <w:rsid w:val="000162D2"/>
    <w:rsid w:val="000163A4"/>
    <w:rsid w:val="000163A7"/>
    <w:rsid w:val="00016456"/>
    <w:rsid w:val="000167FE"/>
    <w:rsid w:val="00016891"/>
    <w:rsid w:val="00017458"/>
    <w:rsid w:val="000175E0"/>
    <w:rsid w:val="000176F9"/>
    <w:rsid w:val="00017B99"/>
    <w:rsid w:val="00017D3E"/>
    <w:rsid w:val="000200AE"/>
    <w:rsid w:val="000200B1"/>
    <w:rsid w:val="00020465"/>
    <w:rsid w:val="0002052B"/>
    <w:rsid w:val="0002055B"/>
    <w:rsid w:val="00020A6E"/>
    <w:rsid w:val="00020C8A"/>
    <w:rsid w:val="00020DB7"/>
    <w:rsid w:val="00020F33"/>
    <w:rsid w:val="000211FD"/>
    <w:rsid w:val="00021493"/>
    <w:rsid w:val="00021E0F"/>
    <w:rsid w:val="00021E23"/>
    <w:rsid w:val="00021F21"/>
    <w:rsid w:val="00021F96"/>
    <w:rsid w:val="00022124"/>
    <w:rsid w:val="000228C1"/>
    <w:rsid w:val="00022B08"/>
    <w:rsid w:val="00022CEE"/>
    <w:rsid w:val="00022F9D"/>
    <w:rsid w:val="00023485"/>
    <w:rsid w:val="00023731"/>
    <w:rsid w:val="000239B0"/>
    <w:rsid w:val="00023BCB"/>
    <w:rsid w:val="00023FE0"/>
    <w:rsid w:val="0002405E"/>
    <w:rsid w:val="0002421D"/>
    <w:rsid w:val="0002497D"/>
    <w:rsid w:val="00024F4A"/>
    <w:rsid w:val="00024F8C"/>
    <w:rsid w:val="000250A1"/>
    <w:rsid w:val="000250F1"/>
    <w:rsid w:val="000250F7"/>
    <w:rsid w:val="00025105"/>
    <w:rsid w:val="000252CE"/>
    <w:rsid w:val="00025387"/>
    <w:rsid w:val="00025B7F"/>
    <w:rsid w:val="00026306"/>
    <w:rsid w:val="0002633A"/>
    <w:rsid w:val="0002634F"/>
    <w:rsid w:val="0002637C"/>
    <w:rsid w:val="00026901"/>
    <w:rsid w:val="00026B41"/>
    <w:rsid w:val="00026C23"/>
    <w:rsid w:val="00026CFD"/>
    <w:rsid w:val="00026EEE"/>
    <w:rsid w:val="000270EC"/>
    <w:rsid w:val="000273E1"/>
    <w:rsid w:val="000273E3"/>
    <w:rsid w:val="000274D8"/>
    <w:rsid w:val="00027698"/>
    <w:rsid w:val="00027E15"/>
    <w:rsid w:val="0003005F"/>
    <w:rsid w:val="000300FC"/>
    <w:rsid w:val="000305C5"/>
    <w:rsid w:val="0003065E"/>
    <w:rsid w:val="000307CC"/>
    <w:rsid w:val="000308AE"/>
    <w:rsid w:val="00030E25"/>
    <w:rsid w:val="0003127B"/>
    <w:rsid w:val="0003134F"/>
    <w:rsid w:val="00031441"/>
    <w:rsid w:val="000314AA"/>
    <w:rsid w:val="00031987"/>
    <w:rsid w:val="00031B94"/>
    <w:rsid w:val="00031C96"/>
    <w:rsid w:val="00031D8B"/>
    <w:rsid w:val="00031FC7"/>
    <w:rsid w:val="0003262F"/>
    <w:rsid w:val="000328C7"/>
    <w:rsid w:val="00032990"/>
    <w:rsid w:val="00032B74"/>
    <w:rsid w:val="00032E71"/>
    <w:rsid w:val="000330C4"/>
    <w:rsid w:val="00033326"/>
    <w:rsid w:val="00033583"/>
    <w:rsid w:val="00033654"/>
    <w:rsid w:val="000338AC"/>
    <w:rsid w:val="000339E6"/>
    <w:rsid w:val="00033B74"/>
    <w:rsid w:val="000343B7"/>
    <w:rsid w:val="00034583"/>
    <w:rsid w:val="00034A8C"/>
    <w:rsid w:val="00034AF7"/>
    <w:rsid w:val="00034C38"/>
    <w:rsid w:val="00034E68"/>
    <w:rsid w:val="000351CB"/>
    <w:rsid w:val="00035384"/>
    <w:rsid w:val="000355A5"/>
    <w:rsid w:val="000355E3"/>
    <w:rsid w:val="000359E5"/>
    <w:rsid w:val="00035DB2"/>
    <w:rsid w:val="00035F7D"/>
    <w:rsid w:val="00036231"/>
    <w:rsid w:val="000363EB"/>
    <w:rsid w:val="00036518"/>
    <w:rsid w:val="00036545"/>
    <w:rsid w:val="000368ED"/>
    <w:rsid w:val="00036D07"/>
    <w:rsid w:val="000372DF"/>
    <w:rsid w:val="00037475"/>
    <w:rsid w:val="00037685"/>
    <w:rsid w:val="00037779"/>
    <w:rsid w:val="000377C2"/>
    <w:rsid w:val="00037833"/>
    <w:rsid w:val="00037929"/>
    <w:rsid w:val="00037F10"/>
    <w:rsid w:val="00037FF8"/>
    <w:rsid w:val="00040001"/>
    <w:rsid w:val="00040767"/>
    <w:rsid w:val="000408F2"/>
    <w:rsid w:val="000412AB"/>
    <w:rsid w:val="00041327"/>
    <w:rsid w:val="000419C8"/>
    <w:rsid w:val="00041A6A"/>
    <w:rsid w:val="00041F68"/>
    <w:rsid w:val="0004215B"/>
    <w:rsid w:val="000425C0"/>
    <w:rsid w:val="00042650"/>
    <w:rsid w:val="0004268F"/>
    <w:rsid w:val="000427D0"/>
    <w:rsid w:val="000429FC"/>
    <w:rsid w:val="00042A05"/>
    <w:rsid w:val="00042EAA"/>
    <w:rsid w:val="00042EE3"/>
    <w:rsid w:val="00042FF0"/>
    <w:rsid w:val="000430D1"/>
    <w:rsid w:val="000434B3"/>
    <w:rsid w:val="000436CB"/>
    <w:rsid w:val="00043761"/>
    <w:rsid w:val="000439B5"/>
    <w:rsid w:val="00043C38"/>
    <w:rsid w:val="00043CF6"/>
    <w:rsid w:val="00044304"/>
    <w:rsid w:val="00044692"/>
    <w:rsid w:val="0004495F"/>
    <w:rsid w:val="00044D0E"/>
    <w:rsid w:val="00044EEB"/>
    <w:rsid w:val="00044FD5"/>
    <w:rsid w:val="00044FE3"/>
    <w:rsid w:val="00045313"/>
    <w:rsid w:val="0004549B"/>
    <w:rsid w:val="000458CF"/>
    <w:rsid w:val="00045C28"/>
    <w:rsid w:val="00045FB9"/>
    <w:rsid w:val="0004604A"/>
    <w:rsid w:val="000462E6"/>
    <w:rsid w:val="0004677F"/>
    <w:rsid w:val="0004680F"/>
    <w:rsid w:val="00046ACA"/>
    <w:rsid w:val="00046E4E"/>
    <w:rsid w:val="000470E8"/>
    <w:rsid w:val="00047146"/>
    <w:rsid w:val="0004737C"/>
    <w:rsid w:val="0004783F"/>
    <w:rsid w:val="000478C1"/>
    <w:rsid w:val="00047949"/>
    <w:rsid w:val="000479D5"/>
    <w:rsid w:val="00047A3C"/>
    <w:rsid w:val="00047C66"/>
    <w:rsid w:val="00047D27"/>
    <w:rsid w:val="00047D78"/>
    <w:rsid w:val="00047E7A"/>
    <w:rsid w:val="00047F9F"/>
    <w:rsid w:val="000502BF"/>
    <w:rsid w:val="00050464"/>
    <w:rsid w:val="000504DC"/>
    <w:rsid w:val="000504E4"/>
    <w:rsid w:val="00050642"/>
    <w:rsid w:val="00050972"/>
    <w:rsid w:val="00050A69"/>
    <w:rsid w:val="00050AEB"/>
    <w:rsid w:val="00050D6C"/>
    <w:rsid w:val="00050DA1"/>
    <w:rsid w:val="000510E2"/>
    <w:rsid w:val="000510F3"/>
    <w:rsid w:val="00051118"/>
    <w:rsid w:val="00051326"/>
    <w:rsid w:val="000513E1"/>
    <w:rsid w:val="00051452"/>
    <w:rsid w:val="000518E0"/>
    <w:rsid w:val="00051CD1"/>
    <w:rsid w:val="00051DF6"/>
    <w:rsid w:val="000526A6"/>
    <w:rsid w:val="0005284E"/>
    <w:rsid w:val="0005288D"/>
    <w:rsid w:val="00052EAE"/>
    <w:rsid w:val="000531B4"/>
    <w:rsid w:val="0005321D"/>
    <w:rsid w:val="000534C3"/>
    <w:rsid w:val="0005374C"/>
    <w:rsid w:val="000537A9"/>
    <w:rsid w:val="00053903"/>
    <w:rsid w:val="00053ADD"/>
    <w:rsid w:val="00053C11"/>
    <w:rsid w:val="00053D7D"/>
    <w:rsid w:val="00053F1B"/>
    <w:rsid w:val="00053F3D"/>
    <w:rsid w:val="0005428C"/>
    <w:rsid w:val="000542F3"/>
    <w:rsid w:val="00054336"/>
    <w:rsid w:val="00054407"/>
    <w:rsid w:val="00054566"/>
    <w:rsid w:val="00054BFA"/>
    <w:rsid w:val="000551E3"/>
    <w:rsid w:val="00055324"/>
    <w:rsid w:val="0005543A"/>
    <w:rsid w:val="00055DD6"/>
    <w:rsid w:val="000569F4"/>
    <w:rsid w:val="00056ACD"/>
    <w:rsid w:val="00057624"/>
    <w:rsid w:val="00057B77"/>
    <w:rsid w:val="0006017A"/>
    <w:rsid w:val="000601D3"/>
    <w:rsid w:val="0006028D"/>
    <w:rsid w:val="00060351"/>
    <w:rsid w:val="00060472"/>
    <w:rsid w:val="0006093D"/>
    <w:rsid w:val="00060B7C"/>
    <w:rsid w:val="00060D91"/>
    <w:rsid w:val="0006119E"/>
    <w:rsid w:val="00061279"/>
    <w:rsid w:val="00061ABB"/>
    <w:rsid w:val="00061AC7"/>
    <w:rsid w:val="00061ACC"/>
    <w:rsid w:val="00061D37"/>
    <w:rsid w:val="00061F2B"/>
    <w:rsid w:val="00061F97"/>
    <w:rsid w:val="00061FD4"/>
    <w:rsid w:val="00061FF8"/>
    <w:rsid w:val="0006240E"/>
    <w:rsid w:val="000624FE"/>
    <w:rsid w:val="00062C4A"/>
    <w:rsid w:val="00062D49"/>
    <w:rsid w:val="0006333E"/>
    <w:rsid w:val="000634EF"/>
    <w:rsid w:val="00063599"/>
    <w:rsid w:val="000636DC"/>
    <w:rsid w:val="000638B0"/>
    <w:rsid w:val="000638C0"/>
    <w:rsid w:val="00063C29"/>
    <w:rsid w:val="00063CA3"/>
    <w:rsid w:val="0006410A"/>
    <w:rsid w:val="000642D0"/>
    <w:rsid w:val="0006437B"/>
    <w:rsid w:val="00064397"/>
    <w:rsid w:val="000643A8"/>
    <w:rsid w:val="00064719"/>
    <w:rsid w:val="00064A2B"/>
    <w:rsid w:val="00064D6F"/>
    <w:rsid w:val="00064D96"/>
    <w:rsid w:val="00064DFC"/>
    <w:rsid w:val="00064E03"/>
    <w:rsid w:val="0006542C"/>
    <w:rsid w:val="00065938"/>
    <w:rsid w:val="00065C26"/>
    <w:rsid w:val="000661CE"/>
    <w:rsid w:val="000663A0"/>
    <w:rsid w:val="000664EA"/>
    <w:rsid w:val="00066981"/>
    <w:rsid w:val="00066998"/>
    <w:rsid w:val="000669BC"/>
    <w:rsid w:val="000669E7"/>
    <w:rsid w:val="00066B2B"/>
    <w:rsid w:val="00066E97"/>
    <w:rsid w:val="00066EA3"/>
    <w:rsid w:val="00066FB6"/>
    <w:rsid w:val="00067362"/>
    <w:rsid w:val="00067364"/>
    <w:rsid w:val="0006756B"/>
    <w:rsid w:val="000675D6"/>
    <w:rsid w:val="0006780D"/>
    <w:rsid w:val="00067B45"/>
    <w:rsid w:val="00067E3E"/>
    <w:rsid w:val="00067E7E"/>
    <w:rsid w:val="00070627"/>
    <w:rsid w:val="000709BE"/>
    <w:rsid w:val="00070A46"/>
    <w:rsid w:val="00070A95"/>
    <w:rsid w:val="00070CB1"/>
    <w:rsid w:val="000710D0"/>
    <w:rsid w:val="000719C7"/>
    <w:rsid w:val="00071AA3"/>
    <w:rsid w:val="00072469"/>
    <w:rsid w:val="0007248C"/>
    <w:rsid w:val="000724EF"/>
    <w:rsid w:val="000726D8"/>
    <w:rsid w:val="0007271D"/>
    <w:rsid w:val="00072ABB"/>
    <w:rsid w:val="00073191"/>
    <w:rsid w:val="000731E6"/>
    <w:rsid w:val="0007360B"/>
    <w:rsid w:val="0007360C"/>
    <w:rsid w:val="00073706"/>
    <w:rsid w:val="00073B9A"/>
    <w:rsid w:val="00073D51"/>
    <w:rsid w:val="00073E56"/>
    <w:rsid w:val="0007426C"/>
    <w:rsid w:val="0007435F"/>
    <w:rsid w:val="000744BF"/>
    <w:rsid w:val="000747BD"/>
    <w:rsid w:val="00074930"/>
    <w:rsid w:val="00074B48"/>
    <w:rsid w:val="00074B93"/>
    <w:rsid w:val="000753D5"/>
    <w:rsid w:val="00075663"/>
    <w:rsid w:val="00075892"/>
    <w:rsid w:val="0007596D"/>
    <w:rsid w:val="00075B8A"/>
    <w:rsid w:val="00075E52"/>
    <w:rsid w:val="00076024"/>
    <w:rsid w:val="0007635C"/>
    <w:rsid w:val="0007638C"/>
    <w:rsid w:val="000764A5"/>
    <w:rsid w:val="00076C0B"/>
    <w:rsid w:val="00076EB7"/>
    <w:rsid w:val="00076EF1"/>
    <w:rsid w:val="00076FD0"/>
    <w:rsid w:val="00077156"/>
    <w:rsid w:val="00077526"/>
    <w:rsid w:val="00077766"/>
    <w:rsid w:val="000778A0"/>
    <w:rsid w:val="000778A1"/>
    <w:rsid w:val="00077A80"/>
    <w:rsid w:val="00077C7D"/>
    <w:rsid w:val="00077CCE"/>
    <w:rsid w:val="00077DD5"/>
    <w:rsid w:val="00080109"/>
    <w:rsid w:val="000803AC"/>
    <w:rsid w:val="0008057B"/>
    <w:rsid w:val="0008060F"/>
    <w:rsid w:val="0008062E"/>
    <w:rsid w:val="00080AB9"/>
    <w:rsid w:val="00080C89"/>
    <w:rsid w:val="00081292"/>
    <w:rsid w:val="000814C8"/>
    <w:rsid w:val="00081800"/>
    <w:rsid w:val="00081807"/>
    <w:rsid w:val="00081A5A"/>
    <w:rsid w:val="00081E3C"/>
    <w:rsid w:val="00081E76"/>
    <w:rsid w:val="00081EEE"/>
    <w:rsid w:val="00081F2D"/>
    <w:rsid w:val="0008256E"/>
    <w:rsid w:val="000826BE"/>
    <w:rsid w:val="000826CA"/>
    <w:rsid w:val="00082A13"/>
    <w:rsid w:val="00082BBE"/>
    <w:rsid w:val="00082C13"/>
    <w:rsid w:val="00082C6F"/>
    <w:rsid w:val="00082CE0"/>
    <w:rsid w:val="00083171"/>
    <w:rsid w:val="000833AA"/>
    <w:rsid w:val="00083787"/>
    <w:rsid w:val="00083AAB"/>
    <w:rsid w:val="000841B9"/>
    <w:rsid w:val="000841E7"/>
    <w:rsid w:val="000844C0"/>
    <w:rsid w:val="0008451E"/>
    <w:rsid w:val="000848E5"/>
    <w:rsid w:val="00084F60"/>
    <w:rsid w:val="00084FA8"/>
    <w:rsid w:val="00085065"/>
    <w:rsid w:val="000850FA"/>
    <w:rsid w:val="00085ADB"/>
    <w:rsid w:val="00085E61"/>
    <w:rsid w:val="00086457"/>
    <w:rsid w:val="000866C8"/>
    <w:rsid w:val="000866D0"/>
    <w:rsid w:val="000867B5"/>
    <w:rsid w:val="000869B2"/>
    <w:rsid w:val="00086A59"/>
    <w:rsid w:val="00086C47"/>
    <w:rsid w:val="00086E49"/>
    <w:rsid w:val="00087024"/>
    <w:rsid w:val="000870D3"/>
    <w:rsid w:val="000878E0"/>
    <w:rsid w:val="00087C7F"/>
    <w:rsid w:val="00087DA5"/>
    <w:rsid w:val="00087E44"/>
    <w:rsid w:val="00087F30"/>
    <w:rsid w:val="00090650"/>
    <w:rsid w:val="000906C9"/>
    <w:rsid w:val="00090BDE"/>
    <w:rsid w:val="00091623"/>
    <w:rsid w:val="00091D7D"/>
    <w:rsid w:val="00091F14"/>
    <w:rsid w:val="00092069"/>
    <w:rsid w:val="00092107"/>
    <w:rsid w:val="00092667"/>
    <w:rsid w:val="00092C2E"/>
    <w:rsid w:val="00092C3D"/>
    <w:rsid w:val="00092DEE"/>
    <w:rsid w:val="00092F54"/>
    <w:rsid w:val="0009356F"/>
    <w:rsid w:val="00093718"/>
    <w:rsid w:val="00093842"/>
    <w:rsid w:val="000939FB"/>
    <w:rsid w:val="00093D26"/>
    <w:rsid w:val="00093F49"/>
    <w:rsid w:val="0009418B"/>
    <w:rsid w:val="00094949"/>
    <w:rsid w:val="0009499A"/>
    <w:rsid w:val="000949B6"/>
    <w:rsid w:val="000949BF"/>
    <w:rsid w:val="00094BDE"/>
    <w:rsid w:val="0009503C"/>
    <w:rsid w:val="00095187"/>
    <w:rsid w:val="0009524A"/>
    <w:rsid w:val="0009568B"/>
    <w:rsid w:val="00095776"/>
    <w:rsid w:val="000958F1"/>
    <w:rsid w:val="00095C06"/>
    <w:rsid w:val="00095C79"/>
    <w:rsid w:val="000964B4"/>
    <w:rsid w:val="000965E0"/>
    <w:rsid w:val="000967B8"/>
    <w:rsid w:val="00096D28"/>
    <w:rsid w:val="00096E42"/>
    <w:rsid w:val="00096EA2"/>
    <w:rsid w:val="00096EF5"/>
    <w:rsid w:val="000970CA"/>
    <w:rsid w:val="00097BC5"/>
    <w:rsid w:val="00097CA9"/>
    <w:rsid w:val="00097D8D"/>
    <w:rsid w:val="000A0331"/>
    <w:rsid w:val="000A0746"/>
    <w:rsid w:val="000A07E1"/>
    <w:rsid w:val="000A085E"/>
    <w:rsid w:val="000A0A8F"/>
    <w:rsid w:val="000A0F22"/>
    <w:rsid w:val="000A1130"/>
    <w:rsid w:val="000A141B"/>
    <w:rsid w:val="000A146E"/>
    <w:rsid w:val="000A14E5"/>
    <w:rsid w:val="000A16D7"/>
    <w:rsid w:val="000A1900"/>
    <w:rsid w:val="000A19D8"/>
    <w:rsid w:val="000A1AEC"/>
    <w:rsid w:val="000A1BC2"/>
    <w:rsid w:val="000A1D69"/>
    <w:rsid w:val="000A1DF3"/>
    <w:rsid w:val="000A1F8E"/>
    <w:rsid w:val="000A219C"/>
    <w:rsid w:val="000A2B0A"/>
    <w:rsid w:val="000A2B1F"/>
    <w:rsid w:val="000A2C4E"/>
    <w:rsid w:val="000A2DD0"/>
    <w:rsid w:val="000A322F"/>
    <w:rsid w:val="000A3594"/>
    <w:rsid w:val="000A3C7A"/>
    <w:rsid w:val="000A3FD3"/>
    <w:rsid w:val="000A41D8"/>
    <w:rsid w:val="000A4377"/>
    <w:rsid w:val="000A455B"/>
    <w:rsid w:val="000A459A"/>
    <w:rsid w:val="000A4653"/>
    <w:rsid w:val="000A4812"/>
    <w:rsid w:val="000A48DD"/>
    <w:rsid w:val="000A4A41"/>
    <w:rsid w:val="000A4AAB"/>
    <w:rsid w:val="000A4C69"/>
    <w:rsid w:val="000A4ECB"/>
    <w:rsid w:val="000A50C8"/>
    <w:rsid w:val="000A55AF"/>
    <w:rsid w:val="000A55E4"/>
    <w:rsid w:val="000A5BF2"/>
    <w:rsid w:val="000A633B"/>
    <w:rsid w:val="000A6AAC"/>
    <w:rsid w:val="000A6BE1"/>
    <w:rsid w:val="000A6E3E"/>
    <w:rsid w:val="000A6F28"/>
    <w:rsid w:val="000A762D"/>
    <w:rsid w:val="000A786C"/>
    <w:rsid w:val="000A79CB"/>
    <w:rsid w:val="000A7E15"/>
    <w:rsid w:val="000A7ECC"/>
    <w:rsid w:val="000A7F22"/>
    <w:rsid w:val="000B0007"/>
    <w:rsid w:val="000B002A"/>
    <w:rsid w:val="000B003C"/>
    <w:rsid w:val="000B0853"/>
    <w:rsid w:val="000B0ADB"/>
    <w:rsid w:val="000B0DFC"/>
    <w:rsid w:val="000B0EE7"/>
    <w:rsid w:val="000B0F60"/>
    <w:rsid w:val="000B10AA"/>
    <w:rsid w:val="000B10C9"/>
    <w:rsid w:val="000B112E"/>
    <w:rsid w:val="000B11C0"/>
    <w:rsid w:val="000B16B7"/>
    <w:rsid w:val="000B176E"/>
    <w:rsid w:val="000B17D3"/>
    <w:rsid w:val="000B1ADB"/>
    <w:rsid w:val="000B1B9F"/>
    <w:rsid w:val="000B1CD7"/>
    <w:rsid w:val="000B238F"/>
    <w:rsid w:val="000B240C"/>
    <w:rsid w:val="000B24DF"/>
    <w:rsid w:val="000B2A23"/>
    <w:rsid w:val="000B2B70"/>
    <w:rsid w:val="000B2BB1"/>
    <w:rsid w:val="000B2CA4"/>
    <w:rsid w:val="000B2E99"/>
    <w:rsid w:val="000B2FDC"/>
    <w:rsid w:val="000B3039"/>
    <w:rsid w:val="000B30B7"/>
    <w:rsid w:val="000B3193"/>
    <w:rsid w:val="000B387D"/>
    <w:rsid w:val="000B3DE1"/>
    <w:rsid w:val="000B400C"/>
    <w:rsid w:val="000B420E"/>
    <w:rsid w:val="000B4321"/>
    <w:rsid w:val="000B4C31"/>
    <w:rsid w:val="000B4D25"/>
    <w:rsid w:val="000B4F1E"/>
    <w:rsid w:val="000B4FFF"/>
    <w:rsid w:val="000B57FF"/>
    <w:rsid w:val="000B5976"/>
    <w:rsid w:val="000B5D71"/>
    <w:rsid w:val="000B61D1"/>
    <w:rsid w:val="000B6263"/>
    <w:rsid w:val="000B64F7"/>
    <w:rsid w:val="000B65F9"/>
    <w:rsid w:val="000B66E0"/>
    <w:rsid w:val="000B695B"/>
    <w:rsid w:val="000B6F7A"/>
    <w:rsid w:val="000B7213"/>
    <w:rsid w:val="000B7549"/>
    <w:rsid w:val="000C013E"/>
    <w:rsid w:val="000C0652"/>
    <w:rsid w:val="000C089B"/>
    <w:rsid w:val="000C0CFC"/>
    <w:rsid w:val="000C0D05"/>
    <w:rsid w:val="000C16A1"/>
    <w:rsid w:val="000C1859"/>
    <w:rsid w:val="000C1EF6"/>
    <w:rsid w:val="000C1FC7"/>
    <w:rsid w:val="000C205A"/>
    <w:rsid w:val="000C2375"/>
    <w:rsid w:val="000C2540"/>
    <w:rsid w:val="000C256D"/>
    <w:rsid w:val="000C25D7"/>
    <w:rsid w:val="000C2D57"/>
    <w:rsid w:val="000C2D7C"/>
    <w:rsid w:val="000C2D86"/>
    <w:rsid w:val="000C3165"/>
    <w:rsid w:val="000C3495"/>
    <w:rsid w:val="000C38D6"/>
    <w:rsid w:val="000C3D13"/>
    <w:rsid w:val="000C3DD5"/>
    <w:rsid w:val="000C3E5D"/>
    <w:rsid w:val="000C3E71"/>
    <w:rsid w:val="000C3FC1"/>
    <w:rsid w:val="000C4086"/>
    <w:rsid w:val="000C410F"/>
    <w:rsid w:val="000C4727"/>
    <w:rsid w:val="000C4731"/>
    <w:rsid w:val="000C4A69"/>
    <w:rsid w:val="000C4B5F"/>
    <w:rsid w:val="000C4BBE"/>
    <w:rsid w:val="000C4FEE"/>
    <w:rsid w:val="000C50E9"/>
    <w:rsid w:val="000C51E8"/>
    <w:rsid w:val="000C54E3"/>
    <w:rsid w:val="000C563F"/>
    <w:rsid w:val="000C57B1"/>
    <w:rsid w:val="000C5907"/>
    <w:rsid w:val="000C6257"/>
    <w:rsid w:val="000C629B"/>
    <w:rsid w:val="000C632F"/>
    <w:rsid w:val="000C6621"/>
    <w:rsid w:val="000C671D"/>
    <w:rsid w:val="000C6A73"/>
    <w:rsid w:val="000C6ADD"/>
    <w:rsid w:val="000C6E3A"/>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E6B"/>
    <w:rsid w:val="000D1F7C"/>
    <w:rsid w:val="000D20E7"/>
    <w:rsid w:val="000D20F2"/>
    <w:rsid w:val="000D2699"/>
    <w:rsid w:val="000D2784"/>
    <w:rsid w:val="000D2A9D"/>
    <w:rsid w:val="000D2AF4"/>
    <w:rsid w:val="000D2CAB"/>
    <w:rsid w:val="000D2CE0"/>
    <w:rsid w:val="000D2D8F"/>
    <w:rsid w:val="000D2E35"/>
    <w:rsid w:val="000D2F13"/>
    <w:rsid w:val="000D3027"/>
    <w:rsid w:val="000D3106"/>
    <w:rsid w:val="000D3364"/>
    <w:rsid w:val="000D3874"/>
    <w:rsid w:val="000D3936"/>
    <w:rsid w:val="000D396D"/>
    <w:rsid w:val="000D39CE"/>
    <w:rsid w:val="000D3A0E"/>
    <w:rsid w:val="000D3C24"/>
    <w:rsid w:val="000D3C8B"/>
    <w:rsid w:val="000D3F9A"/>
    <w:rsid w:val="000D412C"/>
    <w:rsid w:val="000D4225"/>
    <w:rsid w:val="000D4417"/>
    <w:rsid w:val="000D4452"/>
    <w:rsid w:val="000D49B1"/>
    <w:rsid w:val="000D4A56"/>
    <w:rsid w:val="000D4CA1"/>
    <w:rsid w:val="000D4E6B"/>
    <w:rsid w:val="000D4EB4"/>
    <w:rsid w:val="000D4FEC"/>
    <w:rsid w:val="000D5035"/>
    <w:rsid w:val="000D52DE"/>
    <w:rsid w:val="000D5378"/>
    <w:rsid w:val="000D5495"/>
    <w:rsid w:val="000D57EF"/>
    <w:rsid w:val="000D5A66"/>
    <w:rsid w:val="000D5A7F"/>
    <w:rsid w:val="000D5E91"/>
    <w:rsid w:val="000D6125"/>
    <w:rsid w:val="000D6266"/>
    <w:rsid w:val="000D63C2"/>
    <w:rsid w:val="000D6508"/>
    <w:rsid w:val="000D6804"/>
    <w:rsid w:val="000D6848"/>
    <w:rsid w:val="000D696E"/>
    <w:rsid w:val="000D6DBD"/>
    <w:rsid w:val="000D6FA7"/>
    <w:rsid w:val="000D7165"/>
    <w:rsid w:val="000D720B"/>
    <w:rsid w:val="000D7512"/>
    <w:rsid w:val="000D7878"/>
    <w:rsid w:val="000D78AD"/>
    <w:rsid w:val="000D797E"/>
    <w:rsid w:val="000D7D76"/>
    <w:rsid w:val="000E077A"/>
    <w:rsid w:val="000E0957"/>
    <w:rsid w:val="000E0A28"/>
    <w:rsid w:val="000E1010"/>
    <w:rsid w:val="000E1583"/>
    <w:rsid w:val="000E16C4"/>
    <w:rsid w:val="000E182D"/>
    <w:rsid w:val="000E1833"/>
    <w:rsid w:val="000E19DB"/>
    <w:rsid w:val="000E1EBC"/>
    <w:rsid w:val="000E1FE3"/>
    <w:rsid w:val="000E2341"/>
    <w:rsid w:val="000E23BD"/>
    <w:rsid w:val="000E24EB"/>
    <w:rsid w:val="000E28F2"/>
    <w:rsid w:val="000E2938"/>
    <w:rsid w:val="000E2B16"/>
    <w:rsid w:val="000E2BA4"/>
    <w:rsid w:val="000E32B9"/>
    <w:rsid w:val="000E32D5"/>
    <w:rsid w:val="000E3949"/>
    <w:rsid w:val="000E3F2E"/>
    <w:rsid w:val="000E3F74"/>
    <w:rsid w:val="000E4298"/>
    <w:rsid w:val="000E46BD"/>
    <w:rsid w:val="000E4776"/>
    <w:rsid w:val="000E48AB"/>
    <w:rsid w:val="000E4C1F"/>
    <w:rsid w:val="000E53A9"/>
    <w:rsid w:val="000E550C"/>
    <w:rsid w:val="000E56B6"/>
    <w:rsid w:val="000E57F6"/>
    <w:rsid w:val="000E57F7"/>
    <w:rsid w:val="000E5B05"/>
    <w:rsid w:val="000E60E3"/>
    <w:rsid w:val="000E64B7"/>
    <w:rsid w:val="000E6875"/>
    <w:rsid w:val="000E68A3"/>
    <w:rsid w:val="000E6A3F"/>
    <w:rsid w:val="000E6E20"/>
    <w:rsid w:val="000E72EA"/>
    <w:rsid w:val="000E7805"/>
    <w:rsid w:val="000E794A"/>
    <w:rsid w:val="000E7BB4"/>
    <w:rsid w:val="000E7E06"/>
    <w:rsid w:val="000F017D"/>
    <w:rsid w:val="000F0280"/>
    <w:rsid w:val="000F02F5"/>
    <w:rsid w:val="000F0505"/>
    <w:rsid w:val="000F0838"/>
    <w:rsid w:val="000F0C2E"/>
    <w:rsid w:val="000F0FE3"/>
    <w:rsid w:val="000F11FB"/>
    <w:rsid w:val="000F172F"/>
    <w:rsid w:val="000F1CD0"/>
    <w:rsid w:val="000F2020"/>
    <w:rsid w:val="000F208F"/>
    <w:rsid w:val="000F2475"/>
    <w:rsid w:val="000F2802"/>
    <w:rsid w:val="000F28AD"/>
    <w:rsid w:val="000F2A58"/>
    <w:rsid w:val="000F2AE3"/>
    <w:rsid w:val="000F2B2C"/>
    <w:rsid w:val="000F2EDC"/>
    <w:rsid w:val="000F363A"/>
    <w:rsid w:val="000F37D1"/>
    <w:rsid w:val="000F3E22"/>
    <w:rsid w:val="000F3E36"/>
    <w:rsid w:val="000F3FCD"/>
    <w:rsid w:val="000F4877"/>
    <w:rsid w:val="000F4AA1"/>
    <w:rsid w:val="000F4D03"/>
    <w:rsid w:val="000F4D45"/>
    <w:rsid w:val="000F4DF0"/>
    <w:rsid w:val="000F4F57"/>
    <w:rsid w:val="000F51EC"/>
    <w:rsid w:val="000F5300"/>
    <w:rsid w:val="000F53A7"/>
    <w:rsid w:val="000F5803"/>
    <w:rsid w:val="000F598C"/>
    <w:rsid w:val="000F5AE3"/>
    <w:rsid w:val="000F5D5E"/>
    <w:rsid w:val="000F5D8E"/>
    <w:rsid w:val="000F5F52"/>
    <w:rsid w:val="000F6241"/>
    <w:rsid w:val="000F6485"/>
    <w:rsid w:val="000F65C7"/>
    <w:rsid w:val="000F65F8"/>
    <w:rsid w:val="000F6C9F"/>
    <w:rsid w:val="000F6D3B"/>
    <w:rsid w:val="000F6DED"/>
    <w:rsid w:val="000F6F79"/>
    <w:rsid w:val="000F72FA"/>
    <w:rsid w:val="000F7454"/>
    <w:rsid w:val="000F7642"/>
    <w:rsid w:val="000F7880"/>
    <w:rsid w:val="000F7900"/>
    <w:rsid w:val="000F7A73"/>
    <w:rsid w:val="000F7ACC"/>
    <w:rsid w:val="000F7CBA"/>
    <w:rsid w:val="000F7EAA"/>
    <w:rsid w:val="000F7F36"/>
    <w:rsid w:val="000F7FB5"/>
    <w:rsid w:val="00100061"/>
    <w:rsid w:val="00100758"/>
    <w:rsid w:val="00100A3B"/>
    <w:rsid w:val="00100BA5"/>
    <w:rsid w:val="0010115D"/>
    <w:rsid w:val="00101640"/>
    <w:rsid w:val="001016DC"/>
    <w:rsid w:val="001017DC"/>
    <w:rsid w:val="00101C90"/>
    <w:rsid w:val="00101D1B"/>
    <w:rsid w:val="00101E91"/>
    <w:rsid w:val="001022C2"/>
    <w:rsid w:val="001026E3"/>
    <w:rsid w:val="00102850"/>
    <w:rsid w:val="001028B7"/>
    <w:rsid w:val="00102C09"/>
    <w:rsid w:val="00102ED0"/>
    <w:rsid w:val="00103019"/>
    <w:rsid w:val="001035E0"/>
    <w:rsid w:val="00103E72"/>
    <w:rsid w:val="00104D79"/>
    <w:rsid w:val="00104DB2"/>
    <w:rsid w:val="00104E66"/>
    <w:rsid w:val="00104ED5"/>
    <w:rsid w:val="00104FB4"/>
    <w:rsid w:val="00105C9B"/>
    <w:rsid w:val="00105D15"/>
    <w:rsid w:val="001060F6"/>
    <w:rsid w:val="0010613E"/>
    <w:rsid w:val="001061AB"/>
    <w:rsid w:val="0010683B"/>
    <w:rsid w:val="001069A1"/>
    <w:rsid w:val="00106B13"/>
    <w:rsid w:val="00106BE9"/>
    <w:rsid w:val="00106C8A"/>
    <w:rsid w:val="00106D5B"/>
    <w:rsid w:val="00106F52"/>
    <w:rsid w:val="00107056"/>
    <w:rsid w:val="001071ED"/>
    <w:rsid w:val="001074E3"/>
    <w:rsid w:val="001075FA"/>
    <w:rsid w:val="001078E7"/>
    <w:rsid w:val="00107D7D"/>
    <w:rsid w:val="00107DFD"/>
    <w:rsid w:val="001101A9"/>
    <w:rsid w:val="0011036C"/>
    <w:rsid w:val="00110377"/>
    <w:rsid w:val="00110388"/>
    <w:rsid w:val="001103D8"/>
    <w:rsid w:val="001103DB"/>
    <w:rsid w:val="001103ED"/>
    <w:rsid w:val="001105E0"/>
    <w:rsid w:val="001107BF"/>
    <w:rsid w:val="001108C4"/>
    <w:rsid w:val="00110A7B"/>
    <w:rsid w:val="00110B96"/>
    <w:rsid w:val="00110E29"/>
    <w:rsid w:val="00110EA5"/>
    <w:rsid w:val="0011108C"/>
    <w:rsid w:val="00111338"/>
    <w:rsid w:val="001114E5"/>
    <w:rsid w:val="001116BA"/>
    <w:rsid w:val="0011170B"/>
    <w:rsid w:val="00111AB0"/>
    <w:rsid w:val="00111B78"/>
    <w:rsid w:val="00111B8C"/>
    <w:rsid w:val="00111BCB"/>
    <w:rsid w:val="00111DDE"/>
    <w:rsid w:val="00111E92"/>
    <w:rsid w:val="00111ECC"/>
    <w:rsid w:val="00112D6F"/>
    <w:rsid w:val="00112DDD"/>
    <w:rsid w:val="00112DDF"/>
    <w:rsid w:val="00112F2A"/>
    <w:rsid w:val="00113427"/>
    <w:rsid w:val="00113A70"/>
    <w:rsid w:val="00113AC8"/>
    <w:rsid w:val="00113CFB"/>
    <w:rsid w:val="00114248"/>
    <w:rsid w:val="001142D4"/>
    <w:rsid w:val="001145C3"/>
    <w:rsid w:val="00114812"/>
    <w:rsid w:val="0011517B"/>
    <w:rsid w:val="001157C3"/>
    <w:rsid w:val="00115849"/>
    <w:rsid w:val="00115BD1"/>
    <w:rsid w:val="00116015"/>
    <w:rsid w:val="00116547"/>
    <w:rsid w:val="0011657A"/>
    <w:rsid w:val="0011664C"/>
    <w:rsid w:val="001167CE"/>
    <w:rsid w:val="0011693E"/>
    <w:rsid w:val="00116FAD"/>
    <w:rsid w:val="00117131"/>
    <w:rsid w:val="00117152"/>
    <w:rsid w:val="001171DA"/>
    <w:rsid w:val="00117831"/>
    <w:rsid w:val="001179EA"/>
    <w:rsid w:val="00117B2D"/>
    <w:rsid w:val="00117FAE"/>
    <w:rsid w:val="001200A6"/>
    <w:rsid w:val="00120448"/>
    <w:rsid w:val="001204BA"/>
    <w:rsid w:val="00120615"/>
    <w:rsid w:val="00120738"/>
    <w:rsid w:val="00120D69"/>
    <w:rsid w:val="00120DEE"/>
    <w:rsid w:val="00120E58"/>
    <w:rsid w:val="0012106B"/>
    <w:rsid w:val="001212DF"/>
    <w:rsid w:val="001212E7"/>
    <w:rsid w:val="00121535"/>
    <w:rsid w:val="001216C8"/>
    <w:rsid w:val="001217F3"/>
    <w:rsid w:val="00121DF2"/>
    <w:rsid w:val="00122072"/>
    <w:rsid w:val="00122120"/>
    <w:rsid w:val="001222BE"/>
    <w:rsid w:val="001225A9"/>
    <w:rsid w:val="00123280"/>
    <w:rsid w:val="001232FA"/>
    <w:rsid w:val="001234F3"/>
    <w:rsid w:val="00123509"/>
    <w:rsid w:val="001237C2"/>
    <w:rsid w:val="00123922"/>
    <w:rsid w:val="00123B05"/>
    <w:rsid w:val="00123BAB"/>
    <w:rsid w:val="00123F20"/>
    <w:rsid w:val="00123FC4"/>
    <w:rsid w:val="00123FDE"/>
    <w:rsid w:val="001241A3"/>
    <w:rsid w:val="001245BF"/>
    <w:rsid w:val="001248C6"/>
    <w:rsid w:val="0012498F"/>
    <w:rsid w:val="00124B53"/>
    <w:rsid w:val="00124B74"/>
    <w:rsid w:val="00124B8C"/>
    <w:rsid w:val="00124FE6"/>
    <w:rsid w:val="00125289"/>
    <w:rsid w:val="001252E8"/>
    <w:rsid w:val="00125378"/>
    <w:rsid w:val="00125452"/>
    <w:rsid w:val="0012545D"/>
    <w:rsid w:val="001255E8"/>
    <w:rsid w:val="0012571E"/>
    <w:rsid w:val="00125A5E"/>
    <w:rsid w:val="00125B16"/>
    <w:rsid w:val="00125BDE"/>
    <w:rsid w:val="00125CE1"/>
    <w:rsid w:val="00125EC5"/>
    <w:rsid w:val="0012607A"/>
    <w:rsid w:val="001260D0"/>
    <w:rsid w:val="001261B9"/>
    <w:rsid w:val="00126AF3"/>
    <w:rsid w:val="00126DDB"/>
    <w:rsid w:val="001275A0"/>
    <w:rsid w:val="00127A77"/>
    <w:rsid w:val="00127E82"/>
    <w:rsid w:val="001300E4"/>
    <w:rsid w:val="001302BE"/>
    <w:rsid w:val="001305FB"/>
    <w:rsid w:val="0013069A"/>
    <w:rsid w:val="0013069D"/>
    <w:rsid w:val="001306B6"/>
    <w:rsid w:val="001306F6"/>
    <w:rsid w:val="00130837"/>
    <w:rsid w:val="00130BD9"/>
    <w:rsid w:val="00130C05"/>
    <w:rsid w:val="00130E58"/>
    <w:rsid w:val="001313A3"/>
    <w:rsid w:val="00132555"/>
    <w:rsid w:val="00132787"/>
    <w:rsid w:val="00132B46"/>
    <w:rsid w:val="00132E55"/>
    <w:rsid w:val="00132E94"/>
    <w:rsid w:val="00132FCB"/>
    <w:rsid w:val="0013321B"/>
    <w:rsid w:val="001332AB"/>
    <w:rsid w:val="00133395"/>
    <w:rsid w:val="001335E5"/>
    <w:rsid w:val="001336B0"/>
    <w:rsid w:val="0013383E"/>
    <w:rsid w:val="00133C8E"/>
    <w:rsid w:val="00133D8E"/>
    <w:rsid w:val="00133ED6"/>
    <w:rsid w:val="00133FED"/>
    <w:rsid w:val="00134112"/>
    <w:rsid w:val="0013456D"/>
    <w:rsid w:val="001347E0"/>
    <w:rsid w:val="00134969"/>
    <w:rsid w:val="00134BC8"/>
    <w:rsid w:val="00134C31"/>
    <w:rsid w:val="00134C37"/>
    <w:rsid w:val="00134E7A"/>
    <w:rsid w:val="00134FCD"/>
    <w:rsid w:val="0013505B"/>
    <w:rsid w:val="00135074"/>
    <w:rsid w:val="001350CD"/>
    <w:rsid w:val="0013511E"/>
    <w:rsid w:val="001351E4"/>
    <w:rsid w:val="0013561E"/>
    <w:rsid w:val="00135A30"/>
    <w:rsid w:val="00135D79"/>
    <w:rsid w:val="00135E9B"/>
    <w:rsid w:val="001361A1"/>
    <w:rsid w:val="0013632B"/>
    <w:rsid w:val="00136330"/>
    <w:rsid w:val="0013664B"/>
    <w:rsid w:val="001366FC"/>
    <w:rsid w:val="00136733"/>
    <w:rsid w:val="00136D86"/>
    <w:rsid w:val="00136E74"/>
    <w:rsid w:val="00137149"/>
    <w:rsid w:val="0013735F"/>
    <w:rsid w:val="00137665"/>
    <w:rsid w:val="001376EC"/>
    <w:rsid w:val="0014004F"/>
    <w:rsid w:val="0014007B"/>
    <w:rsid w:val="001403BF"/>
    <w:rsid w:val="00140797"/>
    <w:rsid w:val="001409CC"/>
    <w:rsid w:val="00140AFE"/>
    <w:rsid w:val="00140EB8"/>
    <w:rsid w:val="00140EC5"/>
    <w:rsid w:val="00140F8F"/>
    <w:rsid w:val="00140FC5"/>
    <w:rsid w:val="00140FDB"/>
    <w:rsid w:val="00141359"/>
    <w:rsid w:val="0014173D"/>
    <w:rsid w:val="00141AAD"/>
    <w:rsid w:val="00141F5B"/>
    <w:rsid w:val="001423E2"/>
    <w:rsid w:val="001428BD"/>
    <w:rsid w:val="001429F7"/>
    <w:rsid w:val="00142C6F"/>
    <w:rsid w:val="00143534"/>
    <w:rsid w:val="0014362A"/>
    <w:rsid w:val="0014363C"/>
    <w:rsid w:val="00143674"/>
    <w:rsid w:val="00143A3D"/>
    <w:rsid w:val="001440B8"/>
    <w:rsid w:val="00144537"/>
    <w:rsid w:val="001446E5"/>
    <w:rsid w:val="00144734"/>
    <w:rsid w:val="001447E2"/>
    <w:rsid w:val="001447EC"/>
    <w:rsid w:val="00144908"/>
    <w:rsid w:val="001453C0"/>
    <w:rsid w:val="001455D0"/>
    <w:rsid w:val="00145808"/>
    <w:rsid w:val="00146248"/>
    <w:rsid w:val="0014630C"/>
    <w:rsid w:val="001464B9"/>
    <w:rsid w:val="001465AD"/>
    <w:rsid w:val="0014674E"/>
    <w:rsid w:val="00146832"/>
    <w:rsid w:val="00146CBA"/>
    <w:rsid w:val="001470F8"/>
    <w:rsid w:val="001471D5"/>
    <w:rsid w:val="00147280"/>
    <w:rsid w:val="00147484"/>
    <w:rsid w:val="001474D0"/>
    <w:rsid w:val="00147814"/>
    <w:rsid w:val="001479CA"/>
    <w:rsid w:val="00147AB1"/>
    <w:rsid w:val="00147F5B"/>
    <w:rsid w:val="00150359"/>
    <w:rsid w:val="0015036D"/>
    <w:rsid w:val="001505DF"/>
    <w:rsid w:val="00150D35"/>
    <w:rsid w:val="00150D39"/>
    <w:rsid w:val="00150FAC"/>
    <w:rsid w:val="00151161"/>
    <w:rsid w:val="0015124B"/>
    <w:rsid w:val="001515D1"/>
    <w:rsid w:val="00151638"/>
    <w:rsid w:val="001519A4"/>
    <w:rsid w:val="00151AAE"/>
    <w:rsid w:val="00151B1E"/>
    <w:rsid w:val="00151DB9"/>
    <w:rsid w:val="00151E3B"/>
    <w:rsid w:val="00151EF8"/>
    <w:rsid w:val="00151F15"/>
    <w:rsid w:val="001528B2"/>
    <w:rsid w:val="0015290C"/>
    <w:rsid w:val="00152973"/>
    <w:rsid w:val="001537FA"/>
    <w:rsid w:val="00153914"/>
    <w:rsid w:val="00153CEE"/>
    <w:rsid w:val="001541D9"/>
    <w:rsid w:val="00154394"/>
    <w:rsid w:val="001544C5"/>
    <w:rsid w:val="001547DE"/>
    <w:rsid w:val="00154B45"/>
    <w:rsid w:val="00154BBB"/>
    <w:rsid w:val="00154E73"/>
    <w:rsid w:val="001553B6"/>
    <w:rsid w:val="00155563"/>
    <w:rsid w:val="001557F2"/>
    <w:rsid w:val="00155998"/>
    <w:rsid w:val="00155A3C"/>
    <w:rsid w:val="00155BDA"/>
    <w:rsid w:val="00155C20"/>
    <w:rsid w:val="00155C23"/>
    <w:rsid w:val="00155FB0"/>
    <w:rsid w:val="001562FE"/>
    <w:rsid w:val="00156399"/>
    <w:rsid w:val="00156506"/>
    <w:rsid w:val="001566E8"/>
    <w:rsid w:val="00156BEC"/>
    <w:rsid w:val="00156EBB"/>
    <w:rsid w:val="00156F47"/>
    <w:rsid w:val="00157066"/>
    <w:rsid w:val="001572E5"/>
    <w:rsid w:val="001576AB"/>
    <w:rsid w:val="00157851"/>
    <w:rsid w:val="00157DB9"/>
    <w:rsid w:val="00160608"/>
    <w:rsid w:val="001608B1"/>
    <w:rsid w:val="001609BE"/>
    <w:rsid w:val="001609C6"/>
    <w:rsid w:val="00160A32"/>
    <w:rsid w:val="00160BE5"/>
    <w:rsid w:val="00160D2B"/>
    <w:rsid w:val="00160FA5"/>
    <w:rsid w:val="0016102D"/>
    <w:rsid w:val="001618B2"/>
    <w:rsid w:val="00161E65"/>
    <w:rsid w:val="00161E70"/>
    <w:rsid w:val="00161F01"/>
    <w:rsid w:val="00162117"/>
    <w:rsid w:val="00162207"/>
    <w:rsid w:val="0016244B"/>
    <w:rsid w:val="0016248E"/>
    <w:rsid w:val="001629A1"/>
    <w:rsid w:val="00162B30"/>
    <w:rsid w:val="00162CB6"/>
    <w:rsid w:val="00162E11"/>
    <w:rsid w:val="00162F39"/>
    <w:rsid w:val="00162F6D"/>
    <w:rsid w:val="00163131"/>
    <w:rsid w:val="001631FC"/>
    <w:rsid w:val="00163247"/>
    <w:rsid w:val="00163345"/>
    <w:rsid w:val="00164065"/>
    <w:rsid w:val="0016406C"/>
    <w:rsid w:val="001642CA"/>
    <w:rsid w:val="0016476D"/>
    <w:rsid w:val="00164DAD"/>
    <w:rsid w:val="00164FBF"/>
    <w:rsid w:val="001652E6"/>
    <w:rsid w:val="00165354"/>
    <w:rsid w:val="00165517"/>
    <w:rsid w:val="00165D66"/>
    <w:rsid w:val="00165E31"/>
    <w:rsid w:val="00165F39"/>
    <w:rsid w:val="00166368"/>
    <w:rsid w:val="00166462"/>
    <w:rsid w:val="001664C2"/>
    <w:rsid w:val="001667FB"/>
    <w:rsid w:val="00166A2D"/>
    <w:rsid w:val="00166B17"/>
    <w:rsid w:val="00166B6F"/>
    <w:rsid w:val="00166DB6"/>
    <w:rsid w:val="00167090"/>
    <w:rsid w:val="0016714B"/>
    <w:rsid w:val="0016737E"/>
    <w:rsid w:val="00167428"/>
    <w:rsid w:val="00167584"/>
    <w:rsid w:val="001675EF"/>
    <w:rsid w:val="00167DDE"/>
    <w:rsid w:val="00167E75"/>
    <w:rsid w:val="00167E90"/>
    <w:rsid w:val="001702AE"/>
    <w:rsid w:val="001705AC"/>
    <w:rsid w:val="00170702"/>
    <w:rsid w:val="001709D2"/>
    <w:rsid w:val="00170F6F"/>
    <w:rsid w:val="00171143"/>
    <w:rsid w:val="001711C0"/>
    <w:rsid w:val="00171293"/>
    <w:rsid w:val="001712F9"/>
    <w:rsid w:val="00171424"/>
    <w:rsid w:val="00171754"/>
    <w:rsid w:val="00171907"/>
    <w:rsid w:val="00171ABC"/>
    <w:rsid w:val="00171F52"/>
    <w:rsid w:val="001721A6"/>
    <w:rsid w:val="00172434"/>
    <w:rsid w:val="001726ED"/>
    <w:rsid w:val="00172763"/>
    <w:rsid w:val="001728D0"/>
    <w:rsid w:val="00172ACA"/>
    <w:rsid w:val="00172D3B"/>
    <w:rsid w:val="001731F8"/>
    <w:rsid w:val="00173D96"/>
    <w:rsid w:val="00173E04"/>
    <w:rsid w:val="00173E43"/>
    <w:rsid w:val="00173ECA"/>
    <w:rsid w:val="00173FA2"/>
    <w:rsid w:val="00173FBF"/>
    <w:rsid w:val="00174832"/>
    <w:rsid w:val="00174B12"/>
    <w:rsid w:val="00174CCD"/>
    <w:rsid w:val="00174DE0"/>
    <w:rsid w:val="00174EF9"/>
    <w:rsid w:val="001754CE"/>
    <w:rsid w:val="001756B3"/>
    <w:rsid w:val="001760B2"/>
    <w:rsid w:val="00176119"/>
    <w:rsid w:val="001763BA"/>
    <w:rsid w:val="00176A18"/>
    <w:rsid w:val="00176EA5"/>
    <w:rsid w:val="001771E7"/>
    <w:rsid w:val="001773E5"/>
    <w:rsid w:val="00177540"/>
    <w:rsid w:val="001775B3"/>
    <w:rsid w:val="00177623"/>
    <w:rsid w:val="00177699"/>
    <w:rsid w:val="001776AF"/>
    <w:rsid w:val="0017777A"/>
    <w:rsid w:val="001778A0"/>
    <w:rsid w:val="001779D3"/>
    <w:rsid w:val="00177B8B"/>
    <w:rsid w:val="00177CB6"/>
    <w:rsid w:val="00177E42"/>
    <w:rsid w:val="00177E55"/>
    <w:rsid w:val="001800F0"/>
    <w:rsid w:val="0018029F"/>
    <w:rsid w:val="00180458"/>
    <w:rsid w:val="001806DB"/>
    <w:rsid w:val="00180863"/>
    <w:rsid w:val="00180942"/>
    <w:rsid w:val="00180B3E"/>
    <w:rsid w:val="00180B53"/>
    <w:rsid w:val="00180C51"/>
    <w:rsid w:val="00180DC4"/>
    <w:rsid w:val="00180E63"/>
    <w:rsid w:val="00181558"/>
    <w:rsid w:val="00181CE4"/>
    <w:rsid w:val="00181D53"/>
    <w:rsid w:val="0018231D"/>
    <w:rsid w:val="0018273C"/>
    <w:rsid w:val="001827DF"/>
    <w:rsid w:val="00182C5C"/>
    <w:rsid w:val="00182CE8"/>
    <w:rsid w:val="00182EFD"/>
    <w:rsid w:val="00182FDD"/>
    <w:rsid w:val="0018334A"/>
    <w:rsid w:val="001833FB"/>
    <w:rsid w:val="00183449"/>
    <w:rsid w:val="0018360B"/>
    <w:rsid w:val="0018388B"/>
    <w:rsid w:val="00183A4D"/>
    <w:rsid w:val="00183A77"/>
    <w:rsid w:val="001841B2"/>
    <w:rsid w:val="00184388"/>
    <w:rsid w:val="0018457C"/>
    <w:rsid w:val="00184B11"/>
    <w:rsid w:val="00184C0E"/>
    <w:rsid w:val="00184E80"/>
    <w:rsid w:val="00184F1E"/>
    <w:rsid w:val="0018509E"/>
    <w:rsid w:val="0018550F"/>
    <w:rsid w:val="00185750"/>
    <w:rsid w:val="00185824"/>
    <w:rsid w:val="00185AD8"/>
    <w:rsid w:val="00185E91"/>
    <w:rsid w:val="00186874"/>
    <w:rsid w:val="00186989"/>
    <w:rsid w:val="00186EA9"/>
    <w:rsid w:val="00186EB6"/>
    <w:rsid w:val="001877EC"/>
    <w:rsid w:val="00187911"/>
    <w:rsid w:val="00187F0F"/>
    <w:rsid w:val="001905CD"/>
    <w:rsid w:val="00190607"/>
    <w:rsid w:val="0019082C"/>
    <w:rsid w:val="00190E46"/>
    <w:rsid w:val="00190EE1"/>
    <w:rsid w:val="00190FAD"/>
    <w:rsid w:val="00191039"/>
    <w:rsid w:val="0019115A"/>
    <w:rsid w:val="00191161"/>
    <w:rsid w:val="00191459"/>
    <w:rsid w:val="001918C4"/>
    <w:rsid w:val="00191B57"/>
    <w:rsid w:val="00191CFB"/>
    <w:rsid w:val="00191EFB"/>
    <w:rsid w:val="0019245B"/>
    <w:rsid w:val="001927A7"/>
    <w:rsid w:val="00192E1D"/>
    <w:rsid w:val="00192E2E"/>
    <w:rsid w:val="00193562"/>
    <w:rsid w:val="00193611"/>
    <w:rsid w:val="001937CE"/>
    <w:rsid w:val="001937DE"/>
    <w:rsid w:val="00193BB8"/>
    <w:rsid w:val="00193F2F"/>
    <w:rsid w:val="00193F41"/>
    <w:rsid w:val="00193F6D"/>
    <w:rsid w:val="001941DF"/>
    <w:rsid w:val="00194258"/>
    <w:rsid w:val="00194296"/>
    <w:rsid w:val="0019452C"/>
    <w:rsid w:val="00194668"/>
    <w:rsid w:val="001946F9"/>
    <w:rsid w:val="00194898"/>
    <w:rsid w:val="00194CB8"/>
    <w:rsid w:val="00195186"/>
    <w:rsid w:val="0019567D"/>
    <w:rsid w:val="001957C9"/>
    <w:rsid w:val="00195A69"/>
    <w:rsid w:val="00195D1A"/>
    <w:rsid w:val="00195EE4"/>
    <w:rsid w:val="00196217"/>
    <w:rsid w:val="00196262"/>
    <w:rsid w:val="001963EE"/>
    <w:rsid w:val="001964ED"/>
    <w:rsid w:val="0019660B"/>
    <w:rsid w:val="00196712"/>
    <w:rsid w:val="00196745"/>
    <w:rsid w:val="00196858"/>
    <w:rsid w:val="00196B45"/>
    <w:rsid w:val="00196C2A"/>
    <w:rsid w:val="00196F48"/>
    <w:rsid w:val="00196F50"/>
    <w:rsid w:val="00197473"/>
    <w:rsid w:val="001975BA"/>
    <w:rsid w:val="0019795C"/>
    <w:rsid w:val="00197DFB"/>
    <w:rsid w:val="001A00B4"/>
    <w:rsid w:val="001A0168"/>
    <w:rsid w:val="001A02E5"/>
    <w:rsid w:val="001A07B4"/>
    <w:rsid w:val="001A086A"/>
    <w:rsid w:val="001A0B22"/>
    <w:rsid w:val="001A0E84"/>
    <w:rsid w:val="001A111A"/>
    <w:rsid w:val="001A13A0"/>
    <w:rsid w:val="001A1650"/>
    <w:rsid w:val="001A179C"/>
    <w:rsid w:val="001A1834"/>
    <w:rsid w:val="001A1DE5"/>
    <w:rsid w:val="001A208D"/>
    <w:rsid w:val="001A20C8"/>
    <w:rsid w:val="001A245E"/>
    <w:rsid w:val="001A2492"/>
    <w:rsid w:val="001A3195"/>
    <w:rsid w:val="001A36A7"/>
    <w:rsid w:val="001A3907"/>
    <w:rsid w:val="001A399F"/>
    <w:rsid w:val="001A3B27"/>
    <w:rsid w:val="001A3CAE"/>
    <w:rsid w:val="001A3F89"/>
    <w:rsid w:val="001A42BD"/>
    <w:rsid w:val="001A4337"/>
    <w:rsid w:val="001A4348"/>
    <w:rsid w:val="001A4B2B"/>
    <w:rsid w:val="001A4CDD"/>
    <w:rsid w:val="001A4EBA"/>
    <w:rsid w:val="001A4F37"/>
    <w:rsid w:val="001A5879"/>
    <w:rsid w:val="001A5A85"/>
    <w:rsid w:val="001A5ACD"/>
    <w:rsid w:val="001A5B54"/>
    <w:rsid w:val="001A5C33"/>
    <w:rsid w:val="001A5C9F"/>
    <w:rsid w:val="001A5D7B"/>
    <w:rsid w:val="001A5EC2"/>
    <w:rsid w:val="001A60AD"/>
    <w:rsid w:val="001A6764"/>
    <w:rsid w:val="001A6ADF"/>
    <w:rsid w:val="001A6C30"/>
    <w:rsid w:val="001A6CBC"/>
    <w:rsid w:val="001A7031"/>
    <w:rsid w:val="001A7083"/>
    <w:rsid w:val="001B000A"/>
    <w:rsid w:val="001B0793"/>
    <w:rsid w:val="001B0A18"/>
    <w:rsid w:val="001B0AEC"/>
    <w:rsid w:val="001B0D5B"/>
    <w:rsid w:val="001B0E19"/>
    <w:rsid w:val="001B0FD5"/>
    <w:rsid w:val="001B114F"/>
    <w:rsid w:val="001B12E0"/>
    <w:rsid w:val="001B13AD"/>
    <w:rsid w:val="001B1443"/>
    <w:rsid w:val="001B173E"/>
    <w:rsid w:val="001B1E8B"/>
    <w:rsid w:val="001B2269"/>
    <w:rsid w:val="001B23D2"/>
    <w:rsid w:val="001B2558"/>
    <w:rsid w:val="001B255E"/>
    <w:rsid w:val="001B25F0"/>
    <w:rsid w:val="001B28D6"/>
    <w:rsid w:val="001B2AFD"/>
    <w:rsid w:val="001B2C82"/>
    <w:rsid w:val="001B305E"/>
    <w:rsid w:val="001B3074"/>
    <w:rsid w:val="001B313A"/>
    <w:rsid w:val="001B3459"/>
    <w:rsid w:val="001B35B5"/>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CB7"/>
    <w:rsid w:val="001B5D24"/>
    <w:rsid w:val="001B5ED6"/>
    <w:rsid w:val="001B5F55"/>
    <w:rsid w:val="001B616F"/>
    <w:rsid w:val="001B62FD"/>
    <w:rsid w:val="001B63D7"/>
    <w:rsid w:val="001B63F1"/>
    <w:rsid w:val="001B63FA"/>
    <w:rsid w:val="001B6605"/>
    <w:rsid w:val="001B675D"/>
    <w:rsid w:val="001B6CD9"/>
    <w:rsid w:val="001B6F36"/>
    <w:rsid w:val="001B726A"/>
    <w:rsid w:val="001B77B5"/>
    <w:rsid w:val="001B7A11"/>
    <w:rsid w:val="001B7AE3"/>
    <w:rsid w:val="001B7D13"/>
    <w:rsid w:val="001B7F68"/>
    <w:rsid w:val="001C0008"/>
    <w:rsid w:val="001C0129"/>
    <w:rsid w:val="001C0316"/>
    <w:rsid w:val="001C0839"/>
    <w:rsid w:val="001C13E3"/>
    <w:rsid w:val="001C183F"/>
    <w:rsid w:val="001C1C97"/>
    <w:rsid w:val="001C292C"/>
    <w:rsid w:val="001C2F74"/>
    <w:rsid w:val="001C3141"/>
    <w:rsid w:val="001C31BF"/>
    <w:rsid w:val="001C33D8"/>
    <w:rsid w:val="001C3677"/>
    <w:rsid w:val="001C3CC1"/>
    <w:rsid w:val="001C3E9C"/>
    <w:rsid w:val="001C3EA0"/>
    <w:rsid w:val="001C4004"/>
    <w:rsid w:val="001C4129"/>
    <w:rsid w:val="001C417C"/>
    <w:rsid w:val="001C41C5"/>
    <w:rsid w:val="001C42F4"/>
    <w:rsid w:val="001C4443"/>
    <w:rsid w:val="001C4752"/>
    <w:rsid w:val="001C4765"/>
    <w:rsid w:val="001C47C8"/>
    <w:rsid w:val="001C4C7C"/>
    <w:rsid w:val="001C5096"/>
    <w:rsid w:val="001C50DD"/>
    <w:rsid w:val="001C553C"/>
    <w:rsid w:val="001C5B3B"/>
    <w:rsid w:val="001C5D06"/>
    <w:rsid w:val="001C5D27"/>
    <w:rsid w:val="001C5F6D"/>
    <w:rsid w:val="001C601D"/>
    <w:rsid w:val="001C60DE"/>
    <w:rsid w:val="001C6451"/>
    <w:rsid w:val="001C64F9"/>
    <w:rsid w:val="001C651D"/>
    <w:rsid w:val="001C674C"/>
    <w:rsid w:val="001C6762"/>
    <w:rsid w:val="001C685C"/>
    <w:rsid w:val="001C6950"/>
    <w:rsid w:val="001C6D04"/>
    <w:rsid w:val="001C6DB5"/>
    <w:rsid w:val="001C6FCC"/>
    <w:rsid w:val="001C7248"/>
    <w:rsid w:val="001D00CA"/>
    <w:rsid w:val="001D0403"/>
    <w:rsid w:val="001D0A7C"/>
    <w:rsid w:val="001D0A90"/>
    <w:rsid w:val="001D0AE4"/>
    <w:rsid w:val="001D0B32"/>
    <w:rsid w:val="001D0C7D"/>
    <w:rsid w:val="001D0CB3"/>
    <w:rsid w:val="001D0E4A"/>
    <w:rsid w:val="001D0EE9"/>
    <w:rsid w:val="001D1174"/>
    <w:rsid w:val="001D13C4"/>
    <w:rsid w:val="001D1467"/>
    <w:rsid w:val="001D15B0"/>
    <w:rsid w:val="001D19AA"/>
    <w:rsid w:val="001D1B7E"/>
    <w:rsid w:val="001D1C02"/>
    <w:rsid w:val="001D213E"/>
    <w:rsid w:val="001D2348"/>
    <w:rsid w:val="001D243D"/>
    <w:rsid w:val="001D2754"/>
    <w:rsid w:val="001D283D"/>
    <w:rsid w:val="001D2E29"/>
    <w:rsid w:val="001D358E"/>
    <w:rsid w:val="001D3797"/>
    <w:rsid w:val="001D3CAA"/>
    <w:rsid w:val="001D3CBC"/>
    <w:rsid w:val="001D3E91"/>
    <w:rsid w:val="001D42CC"/>
    <w:rsid w:val="001D4467"/>
    <w:rsid w:val="001D477D"/>
    <w:rsid w:val="001D4CA8"/>
    <w:rsid w:val="001D4D3D"/>
    <w:rsid w:val="001D4E94"/>
    <w:rsid w:val="001D50BA"/>
    <w:rsid w:val="001D5307"/>
    <w:rsid w:val="001D55E5"/>
    <w:rsid w:val="001D56A8"/>
    <w:rsid w:val="001D56CD"/>
    <w:rsid w:val="001D5825"/>
    <w:rsid w:val="001D5887"/>
    <w:rsid w:val="001D598C"/>
    <w:rsid w:val="001D6019"/>
    <w:rsid w:val="001D6028"/>
    <w:rsid w:val="001D6295"/>
    <w:rsid w:val="001D657C"/>
    <w:rsid w:val="001D664C"/>
    <w:rsid w:val="001D6823"/>
    <w:rsid w:val="001D6826"/>
    <w:rsid w:val="001D69C4"/>
    <w:rsid w:val="001D69F5"/>
    <w:rsid w:val="001D6A7C"/>
    <w:rsid w:val="001D6B5C"/>
    <w:rsid w:val="001D6EC4"/>
    <w:rsid w:val="001D7250"/>
    <w:rsid w:val="001D72DB"/>
    <w:rsid w:val="001D765C"/>
    <w:rsid w:val="001D7723"/>
    <w:rsid w:val="001D78F1"/>
    <w:rsid w:val="001D7DEB"/>
    <w:rsid w:val="001D7E09"/>
    <w:rsid w:val="001D7F3E"/>
    <w:rsid w:val="001E0315"/>
    <w:rsid w:val="001E04BD"/>
    <w:rsid w:val="001E0653"/>
    <w:rsid w:val="001E0735"/>
    <w:rsid w:val="001E0970"/>
    <w:rsid w:val="001E149E"/>
    <w:rsid w:val="001E16F2"/>
    <w:rsid w:val="001E1895"/>
    <w:rsid w:val="001E1C42"/>
    <w:rsid w:val="001E1CF0"/>
    <w:rsid w:val="001E1DC1"/>
    <w:rsid w:val="001E2232"/>
    <w:rsid w:val="001E2477"/>
    <w:rsid w:val="001E263A"/>
    <w:rsid w:val="001E2806"/>
    <w:rsid w:val="001E287C"/>
    <w:rsid w:val="001E2B04"/>
    <w:rsid w:val="001E2C41"/>
    <w:rsid w:val="001E2D61"/>
    <w:rsid w:val="001E2F41"/>
    <w:rsid w:val="001E2F4F"/>
    <w:rsid w:val="001E34F7"/>
    <w:rsid w:val="001E3574"/>
    <w:rsid w:val="001E37B4"/>
    <w:rsid w:val="001E3A85"/>
    <w:rsid w:val="001E3B3B"/>
    <w:rsid w:val="001E3F6B"/>
    <w:rsid w:val="001E40BE"/>
    <w:rsid w:val="001E4163"/>
    <w:rsid w:val="001E450D"/>
    <w:rsid w:val="001E4611"/>
    <w:rsid w:val="001E49D7"/>
    <w:rsid w:val="001E4BF5"/>
    <w:rsid w:val="001E4DBE"/>
    <w:rsid w:val="001E4FA3"/>
    <w:rsid w:val="001E4FE1"/>
    <w:rsid w:val="001E5055"/>
    <w:rsid w:val="001E5671"/>
    <w:rsid w:val="001E57AB"/>
    <w:rsid w:val="001E57B0"/>
    <w:rsid w:val="001E57C6"/>
    <w:rsid w:val="001E58F6"/>
    <w:rsid w:val="001E599A"/>
    <w:rsid w:val="001E6389"/>
    <w:rsid w:val="001E65DE"/>
    <w:rsid w:val="001E65DF"/>
    <w:rsid w:val="001E6A66"/>
    <w:rsid w:val="001E6F34"/>
    <w:rsid w:val="001E7224"/>
    <w:rsid w:val="001E727F"/>
    <w:rsid w:val="001E7285"/>
    <w:rsid w:val="001E72B4"/>
    <w:rsid w:val="001E7357"/>
    <w:rsid w:val="001E7BCA"/>
    <w:rsid w:val="001E7DBC"/>
    <w:rsid w:val="001E7DCC"/>
    <w:rsid w:val="001E7F22"/>
    <w:rsid w:val="001F019F"/>
    <w:rsid w:val="001F03D7"/>
    <w:rsid w:val="001F0BDD"/>
    <w:rsid w:val="001F0CC8"/>
    <w:rsid w:val="001F0CF2"/>
    <w:rsid w:val="001F100D"/>
    <w:rsid w:val="001F11EC"/>
    <w:rsid w:val="001F163A"/>
    <w:rsid w:val="001F1981"/>
    <w:rsid w:val="001F229E"/>
    <w:rsid w:val="001F2515"/>
    <w:rsid w:val="001F254A"/>
    <w:rsid w:val="001F2AD7"/>
    <w:rsid w:val="001F3152"/>
    <w:rsid w:val="001F3B2E"/>
    <w:rsid w:val="001F3BB0"/>
    <w:rsid w:val="001F3CFA"/>
    <w:rsid w:val="001F3F78"/>
    <w:rsid w:val="001F4C40"/>
    <w:rsid w:val="001F4DAF"/>
    <w:rsid w:val="001F4FCD"/>
    <w:rsid w:val="001F5120"/>
    <w:rsid w:val="001F5476"/>
    <w:rsid w:val="001F589B"/>
    <w:rsid w:val="001F5BF2"/>
    <w:rsid w:val="001F5CB7"/>
    <w:rsid w:val="001F5D47"/>
    <w:rsid w:val="001F5F71"/>
    <w:rsid w:val="001F630B"/>
    <w:rsid w:val="001F6604"/>
    <w:rsid w:val="001F6A15"/>
    <w:rsid w:val="001F6A96"/>
    <w:rsid w:val="001F6AD8"/>
    <w:rsid w:val="001F6C25"/>
    <w:rsid w:val="001F6D0A"/>
    <w:rsid w:val="001F6EA5"/>
    <w:rsid w:val="001F706E"/>
    <w:rsid w:val="001F72D4"/>
    <w:rsid w:val="001F7325"/>
    <w:rsid w:val="001F7349"/>
    <w:rsid w:val="001F7639"/>
    <w:rsid w:val="001F770B"/>
    <w:rsid w:val="001F7E39"/>
    <w:rsid w:val="00200243"/>
    <w:rsid w:val="002010FF"/>
    <w:rsid w:val="0020111E"/>
    <w:rsid w:val="002012CC"/>
    <w:rsid w:val="00201F7B"/>
    <w:rsid w:val="00202168"/>
    <w:rsid w:val="002023D5"/>
    <w:rsid w:val="00202799"/>
    <w:rsid w:val="002027CD"/>
    <w:rsid w:val="00202ABF"/>
    <w:rsid w:val="00202E1C"/>
    <w:rsid w:val="00203186"/>
    <w:rsid w:val="002032CD"/>
    <w:rsid w:val="002032DF"/>
    <w:rsid w:val="00203608"/>
    <w:rsid w:val="00203639"/>
    <w:rsid w:val="002036BE"/>
    <w:rsid w:val="00203854"/>
    <w:rsid w:val="002038F5"/>
    <w:rsid w:val="0020454E"/>
    <w:rsid w:val="00204DC3"/>
    <w:rsid w:val="00204E6E"/>
    <w:rsid w:val="00205021"/>
    <w:rsid w:val="002050F7"/>
    <w:rsid w:val="00205254"/>
    <w:rsid w:val="0020599E"/>
    <w:rsid w:val="00205C35"/>
    <w:rsid w:val="00205FE4"/>
    <w:rsid w:val="00206145"/>
    <w:rsid w:val="002062FB"/>
    <w:rsid w:val="00206695"/>
    <w:rsid w:val="002068BE"/>
    <w:rsid w:val="002069E3"/>
    <w:rsid w:val="00206AA4"/>
    <w:rsid w:val="00206C5F"/>
    <w:rsid w:val="00206D1C"/>
    <w:rsid w:val="00206D86"/>
    <w:rsid w:val="00206E29"/>
    <w:rsid w:val="00207015"/>
    <w:rsid w:val="0020715B"/>
    <w:rsid w:val="00207186"/>
    <w:rsid w:val="002071AA"/>
    <w:rsid w:val="0020720C"/>
    <w:rsid w:val="002072A7"/>
    <w:rsid w:val="002072A9"/>
    <w:rsid w:val="0020743C"/>
    <w:rsid w:val="00207C7B"/>
    <w:rsid w:val="00207C9A"/>
    <w:rsid w:val="00207C9D"/>
    <w:rsid w:val="00207FF4"/>
    <w:rsid w:val="0021008C"/>
    <w:rsid w:val="0021010A"/>
    <w:rsid w:val="0021097B"/>
    <w:rsid w:val="00210C4A"/>
    <w:rsid w:val="00210ED9"/>
    <w:rsid w:val="00210F80"/>
    <w:rsid w:val="002110EE"/>
    <w:rsid w:val="002111DC"/>
    <w:rsid w:val="002112BE"/>
    <w:rsid w:val="00211A07"/>
    <w:rsid w:val="00211A17"/>
    <w:rsid w:val="00211A51"/>
    <w:rsid w:val="00211EAA"/>
    <w:rsid w:val="00211F39"/>
    <w:rsid w:val="002126FF"/>
    <w:rsid w:val="002127E2"/>
    <w:rsid w:val="00212852"/>
    <w:rsid w:val="0021296B"/>
    <w:rsid w:val="00212E13"/>
    <w:rsid w:val="00212E66"/>
    <w:rsid w:val="002134B6"/>
    <w:rsid w:val="002134F5"/>
    <w:rsid w:val="002136B0"/>
    <w:rsid w:val="002136EE"/>
    <w:rsid w:val="00213A22"/>
    <w:rsid w:val="00213AB3"/>
    <w:rsid w:val="00213F32"/>
    <w:rsid w:val="00213F4F"/>
    <w:rsid w:val="0021408A"/>
    <w:rsid w:val="0021436C"/>
    <w:rsid w:val="002144E6"/>
    <w:rsid w:val="002146F2"/>
    <w:rsid w:val="00214CE5"/>
    <w:rsid w:val="00214D87"/>
    <w:rsid w:val="002150F1"/>
    <w:rsid w:val="002152DD"/>
    <w:rsid w:val="00215493"/>
    <w:rsid w:val="002155C5"/>
    <w:rsid w:val="00215616"/>
    <w:rsid w:val="0021579C"/>
    <w:rsid w:val="00215856"/>
    <w:rsid w:val="00215A6C"/>
    <w:rsid w:val="00215F52"/>
    <w:rsid w:val="002165EF"/>
    <w:rsid w:val="00216766"/>
    <w:rsid w:val="002169D7"/>
    <w:rsid w:val="00216C92"/>
    <w:rsid w:val="00216CDF"/>
    <w:rsid w:val="00216D7F"/>
    <w:rsid w:val="00216E41"/>
    <w:rsid w:val="00216F07"/>
    <w:rsid w:val="00217757"/>
    <w:rsid w:val="002177F0"/>
    <w:rsid w:val="00217AB6"/>
    <w:rsid w:val="00217B82"/>
    <w:rsid w:val="00217F26"/>
    <w:rsid w:val="00220092"/>
    <w:rsid w:val="0022031D"/>
    <w:rsid w:val="002206DC"/>
    <w:rsid w:val="0022078F"/>
    <w:rsid w:val="00220965"/>
    <w:rsid w:val="002212C2"/>
    <w:rsid w:val="00221354"/>
    <w:rsid w:val="00221441"/>
    <w:rsid w:val="002217AE"/>
    <w:rsid w:val="0022187B"/>
    <w:rsid w:val="00221A67"/>
    <w:rsid w:val="00221B58"/>
    <w:rsid w:val="00222083"/>
    <w:rsid w:val="002222BD"/>
    <w:rsid w:val="00222300"/>
    <w:rsid w:val="0022293D"/>
    <w:rsid w:val="00222A2B"/>
    <w:rsid w:val="00222C85"/>
    <w:rsid w:val="00222D1B"/>
    <w:rsid w:val="00222E86"/>
    <w:rsid w:val="00223079"/>
    <w:rsid w:val="002231F0"/>
    <w:rsid w:val="002234AC"/>
    <w:rsid w:val="00223DC9"/>
    <w:rsid w:val="00223FA0"/>
    <w:rsid w:val="00224129"/>
    <w:rsid w:val="002245A8"/>
    <w:rsid w:val="0022470E"/>
    <w:rsid w:val="00224BBB"/>
    <w:rsid w:val="00224D05"/>
    <w:rsid w:val="00224DDB"/>
    <w:rsid w:val="002251D3"/>
    <w:rsid w:val="002259A9"/>
    <w:rsid w:val="00225B37"/>
    <w:rsid w:val="00225C8A"/>
    <w:rsid w:val="00225DB5"/>
    <w:rsid w:val="00226001"/>
    <w:rsid w:val="002261E1"/>
    <w:rsid w:val="00226210"/>
    <w:rsid w:val="00226696"/>
    <w:rsid w:val="00226749"/>
    <w:rsid w:val="002268A0"/>
    <w:rsid w:val="00226B1A"/>
    <w:rsid w:val="00226C49"/>
    <w:rsid w:val="00226EB4"/>
    <w:rsid w:val="00226FCB"/>
    <w:rsid w:val="0022737C"/>
    <w:rsid w:val="002277E5"/>
    <w:rsid w:val="002279F5"/>
    <w:rsid w:val="00227FE1"/>
    <w:rsid w:val="002302F2"/>
    <w:rsid w:val="0023055B"/>
    <w:rsid w:val="00230709"/>
    <w:rsid w:val="00230A31"/>
    <w:rsid w:val="00231090"/>
    <w:rsid w:val="00231273"/>
    <w:rsid w:val="00231411"/>
    <w:rsid w:val="0023190F"/>
    <w:rsid w:val="00231A63"/>
    <w:rsid w:val="00231CB1"/>
    <w:rsid w:val="00231DE5"/>
    <w:rsid w:val="00231F38"/>
    <w:rsid w:val="0023200C"/>
    <w:rsid w:val="00232049"/>
    <w:rsid w:val="00232639"/>
    <w:rsid w:val="0023292D"/>
    <w:rsid w:val="00232B7F"/>
    <w:rsid w:val="00232BE8"/>
    <w:rsid w:val="00232D9D"/>
    <w:rsid w:val="00232EAE"/>
    <w:rsid w:val="002331F5"/>
    <w:rsid w:val="002331FC"/>
    <w:rsid w:val="0023345A"/>
    <w:rsid w:val="0023389A"/>
    <w:rsid w:val="00233B0B"/>
    <w:rsid w:val="00233EE4"/>
    <w:rsid w:val="0023477E"/>
    <w:rsid w:val="00234A16"/>
    <w:rsid w:val="00234D99"/>
    <w:rsid w:val="00235341"/>
    <w:rsid w:val="0023549C"/>
    <w:rsid w:val="002354A3"/>
    <w:rsid w:val="00235766"/>
    <w:rsid w:val="0023595B"/>
    <w:rsid w:val="00235BF3"/>
    <w:rsid w:val="00235EA7"/>
    <w:rsid w:val="00235F2B"/>
    <w:rsid w:val="00235FFD"/>
    <w:rsid w:val="00236153"/>
    <w:rsid w:val="002362E1"/>
    <w:rsid w:val="00236A49"/>
    <w:rsid w:val="00236C82"/>
    <w:rsid w:val="00236DF2"/>
    <w:rsid w:val="00236FF1"/>
    <w:rsid w:val="002371F8"/>
    <w:rsid w:val="002372D9"/>
    <w:rsid w:val="002372FA"/>
    <w:rsid w:val="0023733C"/>
    <w:rsid w:val="00237988"/>
    <w:rsid w:val="00237A14"/>
    <w:rsid w:val="00237A77"/>
    <w:rsid w:val="00237AB7"/>
    <w:rsid w:val="00237B61"/>
    <w:rsid w:val="002402D4"/>
    <w:rsid w:val="00240322"/>
    <w:rsid w:val="00240382"/>
    <w:rsid w:val="002404DA"/>
    <w:rsid w:val="0024057F"/>
    <w:rsid w:val="002406BF"/>
    <w:rsid w:val="00240738"/>
    <w:rsid w:val="002409F3"/>
    <w:rsid w:val="00240C82"/>
    <w:rsid w:val="00240E2B"/>
    <w:rsid w:val="002414E6"/>
    <w:rsid w:val="0024173D"/>
    <w:rsid w:val="00241B7F"/>
    <w:rsid w:val="00241BDE"/>
    <w:rsid w:val="00241CEE"/>
    <w:rsid w:val="00241F11"/>
    <w:rsid w:val="00242348"/>
    <w:rsid w:val="00242468"/>
    <w:rsid w:val="0024255C"/>
    <w:rsid w:val="002426B4"/>
    <w:rsid w:val="00242725"/>
    <w:rsid w:val="00242E90"/>
    <w:rsid w:val="00242ED6"/>
    <w:rsid w:val="002432E1"/>
    <w:rsid w:val="0024339E"/>
    <w:rsid w:val="002435A0"/>
    <w:rsid w:val="00243B17"/>
    <w:rsid w:val="00243D13"/>
    <w:rsid w:val="00243DE4"/>
    <w:rsid w:val="00243DEA"/>
    <w:rsid w:val="00244505"/>
    <w:rsid w:val="00244567"/>
    <w:rsid w:val="00244883"/>
    <w:rsid w:val="002448FD"/>
    <w:rsid w:val="00244B04"/>
    <w:rsid w:val="00244CD4"/>
    <w:rsid w:val="0024505F"/>
    <w:rsid w:val="0024508B"/>
    <w:rsid w:val="002450CF"/>
    <w:rsid w:val="00245326"/>
    <w:rsid w:val="002453C9"/>
    <w:rsid w:val="00245655"/>
    <w:rsid w:val="00245CE3"/>
    <w:rsid w:val="00246048"/>
    <w:rsid w:val="00246229"/>
    <w:rsid w:val="002464A8"/>
    <w:rsid w:val="0024686F"/>
    <w:rsid w:val="00246B4F"/>
    <w:rsid w:val="00246B97"/>
    <w:rsid w:val="00246BBC"/>
    <w:rsid w:val="00246D74"/>
    <w:rsid w:val="002471B6"/>
    <w:rsid w:val="002471CF"/>
    <w:rsid w:val="002472D2"/>
    <w:rsid w:val="002473C7"/>
    <w:rsid w:val="002475EC"/>
    <w:rsid w:val="0024770B"/>
    <w:rsid w:val="00247B24"/>
    <w:rsid w:val="00247FD9"/>
    <w:rsid w:val="002508E4"/>
    <w:rsid w:val="00250A41"/>
    <w:rsid w:val="00250E4B"/>
    <w:rsid w:val="00250E52"/>
    <w:rsid w:val="002510D1"/>
    <w:rsid w:val="002515BF"/>
    <w:rsid w:val="00251826"/>
    <w:rsid w:val="00251AC4"/>
    <w:rsid w:val="00251B2D"/>
    <w:rsid w:val="00251D89"/>
    <w:rsid w:val="00252258"/>
    <w:rsid w:val="002522BF"/>
    <w:rsid w:val="002525CD"/>
    <w:rsid w:val="00252796"/>
    <w:rsid w:val="00252846"/>
    <w:rsid w:val="0025296A"/>
    <w:rsid w:val="002529A4"/>
    <w:rsid w:val="00252A00"/>
    <w:rsid w:val="00252CA6"/>
    <w:rsid w:val="00253471"/>
    <w:rsid w:val="00253937"/>
    <w:rsid w:val="00253B53"/>
    <w:rsid w:val="00253B84"/>
    <w:rsid w:val="00253E12"/>
    <w:rsid w:val="002541CC"/>
    <w:rsid w:val="0025426A"/>
    <w:rsid w:val="002544C1"/>
    <w:rsid w:val="0025451F"/>
    <w:rsid w:val="00254763"/>
    <w:rsid w:val="00254880"/>
    <w:rsid w:val="00254CAA"/>
    <w:rsid w:val="00254CB8"/>
    <w:rsid w:val="00254D0E"/>
    <w:rsid w:val="00254DB1"/>
    <w:rsid w:val="00255528"/>
    <w:rsid w:val="0025554D"/>
    <w:rsid w:val="002559D9"/>
    <w:rsid w:val="00255B70"/>
    <w:rsid w:val="00255C3D"/>
    <w:rsid w:val="00255E60"/>
    <w:rsid w:val="002566A1"/>
    <w:rsid w:val="002574BB"/>
    <w:rsid w:val="00257512"/>
    <w:rsid w:val="00257690"/>
    <w:rsid w:val="0025773B"/>
    <w:rsid w:val="00257ABC"/>
    <w:rsid w:val="00257C4F"/>
    <w:rsid w:val="00257C8E"/>
    <w:rsid w:val="00257F36"/>
    <w:rsid w:val="002603B9"/>
    <w:rsid w:val="00260B76"/>
    <w:rsid w:val="00260CBB"/>
    <w:rsid w:val="00261720"/>
    <w:rsid w:val="002617C0"/>
    <w:rsid w:val="00261C1E"/>
    <w:rsid w:val="00261CDA"/>
    <w:rsid w:val="00261D0F"/>
    <w:rsid w:val="00261E46"/>
    <w:rsid w:val="0026206B"/>
    <w:rsid w:val="00262133"/>
    <w:rsid w:val="002623DD"/>
    <w:rsid w:val="00262406"/>
    <w:rsid w:val="002629D9"/>
    <w:rsid w:val="0026330A"/>
    <w:rsid w:val="00263350"/>
    <w:rsid w:val="002635CF"/>
    <w:rsid w:val="002636DE"/>
    <w:rsid w:val="002637F5"/>
    <w:rsid w:val="00263825"/>
    <w:rsid w:val="00263F15"/>
    <w:rsid w:val="0026417C"/>
    <w:rsid w:val="00264262"/>
    <w:rsid w:val="002642F2"/>
    <w:rsid w:val="0026457E"/>
    <w:rsid w:val="0026480F"/>
    <w:rsid w:val="00264878"/>
    <w:rsid w:val="00264970"/>
    <w:rsid w:val="00264973"/>
    <w:rsid w:val="002649E1"/>
    <w:rsid w:val="00264CF2"/>
    <w:rsid w:val="00264EF1"/>
    <w:rsid w:val="00264F32"/>
    <w:rsid w:val="0026504B"/>
    <w:rsid w:val="00265165"/>
    <w:rsid w:val="00265169"/>
    <w:rsid w:val="00265188"/>
    <w:rsid w:val="0026525A"/>
    <w:rsid w:val="0026534C"/>
    <w:rsid w:val="00265432"/>
    <w:rsid w:val="002657FA"/>
    <w:rsid w:val="0026587F"/>
    <w:rsid w:val="00265CAE"/>
    <w:rsid w:val="002660FE"/>
    <w:rsid w:val="0026613F"/>
    <w:rsid w:val="0026646C"/>
    <w:rsid w:val="00266614"/>
    <w:rsid w:val="00266FA1"/>
    <w:rsid w:val="002670B3"/>
    <w:rsid w:val="00267187"/>
    <w:rsid w:val="002678F7"/>
    <w:rsid w:val="00267A3D"/>
    <w:rsid w:val="00267BEE"/>
    <w:rsid w:val="00267E03"/>
    <w:rsid w:val="00267EFD"/>
    <w:rsid w:val="00270371"/>
    <w:rsid w:val="00270706"/>
    <w:rsid w:val="00270824"/>
    <w:rsid w:val="00270AB7"/>
    <w:rsid w:val="00270D44"/>
    <w:rsid w:val="00270DC1"/>
    <w:rsid w:val="00270F5F"/>
    <w:rsid w:val="00271352"/>
    <w:rsid w:val="00271A64"/>
    <w:rsid w:val="00271ADC"/>
    <w:rsid w:val="00271E36"/>
    <w:rsid w:val="00271F11"/>
    <w:rsid w:val="00272369"/>
    <w:rsid w:val="00272822"/>
    <w:rsid w:val="00272A39"/>
    <w:rsid w:val="00272BB1"/>
    <w:rsid w:val="00272E69"/>
    <w:rsid w:val="00272F8E"/>
    <w:rsid w:val="002737A3"/>
    <w:rsid w:val="0027394D"/>
    <w:rsid w:val="00273A36"/>
    <w:rsid w:val="00273C0B"/>
    <w:rsid w:val="00273ED4"/>
    <w:rsid w:val="0027442E"/>
    <w:rsid w:val="002744D6"/>
    <w:rsid w:val="002746D5"/>
    <w:rsid w:val="002748AA"/>
    <w:rsid w:val="00274964"/>
    <w:rsid w:val="00274980"/>
    <w:rsid w:val="002749D2"/>
    <w:rsid w:val="00275045"/>
    <w:rsid w:val="002751ED"/>
    <w:rsid w:val="002753A0"/>
    <w:rsid w:val="002753EA"/>
    <w:rsid w:val="00275407"/>
    <w:rsid w:val="00275E35"/>
    <w:rsid w:val="0027607E"/>
    <w:rsid w:val="0027611E"/>
    <w:rsid w:val="0027634A"/>
    <w:rsid w:val="00276399"/>
    <w:rsid w:val="00276AE3"/>
    <w:rsid w:val="00276B6A"/>
    <w:rsid w:val="00276D4C"/>
    <w:rsid w:val="00276DBB"/>
    <w:rsid w:val="00276DD0"/>
    <w:rsid w:val="0027739E"/>
    <w:rsid w:val="00277925"/>
    <w:rsid w:val="00277989"/>
    <w:rsid w:val="00277D0C"/>
    <w:rsid w:val="0028049B"/>
    <w:rsid w:val="00280561"/>
    <w:rsid w:val="00280C0C"/>
    <w:rsid w:val="00280D29"/>
    <w:rsid w:val="00280D2D"/>
    <w:rsid w:val="002817E3"/>
    <w:rsid w:val="00281915"/>
    <w:rsid w:val="00281CA9"/>
    <w:rsid w:val="00281DDF"/>
    <w:rsid w:val="00282152"/>
    <w:rsid w:val="00282256"/>
    <w:rsid w:val="0028266F"/>
    <w:rsid w:val="00282B04"/>
    <w:rsid w:val="00283468"/>
    <w:rsid w:val="002834C4"/>
    <w:rsid w:val="00283650"/>
    <w:rsid w:val="002838D1"/>
    <w:rsid w:val="00283B9E"/>
    <w:rsid w:val="00283F1E"/>
    <w:rsid w:val="00284084"/>
    <w:rsid w:val="0028463D"/>
    <w:rsid w:val="00284EBF"/>
    <w:rsid w:val="00284F47"/>
    <w:rsid w:val="00285075"/>
    <w:rsid w:val="0028532E"/>
    <w:rsid w:val="00285405"/>
    <w:rsid w:val="00285632"/>
    <w:rsid w:val="00285954"/>
    <w:rsid w:val="002859F7"/>
    <w:rsid w:val="00285B7B"/>
    <w:rsid w:val="00285D3B"/>
    <w:rsid w:val="00285F98"/>
    <w:rsid w:val="0028612D"/>
    <w:rsid w:val="002861F9"/>
    <w:rsid w:val="00286250"/>
    <w:rsid w:val="002862A2"/>
    <w:rsid w:val="002863D2"/>
    <w:rsid w:val="0028643C"/>
    <w:rsid w:val="002866C0"/>
    <w:rsid w:val="002867FC"/>
    <w:rsid w:val="0028693F"/>
    <w:rsid w:val="00286AAE"/>
    <w:rsid w:val="00286E86"/>
    <w:rsid w:val="00286F1E"/>
    <w:rsid w:val="00287469"/>
    <w:rsid w:val="0028765D"/>
    <w:rsid w:val="0029020B"/>
    <w:rsid w:val="00290224"/>
    <w:rsid w:val="00290378"/>
    <w:rsid w:val="002903FB"/>
    <w:rsid w:val="0029069C"/>
    <w:rsid w:val="002908D2"/>
    <w:rsid w:val="00290AE9"/>
    <w:rsid w:val="00290BB7"/>
    <w:rsid w:val="00290CA9"/>
    <w:rsid w:val="00290DB1"/>
    <w:rsid w:val="002912A4"/>
    <w:rsid w:val="002912E5"/>
    <w:rsid w:val="002916FE"/>
    <w:rsid w:val="00291764"/>
    <w:rsid w:val="002917D5"/>
    <w:rsid w:val="002918C1"/>
    <w:rsid w:val="002918D0"/>
    <w:rsid w:val="002925DB"/>
    <w:rsid w:val="00292604"/>
    <w:rsid w:val="00292878"/>
    <w:rsid w:val="0029299C"/>
    <w:rsid w:val="00292ACC"/>
    <w:rsid w:val="00292BF0"/>
    <w:rsid w:val="00292C1E"/>
    <w:rsid w:val="00292EB1"/>
    <w:rsid w:val="00292EFD"/>
    <w:rsid w:val="00292FB3"/>
    <w:rsid w:val="002931DB"/>
    <w:rsid w:val="002934C7"/>
    <w:rsid w:val="0029376D"/>
    <w:rsid w:val="00293786"/>
    <w:rsid w:val="002939E9"/>
    <w:rsid w:val="00293A33"/>
    <w:rsid w:val="00293D2F"/>
    <w:rsid w:val="00293F6B"/>
    <w:rsid w:val="00294418"/>
    <w:rsid w:val="002945DF"/>
    <w:rsid w:val="00294649"/>
    <w:rsid w:val="00294A46"/>
    <w:rsid w:val="00294AA0"/>
    <w:rsid w:val="00294B38"/>
    <w:rsid w:val="00294EF6"/>
    <w:rsid w:val="00294F5E"/>
    <w:rsid w:val="00295170"/>
    <w:rsid w:val="0029539C"/>
    <w:rsid w:val="002954AC"/>
    <w:rsid w:val="00295756"/>
    <w:rsid w:val="002959F7"/>
    <w:rsid w:val="00295CE6"/>
    <w:rsid w:val="00295E5F"/>
    <w:rsid w:val="002964E3"/>
    <w:rsid w:val="00296620"/>
    <w:rsid w:val="00297193"/>
    <w:rsid w:val="002971FE"/>
    <w:rsid w:val="0029786C"/>
    <w:rsid w:val="00297C10"/>
    <w:rsid w:val="00297C33"/>
    <w:rsid w:val="00297F38"/>
    <w:rsid w:val="002A0030"/>
    <w:rsid w:val="002A020B"/>
    <w:rsid w:val="002A0452"/>
    <w:rsid w:val="002A1499"/>
    <w:rsid w:val="002A16AA"/>
    <w:rsid w:val="002A19F1"/>
    <w:rsid w:val="002A1CCE"/>
    <w:rsid w:val="002A1D5A"/>
    <w:rsid w:val="002A1F75"/>
    <w:rsid w:val="002A21FA"/>
    <w:rsid w:val="002A24B4"/>
    <w:rsid w:val="002A27DB"/>
    <w:rsid w:val="002A2CEF"/>
    <w:rsid w:val="002A2FAC"/>
    <w:rsid w:val="002A3196"/>
    <w:rsid w:val="002A3301"/>
    <w:rsid w:val="002A3392"/>
    <w:rsid w:val="002A357A"/>
    <w:rsid w:val="002A3683"/>
    <w:rsid w:val="002A37B0"/>
    <w:rsid w:val="002A3DCF"/>
    <w:rsid w:val="002A3DE8"/>
    <w:rsid w:val="002A3E3A"/>
    <w:rsid w:val="002A3F69"/>
    <w:rsid w:val="002A40F9"/>
    <w:rsid w:val="002A4166"/>
    <w:rsid w:val="002A41FD"/>
    <w:rsid w:val="002A4470"/>
    <w:rsid w:val="002A449A"/>
    <w:rsid w:val="002A4574"/>
    <w:rsid w:val="002A468D"/>
    <w:rsid w:val="002A4725"/>
    <w:rsid w:val="002A47FD"/>
    <w:rsid w:val="002A4AAB"/>
    <w:rsid w:val="002A4AEF"/>
    <w:rsid w:val="002A5198"/>
    <w:rsid w:val="002A520F"/>
    <w:rsid w:val="002A5279"/>
    <w:rsid w:val="002A537D"/>
    <w:rsid w:val="002A53B5"/>
    <w:rsid w:val="002A549A"/>
    <w:rsid w:val="002A5883"/>
    <w:rsid w:val="002A58D6"/>
    <w:rsid w:val="002A5ED8"/>
    <w:rsid w:val="002A5F37"/>
    <w:rsid w:val="002A601D"/>
    <w:rsid w:val="002A60E6"/>
    <w:rsid w:val="002A622F"/>
    <w:rsid w:val="002A631F"/>
    <w:rsid w:val="002A638F"/>
    <w:rsid w:val="002A669C"/>
    <w:rsid w:val="002A6C48"/>
    <w:rsid w:val="002A6EE9"/>
    <w:rsid w:val="002A7067"/>
    <w:rsid w:val="002A72C3"/>
    <w:rsid w:val="002A73A9"/>
    <w:rsid w:val="002A73D5"/>
    <w:rsid w:val="002A75D5"/>
    <w:rsid w:val="002A7708"/>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15F"/>
    <w:rsid w:val="002B11A9"/>
    <w:rsid w:val="002B13B2"/>
    <w:rsid w:val="002B158F"/>
    <w:rsid w:val="002B15D7"/>
    <w:rsid w:val="002B1884"/>
    <w:rsid w:val="002B198A"/>
    <w:rsid w:val="002B1FAE"/>
    <w:rsid w:val="002B232D"/>
    <w:rsid w:val="002B258D"/>
    <w:rsid w:val="002B25B0"/>
    <w:rsid w:val="002B2834"/>
    <w:rsid w:val="002B2AF2"/>
    <w:rsid w:val="002B2ED8"/>
    <w:rsid w:val="002B33B4"/>
    <w:rsid w:val="002B35C5"/>
    <w:rsid w:val="002B399A"/>
    <w:rsid w:val="002B3B9E"/>
    <w:rsid w:val="002B4009"/>
    <w:rsid w:val="002B4573"/>
    <w:rsid w:val="002B479B"/>
    <w:rsid w:val="002B4E2D"/>
    <w:rsid w:val="002B516C"/>
    <w:rsid w:val="002B5757"/>
    <w:rsid w:val="002B5D20"/>
    <w:rsid w:val="002B5D50"/>
    <w:rsid w:val="002B60A1"/>
    <w:rsid w:val="002B6139"/>
    <w:rsid w:val="002B67EB"/>
    <w:rsid w:val="002B68CF"/>
    <w:rsid w:val="002B6CEF"/>
    <w:rsid w:val="002B6D53"/>
    <w:rsid w:val="002B70EE"/>
    <w:rsid w:val="002B7339"/>
    <w:rsid w:val="002B73E3"/>
    <w:rsid w:val="002B7519"/>
    <w:rsid w:val="002B769B"/>
    <w:rsid w:val="002B7713"/>
    <w:rsid w:val="002B7799"/>
    <w:rsid w:val="002B78B1"/>
    <w:rsid w:val="002B7DC2"/>
    <w:rsid w:val="002B7F13"/>
    <w:rsid w:val="002C0539"/>
    <w:rsid w:val="002C05C6"/>
    <w:rsid w:val="002C05E2"/>
    <w:rsid w:val="002C0C2D"/>
    <w:rsid w:val="002C0DA6"/>
    <w:rsid w:val="002C0E08"/>
    <w:rsid w:val="002C103A"/>
    <w:rsid w:val="002C1054"/>
    <w:rsid w:val="002C174A"/>
    <w:rsid w:val="002C2326"/>
    <w:rsid w:val="002C25E8"/>
    <w:rsid w:val="002C2746"/>
    <w:rsid w:val="002C28EE"/>
    <w:rsid w:val="002C3145"/>
    <w:rsid w:val="002C3204"/>
    <w:rsid w:val="002C3295"/>
    <w:rsid w:val="002C344D"/>
    <w:rsid w:val="002C3C93"/>
    <w:rsid w:val="002C3C9F"/>
    <w:rsid w:val="002C3E10"/>
    <w:rsid w:val="002C3F8F"/>
    <w:rsid w:val="002C4059"/>
    <w:rsid w:val="002C4074"/>
    <w:rsid w:val="002C41A6"/>
    <w:rsid w:val="002C4436"/>
    <w:rsid w:val="002C444F"/>
    <w:rsid w:val="002C472E"/>
    <w:rsid w:val="002C4891"/>
    <w:rsid w:val="002C4A15"/>
    <w:rsid w:val="002C4B4E"/>
    <w:rsid w:val="002C4C0D"/>
    <w:rsid w:val="002C5146"/>
    <w:rsid w:val="002C54E1"/>
    <w:rsid w:val="002C5B8A"/>
    <w:rsid w:val="002C5CB8"/>
    <w:rsid w:val="002C5E69"/>
    <w:rsid w:val="002C6692"/>
    <w:rsid w:val="002C6AF0"/>
    <w:rsid w:val="002C6C8D"/>
    <w:rsid w:val="002C6D3C"/>
    <w:rsid w:val="002C6DA4"/>
    <w:rsid w:val="002C735C"/>
    <w:rsid w:val="002C746A"/>
    <w:rsid w:val="002C74B8"/>
    <w:rsid w:val="002C7B84"/>
    <w:rsid w:val="002C7F7C"/>
    <w:rsid w:val="002C7FD9"/>
    <w:rsid w:val="002D00C5"/>
    <w:rsid w:val="002D0233"/>
    <w:rsid w:val="002D061B"/>
    <w:rsid w:val="002D0822"/>
    <w:rsid w:val="002D0A83"/>
    <w:rsid w:val="002D0B7D"/>
    <w:rsid w:val="002D0CEA"/>
    <w:rsid w:val="002D0F2E"/>
    <w:rsid w:val="002D16A2"/>
    <w:rsid w:val="002D1705"/>
    <w:rsid w:val="002D1855"/>
    <w:rsid w:val="002D18FF"/>
    <w:rsid w:val="002D1908"/>
    <w:rsid w:val="002D1979"/>
    <w:rsid w:val="002D1C5C"/>
    <w:rsid w:val="002D1FE5"/>
    <w:rsid w:val="002D20C1"/>
    <w:rsid w:val="002D2511"/>
    <w:rsid w:val="002D262D"/>
    <w:rsid w:val="002D26F4"/>
    <w:rsid w:val="002D2701"/>
    <w:rsid w:val="002D29D0"/>
    <w:rsid w:val="002D2F3C"/>
    <w:rsid w:val="002D31BB"/>
    <w:rsid w:val="002D345D"/>
    <w:rsid w:val="002D3606"/>
    <w:rsid w:val="002D3A13"/>
    <w:rsid w:val="002D3B3E"/>
    <w:rsid w:val="002D3CAA"/>
    <w:rsid w:val="002D3DDD"/>
    <w:rsid w:val="002D3E73"/>
    <w:rsid w:val="002D3EB7"/>
    <w:rsid w:val="002D3F12"/>
    <w:rsid w:val="002D45F0"/>
    <w:rsid w:val="002D4600"/>
    <w:rsid w:val="002D47D9"/>
    <w:rsid w:val="002D494E"/>
    <w:rsid w:val="002D4A77"/>
    <w:rsid w:val="002D4DB5"/>
    <w:rsid w:val="002D4F33"/>
    <w:rsid w:val="002D5108"/>
    <w:rsid w:val="002D51DE"/>
    <w:rsid w:val="002D51E2"/>
    <w:rsid w:val="002D527B"/>
    <w:rsid w:val="002D5486"/>
    <w:rsid w:val="002D56FF"/>
    <w:rsid w:val="002D6364"/>
    <w:rsid w:val="002D6662"/>
    <w:rsid w:val="002D67F5"/>
    <w:rsid w:val="002D6CDB"/>
    <w:rsid w:val="002D70C8"/>
    <w:rsid w:val="002D76B5"/>
    <w:rsid w:val="002D7B3A"/>
    <w:rsid w:val="002D7B84"/>
    <w:rsid w:val="002D7F32"/>
    <w:rsid w:val="002E00EC"/>
    <w:rsid w:val="002E01E1"/>
    <w:rsid w:val="002E0221"/>
    <w:rsid w:val="002E04E3"/>
    <w:rsid w:val="002E055F"/>
    <w:rsid w:val="002E0639"/>
    <w:rsid w:val="002E06AF"/>
    <w:rsid w:val="002E0702"/>
    <w:rsid w:val="002E09C3"/>
    <w:rsid w:val="002E0C9A"/>
    <w:rsid w:val="002E0CC4"/>
    <w:rsid w:val="002E1094"/>
    <w:rsid w:val="002E142B"/>
    <w:rsid w:val="002E1441"/>
    <w:rsid w:val="002E151C"/>
    <w:rsid w:val="002E1805"/>
    <w:rsid w:val="002E18D3"/>
    <w:rsid w:val="002E1B2A"/>
    <w:rsid w:val="002E1B76"/>
    <w:rsid w:val="002E1C0E"/>
    <w:rsid w:val="002E1C13"/>
    <w:rsid w:val="002E1D6E"/>
    <w:rsid w:val="002E1E3A"/>
    <w:rsid w:val="002E1FCA"/>
    <w:rsid w:val="002E217E"/>
    <w:rsid w:val="002E23F6"/>
    <w:rsid w:val="002E2787"/>
    <w:rsid w:val="002E2815"/>
    <w:rsid w:val="002E2AE3"/>
    <w:rsid w:val="002E2F62"/>
    <w:rsid w:val="002E312D"/>
    <w:rsid w:val="002E3269"/>
    <w:rsid w:val="002E35DF"/>
    <w:rsid w:val="002E396F"/>
    <w:rsid w:val="002E3A1E"/>
    <w:rsid w:val="002E412D"/>
    <w:rsid w:val="002E46A1"/>
    <w:rsid w:val="002E4733"/>
    <w:rsid w:val="002E4900"/>
    <w:rsid w:val="002E4D72"/>
    <w:rsid w:val="002E4F35"/>
    <w:rsid w:val="002E4FAF"/>
    <w:rsid w:val="002E51A5"/>
    <w:rsid w:val="002E5262"/>
    <w:rsid w:val="002E5265"/>
    <w:rsid w:val="002E54E4"/>
    <w:rsid w:val="002E563B"/>
    <w:rsid w:val="002E5E8C"/>
    <w:rsid w:val="002E62F2"/>
    <w:rsid w:val="002E63AF"/>
    <w:rsid w:val="002E63B4"/>
    <w:rsid w:val="002E645C"/>
    <w:rsid w:val="002E674F"/>
    <w:rsid w:val="002E6DE1"/>
    <w:rsid w:val="002E725C"/>
    <w:rsid w:val="002E75AC"/>
    <w:rsid w:val="002E767A"/>
    <w:rsid w:val="002E77D0"/>
    <w:rsid w:val="002E799B"/>
    <w:rsid w:val="002E7E8F"/>
    <w:rsid w:val="002F0025"/>
    <w:rsid w:val="002F0227"/>
    <w:rsid w:val="002F02C5"/>
    <w:rsid w:val="002F0462"/>
    <w:rsid w:val="002F05C4"/>
    <w:rsid w:val="002F06BB"/>
    <w:rsid w:val="002F090D"/>
    <w:rsid w:val="002F0971"/>
    <w:rsid w:val="002F0A33"/>
    <w:rsid w:val="002F0B23"/>
    <w:rsid w:val="002F0DAC"/>
    <w:rsid w:val="002F0EDC"/>
    <w:rsid w:val="002F0F2F"/>
    <w:rsid w:val="002F1361"/>
    <w:rsid w:val="002F1539"/>
    <w:rsid w:val="002F1637"/>
    <w:rsid w:val="002F193D"/>
    <w:rsid w:val="002F196C"/>
    <w:rsid w:val="002F1D51"/>
    <w:rsid w:val="002F1FE3"/>
    <w:rsid w:val="002F21D1"/>
    <w:rsid w:val="002F2652"/>
    <w:rsid w:val="002F2925"/>
    <w:rsid w:val="002F2CA4"/>
    <w:rsid w:val="002F39A2"/>
    <w:rsid w:val="002F3A14"/>
    <w:rsid w:val="002F3B21"/>
    <w:rsid w:val="002F402A"/>
    <w:rsid w:val="002F415E"/>
    <w:rsid w:val="002F4370"/>
    <w:rsid w:val="002F44C4"/>
    <w:rsid w:val="002F4543"/>
    <w:rsid w:val="002F4823"/>
    <w:rsid w:val="002F4CEF"/>
    <w:rsid w:val="002F4CF7"/>
    <w:rsid w:val="002F4EB4"/>
    <w:rsid w:val="002F5006"/>
    <w:rsid w:val="002F5339"/>
    <w:rsid w:val="002F5CAF"/>
    <w:rsid w:val="002F5DFC"/>
    <w:rsid w:val="002F5ED5"/>
    <w:rsid w:val="002F6769"/>
    <w:rsid w:val="002F6E3B"/>
    <w:rsid w:val="002F6F24"/>
    <w:rsid w:val="002F70D5"/>
    <w:rsid w:val="002F714D"/>
    <w:rsid w:val="002F72AF"/>
    <w:rsid w:val="002F756F"/>
    <w:rsid w:val="002F7695"/>
    <w:rsid w:val="002F7812"/>
    <w:rsid w:val="002F7F14"/>
    <w:rsid w:val="003000B4"/>
    <w:rsid w:val="003002CA"/>
    <w:rsid w:val="0030062A"/>
    <w:rsid w:val="00300639"/>
    <w:rsid w:val="0030082F"/>
    <w:rsid w:val="003008E2"/>
    <w:rsid w:val="0030094B"/>
    <w:rsid w:val="00300ACB"/>
    <w:rsid w:val="00300DF0"/>
    <w:rsid w:val="00300E13"/>
    <w:rsid w:val="003014BE"/>
    <w:rsid w:val="00301827"/>
    <w:rsid w:val="00301B57"/>
    <w:rsid w:val="00301D15"/>
    <w:rsid w:val="00301E1B"/>
    <w:rsid w:val="00302229"/>
    <w:rsid w:val="003022E0"/>
    <w:rsid w:val="0030233B"/>
    <w:rsid w:val="00302399"/>
    <w:rsid w:val="00302739"/>
    <w:rsid w:val="00302CF0"/>
    <w:rsid w:val="00302D8A"/>
    <w:rsid w:val="00303206"/>
    <w:rsid w:val="00303545"/>
    <w:rsid w:val="0030368A"/>
    <w:rsid w:val="00303998"/>
    <w:rsid w:val="00303D8E"/>
    <w:rsid w:val="00303E9C"/>
    <w:rsid w:val="00303EB6"/>
    <w:rsid w:val="00303EFE"/>
    <w:rsid w:val="003042A0"/>
    <w:rsid w:val="00304440"/>
    <w:rsid w:val="00304565"/>
    <w:rsid w:val="003045AD"/>
    <w:rsid w:val="003046F5"/>
    <w:rsid w:val="003049DE"/>
    <w:rsid w:val="00304F3A"/>
    <w:rsid w:val="003050E7"/>
    <w:rsid w:val="00305493"/>
    <w:rsid w:val="003055BF"/>
    <w:rsid w:val="003056CD"/>
    <w:rsid w:val="00305884"/>
    <w:rsid w:val="00305905"/>
    <w:rsid w:val="00305EF2"/>
    <w:rsid w:val="00305F93"/>
    <w:rsid w:val="003064C2"/>
    <w:rsid w:val="003065CD"/>
    <w:rsid w:val="003068DA"/>
    <w:rsid w:val="003068E6"/>
    <w:rsid w:val="003069E2"/>
    <w:rsid w:val="00306AA5"/>
    <w:rsid w:val="00306D14"/>
    <w:rsid w:val="00306E72"/>
    <w:rsid w:val="00306E88"/>
    <w:rsid w:val="00307649"/>
    <w:rsid w:val="00307904"/>
    <w:rsid w:val="00307998"/>
    <w:rsid w:val="003102B6"/>
    <w:rsid w:val="003104E6"/>
    <w:rsid w:val="00310DC0"/>
    <w:rsid w:val="00310E5B"/>
    <w:rsid w:val="00311198"/>
    <w:rsid w:val="00311206"/>
    <w:rsid w:val="003113CD"/>
    <w:rsid w:val="003115BB"/>
    <w:rsid w:val="003117A4"/>
    <w:rsid w:val="00311A9B"/>
    <w:rsid w:val="00311FB2"/>
    <w:rsid w:val="003124C9"/>
    <w:rsid w:val="00312658"/>
    <w:rsid w:val="003128F6"/>
    <w:rsid w:val="00312A7B"/>
    <w:rsid w:val="00312BC8"/>
    <w:rsid w:val="00312D3E"/>
    <w:rsid w:val="00312E88"/>
    <w:rsid w:val="00312F0C"/>
    <w:rsid w:val="00313099"/>
    <w:rsid w:val="00313232"/>
    <w:rsid w:val="003133B4"/>
    <w:rsid w:val="00313BF4"/>
    <w:rsid w:val="00313CD5"/>
    <w:rsid w:val="00313E77"/>
    <w:rsid w:val="00313EED"/>
    <w:rsid w:val="00314186"/>
    <w:rsid w:val="003141D8"/>
    <w:rsid w:val="00314258"/>
    <w:rsid w:val="00314536"/>
    <w:rsid w:val="00314A3A"/>
    <w:rsid w:val="00314BFB"/>
    <w:rsid w:val="00314DD6"/>
    <w:rsid w:val="003154CD"/>
    <w:rsid w:val="003159C5"/>
    <w:rsid w:val="00315BB0"/>
    <w:rsid w:val="00315C90"/>
    <w:rsid w:val="00315D3A"/>
    <w:rsid w:val="00315D50"/>
    <w:rsid w:val="00316137"/>
    <w:rsid w:val="0031616A"/>
    <w:rsid w:val="0031632B"/>
    <w:rsid w:val="0031687E"/>
    <w:rsid w:val="003169A5"/>
    <w:rsid w:val="00316ABE"/>
    <w:rsid w:val="00316B53"/>
    <w:rsid w:val="00316BEB"/>
    <w:rsid w:val="00316C47"/>
    <w:rsid w:val="00316D41"/>
    <w:rsid w:val="00316DFB"/>
    <w:rsid w:val="00317151"/>
    <w:rsid w:val="00317277"/>
    <w:rsid w:val="0031780D"/>
    <w:rsid w:val="00317A78"/>
    <w:rsid w:val="00317ACF"/>
    <w:rsid w:val="00317C3A"/>
    <w:rsid w:val="00317E87"/>
    <w:rsid w:val="00317F69"/>
    <w:rsid w:val="0032010C"/>
    <w:rsid w:val="00320486"/>
    <w:rsid w:val="00320B4C"/>
    <w:rsid w:val="00320E81"/>
    <w:rsid w:val="0032101D"/>
    <w:rsid w:val="00321190"/>
    <w:rsid w:val="00321200"/>
    <w:rsid w:val="003212D7"/>
    <w:rsid w:val="00321678"/>
    <w:rsid w:val="0032182B"/>
    <w:rsid w:val="00321B64"/>
    <w:rsid w:val="00321BA6"/>
    <w:rsid w:val="00321C69"/>
    <w:rsid w:val="0032222F"/>
    <w:rsid w:val="003226AC"/>
    <w:rsid w:val="003226B1"/>
    <w:rsid w:val="003227EB"/>
    <w:rsid w:val="003228A7"/>
    <w:rsid w:val="00322B26"/>
    <w:rsid w:val="003232DC"/>
    <w:rsid w:val="003236C2"/>
    <w:rsid w:val="003239A4"/>
    <w:rsid w:val="00323BD1"/>
    <w:rsid w:val="00323F17"/>
    <w:rsid w:val="00324B7C"/>
    <w:rsid w:val="00325054"/>
    <w:rsid w:val="00325103"/>
    <w:rsid w:val="0032573F"/>
    <w:rsid w:val="003257A9"/>
    <w:rsid w:val="00325D17"/>
    <w:rsid w:val="00325E37"/>
    <w:rsid w:val="00325F29"/>
    <w:rsid w:val="00325FC4"/>
    <w:rsid w:val="00325FF4"/>
    <w:rsid w:val="0032603B"/>
    <w:rsid w:val="0032646C"/>
    <w:rsid w:val="0032654B"/>
    <w:rsid w:val="00326915"/>
    <w:rsid w:val="00326B14"/>
    <w:rsid w:val="00326C07"/>
    <w:rsid w:val="00326D87"/>
    <w:rsid w:val="00326DBA"/>
    <w:rsid w:val="00326F3C"/>
    <w:rsid w:val="00327359"/>
    <w:rsid w:val="003273F8"/>
    <w:rsid w:val="0032782E"/>
    <w:rsid w:val="00327856"/>
    <w:rsid w:val="0032799F"/>
    <w:rsid w:val="00327AD6"/>
    <w:rsid w:val="00327B47"/>
    <w:rsid w:val="00327B52"/>
    <w:rsid w:val="003303E5"/>
    <w:rsid w:val="00330609"/>
    <w:rsid w:val="00330788"/>
    <w:rsid w:val="003307D3"/>
    <w:rsid w:val="0033099B"/>
    <w:rsid w:val="00330AA0"/>
    <w:rsid w:val="00330D0C"/>
    <w:rsid w:val="00331804"/>
    <w:rsid w:val="00331A1D"/>
    <w:rsid w:val="00331BCC"/>
    <w:rsid w:val="00331BFE"/>
    <w:rsid w:val="00331D3A"/>
    <w:rsid w:val="003320CA"/>
    <w:rsid w:val="003328E2"/>
    <w:rsid w:val="00332A98"/>
    <w:rsid w:val="00332E0E"/>
    <w:rsid w:val="00332FE8"/>
    <w:rsid w:val="00333314"/>
    <w:rsid w:val="00333670"/>
    <w:rsid w:val="003337CF"/>
    <w:rsid w:val="00333B84"/>
    <w:rsid w:val="00333C5B"/>
    <w:rsid w:val="00333EB4"/>
    <w:rsid w:val="003341AC"/>
    <w:rsid w:val="00334306"/>
    <w:rsid w:val="003345D0"/>
    <w:rsid w:val="003348BE"/>
    <w:rsid w:val="00335191"/>
    <w:rsid w:val="0033525D"/>
    <w:rsid w:val="003355C1"/>
    <w:rsid w:val="003355CA"/>
    <w:rsid w:val="003366A8"/>
    <w:rsid w:val="00336783"/>
    <w:rsid w:val="00336813"/>
    <w:rsid w:val="003368BC"/>
    <w:rsid w:val="003369BE"/>
    <w:rsid w:val="0033755A"/>
    <w:rsid w:val="003375ED"/>
    <w:rsid w:val="0033775F"/>
    <w:rsid w:val="00337826"/>
    <w:rsid w:val="00337EA3"/>
    <w:rsid w:val="00337F02"/>
    <w:rsid w:val="00337F71"/>
    <w:rsid w:val="00340261"/>
    <w:rsid w:val="0034080E"/>
    <w:rsid w:val="00340F2E"/>
    <w:rsid w:val="00340F8A"/>
    <w:rsid w:val="003412F9"/>
    <w:rsid w:val="0034156D"/>
    <w:rsid w:val="00341A43"/>
    <w:rsid w:val="00341B55"/>
    <w:rsid w:val="00341CBF"/>
    <w:rsid w:val="00342193"/>
    <w:rsid w:val="0034219A"/>
    <w:rsid w:val="00342258"/>
    <w:rsid w:val="003429B0"/>
    <w:rsid w:val="003429B1"/>
    <w:rsid w:val="003429D4"/>
    <w:rsid w:val="003429D6"/>
    <w:rsid w:val="00342EA6"/>
    <w:rsid w:val="003430AB"/>
    <w:rsid w:val="00343E7C"/>
    <w:rsid w:val="00344270"/>
    <w:rsid w:val="0034431F"/>
    <w:rsid w:val="00344383"/>
    <w:rsid w:val="0034443E"/>
    <w:rsid w:val="00344742"/>
    <w:rsid w:val="003447F1"/>
    <w:rsid w:val="003449E4"/>
    <w:rsid w:val="00344B33"/>
    <w:rsid w:val="00344F5F"/>
    <w:rsid w:val="00345297"/>
    <w:rsid w:val="0034552B"/>
    <w:rsid w:val="003457BD"/>
    <w:rsid w:val="00345B15"/>
    <w:rsid w:val="00345BDC"/>
    <w:rsid w:val="0034611C"/>
    <w:rsid w:val="003461A2"/>
    <w:rsid w:val="00346459"/>
    <w:rsid w:val="00346725"/>
    <w:rsid w:val="00346DFA"/>
    <w:rsid w:val="0034717F"/>
    <w:rsid w:val="0034731D"/>
    <w:rsid w:val="00347387"/>
    <w:rsid w:val="00347746"/>
    <w:rsid w:val="00347F61"/>
    <w:rsid w:val="0035000E"/>
    <w:rsid w:val="00350382"/>
    <w:rsid w:val="0035076B"/>
    <w:rsid w:val="003507A9"/>
    <w:rsid w:val="0035092C"/>
    <w:rsid w:val="00350A36"/>
    <w:rsid w:val="00350AF0"/>
    <w:rsid w:val="00350EE0"/>
    <w:rsid w:val="00351087"/>
    <w:rsid w:val="003514C7"/>
    <w:rsid w:val="0035169D"/>
    <w:rsid w:val="00351702"/>
    <w:rsid w:val="0035181D"/>
    <w:rsid w:val="00351F0F"/>
    <w:rsid w:val="00352284"/>
    <w:rsid w:val="00352739"/>
    <w:rsid w:val="003528A1"/>
    <w:rsid w:val="00352B1F"/>
    <w:rsid w:val="00352D00"/>
    <w:rsid w:val="00352F40"/>
    <w:rsid w:val="00353549"/>
    <w:rsid w:val="003537D9"/>
    <w:rsid w:val="0035394D"/>
    <w:rsid w:val="00353C5B"/>
    <w:rsid w:val="00353CAF"/>
    <w:rsid w:val="00354017"/>
    <w:rsid w:val="00354645"/>
    <w:rsid w:val="003546EE"/>
    <w:rsid w:val="00354F2B"/>
    <w:rsid w:val="00355828"/>
    <w:rsid w:val="00355908"/>
    <w:rsid w:val="0035592A"/>
    <w:rsid w:val="00355D15"/>
    <w:rsid w:val="00355D36"/>
    <w:rsid w:val="003560E7"/>
    <w:rsid w:val="003561BE"/>
    <w:rsid w:val="003562C1"/>
    <w:rsid w:val="0035633D"/>
    <w:rsid w:val="003564CB"/>
    <w:rsid w:val="00356765"/>
    <w:rsid w:val="00356825"/>
    <w:rsid w:val="00356827"/>
    <w:rsid w:val="0035691C"/>
    <w:rsid w:val="00356B31"/>
    <w:rsid w:val="00356D71"/>
    <w:rsid w:val="0035731F"/>
    <w:rsid w:val="003573D3"/>
    <w:rsid w:val="003573DD"/>
    <w:rsid w:val="00357508"/>
    <w:rsid w:val="003579D1"/>
    <w:rsid w:val="00357A6E"/>
    <w:rsid w:val="00357B14"/>
    <w:rsid w:val="00357D55"/>
    <w:rsid w:val="00357E02"/>
    <w:rsid w:val="00360243"/>
    <w:rsid w:val="00360256"/>
    <w:rsid w:val="0036040B"/>
    <w:rsid w:val="00360661"/>
    <w:rsid w:val="00360750"/>
    <w:rsid w:val="003608FA"/>
    <w:rsid w:val="00360CA4"/>
    <w:rsid w:val="00360CD6"/>
    <w:rsid w:val="0036115B"/>
    <w:rsid w:val="0036159C"/>
    <w:rsid w:val="00361B80"/>
    <w:rsid w:val="00361D1E"/>
    <w:rsid w:val="00361FF3"/>
    <w:rsid w:val="00362307"/>
    <w:rsid w:val="00362371"/>
    <w:rsid w:val="0036275C"/>
    <w:rsid w:val="00362B25"/>
    <w:rsid w:val="00362BE5"/>
    <w:rsid w:val="00362E49"/>
    <w:rsid w:val="00362FEA"/>
    <w:rsid w:val="00363170"/>
    <w:rsid w:val="0036356A"/>
    <w:rsid w:val="003636F6"/>
    <w:rsid w:val="00363A31"/>
    <w:rsid w:val="00363AC8"/>
    <w:rsid w:val="00363BEC"/>
    <w:rsid w:val="00363C84"/>
    <w:rsid w:val="00363D28"/>
    <w:rsid w:val="00363E37"/>
    <w:rsid w:val="00363F6B"/>
    <w:rsid w:val="003643BD"/>
    <w:rsid w:val="00364439"/>
    <w:rsid w:val="003646DF"/>
    <w:rsid w:val="00364784"/>
    <w:rsid w:val="003648FC"/>
    <w:rsid w:val="00364D88"/>
    <w:rsid w:val="00364E07"/>
    <w:rsid w:val="00364EA5"/>
    <w:rsid w:val="00364EC2"/>
    <w:rsid w:val="00364EEC"/>
    <w:rsid w:val="00364F8E"/>
    <w:rsid w:val="00364F8F"/>
    <w:rsid w:val="00365213"/>
    <w:rsid w:val="003655C6"/>
    <w:rsid w:val="003655F6"/>
    <w:rsid w:val="0036570E"/>
    <w:rsid w:val="0036598C"/>
    <w:rsid w:val="00365A4F"/>
    <w:rsid w:val="00365F3A"/>
    <w:rsid w:val="00365FD6"/>
    <w:rsid w:val="003660C3"/>
    <w:rsid w:val="003660DC"/>
    <w:rsid w:val="00366B60"/>
    <w:rsid w:val="00366D33"/>
    <w:rsid w:val="0036721C"/>
    <w:rsid w:val="00367238"/>
    <w:rsid w:val="00367468"/>
    <w:rsid w:val="003674D9"/>
    <w:rsid w:val="00367710"/>
    <w:rsid w:val="0036785E"/>
    <w:rsid w:val="00367B08"/>
    <w:rsid w:val="0037007F"/>
    <w:rsid w:val="003702F3"/>
    <w:rsid w:val="003704DF"/>
    <w:rsid w:val="00371333"/>
    <w:rsid w:val="00371447"/>
    <w:rsid w:val="0037149B"/>
    <w:rsid w:val="003716A9"/>
    <w:rsid w:val="00371942"/>
    <w:rsid w:val="00371D4F"/>
    <w:rsid w:val="00372197"/>
    <w:rsid w:val="003722CB"/>
    <w:rsid w:val="0037244A"/>
    <w:rsid w:val="00372656"/>
    <w:rsid w:val="00372869"/>
    <w:rsid w:val="00372917"/>
    <w:rsid w:val="00372A3C"/>
    <w:rsid w:val="00372A7E"/>
    <w:rsid w:val="00372C0E"/>
    <w:rsid w:val="00373293"/>
    <w:rsid w:val="0037351A"/>
    <w:rsid w:val="003735BC"/>
    <w:rsid w:val="0037392F"/>
    <w:rsid w:val="00373AF4"/>
    <w:rsid w:val="00374339"/>
    <w:rsid w:val="003749F4"/>
    <w:rsid w:val="00374FDB"/>
    <w:rsid w:val="0037519B"/>
    <w:rsid w:val="0037525B"/>
    <w:rsid w:val="0037548B"/>
    <w:rsid w:val="00375498"/>
    <w:rsid w:val="0037567B"/>
    <w:rsid w:val="00375803"/>
    <w:rsid w:val="00375A59"/>
    <w:rsid w:val="003763CD"/>
    <w:rsid w:val="003763ED"/>
    <w:rsid w:val="0037671C"/>
    <w:rsid w:val="0037693B"/>
    <w:rsid w:val="0037695D"/>
    <w:rsid w:val="00376ED6"/>
    <w:rsid w:val="00377419"/>
    <w:rsid w:val="0037779D"/>
    <w:rsid w:val="00377BEA"/>
    <w:rsid w:val="00377D29"/>
    <w:rsid w:val="00377D5A"/>
    <w:rsid w:val="00377DB0"/>
    <w:rsid w:val="00377E40"/>
    <w:rsid w:val="00380B9C"/>
    <w:rsid w:val="00380EE3"/>
    <w:rsid w:val="0038105F"/>
    <w:rsid w:val="003811E8"/>
    <w:rsid w:val="00381435"/>
    <w:rsid w:val="00381E36"/>
    <w:rsid w:val="00382198"/>
    <w:rsid w:val="003821E0"/>
    <w:rsid w:val="003821EA"/>
    <w:rsid w:val="00382950"/>
    <w:rsid w:val="00382CFE"/>
    <w:rsid w:val="00382FBF"/>
    <w:rsid w:val="003830B0"/>
    <w:rsid w:val="0038397D"/>
    <w:rsid w:val="00383CB2"/>
    <w:rsid w:val="00383FC9"/>
    <w:rsid w:val="00383FE9"/>
    <w:rsid w:val="00384221"/>
    <w:rsid w:val="0038423F"/>
    <w:rsid w:val="00384478"/>
    <w:rsid w:val="0038472C"/>
    <w:rsid w:val="00384ABE"/>
    <w:rsid w:val="003851BC"/>
    <w:rsid w:val="0038547D"/>
    <w:rsid w:val="003856A8"/>
    <w:rsid w:val="003856DB"/>
    <w:rsid w:val="0038579A"/>
    <w:rsid w:val="00385A8A"/>
    <w:rsid w:val="00385E1B"/>
    <w:rsid w:val="003862CB"/>
    <w:rsid w:val="00386543"/>
    <w:rsid w:val="003868CC"/>
    <w:rsid w:val="00386C0B"/>
    <w:rsid w:val="00386E74"/>
    <w:rsid w:val="00387479"/>
    <w:rsid w:val="00387536"/>
    <w:rsid w:val="00387857"/>
    <w:rsid w:val="003879F0"/>
    <w:rsid w:val="00387E08"/>
    <w:rsid w:val="00387F36"/>
    <w:rsid w:val="00390042"/>
    <w:rsid w:val="003906E3"/>
    <w:rsid w:val="00390704"/>
    <w:rsid w:val="00390730"/>
    <w:rsid w:val="00390867"/>
    <w:rsid w:val="003909AC"/>
    <w:rsid w:val="00390AAB"/>
    <w:rsid w:val="00390CCF"/>
    <w:rsid w:val="00390DEA"/>
    <w:rsid w:val="0039100B"/>
    <w:rsid w:val="003912F2"/>
    <w:rsid w:val="00391488"/>
    <w:rsid w:val="0039154D"/>
    <w:rsid w:val="003917C8"/>
    <w:rsid w:val="00391BA7"/>
    <w:rsid w:val="003920B0"/>
    <w:rsid w:val="0039233A"/>
    <w:rsid w:val="003925D1"/>
    <w:rsid w:val="00392B45"/>
    <w:rsid w:val="00392C20"/>
    <w:rsid w:val="003930CC"/>
    <w:rsid w:val="0039331E"/>
    <w:rsid w:val="00393484"/>
    <w:rsid w:val="003937B7"/>
    <w:rsid w:val="003937BB"/>
    <w:rsid w:val="00394231"/>
    <w:rsid w:val="00394782"/>
    <w:rsid w:val="0039506B"/>
    <w:rsid w:val="003952BF"/>
    <w:rsid w:val="003954EC"/>
    <w:rsid w:val="00395505"/>
    <w:rsid w:val="0039554B"/>
    <w:rsid w:val="00395FEC"/>
    <w:rsid w:val="003960F0"/>
    <w:rsid w:val="00396A0A"/>
    <w:rsid w:val="00396BB7"/>
    <w:rsid w:val="00396BE2"/>
    <w:rsid w:val="00396C77"/>
    <w:rsid w:val="00397179"/>
    <w:rsid w:val="003972E4"/>
    <w:rsid w:val="003973CD"/>
    <w:rsid w:val="00397587"/>
    <w:rsid w:val="00397859"/>
    <w:rsid w:val="00397B1C"/>
    <w:rsid w:val="00397B58"/>
    <w:rsid w:val="00397C02"/>
    <w:rsid w:val="00397E24"/>
    <w:rsid w:val="00397E51"/>
    <w:rsid w:val="003A0038"/>
    <w:rsid w:val="003A0575"/>
    <w:rsid w:val="003A08BC"/>
    <w:rsid w:val="003A091D"/>
    <w:rsid w:val="003A0991"/>
    <w:rsid w:val="003A1091"/>
    <w:rsid w:val="003A10C9"/>
    <w:rsid w:val="003A139A"/>
    <w:rsid w:val="003A14E5"/>
    <w:rsid w:val="003A16FD"/>
    <w:rsid w:val="003A187E"/>
    <w:rsid w:val="003A1BC4"/>
    <w:rsid w:val="003A2414"/>
    <w:rsid w:val="003A2458"/>
    <w:rsid w:val="003A2551"/>
    <w:rsid w:val="003A2D0C"/>
    <w:rsid w:val="003A30C9"/>
    <w:rsid w:val="003A33BD"/>
    <w:rsid w:val="003A343F"/>
    <w:rsid w:val="003A349C"/>
    <w:rsid w:val="003A34ED"/>
    <w:rsid w:val="003A355D"/>
    <w:rsid w:val="003A3633"/>
    <w:rsid w:val="003A36EF"/>
    <w:rsid w:val="003A3FE6"/>
    <w:rsid w:val="003A4649"/>
    <w:rsid w:val="003A467A"/>
    <w:rsid w:val="003A46BB"/>
    <w:rsid w:val="003A47AE"/>
    <w:rsid w:val="003A4B24"/>
    <w:rsid w:val="003A4BD9"/>
    <w:rsid w:val="003A4DE9"/>
    <w:rsid w:val="003A4EA7"/>
    <w:rsid w:val="003A51AE"/>
    <w:rsid w:val="003A54DC"/>
    <w:rsid w:val="003A5886"/>
    <w:rsid w:val="003A5937"/>
    <w:rsid w:val="003A648F"/>
    <w:rsid w:val="003A658D"/>
    <w:rsid w:val="003A659B"/>
    <w:rsid w:val="003A67E5"/>
    <w:rsid w:val="003A6A93"/>
    <w:rsid w:val="003A6C1E"/>
    <w:rsid w:val="003A6FE0"/>
    <w:rsid w:val="003A7145"/>
    <w:rsid w:val="003A7444"/>
    <w:rsid w:val="003A7599"/>
    <w:rsid w:val="003A75BD"/>
    <w:rsid w:val="003A7C36"/>
    <w:rsid w:val="003B0A20"/>
    <w:rsid w:val="003B0C28"/>
    <w:rsid w:val="003B0D8A"/>
    <w:rsid w:val="003B1071"/>
    <w:rsid w:val="003B120A"/>
    <w:rsid w:val="003B1274"/>
    <w:rsid w:val="003B1A98"/>
    <w:rsid w:val="003B1AC4"/>
    <w:rsid w:val="003B1C15"/>
    <w:rsid w:val="003B1C8F"/>
    <w:rsid w:val="003B1E21"/>
    <w:rsid w:val="003B2026"/>
    <w:rsid w:val="003B2189"/>
    <w:rsid w:val="003B2735"/>
    <w:rsid w:val="003B2895"/>
    <w:rsid w:val="003B2A40"/>
    <w:rsid w:val="003B2B8B"/>
    <w:rsid w:val="003B2DD6"/>
    <w:rsid w:val="003B2EBC"/>
    <w:rsid w:val="003B32E2"/>
    <w:rsid w:val="003B3696"/>
    <w:rsid w:val="003B3820"/>
    <w:rsid w:val="003B3B64"/>
    <w:rsid w:val="003B3BFC"/>
    <w:rsid w:val="003B3E87"/>
    <w:rsid w:val="003B3F64"/>
    <w:rsid w:val="003B3FC2"/>
    <w:rsid w:val="003B439B"/>
    <w:rsid w:val="003B4925"/>
    <w:rsid w:val="003B4994"/>
    <w:rsid w:val="003B49B6"/>
    <w:rsid w:val="003B4B15"/>
    <w:rsid w:val="003B509E"/>
    <w:rsid w:val="003B5196"/>
    <w:rsid w:val="003B563A"/>
    <w:rsid w:val="003B5684"/>
    <w:rsid w:val="003B571B"/>
    <w:rsid w:val="003B5A3E"/>
    <w:rsid w:val="003B5BEA"/>
    <w:rsid w:val="003B5E0B"/>
    <w:rsid w:val="003B5F11"/>
    <w:rsid w:val="003B61D5"/>
    <w:rsid w:val="003B6251"/>
    <w:rsid w:val="003B643F"/>
    <w:rsid w:val="003B64F3"/>
    <w:rsid w:val="003B6808"/>
    <w:rsid w:val="003B69F0"/>
    <w:rsid w:val="003B6E75"/>
    <w:rsid w:val="003B716D"/>
    <w:rsid w:val="003B71EB"/>
    <w:rsid w:val="003B774C"/>
    <w:rsid w:val="003B775F"/>
    <w:rsid w:val="003B7967"/>
    <w:rsid w:val="003B7D7F"/>
    <w:rsid w:val="003B7F4A"/>
    <w:rsid w:val="003B7FB1"/>
    <w:rsid w:val="003C00CB"/>
    <w:rsid w:val="003C03E6"/>
    <w:rsid w:val="003C05EC"/>
    <w:rsid w:val="003C0A6E"/>
    <w:rsid w:val="003C0AD7"/>
    <w:rsid w:val="003C0B1C"/>
    <w:rsid w:val="003C0C07"/>
    <w:rsid w:val="003C0D5C"/>
    <w:rsid w:val="003C0D66"/>
    <w:rsid w:val="003C0F74"/>
    <w:rsid w:val="003C1012"/>
    <w:rsid w:val="003C104C"/>
    <w:rsid w:val="003C10CD"/>
    <w:rsid w:val="003C1394"/>
    <w:rsid w:val="003C1775"/>
    <w:rsid w:val="003C1A99"/>
    <w:rsid w:val="003C1AE6"/>
    <w:rsid w:val="003C1D94"/>
    <w:rsid w:val="003C1F46"/>
    <w:rsid w:val="003C1FF2"/>
    <w:rsid w:val="003C20E0"/>
    <w:rsid w:val="003C240A"/>
    <w:rsid w:val="003C258E"/>
    <w:rsid w:val="003C2803"/>
    <w:rsid w:val="003C292A"/>
    <w:rsid w:val="003C295A"/>
    <w:rsid w:val="003C2AAF"/>
    <w:rsid w:val="003C2B5D"/>
    <w:rsid w:val="003C2E45"/>
    <w:rsid w:val="003C3027"/>
    <w:rsid w:val="003C3512"/>
    <w:rsid w:val="003C376E"/>
    <w:rsid w:val="003C37DA"/>
    <w:rsid w:val="003C37F0"/>
    <w:rsid w:val="003C380B"/>
    <w:rsid w:val="003C3848"/>
    <w:rsid w:val="003C3A4F"/>
    <w:rsid w:val="003C3A67"/>
    <w:rsid w:val="003C3D42"/>
    <w:rsid w:val="003C3EA3"/>
    <w:rsid w:val="003C41A4"/>
    <w:rsid w:val="003C4278"/>
    <w:rsid w:val="003C43D1"/>
    <w:rsid w:val="003C43FE"/>
    <w:rsid w:val="003C4544"/>
    <w:rsid w:val="003C4605"/>
    <w:rsid w:val="003C4AC8"/>
    <w:rsid w:val="003C4C15"/>
    <w:rsid w:val="003C4D58"/>
    <w:rsid w:val="003C4F07"/>
    <w:rsid w:val="003C5063"/>
    <w:rsid w:val="003C546C"/>
    <w:rsid w:val="003C5709"/>
    <w:rsid w:val="003C572B"/>
    <w:rsid w:val="003C5AA5"/>
    <w:rsid w:val="003C5B2D"/>
    <w:rsid w:val="003C5DCA"/>
    <w:rsid w:val="003C5EB6"/>
    <w:rsid w:val="003C6793"/>
    <w:rsid w:val="003C6B81"/>
    <w:rsid w:val="003C6CBF"/>
    <w:rsid w:val="003C6CDD"/>
    <w:rsid w:val="003C6D38"/>
    <w:rsid w:val="003C718B"/>
    <w:rsid w:val="003C723A"/>
    <w:rsid w:val="003C7350"/>
    <w:rsid w:val="003C76D4"/>
    <w:rsid w:val="003C79BB"/>
    <w:rsid w:val="003C7A48"/>
    <w:rsid w:val="003C7F2A"/>
    <w:rsid w:val="003C7F58"/>
    <w:rsid w:val="003C7F78"/>
    <w:rsid w:val="003D0078"/>
    <w:rsid w:val="003D033C"/>
    <w:rsid w:val="003D0441"/>
    <w:rsid w:val="003D05B2"/>
    <w:rsid w:val="003D0B2E"/>
    <w:rsid w:val="003D0BD2"/>
    <w:rsid w:val="003D0EB7"/>
    <w:rsid w:val="003D10B7"/>
    <w:rsid w:val="003D1350"/>
    <w:rsid w:val="003D13B1"/>
    <w:rsid w:val="003D1710"/>
    <w:rsid w:val="003D197A"/>
    <w:rsid w:val="003D19B4"/>
    <w:rsid w:val="003D1D08"/>
    <w:rsid w:val="003D1D2F"/>
    <w:rsid w:val="003D1ED7"/>
    <w:rsid w:val="003D1F66"/>
    <w:rsid w:val="003D1FAD"/>
    <w:rsid w:val="003D2010"/>
    <w:rsid w:val="003D28B3"/>
    <w:rsid w:val="003D2973"/>
    <w:rsid w:val="003D2BD3"/>
    <w:rsid w:val="003D2E11"/>
    <w:rsid w:val="003D330A"/>
    <w:rsid w:val="003D330D"/>
    <w:rsid w:val="003D3586"/>
    <w:rsid w:val="003D36EC"/>
    <w:rsid w:val="003D3C15"/>
    <w:rsid w:val="003D401B"/>
    <w:rsid w:val="003D44D2"/>
    <w:rsid w:val="003D47DA"/>
    <w:rsid w:val="003D485B"/>
    <w:rsid w:val="003D4918"/>
    <w:rsid w:val="003D4D10"/>
    <w:rsid w:val="003D4DA0"/>
    <w:rsid w:val="003D4ED3"/>
    <w:rsid w:val="003D5288"/>
    <w:rsid w:val="003D552B"/>
    <w:rsid w:val="003D58FC"/>
    <w:rsid w:val="003D5E8B"/>
    <w:rsid w:val="003D5EFE"/>
    <w:rsid w:val="003D5F26"/>
    <w:rsid w:val="003D6432"/>
    <w:rsid w:val="003D66B4"/>
    <w:rsid w:val="003D69F3"/>
    <w:rsid w:val="003D6B56"/>
    <w:rsid w:val="003D6E90"/>
    <w:rsid w:val="003D6EA2"/>
    <w:rsid w:val="003D713D"/>
    <w:rsid w:val="003D7144"/>
    <w:rsid w:val="003D73AE"/>
    <w:rsid w:val="003D78D9"/>
    <w:rsid w:val="003D7BB8"/>
    <w:rsid w:val="003D7D78"/>
    <w:rsid w:val="003D7D7F"/>
    <w:rsid w:val="003D7DFE"/>
    <w:rsid w:val="003E00AC"/>
    <w:rsid w:val="003E01D7"/>
    <w:rsid w:val="003E0518"/>
    <w:rsid w:val="003E09DD"/>
    <w:rsid w:val="003E0CDB"/>
    <w:rsid w:val="003E0CF3"/>
    <w:rsid w:val="003E10F4"/>
    <w:rsid w:val="003E1105"/>
    <w:rsid w:val="003E129E"/>
    <w:rsid w:val="003E175D"/>
    <w:rsid w:val="003E1C12"/>
    <w:rsid w:val="003E1D81"/>
    <w:rsid w:val="003E2288"/>
    <w:rsid w:val="003E2463"/>
    <w:rsid w:val="003E2B20"/>
    <w:rsid w:val="003E3186"/>
    <w:rsid w:val="003E3E34"/>
    <w:rsid w:val="003E40E1"/>
    <w:rsid w:val="003E4160"/>
    <w:rsid w:val="003E4510"/>
    <w:rsid w:val="003E470C"/>
    <w:rsid w:val="003E4719"/>
    <w:rsid w:val="003E4942"/>
    <w:rsid w:val="003E4A59"/>
    <w:rsid w:val="003E4F59"/>
    <w:rsid w:val="003E5322"/>
    <w:rsid w:val="003E5501"/>
    <w:rsid w:val="003E5575"/>
    <w:rsid w:val="003E562A"/>
    <w:rsid w:val="003E5B36"/>
    <w:rsid w:val="003E5CC4"/>
    <w:rsid w:val="003E5F3D"/>
    <w:rsid w:val="003E6122"/>
    <w:rsid w:val="003E652A"/>
    <w:rsid w:val="003E670E"/>
    <w:rsid w:val="003E67AE"/>
    <w:rsid w:val="003E6844"/>
    <w:rsid w:val="003E6989"/>
    <w:rsid w:val="003E6E2C"/>
    <w:rsid w:val="003E708D"/>
    <w:rsid w:val="003E7577"/>
    <w:rsid w:val="003E78F7"/>
    <w:rsid w:val="003E7A55"/>
    <w:rsid w:val="003E7C69"/>
    <w:rsid w:val="003F0061"/>
    <w:rsid w:val="003F038A"/>
    <w:rsid w:val="003F03F2"/>
    <w:rsid w:val="003F05CD"/>
    <w:rsid w:val="003F07C9"/>
    <w:rsid w:val="003F13C6"/>
    <w:rsid w:val="003F159D"/>
    <w:rsid w:val="003F16DD"/>
    <w:rsid w:val="003F1931"/>
    <w:rsid w:val="003F1A66"/>
    <w:rsid w:val="003F1B39"/>
    <w:rsid w:val="003F1DAF"/>
    <w:rsid w:val="003F1E38"/>
    <w:rsid w:val="003F1F36"/>
    <w:rsid w:val="003F22E8"/>
    <w:rsid w:val="003F2700"/>
    <w:rsid w:val="003F2A73"/>
    <w:rsid w:val="003F2C5F"/>
    <w:rsid w:val="003F3082"/>
    <w:rsid w:val="003F32E6"/>
    <w:rsid w:val="003F3558"/>
    <w:rsid w:val="003F3638"/>
    <w:rsid w:val="003F388D"/>
    <w:rsid w:val="003F38EB"/>
    <w:rsid w:val="003F3E36"/>
    <w:rsid w:val="003F402B"/>
    <w:rsid w:val="003F4329"/>
    <w:rsid w:val="003F437B"/>
    <w:rsid w:val="003F4383"/>
    <w:rsid w:val="003F53F0"/>
    <w:rsid w:val="003F55AC"/>
    <w:rsid w:val="003F5633"/>
    <w:rsid w:val="003F5738"/>
    <w:rsid w:val="003F5D03"/>
    <w:rsid w:val="003F5E98"/>
    <w:rsid w:val="003F6059"/>
    <w:rsid w:val="003F6346"/>
    <w:rsid w:val="003F63DE"/>
    <w:rsid w:val="003F64CD"/>
    <w:rsid w:val="003F6632"/>
    <w:rsid w:val="003F673C"/>
    <w:rsid w:val="003F69B9"/>
    <w:rsid w:val="003F7087"/>
    <w:rsid w:val="003F7178"/>
    <w:rsid w:val="003F7480"/>
    <w:rsid w:val="003F74C6"/>
    <w:rsid w:val="003F7563"/>
    <w:rsid w:val="003F7953"/>
    <w:rsid w:val="003F7A8A"/>
    <w:rsid w:val="003F7B8B"/>
    <w:rsid w:val="00400206"/>
    <w:rsid w:val="0040029B"/>
    <w:rsid w:val="0040031D"/>
    <w:rsid w:val="004004F7"/>
    <w:rsid w:val="004006ED"/>
    <w:rsid w:val="0040081B"/>
    <w:rsid w:val="004009B0"/>
    <w:rsid w:val="00400BE5"/>
    <w:rsid w:val="00400C21"/>
    <w:rsid w:val="00400C5F"/>
    <w:rsid w:val="00400C72"/>
    <w:rsid w:val="004010A9"/>
    <w:rsid w:val="004013EA"/>
    <w:rsid w:val="00401A45"/>
    <w:rsid w:val="00401EA9"/>
    <w:rsid w:val="004020D9"/>
    <w:rsid w:val="004027B4"/>
    <w:rsid w:val="00402900"/>
    <w:rsid w:val="00402A26"/>
    <w:rsid w:val="00402C99"/>
    <w:rsid w:val="00402D53"/>
    <w:rsid w:val="00402DF2"/>
    <w:rsid w:val="00402F1E"/>
    <w:rsid w:val="00403104"/>
    <w:rsid w:val="004031A4"/>
    <w:rsid w:val="004032CD"/>
    <w:rsid w:val="004036A8"/>
    <w:rsid w:val="00403CB1"/>
    <w:rsid w:val="00403D53"/>
    <w:rsid w:val="00404300"/>
    <w:rsid w:val="0040454E"/>
    <w:rsid w:val="00404623"/>
    <w:rsid w:val="004047A7"/>
    <w:rsid w:val="00405364"/>
    <w:rsid w:val="0040551D"/>
    <w:rsid w:val="004056FC"/>
    <w:rsid w:val="004057BF"/>
    <w:rsid w:val="00405AD4"/>
    <w:rsid w:val="00405E2C"/>
    <w:rsid w:val="00405E92"/>
    <w:rsid w:val="00405EF6"/>
    <w:rsid w:val="00406015"/>
    <w:rsid w:val="00406637"/>
    <w:rsid w:val="004069F6"/>
    <w:rsid w:val="00406B59"/>
    <w:rsid w:val="00406BAB"/>
    <w:rsid w:val="00406D5F"/>
    <w:rsid w:val="00406FC4"/>
    <w:rsid w:val="004070AC"/>
    <w:rsid w:val="0040737B"/>
    <w:rsid w:val="004073FB"/>
    <w:rsid w:val="004077DC"/>
    <w:rsid w:val="00407A03"/>
    <w:rsid w:val="00410103"/>
    <w:rsid w:val="0041015E"/>
    <w:rsid w:val="0041050D"/>
    <w:rsid w:val="00410780"/>
    <w:rsid w:val="00410843"/>
    <w:rsid w:val="0041097E"/>
    <w:rsid w:val="00410C38"/>
    <w:rsid w:val="00411084"/>
    <w:rsid w:val="0041114B"/>
    <w:rsid w:val="0041161E"/>
    <w:rsid w:val="00411E92"/>
    <w:rsid w:val="00411FAB"/>
    <w:rsid w:val="00412588"/>
    <w:rsid w:val="00412731"/>
    <w:rsid w:val="0041278E"/>
    <w:rsid w:val="00412798"/>
    <w:rsid w:val="00412867"/>
    <w:rsid w:val="00412D5F"/>
    <w:rsid w:val="00413022"/>
    <w:rsid w:val="0041351E"/>
    <w:rsid w:val="00413879"/>
    <w:rsid w:val="004138EB"/>
    <w:rsid w:val="00413E8B"/>
    <w:rsid w:val="00414016"/>
    <w:rsid w:val="0041468A"/>
    <w:rsid w:val="00414779"/>
    <w:rsid w:val="00414A57"/>
    <w:rsid w:val="00414DE5"/>
    <w:rsid w:val="00414F15"/>
    <w:rsid w:val="0041541C"/>
    <w:rsid w:val="0041551A"/>
    <w:rsid w:val="004157A7"/>
    <w:rsid w:val="00415939"/>
    <w:rsid w:val="00415990"/>
    <w:rsid w:val="00415EAA"/>
    <w:rsid w:val="00416041"/>
    <w:rsid w:val="00416287"/>
    <w:rsid w:val="004167B9"/>
    <w:rsid w:val="00416828"/>
    <w:rsid w:val="00416AEF"/>
    <w:rsid w:val="00416B9B"/>
    <w:rsid w:val="004171FB"/>
    <w:rsid w:val="00417C4E"/>
    <w:rsid w:val="00417CEB"/>
    <w:rsid w:val="00417DA6"/>
    <w:rsid w:val="00417E7D"/>
    <w:rsid w:val="00417E99"/>
    <w:rsid w:val="00417E9B"/>
    <w:rsid w:val="00420011"/>
    <w:rsid w:val="00420358"/>
    <w:rsid w:val="00420623"/>
    <w:rsid w:val="00420679"/>
    <w:rsid w:val="004207B6"/>
    <w:rsid w:val="004209C6"/>
    <w:rsid w:val="00420B09"/>
    <w:rsid w:val="004214DB"/>
    <w:rsid w:val="00421636"/>
    <w:rsid w:val="0042180C"/>
    <w:rsid w:val="0042186D"/>
    <w:rsid w:val="00421992"/>
    <w:rsid w:val="00421CC6"/>
    <w:rsid w:val="00422245"/>
    <w:rsid w:val="004222D2"/>
    <w:rsid w:val="00422324"/>
    <w:rsid w:val="00422429"/>
    <w:rsid w:val="004224F6"/>
    <w:rsid w:val="004227D4"/>
    <w:rsid w:val="00422828"/>
    <w:rsid w:val="00422EBC"/>
    <w:rsid w:val="00422FE6"/>
    <w:rsid w:val="00423207"/>
    <w:rsid w:val="00423220"/>
    <w:rsid w:val="00423796"/>
    <w:rsid w:val="0042389C"/>
    <w:rsid w:val="004239ED"/>
    <w:rsid w:val="00423A87"/>
    <w:rsid w:val="00423A9B"/>
    <w:rsid w:val="00423D13"/>
    <w:rsid w:val="00423D16"/>
    <w:rsid w:val="0042421D"/>
    <w:rsid w:val="0042422E"/>
    <w:rsid w:val="004242A4"/>
    <w:rsid w:val="00424459"/>
    <w:rsid w:val="00424712"/>
    <w:rsid w:val="00424A47"/>
    <w:rsid w:val="00424D3E"/>
    <w:rsid w:val="00424E2D"/>
    <w:rsid w:val="0042523E"/>
    <w:rsid w:val="00425532"/>
    <w:rsid w:val="0042558C"/>
    <w:rsid w:val="00425AAD"/>
    <w:rsid w:val="00425C89"/>
    <w:rsid w:val="00425EAE"/>
    <w:rsid w:val="00425FF9"/>
    <w:rsid w:val="00426129"/>
    <w:rsid w:val="0042617E"/>
    <w:rsid w:val="00426215"/>
    <w:rsid w:val="00426411"/>
    <w:rsid w:val="004264A4"/>
    <w:rsid w:val="0042672C"/>
    <w:rsid w:val="0042673E"/>
    <w:rsid w:val="0042686B"/>
    <w:rsid w:val="00426C0D"/>
    <w:rsid w:val="00427079"/>
    <w:rsid w:val="00427185"/>
    <w:rsid w:val="004272EE"/>
    <w:rsid w:val="00427705"/>
    <w:rsid w:val="004277EC"/>
    <w:rsid w:val="00427988"/>
    <w:rsid w:val="00427C90"/>
    <w:rsid w:val="00427F23"/>
    <w:rsid w:val="00430545"/>
    <w:rsid w:val="0043056C"/>
    <w:rsid w:val="004305FE"/>
    <w:rsid w:val="004306D9"/>
    <w:rsid w:val="0043080D"/>
    <w:rsid w:val="00430CCF"/>
    <w:rsid w:val="00430F64"/>
    <w:rsid w:val="004310F4"/>
    <w:rsid w:val="004315FB"/>
    <w:rsid w:val="00431F23"/>
    <w:rsid w:val="00431F29"/>
    <w:rsid w:val="00431F50"/>
    <w:rsid w:val="00431F71"/>
    <w:rsid w:val="00432016"/>
    <w:rsid w:val="00432459"/>
    <w:rsid w:val="004325DC"/>
    <w:rsid w:val="004327D4"/>
    <w:rsid w:val="004327ED"/>
    <w:rsid w:val="00432C2D"/>
    <w:rsid w:val="004330C9"/>
    <w:rsid w:val="0043337A"/>
    <w:rsid w:val="00433401"/>
    <w:rsid w:val="0043348D"/>
    <w:rsid w:val="00433632"/>
    <w:rsid w:val="00433786"/>
    <w:rsid w:val="00433A1E"/>
    <w:rsid w:val="00433B46"/>
    <w:rsid w:val="00434262"/>
    <w:rsid w:val="00434A41"/>
    <w:rsid w:val="00434C19"/>
    <w:rsid w:val="00434C53"/>
    <w:rsid w:val="00435006"/>
    <w:rsid w:val="0043521C"/>
    <w:rsid w:val="004353C2"/>
    <w:rsid w:val="004357D4"/>
    <w:rsid w:val="00435A04"/>
    <w:rsid w:val="00435C32"/>
    <w:rsid w:val="00435E5F"/>
    <w:rsid w:val="00435E98"/>
    <w:rsid w:val="00435EAA"/>
    <w:rsid w:val="00435EE9"/>
    <w:rsid w:val="004362E6"/>
    <w:rsid w:val="00436667"/>
    <w:rsid w:val="004367EF"/>
    <w:rsid w:val="00436C25"/>
    <w:rsid w:val="00436D3D"/>
    <w:rsid w:val="004372B9"/>
    <w:rsid w:val="00437695"/>
    <w:rsid w:val="00437912"/>
    <w:rsid w:val="00437919"/>
    <w:rsid w:val="00437D43"/>
    <w:rsid w:val="0044035F"/>
    <w:rsid w:val="004405B2"/>
    <w:rsid w:val="00440933"/>
    <w:rsid w:val="00440A65"/>
    <w:rsid w:val="00440AA8"/>
    <w:rsid w:val="00440E8D"/>
    <w:rsid w:val="00441062"/>
    <w:rsid w:val="0044145B"/>
    <w:rsid w:val="0044154F"/>
    <w:rsid w:val="00441672"/>
    <w:rsid w:val="004416B6"/>
    <w:rsid w:val="00441857"/>
    <w:rsid w:val="00441A14"/>
    <w:rsid w:val="00441D48"/>
    <w:rsid w:val="004420C0"/>
    <w:rsid w:val="00442417"/>
    <w:rsid w:val="00442549"/>
    <w:rsid w:val="0044286B"/>
    <w:rsid w:val="004428FA"/>
    <w:rsid w:val="00442CD1"/>
    <w:rsid w:val="00442D6A"/>
    <w:rsid w:val="00443265"/>
    <w:rsid w:val="004436CF"/>
    <w:rsid w:val="004437AB"/>
    <w:rsid w:val="0044380A"/>
    <w:rsid w:val="00443F02"/>
    <w:rsid w:val="0044407E"/>
    <w:rsid w:val="00444193"/>
    <w:rsid w:val="004442AE"/>
    <w:rsid w:val="00444D7C"/>
    <w:rsid w:val="00444E27"/>
    <w:rsid w:val="00444FD3"/>
    <w:rsid w:val="004458D8"/>
    <w:rsid w:val="00445B90"/>
    <w:rsid w:val="00445C09"/>
    <w:rsid w:val="00445C13"/>
    <w:rsid w:val="00446138"/>
    <w:rsid w:val="00446257"/>
    <w:rsid w:val="004464B2"/>
    <w:rsid w:val="0044676D"/>
    <w:rsid w:val="004469A4"/>
    <w:rsid w:val="00446B28"/>
    <w:rsid w:val="00446BD9"/>
    <w:rsid w:val="00446D4B"/>
    <w:rsid w:val="00447030"/>
    <w:rsid w:val="0044716B"/>
    <w:rsid w:val="00447258"/>
    <w:rsid w:val="00447635"/>
    <w:rsid w:val="00447A37"/>
    <w:rsid w:val="00447AA3"/>
    <w:rsid w:val="00447AD2"/>
    <w:rsid w:val="00447DAC"/>
    <w:rsid w:val="00447EEE"/>
    <w:rsid w:val="00447F85"/>
    <w:rsid w:val="0045019E"/>
    <w:rsid w:val="0045091E"/>
    <w:rsid w:val="00450CAF"/>
    <w:rsid w:val="00451021"/>
    <w:rsid w:val="0045137A"/>
    <w:rsid w:val="004519F2"/>
    <w:rsid w:val="00451A75"/>
    <w:rsid w:val="00451B01"/>
    <w:rsid w:val="004520E8"/>
    <w:rsid w:val="004522FE"/>
    <w:rsid w:val="00452434"/>
    <w:rsid w:val="0045266D"/>
    <w:rsid w:val="004528FD"/>
    <w:rsid w:val="00452B46"/>
    <w:rsid w:val="00452B94"/>
    <w:rsid w:val="00452C05"/>
    <w:rsid w:val="00452CB6"/>
    <w:rsid w:val="00452D5C"/>
    <w:rsid w:val="00453031"/>
    <w:rsid w:val="004531D5"/>
    <w:rsid w:val="0045349C"/>
    <w:rsid w:val="0045386F"/>
    <w:rsid w:val="004538C4"/>
    <w:rsid w:val="00453E4A"/>
    <w:rsid w:val="00453FA1"/>
    <w:rsid w:val="00453FFF"/>
    <w:rsid w:val="0045415A"/>
    <w:rsid w:val="004544A4"/>
    <w:rsid w:val="004545C0"/>
    <w:rsid w:val="00454612"/>
    <w:rsid w:val="00454626"/>
    <w:rsid w:val="004547F3"/>
    <w:rsid w:val="004548F6"/>
    <w:rsid w:val="00454C4D"/>
    <w:rsid w:val="00454EF0"/>
    <w:rsid w:val="00455678"/>
    <w:rsid w:val="00455733"/>
    <w:rsid w:val="004558E9"/>
    <w:rsid w:val="004559FD"/>
    <w:rsid w:val="00455BE9"/>
    <w:rsid w:val="00455D27"/>
    <w:rsid w:val="00455EE0"/>
    <w:rsid w:val="00455FBB"/>
    <w:rsid w:val="00456020"/>
    <w:rsid w:val="004565B1"/>
    <w:rsid w:val="0045663C"/>
    <w:rsid w:val="00456652"/>
    <w:rsid w:val="004567FC"/>
    <w:rsid w:val="00456883"/>
    <w:rsid w:val="00456C4D"/>
    <w:rsid w:val="00456EA0"/>
    <w:rsid w:val="0045754D"/>
    <w:rsid w:val="004575A3"/>
    <w:rsid w:val="0045763F"/>
    <w:rsid w:val="004577CC"/>
    <w:rsid w:val="00457971"/>
    <w:rsid w:val="00457A2F"/>
    <w:rsid w:val="00457A73"/>
    <w:rsid w:val="00457C49"/>
    <w:rsid w:val="00457D05"/>
    <w:rsid w:val="00460137"/>
    <w:rsid w:val="00460240"/>
    <w:rsid w:val="00460282"/>
    <w:rsid w:val="004602E4"/>
    <w:rsid w:val="00460437"/>
    <w:rsid w:val="004607DF"/>
    <w:rsid w:val="00460985"/>
    <w:rsid w:val="00460A11"/>
    <w:rsid w:val="00460AD4"/>
    <w:rsid w:val="004610A6"/>
    <w:rsid w:val="004612DC"/>
    <w:rsid w:val="00461D52"/>
    <w:rsid w:val="004621DB"/>
    <w:rsid w:val="004623A2"/>
    <w:rsid w:val="0046257C"/>
    <w:rsid w:val="0046282F"/>
    <w:rsid w:val="00462EFF"/>
    <w:rsid w:val="00462F11"/>
    <w:rsid w:val="004632F2"/>
    <w:rsid w:val="0046341D"/>
    <w:rsid w:val="0046356B"/>
    <w:rsid w:val="0046384C"/>
    <w:rsid w:val="004642D2"/>
    <w:rsid w:val="00464402"/>
    <w:rsid w:val="004646EA"/>
    <w:rsid w:val="00464A4C"/>
    <w:rsid w:val="00464B33"/>
    <w:rsid w:val="00464BD0"/>
    <w:rsid w:val="00464D0A"/>
    <w:rsid w:val="00464DC7"/>
    <w:rsid w:val="00464E1E"/>
    <w:rsid w:val="00464E67"/>
    <w:rsid w:val="0046515C"/>
    <w:rsid w:val="0046516B"/>
    <w:rsid w:val="004658B1"/>
    <w:rsid w:val="004658C7"/>
    <w:rsid w:val="00465CCE"/>
    <w:rsid w:val="00465DC9"/>
    <w:rsid w:val="00465FE2"/>
    <w:rsid w:val="00466862"/>
    <w:rsid w:val="00466A1F"/>
    <w:rsid w:val="00466BEB"/>
    <w:rsid w:val="00466BF6"/>
    <w:rsid w:val="00466D3E"/>
    <w:rsid w:val="00466D55"/>
    <w:rsid w:val="00466DCE"/>
    <w:rsid w:val="004670FE"/>
    <w:rsid w:val="0046726E"/>
    <w:rsid w:val="00467327"/>
    <w:rsid w:val="00467554"/>
    <w:rsid w:val="004675E5"/>
    <w:rsid w:val="00467863"/>
    <w:rsid w:val="00467A00"/>
    <w:rsid w:val="00467C50"/>
    <w:rsid w:val="00467CA3"/>
    <w:rsid w:val="00467CE3"/>
    <w:rsid w:val="00467F54"/>
    <w:rsid w:val="00467FB3"/>
    <w:rsid w:val="0047028F"/>
    <w:rsid w:val="00470447"/>
    <w:rsid w:val="004707F8"/>
    <w:rsid w:val="0047099D"/>
    <w:rsid w:val="004711EE"/>
    <w:rsid w:val="0047129B"/>
    <w:rsid w:val="00471860"/>
    <w:rsid w:val="0047194B"/>
    <w:rsid w:val="00471B0F"/>
    <w:rsid w:val="00472096"/>
    <w:rsid w:val="0047236F"/>
    <w:rsid w:val="004728F1"/>
    <w:rsid w:val="00472BF6"/>
    <w:rsid w:val="00472DA0"/>
    <w:rsid w:val="00472DAA"/>
    <w:rsid w:val="00473017"/>
    <w:rsid w:val="00473490"/>
    <w:rsid w:val="00473661"/>
    <w:rsid w:val="004736BB"/>
    <w:rsid w:val="0047388C"/>
    <w:rsid w:val="00473B40"/>
    <w:rsid w:val="00473B41"/>
    <w:rsid w:val="00473B6C"/>
    <w:rsid w:val="004740EF"/>
    <w:rsid w:val="004741F2"/>
    <w:rsid w:val="00474534"/>
    <w:rsid w:val="00474671"/>
    <w:rsid w:val="00474BAC"/>
    <w:rsid w:val="00474C3D"/>
    <w:rsid w:val="00474DFD"/>
    <w:rsid w:val="004750B6"/>
    <w:rsid w:val="004751BF"/>
    <w:rsid w:val="004751CD"/>
    <w:rsid w:val="00475264"/>
    <w:rsid w:val="00475BDA"/>
    <w:rsid w:val="00476012"/>
    <w:rsid w:val="00476404"/>
    <w:rsid w:val="00476486"/>
    <w:rsid w:val="0047654A"/>
    <w:rsid w:val="0047669D"/>
    <w:rsid w:val="00476F3F"/>
    <w:rsid w:val="00477117"/>
    <w:rsid w:val="00477299"/>
    <w:rsid w:val="004772EF"/>
    <w:rsid w:val="0047750F"/>
    <w:rsid w:val="0047777B"/>
    <w:rsid w:val="00477BA1"/>
    <w:rsid w:val="00477D6F"/>
    <w:rsid w:val="00477DFD"/>
    <w:rsid w:val="00477E9C"/>
    <w:rsid w:val="004800C5"/>
    <w:rsid w:val="00480358"/>
    <w:rsid w:val="004803D1"/>
    <w:rsid w:val="00480607"/>
    <w:rsid w:val="00480954"/>
    <w:rsid w:val="004809FD"/>
    <w:rsid w:val="00480B34"/>
    <w:rsid w:val="00480D9A"/>
    <w:rsid w:val="00480DD5"/>
    <w:rsid w:val="00480FAF"/>
    <w:rsid w:val="004814DE"/>
    <w:rsid w:val="0048156A"/>
    <w:rsid w:val="004816CB"/>
    <w:rsid w:val="00481710"/>
    <w:rsid w:val="00481A31"/>
    <w:rsid w:val="00481D2F"/>
    <w:rsid w:val="0048285E"/>
    <w:rsid w:val="004838D1"/>
    <w:rsid w:val="00483AFF"/>
    <w:rsid w:val="00484B38"/>
    <w:rsid w:val="00484BF1"/>
    <w:rsid w:val="004850D3"/>
    <w:rsid w:val="00485231"/>
    <w:rsid w:val="00485336"/>
    <w:rsid w:val="00485344"/>
    <w:rsid w:val="004853B5"/>
    <w:rsid w:val="0048546B"/>
    <w:rsid w:val="00485488"/>
    <w:rsid w:val="0048558B"/>
    <w:rsid w:val="00485667"/>
    <w:rsid w:val="00485676"/>
    <w:rsid w:val="004857AE"/>
    <w:rsid w:val="00485B6E"/>
    <w:rsid w:val="00485C90"/>
    <w:rsid w:val="00485D7E"/>
    <w:rsid w:val="00485EFA"/>
    <w:rsid w:val="004861FA"/>
    <w:rsid w:val="0048626E"/>
    <w:rsid w:val="004865D0"/>
    <w:rsid w:val="0048673A"/>
    <w:rsid w:val="004867D0"/>
    <w:rsid w:val="00486894"/>
    <w:rsid w:val="004868A0"/>
    <w:rsid w:val="004869C2"/>
    <w:rsid w:val="00486A9C"/>
    <w:rsid w:val="00486D91"/>
    <w:rsid w:val="00487949"/>
    <w:rsid w:val="00487BE3"/>
    <w:rsid w:val="00487C78"/>
    <w:rsid w:val="00487CB4"/>
    <w:rsid w:val="00490272"/>
    <w:rsid w:val="00490381"/>
    <w:rsid w:val="004905BE"/>
    <w:rsid w:val="0049095E"/>
    <w:rsid w:val="0049129B"/>
    <w:rsid w:val="0049144D"/>
    <w:rsid w:val="00491452"/>
    <w:rsid w:val="00491487"/>
    <w:rsid w:val="004914E1"/>
    <w:rsid w:val="004916E0"/>
    <w:rsid w:val="004919BA"/>
    <w:rsid w:val="00491CE8"/>
    <w:rsid w:val="0049208B"/>
    <w:rsid w:val="0049219B"/>
    <w:rsid w:val="0049227E"/>
    <w:rsid w:val="004925CA"/>
    <w:rsid w:val="00492ACC"/>
    <w:rsid w:val="00492CC7"/>
    <w:rsid w:val="00492EAE"/>
    <w:rsid w:val="00492F28"/>
    <w:rsid w:val="004932CB"/>
    <w:rsid w:val="004938DD"/>
    <w:rsid w:val="00493F4D"/>
    <w:rsid w:val="00494187"/>
    <w:rsid w:val="0049439F"/>
    <w:rsid w:val="00494451"/>
    <w:rsid w:val="00494779"/>
    <w:rsid w:val="004947BC"/>
    <w:rsid w:val="0049483B"/>
    <w:rsid w:val="00494C5F"/>
    <w:rsid w:val="00494F4D"/>
    <w:rsid w:val="00495090"/>
    <w:rsid w:val="004950D3"/>
    <w:rsid w:val="004952A9"/>
    <w:rsid w:val="00495480"/>
    <w:rsid w:val="00495BFD"/>
    <w:rsid w:val="004961F7"/>
    <w:rsid w:val="00496976"/>
    <w:rsid w:val="00496B0D"/>
    <w:rsid w:val="00496D93"/>
    <w:rsid w:val="004970E9"/>
    <w:rsid w:val="00497244"/>
    <w:rsid w:val="00497536"/>
    <w:rsid w:val="004976D1"/>
    <w:rsid w:val="00497BD2"/>
    <w:rsid w:val="00497DFF"/>
    <w:rsid w:val="00497EB4"/>
    <w:rsid w:val="004A054F"/>
    <w:rsid w:val="004A09C5"/>
    <w:rsid w:val="004A0A2F"/>
    <w:rsid w:val="004A0B0E"/>
    <w:rsid w:val="004A0B45"/>
    <w:rsid w:val="004A0D03"/>
    <w:rsid w:val="004A1144"/>
    <w:rsid w:val="004A116A"/>
    <w:rsid w:val="004A1521"/>
    <w:rsid w:val="004A170B"/>
    <w:rsid w:val="004A1880"/>
    <w:rsid w:val="004A19EF"/>
    <w:rsid w:val="004A1A9B"/>
    <w:rsid w:val="004A1AE7"/>
    <w:rsid w:val="004A1B8E"/>
    <w:rsid w:val="004A1FE5"/>
    <w:rsid w:val="004A23DF"/>
    <w:rsid w:val="004A24C1"/>
    <w:rsid w:val="004A2775"/>
    <w:rsid w:val="004A32E2"/>
    <w:rsid w:val="004A35C8"/>
    <w:rsid w:val="004A37A5"/>
    <w:rsid w:val="004A38C4"/>
    <w:rsid w:val="004A39E3"/>
    <w:rsid w:val="004A3ACE"/>
    <w:rsid w:val="004A3B10"/>
    <w:rsid w:val="004A3C99"/>
    <w:rsid w:val="004A3CB4"/>
    <w:rsid w:val="004A3EFB"/>
    <w:rsid w:val="004A44A0"/>
    <w:rsid w:val="004A453B"/>
    <w:rsid w:val="004A4A1B"/>
    <w:rsid w:val="004A4ADA"/>
    <w:rsid w:val="004A4CAF"/>
    <w:rsid w:val="004A4CBE"/>
    <w:rsid w:val="004A5122"/>
    <w:rsid w:val="004A52F9"/>
    <w:rsid w:val="004A5444"/>
    <w:rsid w:val="004A5883"/>
    <w:rsid w:val="004A5DC2"/>
    <w:rsid w:val="004A5E34"/>
    <w:rsid w:val="004A6049"/>
    <w:rsid w:val="004A6235"/>
    <w:rsid w:val="004A6379"/>
    <w:rsid w:val="004A6484"/>
    <w:rsid w:val="004A6487"/>
    <w:rsid w:val="004A65FD"/>
    <w:rsid w:val="004A69A7"/>
    <w:rsid w:val="004A6AAC"/>
    <w:rsid w:val="004A6B2E"/>
    <w:rsid w:val="004A6BE4"/>
    <w:rsid w:val="004A6CAB"/>
    <w:rsid w:val="004A6CE2"/>
    <w:rsid w:val="004A6E57"/>
    <w:rsid w:val="004A7093"/>
    <w:rsid w:val="004A7355"/>
    <w:rsid w:val="004A7A33"/>
    <w:rsid w:val="004A7BD9"/>
    <w:rsid w:val="004A7D23"/>
    <w:rsid w:val="004A7D59"/>
    <w:rsid w:val="004A7EA6"/>
    <w:rsid w:val="004B0169"/>
    <w:rsid w:val="004B038A"/>
    <w:rsid w:val="004B06FF"/>
    <w:rsid w:val="004B07AB"/>
    <w:rsid w:val="004B0C68"/>
    <w:rsid w:val="004B103F"/>
    <w:rsid w:val="004B1110"/>
    <w:rsid w:val="004B1121"/>
    <w:rsid w:val="004B16E3"/>
    <w:rsid w:val="004B18B1"/>
    <w:rsid w:val="004B19E9"/>
    <w:rsid w:val="004B1AC5"/>
    <w:rsid w:val="004B1C31"/>
    <w:rsid w:val="004B1C6F"/>
    <w:rsid w:val="004B1E43"/>
    <w:rsid w:val="004B1EC7"/>
    <w:rsid w:val="004B1FD5"/>
    <w:rsid w:val="004B2596"/>
    <w:rsid w:val="004B26BE"/>
    <w:rsid w:val="004B2787"/>
    <w:rsid w:val="004B278F"/>
    <w:rsid w:val="004B2DF9"/>
    <w:rsid w:val="004B2E72"/>
    <w:rsid w:val="004B301F"/>
    <w:rsid w:val="004B3028"/>
    <w:rsid w:val="004B302C"/>
    <w:rsid w:val="004B318A"/>
    <w:rsid w:val="004B3213"/>
    <w:rsid w:val="004B368A"/>
    <w:rsid w:val="004B376E"/>
    <w:rsid w:val="004B37AE"/>
    <w:rsid w:val="004B3813"/>
    <w:rsid w:val="004B39DF"/>
    <w:rsid w:val="004B3AFB"/>
    <w:rsid w:val="004B3D33"/>
    <w:rsid w:val="004B3FB8"/>
    <w:rsid w:val="004B4333"/>
    <w:rsid w:val="004B445A"/>
    <w:rsid w:val="004B4475"/>
    <w:rsid w:val="004B4614"/>
    <w:rsid w:val="004B4648"/>
    <w:rsid w:val="004B4A8B"/>
    <w:rsid w:val="004B4C3F"/>
    <w:rsid w:val="004B4C85"/>
    <w:rsid w:val="004B4CA1"/>
    <w:rsid w:val="004B4CC7"/>
    <w:rsid w:val="004B4CE7"/>
    <w:rsid w:val="004B53B9"/>
    <w:rsid w:val="004B56D9"/>
    <w:rsid w:val="004B588A"/>
    <w:rsid w:val="004B5A18"/>
    <w:rsid w:val="004B5C34"/>
    <w:rsid w:val="004B605E"/>
    <w:rsid w:val="004B631D"/>
    <w:rsid w:val="004B6363"/>
    <w:rsid w:val="004B64D2"/>
    <w:rsid w:val="004B66B8"/>
    <w:rsid w:val="004B688C"/>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C0014"/>
    <w:rsid w:val="004C00AF"/>
    <w:rsid w:val="004C02E4"/>
    <w:rsid w:val="004C037B"/>
    <w:rsid w:val="004C0596"/>
    <w:rsid w:val="004C05F6"/>
    <w:rsid w:val="004C07C7"/>
    <w:rsid w:val="004C07DD"/>
    <w:rsid w:val="004C08AF"/>
    <w:rsid w:val="004C0D29"/>
    <w:rsid w:val="004C0DD3"/>
    <w:rsid w:val="004C0DDF"/>
    <w:rsid w:val="004C0F06"/>
    <w:rsid w:val="004C1131"/>
    <w:rsid w:val="004C12FD"/>
    <w:rsid w:val="004C150A"/>
    <w:rsid w:val="004C195B"/>
    <w:rsid w:val="004C1E26"/>
    <w:rsid w:val="004C2070"/>
    <w:rsid w:val="004C219E"/>
    <w:rsid w:val="004C2376"/>
    <w:rsid w:val="004C29CB"/>
    <w:rsid w:val="004C2E49"/>
    <w:rsid w:val="004C3206"/>
    <w:rsid w:val="004C326B"/>
    <w:rsid w:val="004C3507"/>
    <w:rsid w:val="004C35B9"/>
    <w:rsid w:val="004C37F9"/>
    <w:rsid w:val="004C39AC"/>
    <w:rsid w:val="004C3AFE"/>
    <w:rsid w:val="004C3F07"/>
    <w:rsid w:val="004C4556"/>
    <w:rsid w:val="004C45D2"/>
    <w:rsid w:val="004C473D"/>
    <w:rsid w:val="004C475A"/>
    <w:rsid w:val="004C4B07"/>
    <w:rsid w:val="004C4CBD"/>
    <w:rsid w:val="004C4E56"/>
    <w:rsid w:val="004C515E"/>
    <w:rsid w:val="004C577E"/>
    <w:rsid w:val="004C5857"/>
    <w:rsid w:val="004C5A07"/>
    <w:rsid w:val="004C5A2C"/>
    <w:rsid w:val="004C5D81"/>
    <w:rsid w:val="004C5EEC"/>
    <w:rsid w:val="004C60D2"/>
    <w:rsid w:val="004C6253"/>
    <w:rsid w:val="004C631A"/>
    <w:rsid w:val="004C6554"/>
    <w:rsid w:val="004C655C"/>
    <w:rsid w:val="004C6BFC"/>
    <w:rsid w:val="004C7425"/>
    <w:rsid w:val="004C75CC"/>
    <w:rsid w:val="004C7708"/>
    <w:rsid w:val="004C7893"/>
    <w:rsid w:val="004C7DD7"/>
    <w:rsid w:val="004D011D"/>
    <w:rsid w:val="004D023E"/>
    <w:rsid w:val="004D0475"/>
    <w:rsid w:val="004D08B1"/>
    <w:rsid w:val="004D0ADF"/>
    <w:rsid w:val="004D0F0A"/>
    <w:rsid w:val="004D11A3"/>
    <w:rsid w:val="004D13FE"/>
    <w:rsid w:val="004D175C"/>
    <w:rsid w:val="004D179D"/>
    <w:rsid w:val="004D19F5"/>
    <w:rsid w:val="004D1CAE"/>
    <w:rsid w:val="004D2110"/>
    <w:rsid w:val="004D212B"/>
    <w:rsid w:val="004D22F3"/>
    <w:rsid w:val="004D23E8"/>
    <w:rsid w:val="004D2590"/>
    <w:rsid w:val="004D26D8"/>
    <w:rsid w:val="004D2735"/>
    <w:rsid w:val="004D289E"/>
    <w:rsid w:val="004D302F"/>
    <w:rsid w:val="004D3040"/>
    <w:rsid w:val="004D35F4"/>
    <w:rsid w:val="004D3692"/>
    <w:rsid w:val="004D3AF0"/>
    <w:rsid w:val="004D3E97"/>
    <w:rsid w:val="004D3F80"/>
    <w:rsid w:val="004D3FB4"/>
    <w:rsid w:val="004D4352"/>
    <w:rsid w:val="004D45DE"/>
    <w:rsid w:val="004D4924"/>
    <w:rsid w:val="004D496A"/>
    <w:rsid w:val="004D4A2A"/>
    <w:rsid w:val="004D51D5"/>
    <w:rsid w:val="004D562E"/>
    <w:rsid w:val="004D56CE"/>
    <w:rsid w:val="004D58B8"/>
    <w:rsid w:val="004D5C38"/>
    <w:rsid w:val="004D60FA"/>
    <w:rsid w:val="004D61BA"/>
    <w:rsid w:val="004D64D2"/>
    <w:rsid w:val="004D68AE"/>
    <w:rsid w:val="004D68C4"/>
    <w:rsid w:val="004D6A8D"/>
    <w:rsid w:val="004D6B0C"/>
    <w:rsid w:val="004D6C0A"/>
    <w:rsid w:val="004D6C57"/>
    <w:rsid w:val="004D6CB1"/>
    <w:rsid w:val="004D6D15"/>
    <w:rsid w:val="004D73ED"/>
    <w:rsid w:val="004D7608"/>
    <w:rsid w:val="004D7918"/>
    <w:rsid w:val="004D7B08"/>
    <w:rsid w:val="004D7CE6"/>
    <w:rsid w:val="004D7D5D"/>
    <w:rsid w:val="004D7DA0"/>
    <w:rsid w:val="004D7E58"/>
    <w:rsid w:val="004D7F37"/>
    <w:rsid w:val="004E01A9"/>
    <w:rsid w:val="004E0307"/>
    <w:rsid w:val="004E07BF"/>
    <w:rsid w:val="004E0B00"/>
    <w:rsid w:val="004E0D30"/>
    <w:rsid w:val="004E1231"/>
    <w:rsid w:val="004E13F7"/>
    <w:rsid w:val="004E15E4"/>
    <w:rsid w:val="004E1925"/>
    <w:rsid w:val="004E19BF"/>
    <w:rsid w:val="004E1B23"/>
    <w:rsid w:val="004E1C55"/>
    <w:rsid w:val="004E1CCF"/>
    <w:rsid w:val="004E2923"/>
    <w:rsid w:val="004E305C"/>
    <w:rsid w:val="004E314F"/>
    <w:rsid w:val="004E31EE"/>
    <w:rsid w:val="004E36E9"/>
    <w:rsid w:val="004E390D"/>
    <w:rsid w:val="004E3A4D"/>
    <w:rsid w:val="004E3BD6"/>
    <w:rsid w:val="004E3FEA"/>
    <w:rsid w:val="004E4008"/>
    <w:rsid w:val="004E40EF"/>
    <w:rsid w:val="004E42F1"/>
    <w:rsid w:val="004E4530"/>
    <w:rsid w:val="004E4733"/>
    <w:rsid w:val="004E4C23"/>
    <w:rsid w:val="004E4DB6"/>
    <w:rsid w:val="004E5173"/>
    <w:rsid w:val="004E52BA"/>
    <w:rsid w:val="004E5384"/>
    <w:rsid w:val="004E54F5"/>
    <w:rsid w:val="004E5611"/>
    <w:rsid w:val="004E5717"/>
    <w:rsid w:val="004E5A3C"/>
    <w:rsid w:val="004E5CC7"/>
    <w:rsid w:val="004E64E1"/>
    <w:rsid w:val="004E678A"/>
    <w:rsid w:val="004E6928"/>
    <w:rsid w:val="004E6ACA"/>
    <w:rsid w:val="004E6BF1"/>
    <w:rsid w:val="004E6D00"/>
    <w:rsid w:val="004E6D65"/>
    <w:rsid w:val="004E6E6D"/>
    <w:rsid w:val="004E6FB1"/>
    <w:rsid w:val="004E7025"/>
    <w:rsid w:val="004E7434"/>
    <w:rsid w:val="004E77A0"/>
    <w:rsid w:val="004E7A04"/>
    <w:rsid w:val="004E7B49"/>
    <w:rsid w:val="004E7B8B"/>
    <w:rsid w:val="004F0342"/>
    <w:rsid w:val="004F045C"/>
    <w:rsid w:val="004F069B"/>
    <w:rsid w:val="004F0D5D"/>
    <w:rsid w:val="004F0E48"/>
    <w:rsid w:val="004F147F"/>
    <w:rsid w:val="004F1549"/>
    <w:rsid w:val="004F1748"/>
    <w:rsid w:val="004F18BD"/>
    <w:rsid w:val="004F199C"/>
    <w:rsid w:val="004F1A68"/>
    <w:rsid w:val="004F1BA0"/>
    <w:rsid w:val="004F1CEE"/>
    <w:rsid w:val="004F1DA6"/>
    <w:rsid w:val="004F1E7A"/>
    <w:rsid w:val="004F1FA1"/>
    <w:rsid w:val="004F2393"/>
    <w:rsid w:val="004F25BB"/>
    <w:rsid w:val="004F285F"/>
    <w:rsid w:val="004F28B6"/>
    <w:rsid w:val="004F2928"/>
    <w:rsid w:val="004F2FC8"/>
    <w:rsid w:val="004F32C6"/>
    <w:rsid w:val="004F3C8C"/>
    <w:rsid w:val="004F3D14"/>
    <w:rsid w:val="004F4204"/>
    <w:rsid w:val="004F42D6"/>
    <w:rsid w:val="004F4604"/>
    <w:rsid w:val="004F4711"/>
    <w:rsid w:val="004F4753"/>
    <w:rsid w:val="004F4A5E"/>
    <w:rsid w:val="004F4CE0"/>
    <w:rsid w:val="004F4DBC"/>
    <w:rsid w:val="004F4E57"/>
    <w:rsid w:val="004F4F67"/>
    <w:rsid w:val="004F502E"/>
    <w:rsid w:val="004F5125"/>
    <w:rsid w:val="004F512C"/>
    <w:rsid w:val="004F51B9"/>
    <w:rsid w:val="004F5370"/>
    <w:rsid w:val="004F5966"/>
    <w:rsid w:val="004F5E54"/>
    <w:rsid w:val="004F66BE"/>
    <w:rsid w:val="004F684E"/>
    <w:rsid w:val="004F6B99"/>
    <w:rsid w:val="004F6DB7"/>
    <w:rsid w:val="004F7068"/>
    <w:rsid w:val="004F73D3"/>
    <w:rsid w:val="004F741B"/>
    <w:rsid w:val="004F74AA"/>
    <w:rsid w:val="004F79AD"/>
    <w:rsid w:val="004F7D43"/>
    <w:rsid w:val="004F7EB8"/>
    <w:rsid w:val="005002B4"/>
    <w:rsid w:val="005006B5"/>
    <w:rsid w:val="00500753"/>
    <w:rsid w:val="00500800"/>
    <w:rsid w:val="00500977"/>
    <w:rsid w:val="00500992"/>
    <w:rsid w:val="00500E9A"/>
    <w:rsid w:val="00500F04"/>
    <w:rsid w:val="005010EC"/>
    <w:rsid w:val="005011E5"/>
    <w:rsid w:val="005014D8"/>
    <w:rsid w:val="0050195E"/>
    <w:rsid w:val="00501AF7"/>
    <w:rsid w:val="00501E0A"/>
    <w:rsid w:val="0050231B"/>
    <w:rsid w:val="00502350"/>
    <w:rsid w:val="005029FF"/>
    <w:rsid w:val="00502BD4"/>
    <w:rsid w:val="00502CC7"/>
    <w:rsid w:val="00503097"/>
    <w:rsid w:val="005030FD"/>
    <w:rsid w:val="005038D2"/>
    <w:rsid w:val="005038E4"/>
    <w:rsid w:val="0050390D"/>
    <w:rsid w:val="0050399F"/>
    <w:rsid w:val="005039A7"/>
    <w:rsid w:val="005039E4"/>
    <w:rsid w:val="00503A62"/>
    <w:rsid w:val="00503A74"/>
    <w:rsid w:val="00503B5A"/>
    <w:rsid w:val="00504141"/>
    <w:rsid w:val="0050445F"/>
    <w:rsid w:val="0050448B"/>
    <w:rsid w:val="0050454A"/>
    <w:rsid w:val="00504555"/>
    <w:rsid w:val="00504C80"/>
    <w:rsid w:val="0050508C"/>
    <w:rsid w:val="00505271"/>
    <w:rsid w:val="005057A6"/>
    <w:rsid w:val="005057FC"/>
    <w:rsid w:val="00505C83"/>
    <w:rsid w:val="00505D52"/>
    <w:rsid w:val="00506500"/>
    <w:rsid w:val="00506896"/>
    <w:rsid w:val="00506CF8"/>
    <w:rsid w:val="005070BE"/>
    <w:rsid w:val="00507190"/>
    <w:rsid w:val="00507681"/>
    <w:rsid w:val="005079FB"/>
    <w:rsid w:val="00507C60"/>
    <w:rsid w:val="00507D1D"/>
    <w:rsid w:val="00507D3E"/>
    <w:rsid w:val="0051025E"/>
    <w:rsid w:val="0051035A"/>
    <w:rsid w:val="005104AD"/>
    <w:rsid w:val="00510528"/>
    <w:rsid w:val="005105A8"/>
    <w:rsid w:val="00510B93"/>
    <w:rsid w:val="0051107D"/>
    <w:rsid w:val="005110C6"/>
    <w:rsid w:val="00511720"/>
    <w:rsid w:val="005118AB"/>
    <w:rsid w:val="00511B12"/>
    <w:rsid w:val="00511C1F"/>
    <w:rsid w:val="005120A1"/>
    <w:rsid w:val="00512427"/>
    <w:rsid w:val="005125A4"/>
    <w:rsid w:val="00512778"/>
    <w:rsid w:val="005128E9"/>
    <w:rsid w:val="005129A3"/>
    <w:rsid w:val="00512A4C"/>
    <w:rsid w:val="00512AED"/>
    <w:rsid w:val="00513558"/>
    <w:rsid w:val="00513686"/>
    <w:rsid w:val="00513EB7"/>
    <w:rsid w:val="005144CA"/>
    <w:rsid w:val="00514636"/>
    <w:rsid w:val="005147A4"/>
    <w:rsid w:val="00514837"/>
    <w:rsid w:val="0051487D"/>
    <w:rsid w:val="00514BE6"/>
    <w:rsid w:val="00514C50"/>
    <w:rsid w:val="00514C53"/>
    <w:rsid w:val="00514E6C"/>
    <w:rsid w:val="00514EBE"/>
    <w:rsid w:val="005150E1"/>
    <w:rsid w:val="00516593"/>
    <w:rsid w:val="005166EE"/>
    <w:rsid w:val="00516B1C"/>
    <w:rsid w:val="00517266"/>
    <w:rsid w:val="005173E8"/>
    <w:rsid w:val="0051751F"/>
    <w:rsid w:val="00517563"/>
    <w:rsid w:val="005175BA"/>
    <w:rsid w:val="00517781"/>
    <w:rsid w:val="00517BAD"/>
    <w:rsid w:val="00517CB3"/>
    <w:rsid w:val="00517F05"/>
    <w:rsid w:val="00517F6B"/>
    <w:rsid w:val="00517F94"/>
    <w:rsid w:val="00520404"/>
    <w:rsid w:val="0052048F"/>
    <w:rsid w:val="00520549"/>
    <w:rsid w:val="00520658"/>
    <w:rsid w:val="00520CC6"/>
    <w:rsid w:val="00520EAA"/>
    <w:rsid w:val="00521013"/>
    <w:rsid w:val="005210CA"/>
    <w:rsid w:val="00521493"/>
    <w:rsid w:val="0052159B"/>
    <w:rsid w:val="005215F4"/>
    <w:rsid w:val="0052169E"/>
    <w:rsid w:val="0052171D"/>
    <w:rsid w:val="005217B6"/>
    <w:rsid w:val="005217EF"/>
    <w:rsid w:val="00521814"/>
    <w:rsid w:val="0052181A"/>
    <w:rsid w:val="005218B5"/>
    <w:rsid w:val="00521A99"/>
    <w:rsid w:val="00522229"/>
    <w:rsid w:val="005225FD"/>
    <w:rsid w:val="00522717"/>
    <w:rsid w:val="005227F8"/>
    <w:rsid w:val="005229E4"/>
    <w:rsid w:val="00522F62"/>
    <w:rsid w:val="005230D4"/>
    <w:rsid w:val="0052315D"/>
    <w:rsid w:val="00523961"/>
    <w:rsid w:val="00523BE6"/>
    <w:rsid w:val="00523DCE"/>
    <w:rsid w:val="005240E0"/>
    <w:rsid w:val="005240FF"/>
    <w:rsid w:val="00524306"/>
    <w:rsid w:val="00524642"/>
    <w:rsid w:val="00524AD0"/>
    <w:rsid w:val="00524B65"/>
    <w:rsid w:val="00524CDA"/>
    <w:rsid w:val="00524F4D"/>
    <w:rsid w:val="00524FD2"/>
    <w:rsid w:val="005255DD"/>
    <w:rsid w:val="005257A1"/>
    <w:rsid w:val="0052598F"/>
    <w:rsid w:val="005259BE"/>
    <w:rsid w:val="005266D0"/>
    <w:rsid w:val="00526B6F"/>
    <w:rsid w:val="00526E62"/>
    <w:rsid w:val="00527010"/>
    <w:rsid w:val="005271B6"/>
    <w:rsid w:val="0052721A"/>
    <w:rsid w:val="00527387"/>
    <w:rsid w:val="00527C8D"/>
    <w:rsid w:val="00527DC0"/>
    <w:rsid w:val="00527DD0"/>
    <w:rsid w:val="00530100"/>
    <w:rsid w:val="00530723"/>
    <w:rsid w:val="0053082F"/>
    <w:rsid w:val="0053088B"/>
    <w:rsid w:val="0053089D"/>
    <w:rsid w:val="00530A16"/>
    <w:rsid w:val="00530ABA"/>
    <w:rsid w:val="00530C21"/>
    <w:rsid w:val="00530D01"/>
    <w:rsid w:val="00530F7F"/>
    <w:rsid w:val="00530FDB"/>
    <w:rsid w:val="005311C4"/>
    <w:rsid w:val="00531444"/>
    <w:rsid w:val="00531580"/>
    <w:rsid w:val="00531837"/>
    <w:rsid w:val="00531A8D"/>
    <w:rsid w:val="00531B89"/>
    <w:rsid w:val="0053222B"/>
    <w:rsid w:val="0053248F"/>
    <w:rsid w:val="00532569"/>
    <w:rsid w:val="0053262C"/>
    <w:rsid w:val="0053285B"/>
    <w:rsid w:val="005328EA"/>
    <w:rsid w:val="00532B06"/>
    <w:rsid w:val="00532B0E"/>
    <w:rsid w:val="00533003"/>
    <w:rsid w:val="00533334"/>
    <w:rsid w:val="0053346F"/>
    <w:rsid w:val="00533543"/>
    <w:rsid w:val="00533683"/>
    <w:rsid w:val="00533AF6"/>
    <w:rsid w:val="00533EC1"/>
    <w:rsid w:val="00533FDC"/>
    <w:rsid w:val="00534251"/>
    <w:rsid w:val="0053459C"/>
    <w:rsid w:val="005348CC"/>
    <w:rsid w:val="0053493F"/>
    <w:rsid w:val="00534D06"/>
    <w:rsid w:val="00534EA9"/>
    <w:rsid w:val="00535475"/>
    <w:rsid w:val="00535D27"/>
    <w:rsid w:val="00535D43"/>
    <w:rsid w:val="00536031"/>
    <w:rsid w:val="00536110"/>
    <w:rsid w:val="0053664A"/>
    <w:rsid w:val="005366B1"/>
    <w:rsid w:val="00536839"/>
    <w:rsid w:val="00536B25"/>
    <w:rsid w:val="00536C39"/>
    <w:rsid w:val="00536C8A"/>
    <w:rsid w:val="00536C94"/>
    <w:rsid w:val="00537019"/>
    <w:rsid w:val="005370F4"/>
    <w:rsid w:val="0053716C"/>
    <w:rsid w:val="00537897"/>
    <w:rsid w:val="00537CEB"/>
    <w:rsid w:val="00537DFD"/>
    <w:rsid w:val="005400D0"/>
    <w:rsid w:val="0054055B"/>
    <w:rsid w:val="0054068C"/>
    <w:rsid w:val="005406EC"/>
    <w:rsid w:val="00540946"/>
    <w:rsid w:val="005409A5"/>
    <w:rsid w:val="00540C11"/>
    <w:rsid w:val="00540C94"/>
    <w:rsid w:val="005412B0"/>
    <w:rsid w:val="00541438"/>
    <w:rsid w:val="00541545"/>
    <w:rsid w:val="00541866"/>
    <w:rsid w:val="00541B89"/>
    <w:rsid w:val="00541DC1"/>
    <w:rsid w:val="0054203D"/>
    <w:rsid w:val="0054258F"/>
    <w:rsid w:val="00542E46"/>
    <w:rsid w:val="00542E6C"/>
    <w:rsid w:val="00542E6F"/>
    <w:rsid w:val="00542E9F"/>
    <w:rsid w:val="00543614"/>
    <w:rsid w:val="005437CB"/>
    <w:rsid w:val="005439CE"/>
    <w:rsid w:val="00543AEE"/>
    <w:rsid w:val="00543E10"/>
    <w:rsid w:val="00543EED"/>
    <w:rsid w:val="00543EFD"/>
    <w:rsid w:val="005440B1"/>
    <w:rsid w:val="005441DE"/>
    <w:rsid w:val="005442B6"/>
    <w:rsid w:val="00544313"/>
    <w:rsid w:val="00544535"/>
    <w:rsid w:val="005446AE"/>
    <w:rsid w:val="005449DE"/>
    <w:rsid w:val="00545354"/>
    <w:rsid w:val="0054576E"/>
    <w:rsid w:val="00545897"/>
    <w:rsid w:val="00545910"/>
    <w:rsid w:val="00545FD4"/>
    <w:rsid w:val="00546224"/>
    <w:rsid w:val="00546450"/>
    <w:rsid w:val="0054650D"/>
    <w:rsid w:val="00546DC5"/>
    <w:rsid w:val="0054719D"/>
    <w:rsid w:val="005474AA"/>
    <w:rsid w:val="00547694"/>
    <w:rsid w:val="005477CC"/>
    <w:rsid w:val="005477E6"/>
    <w:rsid w:val="00547BF0"/>
    <w:rsid w:val="005505E4"/>
    <w:rsid w:val="00550635"/>
    <w:rsid w:val="005506D1"/>
    <w:rsid w:val="00550830"/>
    <w:rsid w:val="0055090C"/>
    <w:rsid w:val="005509C0"/>
    <w:rsid w:val="0055104D"/>
    <w:rsid w:val="00551151"/>
    <w:rsid w:val="0055135D"/>
    <w:rsid w:val="0055173A"/>
    <w:rsid w:val="00551EBF"/>
    <w:rsid w:val="00551FC4"/>
    <w:rsid w:val="005520C5"/>
    <w:rsid w:val="0055231C"/>
    <w:rsid w:val="005523E8"/>
    <w:rsid w:val="00552603"/>
    <w:rsid w:val="005529F5"/>
    <w:rsid w:val="0055338B"/>
    <w:rsid w:val="00553770"/>
    <w:rsid w:val="00553A88"/>
    <w:rsid w:val="00553EC1"/>
    <w:rsid w:val="00554147"/>
    <w:rsid w:val="00554150"/>
    <w:rsid w:val="005541F6"/>
    <w:rsid w:val="00554710"/>
    <w:rsid w:val="00554885"/>
    <w:rsid w:val="00554A3D"/>
    <w:rsid w:val="00554C8C"/>
    <w:rsid w:val="00554E7A"/>
    <w:rsid w:val="00555018"/>
    <w:rsid w:val="0055512F"/>
    <w:rsid w:val="00555217"/>
    <w:rsid w:val="005552C1"/>
    <w:rsid w:val="0055554F"/>
    <w:rsid w:val="00555DEF"/>
    <w:rsid w:val="0055639E"/>
    <w:rsid w:val="005563AE"/>
    <w:rsid w:val="00556828"/>
    <w:rsid w:val="0055685A"/>
    <w:rsid w:val="00556C4E"/>
    <w:rsid w:val="00556FA3"/>
    <w:rsid w:val="00556FDC"/>
    <w:rsid w:val="0055738B"/>
    <w:rsid w:val="00557485"/>
    <w:rsid w:val="0055773E"/>
    <w:rsid w:val="0055778C"/>
    <w:rsid w:val="00557860"/>
    <w:rsid w:val="00557E91"/>
    <w:rsid w:val="005600B5"/>
    <w:rsid w:val="00560405"/>
    <w:rsid w:val="00560760"/>
    <w:rsid w:val="00560970"/>
    <w:rsid w:val="00560B58"/>
    <w:rsid w:val="00560F0A"/>
    <w:rsid w:val="00560FDE"/>
    <w:rsid w:val="00560FE4"/>
    <w:rsid w:val="0056144D"/>
    <w:rsid w:val="005614DA"/>
    <w:rsid w:val="0056197B"/>
    <w:rsid w:val="00561A55"/>
    <w:rsid w:val="00561D9D"/>
    <w:rsid w:val="00561E27"/>
    <w:rsid w:val="00561EAD"/>
    <w:rsid w:val="0056224C"/>
    <w:rsid w:val="00562A62"/>
    <w:rsid w:val="00562D50"/>
    <w:rsid w:val="005634DD"/>
    <w:rsid w:val="00563840"/>
    <w:rsid w:val="00563A17"/>
    <w:rsid w:val="00563C74"/>
    <w:rsid w:val="0056401B"/>
    <w:rsid w:val="005641AF"/>
    <w:rsid w:val="00564265"/>
    <w:rsid w:val="0056429F"/>
    <w:rsid w:val="0056439B"/>
    <w:rsid w:val="005647E1"/>
    <w:rsid w:val="00564A8B"/>
    <w:rsid w:val="00564EA8"/>
    <w:rsid w:val="00565160"/>
    <w:rsid w:val="005652D4"/>
    <w:rsid w:val="00565372"/>
    <w:rsid w:val="00565881"/>
    <w:rsid w:val="005658B2"/>
    <w:rsid w:val="00565920"/>
    <w:rsid w:val="0056594E"/>
    <w:rsid w:val="005660A4"/>
    <w:rsid w:val="005661A8"/>
    <w:rsid w:val="005663C2"/>
    <w:rsid w:val="00566494"/>
    <w:rsid w:val="005664AD"/>
    <w:rsid w:val="00566A32"/>
    <w:rsid w:val="00566A6E"/>
    <w:rsid w:val="00566B1A"/>
    <w:rsid w:val="00566B3C"/>
    <w:rsid w:val="00566EA1"/>
    <w:rsid w:val="005671C8"/>
    <w:rsid w:val="0056727B"/>
    <w:rsid w:val="00567407"/>
    <w:rsid w:val="005675A6"/>
    <w:rsid w:val="00567823"/>
    <w:rsid w:val="00567B08"/>
    <w:rsid w:val="00567BF2"/>
    <w:rsid w:val="005702C7"/>
    <w:rsid w:val="00570637"/>
    <w:rsid w:val="00570845"/>
    <w:rsid w:val="005709D0"/>
    <w:rsid w:val="005709E3"/>
    <w:rsid w:val="00570A22"/>
    <w:rsid w:val="00570A53"/>
    <w:rsid w:val="00570BCE"/>
    <w:rsid w:val="00570CD5"/>
    <w:rsid w:val="00570D1A"/>
    <w:rsid w:val="005711A5"/>
    <w:rsid w:val="00571451"/>
    <w:rsid w:val="0057156D"/>
    <w:rsid w:val="00571CC0"/>
    <w:rsid w:val="00571D24"/>
    <w:rsid w:val="00571D87"/>
    <w:rsid w:val="0057210C"/>
    <w:rsid w:val="0057238E"/>
    <w:rsid w:val="00572674"/>
    <w:rsid w:val="00572BDE"/>
    <w:rsid w:val="00572FFB"/>
    <w:rsid w:val="00573035"/>
    <w:rsid w:val="0057303C"/>
    <w:rsid w:val="0057376F"/>
    <w:rsid w:val="0057378E"/>
    <w:rsid w:val="00573845"/>
    <w:rsid w:val="00573CBC"/>
    <w:rsid w:val="00573EB4"/>
    <w:rsid w:val="00573EF8"/>
    <w:rsid w:val="00574285"/>
    <w:rsid w:val="005742A4"/>
    <w:rsid w:val="00574327"/>
    <w:rsid w:val="0057453C"/>
    <w:rsid w:val="005746CC"/>
    <w:rsid w:val="0057492A"/>
    <w:rsid w:val="0057542C"/>
    <w:rsid w:val="00575549"/>
    <w:rsid w:val="0057592D"/>
    <w:rsid w:val="00575B12"/>
    <w:rsid w:val="00575FA7"/>
    <w:rsid w:val="005768FB"/>
    <w:rsid w:val="005769A3"/>
    <w:rsid w:val="005772E1"/>
    <w:rsid w:val="00577657"/>
    <w:rsid w:val="005777F1"/>
    <w:rsid w:val="00577882"/>
    <w:rsid w:val="00577D0B"/>
    <w:rsid w:val="00577D86"/>
    <w:rsid w:val="00577F12"/>
    <w:rsid w:val="00577F37"/>
    <w:rsid w:val="0058018E"/>
    <w:rsid w:val="00580609"/>
    <w:rsid w:val="005808DF"/>
    <w:rsid w:val="005809DA"/>
    <w:rsid w:val="00580A66"/>
    <w:rsid w:val="0058167F"/>
    <w:rsid w:val="00581A9E"/>
    <w:rsid w:val="00581D25"/>
    <w:rsid w:val="00582293"/>
    <w:rsid w:val="00582663"/>
    <w:rsid w:val="00582A9C"/>
    <w:rsid w:val="00582B8E"/>
    <w:rsid w:val="00582D01"/>
    <w:rsid w:val="00582F55"/>
    <w:rsid w:val="0058347D"/>
    <w:rsid w:val="00583599"/>
    <w:rsid w:val="005835AF"/>
    <w:rsid w:val="00583747"/>
    <w:rsid w:val="00583786"/>
    <w:rsid w:val="00583814"/>
    <w:rsid w:val="00583881"/>
    <w:rsid w:val="00583EC8"/>
    <w:rsid w:val="0058413E"/>
    <w:rsid w:val="005841C5"/>
    <w:rsid w:val="005841D7"/>
    <w:rsid w:val="005841F5"/>
    <w:rsid w:val="00584388"/>
    <w:rsid w:val="0058467B"/>
    <w:rsid w:val="00584814"/>
    <w:rsid w:val="00584F07"/>
    <w:rsid w:val="00585045"/>
    <w:rsid w:val="00585903"/>
    <w:rsid w:val="00585973"/>
    <w:rsid w:val="005859B6"/>
    <w:rsid w:val="00586085"/>
    <w:rsid w:val="005860CF"/>
    <w:rsid w:val="0058632D"/>
    <w:rsid w:val="00586642"/>
    <w:rsid w:val="00586972"/>
    <w:rsid w:val="0058699B"/>
    <w:rsid w:val="00586EF2"/>
    <w:rsid w:val="005872CD"/>
    <w:rsid w:val="005876F8"/>
    <w:rsid w:val="0058775B"/>
    <w:rsid w:val="00587BE3"/>
    <w:rsid w:val="00587CAB"/>
    <w:rsid w:val="00587CE2"/>
    <w:rsid w:val="00590183"/>
    <w:rsid w:val="00590356"/>
    <w:rsid w:val="005905F0"/>
    <w:rsid w:val="005909E3"/>
    <w:rsid w:val="00590A33"/>
    <w:rsid w:val="00590FF7"/>
    <w:rsid w:val="0059117F"/>
    <w:rsid w:val="00591366"/>
    <w:rsid w:val="00591587"/>
    <w:rsid w:val="005917AB"/>
    <w:rsid w:val="00591967"/>
    <w:rsid w:val="00591C16"/>
    <w:rsid w:val="00591E78"/>
    <w:rsid w:val="00591FED"/>
    <w:rsid w:val="0059200B"/>
    <w:rsid w:val="005920D0"/>
    <w:rsid w:val="00592309"/>
    <w:rsid w:val="00592525"/>
    <w:rsid w:val="005927D7"/>
    <w:rsid w:val="00592D6D"/>
    <w:rsid w:val="005930F2"/>
    <w:rsid w:val="00593589"/>
    <w:rsid w:val="00593629"/>
    <w:rsid w:val="0059379F"/>
    <w:rsid w:val="00593871"/>
    <w:rsid w:val="00593A86"/>
    <w:rsid w:val="00593C39"/>
    <w:rsid w:val="00593DB5"/>
    <w:rsid w:val="00593EEE"/>
    <w:rsid w:val="005942E7"/>
    <w:rsid w:val="005945A5"/>
    <w:rsid w:val="0059477A"/>
    <w:rsid w:val="0059477B"/>
    <w:rsid w:val="00594793"/>
    <w:rsid w:val="00594D7D"/>
    <w:rsid w:val="005955AE"/>
    <w:rsid w:val="00595759"/>
    <w:rsid w:val="00595826"/>
    <w:rsid w:val="00595A5B"/>
    <w:rsid w:val="00595CFC"/>
    <w:rsid w:val="00595F34"/>
    <w:rsid w:val="0059611E"/>
    <w:rsid w:val="005963F6"/>
    <w:rsid w:val="005964F9"/>
    <w:rsid w:val="005968AF"/>
    <w:rsid w:val="0059698B"/>
    <w:rsid w:val="00596C48"/>
    <w:rsid w:val="00596D03"/>
    <w:rsid w:val="00596E37"/>
    <w:rsid w:val="00596ED8"/>
    <w:rsid w:val="00597021"/>
    <w:rsid w:val="0059705F"/>
    <w:rsid w:val="005972D8"/>
    <w:rsid w:val="00597674"/>
    <w:rsid w:val="00597766"/>
    <w:rsid w:val="00597820"/>
    <w:rsid w:val="00597B28"/>
    <w:rsid w:val="00597DCA"/>
    <w:rsid w:val="00597DE1"/>
    <w:rsid w:val="00597FEC"/>
    <w:rsid w:val="005A00DB"/>
    <w:rsid w:val="005A02DA"/>
    <w:rsid w:val="005A03E7"/>
    <w:rsid w:val="005A0710"/>
    <w:rsid w:val="005A07E9"/>
    <w:rsid w:val="005A0916"/>
    <w:rsid w:val="005A0A70"/>
    <w:rsid w:val="005A0F91"/>
    <w:rsid w:val="005A10FD"/>
    <w:rsid w:val="005A140B"/>
    <w:rsid w:val="005A1559"/>
    <w:rsid w:val="005A1597"/>
    <w:rsid w:val="005A1C7E"/>
    <w:rsid w:val="005A20AA"/>
    <w:rsid w:val="005A21E0"/>
    <w:rsid w:val="005A21E9"/>
    <w:rsid w:val="005A225E"/>
    <w:rsid w:val="005A23FC"/>
    <w:rsid w:val="005A2414"/>
    <w:rsid w:val="005A27CB"/>
    <w:rsid w:val="005A2873"/>
    <w:rsid w:val="005A2C58"/>
    <w:rsid w:val="005A2ECB"/>
    <w:rsid w:val="005A2ECC"/>
    <w:rsid w:val="005A3220"/>
    <w:rsid w:val="005A33BD"/>
    <w:rsid w:val="005A3502"/>
    <w:rsid w:val="005A36F6"/>
    <w:rsid w:val="005A3876"/>
    <w:rsid w:val="005A3912"/>
    <w:rsid w:val="005A3D5C"/>
    <w:rsid w:val="005A409C"/>
    <w:rsid w:val="005A4148"/>
    <w:rsid w:val="005A45F4"/>
    <w:rsid w:val="005A4717"/>
    <w:rsid w:val="005A4F62"/>
    <w:rsid w:val="005A5256"/>
    <w:rsid w:val="005A52F3"/>
    <w:rsid w:val="005A5A12"/>
    <w:rsid w:val="005A5C75"/>
    <w:rsid w:val="005A5FBC"/>
    <w:rsid w:val="005A5FC5"/>
    <w:rsid w:val="005A634A"/>
    <w:rsid w:val="005A6569"/>
    <w:rsid w:val="005A6761"/>
    <w:rsid w:val="005A67BF"/>
    <w:rsid w:val="005A6B37"/>
    <w:rsid w:val="005A6B59"/>
    <w:rsid w:val="005A6BA0"/>
    <w:rsid w:val="005A6DFF"/>
    <w:rsid w:val="005A6F49"/>
    <w:rsid w:val="005A6FC0"/>
    <w:rsid w:val="005A70F8"/>
    <w:rsid w:val="005A7165"/>
    <w:rsid w:val="005A7392"/>
    <w:rsid w:val="005A74B4"/>
    <w:rsid w:val="005A768D"/>
    <w:rsid w:val="005A7782"/>
    <w:rsid w:val="005A787C"/>
    <w:rsid w:val="005A78E3"/>
    <w:rsid w:val="005A7952"/>
    <w:rsid w:val="005A7A32"/>
    <w:rsid w:val="005B03E8"/>
    <w:rsid w:val="005B08C1"/>
    <w:rsid w:val="005B0E35"/>
    <w:rsid w:val="005B0E56"/>
    <w:rsid w:val="005B0FF7"/>
    <w:rsid w:val="005B1131"/>
    <w:rsid w:val="005B1713"/>
    <w:rsid w:val="005B195E"/>
    <w:rsid w:val="005B1ADF"/>
    <w:rsid w:val="005B1BEF"/>
    <w:rsid w:val="005B1EA4"/>
    <w:rsid w:val="005B2010"/>
    <w:rsid w:val="005B20B4"/>
    <w:rsid w:val="005B20D7"/>
    <w:rsid w:val="005B2178"/>
    <w:rsid w:val="005B22F1"/>
    <w:rsid w:val="005B27F4"/>
    <w:rsid w:val="005B2EAC"/>
    <w:rsid w:val="005B3087"/>
    <w:rsid w:val="005B322F"/>
    <w:rsid w:val="005B3397"/>
    <w:rsid w:val="005B34F4"/>
    <w:rsid w:val="005B35D7"/>
    <w:rsid w:val="005B3BAF"/>
    <w:rsid w:val="005B3C8B"/>
    <w:rsid w:val="005B3DFD"/>
    <w:rsid w:val="005B4144"/>
    <w:rsid w:val="005B4623"/>
    <w:rsid w:val="005B48D7"/>
    <w:rsid w:val="005B4AF9"/>
    <w:rsid w:val="005B4D7C"/>
    <w:rsid w:val="005B50CE"/>
    <w:rsid w:val="005B54F8"/>
    <w:rsid w:val="005B5D61"/>
    <w:rsid w:val="005B6434"/>
    <w:rsid w:val="005B68BE"/>
    <w:rsid w:val="005B7383"/>
    <w:rsid w:val="005B768B"/>
    <w:rsid w:val="005B76CD"/>
    <w:rsid w:val="005B7872"/>
    <w:rsid w:val="005B790C"/>
    <w:rsid w:val="005B79E5"/>
    <w:rsid w:val="005B7BB5"/>
    <w:rsid w:val="005B7BB7"/>
    <w:rsid w:val="005B7DB3"/>
    <w:rsid w:val="005B7E32"/>
    <w:rsid w:val="005B7E74"/>
    <w:rsid w:val="005B7FEB"/>
    <w:rsid w:val="005C0374"/>
    <w:rsid w:val="005C06C6"/>
    <w:rsid w:val="005C0AA8"/>
    <w:rsid w:val="005C0B0C"/>
    <w:rsid w:val="005C1092"/>
    <w:rsid w:val="005C10DC"/>
    <w:rsid w:val="005C1106"/>
    <w:rsid w:val="005C17BD"/>
    <w:rsid w:val="005C1813"/>
    <w:rsid w:val="005C19C4"/>
    <w:rsid w:val="005C2493"/>
    <w:rsid w:val="005C27BA"/>
    <w:rsid w:val="005C2B0C"/>
    <w:rsid w:val="005C2EB0"/>
    <w:rsid w:val="005C2F87"/>
    <w:rsid w:val="005C33BD"/>
    <w:rsid w:val="005C3817"/>
    <w:rsid w:val="005C386F"/>
    <w:rsid w:val="005C3D03"/>
    <w:rsid w:val="005C3F87"/>
    <w:rsid w:val="005C4432"/>
    <w:rsid w:val="005C46AE"/>
    <w:rsid w:val="005C48BA"/>
    <w:rsid w:val="005C4929"/>
    <w:rsid w:val="005C4AEA"/>
    <w:rsid w:val="005C4BD1"/>
    <w:rsid w:val="005C4EC3"/>
    <w:rsid w:val="005C4F96"/>
    <w:rsid w:val="005C5315"/>
    <w:rsid w:val="005C5584"/>
    <w:rsid w:val="005C55A7"/>
    <w:rsid w:val="005C576A"/>
    <w:rsid w:val="005C5795"/>
    <w:rsid w:val="005C57AD"/>
    <w:rsid w:val="005C57FE"/>
    <w:rsid w:val="005C5B4F"/>
    <w:rsid w:val="005C64DC"/>
    <w:rsid w:val="005C65B6"/>
    <w:rsid w:val="005C68DE"/>
    <w:rsid w:val="005C6A18"/>
    <w:rsid w:val="005C6A56"/>
    <w:rsid w:val="005C6C98"/>
    <w:rsid w:val="005C6D2A"/>
    <w:rsid w:val="005C703E"/>
    <w:rsid w:val="005C7270"/>
    <w:rsid w:val="005C763A"/>
    <w:rsid w:val="005C76A2"/>
    <w:rsid w:val="005C7917"/>
    <w:rsid w:val="005C7FC2"/>
    <w:rsid w:val="005D04C5"/>
    <w:rsid w:val="005D099D"/>
    <w:rsid w:val="005D09F0"/>
    <w:rsid w:val="005D0B0B"/>
    <w:rsid w:val="005D0B88"/>
    <w:rsid w:val="005D1470"/>
    <w:rsid w:val="005D14D3"/>
    <w:rsid w:val="005D1713"/>
    <w:rsid w:val="005D183C"/>
    <w:rsid w:val="005D198E"/>
    <w:rsid w:val="005D19F5"/>
    <w:rsid w:val="005D1A79"/>
    <w:rsid w:val="005D20B7"/>
    <w:rsid w:val="005D2534"/>
    <w:rsid w:val="005D27B7"/>
    <w:rsid w:val="005D280F"/>
    <w:rsid w:val="005D2C97"/>
    <w:rsid w:val="005D2E8E"/>
    <w:rsid w:val="005D31A0"/>
    <w:rsid w:val="005D324D"/>
    <w:rsid w:val="005D37FE"/>
    <w:rsid w:val="005D38B1"/>
    <w:rsid w:val="005D3B72"/>
    <w:rsid w:val="005D3E02"/>
    <w:rsid w:val="005D3ED8"/>
    <w:rsid w:val="005D3FDB"/>
    <w:rsid w:val="005D4188"/>
    <w:rsid w:val="005D4215"/>
    <w:rsid w:val="005D4927"/>
    <w:rsid w:val="005D4B8A"/>
    <w:rsid w:val="005D4D35"/>
    <w:rsid w:val="005D4D46"/>
    <w:rsid w:val="005D53C8"/>
    <w:rsid w:val="005D58C7"/>
    <w:rsid w:val="005D5EC0"/>
    <w:rsid w:val="005D6016"/>
    <w:rsid w:val="005D6106"/>
    <w:rsid w:val="005D6256"/>
    <w:rsid w:val="005D62E1"/>
    <w:rsid w:val="005D666E"/>
    <w:rsid w:val="005D68B2"/>
    <w:rsid w:val="005D6E42"/>
    <w:rsid w:val="005D7051"/>
    <w:rsid w:val="005D7081"/>
    <w:rsid w:val="005D7416"/>
    <w:rsid w:val="005D7422"/>
    <w:rsid w:val="005D7489"/>
    <w:rsid w:val="005D755A"/>
    <w:rsid w:val="005D7588"/>
    <w:rsid w:val="005D7914"/>
    <w:rsid w:val="005D7B7D"/>
    <w:rsid w:val="005D7DFA"/>
    <w:rsid w:val="005D7FBC"/>
    <w:rsid w:val="005E00A1"/>
    <w:rsid w:val="005E0176"/>
    <w:rsid w:val="005E054C"/>
    <w:rsid w:val="005E07F2"/>
    <w:rsid w:val="005E09BB"/>
    <w:rsid w:val="005E1020"/>
    <w:rsid w:val="005E11E6"/>
    <w:rsid w:val="005E142B"/>
    <w:rsid w:val="005E16EF"/>
    <w:rsid w:val="005E1991"/>
    <w:rsid w:val="005E2211"/>
    <w:rsid w:val="005E2455"/>
    <w:rsid w:val="005E24E9"/>
    <w:rsid w:val="005E280C"/>
    <w:rsid w:val="005E2995"/>
    <w:rsid w:val="005E3142"/>
    <w:rsid w:val="005E3519"/>
    <w:rsid w:val="005E35CA"/>
    <w:rsid w:val="005E3664"/>
    <w:rsid w:val="005E390A"/>
    <w:rsid w:val="005E3CCD"/>
    <w:rsid w:val="005E3E65"/>
    <w:rsid w:val="005E400B"/>
    <w:rsid w:val="005E4277"/>
    <w:rsid w:val="005E459C"/>
    <w:rsid w:val="005E467C"/>
    <w:rsid w:val="005E46D7"/>
    <w:rsid w:val="005E474F"/>
    <w:rsid w:val="005E4F4E"/>
    <w:rsid w:val="005E4F8C"/>
    <w:rsid w:val="005E501D"/>
    <w:rsid w:val="005E5277"/>
    <w:rsid w:val="005E5733"/>
    <w:rsid w:val="005E6377"/>
    <w:rsid w:val="005E65AE"/>
    <w:rsid w:val="005E6666"/>
    <w:rsid w:val="005E66E2"/>
    <w:rsid w:val="005E68A5"/>
    <w:rsid w:val="005E6A2A"/>
    <w:rsid w:val="005E6AFC"/>
    <w:rsid w:val="005E6CC6"/>
    <w:rsid w:val="005E6DDE"/>
    <w:rsid w:val="005E6E62"/>
    <w:rsid w:val="005E7187"/>
    <w:rsid w:val="005E7A43"/>
    <w:rsid w:val="005E7AA2"/>
    <w:rsid w:val="005E7CEE"/>
    <w:rsid w:val="005F0063"/>
    <w:rsid w:val="005F0342"/>
    <w:rsid w:val="005F04B0"/>
    <w:rsid w:val="005F0565"/>
    <w:rsid w:val="005F07C2"/>
    <w:rsid w:val="005F0BF2"/>
    <w:rsid w:val="005F0CBC"/>
    <w:rsid w:val="005F0D52"/>
    <w:rsid w:val="005F104F"/>
    <w:rsid w:val="005F1167"/>
    <w:rsid w:val="005F122D"/>
    <w:rsid w:val="005F130F"/>
    <w:rsid w:val="005F1380"/>
    <w:rsid w:val="005F13B2"/>
    <w:rsid w:val="005F142E"/>
    <w:rsid w:val="005F1635"/>
    <w:rsid w:val="005F168D"/>
    <w:rsid w:val="005F1727"/>
    <w:rsid w:val="005F1A92"/>
    <w:rsid w:val="005F1C42"/>
    <w:rsid w:val="005F1F24"/>
    <w:rsid w:val="005F1F7D"/>
    <w:rsid w:val="005F2010"/>
    <w:rsid w:val="005F2230"/>
    <w:rsid w:val="005F25F0"/>
    <w:rsid w:val="005F264D"/>
    <w:rsid w:val="005F2685"/>
    <w:rsid w:val="005F2E2C"/>
    <w:rsid w:val="005F31CF"/>
    <w:rsid w:val="005F320D"/>
    <w:rsid w:val="005F3274"/>
    <w:rsid w:val="005F34C1"/>
    <w:rsid w:val="005F34C3"/>
    <w:rsid w:val="005F3792"/>
    <w:rsid w:val="005F3C77"/>
    <w:rsid w:val="005F3D97"/>
    <w:rsid w:val="005F4018"/>
    <w:rsid w:val="005F4066"/>
    <w:rsid w:val="005F4145"/>
    <w:rsid w:val="005F42EF"/>
    <w:rsid w:val="005F4406"/>
    <w:rsid w:val="005F44F3"/>
    <w:rsid w:val="005F4856"/>
    <w:rsid w:val="005F48D2"/>
    <w:rsid w:val="005F4B49"/>
    <w:rsid w:val="005F4D3D"/>
    <w:rsid w:val="005F4FD5"/>
    <w:rsid w:val="005F5003"/>
    <w:rsid w:val="005F504B"/>
    <w:rsid w:val="005F565C"/>
    <w:rsid w:val="005F5ED6"/>
    <w:rsid w:val="005F669E"/>
    <w:rsid w:val="005F68C5"/>
    <w:rsid w:val="005F6CC2"/>
    <w:rsid w:val="005F6DAA"/>
    <w:rsid w:val="005F6DAC"/>
    <w:rsid w:val="005F6E33"/>
    <w:rsid w:val="005F722A"/>
    <w:rsid w:val="005F74EC"/>
    <w:rsid w:val="005F764B"/>
    <w:rsid w:val="005F7B12"/>
    <w:rsid w:val="005F7B1F"/>
    <w:rsid w:val="0060007C"/>
    <w:rsid w:val="00600332"/>
    <w:rsid w:val="0060036A"/>
    <w:rsid w:val="00600706"/>
    <w:rsid w:val="006009EE"/>
    <w:rsid w:val="00600A38"/>
    <w:rsid w:val="00600B1B"/>
    <w:rsid w:val="00600BF5"/>
    <w:rsid w:val="00600F29"/>
    <w:rsid w:val="0060187E"/>
    <w:rsid w:val="00601BF0"/>
    <w:rsid w:val="0060221F"/>
    <w:rsid w:val="0060225C"/>
    <w:rsid w:val="00602344"/>
    <w:rsid w:val="006026A9"/>
    <w:rsid w:val="00602D09"/>
    <w:rsid w:val="00602DA3"/>
    <w:rsid w:val="00602F24"/>
    <w:rsid w:val="006033FF"/>
    <w:rsid w:val="00603ECE"/>
    <w:rsid w:val="006042C9"/>
    <w:rsid w:val="00604371"/>
    <w:rsid w:val="0060446C"/>
    <w:rsid w:val="006045A2"/>
    <w:rsid w:val="00604A19"/>
    <w:rsid w:val="00604B48"/>
    <w:rsid w:val="00604F87"/>
    <w:rsid w:val="006052B7"/>
    <w:rsid w:val="006054DA"/>
    <w:rsid w:val="006057A4"/>
    <w:rsid w:val="006059B3"/>
    <w:rsid w:val="00605AB1"/>
    <w:rsid w:val="00605C90"/>
    <w:rsid w:val="006060BB"/>
    <w:rsid w:val="0060619D"/>
    <w:rsid w:val="00606226"/>
    <w:rsid w:val="006069E3"/>
    <w:rsid w:val="00606C6E"/>
    <w:rsid w:val="00606DBF"/>
    <w:rsid w:val="00606EE6"/>
    <w:rsid w:val="0060784E"/>
    <w:rsid w:val="00607882"/>
    <w:rsid w:val="00607B1F"/>
    <w:rsid w:val="00607EBA"/>
    <w:rsid w:val="00607F55"/>
    <w:rsid w:val="006104BA"/>
    <w:rsid w:val="00610563"/>
    <w:rsid w:val="00610CB4"/>
    <w:rsid w:val="00610D45"/>
    <w:rsid w:val="00610F16"/>
    <w:rsid w:val="006110D7"/>
    <w:rsid w:val="0061162F"/>
    <w:rsid w:val="00611F6F"/>
    <w:rsid w:val="00612535"/>
    <w:rsid w:val="0061263F"/>
    <w:rsid w:val="006127BC"/>
    <w:rsid w:val="00612993"/>
    <w:rsid w:val="00612B4C"/>
    <w:rsid w:val="00612CB2"/>
    <w:rsid w:val="00612D28"/>
    <w:rsid w:val="0061309E"/>
    <w:rsid w:val="006130CA"/>
    <w:rsid w:val="006131B2"/>
    <w:rsid w:val="00613988"/>
    <w:rsid w:val="006139A9"/>
    <w:rsid w:val="00613BBC"/>
    <w:rsid w:val="00613C3E"/>
    <w:rsid w:val="00613C8F"/>
    <w:rsid w:val="00613EF2"/>
    <w:rsid w:val="006140C8"/>
    <w:rsid w:val="006141F9"/>
    <w:rsid w:val="0061423A"/>
    <w:rsid w:val="006142C5"/>
    <w:rsid w:val="0061468D"/>
    <w:rsid w:val="00614748"/>
    <w:rsid w:val="0061492A"/>
    <w:rsid w:val="00614B9D"/>
    <w:rsid w:val="0061521C"/>
    <w:rsid w:val="006152C6"/>
    <w:rsid w:val="00615426"/>
    <w:rsid w:val="006156C6"/>
    <w:rsid w:val="0061593D"/>
    <w:rsid w:val="00615C1E"/>
    <w:rsid w:val="00615C22"/>
    <w:rsid w:val="00615DEC"/>
    <w:rsid w:val="00615DF2"/>
    <w:rsid w:val="00615FF5"/>
    <w:rsid w:val="00616690"/>
    <w:rsid w:val="006166F8"/>
    <w:rsid w:val="00616B0C"/>
    <w:rsid w:val="00617024"/>
    <w:rsid w:val="0061705E"/>
    <w:rsid w:val="006173E1"/>
    <w:rsid w:val="00617405"/>
    <w:rsid w:val="00617569"/>
    <w:rsid w:val="00617585"/>
    <w:rsid w:val="00617884"/>
    <w:rsid w:val="0061797E"/>
    <w:rsid w:val="00617B79"/>
    <w:rsid w:val="00620249"/>
    <w:rsid w:val="00620552"/>
    <w:rsid w:val="00620832"/>
    <w:rsid w:val="00620B1B"/>
    <w:rsid w:val="00620DA9"/>
    <w:rsid w:val="0062113D"/>
    <w:rsid w:val="006217D9"/>
    <w:rsid w:val="006219F7"/>
    <w:rsid w:val="00621A7A"/>
    <w:rsid w:val="00621AC9"/>
    <w:rsid w:val="00621AEB"/>
    <w:rsid w:val="00621F59"/>
    <w:rsid w:val="00622020"/>
    <w:rsid w:val="006220AE"/>
    <w:rsid w:val="00622528"/>
    <w:rsid w:val="006225AC"/>
    <w:rsid w:val="006228E4"/>
    <w:rsid w:val="006229F6"/>
    <w:rsid w:val="00622A6E"/>
    <w:rsid w:val="00622C26"/>
    <w:rsid w:val="00622D2F"/>
    <w:rsid w:val="00623040"/>
    <w:rsid w:val="006232CD"/>
    <w:rsid w:val="00623338"/>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AB7"/>
    <w:rsid w:val="00625AD5"/>
    <w:rsid w:val="00625B17"/>
    <w:rsid w:val="00626243"/>
    <w:rsid w:val="00626393"/>
    <w:rsid w:val="006263BB"/>
    <w:rsid w:val="00626871"/>
    <w:rsid w:val="006268A1"/>
    <w:rsid w:val="00626B2E"/>
    <w:rsid w:val="00627232"/>
    <w:rsid w:val="00627259"/>
    <w:rsid w:val="00627317"/>
    <w:rsid w:val="00627324"/>
    <w:rsid w:val="00627AE2"/>
    <w:rsid w:val="00627CA5"/>
    <w:rsid w:val="00627DDE"/>
    <w:rsid w:val="00627E2B"/>
    <w:rsid w:val="00627E5A"/>
    <w:rsid w:val="00627EDA"/>
    <w:rsid w:val="0063000D"/>
    <w:rsid w:val="00630042"/>
    <w:rsid w:val="00630108"/>
    <w:rsid w:val="00630199"/>
    <w:rsid w:val="006302F1"/>
    <w:rsid w:val="0063049C"/>
    <w:rsid w:val="006307B3"/>
    <w:rsid w:val="00630873"/>
    <w:rsid w:val="006308DB"/>
    <w:rsid w:val="00630ABA"/>
    <w:rsid w:val="0063104A"/>
    <w:rsid w:val="006310AE"/>
    <w:rsid w:val="00631144"/>
    <w:rsid w:val="00631199"/>
    <w:rsid w:val="006311C1"/>
    <w:rsid w:val="00631A5F"/>
    <w:rsid w:val="00631A80"/>
    <w:rsid w:val="00631BA5"/>
    <w:rsid w:val="00631C23"/>
    <w:rsid w:val="00631D66"/>
    <w:rsid w:val="00631E0A"/>
    <w:rsid w:val="00631F5A"/>
    <w:rsid w:val="00632145"/>
    <w:rsid w:val="0063218C"/>
    <w:rsid w:val="00632382"/>
    <w:rsid w:val="0063240C"/>
    <w:rsid w:val="006326F9"/>
    <w:rsid w:val="006328ED"/>
    <w:rsid w:val="00632A42"/>
    <w:rsid w:val="00632BCD"/>
    <w:rsid w:val="00632BE3"/>
    <w:rsid w:val="00632F4B"/>
    <w:rsid w:val="00633012"/>
    <w:rsid w:val="006330BC"/>
    <w:rsid w:val="00633553"/>
    <w:rsid w:val="0063363C"/>
    <w:rsid w:val="006336EB"/>
    <w:rsid w:val="00633978"/>
    <w:rsid w:val="00633BD5"/>
    <w:rsid w:val="00633D13"/>
    <w:rsid w:val="00633F47"/>
    <w:rsid w:val="00633FA4"/>
    <w:rsid w:val="006342A8"/>
    <w:rsid w:val="006345B4"/>
    <w:rsid w:val="006345BE"/>
    <w:rsid w:val="0063487A"/>
    <w:rsid w:val="00634A1E"/>
    <w:rsid w:val="00634CCD"/>
    <w:rsid w:val="00634E37"/>
    <w:rsid w:val="0063525A"/>
    <w:rsid w:val="00635610"/>
    <w:rsid w:val="006357B9"/>
    <w:rsid w:val="0063585D"/>
    <w:rsid w:val="00635C17"/>
    <w:rsid w:val="006361B8"/>
    <w:rsid w:val="00636443"/>
    <w:rsid w:val="0063662E"/>
    <w:rsid w:val="006366C5"/>
    <w:rsid w:val="006366CE"/>
    <w:rsid w:val="006366E2"/>
    <w:rsid w:val="00636A76"/>
    <w:rsid w:val="00636B19"/>
    <w:rsid w:val="00636B30"/>
    <w:rsid w:val="00636C4F"/>
    <w:rsid w:val="00636CCC"/>
    <w:rsid w:val="00637289"/>
    <w:rsid w:val="00637464"/>
    <w:rsid w:val="0063763E"/>
    <w:rsid w:val="006376A9"/>
    <w:rsid w:val="006378C2"/>
    <w:rsid w:val="00637C50"/>
    <w:rsid w:val="00637F56"/>
    <w:rsid w:val="00640473"/>
    <w:rsid w:val="0064050D"/>
    <w:rsid w:val="006406D8"/>
    <w:rsid w:val="006407E7"/>
    <w:rsid w:val="00640806"/>
    <w:rsid w:val="00640856"/>
    <w:rsid w:val="006408C0"/>
    <w:rsid w:val="00640932"/>
    <w:rsid w:val="00640D25"/>
    <w:rsid w:val="00640E79"/>
    <w:rsid w:val="00640F30"/>
    <w:rsid w:val="006412B2"/>
    <w:rsid w:val="00641426"/>
    <w:rsid w:val="00641896"/>
    <w:rsid w:val="00641B70"/>
    <w:rsid w:val="00641C07"/>
    <w:rsid w:val="00641D6E"/>
    <w:rsid w:val="00641FD9"/>
    <w:rsid w:val="0064245F"/>
    <w:rsid w:val="00642BBE"/>
    <w:rsid w:val="00642D40"/>
    <w:rsid w:val="00642EC9"/>
    <w:rsid w:val="00642F2C"/>
    <w:rsid w:val="0064322C"/>
    <w:rsid w:val="0064330D"/>
    <w:rsid w:val="00643BC3"/>
    <w:rsid w:val="00643C07"/>
    <w:rsid w:val="00643C13"/>
    <w:rsid w:val="00643C5B"/>
    <w:rsid w:val="00643DE8"/>
    <w:rsid w:val="00643FB8"/>
    <w:rsid w:val="00644026"/>
    <w:rsid w:val="006444B2"/>
    <w:rsid w:val="006444CE"/>
    <w:rsid w:val="00644B61"/>
    <w:rsid w:val="00644BC3"/>
    <w:rsid w:val="00644CC7"/>
    <w:rsid w:val="00644F42"/>
    <w:rsid w:val="0064531E"/>
    <w:rsid w:val="00645436"/>
    <w:rsid w:val="00645569"/>
    <w:rsid w:val="006456E5"/>
    <w:rsid w:val="00645C61"/>
    <w:rsid w:val="00645D95"/>
    <w:rsid w:val="0064698B"/>
    <w:rsid w:val="006469F0"/>
    <w:rsid w:val="00647542"/>
    <w:rsid w:val="0064754D"/>
    <w:rsid w:val="006475D3"/>
    <w:rsid w:val="006475DF"/>
    <w:rsid w:val="006477EC"/>
    <w:rsid w:val="006479AA"/>
    <w:rsid w:val="006479BD"/>
    <w:rsid w:val="00647B0D"/>
    <w:rsid w:val="00647D6A"/>
    <w:rsid w:val="00650738"/>
    <w:rsid w:val="006509F9"/>
    <w:rsid w:val="00650B6F"/>
    <w:rsid w:val="00650B9D"/>
    <w:rsid w:val="00650F34"/>
    <w:rsid w:val="00651243"/>
    <w:rsid w:val="006514A4"/>
    <w:rsid w:val="006514B0"/>
    <w:rsid w:val="006514EE"/>
    <w:rsid w:val="00651790"/>
    <w:rsid w:val="006518B9"/>
    <w:rsid w:val="006519CE"/>
    <w:rsid w:val="00651B05"/>
    <w:rsid w:val="00651DBA"/>
    <w:rsid w:val="00651E17"/>
    <w:rsid w:val="006522EE"/>
    <w:rsid w:val="006525DB"/>
    <w:rsid w:val="00652613"/>
    <w:rsid w:val="00652D98"/>
    <w:rsid w:val="00653141"/>
    <w:rsid w:val="0065323D"/>
    <w:rsid w:val="00653385"/>
    <w:rsid w:val="0065343D"/>
    <w:rsid w:val="0065348B"/>
    <w:rsid w:val="00653648"/>
    <w:rsid w:val="00653988"/>
    <w:rsid w:val="00653C95"/>
    <w:rsid w:val="00653E12"/>
    <w:rsid w:val="006540ED"/>
    <w:rsid w:val="00654205"/>
    <w:rsid w:val="00654212"/>
    <w:rsid w:val="0065427D"/>
    <w:rsid w:val="0065439E"/>
    <w:rsid w:val="006549F5"/>
    <w:rsid w:val="00654AE8"/>
    <w:rsid w:val="00654CE2"/>
    <w:rsid w:val="00654E3C"/>
    <w:rsid w:val="00654F6D"/>
    <w:rsid w:val="006550C5"/>
    <w:rsid w:val="0065528E"/>
    <w:rsid w:val="006553D7"/>
    <w:rsid w:val="0065543B"/>
    <w:rsid w:val="00655545"/>
    <w:rsid w:val="00655FEF"/>
    <w:rsid w:val="00656133"/>
    <w:rsid w:val="006561B8"/>
    <w:rsid w:val="00656237"/>
    <w:rsid w:val="006562B6"/>
    <w:rsid w:val="006569FF"/>
    <w:rsid w:val="00656B53"/>
    <w:rsid w:val="00657205"/>
    <w:rsid w:val="00657247"/>
    <w:rsid w:val="006575A4"/>
    <w:rsid w:val="0065765D"/>
    <w:rsid w:val="00657683"/>
    <w:rsid w:val="006579BD"/>
    <w:rsid w:val="00657C51"/>
    <w:rsid w:val="00657D10"/>
    <w:rsid w:val="00657D88"/>
    <w:rsid w:val="00657E0A"/>
    <w:rsid w:val="00657EB8"/>
    <w:rsid w:val="00660171"/>
    <w:rsid w:val="00660CEE"/>
    <w:rsid w:val="00660CF0"/>
    <w:rsid w:val="00660DB1"/>
    <w:rsid w:val="00660ED2"/>
    <w:rsid w:val="00661098"/>
    <w:rsid w:val="0066122F"/>
    <w:rsid w:val="006615A0"/>
    <w:rsid w:val="006615B5"/>
    <w:rsid w:val="006619B5"/>
    <w:rsid w:val="00661A3A"/>
    <w:rsid w:val="00661E24"/>
    <w:rsid w:val="00661EEF"/>
    <w:rsid w:val="00662161"/>
    <w:rsid w:val="00662412"/>
    <w:rsid w:val="00662637"/>
    <w:rsid w:val="00662731"/>
    <w:rsid w:val="00662957"/>
    <w:rsid w:val="00662B45"/>
    <w:rsid w:val="00662DAE"/>
    <w:rsid w:val="00662FA7"/>
    <w:rsid w:val="0066301E"/>
    <w:rsid w:val="00663387"/>
    <w:rsid w:val="006633BE"/>
    <w:rsid w:val="006636FB"/>
    <w:rsid w:val="00663727"/>
    <w:rsid w:val="0066385A"/>
    <w:rsid w:val="00663B92"/>
    <w:rsid w:val="006640CF"/>
    <w:rsid w:val="00664180"/>
    <w:rsid w:val="00664386"/>
    <w:rsid w:val="00664419"/>
    <w:rsid w:val="00664592"/>
    <w:rsid w:val="00664877"/>
    <w:rsid w:val="006648B7"/>
    <w:rsid w:val="00664903"/>
    <w:rsid w:val="006649BC"/>
    <w:rsid w:val="00664B42"/>
    <w:rsid w:val="006651BC"/>
    <w:rsid w:val="00665257"/>
    <w:rsid w:val="0066529B"/>
    <w:rsid w:val="00665319"/>
    <w:rsid w:val="00665396"/>
    <w:rsid w:val="006653AC"/>
    <w:rsid w:val="00665872"/>
    <w:rsid w:val="00665BBA"/>
    <w:rsid w:val="00665BC8"/>
    <w:rsid w:val="00665CED"/>
    <w:rsid w:val="00665DAD"/>
    <w:rsid w:val="0066660B"/>
    <w:rsid w:val="00666854"/>
    <w:rsid w:val="00666B85"/>
    <w:rsid w:val="00666BE7"/>
    <w:rsid w:val="00666F05"/>
    <w:rsid w:val="00666FF1"/>
    <w:rsid w:val="00667070"/>
    <w:rsid w:val="006674CC"/>
    <w:rsid w:val="00667651"/>
    <w:rsid w:val="006676D7"/>
    <w:rsid w:val="00667773"/>
    <w:rsid w:val="006677CD"/>
    <w:rsid w:val="00667814"/>
    <w:rsid w:val="00667A32"/>
    <w:rsid w:val="00667B1B"/>
    <w:rsid w:val="00667D00"/>
    <w:rsid w:val="00667F7F"/>
    <w:rsid w:val="00667F99"/>
    <w:rsid w:val="0067037B"/>
    <w:rsid w:val="0067062C"/>
    <w:rsid w:val="00671372"/>
    <w:rsid w:val="00671476"/>
    <w:rsid w:val="006715BD"/>
    <w:rsid w:val="006715CC"/>
    <w:rsid w:val="006718A8"/>
    <w:rsid w:val="00671900"/>
    <w:rsid w:val="00671BD1"/>
    <w:rsid w:val="00671C9C"/>
    <w:rsid w:val="006723C1"/>
    <w:rsid w:val="006723E8"/>
    <w:rsid w:val="0067244D"/>
    <w:rsid w:val="00672499"/>
    <w:rsid w:val="006726BC"/>
    <w:rsid w:val="00672715"/>
    <w:rsid w:val="00672942"/>
    <w:rsid w:val="006729C8"/>
    <w:rsid w:val="00672F58"/>
    <w:rsid w:val="006730F5"/>
    <w:rsid w:val="006732D2"/>
    <w:rsid w:val="00673365"/>
    <w:rsid w:val="00673837"/>
    <w:rsid w:val="006739B4"/>
    <w:rsid w:val="006739FD"/>
    <w:rsid w:val="00673B34"/>
    <w:rsid w:val="0067412B"/>
    <w:rsid w:val="006741AF"/>
    <w:rsid w:val="006746E4"/>
    <w:rsid w:val="0067485B"/>
    <w:rsid w:val="006748E7"/>
    <w:rsid w:val="00674F25"/>
    <w:rsid w:val="006750AE"/>
    <w:rsid w:val="00675252"/>
    <w:rsid w:val="006756C1"/>
    <w:rsid w:val="00675AAB"/>
    <w:rsid w:val="00675AF1"/>
    <w:rsid w:val="006761C3"/>
    <w:rsid w:val="0067685A"/>
    <w:rsid w:val="00676C48"/>
    <w:rsid w:val="00676D84"/>
    <w:rsid w:val="006775CA"/>
    <w:rsid w:val="006777A9"/>
    <w:rsid w:val="0067780B"/>
    <w:rsid w:val="00677C06"/>
    <w:rsid w:val="00677E06"/>
    <w:rsid w:val="00677F4A"/>
    <w:rsid w:val="006803A2"/>
    <w:rsid w:val="006808B9"/>
    <w:rsid w:val="0068090C"/>
    <w:rsid w:val="00680986"/>
    <w:rsid w:val="00680A4B"/>
    <w:rsid w:val="00680B4B"/>
    <w:rsid w:val="00680D65"/>
    <w:rsid w:val="006811A4"/>
    <w:rsid w:val="006811E4"/>
    <w:rsid w:val="0068120C"/>
    <w:rsid w:val="00681503"/>
    <w:rsid w:val="0068175E"/>
    <w:rsid w:val="00681B24"/>
    <w:rsid w:val="00681FC9"/>
    <w:rsid w:val="006827A7"/>
    <w:rsid w:val="006828B4"/>
    <w:rsid w:val="0068290A"/>
    <w:rsid w:val="00682F31"/>
    <w:rsid w:val="00683327"/>
    <w:rsid w:val="006833A5"/>
    <w:rsid w:val="006834AB"/>
    <w:rsid w:val="00683523"/>
    <w:rsid w:val="006836BC"/>
    <w:rsid w:val="00683E10"/>
    <w:rsid w:val="00683F2C"/>
    <w:rsid w:val="0068419D"/>
    <w:rsid w:val="006843A5"/>
    <w:rsid w:val="0068495A"/>
    <w:rsid w:val="00684A8C"/>
    <w:rsid w:val="00685036"/>
    <w:rsid w:val="006853EA"/>
    <w:rsid w:val="00685787"/>
    <w:rsid w:val="006858EF"/>
    <w:rsid w:val="00685AE4"/>
    <w:rsid w:val="00685B36"/>
    <w:rsid w:val="00685D55"/>
    <w:rsid w:val="00686195"/>
    <w:rsid w:val="00686524"/>
    <w:rsid w:val="0068663C"/>
    <w:rsid w:val="00686855"/>
    <w:rsid w:val="0068747D"/>
    <w:rsid w:val="00687543"/>
    <w:rsid w:val="00690109"/>
    <w:rsid w:val="00690116"/>
    <w:rsid w:val="00690132"/>
    <w:rsid w:val="006903DC"/>
    <w:rsid w:val="0069073F"/>
    <w:rsid w:val="00690EEE"/>
    <w:rsid w:val="0069103B"/>
    <w:rsid w:val="00691178"/>
    <w:rsid w:val="006911EB"/>
    <w:rsid w:val="00691412"/>
    <w:rsid w:val="0069150F"/>
    <w:rsid w:val="00691861"/>
    <w:rsid w:val="00691BB9"/>
    <w:rsid w:val="00691E9E"/>
    <w:rsid w:val="0069207B"/>
    <w:rsid w:val="00692367"/>
    <w:rsid w:val="0069256A"/>
    <w:rsid w:val="0069258C"/>
    <w:rsid w:val="006925C3"/>
    <w:rsid w:val="00692879"/>
    <w:rsid w:val="0069295D"/>
    <w:rsid w:val="006929C7"/>
    <w:rsid w:val="00692F5D"/>
    <w:rsid w:val="0069322F"/>
    <w:rsid w:val="00693234"/>
    <w:rsid w:val="00693302"/>
    <w:rsid w:val="006933ED"/>
    <w:rsid w:val="0069375E"/>
    <w:rsid w:val="0069393F"/>
    <w:rsid w:val="00693C77"/>
    <w:rsid w:val="00693DE6"/>
    <w:rsid w:val="00693EA0"/>
    <w:rsid w:val="00694107"/>
    <w:rsid w:val="006941D2"/>
    <w:rsid w:val="006942EA"/>
    <w:rsid w:val="006942F1"/>
    <w:rsid w:val="0069464A"/>
    <w:rsid w:val="00694844"/>
    <w:rsid w:val="006949DB"/>
    <w:rsid w:val="00694E33"/>
    <w:rsid w:val="00694EB0"/>
    <w:rsid w:val="00694F13"/>
    <w:rsid w:val="00695316"/>
    <w:rsid w:val="006953E5"/>
    <w:rsid w:val="006956E7"/>
    <w:rsid w:val="00695892"/>
    <w:rsid w:val="006958E0"/>
    <w:rsid w:val="00695A17"/>
    <w:rsid w:val="00695C86"/>
    <w:rsid w:val="006961D0"/>
    <w:rsid w:val="0069660C"/>
    <w:rsid w:val="0069691F"/>
    <w:rsid w:val="00696A7F"/>
    <w:rsid w:val="00696BC3"/>
    <w:rsid w:val="00696C26"/>
    <w:rsid w:val="00696C50"/>
    <w:rsid w:val="00696DB3"/>
    <w:rsid w:val="00696DD6"/>
    <w:rsid w:val="006970B3"/>
    <w:rsid w:val="00697337"/>
    <w:rsid w:val="00697866"/>
    <w:rsid w:val="00697911"/>
    <w:rsid w:val="00697CE7"/>
    <w:rsid w:val="00697EBD"/>
    <w:rsid w:val="00697FC9"/>
    <w:rsid w:val="006A0366"/>
    <w:rsid w:val="006A076B"/>
    <w:rsid w:val="006A084E"/>
    <w:rsid w:val="006A08A8"/>
    <w:rsid w:val="006A08CF"/>
    <w:rsid w:val="006A0A28"/>
    <w:rsid w:val="006A0B48"/>
    <w:rsid w:val="006A0BDA"/>
    <w:rsid w:val="006A108B"/>
    <w:rsid w:val="006A10DA"/>
    <w:rsid w:val="006A1199"/>
    <w:rsid w:val="006A1530"/>
    <w:rsid w:val="006A165A"/>
    <w:rsid w:val="006A1724"/>
    <w:rsid w:val="006A17ED"/>
    <w:rsid w:val="006A1945"/>
    <w:rsid w:val="006A1A9C"/>
    <w:rsid w:val="006A2092"/>
    <w:rsid w:val="006A276C"/>
    <w:rsid w:val="006A2942"/>
    <w:rsid w:val="006A301A"/>
    <w:rsid w:val="006A3270"/>
    <w:rsid w:val="006A331C"/>
    <w:rsid w:val="006A371A"/>
    <w:rsid w:val="006A3963"/>
    <w:rsid w:val="006A3A11"/>
    <w:rsid w:val="006A3CE8"/>
    <w:rsid w:val="006A40C3"/>
    <w:rsid w:val="006A4656"/>
    <w:rsid w:val="006A470C"/>
    <w:rsid w:val="006A4908"/>
    <w:rsid w:val="006A4B39"/>
    <w:rsid w:val="006A5096"/>
    <w:rsid w:val="006A54B3"/>
    <w:rsid w:val="006A57A6"/>
    <w:rsid w:val="006A57F8"/>
    <w:rsid w:val="006A5A8C"/>
    <w:rsid w:val="006A5AB2"/>
    <w:rsid w:val="006A5D59"/>
    <w:rsid w:val="006A5EE1"/>
    <w:rsid w:val="006A600D"/>
    <w:rsid w:val="006A6349"/>
    <w:rsid w:val="006A6882"/>
    <w:rsid w:val="006A69C3"/>
    <w:rsid w:val="006A6B9B"/>
    <w:rsid w:val="006A7303"/>
    <w:rsid w:val="006A7779"/>
    <w:rsid w:val="006A7A97"/>
    <w:rsid w:val="006A7BF8"/>
    <w:rsid w:val="006A7E5B"/>
    <w:rsid w:val="006A7ED9"/>
    <w:rsid w:val="006A7EEB"/>
    <w:rsid w:val="006B0022"/>
    <w:rsid w:val="006B0084"/>
    <w:rsid w:val="006B024F"/>
    <w:rsid w:val="006B0628"/>
    <w:rsid w:val="006B0836"/>
    <w:rsid w:val="006B0F6D"/>
    <w:rsid w:val="006B131F"/>
    <w:rsid w:val="006B168D"/>
    <w:rsid w:val="006B1893"/>
    <w:rsid w:val="006B1EF6"/>
    <w:rsid w:val="006B20F0"/>
    <w:rsid w:val="006B2167"/>
    <w:rsid w:val="006B22A9"/>
    <w:rsid w:val="006B26EC"/>
    <w:rsid w:val="006B2C02"/>
    <w:rsid w:val="006B3294"/>
    <w:rsid w:val="006B3A65"/>
    <w:rsid w:val="006B40AC"/>
    <w:rsid w:val="006B434D"/>
    <w:rsid w:val="006B44F0"/>
    <w:rsid w:val="006B4537"/>
    <w:rsid w:val="006B4556"/>
    <w:rsid w:val="006B4561"/>
    <w:rsid w:val="006B46C9"/>
    <w:rsid w:val="006B4818"/>
    <w:rsid w:val="006B4867"/>
    <w:rsid w:val="006B4A38"/>
    <w:rsid w:val="006B4EF6"/>
    <w:rsid w:val="006B50BC"/>
    <w:rsid w:val="006B5126"/>
    <w:rsid w:val="006B542D"/>
    <w:rsid w:val="006B5648"/>
    <w:rsid w:val="006B58BA"/>
    <w:rsid w:val="006B5B10"/>
    <w:rsid w:val="006B63F0"/>
    <w:rsid w:val="006B69FC"/>
    <w:rsid w:val="006B6B0E"/>
    <w:rsid w:val="006B6B16"/>
    <w:rsid w:val="006B6C4E"/>
    <w:rsid w:val="006B70F6"/>
    <w:rsid w:val="006B7309"/>
    <w:rsid w:val="006B73F5"/>
    <w:rsid w:val="006B74B2"/>
    <w:rsid w:val="006B784A"/>
    <w:rsid w:val="006B7949"/>
    <w:rsid w:val="006B7AAA"/>
    <w:rsid w:val="006B7BA4"/>
    <w:rsid w:val="006B7BE6"/>
    <w:rsid w:val="006B7E5A"/>
    <w:rsid w:val="006C01A1"/>
    <w:rsid w:val="006C03C5"/>
    <w:rsid w:val="006C04D6"/>
    <w:rsid w:val="006C04E8"/>
    <w:rsid w:val="006C0533"/>
    <w:rsid w:val="006C085E"/>
    <w:rsid w:val="006C08F9"/>
    <w:rsid w:val="006C0AEA"/>
    <w:rsid w:val="006C0D1B"/>
    <w:rsid w:val="006C0F6F"/>
    <w:rsid w:val="006C1492"/>
    <w:rsid w:val="006C19FF"/>
    <w:rsid w:val="006C2447"/>
    <w:rsid w:val="006C2631"/>
    <w:rsid w:val="006C2725"/>
    <w:rsid w:val="006C27F8"/>
    <w:rsid w:val="006C28D8"/>
    <w:rsid w:val="006C2934"/>
    <w:rsid w:val="006C29AB"/>
    <w:rsid w:val="006C2BCF"/>
    <w:rsid w:val="006C2CAA"/>
    <w:rsid w:val="006C30D8"/>
    <w:rsid w:val="006C31CB"/>
    <w:rsid w:val="006C3B6C"/>
    <w:rsid w:val="006C3C22"/>
    <w:rsid w:val="006C449C"/>
    <w:rsid w:val="006C44BE"/>
    <w:rsid w:val="006C46F6"/>
    <w:rsid w:val="006C4CD3"/>
    <w:rsid w:val="006C4DBF"/>
    <w:rsid w:val="006C4F1A"/>
    <w:rsid w:val="006C5050"/>
    <w:rsid w:val="006C53C4"/>
    <w:rsid w:val="006C5569"/>
    <w:rsid w:val="006C5961"/>
    <w:rsid w:val="006C5A86"/>
    <w:rsid w:val="006C5D74"/>
    <w:rsid w:val="006C5EAA"/>
    <w:rsid w:val="006C6501"/>
    <w:rsid w:val="006C6916"/>
    <w:rsid w:val="006C6A67"/>
    <w:rsid w:val="006C6C42"/>
    <w:rsid w:val="006C6DDF"/>
    <w:rsid w:val="006C6E0E"/>
    <w:rsid w:val="006C777F"/>
    <w:rsid w:val="006C7859"/>
    <w:rsid w:val="006C7928"/>
    <w:rsid w:val="006C7B6D"/>
    <w:rsid w:val="006C7D95"/>
    <w:rsid w:val="006D012C"/>
    <w:rsid w:val="006D01D8"/>
    <w:rsid w:val="006D027B"/>
    <w:rsid w:val="006D07F0"/>
    <w:rsid w:val="006D0AC1"/>
    <w:rsid w:val="006D0DBB"/>
    <w:rsid w:val="006D0DE1"/>
    <w:rsid w:val="006D0FE3"/>
    <w:rsid w:val="006D11CC"/>
    <w:rsid w:val="006D1416"/>
    <w:rsid w:val="006D179F"/>
    <w:rsid w:val="006D18D5"/>
    <w:rsid w:val="006D1B7D"/>
    <w:rsid w:val="006D1EDE"/>
    <w:rsid w:val="006D23CA"/>
    <w:rsid w:val="006D2541"/>
    <w:rsid w:val="006D25D4"/>
    <w:rsid w:val="006D282E"/>
    <w:rsid w:val="006D2AA6"/>
    <w:rsid w:val="006D2AF0"/>
    <w:rsid w:val="006D2FD8"/>
    <w:rsid w:val="006D311A"/>
    <w:rsid w:val="006D3252"/>
    <w:rsid w:val="006D3449"/>
    <w:rsid w:val="006D35C5"/>
    <w:rsid w:val="006D3AB8"/>
    <w:rsid w:val="006D3AC6"/>
    <w:rsid w:val="006D4078"/>
    <w:rsid w:val="006D40A4"/>
    <w:rsid w:val="006D4562"/>
    <w:rsid w:val="006D48AF"/>
    <w:rsid w:val="006D49B9"/>
    <w:rsid w:val="006D5182"/>
    <w:rsid w:val="006D548C"/>
    <w:rsid w:val="006D54F4"/>
    <w:rsid w:val="006D58AB"/>
    <w:rsid w:val="006D58C5"/>
    <w:rsid w:val="006D5DA1"/>
    <w:rsid w:val="006D672D"/>
    <w:rsid w:val="006D6845"/>
    <w:rsid w:val="006D6884"/>
    <w:rsid w:val="006D694B"/>
    <w:rsid w:val="006D69B9"/>
    <w:rsid w:val="006D7222"/>
    <w:rsid w:val="006D7390"/>
    <w:rsid w:val="006D74CA"/>
    <w:rsid w:val="006D76CB"/>
    <w:rsid w:val="006D7942"/>
    <w:rsid w:val="006D7EA5"/>
    <w:rsid w:val="006E0347"/>
    <w:rsid w:val="006E03E1"/>
    <w:rsid w:val="006E04A5"/>
    <w:rsid w:val="006E05EA"/>
    <w:rsid w:val="006E0904"/>
    <w:rsid w:val="006E091A"/>
    <w:rsid w:val="006E0E3B"/>
    <w:rsid w:val="006E1092"/>
    <w:rsid w:val="006E12E4"/>
    <w:rsid w:val="006E1569"/>
    <w:rsid w:val="006E1625"/>
    <w:rsid w:val="006E1D61"/>
    <w:rsid w:val="006E1F35"/>
    <w:rsid w:val="006E1F68"/>
    <w:rsid w:val="006E20B8"/>
    <w:rsid w:val="006E213C"/>
    <w:rsid w:val="006E21A9"/>
    <w:rsid w:val="006E2493"/>
    <w:rsid w:val="006E252E"/>
    <w:rsid w:val="006E2653"/>
    <w:rsid w:val="006E274A"/>
    <w:rsid w:val="006E2C5E"/>
    <w:rsid w:val="006E3151"/>
    <w:rsid w:val="006E3244"/>
    <w:rsid w:val="006E3358"/>
    <w:rsid w:val="006E3C71"/>
    <w:rsid w:val="006E3E3A"/>
    <w:rsid w:val="006E3E52"/>
    <w:rsid w:val="006E404F"/>
    <w:rsid w:val="006E4132"/>
    <w:rsid w:val="006E4459"/>
    <w:rsid w:val="006E480B"/>
    <w:rsid w:val="006E4886"/>
    <w:rsid w:val="006E4B97"/>
    <w:rsid w:val="006E529C"/>
    <w:rsid w:val="006E582D"/>
    <w:rsid w:val="006E5D35"/>
    <w:rsid w:val="006E5D94"/>
    <w:rsid w:val="006E5E80"/>
    <w:rsid w:val="006E5F55"/>
    <w:rsid w:val="006E60BE"/>
    <w:rsid w:val="006E6217"/>
    <w:rsid w:val="006E62A3"/>
    <w:rsid w:val="006E6729"/>
    <w:rsid w:val="006E6819"/>
    <w:rsid w:val="006E6C88"/>
    <w:rsid w:val="006E6F08"/>
    <w:rsid w:val="006E6F59"/>
    <w:rsid w:val="006E74F2"/>
    <w:rsid w:val="006E7872"/>
    <w:rsid w:val="006E7B57"/>
    <w:rsid w:val="006E7CE4"/>
    <w:rsid w:val="006E7E92"/>
    <w:rsid w:val="006F0022"/>
    <w:rsid w:val="006F0390"/>
    <w:rsid w:val="006F0548"/>
    <w:rsid w:val="006F056B"/>
    <w:rsid w:val="006F0838"/>
    <w:rsid w:val="006F0903"/>
    <w:rsid w:val="006F0986"/>
    <w:rsid w:val="006F1214"/>
    <w:rsid w:val="006F1553"/>
    <w:rsid w:val="006F155C"/>
    <w:rsid w:val="006F1602"/>
    <w:rsid w:val="006F1A6F"/>
    <w:rsid w:val="006F1AE7"/>
    <w:rsid w:val="006F1BA2"/>
    <w:rsid w:val="006F1C3D"/>
    <w:rsid w:val="006F215C"/>
    <w:rsid w:val="006F21FD"/>
    <w:rsid w:val="006F228A"/>
    <w:rsid w:val="006F2DCF"/>
    <w:rsid w:val="006F3045"/>
    <w:rsid w:val="006F348C"/>
    <w:rsid w:val="006F385A"/>
    <w:rsid w:val="006F3B44"/>
    <w:rsid w:val="006F3E8B"/>
    <w:rsid w:val="006F4098"/>
    <w:rsid w:val="006F40AE"/>
    <w:rsid w:val="006F4474"/>
    <w:rsid w:val="006F49B4"/>
    <w:rsid w:val="006F504C"/>
    <w:rsid w:val="006F5091"/>
    <w:rsid w:val="006F53C8"/>
    <w:rsid w:val="006F53E7"/>
    <w:rsid w:val="006F581F"/>
    <w:rsid w:val="006F5947"/>
    <w:rsid w:val="006F5D5E"/>
    <w:rsid w:val="006F5DC1"/>
    <w:rsid w:val="006F5F02"/>
    <w:rsid w:val="006F6794"/>
    <w:rsid w:val="006F6C12"/>
    <w:rsid w:val="006F6F8D"/>
    <w:rsid w:val="006F7310"/>
    <w:rsid w:val="006F7758"/>
    <w:rsid w:val="006F77B5"/>
    <w:rsid w:val="006F7989"/>
    <w:rsid w:val="006F7B18"/>
    <w:rsid w:val="006F7B27"/>
    <w:rsid w:val="006F7E5E"/>
    <w:rsid w:val="006F7E82"/>
    <w:rsid w:val="006F7F22"/>
    <w:rsid w:val="007000E2"/>
    <w:rsid w:val="007003EC"/>
    <w:rsid w:val="0070059D"/>
    <w:rsid w:val="007005AA"/>
    <w:rsid w:val="007005D0"/>
    <w:rsid w:val="00700730"/>
    <w:rsid w:val="00700780"/>
    <w:rsid w:val="00700921"/>
    <w:rsid w:val="007010F2"/>
    <w:rsid w:val="0070116A"/>
    <w:rsid w:val="0070128C"/>
    <w:rsid w:val="00701460"/>
    <w:rsid w:val="0070170E"/>
    <w:rsid w:val="00701AEF"/>
    <w:rsid w:val="00701D26"/>
    <w:rsid w:val="00701D54"/>
    <w:rsid w:val="00701D5A"/>
    <w:rsid w:val="00701EBC"/>
    <w:rsid w:val="00702012"/>
    <w:rsid w:val="0070202B"/>
    <w:rsid w:val="0070240E"/>
    <w:rsid w:val="0070275D"/>
    <w:rsid w:val="00702792"/>
    <w:rsid w:val="00702BBB"/>
    <w:rsid w:val="00702F40"/>
    <w:rsid w:val="00702F4A"/>
    <w:rsid w:val="00703040"/>
    <w:rsid w:val="007033B6"/>
    <w:rsid w:val="007038CF"/>
    <w:rsid w:val="0070392F"/>
    <w:rsid w:val="00703BC2"/>
    <w:rsid w:val="00704117"/>
    <w:rsid w:val="0070434D"/>
    <w:rsid w:val="00704503"/>
    <w:rsid w:val="0070489A"/>
    <w:rsid w:val="00704979"/>
    <w:rsid w:val="00704DA2"/>
    <w:rsid w:val="00704F66"/>
    <w:rsid w:val="0070547B"/>
    <w:rsid w:val="00705AEB"/>
    <w:rsid w:val="00705CF1"/>
    <w:rsid w:val="00705E9C"/>
    <w:rsid w:val="00706088"/>
    <w:rsid w:val="0070637E"/>
    <w:rsid w:val="00706515"/>
    <w:rsid w:val="00706CBD"/>
    <w:rsid w:val="00706D89"/>
    <w:rsid w:val="00706DDF"/>
    <w:rsid w:val="00706FCB"/>
    <w:rsid w:val="00707096"/>
    <w:rsid w:val="00707913"/>
    <w:rsid w:val="0071034C"/>
    <w:rsid w:val="007103CE"/>
    <w:rsid w:val="0071054B"/>
    <w:rsid w:val="007107B1"/>
    <w:rsid w:val="00710966"/>
    <w:rsid w:val="00710A0F"/>
    <w:rsid w:val="00710AC6"/>
    <w:rsid w:val="00710B28"/>
    <w:rsid w:val="00710BED"/>
    <w:rsid w:val="00710D24"/>
    <w:rsid w:val="00710DBB"/>
    <w:rsid w:val="00711620"/>
    <w:rsid w:val="007116FC"/>
    <w:rsid w:val="007117B6"/>
    <w:rsid w:val="00711917"/>
    <w:rsid w:val="0071213F"/>
    <w:rsid w:val="007121A3"/>
    <w:rsid w:val="00712384"/>
    <w:rsid w:val="007126F1"/>
    <w:rsid w:val="0071289D"/>
    <w:rsid w:val="007129FA"/>
    <w:rsid w:val="00712B10"/>
    <w:rsid w:val="00712F92"/>
    <w:rsid w:val="007130CF"/>
    <w:rsid w:val="00713626"/>
    <w:rsid w:val="00713B17"/>
    <w:rsid w:val="00713DC0"/>
    <w:rsid w:val="00713EC6"/>
    <w:rsid w:val="0071445D"/>
    <w:rsid w:val="00714739"/>
    <w:rsid w:val="0071481A"/>
    <w:rsid w:val="00714D4F"/>
    <w:rsid w:val="00714EF5"/>
    <w:rsid w:val="00714FEC"/>
    <w:rsid w:val="0071510C"/>
    <w:rsid w:val="007153A8"/>
    <w:rsid w:val="00715642"/>
    <w:rsid w:val="00715663"/>
    <w:rsid w:val="007159EA"/>
    <w:rsid w:val="00715C78"/>
    <w:rsid w:val="00715CDA"/>
    <w:rsid w:val="007162AB"/>
    <w:rsid w:val="00716461"/>
    <w:rsid w:val="007164A8"/>
    <w:rsid w:val="00716999"/>
    <w:rsid w:val="00716B0A"/>
    <w:rsid w:val="00716E06"/>
    <w:rsid w:val="00716F2C"/>
    <w:rsid w:val="0071709C"/>
    <w:rsid w:val="00717270"/>
    <w:rsid w:val="00717C80"/>
    <w:rsid w:val="007204BF"/>
    <w:rsid w:val="00720655"/>
    <w:rsid w:val="00720984"/>
    <w:rsid w:val="007209CA"/>
    <w:rsid w:val="00720B8F"/>
    <w:rsid w:val="00720C1A"/>
    <w:rsid w:val="00720D42"/>
    <w:rsid w:val="00720F82"/>
    <w:rsid w:val="007211DD"/>
    <w:rsid w:val="00721305"/>
    <w:rsid w:val="00721336"/>
    <w:rsid w:val="0072147F"/>
    <w:rsid w:val="007215D6"/>
    <w:rsid w:val="00721C49"/>
    <w:rsid w:val="00721D53"/>
    <w:rsid w:val="00721DCA"/>
    <w:rsid w:val="00721EBD"/>
    <w:rsid w:val="007222CB"/>
    <w:rsid w:val="0072260F"/>
    <w:rsid w:val="007227E2"/>
    <w:rsid w:val="00722855"/>
    <w:rsid w:val="00722A2C"/>
    <w:rsid w:val="00722F51"/>
    <w:rsid w:val="00723649"/>
    <w:rsid w:val="0072386B"/>
    <w:rsid w:val="00723CE1"/>
    <w:rsid w:val="007242BA"/>
    <w:rsid w:val="007243C6"/>
    <w:rsid w:val="00724402"/>
    <w:rsid w:val="00725723"/>
    <w:rsid w:val="00725AAC"/>
    <w:rsid w:val="00725AC3"/>
    <w:rsid w:val="00725BB4"/>
    <w:rsid w:val="00725BE9"/>
    <w:rsid w:val="00725D71"/>
    <w:rsid w:val="00725F77"/>
    <w:rsid w:val="00725FB4"/>
    <w:rsid w:val="0072618A"/>
    <w:rsid w:val="007265C8"/>
    <w:rsid w:val="0072692E"/>
    <w:rsid w:val="00726CF0"/>
    <w:rsid w:val="00727118"/>
    <w:rsid w:val="00727228"/>
    <w:rsid w:val="007272DB"/>
    <w:rsid w:val="00727337"/>
    <w:rsid w:val="00727460"/>
    <w:rsid w:val="00727775"/>
    <w:rsid w:val="00727ACC"/>
    <w:rsid w:val="00727DC2"/>
    <w:rsid w:val="00727E42"/>
    <w:rsid w:val="00727E54"/>
    <w:rsid w:val="00727FDD"/>
    <w:rsid w:val="0073008D"/>
    <w:rsid w:val="0073020B"/>
    <w:rsid w:val="00730629"/>
    <w:rsid w:val="007307A4"/>
    <w:rsid w:val="00730BEF"/>
    <w:rsid w:val="0073104A"/>
    <w:rsid w:val="007310B2"/>
    <w:rsid w:val="0073147C"/>
    <w:rsid w:val="00731499"/>
    <w:rsid w:val="00731662"/>
    <w:rsid w:val="007319A9"/>
    <w:rsid w:val="00731B27"/>
    <w:rsid w:val="00731BB6"/>
    <w:rsid w:val="007323D1"/>
    <w:rsid w:val="007324E3"/>
    <w:rsid w:val="007324E6"/>
    <w:rsid w:val="00732755"/>
    <w:rsid w:val="007328C4"/>
    <w:rsid w:val="00732FBE"/>
    <w:rsid w:val="00733041"/>
    <w:rsid w:val="0073326A"/>
    <w:rsid w:val="0073342D"/>
    <w:rsid w:val="0073362A"/>
    <w:rsid w:val="0073386B"/>
    <w:rsid w:val="00733908"/>
    <w:rsid w:val="0073397D"/>
    <w:rsid w:val="00733BF9"/>
    <w:rsid w:val="00733D0A"/>
    <w:rsid w:val="00733E03"/>
    <w:rsid w:val="00734117"/>
    <w:rsid w:val="00734C8A"/>
    <w:rsid w:val="00735A48"/>
    <w:rsid w:val="00735ABB"/>
    <w:rsid w:val="00735EF9"/>
    <w:rsid w:val="00736090"/>
    <w:rsid w:val="0073641E"/>
    <w:rsid w:val="00736486"/>
    <w:rsid w:val="007365B0"/>
    <w:rsid w:val="00736801"/>
    <w:rsid w:val="00736C2A"/>
    <w:rsid w:val="00736E22"/>
    <w:rsid w:val="00736EB3"/>
    <w:rsid w:val="007372EA"/>
    <w:rsid w:val="00737360"/>
    <w:rsid w:val="00737790"/>
    <w:rsid w:val="00737B92"/>
    <w:rsid w:val="00737BBD"/>
    <w:rsid w:val="00740010"/>
    <w:rsid w:val="0074016B"/>
    <w:rsid w:val="00740260"/>
    <w:rsid w:val="0074048C"/>
    <w:rsid w:val="00740573"/>
    <w:rsid w:val="007406B0"/>
    <w:rsid w:val="007408C8"/>
    <w:rsid w:val="0074116F"/>
    <w:rsid w:val="007411B4"/>
    <w:rsid w:val="00741913"/>
    <w:rsid w:val="00741C8D"/>
    <w:rsid w:val="00742480"/>
    <w:rsid w:val="00742685"/>
    <w:rsid w:val="007426C6"/>
    <w:rsid w:val="00742CB7"/>
    <w:rsid w:val="0074351C"/>
    <w:rsid w:val="00743626"/>
    <w:rsid w:val="0074392B"/>
    <w:rsid w:val="00743AF8"/>
    <w:rsid w:val="007441C6"/>
    <w:rsid w:val="0074423B"/>
    <w:rsid w:val="0074441B"/>
    <w:rsid w:val="00744459"/>
    <w:rsid w:val="00744594"/>
    <w:rsid w:val="00744A9F"/>
    <w:rsid w:val="00744B85"/>
    <w:rsid w:val="00744BDE"/>
    <w:rsid w:val="00744D6C"/>
    <w:rsid w:val="00744E89"/>
    <w:rsid w:val="00744EA1"/>
    <w:rsid w:val="00745010"/>
    <w:rsid w:val="00745449"/>
    <w:rsid w:val="00745552"/>
    <w:rsid w:val="0074573A"/>
    <w:rsid w:val="00745833"/>
    <w:rsid w:val="00745ABD"/>
    <w:rsid w:val="00745ABF"/>
    <w:rsid w:val="00745C27"/>
    <w:rsid w:val="00745E01"/>
    <w:rsid w:val="00746375"/>
    <w:rsid w:val="00746572"/>
    <w:rsid w:val="00746945"/>
    <w:rsid w:val="00746B17"/>
    <w:rsid w:val="00746B1C"/>
    <w:rsid w:val="00746CE7"/>
    <w:rsid w:val="0074733F"/>
    <w:rsid w:val="007473DD"/>
    <w:rsid w:val="0074741F"/>
    <w:rsid w:val="00747502"/>
    <w:rsid w:val="007475AA"/>
    <w:rsid w:val="0074774D"/>
    <w:rsid w:val="00747BDE"/>
    <w:rsid w:val="00747F98"/>
    <w:rsid w:val="00750038"/>
    <w:rsid w:val="00750811"/>
    <w:rsid w:val="00750BC9"/>
    <w:rsid w:val="00750F71"/>
    <w:rsid w:val="0075105B"/>
    <w:rsid w:val="00751145"/>
    <w:rsid w:val="007511F3"/>
    <w:rsid w:val="00751221"/>
    <w:rsid w:val="00751305"/>
    <w:rsid w:val="007513E7"/>
    <w:rsid w:val="00751561"/>
    <w:rsid w:val="007516A0"/>
    <w:rsid w:val="007517FF"/>
    <w:rsid w:val="00751D85"/>
    <w:rsid w:val="00751DAF"/>
    <w:rsid w:val="00751F48"/>
    <w:rsid w:val="00752155"/>
    <w:rsid w:val="0075282A"/>
    <w:rsid w:val="00752C47"/>
    <w:rsid w:val="00752D6B"/>
    <w:rsid w:val="0075349C"/>
    <w:rsid w:val="007535F6"/>
    <w:rsid w:val="00753638"/>
    <w:rsid w:val="007539E2"/>
    <w:rsid w:val="00753A75"/>
    <w:rsid w:val="00753C6D"/>
    <w:rsid w:val="00753D06"/>
    <w:rsid w:val="00753E2D"/>
    <w:rsid w:val="007542E9"/>
    <w:rsid w:val="00754333"/>
    <w:rsid w:val="0075447E"/>
    <w:rsid w:val="007546B3"/>
    <w:rsid w:val="007548D2"/>
    <w:rsid w:val="00754B4E"/>
    <w:rsid w:val="00754F34"/>
    <w:rsid w:val="0075572F"/>
    <w:rsid w:val="007557E8"/>
    <w:rsid w:val="00755F99"/>
    <w:rsid w:val="00756646"/>
    <w:rsid w:val="007566A6"/>
    <w:rsid w:val="0075677D"/>
    <w:rsid w:val="00756861"/>
    <w:rsid w:val="00756F07"/>
    <w:rsid w:val="007575F4"/>
    <w:rsid w:val="0075778D"/>
    <w:rsid w:val="0075783D"/>
    <w:rsid w:val="0075788F"/>
    <w:rsid w:val="007578BF"/>
    <w:rsid w:val="007601E7"/>
    <w:rsid w:val="0076071B"/>
    <w:rsid w:val="007608A5"/>
    <w:rsid w:val="00760AFE"/>
    <w:rsid w:val="00760CD7"/>
    <w:rsid w:val="0076129D"/>
    <w:rsid w:val="00761411"/>
    <w:rsid w:val="0076150D"/>
    <w:rsid w:val="00761572"/>
    <w:rsid w:val="00761727"/>
    <w:rsid w:val="007619D2"/>
    <w:rsid w:val="00761BF4"/>
    <w:rsid w:val="00761C45"/>
    <w:rsid w:val="00761E85"/>
    <w:rsid w:val="00761EC6"/>
    <w:rsid w:val="007627AC"/>
    <w:rsid w:val="007629FC"/>
    <w:rsid w:val="00762ACE"/>
    <w:rsid w:val="00763028"/>
    <w:rsid w:val="007630CB"/>
    <w:rsid w:val="007633AA"/>
    <w:rsid w:val="00763512"/>
    <w:rsid w:val="00763E80"/>
    <w:rsid w:val="007642D4"/>
    <w:rsid w:val="00764423"/>
    <w:rsid w:val="007645DF"/>
    <w:rsid w:val="00764917"/>
    <w:rsid w:val="00764933"/>
    <w:rsid w:val="00764941"/>
    <w:rsid w:val="00764B22"/>
    <w:rsid w:val="00764EA4"/>
    <w:rsid w:val="00764EF8"/>
    <w:rsid w:val="00765026"/>
    <w:rsid w:val="0076509B"/>
    <w:rsid w:val="0076514A"/>
    <w:rsid w:val="0076539F"/>
    <w:rsid w:val="007654A2"/>
    <w:rsid w:val="00765555"/>
    <w:rsid w:val="0076579E"/>
    <w:rsid w:val="00766319"/>
    <w:rsid w:val="0076636D"/>
    <w:rsid w:val="00766429"/>
    <w:rsid w:val="0076649C"/>
    <w:rsid w:val="00766540"/>
    <w:rsid w:val="007665AC"/>
    <w:rsid w:val="007668DF"/>
    <w:rsid w:val="00766B94"/>
    <w:rsid w:val="00766CBB"/>
    <w:rsid w:val="00766CD0"/>
    <w:rsid w:val="00766E8E"/>
    <w:rsid w:val="007672E0"/>
    <w:rsid w:val="0076796E"/>
    <w:rsid w:val="00770358"/>
    <w:rsid w:val="007704BE"/>
    <w:rsid w:val="0077054B"/>
    <w:rsid w:val="007709C5"/>
    <w:rsid w:val="00770A37"/>
    <w:rsid w:val="0077109C"/>
    <w:rsid w:val="007712FA"/>
    <w:rsid w:val="007712FB"/>
    <w:rsid w:val="007713B6"/>
    <w:rsid w:val="0077158A"/>
    <w:rsid w:val="0077158F"/>
    <w:rsid w:val="00771657"/>
    <w:rsid w:val="00771747"/>
    <w:rsid w:val="0077175E"/>
    <w:rsid w:val="00771999"/>
    <w:rsid w:val="00771D89"/>
    <w:rsid w:val="00771EBC"/>
    <w:rsid w:val="00771FF3"/>
    <w:rsid w:val="00772026"/>
    <w:rsid w:val="0077223A"/>
    <w:rsid w:val="007722F7"/>
    <w:rsid w:val="007728ED"/>
    <w:rsid w:val="00772B68"/>
    <w:rsid w:val="00772BDE"/>
    <w:rsid w:val="00772D65"/>
    <w:rsid w:val="00772F38"/>
    <w:rsid w:val="00773184"/>
    <w:rsid w:val="007731B5"/>
    <w:rsid w:val="007731FF"/>
    <w:rsid w:val="0077352A"/>
    <w:rsid w:val="00773596"/>
    <w:rsid w:val="007736CD"/>
    <w:rsid w:val="00773AC6"/>
    <w:rsid w:val="00773D83"/>
    <w:rsid w:val="00773DD1"/>
    <w:rsid w:val="00773E08"/>
    <w:rsid w:val="00774230"/>
    <w:rsid w:val="007743FC"/>
    <w:rsid w:val="0077495C"/>
    <w:rsid w:val="007749D9"/>
    <w:rsid w:val="00774A9B"/>
    <w:rsid w:val="0077525E"/>
    <w:rsid w:val="00775366"/>
    <w:rsid w:val="0077536B"/>
    <w:rsid w:val="00775480"/>
    <w:rsid w:val="007757C2"/>
    <w:rsid w:val="00775B37"/>
    <w:rsid w:val="00775C9B"/>
    <w:rsid w:val="00775E2E"/>
    <w:rsid w:val="007760AA"/>
    <w:rsid w:val="0077663E"/>
    <w:rsid w:val="00776D5D"/>
    <w:rsid w:val="0077714A"/>
    <w:rsid w:val="007775A7"/>
    <w:rsid w:val="007777A5"/>
    <w:rsid w:val="00777882"/>
    <w:rsid w:val="007779D4"/>
    <w:rsid w:val="00777A4C"/>
    <w:rsid w:val="00777C24"/>
    <w:rsid w:val="00777C57"/>
    <w:rsid w:val="00777CCF"/>
    <w:rsid w:val="00777D2C"/>
    <w:rsid w:val="00777D4F"/>
    <w:rsid w:val="00777DFB"/>
    <w:rsid w:val="00777F48"/>
    <w:rsid w:val="00777F7A"/>
    <w:rsid w:val="007804FE"/>
    <w:rsid w:val="007807F1"/>
    <w:rsid w:val="00780B27"/>
    <w:rsid w:val="00780B64"/>
    <w:rsid w:val="00780C0D"/>
    <w:rsid w:val="00780CDD"/>
    <w:rsid w:val="007810EC"/>
    <w:rsid w:val="00781125"/>
    <w:rsid w:val="00781280"/>
    <w:rsid w:val="007813B0"/>
    <w:rsid w:val="00781673"/>
    <w:rsid w:val="007816F7"/>
    <w:rsid w:val="00781791"/>
    <w:rsid w:val="00781828"/>
    <w:rsid w:val="00782019"/>
    <w:rsid w:val="007822D5"/>
    <w:rsid w:val="007824E7"/>
    <w:rsid w:val="00782563"/>
    <w:rsid w:val="00782A36"/>
    <w:rsid w:val="00782F35"/>
    <w:rsid w:val="00782F9A"/>
    <w:rsid w:val="007833C6"/>
    <w:rsid w:val="00783489"/>
    <w:rsid w:val="007838D1"/>
    <w:rsid w:val="00783B1A"/>
    <w:rsid w:val="007847CA"/>
    <w:rsid w:val="0078481B"/>
    <w:rsid w:val="00784909"/>
    <w:rsid w:val="00784D0F"/>
    <w:rsid w:val="0078522E"/>
    <w:rsid w:val="0078526C"/>
    <w:rsid w:val="007853E0"/>
    <w:rsid w:val="007853E7"/>
    <w:rsid w:val="0078551D"/>
    <w:rsid w:val="007856AD"/>
    <w:rsid w:val="007856BE"/>
    <w:rsid w:val="00785B1E"/>
    <w:rsid w:val="0078615A"/>
    <w:rsid w:val="00786235"/>
    <w:rsid w:val="007864CC"/>
    <w:rsid w:val="0078658A"/>
    <w:rsid w:val="00786664"/>
    <w:rsid w:val="00786AAF"/>
    <w:rsid w:val="00786CBB"/>
    <w:rsid w:val="007875CA"/>
    <w:rsid w:val="00787617"/>
    <w:rsid w:val="00787660"/>
    <w:rsid w:val="0079026D"/>
    <w:rsid w:val="0079053D"/>
    <w:rsid w:val="00790B42"/>
    <w:rsid w:val="00790D19"/>
    <w:rsid w:val="007911FF"/>
    <w:rsid w:val="00791657"/>
    <w:rsid w:val="007916C7"/>
    <w:rsid w:val="00791B8E"/>
    <w:rsid w:val="00791CB6"/>
    <w:rsid w:val="00791F15"/>
    <w:rsid w:val="0079215C"/>
    <w:rsid w:val="00792876"/>
    <w:rsid w:val="00792A6E"/>
    <w:rsid w:val="00792D5B"/>
    <w:rsid w:val="00793536"/>
    <w:rsid w:val="0079377C"/>
    <w:rsid w:val="00793820"/>
    <w:rsid w:val="007939D1"/>
    <w:rsid w:val="00793C75"/>
    <w:rsid w:val="00793E92"/>
    <w:rsid w:val="0079411D"/>
    <w:rsid w:val="0079416B"/>
    <w:rsid w:val="007941C7"/>
    <w:rsid w:val="0079431F"/>
    <w:rsid w:val="007943B9"/>
    <w:rsid w:val="0079448C"/>
    <w:rsid w:val="0079452F"/>
    <w:rsid w:val="00794B98"/>
    <w:rsid w:val="00794F52"/>
    <w:rsid w:val="00794FB7"/>
    <w:rsid w:val="0079547D"/>
    <w:rsid w:val="00795618"/>
    <w:rsid w:val="0079563E"/>
    <w:rsid w:val="007956C5"/>
    <w:rsid w:val="0079590D"/>
    <w:rsid w:val="00795CA4"/>
    <w:rsid w:val="00795EC4"/>
    <w:rsid w:val="00796492"/>
    <w:rsid w:val="0079664C"/>
    <w:rsid w:val="00796753"/>
    <w:rsid w:val="0079695D"/>
    <w:rsid w:val="00797709"/>
    <w:rsid w:val="00797AF3"/>
    <w:rsid w:val="00797C0B"/>
    <w:rsid w:val="00797F14"/>
    <w:rsid w:val="007A0297"/>
    <w:rsid w:val="007A05E0"/>
    <w:rsid w:val="007A0773"/>
    <w:rsid w:val="007A09C8"/>
    <w:rsid w:val="007A0AB7"/>
    <w:rsid w:val="007A0AE7"/>
    <w:rsid w:val="007A1272"/>
    <w:rsid w:val="007A136F"/>
    <w:rsid w:val="007A1495"/>
    <w:rsid w:val="007A1BDC"/>
    <w:rsid w:val="007A200B"/>
    <w:rsid w:val="007A2514"/>
    <w:rsid w:val="007A2518"/>
    <w:rsid w:val="007A2613"/>
    <w:rsid w:val="007A27B6"/>
    <w:rsid w:val="007A29A3"/>
    <w:rsid w:val="007A2AC5"/>
    <w:rsid w:val="007A2AE8"/>
    <w:rsid w:val="007A31A4"/>
    <w:rsid w:val="007A3879"/>
    <w:rsid w:val="007A3C4D"/>
    <w:rsid w:val="007A3C57"/>
    <w:rsid w:val="007A3C86"/>
    <w:rsid w:val="007A3F16"/>
    <w:rsid w:val="007A4280"/>
    <w:rsid w:val="007A42D3"/>
    <w:rsid w:val="007A434A"/>
    <w:rsid w:val="007A4628"/>
    <w:rsid w:val="007A46EE"/>
    <w:rsid w:val="007A4A50"/>
    <w:rsid w:val="007A4E7C"/>
    <w:rsid w:val="007A511D"/>
    <w:rsid w:val="007A5184"/>
    <w:rsid w:val="007A541F"/>
    <w:rsid w:val="007A56FE"/>
    <w:rsid w:val="007A590A"/>
    <w:rsid w:val="007A5A82"/>
    <w:rsid w:val="007A5B22"/>
    <w:rsid w:val="007A6152"/>
    <w:rsid w:val="007A6DF9"/>
    <w:rsid w:val="007A709E"/>
    <w:rsid w:val="007A7388"/>
    <w:rsid w:val="007A7CE9"/>
    <w:rsid w:val="007A7D98"/>
    <w:rsid w:val="007B07D4"/>
    <w:rsid w:val="007B07DA"/>
    <w:rsid w:val="007B0A12"/>
    <w:rsid w:val="007B0A78"/>
    <w:rsid w:val="007B0BF2"/>
    <w:rsid w:val="007B0E61"/>
    <w:rsid w:val="007B1096"/>
    <w:rsid w:val="007B1397"/>
    <w:rsid w:val="007B1E7C"/>
    <w:rsid w:val="007B1F1F"/>
    <w:rsid w:val="007B1F87"/>
    <w:rsid w:val="007B1FDA"/>
    <w:rsid w:val="007B2205"/>
    <w:rsid w:val="007B226A"/>
    <w:rsid w:val="007B22B3"/>
    <w:rsid w:val="007B28D6"/>
    <w:rsid w:val="007B2A70"/>
    <w:rsid w:val="007B2CD7"/>
    <w:rsid w:val="007B305A"/>
    <w:rsid w:val="007B3607"/>
    <w:rsid w:val="007B37C1"/>
    <w:rsid w:val="007B3AE0"/>
    <w:rsid w:val="007B406D"/>
    <w:rsid w:val="007B43F2"/>
    <w:rsid w:val="007B453B"/>
    <w:rsid w:val="007B45EE"/>
    <w:rsid w:val="007B46C0"/>
    <w:rsid w:val="007B475F"/>
    <w:rsid w:val="007B4B55"/>
    <w:rsid w:val="007B4DD7"/>
    <w:rsid w:val="007B534C"/>
    <w:rsid w:val="007B56D3"/>
    <w:rsid w:val="007B5970"/>
    <w:rsid w:val="007B5AD7"/>
    <w:rsid w:val="007B5C8A"/>
    <w:rsid w:val="007B5CF3"/>
    <w:rsid w:val="007B6105"/>
    <w:rsid w:val="007B6591"/>
    <w:rsid w:val="007B664F"/>
    <w:rsid w:val="007B690C"/>
    <w:rsid w:val="007B6F08"/>
    <w:rsid w:val="007B70B9"/>
    <w:rsid w:val="007B732A"/>
    <w:rsid w:val="007B757D"/>
    <w:rsid w:val="007B767D"/>
    <w:rsid w:val="007B7A7B"/>
    <w:rsid w:val="007B7D22"/>
    <w:rsid w:val="007C009F"/>
    <w:rsid w:val="007C03BE"/>
    <w:rsid w:val="007C0775"/>
    <w:rsid w:val="007C0785"/>
    <w:rsid w:val="007C08AE"/>
    <w:rsid w:val="007C08F9"/>
    <w:rsid w:val="007C0B7E"/>
    <w:rsid w:val="007C10F8"/>
    <w:rsid w:val="007C1175"/>
    <w:rsid w:val="007C1278"/>
    <w:rsid w:val="007C12CB"/>
    <w:rsid w:val="007C12F1"/>
    <w:rsid w:val="007C1605"/>
    <w:rsid w:val="007C1953"/>
    <w:rsid w:val="007C267F"/>
    <w:rsid w:val="007C2848"/>
    <w:rsid w:val="007C29B0"/>
    <w:rsid w:val="007C2ACA"/>
    <w:rsid w:val="007C2AD6"/>
    <w:rsid w:val="007C2F39"/>
    <w:rsid w:val="007C3219"/>
    <w:rsid w:val="007C352E"/>
    <w:rsid w:val="007C3C20"/>
    <w:rsid w:val="007C3F67"/>
    <w:rsid w:val="007C4296"/>
    <w:rsid w:val="007C42C4"/>
    <w:rsid w:val="007C4330"/>
    <w:rsid w:val="007C446A"/>
    <w:rsid w:val="007C44F0"/>
    <w:rsid w:val="007C4523"/>
    <w:rsid w:val="007C4566"/>
    <w:rsid w:val="007C46D0"/>
    <w:rsid w:val="007C47AB"/>
    <w:rsid w:val="007C4809"/>
    <w:rsid w:val="007C486B"/>
    <w:rsid w:val="007C4ACA"/>
    <w:rsid w:val="007C4B96"/>
    <w:rsid w:val="007C4E10"/>
    <w:rsid w:val="007C5122"/>
    <w:rsid w:val="007C52B7"/>
    <w:rsid w:val="007C557F"/>
    <w:rsid w:val="007C57D1"/>
    <w:rsid w:val="007C59EC"/>
    <w:rsid w:val="007C5C8C"/>
    <w:rsid w:val="007C5E6C"/>
    <w:rsid w:val="007C5FA4"/>
    <w:rsid w:val="007C60E3"/>
    <w:rsid w:val="007C611C"/>
    <w:rsid w:val="007C6167"/>
    <w:rsid w:val="007C6292"/>
    <w:rsid w:val="007C672A"/>
    <w:rsid w:val="007C67F5"/>
    <w:rsid w:val="007C6DDF"/>
    <w:rsid w:val="007C6EEC"/>
    <w:rsid w:val="007C6FAA"/>
    <w:rsid w:val="007C6FC0"/>
    <w:rsid w:val="007C7044"/>
    <w:rsid w:val="007C73E1"/>
    <w:rsid w:val="007C78DC"/>
    <w:rsid w:val="007C7D28"/>
    <w:rsid w:val="007C7D2B"/>
    <w:rsid w:val="007C7D65"/>
    <w:rsid w:val="007C7DDC"/>
    <w:rsid w:val="007D0259"/>
    <w:rsid w:val="007D084E"/>
    <w:rsid w:val="007D0866"/>
    <w:rsid w:val="007D08A1"/>
    <w:rsid w:val="007D0929"/>
    <w:rsid w:val="007D0AA9"/>
    <w:rsid w:val="007D0E70"/>
    <w:rsid w:val="007D12ED"/>
    <w:rsid w:val="007D13A3"/>
    <w:rsid w:val="007D1436"/>
    <w:rsid w:val="007D18FB"/>
    <w:rsid w:val="007D1CB0"/>
    <w:rsid w:val="007D22FC"/>
    <w:rsid w:val="007D23DF"/>
    <w:rsid w:val="007D254C"/>
    <w:rsid w:val="007D2AE7"/>
    <w:rsid w:val="007D2E75"/>
    <w:rsid w:val="007D2F3B"/>
    <w:rsid w:val="007D306A"/>
    <w:rsid w:val="007D328C"/>
    <w:rsid w:val="007D3803"/>
    <w:rsid w:val="007D3CE5"/>
    <w:rsid w:val="007D3ED1"/>
    <w:rsid w:val="007D3FCE"/>
    <w:rsid w:val="007D40EC"/>
    <w:rsid w:val="007D41AE"/>
    <w:rsid w:val="007D4251"/>
    <w:rsid w:val="007D48C7"/>
    <w:rsid w:val="007D4AF3"/>
    <w:rsid w:val="007D5C70"/>
    <w:rsid w:val="007D5C7E"/>
    <w:rsid w:val="007D6349"/>
    <w:rsid w:val="007D63C4"/>
    <w:rsid w:val="007D6B2B"/>
    <w:rsid w:val="007D742D"/>
    <w:rsid w:val="007D7472"/>
    <w:rsid w:val="007D756A"/>
    <w:rsid w:val="007D7574"/>
    <w:rsid w:val="007D7F82"/>
    <w:rsid w:val="007E0215"/>
    <w:rsid w:val="007E05B9"/>
    <w:rsid w:val="007E0866"/>
    <w:rsid w:val="007E0AC3"/>
    <w:rsid w:val="007E13D1"/>
    <w:rsid w:val="007E1454"/>
    <w:rsid w:val="007E1591"/>
    <w:rsid w:val="007E17C5"/>
    <w:rsid w:val="007E18DD"/>
    <w:rsid w:val="007E1A78"/>
    <w:rsid w:val="007E1B59"/>
    <w:rsid w:val="007E1C7C"/>
    <w:rsid w:val="007E1D5E"/>
    <w:rsid w:val="007E1DE6"/>
    <w:rsid w:val="007E1EE2"/>
    <w:rsid w:val="007E218F"/>
    <w:rsid w:val="007E281A"/>
    <w:rsid w:val="007E28F5"/>
    <w:rsid w:val="007E28FB"/>
    <w:rsid w:val="007E2942"/>
    <w:rsid w:val="007E2BC4"/>
    <w:rsid w:val="007E2D03"/>
    <w:rsid w:val="007E38B5"/>
    <w:rsid w:val="007E4028"/>
    <w:rsid w:val="007E419A"/>
    <w:rsid w:val="007E4253"/>
    <w:rsid w:val="007E4272"/>
    <w:rsid w:val="007E45A3"/>
    <w:rsid w:val="007E48D5"/>
    <w:rsid w:val="007E4933"/>
    <w:rsid w:val="007E4C0B"/>
    <w:rsid w:val="007E4F2C"/>
    <w:rsid w:val="007E4F8F"/>
    <w:rsid w:val="007E5083"/>
    <w:rsid w:val="007E5094"/>
    <w:rsid w:val="007E51DD"/>
    <w:rsid w:val="007E5AD5"/>
    <w:rsid w:val="007E5EAC"/>
    <w:rsid w:val="007E610C"/>
    <w:rsid w:val="007E61E5"/>
    <w:rsid w:val="007E62CD"/>
    <w:rsid w:val="007E6325"/>
    <w:rsid w:val="007E63CF"/>
    <w:rsid w:val="007E6712"/>
    <w:rsid w:val="007E6786"/>
    <w:rsid w:val="007E683C"/>
    <w:rsid w:val="007E6C5A"/>
    <w:rsid w:val="007E6E4C"/>
    <w:rsid w:val="007E6EDE"/>
    <w:rsid w:val="007E7AB8"/>
    <w:rsid w:val="007E7BE6"/>
    <w:rsid w:val="007E7DF9"/>
    <w:rsid w:val="007F0163"/>
    <w:rsid w:val="007F0344"/>
    <w:rsid w:val="007F06B2"/>
    <w:rsid w:val="007F06F8"/>
    <w:rsid w:val="007F08FA"/>
    <w:rsid w:val="007F09F0"/>
    <w:rsid w:val="007F0BF1"/>
    <w:rsid w:val="007F0CAF"/>
    <w:rsid w:val="007F137B"/>
    <w:rsid w:val="007F1C18"/>
    <w:rsid w:val="007F1C9D"/>
    <w:rsid w:val="007F1E47"/>
    <w:rsid w:val="007F2557"/>
    <w:rsid w:val="007F2962"/>
    <w:rsid w:val="007F2A4B"/>
    <w:rsid w:val="007F2C6B"/>
    <w:rsid w:val="007F35A5"/>
    <w:rsid w:val="007F3ED1"/>
    <w:rsid w:val="007F3F62"/>
    <w:rsid w:val="007F421C"/>
    <w:rsid w:val="007F42EF"/>
    <w:rsid w:val="007F4396"/>
    <w:rsid w:val="007F43C2"/>
    <w:rsid w:val="007F4569"/>
    <w:rsid w:val="007F4712"/>
    <w:rsid w:val="007F4876"/>
    <w:rsid w:val="007F4A74"/>
    <w:rsid w:val="007F4B2B"/>
    <w:rsid w:val="007F4C49"/>
    <w:rsid w:val="007F50B3"/>
    <w:rsid w:val="007F54F7"/>
    <w:rsid w:val="007F5613"/>
    <w:rsid w:val="007F59F9"/>
    <w:rsid w:val="007F5CFF"/>
    <w:rsid w:val="007F5DB9"/>
    <w:rsid w:val="007F5E91"/>
    <w:rsid w:val="007F5FD9"/>
    <w:rsid w:val="007F6423"/>
    <w:rsid w:val="007F64F4"/>
    <w:rsid w:val="007F7664"/>
    <w:rsid w:val="007F7A80"/>
    <w:rsid w:val="007F7C08"/>
    <w:rsid w:val="008003CA"/>
    <w:rsid w:val="008005FC"/>
    <w:rsid w:val="00800DCB"/>
    <w:rsid w:val="00800F67"/>
    <w:rsid w:val="008013D8"/>
    <w:rsid w:val="008014CE"/>
    <w:rsid w:val="0080152C"/>
    <w:rsid w:val="00801A28"/>
    <w:rsid w:val="00801B43"/>
    <w:rsid w:val="00801EAB"/>
    <w:rsid w:val="00801ED5"/>
    <w:rsid w:val="0080204F"/>
    <w:rsid w:val="00802091"/>
    <w:rsid w:val="00802119"/>
    <w:rsid w:val="008022FA"/>
    <w:rsid w:val="00802833"/>
    <w:rsid w:val="00802FD1"/>
    <w:rsid w:val="008030A1"/>
    <w:rsid w:val="008030B1"/>
    <w:rsid w:val="0080314E"/>
    <w:rsid w:val="008034F5"/>
    <w:rsid w:val="008035F9"/>
    <w:rsid w:val="00803A95"/>
    <w:rsid w:val="00804662"/>
    <w:rsid w:val="00804C23"/>
    <w:rsid w:val="00804D97"/>
    <w:rsid w:val="00805122"/>
    <w:rsid w:val="0080517D"/>
    <w:rsid w:val="00805240"/>
    <w:rsid w:val="00805B20"/>
    <w:rsid w:val="00805CF0"/>
    <w:rsid w:val="00805F4B"/>
    <w:rsid w:val="00805F9F"/>
    <w:rsid w:val="008061F4"/>
    <w:rsid w:val="0080622A"/>
    <w:rsid w:val="0080679E"/>
    <w:rsid w:val="008067E2"/>
    <w:rsid w:val="00806841"/>
    <w:rsid w:val="00806903"/>
    <w:rsid w:val="00806A0C"/>
    <w:rsid w:val="00806A88"/>
    <w:rsid w:val="00806B63"/>
    <w:rsid w:val="00806F68"/>
    <w:rsid w:val="008070B3"/>
    <w:rsid w:val="00807122"/>
    <w:rsid w:val="00807130"/>
    <w:rsid w:val="008073A2"/>
    <w:rsid w:val="008075C4"/>
    <w:rsid w:val="0080775E"/>
    <w:rsid w:val="00807805"/>
    <w:rsid w:val="008078B8"/>
    <w:rsid w:val="00807C7F"/>
    <w:rsid w:val="00807CCB"/>
    <w:rsid w:val="00807CF1"/>
    <w:rsid w:val="00807E73"/>
    <w:rsid w:val="00807F1F"/>
    <w:rsid w:val="00807FBE"/>
    <w:rsid w:val="00807FC3"/>
    <w:rsid w:val="008101FB"/>
    <w:rsid w:val="008104D8"/>
    <w:rsid w:val="008109E5"/>
    <w:rsid w:val="00810A5D"/>
    <w:rsid w:val="00810D9C"/>
    <w:rsid w:val="00810E26"/>
    <w:rsid w:val="00810E32"/>
    <w:rsid w:val="0081131C"/>
    <w:rsid w:val="008113E2"/>
    <w:rsid w:val="0081163E"/>
    <w:rsid w:val="00811B88"/>
    <w:rsid w:val="00811F9E"/>
    <w:rsid w:val="0081266F"/>
    <w:rsid w:val="00812F87"/>
    <w:rsid w:val="0081304E"/>
    <w:rsid w:val="008130C7"/>
    <w:rsid w:val="008133A1"/>
    <w:rsid w:val="0081369E"/>
    <w:rsid w:val="008137FB"/>
    <w:rsid w:val="00813D79"/>
    <w:rsid w:val="008145A5"/>
    <w:rsid w:val="0081480E"/>
    <w:rsid w:val="00814967"/>
    <w:rsid w:val="00814B2D"/>
    <w:rsid w:val="00814BAD"/>
    <w:rsid w:val="00814D22"/>
    <w:rsid w:val="008152A5"/>
    <w:rsid w:val="008155D3"/>
    <w:rsid w:val="0081588E"/>
    <w:rsid w:val="00815A54"/>
    <w:rsid w:val="00815CC7"/>
    <w:rsid w:val="00815D60"/>
    <w:rsid w:val="008161A4"/>
    <w:rsid w:val="0081649F"/>
    <w:rsid w:val="00816851"/>
    <w:rsid w:val="0081696E"/>
    <w:rsid w:val="00816B42"/>
    <w:rsid w:val="00816BBC"/>
    <w:rsid w:val="00816D37"/>
    <w:rsid w:val="00816D3A"/>
    <w:rsid w:val="00816D75"/>
    <w:rsid w:val="00817DE9"/>
    <w:rsid w:val="00817EE7"/>
    <w:rsid w:val="0082034A"/>
    <w:rsid w:val="0082046D"/>
    <w:rsid w:val="008206EB"/>
    <w:rsid w:val="00820C12"/>
    <w:rsid w:val="00820C90"/>
    <w:rsid w:val="00820CC0"/>
    <w:rsid w:val="00820D58"/>
    <w:rsid w:val="008210CE"/>
    <w:rsid w:val="00821570"/>
    <w:rsid w:val="0082177E"/>
    <w:rsid w:val="00821785"/>
    <w:rsid w:val="00821795"/>
    <w:rsid w:val="00821B63"/>
    <w:rsid w:val="0082209C"/>
    <w:rsid w:val="00822182"/>
    <w:rsid w:val="008224C4"/>
    <w:rsid w:val="0082289E"/>
    <w:rsid w:val="00822936"/>
    <w:rsid w:val="00822941"/>
    <w:rsid w:val="00822C4C"/>
    <w:rsid w:val="008230BF"/>
    <w:rsid w:val="0082319A"/>
    <w:rsid w:val="00823417"/>
    <w:rsid w:val="0082361B"/>
    <w:rsid w:val="0082378D"/>
    <w:rsid w:val="00823A54"/>
    <w:rsid w:val="00823C1C"/>
    <w:rsid w:val="0082414F"/>
    <w:rsid w:val="00824208"/>
    <w:rsid w:val="008243B5"/>
    <w:rsid w:val="00824480"/>
    <w:rsid w:val="008244AA"/>
    <w:rsid w:val="008245CF"/>
    <w:rsid w:val="008247E3"/>
    <w:rsid w:val="008248D5"/>
    <w:rsid w:val="00824D2B"/>
    <w:rsid w:val="00824DEF"/>
    <w:rsid w:val="00825296"/>
    <w:rsid w:val="008252F3"/>
    <w:rsid w:val="008258A6"/>
    <w:rsid w:val="00825E37"/>
    <w:rsid w:val="008260A4"/>
    <w:rsid w:val="0082616B"/>
    <w:rsid w:val="008261F4"/>
    <w:rsid w:val="008265D8"/>
    <w:rsid w:val="008265EA"/>
    <w:rsid w:val="008267CE"/>
    <w:rsid w:val="00826B4C"/>
    <w:rsid w:val="00826DE0"/>
    <w:rsid w:val="00827284"/>
    <w:rsid w:val="00827359"/>
    <w:rsid w:val="00827BB8"/>
    <w:rsid w:val="00827C49"/>
    <w:rsid w:val="00827F68"/>
    <w:rsid w:val="00830572"/>
    <w:rsid w:val="008306EB"/>
    <w:rsid w:val="00830803"/>
    <w:rsid w:val="00830A11"/>
    <w:rsid w:val="00830BA7"/>
    <w:rsid w:val="00830CFC"/>
    <w:rsid w:val="00830DDB"/>
    <w:rsid w:val="00831374"/>
    <w:rsid w:val="00831C6D"/>
    <w:rsid w:val="00831D5C"/>
    <w:rsid w:val="00831F4F"/>
    <w:rsid w:val="0083282A"/>
    <w:rsid w:val="00832A72"/>
    <w:rsid w:val="00832F96"/>
    <w:rsid w:val="00833000"/>
    <w:rsid w:val="00833043"/>
    <w:rsid w:val="0083307F"/>
    <w:rsid w:val="00833733"/>
    <w:rsid w:val="008339A8"/>
    <w:rsid w:val="00833AFB"/>
    <w:rsid w:val="00833BB4"/>
    <w:rsid w:val="00833C18"/>
    <w:rsid w:val="00833D03"/>
    <w:rsid w:val="00833E3F"/>
    <w:rsid w:val="00834CB1"/>
    <w:rsid w:val="00835587"/>
    <w:rsid w:val="008355F6"/>
    <w:rsid w:val="0083571D"/>
    <w:rsid w:val="008357A1"/>
    <w:rsid w:val="008359AC"/>
    <w:rsid w:val="008359D0"/>
    <w:rsid w:val="00836574"/>
    <w:rsid w:val="008367F3"/>
    <w:rsid w:val="0083690A"/>
    <w:rsid w:val="00836BFA"/>
    <w:rsid w:val="00836DE2"/>
    <w:rsid w:val="00837024"/>
    <w:rsid w:val="0083734D"/>
    <w:rsid w:val="00837520"/>
    <w:rsid w:val="008378B0"/>
    <w:rsid w:val="00837AEE"/>
    <w:rsid w:val="00837F53"/>
    <w:rsid w:val="0084017D"/>
    <w:rsid w:val="008402C2"/>
    <w:rsid w:val="00840642"/>
    <w:rsid w:val="008408C6"/>
    <w:rsid w:val="00840996"/>
    <w:rsid w:val="00840C2D"/>
    <w:rsid w:val="00840C79"/>
    <w:rsid w:val="00841153"/>
    <w:rsid w:val="0084138A"/>
    <w:rsid w:val="00841429"/>
    <w:rsid w:val="008414B2"/>
    <w:rsid w:val="0084153A"/>
    <w:rsid w:val="00841590"/>
    <w:rsid w:val="00841679"/>
    <w:rsid w:val="00841869"/>
    <w:rsid w:val="00841873"/>
    <w:rsid w:val="008418FA"/>
    <w:rsid w:val="00841BA2"/>
    <w:rsid w:val="00841E37"/>
    <w:rsid w:val="00841F15"/>
    <w:rsid w:val="00841F41"/>
    <w:rsid w:val="00841FC2"/>
    <w:rsid w:val="0084241C"/>
    <w:rsid w:val="00842598"/>
    <w:rsid w:val="00842B3F"/>
    <w:rsid w:val="00842C7C"/>
    <w:rsid w:val="00842CA3"/>
    <w:rsid w:val="00842DB5"/>
    <w:rsid w:val="00842E0F"/>
    <w:rsid w:val="0084317B"/>
    <w:rsid w:val="008432F6"/>
    <w:rsid w:val="00843776"/>
    <w:rsid w:val="00843C9C"/>
    <w:rsid w:val="00843EA6"/>
    <w:rsid w:val="00843FCD"/>
    <w:rsid w:val="00844039"/>
    <w:rsid w:val="008445A2"/>
    <w:rsid w:val="008449BD"/>
    <w:rsid w:val="008449EB"/>
    <w:rsid w:val="00844BC8"/>
    <w:rsid w:val="00844EB5"/>
    <w:rsid w:val="00845691"/>
    <w:rsid w:val="008456CC"/>
    <w:rsid w:val="008456EC"/>
    <w:rsid w:val="008459F7"/>
    <w:rsid w:val="00845A1C"/>
    <w:rsid w:val="00845AAE"/>
    <w:rsid w:val="00845AB0"/>
    <w:rsid w:val="00845D17"/>
    <w:rsid w:val="00845E2B"/>
    <w:rsid w:val="00845EA3"/>
    <w:rsid w:val="008463EE"/>
    <w:rsid w:val="008465F9"/>
    <w:rsid w:val="008467BA"/>
    <w:rsid w:val="0084685B"/>
    <w:rsid w:val="00846C1B"/>
    <w:rsid w:val="008477DF"/>
    <w:rsid w:val="008479BC"/>
    <w:rsid w:val="00847D7B"/>
    <w:rsid w:val="008505A9"/>
    <w:rsid w:val="00850982"/>
    <w:rsid w:val="008510EE"/>
    <w:rsid w:val="00851172"/>
    <w:rsid w:val="00851371"/>
    <w:rsid w:val="0085141A"/>
    <w:rsid w:val="00851E45"/>
    <w:rsid w:val="00852045"/>
    <w:rsid w:val="008521EA"/>
    <w:rsid w:val="00852379"/>
    <w:rsid w:val="00852535"/>
    <w:rsid w:val="0085255D"/>
    <w:rsid w:val="008525EE"/>
    <w:rsid w:val="00852674"/>
    <w:rsid w:val="00852916"/>
    <w:rsid w:val="00852A6B"/>
    <w:rsid w:val="0085362F"/>
    <w:rsid w:val="008536DA"/>
    <w:rsid w:val="0085373C"/>
    <w:rsid w:val="0085379F"/>
    <w:rsid w:val="00853831"/>
    <w:rsid w:val="008538DF"/>
    <w:rsid w:val="00853B06"/>
    <w:rsid w:val="00853E44"/>
    <w:rsid w:val="008544FD"/>
    <w:rsid w:val="008548AE"/>
    <w:rsid w:val="00854B08"/>
    <w:rsid w:val="00854DAA"/>
    <w:rsid w:val="00854E17"/>
    <w:rsid w:val="008550F1"/>
    <w:rsid w:val="0085511E"/>
    <w:rsid w:val="0085515F"/>
    <w:rsid w:val="008554C6"/>
    <w:rsid w:val="00855503"/>
    <w:rsid w:val="0085557E"/>
    <w:rsid w:val="00855847"/>
    <w:rsid w:val="00855AAB"/>
    <w:rsid w:val="00855DB3"/>
    <w:rsid w:val="00855DED"/>
    <w:rsid w:val="00855E41"/>
    <w:rsid w:val="00855F10"/>
    <w:rsid w:val="00856308"/>
    <w:rsid w:val="008566E5"/>
    <w:rsid w:val="00856BDD"/>
    <w:rsid w:val="00856E1A"/>
    <w:rsid w:val="00856E4E"/>
    <w:rsid w:val="00856FBA"/>
    <w:rsid w:val="008571F2"/>
    <w:rsid w:val="008573D5"/>
    <w:rsid w:val="008577C2"/>
    <w:rsid w:val="00857A55"/>
    <w:rsid w:val="00857D6F"/>
    <w:rsid w:val="00857FF8"/>
    <w:rsid w:val="0086011B"/>
    <w:rsid w:val="00860598"/>
    <w:rsid w:val="00860E3A"/>
    <w:rsid w:val="00860FED"/>
    <w:rsid w:val="0086107E"/>
    <w:rsid w:val="00861121"/>
    <w:rsid w:val="00861395"/>
    <w:rsid w:val="00861516"/>
    <w:rsid w:val="0086157B"/>
    <w:rsid w:val="00861B04"/>
    <w:rsid w:val="00861FEC"/>
    <w:rsid w:val="008621F0"/>
    <w:rsid w:val="00862237"/>
    <w:rsid w:val="008622C6"/>
    <w:rsid w:val="0086236B"/>
    <w:rsid w:val="00862515"/>
    <w:rsid w:val="0086253F"/>
    <w:rsid w:val="0086260A"/>
    <w:rsid w:val="008626F9"/>
    <w:rsid w:val="0086277E"/>
    <w:rsid w:val="00862837"/>
    <w:rsid w:val="008628B6"/>
    <w:rsid w:val="00862ABC"/>
    <w:rsid w:val="00862C11"/>
    <w:rsid w:val="00862FB3"/>
    <w:rsid w:val="00863254"/>
    <w:rsid w:val="0086332D"/>
    <w:rsid w:val="00863467"/>
    <w:rsid w:val="0086347A"/>
    <w:rsid w:val="00863614"/>
    <w:rsid w:val="00863C00"/>
    <w:rsid w:val="00864390"/>
    <w:rsid w:val="00864646"/>
    <w:rsid w:val="00864852"/>
    <w:rsid w:val="008649FB"/>
    <w:rsid w:val="00864BB1"/>
    <w:rsid w:val="00864D84"/>
    <w:rsid w:val="00865252"/>
    <w:rsid w:val="00865584"/>
    <w:rsid w:val="00865950"/>
    <w:rsid w:val="0086598B"/>
    <w:rsid w:val="00865D1F"/>
    <w:rsid w:val="00865D40"/>
    <w:rsid w:val="00865ED9"/>
    <w:rsid w:val="00866492"/>
    <w:rsid w:val="008667F9"/>
    <w:rsid w:val="00866C7F"/>
    <w:rsid w:val="008672A7"/>
    <w:rsid w:val="008672F0"/>
    <w:rsid w:val="008678A3"/>
    <w:rsid w:val="00867B01"/>
    <w:rsid w:val="00867B7A"/>
    <w:rsid w:val="00867BEA"/>
    <w:rsid w:val="00867D08"/>
    <w:rsid w:val="00870178"/>
    <w:rsid w:val="0087018B"/>
    <w:rsid w:val="0087020E"/>
    <w:rsid w:val="00870306"/>
    <w:rsid w:val="0087062B"/>
    <w:rsid w:val="00870B20"/>
    <w:rsid w:val="00870D90"/>
    <w:rsid w:val="00870DD7"/>
    <w:rsid w:val="00870F6A"/>
    <w:rsid w:val="00870F83"/>
    <w:rsid w:val="008711E4"/>
    <w:rsid w:val="008712A8"/>
    <w:rsid w:val="00871401"/>
    <w:rsid w:val="008714F0"/>
    <w:rsid w:val="008714FC"/>
    <w:rsid w:val="0087172E"/>
    <w:rsid w:val="00871755"/>
    <w:rsid w:val="00871C68"/>
    <w:rsid w:val="00871D99"/>
    <w:rsid w:val="008729FD"/>
    <w:rsid w:val="00872B52"/>
    <w:rsid w:val="00872BC4"/>
    <w:rsid w:val="00873075"/>
    <w:rsid w:val="0087321B"/>
    <w:rsid w:val="008733C4"/>
    <w:rsid w:val="00873755"/>
    <w:rsid w:val="0087377F"/>
    <w:rsid w:val="0087387B"/>
    <w:rsid w:val="008739CB"/>
    <w:rsid w:val="00873BDF"/>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4F0"/>
    <w:rsid w:val="00875569"/>
    <w:rsid w:val="00875C4D"/>
    <w:rsid w:val="00875C94"/>
    <w:rsid w:val="00875D52"/>
    <w:rsid w:val="00875F4C"/>
    <w:rsid w:val="008760B2"/>
    <w:rsid w:val="00876263"/>
    <w:rsid w:val="00876C1D"/>
    <w:rsid w:val="00876CAE"/>
    <w:rsid w:val="00876DBF"/>
    <w:rsid w:val="00876E2B"/>
    <w:rsid w:val="00876F11"/>
    <w:rsid w:val="00877040"/>
    <w:rsid w:val="00877083"/>
    <w:rsid w:val="008771D2"/>
    <w:rsid w:val="00877C55"/>
    <w:rsid w:val="00877DBB"/>
    <w:rsid w:val="008801F1"/>
    <w:rsid w:val="008807BD"/>
    <w:rsid w:val="008807CA"/>
    <w:rsid w:val="008807F4"/>
    <w:rsid w:val="00880894"/>
    <w:rsid w:val="00880913"/>
    <w:rsid w:val="0088093F"/>
    <w:rsid w:val="00880958"/>
    <w:rsid w:val="00881324"/>
    <w:rsid w:val="00881899"/>
    <w:rsid w:val="00881903"/>
    <w:rsid w:val="00881DC4"/>
    <w:rsid w:val="0088204F"/>
    <w:rsid w:val="0088273C"/>
    <w:rsid w:val="00882912"/>
    <w:rsid w:val="00882B50"/>
    <w:rsid w:val="00882F35"/>
    <w:rsid w:val="0088301F"/>
    <w:rsid w:val="008832EF"/>
    <w:rsid w:val="008833D6"/>
    <w:rsid w:val="0088351C"/>
    <w:rsid w:val="00883D7F"/>
    <w:rsid w:val="008840E8"/>
    <w:rsid w:val="008841EB"/>
    <w:rsid w:val="00884226"/>
    <w:rsid w:val="0088464A"/>
    <w:rsid w:val="00884F10"/>
    <w:rsid w:val="00885183"/>
    <w:rsid w:val="0088577F"/>
    <w:rsid w:val="00885A59"/>
    <w:rsid w:val="00885C70"/>
    <w:rsid w:val="00885DCA"/>
    <w:rsid w:val="00885E46"/>
    <w:rsid w:val="00885F50"/>
    <w:rsid w:val="0088609A"/>
    <w:rsid w:val="00886350"/>
    <w:rsid w:val="00886484"/>
    <w:rsid w:val="00886746"/>
    <w:rsid w:val="00886941"/>
    <w:rsid w:val="00886BD4"/>
    <w:rsid w:val="00886E2A"/>
    <w:rsid w:val="00886FF3"/>
    <w:rsid w:val="0088776B"/>
    <w:rsid w:val="00887DC9"/>
    <w:rsid w:val="008900DE"/>
    <w:rsid w:val="0089043D"/>
    <w:rsid w:val="008904D0"/>
    <w:rsid w:val="0089051E"/>
    <w:rsid w:val="00890579"/>
    <w:rsid w:val="008905FB"/>
    <w:rsid w:val="00890616"/>
    <w:rsid w:val="0089094A"/>
    <w:rsid w:val="00890C39"/>
    <w:rsid w:val="00890CB4"/>
    <w:rsid w:val="00890D26"/>
    <w:rsid w:val="0089196E"/>
    <w:rsid w:val="00891A14"/>
    <w:rsid w:val="00891A27"/>
    <w:rsid w:val="00891A62"/>
    <w:rsid w:val="00891B6C"/>
    <w:rsid w:val="00891C3B"/>
    <w:rsid w:val="00891FD8"/>
    <w:rsid w:val="00892A82"/>
    <w:rsid w:val="00892EC1"/>
    <w:rsid w:val="00892FB6"/>
    <w:rsid w:val="00893089"/>
    <w:rsid w:val="00893420"/>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A3"/>
    <w:rsid w:val="00894EF5"/>
    <w:rsid w:val="00894F96"/>
    <w:rsid w:val="0089512B"/>
    <w:rsid w:val="008951FB"/>
    <w:rsid w:val="00895741"/>
    <w:rsid w:val="0089579F"/>
    <w:rsid w:val="008958F0"/>
    <w:rsid w:val="00895B1A"/>
    <w:rsid w:val="00895D42"/>
    <w:rsid w:val="00895D7A"/>
    <w:rsid w:val="00895F08"/>
    <w:rsid w:val="008960B3"/>
    <w:rsid w:val="0089619A"/>
    <w:rsid w:val="008963AE"/>
    <w:rsid w:val="0089656F"/>
    <w:rsid w:val="00896AD3"/>
    <w:rsid w:val="008972B3"/>
    <w:rsid w:val="008973CF"/>
    <w:rsid w:val="0089749C"/>
    <w:rsid w:val="00897685"/>
    <w:rsid w:val="00897A04"/>
    <w:rsid w:val="00897CF3"/>
    <w:rsid w:val="008A04DA"/>
    <w:rsid w:val="008A0A95"/>
    <w:rsid w:val="008A0CEB"/>
    <w:rsid w:val="008A1AAE"/>
    <w:rsid w:val="008A1E6D"/>
    <w:rsid w:val="008A2A08"/>
    <w:rsid w:val="008A3122"/>
    <w:rsid w:val="008A33A4"/>
    <w:rsid w:val="008A33B8"/>
    <w:rsid w:val="008A38D5"/>
    <w:rsid w:val="008A3F10"/>
    <w:rsid w:val="008A4134"/>
    <w:rsid w:val="008A4420"/>
    <w:rsid w:val="008A45A4"/>
    <w:rsid w:val="008A4870"/>
    <w:rsid w:val="008A48CA"/>
    <w:rsid w:val="008A49EF"/>
    <w:rsid w:val="008A4A5C"/>
    <w:rsid w:val="008A4BBE"/>
    <w:rsid w:val="008A5529"/>
    <w:rsid w:val="008A5E5E"/>
    <w:rsid w:val="008A60E4"/>
    <w:rsid w:val="008A622A"/>
    <w:rsid w:val="008A672D"/>
    <w:rsid w:val="008A69A0"/>
    <w:rsid w:val="008A6AC4"/>
    <w:rsid w:val="008A6DC7"/>
    <w:rsid w:val="008A6EF1"/>
    <w:rsid w:val="008A71A5"/>
    <w:rsid w:val="008A735C"/>
    <w:rsid w:val="008A73B8"/>
    <w:rsid w:val="008A765D"/>
    <w:rsid w:val="008A7777"/>
    <w:rsid w:val="008A789F"/>
    <w:rsid w:val="008A79A4"/>
    <w:rsid w:val="008A79CA"/>
    <w:rsid w:val="008A7EA6"/>
    <w:rsid w:val="008A7F15"/>
    <w:rsid w:val="008B0195"/>
    <w:rsid w:val="008B02FE"/>
    <w:rsid w:val="008B03E6"/>
    <w:rsid w:val="008B054B"/>
    <w:rsid w:val="008B073A"/>
    <w:rsid w:val="008B0873"/>
    <w:rsid w:val="008B096C"/>
    <w:rsid w:val="008B0EBE"/>
    <w:rsid w:val="008B0EF1"/>
    <w:rsid w:val="008B0F8A"/>
    <w:rsid w:val="008B1573"/>
    <w:rsid w:val="008B160D"/>
    <w:rsid w:val="008B1B96"/>
    <w:rsid w:val="008B1DEE"/>
    <w:rsid w:val="008B1E82"/>
    <w:rsid w:val="008B1F83"/>
    <w:rsid w:val="008B2106"/>
    <w:rsid w:val="008B2A26"/>
    <w:rsid w:val="008B2CA4"/>
    <w:rsid w:val="008B2D42"/>
    <w:rsid w:val="008B2DA0"/>
    <w:rsid w:val="008B2FE9"/>
    <w:rsid w:val="008B32AD"/>
    <w:rsid w:val="008B335B"/>
    <w:rsid w:val="008B355F"/>
    <w:rsid w:val="008B3F08"/>
    <w:rsid w:val="008B3F3C"/>
    <w:rsid w:val="008B413E"/>
    <w:rsid w:val="008B4AFD"/>
    <w:rsid w:val="008B4B42"/>
    <w:rsid w:val="008B4D21"/>
    <w:rsid w:val="008B4F65"/>
    <w:rsid w:val="008B4FEA"/>
    <w:rsid w:val="008B50D9"/>
    <w:rsid w:val="008B5220"/>
    <w:rsid w:val="008B5398"/>
    <w:rsid w:val="008B54AA"/>
    <w:rsid w:val="008B54C1"/>
    <w:rsid w:val="008B568F"/>
    <w:rsid w:val="008B56C9"/>
    <w:rsid w:val="008B587C"/>
    <w:rsid w:val="008B6075"/>
    <w:rsid w:val="008B6093"/>
    <w:rsid w:val="008B625E"/>
    <w:rsid w:val="008B656F"/>
    <w:rsid w:val="008B6723"/>
    <w:rsid w:val="008B6753"/>
    <w:rsid w:val="008B697A"/>
    <w:rsid w:val="008B6B4E"/>
    <w:rsid w:val="008B6BFB"/>
    <w:rsid w:val="008B6C20"/>
    <w:rsid w:val="008B6DAF"/>
    <w:rsid w:val="008B6F8C"/>
    <w:rsid w:val="008B7889"/>
    <w:rsid w:val="008B788C"/>
    <w:rsid w:val="008B7B5B"/>
    <w:rsid w:val="008B7F1E"/>
    <w:rsid w:val="008B7F27"/>
    <w:rsid w:val="008C0170"/>
    <w:rsid w:val="008C024F"/>
    <w:rsid w:val="008C03C6"/>
    <w:rsid w:val="008C045C"/>
    <w:rsid w:val="008C0699"/>
    <w:rsid w:val="008C0927"/>
    <w:rsid w:val="008C0B7F"/>
    <w:rsid w:val="008C0B98"/>
    <w:rsid w:val="008C0E56"/>
    <w:rsid w:val="008C1190"/>
    <w:rsid w:val="008C11AF"/>
    <w:rsid w:val="008C1699"/>
    <w:rsid w:val="008C18DC"/>
    <w:rsid w:val="008C1CAE"/>
    <w:rsid w:val="008C22F6"/>
    <w:rsid w:val="008C237D"/>
    <w:rsid w:val="008C2479"/>
    <w:rsid w:val="008C2678"/>
    <w:rsid w:val="008C272D"/>
    <w:rsid w:val="008C2D9B"/>
    <w:rsid w:val="008C2FC3"/>
    <w:rsid w:val="008C309A"/>
    <w:rsid w:val="008C3347"/>
    <w:rsid w:val="008C38A4"/>
    <w:rsid w:val="008C3BD1"/>
    <w:rsid w:val="008C3DDB"/>
    <w:rsid w:val="008C42F8"/>
    <w:rsid w:val="008C454E"/>
    <w:rsid w:val="008C478E"/>
    <w:rsid w:val="008C4902"/>
    <w:rsid w:val="008C4A3A"/>
    <w:rsid w:val="008C4BBB"/>
    <w:rsid w:val="008C4D8C"/>
    <w:rsid w:val="008C4F96"/>
    <w:rsid w:val="008C546F"/>
    <w:rsid w:val="008C5865"/>
    <w:rsid w:val="008C5DD7"/>
    <w:rsid w:val="008C5E93"/>
    <w:rsid w:val="008C61FD"/>
    <w:rsid w:val="008C6566"/>
    <w:rsid w:val="008C6B11"/>
    <w:rsid w:val="008C6D24"/>
    <w:rsid w:val="008C716F"/>
    <w:rsid w:val="008C71C2"/>
    <w:rsid w:val="008C77CE"/>
    <w:rsid w:val="008C78A6"/>
    <w:rsid w:val="008C7B9A"/>
    <w:rsid w:val="008C7BE9"/>
    <w:rsid w:val="008D015D"/>
    <w:rsid w:val="008D0434"/>
    <w:rsid w:val="008D04C1"/>
    <w:rsid w:val="008D0596"/>
    <w:rsid w:val="008D0794"/>
    <w:rsid w:val="008D08AF"/>
    <w:rsid w:val="008D094A"/>
    <w:rsid w:val="008D0BF6"/>
    <w:rsid w:val="008D1154"/>
    <w:rsid w:val="008D1234"/>
    <w:rsid w:val="008D1460"/>
    <w:rsid w:val="008D156A"/>
    <w:rsid w:val="008D18B6"/>
    <w:rsid w:val="008D1975"/>
    <w:rsid w:val="008D1E84"/>
    <w:rsid w:val="008D1F89"/>
    <w:rsid w:val="008D209E"/>
    <w:rsid w:val="008D225D"/>
    <w:rsid w:val="008D2441"/>
    <w:rsid w:val="008D24BB"/>
    <w:rsid w:val="008D2609"/>
    <w:rsid w:val="008D2622"/>
    <w:rsid w:val="008D2858"/>
    <w:rsid w:val="008D28C1"/>
    <w:rsid w:val="008D3212"/>
    <w:rsid w:val="008D34E8"/>
    <w:rsid w:val="008D3666"/>
    <w:rsid w:val="008D3E85"/>
    <w:rsid w:val="008D4052"/>
    <w:rsid w:val="008D41AA"/>
    <w:rsid w:val="008D43B4"/>
    <w:rsid w:val="008D44E8"/>
    <w:rsid w:val="008D47A3"/>
    <w:rsid w:val="008D4836"/>
    <w:rsid w:val="008D4AEF"/>
    <w:rsid w:val="008D5226"/>
    <w:rsid w:val="008D552C"/>
    <w:rsid w:val="008D56A9"/>
    <w:rsid w:val="008D5E54"/>
    <w:rsid w:val="008D5F2A"/>
    <w:rsid w:val="008D5FDD"/>
    <w:rsid w:val="008D6090"/>
    <w:rsid w:val="008D67D8"/>
    <w:rsid w:val="008D6810"/>
    <w:rsid w:val="008D6B81"/>
    <w:rsid w:val="008D6C20"/>
    <w:rsid w:val="008D7566"/>
    <w:rsid w:val="008D7B31"/>
    <w:rsid w:val="008D7BCC"/>
    <w:rsid w:val="008D7C3C"/>
    <w:rsid w:val="008D7CF4"/>
    <w:rsid w:val="008D7D61"/>
    <w:rsid w:val="008D7DB5"/>
    <w:rsid w:val="008D7EA5"/>
    <w:rsid w:val="008E0518"/>
    <w:rsid w:val="008E07C3"/>
    <w:rsid w:val="008E09C3"/>
    <w:rsid w:val="008E1015"/>
    <w:rsid w:val="008E15F7"/>
    <w:rsid w:val="008E1B1D"/>
    <w:rsid w:val="008E1F12"/>
    <w:rsid w:val="008E1F57"/>
    <w:rsid w:val="008E2150"/>
    <w:rsid w:val="008E21DC"/>
    <w:rsid w:val="008E24D9"/>
    <w:rsid w:val="008E26D3"/>
    <w:rsid w:val="008E2985"/>
    <w:rsid w:val="008E2BA0"/>
    <w:rsid w:val="008E2BA7"/>
    <w:rsid w:val="008E2BD4"/>
    <w:rsid w:val="008E35BC"/>
    <w:rsid w:val="008E3878"/>
    <w:rsid w:val="008E38FD"/>
    <w:rsid w:val="008E3A53"/>
    <w:rsid w:val="008E3B44"/>
    <w:rsid w:val="008E3C8F"/>
    <w:rsid w:val="008E3F55"/>
    <w:rsid w:val="008E417C"/>
    <w:rsid w:val="008E496D"/>
    <w:rsid w:val="008E4A29"/>
    <w:rsid w:val="008E4D69"/>
    <w:rsid w:val="008E4F20"/>
    <w:rsid w:val="008E4FB3"/>
    <w:rsid w:val="008E50FD"/>
    <w:rsid w:val="008E5235"/>
    <w:rsid w:val="008E534C"/>
    <w:rsid w:val="008E53C0"/>
    <w:rsid w:val="008E547D"/>
    <w:rsid w:val="008E5570"/>
    <w:rsid w:val="008E5745"/>
    <w:rsid w:val="008E5771"/>
    <w:rsid w:val="008E5A2A"/>
    <w:rsid w:val="008E5A2D"/>
    <w:rsid w:val="008E5C40"/>
    <w:rsid w:val="008E5FC0"/>
    <w:rsid w:val="008E6268"/>
    <w:rsid w:val="008E65DC"/>
    <w:rsid w:val="008E692F"/>
    <w:rsid w:val="008E6A21"/>
    <w:rsid w:val="008E6B13"/>
    <w:rsid w:val="008E6F3E"/>
    <w:rsid w:val="008E701F"/>
    <w:rsid w:val="008E7190"/>
    <w:rsid w:val="008E72A2"/>
    <w:rsid w:val="008E7338"/>
    <w:rsid w:val="008E76E0"/>
    <w:rsid w:val="008E7A19"/>
    <w:rsid w:val="008E7B12"/>
    <w:rsid w:val="008E7B4A"/>
    <w:rsid w:val="008E7E69"/>
    <w:rsid w:val="008E7F78"/>
    <w:rsid w:val="008F036D"/>
    <w:rsid w:val="008F037A"/>
    <w:rsid w:val="008F0962"/>
    <w:rsid w:val="008F0969"/>
    <w:rsid w:val="008F0E85"/>
    <w:rsid w:val="008F1255"/>
    <w:rsid w:val="008F12DD"/>
    <w:rsid w:val="008F133E"/>
    <w:rsid w:val="008F15C3"/>
    <w:rsid w:val="008F1930"/>
    <w:rsid w:val="008F19F7"/>
    <w:rsid w:val="008F1A12"/>
    <w:rsid w:val="008F1AE0"/>
    <w:rsid w:val="008F1B3C"/>
    <w:rsid w:val="008F205F"/>
    <w:rsid w:val="008F20F7"/>
    <w:rsid w:val="008F211E"/>
    <w:rsid w:val="008F21B7"/>
    <w:rsid w:val="008F269F"/>
    <w:rsid w:val="008F28EB"/>
    <w:rsid w:val="008F2FF8"/>
    <w:rsid w:val="008F3234"/>
    <w:rsid w:val="008F35B2"/>
    <w:rsid w:val="008F3B3B"/>
    <w:rsid w:val="008F3BB5"/>
    <w:rsid w:val="008F3D81"/>
    <w:rsid w:val="008F3E7F"/>
    <w:rsid w:val="008F3FB6"/>
    <w:rsid w:val="008F434F"/>
    <w:rsid w:val="008F437B"/>
    <w:rsid w:val="008F445F"/>
    <w:rsid w:val="008F47E5"/>
    <w:rsid w:val="008F4AE9"/>
    <w:rsid w:val="008F4B62"/>
    <w:rsid w:val="008F4DD4"/>
    <w:rsid w:val="008F4EAC"/>
    <w:rsid w:val="008F524E"/>
    <w:rsid w:val="008F5334"/>
    <w:rsid w:val="008F6061"/>
    <w:rsid w:val="008F6744"/>
    <w:rsid w:val="008F689A"/>
    <w:rsid w:val="008F6988"/>
    <w:rsid w:val="008F6B7D"/>
    <w:rsid w:val="008F6F02"/>
    <w:rsid w:val="008F6FF9"/>
    <w:rsid w:val="008F727D"/>
    <w:rsid w:val="008F732F"/>
    <w:rsid w:val="008F734A"/>
    <w:rsid w:val="008F7428"/>
    <w:rsid w:val="008F76B1"/>
    <w:rsid w:val="008F7705"/>
    <w:rsid w:val="008F7881"/>
    <w:rsid w:val="00900314"/>
    <w:rsid w:val="00900456"/>
    <w:rsid w:val="00900AA9"/>
    <w:rsid w:val="00900DD0"/>
    <w:rsid w:val="00900F43"/>
    <w:rsid w:val="0090121B"/>
    <w:rsid w:val="00901668"/>
    <w:rsid w:val="00901C18"/>
    <w:rsid w:val="00901E5A"/>
    <w:rsid w:val="00901F46"/>
    <w:rsid w:val="0090246D"/>
    <w:rsid w:val="00902538"/>
    <w:rsid w:val="00902893"/>
    <w:rsid w:val="00902B75"/>
    <w:rsid w:val="00902C70"/>
    <w:rsid w:val="00902D9A"/>
    <w:rsid w:val="0090340C"/>
    <w:rsid w:val="00903443"/>
    <w:rsid w:val="00903707"/>
    <w:rsid w:val="0090379D"/>
    <w:rsid w:val="0090386B"/>
    <w:rsid w:val="00903924"/>
    <w:rsid w:val="00903AE8"/>
    <w:rsid w:val="00903BC8"/>
    <w:rsid w:val="00903FBC"/>
    <w:rsid w:val="00904008"/>
    <w:rsid w:val="009044A4"/>
    <w:rsid w:val="009047EC"/>
    <w:rsid w:val="00904B18"/>
    <w:rsid w:val="00904B80"/>
    <w:rsid w:val="00904DED"/>
    <w:rsid w:val="0090508B"/>
    <w:rsid w:val="00905219"/>
    <w:rsid w:val="0090528F"/>
    <w:rsid w:val="0090545A"/>
    <w:rsid w:val="009055C4"/>
    <w:rsid w:val="00905FA6"/>
    <w:rsid w:val="00906350"/>
    <w:rsid w:val="0090645D"/>
    <w:rsid w:val="009064EF"/>
    <w:rsid w:val="00906770"/>
    <w:rsid w:val="00906CDC"/>
    <w:rsid w:val="00906EA5"/>
    <w:rsid w:val="00906ED3"/>
    <w:rsid w:val="00907019"/>
    <w:rsid w:val="009072E9"/>
    <w:rsid w:val="0090735B"/>
    <w:rsid w:val="009074FE"/>
    <w:rsid w:val="009075C0"/>
    <w:rsid w:val="00907EFE"/>
    <w:rsid w:val="00910003"/>
    <w:rsid w:val="00910037"/>
    <w:rsid w:val="009100AC"/>
    <w:rsid w:val="0091015F"/>
    <w:rsid w:val="009101EB"/>
    <w:rsid w:val="00910409"/>
    <w:rsid w:val="00910472"/>
    <w:rsid w:val="009109C4"/>
    <w:rsid w:val="00910C9F"/>
    <w:rsid w:val="00910E2D"/>
    <w:rsid w:val="00910EA1"/>
    <w:rsid w:val="00910EA2"/>
    <w:rsid w:val="00911587"/>
    <w:rsid w:val="00911682"/>
    <w:rsid w:val="00911801"/>
    <w:rsid w:val="0091196B"/>
    <w:rsid w:val="00912049"/>
    <w:rsid w:val="0091223D"/>
    <w:rsid w:val="00912526"/>
    <w:rsid w:val="0091252A"/>
    <w:rsid w:val="00912725"/>
    <w:rsid w:val="009127E9"/>
    <w:rsid w:val="00912CC1"/>
    <w:rsid w:val="00912DEE"/>
    <w:rsid w:val="00913232"/>
    <w:rsid w:val="009134EF"/>
    <w:rsid w:val="009137A9"/>
    <w:rsid w:val="0091394F"/>
    <w:rsid w:val="00913A9B"/>
    <w:rsid w:val="00913B07"/>
    <w:rsid w:val="00913D29"/>
    <w:rsid w:val="00913E0E"/>
    <w:rsid w:val="00913E1D"/>
    <w:rsid w:val="00913FDA"/>
    <w:rsid w:val="00914406"/>
    <w:rsid w:val="0091455F"/>
    <w:rsid w:val="00914887"/>
    <w:rsid w:val="009149BB"/>
    <w:rsid w:val="009149C9"/>
    <w:rsid w:val="00914BFA"/>
    <w:rsid w:val="00914E86"/>
    <w:rsid w:val="00915484"/>
    <w:rsid w:val="009155DE"/>
    <w:rsid w:val="00915739"/>
    <w:rsid w:val="00915BAA"/>
    <w:rsid w:val="00915FEC"/>
    <w:rsid w:val="0091620D"/>
    <w:rsid w:val="0091627F"/>
    <w:rsid w:val="00916283"/>
    <w:rsid w:val="009163AA"/>
    <w:rsid w:val="00916518"/>
    <w:rsid w:val="00916BC5"/>
    <w:rsid w:val="00916F35"/>
    <w:rsid w:val="0091728B"/>
    <w:rsid w:val="0091735C"/>
    <w:rsid w:val="00917728"/>
    <w:rsid w:val="0091798F"/>
    <w:rsid w:val="00917ACC"/>
    <w:rsid w:val="00917B10"/>
    <w:rsid w:val="00917D2E"/>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202F"/>
    <w:rsid w:val="009222E4"/>
    <w:rsid w:val="00922509"/>
    <w:rsid w:val="0092270A"/>
    <w:rsid w:val="009227F9"/>
    <w:rsid w:val="009228A1"/>
    <w:rsid w:val="00922CF6"/>
    <w:rsid w:val="00922E41"/>
    <w:rsid w:val="0092320F"/>
    <w:rsid w:val="00923453"/>
    <w:rsid w:val="00923550"/>
    <w:rsid w:val="00923623"/>
    <w:rsid w:val="00923ACC"/>
    <w:rsid w:val="00923B60"/>
    <w:rsid w:val="00923EE5"/>
    <w:rsid w:val="00923FF1"/>
    <w:rsid w:val="0092405B"/>
    <w:rsid w:val="00924195"/>
    <w:rsid w:val="0092438B"/>
    <w:rsid w:val="00924421"/>
    <w:rsid w:val="00924764"/>
    <w:rsid w:val="0092494D"/>
    <w:rsid w:val="009249E7"/>
    <w:rsid w:val="009249F5"/>
    <w:rsid w:val="00925052"/>
    <w:rsid w:val="00925227"/>
    <w:rsid w:val="00925407"/>
    <w:rsid w:val="009256A3"/>
    <w:rsid w:val="00925739"/>
    <w:rsid w:val="009257B2"/>
    <w:rsid w:val="00925EE7"/>
    <w:rsid w:val="00926372"/>
    <w:rsid w:val="009264E0"/>
    <w:rsid w:val="00926603"/>
    <w:rsid w:val="00926AEC"/>
    <w:rsid w:val="00927146"/>
    <w:rsid w:val="00927163"/>
    <w:rsid w:val="009271B9"/>
    <w:rsid w:val="009271EC"/>
    <w:rsid w:val="0092744E"/>
    <w:rsid w:val="0092777A"/>
    <w:rsid w:val="00927AFA"/>
    <w:rsid w:val="00927DE5"/>
    <w:rsid w:val="00927EF9"/>
    <w:rsid w:val="00930233"/>
    <w:rsid w:val="00930268"/>
    <w:rsid w:val="009302C5"/>
    <w:rsid w:val="0093047B"/>
    <w:rsid w:val="00930492"/>
    <w:rsid w:val="00930508"/>
    <w:rsid w:val="00931F49"/>
    <w:rsid w:val="0093230C"/>
    <w:rsid w:val="0093279B"/>
    <w:rsid w:val="009327D9"/>
    <w:rsid w:val="00932A5A"/>
    <w:rsid w:val="00932DDF"/>
    <w:rsid w:val="00932E94"/>
    <w:rsid w:val="0093326E"/>
    <w:rsid w:val="00933332"/>
    <w:rsid w:val="0093343E"/>
    <w:rsid w:val="009334B1"/>
    <w:rsid w:val="009335A4"/>
    <w:rsid w:val="00933603"/>
    <w:rsid w:val="00933679"/>
    <w:rsid w:val="009338E9"/>
    <w:rsid w:val="00933A9A"/>
    <w:rsid w:val="00933FBD"/>
    <w:rsid w:val="00934697"/>
    <w:rsid w:val="00934987"/>
    <w:rsid w:val="00935130"/>
    <w:rsid w:val="00935BD7"/>
    <w:rsid w:val="00935CC2"/>
    <w:rsid w:val="00935FBF"/>
    <w:rsid w:val="00936084"/>
    <w:rsid w:val="009365FB"/>
    <w:rsid w:val="00936D46"/>
    <w:rsid w:val="00936E3E"/>
    <w:rsid w:val="009373EA"/>
    <w:rsid w:val="009375A8"/>
    <w:rsid w:val="0093769E"/>
    <w:rsid w:val="00937919"/>
    <w:rsid w:val="00937AB8"/>
    <w:rsid w:val="00937C37"/>
    <w:rsid w:val="00937F79"/>
    <w:rsid w:val="00937FB5"/>
    <w:rsid w:val="009401A9"/>
    <w:rsid w:val="00940290"/>
    <w:rsid w:val="00940334"/>
    <w:rsid w:val="00940342"/>
    <w:rsid w:val="0094050F"/>
    <w:rsid w:val="00940571"/>
    <w:rsid w:val="0094072A"/>
    <w:rsid w:val="00940890"/>
    <w:rsid w:val="00941043"/>
    <w:rsid w:val="009413AE"/>
    <w:rsid w:val="00941451"/>
    <w:rsid w:val="0094149A"/>
    <w:rsid w:val="00941BF4"/>
    <w:rsid w:val="00941D17"/>
    <w:rsid w:val="00941D87"/>
    <w:rsid w:val="00941FA5"/>
    <w:rsid w:val="009420AE"/>
    <w:rsid w:val="0094211A"/>
    <w:rsid w:val="00942318"/>
    <w:rsid w:val="0094232B"/>
    <w:rsid w:val="00942414"/>
    <w:rsid w:val="0094254B"/>
    <w:rsid w:val="00942617"/>
    <w:rsid w:val="009428C6"/>
    <w:rsid w:val="00942AAC"/>
    <w:rsid w:val="00942F92"/>
    <w:rsid w:val="00942FC4"/>
    <w:rsid w:val="00942FEF"/>
    <w:rsid w:val="0094328C"/>
    <w:rsid w:val="00943730"/>
    <w:rsid w:val="0094380A"/>
    <w:rsid w:val="00943842"/>
    <w:rsid w:val="00943C5A"/>
    <w:rsid w:val="00943DE0"/>
    <w:rsid w:val="00943E69"/>
    <w:rsid w:val="00943FD2"/>
    <w:rsid w:val="0094410C"/>
    <w:rsid w:val="0094422C"/>
    <w:rsid w:val="009443E4"/>
    <w:rsid w:val="0094446F"/>
    <w:rsid w:val="009446B7"/>
    <w:rsid w:val="00944757"/>
    <w:rsid w:val="009448F5"/>
    <w:rsid w:val="00944C37"/>
    <w:rsid w:val="00944DC7"/>
    <w:rsid w:val="0094508F"/>
    <w:rsid w:val="0094522F"/>
    <w:rsid w:val="00945329"/>
    <w:rsid w:val="009453D0"/>
    <w:rsid w:val="0094551D"/>
    <w:rsid w:val="00945522"/>
    <w:rsid w:val="00945527"/>
    <w:rsid w:val="00945580"/>
    <w:rsid w:val="009456BA"/>
    <w:rsid w:val="009458A7"/>
    <w:rsid w:val="00945AD8"/>
    <w:rsid w:val="00945D8F"/>
    <w:rsid w:val="009468A5"/>
    <w:rsid w:val="00946DD5"/>
    <w:rsid w:val="00946F3E"/>
    <w:rsid w:val="00947686"/>
    <w:rsid w:val="0094798F"/>
    <w:rsid w:val="00947A59"/>
    <w:rsid w:val="00947BC4"/>
    <w:rsid w:val="00950000"/>
    <w:rsid w:val="00950129"/>
    <w:rsid w:val="009504BB"/>
    <w:rsid w:val="009507B4"/>
    <w:rsid w:val="00950908"/>
    <w:rsid w:val="0095117D"/>
    <w:rsid w:val="0095136C"/>
    <w:rsid w:val="009515E0"/>
    <w:rsid w:val="00951787"/>
    <w:rsid w:val="00951B25"/>
    <w:rsid w:val="00951B53"/>
    <w:rsid w:val="00951C86"/>
    <w:rsid w:val="00951D42"/>
    <w:rsid w:val="00951F07"/>
    <w:rsid w:val="00951F90"/>
    <w:rsid w:val="009520D5"/>
    <w:rsid w:val="009526B0"/>
    <w:rsid w:val="00952789"/>
    <w:rsid w:val="009527B4"/>
    <w:rsid w:val="0095291B"/>
    <w:rsid w:val="009531BB"/>
    <w:rsid w:val="00953373"/>
    <w:rsid w:val="0095356F"/>
    <w:rsid w:val="00953757"/>
    <w:rsid w:val="0095384B"/>
    <w:rsid w:val="00953AFC"/>
    <w:rsid w:val="00953C80"/>
    <w:rsid w:val="00953D18"/>
    <w:rsid w:val="00953FE8"/>
    <w:rsid w:val="009540DA"/>
    <w:rsid w:val="0095424E"/>
    <w:rsid w:val="009545E0"/>
    <w:rsid w:val="009548AF"/>
    <w:rsid w:val="00955385"/>
    <w:rsid w:val="00955438"/>
    <w:rsid w:val="009556F0"/>
    <w:rsid w:val="00955772"/>
    <w:rsid w:val="009558E9"/>
    <w:rsid w:val="00955A9F"/>
    <w:rsid w:val="00955C8E"/>
    <w:rsid w:val="00955FD6"/>
    <w:rsid w:val="009560E3"/>
    <w:rsid w:val="009563D5"/>
    <w:rsid w:val="009565FC"/>
    <w:rsid w:val="0095671D"/>
    <w:rsid w:val="00956902"/>
    <w:rsid w:val="00956916"/>
    <w:rsid w:val="00956A43"/>
    <w:rsid w:val="00956AC6"/>
    <w:rsid w:val="00956C1A"/>
    <w:rsid w:val="00956D56"/>
    <w:rsid w:val="00956F55"/>
    <w:rsid w:val="00957143"/>
    <w:rsid w:val="00957184"/>
    <w:rsid w:val="009575BC"/>
    <w:rsid w:val="00957686"/>
    <w:rsid w:val="009577EF"/>
    <w:rsid w:val="009578D1"/>
    <w:rsid w:val="00957947"/>
    <w:rsid w:val="009601AE"/>
    <w:rsid w:val="009604C9"/>
    <w:rsid w:val="009604F3"/>
    <w:rsid w:val="00960571"/>
    <w:rsid w:val="009605D1"/>
    <w:rsid w:val="0096069A"/>
    <w:rsid w:val="00960B56"/>
    <w:rsid w:val="00960BDE"/>
    <w:rsid w:val="00961166"/>
    <w:rsid w:val="009618F9"/>
    <w:rsid w:val="00961985"/>
    <w:rsid w:val="009619C2"/>
    <w:rsid w:val="00961CED"/>
    <w:rsid w:val="00961D15"/>
    <w:rsid w:val="009620CD"/>
    <w:rsid w:val="0096215F"/>
    <w:rsid w:val="0096217D"/>
    <w:rsid w:val="00962521"/>
    <w:rsid w:val="009629C9"/>
    <w:rsid w:val="00962D41"/>
    <w:rsid w:val="0096333A"/>
    <w:rsid w:val="0096343C"/>
    <w:rsid w:val="00963603"/>
    <w:rsid w:val="009637EC"/>
    <w:rsid w:val="0096394F"/>
    <w:rsid w:val="009639A9"/>
    <w:rsid w:val="00963B2A"/>
    <w:rsid w:val="00963C7F"/>
    <w:rsid w:val="009641FA"/>
    <w:rsid w:val="00964282"/>
    <w:rsid w:val="00964321"/>
    <w:rsid w:val="0096442D"/>
    <w:rsid w:val="00964578"/>
    <w:rsid w:val="00964891"/>
    <w:rsid w:val="00964A33"/>
    <w:rsid w:val="00964ADF"/>
    <w:rsid w:val="00964C4E"/>
    <w:rsid w:val="00964DC0"/>
    <w:rsid w:val="00964F47"/>
    <w:rsid w:val="00965172"/>
    <w:rsid w:val="009651EF"/>
    <w:rsid w:val="00965426"/>
    <w:rsid w:val="00965451"/>
    <w:rsid w:val="00965680"/>
    <w:rsid w:val="00965807"/>
    <w:rsid w:val="0096580B"/>
    <w:rsid w:val="0096593D"/>
    <w:rsid w:val="00965A9D"/>
    <w:rsid w:val="00965D2A"/>
    <w:rsid w:val="00965F0C"/>
    <w:rsid w:val="00965FE5"/>
    <w:rsid w:val="00966025"/>
    <w:rsid w:val="00966103"/>
    <w:rsid w:val="0096657E"/>
    <w:rsid w:val="009666DD"/>
    <w:rsid w:val="009668CC"/>
    <w:rsid w:val="00966992"/>
    <w:rsid w:val="00966D89"/>
    <w:rsid w:val="009672C1"/>
    <w:rsid w:val="009674BB"/>
    <w:rsid w:val="00967573"/>
    <w:rsid w:val="0096760F"/>
    <w:rsid w:val="0096762F"/>
    <w:rsid w:val="0096770D"/>
    <w:rsid w:val="00967949"/>
    <w:rsid w:val="00967D52"/>
    <w:rsid w:val="009701C7"/>
    <w:rsid w:val="0097023D"/>
    <w:rsid w:val="009703FD"/>
    <w:rsid w:val="00970572"/>
    <w:rsid w:val="00970772"/>
    <w:rsid w:val="00970B02"/>
    <w:rsid w:val="00970D3C"/>
    <w:rsid w:val="00970F32"/>
    <w:rsid w:val="00970F3F"/>
    <w:rsid w:val="00970F53"/>
    <w:rsid w:val="00970F64"/>
    <w:rsid w:val="0097110C"/>
    <w:rsid w:val="00971191"/>
    <w:rsid w:val="00971697"/>
    <w:rsid w:val="00971805"/>
    <w:rsid w:val="00971921"/>
    <w:rsid w:val="00971CC4"/>
    <w:rsid w:val="00971DD3"/>
    <w:rsid w:val="00971EE8"/>
    <w:rsid w:val="00972049"/>
    <w:rsid w:val="009721EA"/>
    <w:rsid w:val="00972546"/>
    <w:rsid w:val="00972800"/>
    <w:rsid w:val="00972B5F"/>
    <w:rsid w:val="00972B92"/>
    <w:rsid w:val="00972C15"/>
    <w:rsid w:val="0097311E"/>
    <w:rsid w:val="00973962"/>
    <w:rsid w:val="00973AF6"/>
    <w:rsid w:val="00973E31"/>
    <w:rsid w:val="00973E64"/>
    <w:rsid w:val="00974152"/>
    <w:rsid w:val="00974206"/>
    <w:rsid w:val="0097441C"/>
    <w:rsid w:val="009749A2"/>
    <w:rsid w:val="00974C79"/>
    <w:rsid w:val="00974CEB"/>
    <w:rsid w:val="00974FF2"/>
    <w:rsid w:val="00974FFF"/>
    <w:rsid w:val="00975125"/>
    <w:rsid w:val="00975413"/>
    <w:rsid w:val="00975902"/>
    <w:rsid w:val="0097595C"/>
    <w:rsid w:val="00975A3E"/>
    <w:rsid w:val="00975B12"/>
    <w:rsid w:val="00975B23"/>
    <w:rsid w:val="00975F02"/>
    <w:rsid w:val="009762C5"/>
    <w:rsid w:val="00976ADA"/>
    <w:rsid w:val="00976E76"/>
    <w:rsid w:val="009770E2"/>
    <w:rsid w:val="009774A6"/>
    <w:rsid w:val="009774B4"/>
    <w:rsid w:val="00977592"/>
    <w:rsid w:val="009778E8"/>
    <w:rsid w:val="00977A38"/>
    <w:rsid w:val="00977D6C"/>
    <w:rsid w:val="00977E74"/>
    <w:rsid w:val="0098047E"/>
    <w:rsid w:val="0098087B"/>
    <w:rsid w:val="00980D0A"/>
    <w:rsid w:val="00981028"/>
    <w:rsid w:val="009811E9"/>
    <w:rsid w:val="00981445"/>
    <w:rsid w:val="0098150B"/>
    <w:rsid w:val="0098157B"/>
    <w:rsid w:val="00981764"/>
    <w:rsid w:val="009819CC"/>
    <w:rsid w:val="00981A0D"/>
    <w:rsid w:val="00981A6A"/>
    <w:rsid w:val="00981D27"/>
    <w:rsid w:val="00981FB8"/>
    <w:rsid w:val="009820B2"/>
    <w:rsid w:val="009822C7"/>
    <w:rsid w:val="009822E6"/>
    <w:rsid w:val="00982558"/>
    <w:rsid w:val="00982820"/>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5500"/>
    <w:rsid w:val="00985703"/>
    <w:rsid w:val="00985883"/>
    <w:rsid w:val="009858D0"/>
    <w:rsid w:val="00985A64"/>
    <w:rsid w:val="00985BCC"/>
    <w:rsid w:val="00985C21"/>
    <w:rsid w:val="00985CFA"/>
    <w:rsid w:val="00985EA3"/>
    <w:rsid w:val="009862EB"/>
    <w:rsid w:val="00986414"/>
    <w:rsid w:val="00986EFE"/>
    <w:rsid w:val="009871F7"/>
    <w:rsid w:val="009872DE"/>
    <w:rsid w:val="0098741B"/>
    <w:rsid w:val="00987704"/>
    <w:rsid w:val="0098798E"/>
    <w:rsid w:val="00987A56"/>
    <w:rsid w:val="00987D1F"/>
    <w:rsid w:val="009901CE"/>
    <w:rsid w:val="0099024D"/>
    <w:rsid w:val="009904B6"/>
    <w:rsid w:val="00990BEF"/>
    <w:rsid w:val="00990C21"/>
    <w:rsid w:val="00990EFA"/>
    <w:rsid w:val="00990F07"/>
    <w:rsid w:val="009914C3"/>
    <w:rsid w:val="009917FA"/>
    <w:rsid w:val="009918D9"/>
    <w:rsid w:val="00992209"/>
    <w:rsid w:val="00992711"/>
    <w:rsid w:val="00993163"/>
    <w:rsid w:val="009932A5"/>
    <w:rsid w:val="009932F8"/>
    <w:rsid w:val="00993D81"/>
    <w:rsid w:val="00994328"/>
    <w:rsid w:val="0099451B"/>
    <w:rsid w:val="009945DA"/>
    <w:rsid w:val="009947B7"/>
    <w:rsid w:val="00994EE0"/>
    <w:rsid w:val="00995149"/>
    <w:rsid w:val="0099514F"/>
    <w:rsid w:val="009954CE"/>
    <w:rsid w:val="00995849"/>
    <w:rsid w:val="00995A73"/>
    <w:rsid w:val="00995D5C"/>
    <w:rsid w:val="00995DB9"/>
    <w:rsid w:val="009961C0"/>
    <w:rsid w:val="009967CE"/>
    <w:rsid w:val="009968EF"/>
    <w:rsid w:val="0099691E"/>
    <w:rsid w:val="00996931"/>
    <w:rsid w:val="00996CE3"/>
    <w:rsid w:val="009971ED"/>
    <w:rsid w:val="00997AF7"/>
    <w:rsid w:val="00997AFB"/>
    <w:rsid w:val="00997F7B"/>
    <w:rsid w:val="009A005C"/>
    <w:rsid w:val="009A011A"/>
    <w:rsid w:val="009A02A5"/>
    <w:rsid w:val="009A02E0"/>
    <w:rsid w:val="009A0338"/>
    <w:rsid w:val="009A07E0"/>
    <w:rsid w:val="009A0AC1"/>
    <w:rsid w:val="009A116C"/>
    <w:rsid w:val="009A1616"/>
    <w:rsid w:val="009A16D2"/>
    <w:rsid w:val="009A172E"/>
    <w:rsid w:val="009A18F9"/>
    <w:rsid w:val="009A1A8C"/>
    <w:rsid w:val="009A1AB4"/>
    <w:rsid w:val="009A1CDA"/>
    <w:rsid w:val="009A2566"/>
    <w:rsid w:val="009A28A9"/>
    <w:rsid w:val="009A2B0B"/>
    <w:rsid w:val="009A2F5B"/>
    <w:rsid w:val="009A3050"/>
    <w:rsid w:val="009A32F5"/>
    <w:rsid w:val="009A338B"/>
    <w:rsid w:val="009A3475"/>
    <w:rsid w:val="009A35D0"/>
    <w:rsid w:val="009A360C"/>
    <w:rsid w:val="009A3A00"/>
    <w:rsid w:val="009A3D63"/>
    <w:rsid w:val="009A3E2F"/>
    <w:rsid w:val="009A3E54"/>
    <w:rsid w:val="009A458C"/>
    <w:rsid w:val="009A45C6"/>
    <w:rsid w:val="009A49CF"/>
    <w:rsid w:val="009A4B30"/>
    <w:rsid w:val="009A4D1A"/>
    <w:rsid w:val="009A4D1D"/>
    <w:rsid w:val="009A4D9E"/>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621D"/>
    <w:rsid w:val="009A632C"/>
    <w:rsid w:val="009A6433"/>
    <w:rsid w:val="009A64F0"/>
    <w:rsid w:val="009A67D9"/>
    <w:rsid w:val="009A67F1"/>
    <w:rsid w:val="009A6AA5"/>
    <w:rsid w:val="009A7252"/>
    <w:rsid w:val="009A739D"/>
    <w:rsid w:val="009A798C"/>
    <w:rsid w:val="009A7CA0"/>
    <w:rsid w:val="009B0288"/>
    <w:rsid w:val="009B05FE"/>
    <w:rsid w:val="009B074F"/>
    <w:rsid w:val="009B0934"/>
    <w:rsid w:val="009B0954"/>
    <w:rsid w:val="009B0B10"/>
    <w:rsid w:val="009B0BDA"/>
    <w:rsid w:val="009B0EAD"/>
    <w:rsid w:val="009B0F72"/>
    <w:rsid w:val="009B105A"/>
    <w:rsid w:val="009B1293"/>
    <w:rsid w:val="009B13EA"/>
    <w:rsid w:val="009B14B0"/>
    <w:rsid w:val="009B17C8"/>
    <w:rsid w:val="009B17F9"/>
    <w:rsid w:val="009B19DB"/>
    <w:rsid w:val="009B1AA1"/>
    <w:rsid w:val="009B1CCB"/>
    <w:rsid w:val="009B1EC9"/>
    <w:rsid w:val="009B2388"/>
    <w:rsid w:val="009B27B4"/>
    <w:rsid w:val="009B2C5F"/>
    <w:rsid w:val="009B2DFD"/>
    <w:rsid w:val="009B3359"/>
    <w:rsid w:val="009B3526"/>
    <w:rsid w:val="009B35F4"/>
    <w:rsid w:val="009B36AF"/>
    <w:rsid w:val="009B388B"/>
    <w:rsid w:val="009B3C1A"/>
    <w:rsid w:val="009B3F0A"/>
    <w:rsid w:val="009B4060"/>
    <w:rsid w:val="009B4538"/>
    <w:rsid w:val="009B464A"/>
    <w:rsid w:val="009B49AD"/>
    <w:rsid w:val="009B49E1"/>
    <w:rsid w:val="009B4A2E"/>
    <w:rsid w:val="009B4B42"/>
    <w:rsid w:val="009B4DB7"/>
    <w:rsid w:val="009B4F28"/>
    <w:rsid w:val="009B503E"/>
    <w:rsid w:val="009B52DC"/>
    <w:rsid w:val="009B5A5C"/>
    <w:rsid w:val="009B5D62"/>
    <w:rsid w:val="009B5FD8"/>
    <w:rsid w:val="009B6540"/>
    <w:rsid w:val="009B6CBF"/>
    <w:rsid w:val="009B6E30"/>
    <w:rsid w:val="009B6E91"/>
    <w:rsid w:val="009B6EC8"/>
    <w:rsid w:val="009B718A"/>
    <w:rsid w:val="009B7193"/>
    <w:rsid w:val="009B72EF"/>
    <w:rsid w:val="009B7334"/>
    <w:rsid w:val="009B73F8"/>
    <w:rsid w:val="009B786F"/>
    <w:rsid w:val="009B7916"/>
    <w:rsid w:val="009B7B0C"/>
    <w:rsid w:val="009B7B10"/>
    <w:rsid w:val="009B7BCB"/>
    <w:rsid w:val="009B7E1D"/>
    <w:rsid w:val="009C01C0"/>
    <w:rsid w:val="009C0229"/>
    <w:rsid w:val="009C033D"/>
    <w:rsid w:val="009C0470"/>
    <w:rsid w:val="009C04D3"/>
    <w:rsid w:val="009C061F"/>
    <w:rsid w:val="009C0A8F"/>
    <w:rsid w:val="009C102D"/>
    <w:rsid w:val="009C124B"/>
    <w:rsid w:val="009C12FC"/>
    <w:rsid w:val="009C131D"/>
    <w:rsid w:val="009C1475"/>
    <w:rsid w:val="009C1568"/>
    <w:rsid w:val="009C1692"/>
    <w:rsid w:val="009C16F1"/>
    <w:rsid w:val="009C1BDA"/>
    <w:rsid w:val="009C2E29"/>
    <w:rsid w:val="009C302A"/>
    <w:rsid w:val="009C303A"/>
    <w:rsid w:val="009C308B"/>
    <w:rsid w:val="009C33BD"/>
    <w:rsid w:val="009C344C"/>
    <w:rsid w:val="009C3505"/>
    <w:rsid w:val="009C38F6"/>
    <w:rsid w:val="009C396E"/>
    <w:rsid w:val="009C3D5F"/>
    <w:rsid w:val="009C40E5"/>
    <w:rsid w:val="009C5223"/>
    <w:rsid w:val="009C535A"/>
    <w:rsid w:val="009C5450"/>
    <w:rsid w:val="009C5BF5"/>
    <w:rsid w:val="009C5C58"/>
    <w:rsid w:val="009C62AC"/>
    <w:rsid w:val="009C66A5"/>
    <w:rsid w:val="009C69C0"/>
    <w:rsid w:val="009C6B43"/>
    <w:rsid w:val="009C6CAB"/>
    <w:rsid w:val="009C6EDD"/>
    <w:rsid w:val="009C7252"/>
    <w:rsid w:val="009C7311"/>
    <w:rsid w:val="009C7620"/>
    <w:rsid w:val="009C7CB7"/>
    <w:rsid w:val="009C7F79"/>
    <w:rsid w:val="009D0033"/>
    <w:rsid w:val="009D021A"/>
    <w:rsid w:val="009D055A"/>
    <w:rsid w:val="009D0CFB"/>
    <w:rsid w:val="009D0EFD"/>
    <w:rsid w:val="009D1202"/>
    <w:rsid w:val="009D120C"/>
    <w:rsid w:val="009D14F7"/>
    <w:rsid w:val="009D1705"/>
    <w:rsid w:val="009D2153"/>
    <w:rsid w:val="009D21EE"/>
    <w:rsid w:val="009D25D0"/>
    <w:rsid w:val="009D265E"/>
    <w:rsid w:val="009D28C6"/>
    <w:rsid w:val="009D2930"/>
    <w:rsid w:val="009D2B23"/>
    <w:rsid w:val="009D2E0C"/>
    <w:rsid w:val="009D2F62"/>
    <w:rsid w:val="009D3105"/>
    <w:rsid w:val="009D32CE"/>
    <w:rsid w:val="009D3549"/>
    <w:rsid w:val="009D3994"/>
    <w:rsid w:val="009D3BF0"/>
    <w:rsid w:val="009D3CB3"/>
    <w:rsid w:val="009D4250"/>
    <w:rsid w:val="009D4295"/>
    <w:rsid w:val="009D42E3"/>
    <w:rsid w:val="009D443C"/>
    <w:rsid w:val="009D4ACA"/>
    <w:rsid w:val="009D4E08"/>
    <w:rsid w:val="009D4E51"/>
    <w:rsid w:val="009D51F4"/>
    <w:rsid w:val="009D524C"/>
    <w:rsid w:val="009D53FA"/>
    <w:rsid w:val="009D5997"/>
    <w:rsid w:val="009D5ABA"/>
    <w:rsid w:val="009D5F3D"/>
    <w:rsid w:val="009D64DF"/>
    <w:rsid w:val="009D65FD"/>
    <w:rsid w:val="009D67F3"/>
    <w:rsid w:val="009D6CDE"/>
    <w:rsid w:val="009D6DA6"/>
    <w:rsid w:val="009D71BA"/>
    <w:rsid w:val="009D72A2"/>
    <w:rsid w:val="009D7574"/>
    <w:rsid w:val="009D7941"/>
    <w:rsid w:val="009D7D12"/>
    <w:rsid w:val="009D7FFE"/>
    <w:rsid w:val="009E0626"/>
    <w:rsid w:val="009E06A6"/>
    <w:rsid w:val="009E0826"/>
    <w:rsid w:val="009E082D"/>
    <w:rsid w:val="009E0934"/>
    <w:rsid w:val="009E09AF"/>
    <w:rsid w:val="009E0AF0"/>
    <w:rsid w:val="009E0D23"/>
    <w:rsid w:val="009E0E54"/>
    <w:rsid w:val="009E124C"/>
    <w:rsid w:val="009E154B"/>
    <w:rsid w:val="009E155C"/>
    <w:rsid w:val="009E177E"/>
    <w:rsid w:val="009E1A51"/>
    <w:rsid w:val="009E1A8E"/>
    <w:rsid w:val="009E1B0A"/>
    <w:rsid w:val="009E20D7"/>
    <w:rsid w:val="009E24C5"/>
    <w:rsid w:val="009E2A65"/>
    <w:rsid w:val="009E2AC9"/>
    <w:rsid w:val="009E2B6D"/>
    <w:rsid w:val="009E2D29"/>
    <w:rsid w:val="009E30DF"/>
    <w:rsid w:val="009E3108"/>
    <w:rsid w:val="009E316F"/>
    <w:rsid w:val="009E35B3"/>
    <w:rsid w:val="009E37D7"/>
    <w:rsid w:val="009E3BD7"/>
    <w:rsid w:val="009E3CC3"/>
    <w:rsid w:val="009E46B9"/>
    <w:rsid w:val="009E4ACD"/>
    <w:rsid w:val="009E4CA1"/>
    <w:rsid w:val="009E4F46"/>
    <w:rsid w:val="009E521E"/>
    <w:rsid w:val="009E5347"/>
    <w:rsid w:val="009E53B1"/>
    <w:rsid w:val="009E56B9"/>
    <w:rsid w:val="009E5ABA"/>
    <w:rsid w:val="009E5E79"/>
    <w:rsid w:val="009E5F9A"/>
    <w:rsid w:val="009E6470"/>
    <w:rsid w:val="009E64D9"/>
    <w:rsid w:val="009E6F1C"/>
    <w:rsid w:val="009E721E"/>
    <w:rsid w:val="009E73F5"/>
    <w:rsid w:val="009E7591"/>
    <w:rsid w:val="009E782C"/>
    <w:rsid w:val="009E7C20"/>
    <w:rsid w:val="009E7F67"/>
    <w:rsid w:val="009F0017"/>
    <w:rsid w:val="009F03AB"/>
    <w:rsid w:val="009F03F9"/>
    <w:rsid w:val="009F04A5"/>
    <w:rsid w:val="009F054C"/>
    <w:rsid w:val="009F06F8"/>
    <w:rsid w:val="009F0CE2"/>
    <w:rsid w:val="009F0DF9"/>
    <w:rsid w:val="009F0F33"/>
    <w:rsid w:val="009F0FDF"/>
    <w:rsid w:val="009F135B"/>
    <w:rsid w:val="009F1A67"/>
    <w:rsid w:val="009F1C42"/>
    <w:rsid w:val="009F1F3A"/>
    <w:rsid w:val="009F21A3"/>
    <w:rsid w:val="009F2460"/>
    <w:rsid w:val="009F24EE"/>
    <w:rsid w:val="009F2584"/>
    <w:rsid w:val="009F28C6"/>
    <w:rsid w:val="009F29A5"/>
    <w:rsid w:val="009F2C41"/>
    <w:rsid w:val="009F2C75"/>
    <w:rsid w:val="009F2D27"/>
    <w:rsid w:val="009F2F02"/>
    <w:rsid w:val="009F31B9"/>
    <w:rsid w:val="009F3478"/>
    <w:rsid w:val="009F3524"/>
    <w:rsid w:val="009F36D2"/>
    <w:rsid w:val="009F3717"/>
    <w:rsid w:val="009F38E2"/>
    <w:rsid w:val="009F3A58"/>
    <w:rsid w:val="009F3A77"/>
    <w:rsid w:val="009F3C1F"/>
    <w:rsid w:val="009F3D1B"/>
    <w:rsid w:val="009F3DFA"/>
    <w:rsid w:val="009F42A9"/>
    <w:rsid w:val="009F42D1"/>
    <w:rsid w:val="009F448E"/>
    <w:rsid w:val="009F44AE"/>
    <w:rsid w:val="009F45D5"/>
    <w:rsid w:val="009F462A"/>
    <w:rsid w:val="009F488E"/>
    <w:rsid w:val="009F4924"/>
    <w:rsid w:val="009F4E4A"/>
    <w:rsid w:val="009F54D7"/>
    <w:rsid w:val="009F5815"/>
    <w:rsid w:val="009F5B71"/>
    <w:rsid w:val="009F60F3"/>
    <w:rsid w:val="009F6194"/>
    <w:rsid w:val="009F628E"/>
    <w:rsid w:val="009F6327"/>
    <w:rsid w:val="009F672D"/>
    <w:rsid w:val="009F6A3E"/>
    <w:rsid w:val="009F6BC9"/>
    <w:rsid w:val="009F6D23"/>
    <w:rsid w:val="009F6DD4"/>
    <w:rsid w:val="009F6E61"/>
    <w:rsid w:val="009F7159"/>
    <w:rsid w:val="009F7519"/>
    <w:rsid w:val="009F778B"/>
    <w:rsid w:val="009F784E"/>
    <w:rsid w:val="009F7881"/>
    <w:rsid w:val="009F7DCD"/>
    <w:rsid w:val="009F7F6F"/>
    <w:rsid w:val="00A004B0"/>
    <w:rsid w:val="00A005E7"/>
    <w:rsid w:val="00A006F3"/>
    <w:rsid w:val="00A0089F"/>
    <w:rsid w:val="00A008C5"/>
    <w:rsid w:val="00A00A93"/>
    <w:rsid w:val="00A00C09"/>
    <w:rsid w:val="00A01128"/>
    <w:rsid w:val="00A0129A"/>
    <w:rsid w:val="00A015F3"/>
    <w:rsid w:val="00A01DEB"/>
    <w:rsid w:val="00A01E81"/>
    <w:rsid w:val="00A02156"/>
    <w:rsid w:val="00A0225A"/>
    <w:rsid w:val="00A02764"/>
    <w:rsid w:val="00A0285D"/>
    <w:rsid w:val="00A029BC"/>
    <w:rsid w:val="00A02E43"/>
    <w:rsid w:val="00A02E81"/>
    <w:rsid w:val="00A02EFB"/>
    <w:rsid w:val="00A02FA8"/>
    <w:rsid w:val="00A03142"/>
    <w:rsid w:val="00A03212"/>
    <w:rsid w:val="00A036CF"/>
    <w:rsid w:val="00A036E4"/>
    <w:rsid w:val="00A03E61"/>
    <w:rsid w:val="00A04115"/>
    <w:rsid w:val="00A0433D"/>
    <w:rsid w:val="00A04384"/>
    <w:rsid w:val="00A04684"/>
    <w:rsid w:val="00A04864"/>
    <w:rsid w:val="00A04868"/>
    <w:rsid w:val="00A04913"/>
    <w:rsid w:val="00A04B03"/>
    <w:rsid w:val="00A050C3"/>
    <w:rsid w:val="00A05632"/>
    <w:rsid w:val="00A058A3"/>
    <w:rsid w:val="00A05B77"/>
    <w:rsid w:val="00A05C1B"/>
    <w:rsid w:val="00A05D0D"/>
    <w:rsid w:val="00A05D7C"/>
    <w:rsid w:val="00A05EDE"/>
    <w:rsid w:val="00A05F55"/>
    <w:rsid w:val="00A06127"/>
    <w:rsid w:val="00A06671"/>
    <w:rsid w:val="00A06748"/>
    <w:rsid w:val="00A06C49"/>
    <w:rsid w:val="00A0749B"/>
    <w:rsid w:val="00A0766A"/>
    <w:rsid w:val="00A07787"/>
    <w:rsid w:val="00A07C5C"/>
    <w:rsid w:val="00A07E5F"/>
    <w:rsid w:val="00A07F0F"/>
    <w:rsid w:val="00A1023E"/>
    <w:rsid w:val="00A1027E"/>
    <w:rsid w:val="00A109A3"/>
    <w:rsid w:val="00A109B4"/>
    <w:rsid w:val="00A10A06"/>
    <w:rsid w:val="00A10AEF"/>
    <w:rsid w:val="00A10D2D"/>
    <w:rsid w:val="00A10F68"/>
    <w:rsid w:val="00A1129E"/>
    <w:rsid w:val="00A11A10"/>
    <w:rsid w:val="00A11A96"/>
    <w:rsid w:val="00A11BA7"/>
    <w:rsid w:val="00A11BC5"/>
    <w:rsid w:val="00A11E26"/>
    <w:rsid w:val="00A11FE8"/>
    <w:rsid w:val="00A11FEA"/>
    <w:rsid w:val="00A126D9"/>
    <w:rsid w:val="00A128F7"/>
    <w:rsid w:val="00A12935"/>
    <w:rsid w:val="00A12A7E"/>
    <w:rsid w:val="00A12E56"/>
    <w:rsid w:val="00A12EB0"/>
    <w:rsid w:val="00A13109"/>
    <w:rsid w:val="00A1317D"/>
    <w:rsid w:val="00A13A2A"/>
    <w:rsid w:val="00A13C65"/>
    <w:rsid w:val="00A13F62"/>
    <w:rsid w:val="00A13F83"/>
    <w:rsid w:val="00A13FCE"/>
    <w:rsid w:val="00A142CF"/>
    <w:rsid w:val="00A14511"/>
    <w:rsid w:val="00A1455E"/>
    <w:rsid w:val="00A146C9"/>
    <w:rsid w:val="00A148A2"/>
    <w:rsid w:val="00A1497D"/>
    <w:rsid w:val="00A149A5"/>
    <w:rsid w:val="00A149A7"/>
    <w:rsid w:val="00A14A04"/>
    <w:rsid w:val="00A14D2B"/>
    <w:rsid w:val="00A14EF0"/>
    <w:rsid w:val="00A152D7"/>
    <w:rsid w:val="00A154BB"/>
    <w:rsid w:val="00A156D5"/>
    <w:rsid w:val="00A15A05"/>
    <w:rsid w:val="00A15A91"/>
    <w:rsid w:val="00A15AC7"/>
    <w:rsid w:val="00A15C5B"/>
    <w:rsid w:val="00A15F53"/>
    <w:rsid w:val="00A1619C"/>
    <w:rsid w:val="00A161ED"/>
    <w:rsid w:val="00A16E43"/>
    <w:rsid w:val="00A16F69"/>
    <w:rsid w:val="00A17082"/>
    <w:rsid w:val="00A1720A"/>
    <w:rsid w:val="00A17992"/>
    <w:rsid w:val="00A17D4A"/>
    <w:rsid w:val="00A17F70"/>
    <w:rsid w:val="00A20346"/>
    <w:rsid w:val="00A2039F"/>
    <w:rsid w:val="00A203B1"/>
    <w:rsid w:val="00A203CE"/>
    <w:rsid w:val="00A20673"/>
    <w:rsid w:val="00A206AA"/>
    <w:rsid w:val="00A2079E"/>
    <w:rsid w:val="00A208FF"/>
    <w:rsid w:val="00A20991"/>
    <w:rsid w:val="00A20ADD"/>
    <w:rsid w:val="00A20E26"/>
    <w:rsid w:val="00A21A8C"/>
    <w:rsid w:val="00A21B21"/>
    <w:rsid w:val="00A21C76"/>
    <w:rsid w:val="00A21D76"/>
    <w:rsid w:val="00A21DE1"/>
    <w:rsid w:val="00A21F58"/>
    <w:rsid w:val="00A2276E"/>
    <w:rsid w:val="00A228BD"/>
    <w:rsid w:val="00A22A8B"/>
    <w:rsid w:val="00A22C34"/>
    <w:rsid w:val="00A22C7B"/>
    <w:rsid w:val="00A22CDD"/>
    <w:rsid w:val="00A23114"/>
    <w:rsid w:val="00A2311A"/>
    <w:rsid w:val="00A23356"/>
    <w:rsid w:val="00A23563"/>
    <w:rsid w:val="00A23A2C"/>
    <w:rsid w:val="00A23A66"/>
    <w:rsid w:val="00A23D91"/>
    <w:rsid w:val="00A242FB"/>
    <w:rsid w:val="00A244DC"/>
    <w:rsid w:val="00A24725"/>
    <w:rsid w:val="00A24A20"/>
    <w:rsid w:val="00A24C1D"/>
    <w:rsid w:val="00A24C46"/>
    <w:rsid w:val="00A24D55"/>
    <w:rsid w:val="00A24DF9"/>
    <w:rsid w:val="00A24F3F"/>
    <w:rsid w:val="00A252BC"/>
    <w:rsid w:val="00A2568B"/>
    <w:rsid w:val="00A25811"/>
    <w:rsid w:val="00A258B0"/>
    <w:rsid w:val="00A25BCE"/>
    <w:rsid w:val="00A25C32"/>
    <w:rsid w:val="00A25C76"/>
    <w:rsid w:val="00A260E5"/>
    <w:rsid w:val="00A264A7"/>
    <w:rsid w:val="00A26C78"/>
    <w:rsid w:val="00A26EDC"/>
    <w:rsid w:val="00A2730C"/>
    <w:rsid w:val="00A274C3"/>
    <w:rsid w:val="00A27B99"/>
    <w:rsid w:val="00A30010"/>
    <w:rsid w:val="00A3026B"/>
    <w:rsid w:val="00A3055D"/>
    <w:rsid w:val="00A3064A"/>
    <w:rsid w:val="00A30A10"/>
    <w:rsid w:val="00A30A4D"/>
    <w:rsid w:val="00A30B53"/>
    <w:rsid w:val="00A30CAC"/>
    <w:rsid w:val="00A30F4E"/>
    <w:rsid w:val="00A311B4"/>
    <w:rsid w:val="00A3122C"/>
    <w:rsid w:val="00A31340"/>
    <w:rsid w:val="00A313F7"/>
    <w:rsid w:val="00A315C8"/>
    <w:rsid w:val="00A31740"/>
    <w:rsid w:val="00A31CC3"/>
    <w:rsid w:val="00A31F2F"/>
    <w:rsid w:val="00A31FFB"/>
    <w:rsid w:val="00A32199"/>
    <w:rsid w:val="00A3280E"/>
    <w:rsid w:val="00A328E6"/>
    <w:rsid w:val="00A32FAB"/>
    <w:rsid w:val="00A33061"/>
    <w:rsid w:val="00A336E6"/>
    <w:rsid w:val="00A336EC"/>
    <w:rsid w:val="00A3377A"/>
    <w:rsid w:val="00A337BA"/>
    <w:rsid w:val="00A33926"/>
    <w:rsid w:val="00A33AC8"/>
    <w:rsid w:val="00A33B73"/>
    <w:rsid w:val="00A3454A"/>
    <w:rsid w:val="00A346C4"/>
    <w:rsid w:val="00A34C36"/>
    <w:rsid w:val="00A34E70"/>
    <w:rsid w:val="00A34FC5"/>
    <w:rsid w:val="00A350F1"/>
    <w:rsid w:val="00A360B8"/>
    <w:rsid w:val="00A3612E"/>
    <w:rsid w:val="00A364A1"/>
    <w:rsid w:val="00A364E0"/>
    <w:rsid w:val="00A36BE7"/>
    <w:rsid w:val="00A36C7D"/>
    <w:rsid w:val="00A36CDE"/>
    <w:rsid w:val="00A36E66"/>
    <w:rsid w:val="00A371DF"/>
    <w:rsid w:val="00A37370"/>
    <w:rsid w:val="00A3749B"/>
    <w:rsid w:val="00A3756B"/>
    <w:rsid w:val="00A37AB4"/>
    <w:rsid w:val="00A37B6B"/>
    <w:rsid w:val="00A37CEB"/>
    <w:rsid w:val="00A37D56"/>
    <w:rsid w:val="00A37D7F"/>
    <w:rsid w:val="00A37DA3"/>
    <w:rsid w:val="00A37FA3"/>
    <w:rsid w:val="00A4046A"/>
    <w:rsid w:val="00A40607"/>
    <w:rsid w:val="00A40667"/>
    <w:rsid w:val="00A408EB"/>
    <w:rsid w:val="00A4093D"/>
    <w:rsid w:val="00A40E1C"/>
    <w:rsid w:val="00A40EDC"/>
    <w:rsid w:val="00A411F5"/>
    <w:rsid w:val="00A41227"/>
    <w:rsid w:val="00A41551"/>
    <w:rsid w:val="00A417F4"/>
    <w:rsid w:val="00A419E5"/>
    <w:rsid w:val="00A41BE4"/>
    <w:rsid w:val="00A41D92"/>
    <w:rsid w:val="00A41E20"/>
    <w:rsid w:val="00A420F5"/>
    <w:rsid w:val="00A42518"/>
    <w:rsid w:val="00A425E1"/>
    <w:rsid w:val="00A4279A"/>
    <w:rsid w:val="00A42839"/>
    <w:rsid w:val="00A42BDC"/>
    <w:rsid w:val="00A42C9F"/>
    <w:rsid w:val="00A42E89"/>
    <w:rsid w:val="00A43641"/>
    <w:rsid w:val="00A4365E"/>
    <w:rsid w:val="00A43A93"/>
    <w:rsid w:val="00A4439B"/>
    <w:rsid w:val="00A445C9"/>
    <w:rsid w:val="00A44846"/>
    <w:rsid w:val="00A44E8D"/>
    <w:rsid w:val="00A4528F"/>
    <w:rsid w:val="00A452F4"/>
    <w:rsid w:val="00A45373"/>
    <w:rsid w:val="00A454AF"/>
    <w:rsid w:val="00A46175"/>
    <w:rsid w:val="00A461DC"/>
    <w:rsid w:val="00A4626A"/>
    <w:rsid w:val="00A465F0"/>
    <w:rsid w:val="00A46723"/>
    <w:rsid w:val="00A4677A"/>
    <w:rsid w:val="00A46B05"/>
    <w:rsid w:val="00A470BC"/>
    <w:rsid w:val="00A47C90"/>
    <w:rsid w:val="00A501AC"/>
    <w:rsid w:val="00A5044E"/>
    <w:rsid w:val="00A50677"/>
    <w:rsid w:val="00A509EF"/>
    <w:rsid w:val="00A50B1C"/>
    <w:rsid w:val="00A5121C"/>
    <w:rsid w:val="00A5146E"/>
    <w:rsid w:val="00A516B3"/>
    <w:rsid w:val="00A51758"/>
    <w:rsid w:val="00A51812"/>
    <w:rsid w:val="00A51ADA"/>
    <w:rsid w:val="00A51BDB"/>
    <w:rsid w:val="00A52098"/>
    <w:rsid w:val="00A52315"/>
    <w:rsid w:val="00A5246C"/>
    <w:rsid w:val="00A526BE"/>
    <w:rsid w:val="00A52905"/>
    <w:rsid w:val="00A52A45"/>
    <w:rsid w:val="00A52DE5"/>
    <w:rsid w:val="00A52F39"/>
    <w:rsid w:val="00A52F78"/>
    <w:rsid w:val="00A530AA"/>
    <w:rsid w:val="00A530F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E44"/>
    <w:rsid w:val="00A54F42"/>
    <w:rsid w:val="00A551DB"/>
    <w:rsid w:val="00A55531"/>
    <w:rsid w:val="00A55FB3"/>
    <w:rsid w:val="00A560F2"/>
    <w:rsid w:val="00A561CB"/>
    <w:rsid w:val="00A56297"/>
    <w:rsid w:val="00A56476"/>
    <w:rsid w:val="00A564AE"/>
    <w:rsid w:val="00A56B30"/>
    <w:rsid w:val="00A5702B"/>
    <w:rsid w:val="00A57082"/>
    <w:rsid w:val="00A57196"/>
    <w:rsid w:val="00A57D89"/>
    <w:rsid w:val="00A57D9C"/>
    <w:rsid w:val="00A57DB5"/>
    <w:rsid w:val="00A602D1"/>
    <w:rsid w:val="00A608FA"/>
    <w:rsid w:val="00A6096D"/>
    <w:rsid w:val="00A60D14"/>
    <w:rsid w:val="00A61130"/>
    <w:rsid w:val="00A615BC"/>
    <w:rsid w:val="00A615C5"/>
    <w:rsid w:val="00A61BE8"/>
    <w:rsid w:val="00A62487"/>
    <w:rsid w:val="00A627EF"/>
    <w:rsid w:val="00A628DB"/>
    <w:rsid w:val="00A62E01"/>
    <w:rsid w:val="00A634E8"/>
    <w:rsid w:val="00A63696"/>
    <w:rsid w:val="00A636F9"/>
    <w:rsid w:val="00A63831"/>
    <w:rsid w:val="00A638AE"/>
    <w:rsid w:val="00A63923"/>
    <w:rsid w:val="00A639D4"/>
    <w:rsid w:val="00A63AA3"/>
    <w:rsid w:val="00A63B45"/>
    <w:rsid w:val="00A63BF5"/>
    <w:rsid w:val="00A64437"/>
    <w:rsid w:val="00A64C2E"/>
    <w:rsid w:val="00A64ED4"/>
    <w:rsid w:val="00A652BE"/>
    <w:rsid w:val="00A65596"/>
    <w:rsid w:val="00A6559A"/>
    <w:rsid w:val="00A6591F"/>
    <w:rsid w:val="00A65A41"/>
    <w:rsid w:val="00A65ACB"/>
    <w:rsid w:val="00A6605C"/>
    <w:rsid w:val="00A6628D"/>
    <w:rsid w:val="00A662C1"/>
    <w:rsid w:val="00A6667F"/>
    <w:rsid w:val="00A667E4"/>
    <w:rsid w:val="00A669F1"/>
    <w:rsid w:val="00A66A32"/>
    <w:rsid w:val="00A66B0C"/>
    <w:rsid w:val="00A66D31"/>
    <w:rsid w:val="00A66DD3"/>
    <w:rsid w:val="00A66E6B"/>
    <w:rsid w:val="00A66FFA"/>
    <w:rsid w:val="00A6759B"/>
    <w:rsid w:val="00A67649"/>
    <w:rsid w:val="00A6777F"/>
    <w:rsid w:val="00A679E7"/>
    <w:rsid w:val="00A67FD9"/>
    <w:rsid w:val="00A705BC"/>
    <w:rsid w:val="00A70805"/>
    <w:rsid w:val="00A70D04"/>
    <w:rsid w:val="00A71526"/>
    <w:rsid w:val="00A71A0B"/>
    <w:rsid w:val="00A71AAA"/>
    <w:rsid w:val="00A723E4"/>
    <w:rsid w:val="00A723EB"/>
    <w:rsid w:val="00A7259F"/>
    <w:rsid w:val="00A72777"/>
    <w:rsid w:val="00A72876"/>
    <w:rsid w:val="00A7297F"/>
    <w:rsid w:val="00A72A71"/>
    <w:rsid w:val="00A72C83"/>
    <w:rsid w:val="00A72E92"/>
    <w:rsid w:val="00A72FE9"/>
    <w:rsid w:val="00A732D3"/>
    <w:rsid w:val="00A733CB"/>
    <w:rsid w:val="00A73AB2"/>
    <w:rsid w:val="00A73E50"/>
    <w:rsid w:val="00A74134"/>
    <w:rsid w:val="00A741BF"/>
    <w:rsid w:val="00A744BB"/>
    <w:rsid w:val="00A7470E"/>
    <w:rsid w:val="00A7478F"/>
    <w:rsid w:val="00A7479F"/>
    <w:rsid w:val="00A747B9"/>
    <w:rsid w:val="00A74849"/>
    <w:rsid w:val="00A74983"/>
    <w:rsid w:val="00A74CE8"/>
    <w:rsid w:val="00A74D93"/>
    <w:rsid w:val="00A753EA"/>
    <w:rsid w:val="00A75540"/>
    <w:rsid w:val="00A755B1"/>
    <w:rsid w:val="00A756AF"/>
    <w:rsid w:val="00A75986"/>
    <w:rsid w:val="00A75A23"/>
    <w:rsid w:val="00A75A2B"/>
    <w:rsid w:val="00A76452"/>
    <w:rsid w:val="00A765C0"/>
    <w:rsid w:val="00A7669E"/>
    <w:rsid w:val="00A76AE1"/>
    <w:rsid w:val="00A76DD2"/>
    <w:rsid w:val="00A76FBA"/>
    <w:rsid w:val="00A77124"/>
    <w:rsid w:val="00A77315"/>
    <w:rsid w:val="00A773B4"/>
    <w:rsid w:val="00A7768A"/>
    <w:rsid w:val="00A777D6"/>
    <w:rsid w:val="00A77A2A"/>
    <w:rsid w:val="00A8000F"/>
    <w:rsid w:val="00A80244"/>
    <w:rsid w:val="00A802CE"/>
    <w:rsid w:val="00A802D9"/>
    <w:rsid w:val="00A803B2"/>
    <w:rsid w:val="00A8060D"/>
    <w:rsid w:val="00A80748"/>
    <w:rsid w:val="00A807E5"/>
    <w:rsid w:val="00A80E14"/>
    <w:rsid w:val="00A81271"/>
    <w:rsid w:val="00A812D7"/>
    <w:rsid w:val="00A814E5"/>
    <w:rsid w:val="00A81648"/>
    <w:rsid w:val="00A81714"/>
    <w:rsid w:val="00A81B56"/>
    <w:rsid w:val="00A81BBD"/>
    <w:rsid w:val="00A81FA8"/>
    <w:rsid w:val="00A82008"/>
    <w:rsid w:val="00A82314"/>
    <w:rsid w:val="00A82320"/>
    <w:rsid w:val="00A824B7"/>
    <w:rsid w:val="00A8283A"/>
    <w:rsid w:val="00A829E5"/>
    <w:rsid w:val="00A82FA9"/>
    <w:rsid w:val="00A82FFD"/>
    <w:rsid w:val="00A8325F"/>
    <w:rsid w:val="00A83284"/>
    <w:rsid w:val="00A8344B"/>
    <w:rsid w:val="00A835D5"/>
    <w:rsid w:val="00A835FC"/>
    <w:rsid w:val="00A8399D"/>
    <w:rsid w:val="00A839E7"/>
    <w:rsid w:val="00A83A76"/>
    <w:rsid w:val="00A83A87"/>
    <w:rsid w:val="00A83AD5"/>
    <w:rsid w:val="00A83C80"/>
    <w:rsid w:val="00A840EF"/>
    <w:rsid w:val="00A843E1"/>
    <w:rsid w:val="00A844FF"/>
    <w:rsid w:val="00A84608"/>
    <w:rsid w:val="00A8463A"/>
    <w:rsid w:val="00A847CD"/>
    <w:rsid w:val="00A848C0"/>
    <w:rsid w:val="00A84948"/>
    <w:rsid w:val="00A852A6"/>
    <w:rsid w:val="00A852B4"/>
    <w:rsid w:val="00A85334"/>
    <w:rsid w:val="00A854EB"/>
    <w:rsid w:val="00A85721"/>
    <w:rsid w:val="00A857AD"/>
    <w:rsid w:val="00A85D93"/>
    <w:rsid w:val="00A85EE2"/>
    <w:rsid w:val="00A861C5"/>
    <w:rsid w:val="00A862B3"/>
    <w:rsid w:val="00A868BF"/>
    <w:rsid w:val="00A86B52"/>
    <w:rsid w:val="00A87224"/>
    <w:rsid w:val="00A8732D"/>
    <w:rsid w:val="00A8739D"/>
    <w:rsid w:val="00A87849"/>
    <w:rsid w:val="00A879E9"/>
    <w:rsid w:val="00A90252"/>
    <w:rsid w:val="00A90723"/>
    <w:rsid w:val="00A90937"/>
    <w:rsid w:val="00A90F45"/>
    <w:rsid w:val="00A91213"/>
    <w:rsid w:val="00A91220"/>
    <w:rsid w:val="00A91262"/>
    <w:rsid w:val="00A91625"/>
    <w:rsid w:val="00A9184D"/>
    <w:rsid w:val="00A9199C"/>
    <w:rsid w:val="00A91C67"/>
    <w:rsid w:val="00A91FBA"/>
    <w:rsid w:val="00A9206B"/>
    <w:rsid w:val="00A921D9"/>
    <w:rsid w:val="00A924BD"/>
    <w:rsid w:val="00A9268D"/>
    <w:rsid w:val="00A9283B"/>
    <w:rsid w:val="00A92CB3"/>
    <w:rsid w:val="00A92E75"/>
    <w:rsid w:val="00A92FDD"/>
    <w:rsid w:val="00A934D8"/>
    <w:rsid w:val="00A93548"/>
    <w:rsid w:val="00A93801"/>
    <w:rsid w:val="00A939D4"/>
    <w:rsid w:val="00A93B97"/>
    <w:rsid w:val="00A93D6C"/>
    <w:rsid w:val="00A93DD0"/>
    <w:rsid w:val="00A940D9"/>
    <w:rsid w:val="00A940EB"/>
    <w:rsid w:val="00A9429B"/>
    <w:rsid w:val="00A943D7"/>
    <w:rsid w:val="00A94411"/>
    <w:rsid w:val="00A94457"/>
    <w:rsid w:val="00A94A04"/>
    <w:rsid w:val="00A94A34"/>
    <w:rsid w:val="00A94B6E"/>
    <w:rsid w:val="00A94D4C"/>
    <w:rsid w:val="00A95246"/>
    <w:rsid w:val="00A953B8"/>
    <w:rsid w:val="00A95848"/>
    <w:rsid w:val="00A95A89"/>
    <w:rsid w:val="00A95AC2"/>
    <w:rsid w:val="00A95AEE"/>
    <w:rsid w:val="00A95CFB"/>
    <w:rsid w:val="00A95E02"/>
    <w:rsid w:val="00A96374"/>
    <w:rsid w:val="00A963B4"/>
    <w:rsid w:val="00A963C9"/>
    <w:rsid w:val="00A964CF"/>
    <w:rsid w:val="00A966FE"/>
    <w:rsid w:val="00A968FA"/>
    <w:rsid w:val="00A96E06"/>
    <w:rsid w:val="00A972E1"/>
    <w:rsid w:val="00A976B2"/>
    <w:rsid w:val="00A976B4"/>
    <w:rsid w:val="00A97CF5"/>
    <w:rsid w:val="00A97E89"/>
    <w:rsid w:val="00AA03D8"/>
    <w:rsid w:val="00AA0607"/>
    <w:rsid w:val="00AA0ABE"/>
    <w:rsid w:val="00AA0AFD"/>
    <w:rsid w:val="00AA1080"/>
    <w:rsid w:val="00AA14D1"/>
    <w:rsid w:val="00AA1786"/>
    <w:rsid w:val="00AA1E6B"/>
    <w:rsid w:val="00AA1E85"/>
    <w:rsid w:val="00AA1F39"/>
    <w:rsid w:val="00AA237B"/>
    <w:rsid w:val="00AA242F"/>
    <w:rsid w:val="00AA25A3"/>
    <w:rsid w:val="00AA2C2D"/>
    <w:rsid w:val="00AA2D60"/>
    <w:rsid w:val="00AA2F74"/>
    <w:rsid w:val="00AA3126"/>
    <w:rsid w:val="00AA3868"/>
    <w:rsid w:val="00AA4053"/>
    <w:rsid w:val="00AA40AA"/>
    <w:rsid w:val="00AA41C3"/>
    <w:rsid w:val="00AA4250"/>
    <w:rsid w:val="00AA444B"/>
    <w:rsid w:val="00AA4492"/>
    <w:rsid w:val="00AA4839"/>
    <w:rsid w:val="00AA48D7"/>
    <w:rsid w:val="00AA499A"/>
    <w:rsid w:val="00AA4D04"/>
    <w:rsid w:val="00AA4D3F"/>
    <w:rsid w:val="00AA4EAE"/>
    <w:rsid w:val="00AA4F99"/>
    <w:rsid w:val="00AA5555"/>
    <w:rsid w:val="00AA5B8E"/>
    <w:rsid w:val="00AA5EE8"/>
    <w:rsid w:val="00AA6093"/>
    <w:rsid w:val="00AA6513"/>
    <w:rsid w:val="00AA7030"/>
    <w:rsid w:val="00AA7290"/>
    <w:rsid w:val="00AA7803"/>
    <w:rsid w:val="00AA7CF2"/>
    <w:rsid w:val="00AA7FA0"/>
    <w:rsid w:val="00AB0027"/>
    <w:rsid w:val="00AB01E7"/>
    <w:rsid w:val="00AB03E7"/>
    <w:rsid w:val="00AB04F5"/>
    <w:rsid w:val="00AB0791"/>
    <w:rsid w:val="00AB0868"/>
    <w:rsid w:val="00AB09CA"/>
    <w:rsid w:val="00AB0A91"/>
    <w:rsid w:val="00AB0B74"/>
    <w:rsid w:val="00AB0DCE"/>
    <w:rsid w:val="00AB0E19"/>
    <w:rsid w:val="00AB0F14"/>
    <w:rsid w:val="00AB0F45"/>
    <w:rsid w:val="00AB0F96"/>
    <w:rsid w:val="00AB10A2"/>
    <w:rsid w:val="00AB1181"/>
    <w:rsid w:val="00AB1814"/>
    <w:rsid w:val="00AB1AE3"/>
    <w:rsid w:val="00AB1AF7"/>
    <w:rsid w:val="00AB1D4C"/>
    <w:rsid w:val="00AB2313"/>
    <w:rsid w:val="00AB2B44"/>
    <w:rsid w:val="00AB2B87"/>
    <w:rsid w:val="00AB326C"/>
    <w:rsid w:val="00AB349F"/>
    <w:rsid w:val="00AB3764"/>
    <w:rsid w:val="00AB37A3"/>
    <w:rsid w:val="00AB3AC5"/>
    <w:rsid w:val="00AB3B4A"/>
    <w:rsid w:val="00AB3F20"/>
    <w:rsid w:val="00AB4196"/>
    <w:rsid w:val="00AB4581"/>
    <w:rsid w:val="00AB4734"/>
    <w:rsid w:val="00AB4956"/>
    <w:rsid w:val="00AB4B3D"/>
    <w:rsid w:val="00AB4C1D"/>
    <w:rsid w:val="00AB4E5B"/>
    <w:rsid w:val="00AB4F05"/>
    <w:rsid w:val="00AB55B3"/>
    <w:rsid w:val="00AB58A1"/>
    <w:rsid w:val="00AB5A74"/>
    <w:rsid w:val="00AB5B8C"/>
    <w:rsid w:val="00AB5BFA"/>
    <w:rsid w:val="00AB62D1"/>
    <w:rsid w:val="00AB62F6"/>
    <w:rsid w:val="00AB66E6"/>
    <w:rsid w:val="00AB6B44"/>
    <w:rsid w:val="00AB6F88"/>
    <w:rsid w:val="00AB700D"/>
    <w:rsid w:val="00AB712A"/>
    <w:rsid w:val="00AB71C9"/>
    <w:rsid w:val="00AB7401"/>
    <w:rsid w:val="00AB749C"/>
    <w:rsid w:val="00AB7858"/>
    <w:rsid w:val="00AB7DAC"/>
    <w:rsid w:val="00AC01AD"/>
    <w:rsid w:val="00AC0A01"/>
    <w:rsid w:val="00AC0E6A"/>
    <w:rsid w:val="00AC0F7D"/>
    <w:rsid w:val="00AC1040"/>
    <w:rsid w:val="00AC12E1"/>
    <w:rsid w:val="00AC12FD"/>
    <w:rsid w:val="00AC145E"/>
    <w:rsid w:val="00AC1AF7"/>
    <w:rsid w:val="00AC1C75"/>
    <w:rsid w:val="00AC1DE5"/>
    <w:rsid w:val="00AC1E73"/>
    <w:rsid w:val="00AC2039"/>
    <w:rsid w:val="00AC214A"/>
    <w:rsid w:val="00AC2567"/>
    <w:rsid w:val="00AC2611"/>
    <w:rsid w:val="00AC26B2"/>
    <w:rsid w:val="00AC2EAA"/>
    <w:rsid w:val="00AC2F0F"/>
    <w:rsid w:val="00AC302A"/>
    <w:rsid w:val="00AC304D"/>
    <w:rsid w:val="00AC3334"/>
    <w:rsid w:val="00AC3698"/>
    <w:rsid w:val="00AC36CF"/>
    <w:rsid w:val="00AC3805"/>
    <w:rsid w:val="00AC3845"/>
    <w:rsid w:val="00AC3942"/>
    <w:rsid w:val="00AC3A58"/>
    <w:rsid w:val="00AC3F48"/>
    <w:rsid w:val="00AC4516"/>
    <w:rsid w:val="00AC4656"/>
    <w:rsid w:val="00AC476B"/>
    <w:rsid w:val="00AC47BC"/>
    <w:rsid w:val="00AC4910"/>
    <w:rsid w:val="00AC495C"/>
    <w:rsid w:val="00AC4A1E"/>
    <w:rsid w:val="00AC50BA"/>
    <w:rsid w:val="00AC50BC"/>
    <w:rsid w:val="00AC50ED"/>
    <w:rsid w:val="00AC5143"/>
    <w:rsid w:val="00AC539E"/>
    <w:rsid w:val="00AC53AE"/>
    <w:rsid w:val="00AC544D"/>
    <w:rsid w:val="00AC585D"/>
    <w:rsid w:val="00AC5A13"/>
    <w:rsid w:val="00AC5F42"/>
    <w:rsid w:val="00AC5FEC"/>
    <w:rsid w:val="00AC61D5"/>
    <w:rsid w:val="00AC6236"/>
    <w:rsid w:val="00AC6283"/>
    <w:rsid w:val="00AC628C"/>
    <w:rsid w:val="00AC62A4"/>
    <w:rsid w:val="00AC6464"/>
    <w:rsid w:val="00AC6672"/>
    <w:rsid w:val="00AC672C"/>
    <w:rsid w:val="00AC68EC"/>
    <w:rsid w:val="00AC69EB"/>
    <w:rsid w:val="00AC6E49"/>
    <w:rsid w:val="00AC740C"/>
    <w:rsid w:val="00AC7558"/>
    <w:rsid w:val="00AC75D8"/>
    <w:rsid w:val="00AC7BA6"/>
    <w:rsid w:val="00AC7C0E"/>
    <w:rsid w:val="00AC7CC9"/>
    <w:rsid w:val="00AC7E5F"/>
    <w:rsid w:val="00AC7EA0"/>
    <w:rsid w:val="00AD01BE"/>
    <w:rsid w:val="00AD09B2"/>
    <w:rsid w:val="00AD09FF"/>
    <w:rsid w:val="00AD0A6F"/>
    <w:rsid w:val="00AD0B21"/>
    <w:rsid w:val="00AD0F99"/>
    <w:rsid w:val="00AD0FCA"/>
    <w:rsid w:val="00AD1106"/>
    <w:rsid w:val="00AD124B"/>
    <w:rsid w:val="00AD1264"/>
    <w:rsid w:val="00AD1357"/>
    <w:rsid w:val="00AD14D4"/>
    <w:rsid w:val="00AD1772"/>
    <w:rsid w:val="00AD179C"/>
    <w:rsid w:val="00AD17A8"/>
    <w:rsid w:val="00AD1800"/>
    <w:rsid w:val="00AD19F0"/>
    <w:rsid w:val="00AD1A79"/>
    <w:rsid w:val="00AD2094"/>
    <w:rsid w:val="00AD20D8"/>
    <w:rsid w:val="00AD2367"/>
    <w:rsid w:val="00AD2619"/>
    <w:rsid w:val="00AD274C"/>
    <w:rsid w:val="00AD275F"/>
    <w:rsid w:val="00AD2901"/>
    <w:rsid w:val="00AD2E87"/>
    <w:rsid w:val="00AD3426"/>
    <w:rsid w:val="00AD34D4"/>
    <w:rsid w:val="00AD364F"/>
    <w:rsid w:val="00AD36DE"/>
    <w:rsid w:val="00AD36E3"/>
    <w:rsid w:val="00AD37CD"/>
    <w:rsid w:val="00AD3C3B"/>
    <w:rsid w:val="00AD3CAE"/>
    <w:rsid w:val="00AD3E37"/>
    <w:rsid w:val="00AD3EE3"/>
    <w:rsid w:val="00AD43FA"/>
    <w:rsid w:val="00AD4457"/>
    <w:rsid w:val="00AD49A7"/>
    <w:rsid w:val="00AD503B"/>
    <w:rsid w:val="00AD5085"/>
    <w:rsid w:val="00AD50D3"/>
    <w:rsid w:val="00AD510A"/>
    <w:rsid w:val="00AD545F"/>
    <w:rsid w:val="00AD5464"/>
    <w:rsid w:val="00AD5777"/>
    <w:rsid w:val="00AD58E6"/>
    <w:rsid w:val="00AD59C4"/>
    <w:rsid w:val="00AD5AE7"/>
    <w:rsid w:val="00AD5C63"/>
    <w:rsid w:val="00AD5DB0"/>
    <w:rsid w:val="00AD61E2"/>
    <w:rsid w:val="00AD641B"/>
    <w:rsid w:val="00AD65AD"/>
    <w:rsid w:val="00AD67CB"/>
    <w:rsid w:val="00AD69B4"/>
    <w:rsid w:val="00AD6E60"/>
    <w:rsid w:val="00AD7059"/>
    <w:rsid w:val="00AD7698"/>
    <w:rsid w:val="00AD7D73"/>
    <w:rsid w:val="00AD7DB4"/>
    <w:rsid w:val="00AE03D3"/>
    <w:rsid w:val="00AE04DC"/>
    <w:rsid w:val="00AE0A50"/>
    <w:rsid w:val="00AE0DC5"/>
    <w:rsid w:val="00AE0E04"/>
    <w:rsid w:val="00AE11B8"/>
    <w:rsid w:val="00AE1514"/>
    <w:rsid w:val="00AE15FB"/>
    <w:rsid w:val="00AE18C1"/>
    <w:rsid w:val="00AE1AB3"/>
    <w:rsid w:val="00AE220D"/>
    <w:rsid w:val="00AE23AE"/>
    <w:rsid w:val="00AE23B7"/>
    <w:rsid w:val="00AE243C"/>
    <w:rsid w:val="00AE2586"/>
    <w:rsid w:val="00AE2B22"/>
    <w:rsid w:val="00AE2C6E"/>
    <w:rsid w:val="00AE2D2E"/>
    <w:rsid w:val="00AE2EA5"/>
    <w:rsid w:val="00AE2F1F"/>
    <w:rsid w:val="00AE31CD"/>
    <w:rsid w:val="00AE31E7"/>
    <w:rsid w:val="00AE3396"/>
    <w:rsid w:val="00AE34EA"/>
    <w:rsid w:val="00AE34EF"/>
    <w:rsid w:val="00AE3508"/>
    <w:rsid w:val="00AE3707"/>
    <w:rsid w:val="00AE379C"/>
    <w:rsid w:val="00AE3D59"/>
    <w:rsid w:val="00AE3E0B"/>
    <w:rsid w:val="00AE42F0"/>
    <w:rsid w:val="00AE4C5A"/>
    <w:rsid w:val="00AE4D03"/>
    <w:rsid w:val="00AE501F"/>
    <w:rsid w:val="00AE5143"/>
    <w:rsid w:val="00AE51A4"/>
    <w:rsid w:val="00AE551F"/>
    <w:rsid w:val="00AE5635"/>
    <w:rsid w:val="00AE59C2"/>
    <w:rsid w:val="00AE59D3"/>
    <w:rsid w:val="00AE5A50"/>
    <w:rsid w:val="00AE5B1D"/>
    <w:rsid w:val="00AE5B8A"/>
    <w:rsid w:val="00AE6773"/>
    <w:rsid w:val="00AE6B08"/>
    <w:rsid w:val="00AE7031"/>
    <w:rsid w:val="00AE7279"/>
    <w:rsid w:val="00AE7767"/>
    <w:rsid w:val="00AE7C43"/>
    <w:rsid w:val="00AE7DD8"/>
    <w:rsid w:val="00AF0035"/>
    <w:rsid w:val="00AF0528"/>
    <w:rsid w:val="00AF0D67"/>
    <w:rsid w:val="00AF10FF"/>
    <w:rsid w:val="00AF1D66"/>
    <w:rsid w:val="00AF1F4A"/>
    <w:rsid w:val="00AF1FAD"/>
    <w:rsid w:val="00AF22B6"/>
    <w:rsid w:val="00AF22E4"/>
    <w:rsid w:val="00AF2665"/>
    <w:rsid w:val="00AF2CDF"/>
    <w:rsid w:val="00AF2F81"/>
    <w:rsid w:val="00AF304F"/>
    <w:rsid w:val="00AF3087"/>
    <w:rsid w:val="00AF31C6"/>
    <w:rsid w:val="00AF31E6"/>
    <w:rsid w:val="00AF3200"/>
    <w:rsid w:val="00AF322A"/>
    <w:rsid w:val="00AF37A8"/>
    <w:rsid w:val="00AF39D8"/>
    <w:rsid w:val="00AF3A30"/>
    <w:rsid w:val="00AF3C2B"/>
    <w:rsid w:val="00AF3D9F"/>
    <w:rsid w:val="00AF3F68"/>
    <w:rsid w:val="00AF4220"/>
    <w:rsid w:val="00AF4412"/>
    <w:rsid w:val="00AF4584"/>
    <w:rsid w:val="00AF4733"/>
    <w:rsid w:val="00AF486F"/>
    <w:rsid w:val="00AF4A6E"/>
    <w:rsid w:val="00AF4D16"/>
    <w:rsid w:val="00AF55A5"/>
    <w:rsid w:val="00AF5856"/>
    <w:rsid w:val="00AF59C0"/>
    <w:rsid w:val="00AF5F09"/>
    <w:rsid w:val="00AF5F5D"/>
    <w:rsid w:val="00AF6022"/>
    <w:rsid w:val="00AF6380"/>
    <w:rsid w:val="00AF6662"/>
    <w:rsid w:val="00AF687E"/>
    <w:rsid w:val="00AF692D"/>
    <w:rsid w:val="00AF69C3"/>
    <w:rsid w:val="00AF6BF6"/>
    <w:rsid w:val="00AF6D5B"/>
    <w:rsid w:val="00AF6F0A"/>
    <w:rsid w:val="00AF73B5"/>
    <w:rsid w:val="00AF773A"/>
    <w:rsid w:val="00AF7797"/>
    <w:rsid w:val="00AF77BE"/>
    <w:rsid w:val="00AF7910"/>
    <w:rsid w:val="00AF7CA0"/>
    <w:rsid w:val="00AF7D71"/>
    <w:rsid w:val="00AF7DD4"/>
    <w:rsid w:val="00B000DF"/>
    <w:rsid w:val="00B00231"/>
    <w:rsid w:val="00B00319"/>
    <w:rsid w:val="00B00541"/>
    <w:rsid w:val="00B005DB"/>
    <w:rsid w:val="00B009B7"/>
    <w:rsid w:val="00B00A39"/>
    <w:rsid w:val="00B01280"/>
    <w:rsid w:val="00B01445"/>
    <w:rsid w:val="00B014F4"/>
    <w:rsid w:val="00B01535"/>
    <w:rsid w:val="00B01564"/>
    <w:rsid w:val="00B015D3"/>
    <w:rsid w:val="00B01B23"/>
    <w:rsid w:val="00B01CF6"/>
    <w:rsid w:val="00B01E66"/>
    <w:rsid w:val="00B01E91"/>
    <w:rsid w:val="00B01FE5"/>
    <w:rsid w:val="00B0260F"/>
    <w:rsid w:val="00B02880"/>
    <w:rsid w:val="00B03487"/>
    <w:rsid w:val="00B03519"/>
    <w:rsid w:val="00B039F1"/>
    <w:rsid w:val="00B03A42"/>
    <w:rsid w:val="00B03DA6"/>
    <w:rsid w:val="00B03DF7"/>
    <w:rsid w:val="00B03E19"/>
    <w:rsid w:val="00B04521"/>
    <w:rsid w:val="00B04680"/>
    <w:rsid w:val="00B04707"/>
    <w:rsid w:val="00B04AB2"/>
    <w:rsid w:val="00B04C76"/>
    <w:rsid w:val="00B04D3F"/>
    <w:rsid w:val="00B052D8"/>
    <w:rsid w:val="00B053FD"/>
    <w:rsid w:val="00B05A23"/>
    <w:rsid w:val="00B05B18"/>
    <w:rsid w:val="00B05DA4"/>
    <w:rsid w:val="00B05DC1"/>
    <w:rsid w:val="00B0643E"/>
    <w:rsid w:val="00B0650B"/>
    <w:rsid w:val="00B0655F"/>
    <w:rsid w:val="00B065C9"/>
    <w:rsid w:val="00B068C6"/>
    <w:rsid w:val="00B06A38"/>
    <w:rsid w:val="00B06D89"/>
    <w:rsid w:val="00B07287"/>
    <w:rsid w:val="00B0730F"/>
    <w:rsid w:val="00B0742E"/>
    <w:rsid w:val="00B0768D"/>
    <w:rsid w:val="00B07708"/>
    <w:rsid w:val="00B078E7"/>
    <w:rsid w:val="00B07A8E"/>
    <w:rsid w:val="00B07CA9"/>
    <w:rsid w:val="00B100C3"/>
    <w:rsid w:val="00B102CE"/>
    <w:rsid w:val="00B102DF"/>
    <w:rsid w:val="00B105AC"/>
    <w:rsid w:val="00B10713"/>
    <w:rsid w:val="00B10717"/>
    <w:rsid w:val="00B10C19"/>
    <w:rsid w:val="00B1117C"/>
    <w:rsid w:val="00B11366"/>
    <w:rsid w:val="00B11372"/>
    <w:rsid w:val="00B11392"/>
    <w:rsid w:val="00B11641"/>
    <w:rsid w:val="00B119D4"/>
    <w:rsid w:val="00B1211A"/>
    <w:rsid w:val="00B12160"/>
    <w:rsid w:val="00B122FA"/>
    <w:rsid w:val="00B12384"/>
    <w:rsid w:val="00B125C6"/>
    <w:rsid w:val="00B12762"/>
    <w:rsid w:val="00B12A0A"/>
    <w:rsid w:val="00B12BC5"/>
    <w:rsid w:val="00B12C22"/>
    <w:rsid w:val="00B12E7A"/>
    <w:rsid w:val="00B12F3A"/>
    <w:rsid w:val="00B13017"/>
    <w:rsid w:val="00B13450"/>
    <w:rsid w:val="00B139E5"/>
    <w:rsid w:val="00B13B21"/>
    <w:rsid w:val="00B13E75"/>
    <w:rsid w:val="00B14176"/>
    <w:rsid w:val="00B145D6"/>
    <w:rsid w:val="00B146F5"/>
    <w:rsid w:val="00B14852"/>
    <w:rsid w:val="00B150FC"/>
    <w:rsid w:val="00B15503"/>
    <w:rsid w:val="00B15B94"/>
    <w:rsid w:val="00B15F25"/>
    <w:rsid w:val="00B160D3"/>
    <w:rsid w:val="00B16979"/>
    <w:rsid w:val="00B16A4B"/>
    <w:rsid w:val="00B16EDA"/>
    <w:rsid w:val="00B16F66"/>
    <w:rsid w:val="00B16F83"/>
    <w:rsid w:val="00B171D0"/>
    <w:rsid w:val="00B17296"/>
    <w:rsid w:val="00B17629"/>
    <w:rsid w:val="00B17713"/>
    <w:rsid w:val="00B17994"/>
    <w:rsid w:val="00B17D98"/>
    <w:rsid w:val="00B17F5E"/>
    <w:rsid w:val="00B20742"/>
    <w:rsid w:val="00B20C02"/>
    <w:rsid w:val="00B20D46"/>
    <w:rsid w:val="00B2110A"/>
    <w:rsid w:val="00B2110C"/>
    <w:rsid w:val="00B211A2"/>
    <w:rsid w:val="00B21668"/>
    <w:rsid w:val="00B216E4"/>
    <w:rsid w:val="00B218A0"/>
    <w:rsid w:val="00B21985"/>
    <w:rsid w:val="00B21CEE"/>
    <w:rsid w:val="00B21E5B"/>
    <w:rsid w:val="00B21E7E"/>
    <w:rsid w:val="00B21F69"/>
    <w:rsid w:val="00B223F6"/>
    <w:rsid w:val="00B22466"/>
    <w:rsid w:val="00B2247D"/>
    <w:rsid w:val="00B22614"/>
    <w:rsid w:val="00B22D81"/>
    <w:rsid w:val="00B23205"/>
    <w:rsid w:val="00B234C5"/>
    <w:rsid w:val="00B23552"/>
    <w:rsid w:val="00B2358C"/>
    <w:rsid w:val="00B237E8"/>
    <w:rsid w:val="00B23DE5"/>
    <w:rsid w:val="00B23EEC"/>
    <w:rsid w:val="00B23EF5"/>
    <w:rsid w:val="00B2444C"/>
    <w:rsid w:val="00B2468D"/>
    <w:rsid w:val="00B24B82"/>
    <w:rsid w:val="00B2501B"/>
    <w:rsid w:val="00B25194"/>
    <w:rsid w:val="00B256A4"/>
    <w:rsid w:val="00B256F4"/>
    <w:rsid w:val="00B257BF"/>
    <w:rsid w:val="00B25DC7"/>
    <w:rsid w:val="00B26112"/>
    <w:rsid w:val="00B26261"/>
    <w:rsid w:val="00B265C1"/>
    <w:rsid w:val="00B26904"/>
    <w:rsid w:val="00B26E80"/>
    <w:rsid w:val="00B27272"/>
    <w:rsid w:val="00B27405"/>
    <w:rsid w:val="00B27BBA"/>
    <w:rsid w:val="00B27D87"/>
    <w:rsid w:val="00B27E52"/>
    <w:rsid w:val="00B27E76"/>
    <w:rsid w:val="00B27F2B"/>
    <w:rsid w:val="00B30111"/>
    <w:rsid w:val="00B30137"/>
    <w:rsid w:val="00B30223"/>
    <w:rsid w:val="00B30351"/>
    <w:rsid w:val="00B303F8"/>
    <w:rsid w:val="00B304A0"/>
    <w:rsid w:val="00B304E1"/>
    <w:rsid w:val="00B30713"/>
    <w:rsid w:val="00B30BBC"/>
    <w:rsid w:val="00B30BDD"/>
    <w:rsid w:val="00B30DAC"/>
    <w:rsid w:val="00B30F86"/>
    <w:rsid w:val="00B312B7"/>
    <w:rsid w:val="00B31932"/>
    <w:rsid w:val="00B32143"/>
    <w:rsid w:val="00B32499"/>
    <w:rsid w:val="00B326A7"/>
    <w:rsid w:val="00B329CD"/>
    <w:rsid w:val="00B329D7"/>
    <w:rsid w:val="00B32B6B"/>
    <w:rsid w:val="00B32CB8"/>
    <w:rsid w:val="00B331BA"/>
    <w:rsid w:val="00B331F4"/>
    <w:rsid w:val="00B3371F"/>
    <w:rsid w:val="00B33819"/>
    <w:rsid w:val="00B338B7"/>
    <w:rsid w:val="00B3390A"/>
    <w:rsid w:val="00B33EB3"/>
    <w:rsid w:val="00B342C0"/>
    <w:rsid w:val="00B34455"/>
    <w:rsid w:val="00B34498"/>
    <w:rsid w:val="00B345D9"/>
    <w:rsid w:val="00B34C5D"/>
    <w:rsid w:val="00B34CE6"/>
    <w:rsid w:val="00B34D15"/>
    <w:rsid w:val="00B34E60"/>
    <w:rsid w:val="00B34E9D"/>
    <w:rsid w:val="00B3501B"/>
    <w:rsid w:val="00B3519E"/>
    <w:rsid w:val="00B35701"/>
    <w:rsid w:val="00B35738"/>
    <w:rsid w:val="00B35752"/>
    <w:rsid w:val="00B35A5D"/>
    <w:rsid w:val="00B35D3F"/>
    <w:rsid w:val="00B35F12"/>
    <w:rsid w:val="00B360C0"/>
    <w:rsid w:val="00B36B88"/>
    <w:rsid w:val="00B36EB8"/>
    <w:rsid w:val="00B373BA"/>
    <w:rsid w:val="00B37447"/>
    <w:rsid w:val="00B375A5"/>
    <w:rsid w:val="00B375CF"/>
    <w:rsid w:val="00B37820"/>
    <w:rsid w:val="00B37993"/>
    <w:rsid w:val="00B379E7"/>
    <w:rsid w:val="00B37A22"/>
    <w:rsid w:val="00B37A64"/>
    <w:rsid w:val="00B37DE3"/>
    <w:rsid w:val="00B40004"/>
    <w:rsid w:val="00B4003D"/>
    <w:rsid w:val="00B400EA"/>
    <w:rsid w:val="00B404E4"/>
    <w:rsid w:val="00B404FD"/>
    <w:rsid w:val="00B40534"/>
    <w:rsid w:val="00B40762"/>
    <w:rsid w:val="00B40C10"/>
    <w:rsid w:val="00B4147A"/>
    <w:rsid w:val="00B414AD"/>
    <w:rsid w:val="00B41D6E"/>
    <w:rsid w:val="00B41DE5"/>
    <w:rsid w:val="00B42335"/>
    <w:rsid w:val="00B423BF"/>
    <w:rsid w:val="00B428A4"/>
    <w:rsid w:val="00B42AA1"/>
    <w:rsid w:val="00B42B4E"/>
    <w:rsid w:val="00B42D7E"/>
    <w:rsid w:val="00B4313F"/>
    <w:rsid w:val="00B432A2"/>
    <w:rsid w:val="00B433F0"/>
    <w:rsid w:val="00B43534"/>
    <w:rsid w:val="00B4368C"/>
    <w:rsid w:val="00B43A1A"/>
    <w:rsid w:val="00B43AA2"/>
    <w:rsid w:val="00B43AC2"/>
    <w:rsid w:val="00B43F94"/>
    <w:rsid w:val="00B44098"/>
    <w:rsid w:val="00B44382"/>
    <w:rsid w:val="00B4441F"/>
    <w:rsid w:val="00B447FC"/>
    <w:rsid w:val="00B44900"/>
    <w:rsid w:val="00B44998"/>
    <w:rsid w:val="00B44AC7"/>
    <w:rsid w:val="00B44C21"/>
    <w:rsid w:val="00B44D00"/>
    <w:rsid w:val="00B44D62"/>
    <w:rsid w:val="00B44D88"/>
    <w:rsid w:val="00B44DAA"/>
    <w:rsid w:val="00B44E82"/>
    <w:rsid w:val="00B44E9D"/>
    <w:rsid w:val="00B4550E"/>
    <w:rsid w:val="00B4577A"/>
    <w:rsid w:val="00B45B76"/>
    <w:rsid w:val="00B45F2C"/>
    <w:rsid w:val="00B45F44"/>
    <w:rsid w:val="00B466C9"/>
    <w:rsid w:val="00B46747"/>
    <w:rsid w:val="00B468F6"/>
    <w:rsid w:val="00B46A0D"/>
    <w:rsid w:val="00B46B45"/>
    <w:rsid w:val="00B46BAC"/>
    <w:rsid w:val="00B46C7D"/>
    <w:rsid w:val="00B47379"/>
    <w:rsid w:val="00B476AE"/>
    <w:rsid w:val="00B47B3F"/>
    <w:rsid w:val="00B47C44"/>
    <w:rsid w:val="00B5001B"/>
    <w:rsid w:val="00B50072"/>
    <w:rsid w:val="00B5031A"/>
    <w:rsid w:val="00B50702"/>
    <w:rsid w:val="00B50798"/>
    <w:rsid w:val="00B509FC"/>
    <w:rsid w:val="00B50B70"/>
    <w:rsid w:val="00B512BB"/>
    <w:rsid w:val="00B514E1"/>
    <w:rsid w:val="00B5160D"/>
    <w:rsid w:val="00B517E5"/>
    <w:rsid w:val="00B51FFB"/>
    <w:rsid w:val="00B52438"/>
    <w:rsid w:val="00B525CB"/>
    <w:rsid w:val="00B5261B"/>
    <w:rsid w:val="00B52646"/>
    <w:rsid w:val="00B526AE"/>
    <w:rsid w:val="00B5271B"/>
    <w:rsid w:val="00B527AC"/>
    <w:rsid w:val="00B529B1"/>
    <w:rsid w:val="00B52B57"/>
    <w:rsid w:val="00B52F7C"/>
    <w:rsid w:val="00B530EC"/>
    <w:rsid w:val="00B530FA"/>
    <w:rsid w:val="00B5331B"/>
    <w:rsid w:val="00B537FC"/>
    <w:rsid w:val="00B5392B"/>
    <w:rsid w:val="00B53B2D"/>
    <w:rsid w:val="00B53BF5"/>
    <w:rsid w:val="00B53D3A"/>
    <w:rsid w:val="00B53EF1"/>
    <w:rsid w:val="00B540DA"/>
    <w:rsid w:val="00B54131"/>
    <w:rsid w:val="00B541C3"/>
    <w:rsid w:val="00B5476A"/>
    <w:rsid w:val="00B54B0E"/>
    <w:rsid w:val="00B54BB1"/>
    <w:rsid w:val="00B54E49"/>
    <w:rsid w:val="00B555FC"/>
    <w:rsid w:val="00B5566A"/>
    <w:rsid w:val="00B559B2"/>
    <w:rsid w:val="00B55E12"/>
    <w:rsid w:val="00B5626F"/>
    <w:rsid w:val="00B5655D"/>
    <w:rsid w:val="00B5662B"/>
    <w:rsid w:val="00B5672D"/>
    <w:rsid w:val="00B56900"/>
    <w:rsid w:val="00B56979"/>
    <w:rsid w:val="00B56C1B"/>
    <w:rsid w:val="00B56F2B"/>
    <w:rsid w:val="00B56FAB"/>
    <w:rsid w:val="00B5711F"/>
    <w:rsid w:val="00B57306"/>
    <w:rsid w:val="00B57ADB"/>
    <w:rsid w:val="00B57DBE"/>
    <w:rsid w:val="00B57EEC"/>
    <w:rsid w:val="00B6053F"/>
    <w:rsid w:val="00B605C6"/>
    <w:rsid w:val="00B6098C"/>
    <w:rsid w:val="00B60B60"/>
    <w:rsid w:val="00B61044"/>
    <w:rsid w:val="00B6137C"/>
    <w:rsid w:val="00B61847"/>
    <w:rsid w:val="00B618AD"/>
    <w:rsid w:val="00B61AA7"/>
    <w:rsid w:val="00B61BE5"/>
    <w:rsid w:val="00B61CD8"/>
    <w:rsid w:val="00B62454"/>
    <w:rsid w:val="00B625E8"/>
    <w:rsid w:val="00B62828"/>
    <w:rsid w:val="00B62A22"/>
    <w:rsid w:val="00B62AAE"/>
    <w:rsid w:val="00B6320D"/>
    <w:rsid w:val="00B6348A"/>
    <w:rsid w:val="00B634B1"/>
    <w:rsid w:val="00B6367D"/>
    <w:rsid w:val="00B63773"/>
    <w:rsid w:val="00B637F7"/>
    <w:rsid w:val="00B63CA0"/>
    <w:rsid w:val="00B63EB8"/>
    <w:rsid w:val="00B6417C"/>
    <w:rsid w:val="00B6465E"/>
    <w:rsid w:val="00B6470B"/>
    <w:rsid w:val="00B6497C"/>
    <w:rsid w:val="00B653B2"/>
    <w:rsid w:val="00B65738"/>
    <w:rsid w:val="00B65A20"/>
    <w:rsid w:val="00B65DF0"/>
    <w:rsid w:val="00B65E3E"/>
    <w:rsid w:val="00B66052"/>
    <w:rsid w:val="00B6631A"/>
    <w:rsid w:val="00B6633A"/>
    <w:rsid w:val="00B67185"/>
    <w:rsid w:val="00B6718B"/>
    <w:rsid w:val="00B671BE"/>
    <w:rsid w:val="00B673FC"/>
    <w:rsid w:val="00B6779D"/>
    <w:rsid w:val="00B67908"/>
    <w:rsid w:val="00B67A5C"/>
    <w:rsid w:val="00B67C20"/>
    <w:rsid w:val="00B67E93"/>
    <w:rsid w:val="00B70195"/>
    <w:rsid w:val="00B701A0"/>
    <w:rsid w:val="00B705CF"/>
    <w:rsid w:val="00B7079D"/>
    <w:rsid w:val="00B708CE"/>
    <w:rsid w:val="00B709CE"/>
    <w:rsid w:val="00B70D46"/>
    <w:rsid w:val="00B714FF"/>
    <w:rsid w:val="00B71669"/>
    <w:rsid w:val="00B71739"/>
    <w:rsid w:val="00B71747"/>
    <w:rsid w:val="00B72025"/>
    <w:rsid w:val="00B72469"/>
    <w:rsid w:val="00B72682"/>
    <w:rsid w:val="00B7289D"/>
    <w:rsid w:val="00B72D45"/>
    <w:rsid w:val="00B73004"/>
    <w:rsid w:val="00B7342D"/>
    <w:rsid w:val="00B737C8"/>
    <w:rsid w:val="00B73803"/>
    <w:rsid w:val="00B73B24"/>
    <w:rsid w:val="00B73D83"/>
    <w:rsid w:val="00B73F79"/>
    <w:rsid w:val="00B740ED"/>
    <w:rsid w:val="00B74140"/>
    <w:rsid w:val="00B7420A"/>
    <w:rsid w:val="00B7420B"/>
    <w:rsid w:val="00B74239"/>
    <w:rsid w:val="00B74690"/>
    <w:rsid w:val="00B747F7"/>
    <w:rsid w:val="00B74F81"/>
    <w:rsid w:val="00B75325"/>
    <w:rsid w:val="00B754F0"/>
    <w:rsid w:val="00B75523"/>
    <w:rsid w:val="00B75D3C"/>
    <w:rsid w:val="00B75EC4"/>
    <w:rsid w:val="00B75EFF"/>
    <w:rsid w:val="00B766BA"/>
    <w:rsid w:val="00B7697D"/>
    <w:rsid w:val="00B76E1D"/>
    <w:rsid w:val="00B76FCA"/>
    <w:rsid w:val="00B77222"/>
    <w:rsid w:val="00B7729E"/>
    <w:rsid w:val="00B77A2E"/>
    <w:rsid w:val="00B77A72"/>
    <w:rsid w:val="00B77D6E"/>
    <w:rsid w:val="00B77FD4"/>
    <w:rsid w:val="00B800E1"/>
    <w:rsid w:val="00B80227"/>
    <w:rsid w:val="00B802C3"/>
    <w:rsid w:val="00B80AD5"/>
    <w:rsid w:val="00B80E34"/>
    <w:rsid w:val="00B80F1E"/>
    <w:rsid w:val="00B810E2"/>
    <w:rsid w:val="00B81105"/>
    <w:rsid w:val="00B811F4"/>
    <w:rsid w:val="00B81462"/>
    <w:rsid w:val="00B8172C"/>
    <w:rsid w:val="00B818BB"/>
    <w:rsid w:val="00B81935"/>
    <w:rsid w:val="00B81A34"/>
    <w:rsid w:val="00B81B71"/>
    <w:rsid w:val="00B81CCD"/>
    <w:rsid w:val="00B81D0D"/>
    <w:rsid w:val="00B81E8E"/>
    <w:rsid w:val="00B8220B"/>
    <w:rsid w:val="00B8241C"/>
    <w:rsid w:val="00B8248D"/>
    <w:rsid w:val="00B8266C"/>
    <w:rsid w:val="00B82E03"/>
    <w:rsid w:val="00B82E10"/>
    <w:rsid w:val="00B82EC5"/>
    <w:rsid w:val="00B82F08"/>
    <w:rsid w:val="00B83198"/>
    <w:rsid w:val="00B83894"/>
    <w:rsid w:val="00B83CD8"/>
    <w:rsid w:val="00B83F08"/>
    <w:rsid w:val="00B83FE7"/>
    <w:rsid w:val="00B84045"/>
    <w:rsid w:val="00B84083"/>
    <w:rsid w:val="00B8430E"/>
    <w:rsid w:val="00B844CD"/>
    <w:rsid w:val="00B8468E"/>
    <w:rsid w:val="00B84840"/>
    <w:rsid w:val="00B84EAE"/>
    <w:rsid w:val="00B85017"/>
    <w:rsid w:val="00B85239"/>
    <w:rsid w:val="00B8556D"/>
    <w:rsid w:val="00B85904"/>
    <w:rsid w:val="00B85EF2"/>
    <w:rsid w:val="00B86140"/>
    <w:rsid w:val="00B8665B"/>
    <w:rsid w:val="00B86762"/>
    <w:rsid w:val="00B869A0"/>
    <w:rsid w:val="00B869A5"/>
    <w:rsid w:val="00B86B17"/>
    <w:rsid w:val="00B86F93"/>
    <w:rsid w:val="00B873E6"/>
    <w:rsid w:val="00B87764"/>
    <w:rsid w:val="00B87888"/>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D84"/>
    <w:rsid w:val="00B90F5F"/>
    <w:rsid w:val="00B911C2"/>
    <w:rsid w:val="00B9134C"/>
    <w:rsid w:val="00B91642"/>
    <w:rsid w:val="00B91986"/>
    <w:rsid w:val="00B91CAC"/>
    <w:rsid w:val="00B91CDA"/>
    <w:rsid w:val="00B91DA7"/>
    <w:rsid w:val="00B9260B"/>
    <w:rsid w:val="00B92A08"/>
    <w:rsid w:val="00B92C99"/>
    <w:rsid w:val="00B92E7B"/>
    <w:rsid w:val="00B92FE9"/>
    <w:rsid w:val="00B93257"/>
    <w:rsid w:val="00B936D3"/>
    <w:rsid w:val="00B9400E"/>
    <w:rsid w:val="00B941ED"/>
    <w:rsid w:val="00B94217"/>
    <w:rsid w:val="00B94265"/>
    <w:rsid w:val="00B9469C"/>
    <w:rsid w:val="00B94899"/>
    <w:rsid w:val="00B94C82"/>
    <w:rsid w:val="00B94CCB"/>
    <w:rsid w:val="00B94CFE"/>
    <w:rsid w:val="00B94D8C"/>
    <w:rsid w:val="00B94F53"/>
    <w:rsid w:val="00B95132"/>
    <w:rsid w:val="00B954F2"/>
    <w:rsid w:val="00B961BF"/>
    <w:rsid w:val="00B96593"/>
    <w:rsid w:val="00B965DF"/>
    <w:rsid w:val="00B9683B"/>
    <w:rsid w:val="00B96862"/>
    <w:rsid w:val="00B9686B"/>
    <w:rsid w:val="00B96A20"/>
    <w:rsid w:val="00B96BCF"/>
    <w:rsid w:val="00B96E61"/>
    <w:rsid w:val="00B971DA"/>
    <w:rsid w:val="00B976A3"/>
    <w:rsid w:val="00B97757"/>
    <w:rsid w:val="00B979C0"/>
    <w:rsid w:val="00B97C04"/>
    <w:rsid w:val="00BA01DC"/>
    <w:rsid w:val="00BA08B6"/>
    <w:rsid w:val="00BA0A2A"/>
    <w:rsid w:val="00BA101A"/>
    <w:rsid w:val="00BA10D5"/>
    <w:rsid w:val="00BA16D6"/>
    <w:rsid w:val="00BA16EA"/>
    <w:rsid w:val="00BA1A64"/>
    <w:rsid w:val="00BA1BDA"/>
    <w:rsid w:val="00BA1C49"/>
    <w:rsid w:val="00BA1D1C"/>
    <w:rsid w:val="00BA1F45"/>
    <w:rsid w:val="00BA208A"/>
    <w:rsid w:val="00BA2234"/>
    <w:rsid w:val="00BA22AB"/>
    <w:rsid w:val="00BA2367"/>
    <w:rsid w:val="00BA25C7"/>
    <w:rsid w:val="00BA27D7"/>
    <w:rsid w:val="00BA2D60"/>
    <w:rsid w:val="00BA2ECB"/>
    <w:rsid w:val="00BA2FFA"/>
    <w:rsid w:val="00BA31D3"/>
    <w:rsid w:val="00BA3220"/>
    <w:rsid w:val="00BA3307"/>
    <w:rsid w:val="00BA3347"/>
    <w:rsid w:val="00BA338E"/>
    <w:rsid w:val="00BA35CC"/>
    <w:rsid w:val="00BA4451"/>
    <w:rsid w:val="00BA446D"/>
    <w:rsid w:val="00BA52DA"/>
    <w:rsid w:val="00BA5348"/>
    <w:rsid w:val="00BA53BF"/>
    <w:rsid w:val="00BA542B"/>
    <w:rsid w:val="00BA547B"/>
    <w:rsid w:val="00BA576E"/>
    <w:rsid w:val="00BA59FA"/>
    <w:rsid w:val="00BA5A17"/>
    <w:rsid w:val="00BA5CA1"/>
    <w:rsid w:val="00BA5CCB"/>
    <w:rsid w:val="00BA60AD"/>
    <w:rsid w:val="00BA6504"/>
    <w:rsid w:val="00BA6940"/>
    <w:rsid w:val="00BA6A13"/>
    <w:rsid w:val="00BA6A94"/>
    <w:rsid w:val="00BA6CD0"/>
    <w:rsid w:val="00BA77A3"/>
    <w:rsid w:val="00BA7840"/>
    <w:rsid w:val="00BA7BD3"/>
    <w:rsid w:val="00BA7C9D"/>
    <w:rsid w:val="00BA7CA6"/>
    <w:rsid w:val="00BA7D2C"/>
    <w:rsid w:val="00BA7DAD"/>
    <w:rsid w:val="00BB0073"/>
    <w:rsid w:val="00BB01AB"/>
    <w:rsid w:val="00BB04F9"/>
    <w:rsid w:val="00BB0598"/>
    <w:rsid w:val="00BB064D"/>
    <w:rsid w:val="00BB0792"/>
    <w:rsid w:val="00BB0826"/>
    <w:rsid w:val="00BB0B30"/>
    <w:rsid w:val="00BB0BB7"/>
    <w:rsid w:val="00BB0CD8"/>
    <w:rsid w:val="00BB101F"/>
    <w:rsid w:val="00BB10AB"/>
    <w:rsid w:val="00BB1313"/>
    <w:rsid w:val="00BB1347"/>
    <w:rsid w:val="00BB14E9"/>
    <w:rsid w:val="00BB1638"/>
    <w:rsid w:val="00BB187D"/>
    <w:rsid w:val="00BB1C6E"/>
    <w:rsid w:val="00BB1CAC"/>
    <w:rsid w:val="00BB1E80"/>
    <w:rsid w:val="00BB1FDC"/>
    <w:rsid w:val="00BB21CE"/>
    <w:rsid w:val="00BB29B8"/>
    <w:rsid w:val="00BB2A70"/>
    <w:rsid w:val="00BB2D2C"/>
    <w:rsid w:val="00BB2E3E"/>
    <w:rsid w:val="00BB3357"/>
    <w:rsid w:val="00BB3AF9"/>
    <w:rsid w:val="00BB3B90"/>
    <w:rsid w:val="00BB3D56"/>
    <w:rsid w:val="00BB439B"/>
    <w:rsid w:val="00BB466B"/>
    <w:rsid w:val="00BB47AF"/>
    <w:rsid w:val="00BB4E7D"/>
    <w:rsid w:val="00BB4FC5"/>
    <w:rsid w:val="00BB4FCF"/>
    <w:rsid w:val="00BB54CB"/>
    <w:rsid w:val="00BB55D2"/>
    <w:rsid w:val="00BB563E"/>
    <w:rsid w:val="00BB5694"/>
    <w:rsid w:val="00BB59F1"/>
    <w:rsid w:val="00BB606A"/>
    <w:rsid w:val="00BB6270"/>
    <w:rsid w:val="00BB6353"/>
    <w:rsid w:val="00BB657E"/>
    <w:rsid w:val="00BB6EFF"/>
    <w:rsid w:val="00BB6F22"/>
    <w:rsid w:val="00BB7053"/>
    <w:rsid w:val="00BB73B5"/>
    <w:rsid w:val="00BB74CB"/>
    <w:rsid w:val="00BB77C6"/>
    <w:rsid w:val="00BB79F7"/>
    <w:rsid w:val="00BB7A82"/>
    <w:rsid w:val="00BB7D39"/>
    <w:rsid w:val="00BB7E63"/>
    <w:rsid w:val="00BB7F4D"/>
    <w:rsid w:val="00BB7F72"/>
    <w:rsid w:val="00BC0442"/>
    <w:rsid w:val="00BC08D8"/>
    <w:rsid w:val="00BC0B9A"/>
    <w:rsid w:val="00BC0C70"/>
    <w:rsid w:val="00BC0DED"/>
    <w:rsid w:val="00BC0E7A"/>
    <w:rsid w:val="00BC0F53"/>
    <w:rsid w:val="00BC1613"/>
    <w:rsid w:val="00BC182D"/>
    <w:rsid w:val="00BC1995"/>
    <w:rsid w:val="00BC19AB"/>
    <w:rsid w:val="00BC1CE8"/>
    <w:rsid w:val="00BC20CD"/>
    <w:rsid w:val="00BC2154"/>
    <w:rsid w:val="00BC2326"/>
    <w:rsid w:val="00BC2347"/>
    <w:rsid w:val="00BC25AD"/>
    <w:rsid w:val="00BC2634"/>
    <w:rsid w:val="00BC2753"/>
    <w:rsid w:val="00BC2893"/>
    <w:rsid w:val="00BC2A17"/>
    <w:rsid w:val="00BC2B96"/>
    <w:rsid w:val="00BC2E34"/>
    <w:rsid w:val="00BC30C6"/>
    <w:rsid w:val="00BC3133"/>
    <w:rsid w:val="00BC36D7"/>
    <w:rsid w:val="00BC3840"/>
    <w:rsid w:val="00BC3890"/>
    <w:rsid w:val="00BC390F"/>
    <w:rsid w:val="00BC3929"/>
    <w:rsid w:val="00BC3A03"/>
    <w:rsid w:val="00BC3C0D"/>
    <w:rsid w:val="00BC3D4D"/>
    <w:rsid w:val="00BC3E62"/>
    <w:rsid w:val="00BC41A3"/>
    <w:rsid w:val="00BC42EE"/>
    <w:rsid w:val="00BC50CD"/>
    <w:rsid w:val="00BC5445"/>
    <w:rsid w:val="00BC561F"/>
    <w:rsid w:val="00BC583B"/>
    <w:rsid w:val="00BC5A61"/>
    <w:rsid w:val="00BC5BDD"/>
    <w:rsid w:val="00BC61F5"/>
    <w:rsid w:val="00BC6589"/>
    <w:rsid w:val="00BC66F0"/>
    <w:rsid w:val="00BC694C"/>
    <w:rsid w:val="00BC6954"/>
    <w:rsid w:val="00BC6D7A"/>
    <w:rsid w:val="00BC6F72"/>
    <w:rsid w:val="00BC71F2"/>
    <w:rsid w:val="00BC751B"/>
    <w:rsid w:val="00BC751D"/>
    <w:rsid w:val="00BC761C"/>
    <w:rsid w:val="00BC7F0C"/>
    <w:rsid w:val="00BD0177"/>
    <w:rsid w:val="00BD03BA"/>
    <w:rsid w:val="00BD0457"/>
    <w:rsid w:val="00BD098D"/>
    <w:rsid w:val="00BD0CE9"/>
    <w:rsid w:val="00BD0D67"/>
    <w:rsid w:val="00BD0DCD"/>
    <w:rsid w:val="00BD0EDC"/>
    <w:rsid w:val="00BD0FD6"/>
    <w:rsid w:val="00BD106F"/>
    <w:rsid w:val="00BD138D"/>
    <w:rsid w:val="00BD18BB"/>
    <w:rsid w:val="00BD1C00"/>
    <w:rsid w:val="00BD1E79"/>
    <w:rsid w:val="00BD1EE3"/>
    <w:rsid w:val="00BD204A"/>
    <w:rsid w:val="00BD2055"/>
    <w:rsid w:val="00BD21E2"/>
    <w:rsid w:val="00BD23C7"/>
    <w:rsid w:val="00BD2878"/>
    <w:rsid w:val="00BD290E"/>
    <w:rsid w:val="00BD29C3"/>
    <w:rsid w:val="00BD2A49"/>
    <w:rsid w:val="00BD2C33"/>
    <w:rsid w:val="00BD3282"/>
    <w:rsid w:val="00BD33C3"/>
    <w:rsid w:val="00BD34DC"/>
    <w:rsid w:val="00BD3C17"/>
    <w:rsid w:val="00BD3CDF"/>
    <w:rsid w:val="00BD40D8"/>
    <w:rsid w:val="00BD41BA"/>
    <w:rsid w:val="00BD43B6"/>
    <w:rsid w:val="00BD44BA"/>
    <w:rsid w:val="00BD4822"/>
    <w:rsid w:val="00BD4BBF"/>
    <w:rsid w:val="00BD510A"/>
    <w:rsid w:val="00BD5127"/>
    <w:rsid w:val="00BD5393"/>
    <w:rsid w:val="00BD541A"/>
    <w:rsid w:val="00BD56A6"/>
    <w:rsid w:val="00BD56D5"/>
    <w:rsid w:val="00BD5996"/>
    <w:rsid w:val="00BD5B18"/>
    <w:rsid w:val="00BD6122"/>
    <w:rsid w:val="00BD620E"/>
    <w:rsid w:val="00BD6456"/>
    <w:rsid w:val="00BD6520"/>
    <w:rsid w:val="00BD65B2"/>
    <w:rsid w:val="00BD67D9"/>
    <w:rsid w:val="00BD6CBE"/>
    <w:rsid w:val="00BD6D1A"/>
    <w:rsid w:val="00BD6EE0"/>
    <w:rsid w:val="00BD6F03"/>
    <w:rsid w:val="00BD71E9"/>
    <w:rsid w:val="00BD77DD"/>
    <w:rsid w:val="00BD7964"/>
    <w:rsid w:val="00BD7A89"/>
    <w:rsid w:val="00BD7D5D"/>
    <w:rsid w:val="00BD7DAB"/>
    <w:rsid w:val="00BD7E62"/>
    <w:rsid w:val="00BD7F76"/>
    <w:rsid w:val="00BD7FF4"/>
    <w:rsid w:val="00BE0168"/>
    <w:rsid w:val="00BE02E1"/>
    <w:rsid w:val="00BE02E4"/>
    <w:rsid w:val="00BE0336"/>
    <w:rsid w:val="00BE0582"/>
    <w:rsid w:val="00BE064F"/>
    <w:rsid w:val="00BE0651"/>
    <w:rsid w:val="00BE067F"/>
    <w:rsid w:val="00BE0784"/>
    <w:rsid w:val="00BE0A47"/>
    <w:rsid w:val="00BE0B09"/>
    <w:rsid w:val="00BE0FA5"/>
    <w:rsid w:val="00BE149B"/>
    <w:rsid w:val="00BE1570"/>
    <w:rsid w:val="00BE16B4"/>
    <w:rsid w:val="00BE19C3"/>
    <w:rsid w:val="00BE1BCD"/>
    <w:rsid w:val="00BE227C"/>
    <w:rsid w:val="00BE2410"/>
    <w:rsid w:val="00BE25F7"/>
    <w:rsid w:val="00BE2903"/>
    <w:rsid w:val="00BE2AFD"/>
    <w:rsid w:val="00BE2B9B"/>
    <w:rsid w:val="00BE2BE9"/>
    <w:rsid w:val="00BE2E23"/>
    <w:rsid w:val="00BE300B"/>
    <w:rsid w:val="00BE3134"/>
    <w:rsid w:val="00BE3396"/>
    <w:rsid w:val="00BE370C"/>
    <w:rsid w:val="00BE3A64"/>
    <w:rsid w:val="00BE3AF2"/>
    <w:rsid w:val="00BE3C6B"/>
    <w:rsid w:val="00BE3D9A"/>
    <w:rsid w:val="00BE3DFC"/>
    <w:rsid w:val="00BE4703"/>
    <w:rsid w:val="00BE4779"/>
    <w:rsid w:val="00BE4AB5"/>
    <w:rsid w:val="00BE4CB2"/>
    <w:rsid w:val="00BE53C3"/>
    <w:rsid w:val="00BE543F"/>
    <w:rsid w:val="00BE549B"/>
    <w:rsid w:val="00BE571B"/>
    <w:rsid w:val="00BE5B87"/>
    <w:rsid w:val="00BE655F"/>
    <w:rsid w:val="00BE68B9"/>
    <w:rsid w:val="00BE69E4"/>
    <w:rsid w:val="00BE6DD2"/>
    <w:rsid w:val="00BE74E4"/>
    <w:rsid w:val="00BE7507"/>
    <w:rsid w:val="00BE792C"/>
    <w:rsid w:val="00BE799C"/>
    <w:rsid w:val="00BE7F3D"/>
    <w:rsid w:val="00BF00C4"/>
    <w:rsid w:val="00BF01B7"/>
    <w:rsid w:val="00BF0218"/>
    <w:rsid w:val="00BF045E"/>
    <w:rsid w:val="00BF0597"/>
    <w:rsid w:val="00BF0D0A"/>
    <w:rsid w:val="00BF0D7B"/>
    <w:rsid w:val="00BF1386"/>
    <w:rsid w:val="00BF15CE"/>
    <w:rsid w:val="00BF1609"/>
    <w:rsid w:val="00BF1701"/>
    <w:rsid w:val="00BF17D3"/>
    <w:rsid w:val="00BF1991"/>
    <w:rsid w:val="00BF1B23"/>
    <w:rsid w:val="00BF1DE6"/>
    <w:rsid w:val="00BF2056"/>
    <w:rsid w:val="00BF2177"/>
    <w:rsid w:val="00BF21D4"/>
    <w:rsid w:val="00BF2406"/>
    <w:rsid w:val="00BF2A15"/>
    <w:rsid w:val="00BF2CF9"/>
    <w:rsid w:val="00BF2F1B"/>
    <w:rsid w:val="00BF2FA8"/>
    <w:rsid w:val="00BF2FDA"/>
    <w:rsid w:val="00BF33B5"/>
    <w:rsid w:val="00BF33C5"/>
    <w:rsid w:val="00BF367C"/>
    <w:rsid w:val="00BF3711"/>
    <w:rsid w:val="00BF3BE8"/>
    <w:rsid w:val="00BF3BFB"/>
    <w:rsid w:val="00BF3FC4"/>
    <w:rsid w:val="00BF4258"/>
    <w:rsid w:val="00BF426B"/>
    <w:rsid w:val="00BF4523"/>
    <w:rsid w:val="00BF4578"/>
    <w:rsid w:val="00BF4A90"/>
    <w:rsid w:val="00BF51E2"/>
    <w:rsid w:val="00BF53D6"/>
    <w:rsid w:val="00BF5821"/>
    <w:rsid w:val="00BF5935"/>
    <w:rsid w:val="00BF5FEC"/>
    <w:rsid w:val="00BF60EB"/>
    <w:rsid w:val="00BF61E8"/>
    <w:rsid w:val="00BF61F8"/>
    <w:rsid w:val="00BF66CE"/>
    <w:rsid w:val="00BF69A7"/>
    <w:rsid w:val="00BF6AD5"/>
    <w:rsid w:val="00BF6D5F"/>
    <w:rsid w:val="00BF6DBD"/>
    <w:rsid w:val="00BF7299"/>
    <w:rsid w:val="00BF732E"/>
    <w:rsid w:val="00BF735C"/>
    <w:rsid w:val="00BF738E"/>
    <w:rsid w:val="00BF7413"/>
    <w:rsid w:val="00BF7518"/>
    <w:rsid w:val="00BF7853"/>
    <w:rsid w:val="00BF7A88"/>
    <w:rsid w:val="00BF7D6B"/>
    <w:rsid w:val="00C0008E"/>
    <w:rsid w:val="00C00117"/>
    <w:rsid w:val="00C00E57"/>
    <w:rsid w:val="00C00F6E"/>
    <w:rsid w:val="00C00FA6"/>
    <w:rsid w:val="00C015A7"/>
    <w:rsid w:val="00C017BC"/>
    <w:rsid w:val="00C0190D"/>
    <w:rsid w:val="00C01C1C"/>
    <w:rsid w:val="00C01C80"/>
    <w:rsid w:val="00C023EE"/>
    <w:rsid w:val="00C02594"/>
    <w:rsid w:val="00C027EF"/>
    <w:rsid w:val="00C02891"/>
    <w:rsid w:val="00C02BBD"/>
    <w:rsid w:val="00C02EB3"/>
    <w:rsid w:val="00C02F29"/>
    <w:rsid w:val="00C034E9"/>
    <w:rsid w:val="00C03630"/>
    <w:rsid w:val="00C038B5"/>
    <w:rsid w:val="00C038CB"/>
    <w:rsid w:val="00C0399D"/>
    <w:rsid w:val="00C03A4D"/>
    <w:rsid w:val="00C03AC3"/>
    <w:rsid w:val="00C03B1E"/>
    <w:rsid w:val="00C03B2C"/>
    <w:rsid w:val="00C03CC9"/>
    <w:rsid w:val="00C043BD"/>
    <w:rsid w:val="00C046D4"/>
    <w:rsid w:val="00C04868"/>
    <w:rsid w:val="00C048E4"/>
    <w:rsid w:val="00C04B5A"/>
    <w:rsid w:val="00C05023"/>
    <w:rsid w:val="00C05801"/>
    <w:rsid w:val="00C05B5B"/>
    <w:rsid w:val="00C05E11"/>
    <w:rsid w:val="00C06067"/>
    <w:rsid w:val="00C06466"/>
    <w:rsid w:val="00C06AE8"/>
    <w:rsid w:val="00C06C41"/>
    <w:rsid w:val="00C06CD4"/>
    <w:rsid w:val="00C072CA"/>
    <w:rsid w:val="00C074AB"/>
    <w:rsid w:val="00C07668"/>
    <w:rsid w:val="00C076C2"/>
    <w:rsid w:val="00C0778A"/>
    <w:rsid w:val="00C07905"/>
    <w:rsid w:val="00C07AC0"/>
    <w:rsid w:val="00C07AF4"/>
    <w:rsid w:val="00C07B38"/>
    <w:rsid w:val="00C07BA0"/>
    <w:rsid w:val="00C1021C"/>
    <w:rsid w:val="00C1024F"/>
    <w:rsid w:val="00C10681"/>
    <w:rsid w:val="00C10BDC"/>
    <w:rsid w:val="00C10C27"/>
    <w:rsid w:val="00C10E84"/>
    <w:rsid w:val="00C1132E"/>
    <w:rsid w:val="00C113BD"/>
    <w:rsid w:val="00C115BF"/>
    <w:rsid w:val="00C11F5D"/>
    <w:rsid w:val="00C120BA"/>
    <w:rsid w:val="00C12212"/>
    <w:rsid w:val="00C12223"/>
    <w:rsid w:val="00C123DE"/>
    <w:rsid w:val="00C1240F"/>
    <w:rsid w:val="00C1293B"/>
    <w:rsid w:val="00C12B12"/>
    <w:rsid w:val="00C12BD8"/>
    <w:rsid w:val="00C13342"/>
    <w:rsid w:val="00C13357"/>
    <w:rsid w:val="00C1361E"/>
    <w:rsid w:val="00C13E03"/>
    <w:rsid w:val="00C140B0"/>
    <w:rsid w:val="00C1422D"/>
    <w:rsid w:val="00C1436E"/>
    <w:rsid w:val="00C144D8"/>
    <w:rsid w:val="00C146AF"/>
    <w:rsid w:val="00C14713"/>
    <w:rsid w:val="00C14E99"/>
    <w:rsid w:val="00C14FC5"/>
    <w:rsid w:val="00C1504A"/>
    <w:rsid w:val="00C15062"/>
    <w:rsid w:val="00C152A0"/>
    <w:rsid w:val="00C153E0"/>
    <w:rsid w:val="00C15A53"/>
    <w:rsid w:val="00C15CB0"/>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8DB"/>
    <w:rsid w:val="00C17B1C"/>
    <w:rsid w:val="00C17B87"/>
    <w:rsid w:val="00C17CB9"/>
    <w:rsid w:val="00C17F0B"/>
    <w:rsid w:val="00C20979"/>
    <w:rsid w:val="00C20B54"/>
    <w:rsid w:val="00C20EE0"/>
    <w:rsid w:val="00C2120E"/>
    <w:rsid w:val="00C217DE"/>
    <w:rsid w:val="00C21851"/>
    <w:rsid w:val="00C21AF3"/>
    <w:rsid w:val="00C21D92"/>
    <w:rsid w:val="00C21E0A"/>
    <w:rsid w:val="00C21F79"/>
    <w:rsid w:val="00C22136"/>
    <w:rsid w:val="00C228BF"/>
    <w:rsid w:val="00C22B62"/>
    <w:rsid w:val="00C22EA4"/>
    <w:rsid w:val="00C23129"/>
    <w:rsid w:val="00C231F5"/>
    <w:rsid w:val="00C23DA8"/>
    <w:rsid w:val="00C23F1B"/>
    <w:rsid w:val="00C241AB"/>
    <w:rsid w:val="00C2433D"/>
    <w:rsid w:val="00C244E7"/>
    <w:rsid w:val="00C24935"/>
    <w:rsid w:val="00C24BCC"/>
    <w:rsid w:val="00C24DDB"/>
    <w:rsid w:val="00C254B0"/>
    <w:rsid w:val="00C254D3"/>
    <w:rsid w:val="00C25945"/>
    <w:rsid w:val="00C25DD4"/>
    <w:rsid w:val="00C25E67"/>
    <w:rsid w:val="00C262BD"/>
    <w:rsid w:val="00C265CF"/>
    <w:rsid w:val="00C2665C"/>
    <w:rsid w:val="00C268DB"/>
    <w:rsid w:val="00C26A11"/>
    <w:rsid w:val="00C26A3A"/>
    <w:rsid w:val="00C26AF1"/>
    <w:rsid w:val="00C26EA7"/>
    <w:rsid w:val="00C26F76"/>
    <w:rsid w:val="00C276DE"/>
    <w:rsid w:val="00C27730"/>
    <w:rsid w:val="00C27936"/>
    <w:rsid w:val="00C2797D"/>
    <w:rsid w:val="00C27D0A"/>
    <w:rsid w:val="00C309B5"/>
    <w:rsid w:val="00C30E10"/>
    <w:rsid w:val="00C31514"/>
    <w:rsid w:val="00C31575"/>
    <w:rsid w:val="00C315EA"/>
    <w:rsid w:val="00C316BE"/>
    <w:rsid w:val="00C31A3F"/>
    <w:rsid w:val="00C31C93"/>
    <w:rsid w:val="00C31EAA"/>
    <w:rsid w:val="00C320FB"/>
    <w:rsid w:val="00C322A1"/>
    <w:rsid w:val="00C3231E"/>
    <w:rsid w:val="00C32550"/>
    <w:rsid w:val="00C32AF3"/>
    <w:rsid w:val="00C32BE7"/>
    <w:rsid w:val="00C32D8B"/>
    <w:rsid w:val="00C33105"/>
    <w:rsid w:val="00C33550"/>
    <w:rsid w:val="00C33760"/>
    <w:rsid w:val="00C3387D"/>
    <w:rsid w:val="00C339AC"/>
    <w:rsid w:val="00C339AD"/>
    <w:rsid w:val="00C33C31"/>
    <w:rsid w:val="00C33DAA"/>
    <w:rsid w:val="00C33E04"/>
    <w:rsid w:val="00C33E19"/>
    <w:rsid w:val="00C33F71"/>
    <w:rsid w:val="00C34018"/>
    <w:rsid w:val="00C3444F"/>
    <w:rsid w:val="00C34978"/>
    <w:rsid w:val="00C34A01"/>
    <w:rsid w:val="00C34B4C"/>
    <w:rsid w:val="00C34C5C"/>
    <w:rsid w:val="00C34FF3"/>
    <w:rsid w:val="00C351ED"/>
    <w:rsid w:val="00C3528C"/>
    <w:rsid w:val="00C356BF"/>
    <w:rsid w:val="00C3586C"/>
    <w:rsid w:val="00C35DC3"/>
    <w:rsid w:val="00C3620A"/>
    <w:rsid w:val="00C362AC"/>
    <w:rsid w:val="00C366E9"/>
    <w:rsid w:val="00C36875"/>
    <w:rsid w:val="00C36A7C"/>
    <w:rsid w:val="00C36DEB"/>
    <w:rsid w:val="00C36E4C"/>
    <w:rsid w:val="00C36E5B"/>
    <w:rsid w:val="00C36F76"/>
    <w:rsid w:val="00C37169"/>
    <w:rsid w:val="00C3779F"/>
    <w:rsid w:val="00C37828"/>
    <w:rsid w:val="00C37885"/>
    <w:rsid w:val="00C37EB7"/>
    <w:rsid w:val="00C40280"/>
    <w:rsid w:val="00C40430"/>
    <w:rsid w:val="00C404A8"/>
    <w:rsid w:val="00C405DF"/>
    <w:rsid w:val="00C409E4"/>
    <w:rsid w:val="00C40B0B"/>
    <w:rsid w:val="00C40E42"/>
    <w:rsid w:val="00C414B0"/>
    <w:rsid w:val="00C414F4"/>
    <w:rsid w:val="00C41614"/>
    <w:rsid w:val="00C4165D"/>
    <w:rsid w:val="00C4178E"/>
    <w:rsid w:val="00C41912"/>
    <w:rsid w:val="00C41969"/>
    <w:rsid w:val="00C41B4E"/>
    <w:rsid w:val="00C41EDD"/>
    <w:rsid w:val="00C42759"/>
    <w:rsid w:val="00C42889"/>
    <w:rsid w:val="00C42A8A"/>
    <w:rsid w:val="00C42ACD"/>
    <w:rsid w:val="00C43785"/>
    <w:rsid w:val="00C43923"/>
    <w:rsid w:val="00C43A11"/>
    <w:rsid w:val="00C43A72"/>
    <w:rsid w:val="00C43F15"/>
    <w:rsid w:val="00C4422E"/>
    <w:rsid w:val="00C443B2"/>
    <w:rsid w:val="00C4454F"/>
    <w:rsid w:val="00C446E1"/>
    <w:rsid w:val="00C448C4"/>
    <w:rsid w:val="00C44C9F"/>
    <w:rsid w:val="00C44D4F"/>
    <w:rsid w:val="00C4518A"/>
    <w:rsid w:val="00C45198"/>
    <w:rsid w:val="00C4524F"/>
    <w:rsid w:val="00C4597D"/>
    <w:rsid w:val="00C45CF5"/>
    <w:rsid w:val="00C45D11"/>
    <w:rsid w:val="00C45FC4"/>
    <w:rsid w:val="00C4613F"/>
    <w:rsid w:val="00C4618D"/>
    <w:rsid w:val="00C462F6"/>
    <w:rsid w:val="00C463E6"/>
    <w:rsid w:val="00C4674D"/>
    <w:rsid w:val="00C467F5"/>
    <w:rsid w:val="00C46941"/>
    <w:rsid w:val="00C4725D"/>
    <w:rsid w:val="00C4775C"/>
    <w:rsid w:val="00C47A79"/>
    <w:rsid w:val="00C47D4A"/>
    <w:rsid w:val="00C47EC5"/>
    <w:rsid w:val="00C502FE"/>
    <w:rsid w:val="00C5064A"/>
    <w:rsid w:val="00C508FA"/>
    <w:rsid w:val="00C50A98"/>
    <w:rsid w:val="00C50C3E"/>
    <w:rsid w:val="00C51078"/>
    <w:rsid w:val="00C519A5"/>
    <w:rsid w:val="00C51C47"/>
    <w:rsid w:val="00C52260"/>
    <w:rsid w:val="00C52330"/>
    <w:rsid w:val="00C523CB"/>
    <w:rsid w:val="00C525F6"/>
    <w:rsid w:val="00C52782"/>
    <w:rsid w:val="00C52869"/>
    <w:rsid w:val="00C528C8"/>
    <w:rsid w:val="00C52962"/>
    <w:rsid w:val="00C5298B"/>
    <w:rsid w:val="00C53291"/>
    <w:rsid w:val="00C5333D"/>
    <w:rsid w:val="00C5343C"/>
    <w:rsid w:val="00C536A4"/>
    <w:rsid w:val="00C5392C"/>
    <w:rsid w:val="00C53AD3"/>
    <w:rsid w:val="00C540B4"/>
    <w:rsid w:val="00C5425F"/>
    <w:rsid w:val="00C5438F"/>
    <w:rsid w:val="00C548D6"/>
    <w:rsid w:val="00C54BED"/>
    <w:rsid w:val="00C54D26"/>
    <w:rsid w:val="00C54DEE"/>
    <w:rsid w:val="00C5584E"/>
    <w:rsid w:val="00C5592E"/>
    <w:rsid w:val="00C55945"/>
    <w:rsid w:val="00C55E0E"/>
    <w:rsid w:val="00C55EE1"/>
    <w:rsid w:val="00C56123"/>
    <w:rsid w:val="00C5617C"/>
    <w:rsid w:val="00C5671E"/>
    <w:rsid w:val="00C56B51"/>
    <w:rsid w:val="00C56BD2"/>
    <w:rsid w:val="00C56C33"/>
    <w:rsid w:val="00C56CCA"/>
    <w:rsid w:val="00C56DEF"/>
    <w:rsid w:val="00C57343"/>
    <w:rsid w:val="00C5749B"/>
    <w:rsid w:val="00C574D4"/>
    <w:rsid w:val="00C57C48"/>
    <w:rsid w:val="00C57E26"/>
    <w:rsid w:val="00C60209"/>
    <w:rsid w:val="00C603D1"/>
    <w:rsid w:val="00C60626"/>
    <w:rsid w:val="00C607E0"/>
    <w:rsid w:val="00C60848"/>
    <w:rsid w:val="00C609FF"/>
    <w:rsid w:val="00C60B14"/>
    <w:rsid w:val="00C60F89"/>
    <w:rsid w:val="00C61015"/>
    <w:rsid w:val="00C61394"/>
    <w:rsid w:val="00C619C0"/>
    <w:rsid w:val="00C61AED"/>
    <w:rsid w:val="00C624E6"/>
    <w:rsid w:val="00C625BD"/>
    <w:rsid w:val="00C626AA"/>
    <w:rsid w:val="00C626F1"/>
    <w:rsid w:val="00C62705"/>
    <w:rsid w:val="00C6289E"/>
    <w:rsid w:val="00C628C4"/>
    <w:rsid w:val="00C62C90"/>
    <w:rsid w:val="00C62D74"/>
    <w:rsid w:val="00C638DC"/>
    <w:rsid w:val="00C63D8F"/>
    <w:rsid w:val="00C640A8"/>
    <w:rsid w:val="00C64137"/>
    <w:rsid w:val="00C641C5"/>
    <w:rsid w:val="00C645D5"/>
    <w:rsid w:val="00C6464A"/>
    <w:rsid w:val="00C646E8"/>
    <w:rsid w:val="00C6478A"/>
    <w:rsid w:val="00C6497D"/>
    <w:rsid w:val="00C64A97"/>
    <w:rsid w:val="00C64C9E"/>
    <w:rsid w:val="00C64CE5"/>
    <w:rsid w:val="00C64DB6"/>
    <w:rsid w:val="00C65260"/>
    <w:rsid w:val="00C65343"/>
    <w:rsid w:val="00C653B5"/>
    <w:rsid w:val="00C65546"/>
    <w:rsid w:val="00C65850"/>
    <w:rsid w:val="00C65AEC"/>
    <w:rsid w:val="00C65D1E"/>
    <w:rsid w:val="00C65E71"/>
    <w:rsid w:val="00C66100"/>
    <w:rsid w:val="00C66295"/>
    <w:rsid w:val="00C6629C"/>
    <w:rsid w:val="00C666BF"/>
    <w:rsid w:val="00C6698C"/>
    <w:rsid w:val="00C66BB0"/>
    <w:rsid w:val="00C66CCA"/>
    <w:rsid w:val="00C66DDC"/>
    <w:rsid w:val="00C66F0D"/>
    <w:rsid w:val="00C66FFF"/>
    <w:rsid w:val="00C674F8"/>
    <w:rsid w:val="00C67A07"/>
    <w:rsid w:val="00C67AAA"/>
    <w:rsid w:val="00C67EE3"/>
    <w:rsid w:val="00C67FE0"/>
    <w:rsid w:val="00C6843A"/>
    <w:rsid w:val="00C70135"/>
    <w:rsid w:val="00C702E2"/>
    <w:rsid w:val="00C7044D"/>
    <w:rsid w:val="00C705A9"/>
    <w:rsid w:val="00C70A18"/>
    <w:rsid w:val="00C70BA5"/>
    <w:rsid w:val="00C70C03"/>
    <w:rsid w:val="00C71023"/>
    <w:rsid w:val="00C71049"/>
    <w:rsid w:val="00C71106"/>
    <w:rsid w:val="00C7115B"/>
    <w:rsid w:val="00C71ACC"/>
    <w:rsid w:val="00C72756"/>
    <w:rsid w:val="00C7276C"/>
    <w:rsid w:val="00C728A1"/>
    <w:rsid w:val="00C729CE"/>
    <w:rsid w:val="00C72B1F"/>
    <w:rsid w:val="00C72D69"/>
    <w:rsid w:val="00C72DB1"/>
    <w:rsid w:val="00C7310B"/>
    <w:rsid w:val="00C73182"/>
    <w:rsid w:val="00C73238"/>
    <w:rsid w:val="00C73C08"/>
    <w:rsid w:val="00C73C46"/>
    <w:rsid w:val="00C73F9E"/>
    <w:rsid w:val="00C73FFE"/>
    <w:rsid w:val="00C74037"/>
    <w:rsid w:val="00C740D9"/>
    <w:rsid w:val="00C741C0"/>
    <w:rsid w:val="00C742E7"/>
    <w:rsid w:val="00C7454B"/>
    <w:rsid w:val="00C748DF"/>
    <w:rsid w:val="00C74966"/>
    <w:rsid w:val="00C74C46"/>
    <w:rsid w:val="00C750AB"/>
    <w:rsid w:val="00C75665"/>
    <w:rsid w:val="00C75881"/>
    <w:rsid w:val="00C759B5"/>
    <w:rsid w:val="00C75F08"/>
    <w:rsid w:val="00C76275"/>
    <w:rsid w:val="00C7630F"/>
    <w:rsid w:val="00C7662D"/>
    <w:rsid w:val="00C769D9"/>
    <w:rsid w:val="00C76B70"/>
    <w:rsid w:val="00C76C1E"/>
    <w:rsid w:val="00C76D3B"/>
    <w:rsid w:val="00C76DCD"/>
    <w:rsid w:val="00C76E8F"/>
    <w:rsid w:val="00C7757C"/>
    <w:rsid w:val="00C77D14"/>
    <w:rsid w:val="00C77DB9"/>
    <w:rsid w:val="00C77E75"/>
    <w:rsid w:val="00C77ECA"/>
    <w:rsid w:val="00C80095"/>
    <w:rsid w:val="00C800A1"/>
    <w:rsid w:val="00C800A2"/>
    <w:rsid w:val="00C8061A"/>
    <w:rsid w:val="00C80930"/>
    <w:rsid w:val="00C810C4"/>
    <w:rsid w:val="00C810E9"/>
    <w:rsid w:val="00C81153"/>
    <w:rsid w:val="00C812B7"/>
    <w:rsid w:val="00C813CF"/>
    <w:rsid w:val="00C81702"/>
    <w:rsid w:val="00C81794"/>
    <w:rsid w:val="00C81CEC"/>
    <w:rsid w:val="00C81F3A"/>
    <w:rsid w:val="00C824D4"/>
    <w:rsid w:val="00C8302E"/>
    <w:rsid w:val="00C830E6"/>
    <w:rsid w:val="00C840E1"/>
    <w:rsid w:val="00C8411E"/>
    <w:rsid w:val="00C841B5"/>
    <w:rsid w:val="00C84473"/>
    <w:rsid w:val="00C84805"/>
    <w:rsid w:val="00C84B3B"/>
    <w:rsid w:val="00C84BB8"/>
    <w:rsid w:val="00C84E67"/>
    <w:rsid w:val="00C84E71"/>
    <w:rsid w:val="00C84EC6"/>
    <w:rsid w:val="00C8514A"/>
    <w:rsid w:val="00C8590D"/>
    <w:rsid w:val="00C859BA"/>
    <w:rsid w:val="00C85D80"/>
    <w:rsid w:val="00C86151"/>
    <w:rsid w:val="00C8637D"/>
    <w:rsid w:val="00C864D7"/>
    <w:rsid w:val="00C86599"/>
    <w:rsid w:val="00C866A5"/>
    <w:rsid w:val="00C86785"/>
    <w:rsid w:val="00C86877"/>
    <w:rsid w:val="00C87364"/>
    <w:rsid w:val="00C876D6"/>
    <w:rsid w:val="00C87843"/>
    <w:rsid w:val="00C87F57"/>
    <w:rsid w:val="00C90045"/>
    <w:rsid w:val="00C901ED"/>
    <w:rsid w:val="00C90360"/>
    <w:rsid w:val="00C90594"/>
    <w:rsid w:val="00C905CE"/>
    <w:rsid w:val="00C90922"/>
    <w:rsid w:val="00C90BF6"/>
    <w:rsid w:val="00C90C02"/>
    <w:rsid w:val="00C90C34"/>
    <w:rsid w:val="00C90C7F"/>
    <w:rsid w:val="00C912BA"/>
    <w:rsid w:val="00C91565"/>
    <w:rsid w:val="00C91769"/>
    <w:rsid w:val="00C9198F"/>
    <w:rsid w:val="00C919C4"/>
    <w:rsid w:val="00C91C09"/>
    <w:rsid w:val="00C91F74"/>
    <w:rsid w:val="00C91FA1"/>
    <w:rsid w:val="00C92AD8"/>
    <w:rsid w:val="00C92E4B"/>
    <w:rsid w:val="00C93102"/>
    <w:rsid w:val="00C932D9"/>
    <w:rsid w:val="00C933DD"/>
    <w:rsid w:val="00C934C3"/>
    <w:rsid w:val="00C936CD"/>
    <w:rsid w:val="00C9385C"/>
    <w:rsid w:val="00C9393A"/>
    <w:rsid w:val="00C93F75"/>
    <w:rsid w:val="00C940BE"/>
    <w:rsid w:val="00C941AB"/>
    <w:rsid w:val="00C9435B"/>
    <w:rsid w:val="00C946C6"/>
    <w:rsid w:val="00C94C2A"/>
    <w:rsid w:val="00C94F8F"/>
    <w:rsid w:val="00C953B0"/>
    <w:rsid w:val="00C95787"/>
    <w:rsid w:val="00C95AD9"/>
    <w:rsid w:val="00C95BA2"/>
    <w:rsid w:val="00C95BEA"/>
    <w:rsid w:val="00C95D3A"/>
    <w:rsid w:val="00C95DD1"/>
    <w:rsid w:val="00C96E0A"/>
    <w:rsid w:val="00C97B26"/>
    <w:rsid w:val="00CA04A8"/>
    <w:rsid w:val="00CA07F9"/>
    <w:rsid w:val="00CA081D"/>
    <w:rsid w:val="00CA0B8A"/>
    <w:rsid w:val="00CA0CCE"/>
    <w:rsid w:val="00CA0D82"/>
    <w:rsid w:val="00CA0DD1"/>
    <w:rsid w:val="00CA0E72"/>
    <w:rsid w:val="00CA0F35"/>
    <w:rsid w:val="00CA1239"/>
    <w:rsid w:val="00CA1796"/>
    <w:rsid w:val="00CA1A0B"/>
    <w:rsid w:val="00CA1B28"/>
    <w:rsid w:val="00CA1C83"/>
    <w:rsid w:val="00CA1DCF"/>
    <w:rsid w:val="00CA1DE2"/>
    <w:rsid w:val="00CA1F02"/>
    <w:rsid w:val="00CA214E"/>
    <w:rsid w:val="00CA24F4"/>
    <w:rsid w:val="00CA2507"/>
    <w:rsid w:val="00CA272B"/>
    <w:rsid w:val="00CA2B5A"/>
    <w:rsid w:val="00CA3299"/>
    <w:rsid w:val="00CA3323"/>
    <w:rsid w:val="00CA33B8"/>
    <w:rsid w:val="00CA3BCF"/>
    <w:rsid w:val="00CA3C3A"/>
    <w:rsid w:val="00CA3F49"/>
    <w:rsid w:val="00CA3F7C"/>
    <w:rsid w:val="00CA40B5"/>
    <w:rsid w:val="00CA43A6"/>
    <w:rsid w:val="00CA44AC"/>
    <w:rsid w:val="00CA4509"/>
    <w:rsid w:val="00CA45CA"/>
    <w:rsid w:val="00CA46A4"/>
    <w:rsid w:val="00CA46B1"/>
    <w:rsid w:val="00CA4A50"/>
    <w:rsid w:val="00CA4D6E"/>
    <w:rsid w:val="00CA5043"/>
    <w:rsid w:val="00CA506A"/>
    <w:rsid w:val="00CA52FE"/>
    <w:rsid w:val="00CA5389"/>
    <w:rsid w:val="00CA555D"/>
    <w:rsid w:val="00CA5A14"/>
    <w:rsid w:val="00CA5A87"/>
    <w:rsid w:val="00CA5C02"/>
    <w:rsid w:val="00CA5EA4"/>
    <w:rsid w:val="00CA5F97"/>
    <w:rsid w:val="00CA6276"/>
    <w:rsid w:val="00CA63A7"/>
    <w:rsid w:val="00CA6408"/>
    <w:rsid w:val="00CA6473"/>
    <w:rsid w:val="00CA67DC"/>
    <w:rsid w:val="00CA6DD0"/>
    <w:rsid w:val="00CA6F49"/>
    <w:rsid w:val="00CA7009"/>
    <w:rsid w:val="00CA703D"/>
    <w:rsid w:val="00CA75A0"/>
    <w:rsid w:val="00CA78B7"/>
    <w:rsid w:val="00CA7C30"/>
    <w:rsid w:val="00CB0272"/>
    <w:rsid w:val="00CB06A1"/>
    <w:rsid w:val="00CB0743"/>
    <w:rsid w:val="00CB0AFB"/>
    <w:rsid w:val="00CB0E2C"/>
    <w:rsid w:val="00CB0F8D"/>
    <w:rsid w:val="00CB10E4"/>
    <w:rsid w:val="00CB1197"/>
    <w:rsid w:val="00CB13F2"/>
    <w:rsid w:val="00CB1502"/>
    <w:rsid w:val="00CB18C7"/>
    <w:rsid w:val="00CB18E7"/>
    <w:rsid w:val="00CB1969"/>
    <w:rsid w:val="00CB1AD6"/>
    <w:rsid w:val="00CB1BF3"/>
    <w:rsid w:val="00CB1C88"/>
    <w:rsid w:val="00CB1CD7"/>
    <w:rsid w:val="00CB2251"/>
    <w:rsid w:val="00CB247B"/>
    <w:rsid w:val="00CB26D7"/>
    <w:rsid w:val="00CB2AB1"/>
    <w:rsid w:val="00CB2D5C"/>
    <w:rsid w:val="00CB2FB5"/>
    <w:rsid w:val="00CB30F2"/>
    <w:rsid w:val="00CB323A"/>
    <w:rsid w:val="00CB385C"/>
    <w:rsid w:val="00CB38E3"/>
    <w:rsid w:val="00CB3D6F"/>
    <w:rsid w:val="00CB3EB4"/>
    <w:rsid w:val="00CB407D"/>
    <w:rsid w:val="00CB40D0"/>
    <w:rsid w:val="00CB40FE"/>
    <w:rsid w:val="00CB4326"/>
    <w:rsid w:val="00CB4457"/>
    <w:rsid w:val="00CB447F"/>
    <w:rsid w:val="00CB4F33"/>
    <w:rsid w:val="00CB51E0"/>
    <w:rsid w:val="00CB533D"/>
    <w:rsid w:val="00CB56D1"/>
    <w:rsid w:val="00CB579F"/>
    <w:rsid w:val="00CB594C"/>
    <w:rsid w:val="00CB5AF3"/>
    <w:rsid w:val="00CB5D82"/>
    <w:rsid w:val="00CB6EC4"/>
    <w:rsid w:val="00CB6F11"/>
    <w:rsid w:val="00CB70D9"/>
    <w:rsid w:val="00CB7185"/>
    <w:rsid w:val="00CB755D"/>
    <w:rsid w:val="00CB7855"/>
    <w:rsid w:val="00CB7A0F"/>
    <w:rsid w:val="00CB7F9A"/>
    <w:rsid w:val="00CC02E0"/>
    <w:rsid w:val="00CC06C4"/>
    <w:rsid w:val="00CC083B"/>
    <w:rsid w:val="00CC0AF3"/>
    <w:rsid w:val="00CC0BAF"/>
    <w:rsid w:val="00CC0CBD"/>
    <w:rsid w:val="00CC1259"/>
    <w:rsid w:val="00CC1852"/>
    <w:rsid w:val="00CC1894"/>
    <w:rsid w:val="00CC1B5A"/>
    <w:rsid w:val="00CC1EB6"/>
    <w:rsid w:val="00CC21A9"/>
    <w:rsid w:val="00CC2398"/>
    <w:rsid w:val="00CC28F7"/>
    <w:rsid w:val="00CC2BEB"/>
    <w:rsid w:val="00CC2EB1"/>
    <w:rsid w:val="00CC2ED3"/>
    <w:rsid w:val="00CC2F1D"/>
    <w:rsid w:val="00CC3031"/>
    <w:rsid w:val="00CC3118"/>
    <w:rsid w:val="00CC3296"/>
    <w:rsid w:val="00CC34F8"/>
    <w:rsid w:val="00CC3608"/>
    <w:rsid w:val="00CC3697"/>
    <w:rsid w:val="00CC3A01"/>
    <w:rsid w:val="00CC4022"/>
    <w:rsid w:val="00CC43D1"/>
    <w:rsid w:val="00CC46D6"/>
    <w:rsid w:val="00CC4700"/>
    <w:rsid w:val="00CC4811"/>
    <w:rsid w:val="00CC49AA"/>
    <w:rsid w:val="00CC4A1A"/>
    <w:rsid w:val="00CC4BEB"/>
    <w:rsid w:val="00CC4CA1"/>
    <w:rsid w:val="00CC4CA8"/>
    <w:rsid w:val="00CC5233"/>
    <w:rsid w:val="00CC5332"/>
    <w:rsid w:val="00CC5389"/>
    <w:rsid w:val="00CC57C2"/>
    <w:rsid w:val="00CC5836"/>
    <w:rsid w:val="00CC5E5E"/>
    <w:rsid w:val="00CC5F44"/>
    <w:rsid w:val="00CC5FC2"/>
    <w:rsid w:val="00CC6268"/>
    <w:rsid w:val="00CC6882"/>
    <w:rsid w:val="00CC689C"/>
    <w:rsid w:val="00CC6A1D"/>
    <w:rsid w:val="00CC7152"/>
    <w:rsid w:val="00CC7278"/>
    <w:rsid w:val="00CC72AB"/>
    <w:rsid w:val="00CC7842"/>
    <w:rsid w:val="00CC7E4B"/>
    <w:rsid w:val="00CC7F00"/>
    <w:rsid w:val="00CD0079"/>
    <w:rsid w:val="00CD009F"/>
    <w:rsid w:val="00CD023F"/>
    <w:rsid w:val="00CD035D"/>
    <w:rsid w:val="00CD0451"/>
    <w:rsid w:val="00CD0463"/>
    <w:rsid w:val="00CD0465"/>
    <w:rsid w:val="00CD08C7"/>
    <w:rsid w:val="00CD0CA8"/>
    <w:rsid w:val="00CD0E6E"/>
    <w:rsid w:val="00CD0FC0"/>
    <w:rsid w:val="00CD10BF"/>
    <w:rsid w:val="00CD11E3"/>
    <w:rsid w:val="00CD151F"/>
    <w:rsid w:val="00CD174A"/>
    <w:rsid w:val="00CD19EA"/>
    <w:rsid w:val="00CD1ECB"/>
    <w:rsid w:val="00CD1F12"/>
    <w:rsid w:val="00CD1F85"/>
    <w:rsid w:val="00CD21B5"/>
    <w:rsid w:val="00CD2378"/>
    <w:rsid w:val="00CD2711"/>
    <w:rsid w:val="00CD2B23"/>
    <w:rsid w:val="00CD2C82"/>
    <w:rsid w:val="00CD31AD"/>
    <w:rsid w:val="00CD3205"/>
    <w:rsid w:val="00CD38DD"/>
    <w:rsid w:val="00CD39D9"/>
    <w:rsid w:val="00CD3A3C"/>
    <w:rsid w:val="00CD3AC7"/>
    <w:rsid w:val="00CD3CB6"/>
    <w:rsid w:val="00CD4457"/>
    <w:rsid w:val="00CD45BE"/>
    <w:rsid w:val="00CD4DC1"/>
    <w:rsid w:val="00CD4FC4"/>
    <w:rsid w:val="00CD50DA"/>
    <w:rsid w:val="00CD530F"/>
    <w:rsid w:val="00CD5337"/>
    <w:rsid w:val="00CD5799"/>
    <w:rsid w:val="00CD5AFA"/>
    <w:rsid w:val="00CD5BC2"/>
    <w:rsid w:val="00CD5CC5"/>
    <w:rsid w:val="00CD5EAD"/>
    <w:rsid w:val="00CD6369"/>
    <w:rsid w:val="00CD6643"/>
    <w:rsid w:val="00CD664B"/>
    <w:rsid w:val="00CD6746"/>
    <w:rsid w:val="00CD6971"/>
    <w:rsid w:val="00CD6B3A"/>
    <w:rsid w:val="00CD6BA2"/>
    <w:rsid w:val="00CD6D2D"/>
    <w:rsid w:val="00CD6D57"/>
    <w:rsid w:val="00CD6E2E"/>
    <w:rsid w:val="00CD6E53"/>
    <w:rsid w:val="00CD7506"/>
    <w:rsid w:val="00CD7570"/>
    <w:rsid w:val="00CD7766"/>
    <w:rsid w:val="00CD7AF9"/>
    <w:rsid w:val="00CD7C2D"/>
    <w:rsid w:val="00CE040E"/>
    <w:rsid w:val="00CE069D"/>
    <w:rsid w:val="00CE0C84"/>
    <w:rsid w:val="00CE0D12"/>
    <w:rsid w:val="00CE0D21"/>
    <w:rsid w:val="00CE0EFB"/>
    <w:rsid w:val="00CE0FD5"/>
    <w:rsid w:val="00CE121C"/>
    <w:rsid w:val="00CE13BB"/>
    <w:rsid w:val="00CE13DB"/>
    <w:rsid w:val="00CE166F"/>
    <w:rsid w:val="00CE167C"/>
    <w:rsid w:val="00CE18FC"/>
    <w:rsid w:val="00CE1971"/>
    <w:rsid w:val="00CE1C02"/>
    <w:rsid w:val="00CE1E9C"/>
    <w:rsid w:val="00CE1F63"/>
    <w:rsid w:val="00CE2086"/>
    <w:rsid w:val="00CE24EF"/>
    <w:rsid w:val="00CE2637"/>
    <w:rsid w:val="00CE28CD"/>
    <w:rsid w:val="00CE2904"/>
    <w:rsid w:val="00CE2B55"/>
    <w:rsid w:val="00CE2F87"/>
    <w:rsid w:val="00CE3655"/>
    <w:rsid w:val="00CE382D"/>
    <w:rsid w:val="00CE385D"/>
    <w:rsid w:val="00CE39C1"/>
    <w:rsid w:val="00CE3A0A"/>
    <w:rsid w:val="00CE3D07"/>
    <w:rsid w:val="00CE40B0"/>
    <w:rsid w:val="00CE4108"/>
    <w:rsid w:val="00CE43EB"/>
    <w:rsid w:val="00CE4904"/>
    <w:rsid w:val="00CE4A05"/>
    <w:rsid w:val="00CE4B1B"/>
    <w:rsid w:val="00CE51A7"/>
    <w:rsid w:val="00CE52D7"/>
    <w:rsid w:val="00CE5811"/>
    <w:rsid w:val="00CE5847"/>
    <w:rsid w:val="00CE60C1"/>
    <w:rsid w:val="00CE62FD"/>
    <w:rsid w:val="00CE6689"/>
    <w:rsid w:val="00CE6881"/>
    <w:rsid w:val="00CE696E"/>
    <w:rsid w:val="00CE6ABB"/>
    <w:rsid w:val="00CE6D08"/>
    <w:rsid w:val="00CE6E09"/>
    <w:rsid w:val="00CE72CA"/>
    <w:rsid w:val="00CE72EE"/>
    <w:rsid w:val="00CE74D6"/>
    <w:rsid w:val="00CE754A"/>
    <w:rsid w:val="00CE75C6"/>
    <w:rsid w:val="00CE783C"/>
    <w:rsid w:val="00CE7DF6"/>
    <w:rsid w:val="00CE7E57"/>
    <w:rsid w:val="00CE7EEF"/>
    <w:rsid w:val="00CF01B8"/>
    <w:rsid w:val="00CF05AF"/>
    <w:rsid w:val="00CF07C9"/>
    <w:rsid w:val="00CF0E7F"/>
    <w:rsid w:val="00CF0FC6"/>
    <w:rsid w:val="00CF1424"/>
    <w:rsid w:val="00CF1883"/>
    <w:rsid w:val="00CF1FBE"/>
    <w:rsid w:val="00CF24C4"/>
    <w:rsid w:val="00CF2515"/>
    <w:rsid w:val="00CF261C"/>
    <w:rsid w:val="00CF2851"/>
    <w:rsid w:val="00CF28C0"/>
    <w:rsid w:val="00CF2C26"/>
    <w:rsid w:val="00CF2CE3"/>
    <w:rsid w:val="00CF2ED7"/>
    <w:rsid w:val="00CF34B0"/>
    <w:rsid w:val="00CF38C9"/>
    <w:rsid w:val="00CF402A"/>
    <w:rsid w:val="00CF4534"/>
    <w:rsid w:val="00CF4675"/>
    <w:rsid w:val="00CF4734"/>
    <w:rsid w:val="00CF4BB7"/>
    <w:rsid w:val="00CF4C05"/>
    <w:rsid w:val="00CF4D7A"/>
    <w:rsid w:val="00CF534E"/>
    <w:rsid w:val="00CF538E"/>
    <w:rsid w:val="00CF5843"/>
    <w:rsid w:val="00CF59B8"/>
    <w:rsid w:val="00CF5B22"/>
    <w:rsid w:val="00CF5C90"/>
    <w:rsid w:val="00CF5CB4"/>
    <w:rsid w:val="00CF5D4A"/>
    <w:rsid w:val="00CF5D55"/>
    <w:rsid w:val="00CF5EFE"/>
    <w:rsid w:val="00CF60EA"/>
    <w:rsid w:val="00CF632B"/>
    <w:rsid w:val="00CF6541"/>
    <w:rsid w:val="00CF69B8"/>
    <w:rsid w:val="00CF6C78"/>
    <w:rsid w:val="00CF6E39"/>
    <w:rsid w:val="00CF6F8A"/>
    <w:rsid w:val="00CF711C"/>
    <w:rsid w:val="00CF7229"/>
    <w:rsid w:val="00CF74E5"/>
    <w:rsid w:val="00CF76A7"/>
    <w:rsid w:val="00CF7B3E"/>
    <w:rsid w:val="00CF7C74"/>
    <w:rsid w:val="00D000F2"/>
    <w:rsid w:val="00D0084B"/>
    <w:rsid w:val="00D00D1C"/>
    <w:rsid w:val="00D00DDB"/>
    <w:rsid w:val="00D015A5"/>
    <w:rsid w:val="00D02095"/>
    <w:rsid w:val="00D0216B"/>
    <w:rsid w:val="00D025CF"/>
    <w:rsid w:val="00D0263E"/>
    <w:rsid w:val="00D02650"/>
    <w:rsid w:val="00D026F4"/>
    <w:rsid w:val="00D028C8"/>
    <w:rsid w:val="00D02A76"/>
    <w:rsid w:val="00D02A81"/>
    <w:rsid w:val="00D02BA8"/>
    <w:rsid w:val="00D02C51"/>
    <w:rsid w:val="00D0335C"/>
    <w:rsid w:val="00D03724"/>
    <w:rsid w:val="00D03BE5"/>
    <w:rsid w:val="00D03C91"/>
    <w:rsid w:val="00D040FF"/>
    <w:rsid w:val="00D044CE"/>
    <w:rsid w:val="00D04787"/>
    <w:rsid w:val="00D04CD4"/>
    <w:rsid w:val="00D04CE7"/>
    <w:rsid w:val="00D04E6C"/>
    <w:rsid w:val="00D05037"/>
    <w:rsid w:val="00D052B8"/>
    <w:rsid w:val="00D0579F"/>
    <w:rsid w:val="00D0585C"/>
    <w:rsid w:val="00D05B8A"/>
    <w:rsid w:val="00D05BC9"/>
    <w:rsid w:val="00D05D63"/>
    <w:rsid w:val="00D05DFB"/>
    <w:rsid w:val="00D061B9"/>
    <w:rsid w:val="00D06B79"/>
    <w:rsid w:val="00D06DBF"/>
    <w:rsid w:val="00D06EBA"/>
    <w:rsid w:val="00D07173"/>
    <w:rsid w:val="00D07375"/>
    <w:rsid w:val="00D073F6"/>
    <w:rsid w:val="00D07798"/>
    <w:rsid w:val="00D079D7"/>
    <w:rsid w:val="00D07D9A"/>
    <w:rsid w:val="00D07E58"/>
    <w:rsid w:val="00D07FB7"/>
    <w:rsid w:val="00D10574"/>
    <w:rsid w:val="00D10C17"/>
    <w:rsid w:val="00D10FCA"/>
    <w:rsid w:val="00D1110E"/>
    <w:rsid w:val="00D114B5"/>
    <w:rsid w:val="00D115E5"/>
    <w:rsid w:val="00D11736"/>
    <w:rsid w:val="00D118A9"/>
    <w:rsid w:val="00D11B1D"/>
    <w:rsid w:val="00D11E15"/>
    <w:rsid w:val="00D11F3C"/>
    <w:rsid w:val="00D1202C"/>
    <w:rsid w:val="00D12044"/>
    <w:rsid w:val="00D12079"/>
    <w:rsid w:val="00D12095"/>
    <w:rsid w:val="00D12268"/>
    <w:rsid w:val="00D12826"/>
    <w:rsid w:val="00D12A35"/>
    <w:rsid w:val="00D12BFD"/>
    <w:rsid w:val="00D12D9E"/>
    <w:rsid w:val="00D1352A"/>
    <w:rsid w:val="00D139A6"/>
    <w:rsid w:val="00D13C16"/>
    <w:rsid w:val="00D13DA4"/>
    <w:rsid w:val="00D141D6"/>
    <w:rsid w:val="00D148F7"/>
    <w:rsid w:val="00D14A7F"/>
    <w:rsid w:val="00D14D1D"/>
    <w:rsid w:val="00D15124"/>
    <w:rsid w:val="00D15166"/>
    <w:rsid w:val="00D151D6"/>
    <w:rsid w:val="00D15369"/>
    <w:rsid w:val="00D15988"/>
    <w:rsid w:val="00D16125"/>
    <w:rsid w:val="00D16382"/>
    <w:rsid w:val="00D1659C"/>
    <w:rsid w:val="00D1660C"/>
    <w:rsid w:val="00D16630"/>
    <w:rsid w:val="00D16A74"/>
    <w:rsid w:val="00D16A85"/>
    <w:rsid w:val="00D16B38"/>
    <w:rsid w:val="00D1794A"/>
    <w:rsid w:val="00D17A05"/>
    <w:rsid w:val="00D17BF2"/>
    <w:rsid w:val="00D17CE3"/>
    <w:rsid w:val="00D17D3C"/>
    <w:rsid w:val="00D201BB"/>
    <w:rsid w:val="00D20299"/>
    <w:rsid w:val="00D20A47"/>
    <w:rsid w:val="00D20C5C"/>
    <w:rsid w:val="00D20D60"/>
    <w:rsid w:val="00D21053"/>
    <w:rsid w:val="00D21700"/>
    <w:rsid w:val="00D21926"/>
    <w:rsid w:val="00D219B7"/>
    <w:rsid w:val="00D21AA7"/>
    <w:rsid w:val="00D21D30"/>
    <w:rsid w:val="00D21D79"/>
    <w:rsid w:val="00D22007"/>
    <w:rsid w:val="00D228C1"/>
    <w:rsid w:val="00D228CB"/>
    <w:rsid w:val="00D229B3"/>
    <w:rsid w:val="00D22B19"/>
    <w:rsid w:val="00D22F1F"/>
    <w:rsid w:val="00D22F41"/>
    <w:rsid w:val="00D22F82"/>
    <w:rsid w:val="00D23175"/>
    <w:rsid w:val="00D23B30"/>
    <w:rsid w:val="00D23DFA"/>
    <w:rsid w:val="00D242B5"/>
    <w:rsid w:val="00D24508"/>
    <w:rsid w:val="00D247CB"/>
    <w:rsid w:val="00D24D8E"/>
    <w:rsid w:val="00D25692"/>
    <w:rsid w:val="00D257A9"/>
    <w:rsid w:val="00D257CC"/>
    <w:rsid w:val="00D257D9"/>
    <w:rsid w:val="00D25A92"/>
    <w:rsid w:val="00D25BEF"/>
    <w:rsid w:val="00D25D9C"/>
    <w:rsid w:val="00D26368"/>
    <w:rsid w:val="00D26542"/>
    <w:rsid w:val="00D26788"/>
    <w:rsid w:val="00D26BA9"/>
    <w:rsid w:val="00D26E5D"/>
    <w:rsid w:val="00D26EA0"/>
    <w:rsid w:val="00D26EEF"/>
    <w:rsid w:val="00D26F78"/>
    <w:rsid w:val="00D26F7C"/>
    <w:rsid w:val="00D27021"/>
    <w:rsid w:val="00D27244"/>
    <w:rsid w:val="00D27773"/>
    <w:rsid w:val="00D27CC7"/>
    <w:rsid w:val="00D30549"/>
    <w:rsid w:val="00D307BF"/>
    <w:rsid w:val="00D30FA8"/>
    <w:rsid w:val="00D31516"/>
    <w:rsid w:val="00D31568"/>
    <w:rsid w:val="00D3163A"/>
    <w:rsid w:val="00D3176C"/>
    <w:rsid w:val="00D31874"/>
    <w:rsid w:val="00D31B72"/>
    <w:rsid w:val="00D31DC5"/>
    <w:rsid w:val="00D31E55"/>
    <w:rsid w:val="00D32148"/>
    <w:rsid w:val="00D322A7"/>
    <w:rsid w:val="00D3260A"/>
    <w:rsid w:val="00D32B1A"/>
    <w:rsid w:val="00D32E51"/>
    <w:rsid w:val="00D32F1F"/>
    <w:rsid w:val="00D331E0"/>
    <w:rsid w:val="00D333DC"/>
    <w:rsid w:val="00D3347C"/>
    <w:rsid w:val="00D3350D"/>
    <w:rsid w:val="00D33A75"/>
    <w:rsid w:val="00D33A86"/>
    <w:rsid w:val="00D33D9A"/>
    <w:rsid w:val="00D3429D"/>
    <w:rsid w:val="00D342B4"/>
    <w:rsid w:val="00D343FF"/>
    <w:rsid w:val="00D3456E"/>
    <w:rsid w:val="00D347E0"/>
    <w:rsid w:val="00D34A41"/>
    <w:rsid w:val="00D34C3E"/>
    <w:rsid w:val="00D34DFA"/>
    <w:rsid w:val="00D34ED7"/>
    <w:rsid w:val="00D35101"/>
    <w:rsid w:val="00D3518C"/>
    <w:rsid w:val="00D3576E"/>
    <w:rsid w:val="00D35AF4"/>
    <w:rsid w:val="00D35B40"/>
    <w:rsid w:val="00D35C5D"/>
    <w:rsid w:val="00D35F78"/>
    <w:rsid w:val="00D36A48"/>
    <w:rsid w:val="00D37128"/>
    <w:rsid w:val="00D373F9"/>
    <w:rsid w:val="00D37506"/>
    <w:rsid w:val="00D37593"/>
    <w:rsid w:val="00D375A8"/>
    <w:rsid w:val="00D375D8"/>
    <w:rsid w:val="00D37A92"/>
    <w:rsid w:val="00D37CBA"/>
    <w:rsid w:val="00D4006F"/>
    <w:rsid w:val="00D4020B"/>
    <w:rsid w:val="00D40821"/>
    <w:rsid w:val="00D40851"/>
    <w:rsid w:val="00D40A97"/>
    <w:rsid w:val="00D40C91"/>
    <w:rsid w:val="00D40D8E"/>
    <w:rsid w:val="00D40F41"/>
    <w:rsid w:val="00D40FF7"/>
    <w:rsid w:val="00D4110E"/>
    <w:rsid w:val="00D41477"/>
    <w:rsid w:val="00D41644"/>
    <w:rsid w:val="00D416B9"/>
    <w:rsid w:val="00D41719"/>
    <w:rsid w:val="00D417C4"/>
    <w:rsid w:val="00D418F7"/>
    <w:rsid w:val="00D41E6A"/>
    <w:rsid w:val="00D42093"/>
    <w:rsid w:val="00D422F8"/>
    <w:rsid w:val="00D42304"/>
    <w:rsid w:val="00D423E5"/>
    <w:rsid w:val="00D428F6"/>
    <w:rsid w:val="00D4299B"/>
    <w:rsid w:val="00D42C6D"/>
    <w:rsid w:val="00D42D4B"/>
    <w:rsid w:val="00D42E74"/>
    <w:rsid w:val="00D42FD2"/>
    <w:rsid w:val="00D4359A"/>
    <w:rsid w:val="00D435E1"/>
    <w:rsid w:val="00D43DAD"/>
    <w:rsid w:val="00D440F0"/>
    <w:rsid w:val="00D4426B"/>
    <w:rsid w:val="00D4497A"/>
    <w:rsid w:val="00D44B08"/>
    <w:rsid w:val="00D44D6C"/>
    <w:rsid w:val="00D44F13"/>
    <w:rsid w:val="00D45089"/>
    <w:rsid w:val="00D45152"/>
    <w:rsid w:val="00D4534F"/>
    <w:rsid w:val="00D45673"/>
    <w:rsid w:val="00D456E4"/>
    <w:rsid w:val="00D45700"/>
    <w:rsid w:val="00D458DE"/>
    <w:rsid w:val="00D46344"/>
    <w:rsid w:val="00D463BC"/>
    <w:rsid w:val="00D467D1"/>
    <w:rsid w:val="00D46945"/>
    <w:rsid w:val="00D46AF0"/>
    <w:rsid w:val="00D46D11"/>
    <w:rsid w:val="00D4723A"/>
    <w:rsid w:val="00D47778"/>
    <w:rsid w:val="00D47FC7"/>
    <w:rsid w:val="00D5008C"/>
    <w:rsid w:val="00D50613"/>
    <w:rsid w:val="00D506E2"/>
    <w:rsid w:val="00D50B11"/>
    <w:rsid w:val="00D50BBB"/>
    <w:rsid w:val="00D51011"/>
    <w:rsid w:val="00D5127B"/>
    <w:rsid w:val="00D51658"/>
    <w:rsid w:val="00D51664"/>
    <w:rsid w:val="00D51D4F"/>
    <w:rsid w:val="00D51DD0"/>
    <w:rsid w:val="00D51E23"/>
    <w:rsid w:val="00D52262"/>
    <w:rsid w:val="00D5249B"/>
    <w:rsid w:val="00D52D09"/>
    <w:rsid w:val="00D52E58"/>
    <w:rsid w:val="00D52F35"/>
    <w:rsid w:val="00D53608"/>
    <w:rsid w:val="00D5385C"/>
    <w:rsid w:val="00D53B72"/>
    <w:rsid w:val="00D53C6A"/>
    <w:rsid w:val="00D5402F"/>
    <w:rsid w:val="00D54354"/>
    <w:rsid w:val="00D54DB9"/>
    <w:rsid w:val="00D54F75"/>
    <w:rsid w:val="00D553AB"/>
    <w:rsid w:val="00D55589"/>
    <w:rsid w:val="00D55708"/>
    <w:rsid w:val="00D5582E"/>
    <w:rsid w:val="00D55965"/>
    <w:rsid w:val="00D559D3"/>
    <w:rsid w:val="00D55C48"/>
    <w:rsid w:val="00D5616E"/>
    <w:rsid w:val="00D5680D"/>
    <w:rsid w:val="00D56979"/>
    <w:rsid w:val="00D5711D"/>
    <w:rsid w:val="00D574BB"/>
    <w:rsid w:val="00D574FE"/>
    <w:rsid w:val="00D5783B"/>
    <w:rsid w:val="00D578B6"/>
    <w:rsid w:val="00D579BF"/>
    <w:rsid w:val="00D57D7E"/>
    <w:rsid w:val="00D602C0"/>
    <w:rsid w:val="00D60457"/>
    <w:rsid w:val="00D604F2"/>
    <w:rsid w:val="00D6053E"/>
    <w:rsid w:val="00D6056E"/>
    <w:rsid w:val="00D606DB"/>
    <w:rsid w:val="00D60767"/>
    <w:rsid w:val="00D607F2"/>
    <w:rsid w:val="00D60832"/>
    <w:rsid w:val="00D60899"/>
    <w:rsid w:val="00D60930"/>
    <w:rsid w:val="00D609CE"/>
    <w:rsid w:val="00D60A66"/>
    <w:rsid w:val="00D60A75"/>
    <w:rsid w:val="00D60EC9"/>
    <w:rsid w:val="00D611E7"/>
    <w:rsid w:val="00D6139D"/>
    <w:rsid w:val="00D617C4"/>
    <w:rsid w:val="00D619E4"/>
    <w:rsid w:val="00D61A24"/>
    <w:rsid w:val="00D61D3B"/>
    <w:rsid w:val="00D61E5D"/>
    <w:rsid w:val="00D62022"/>
    <w:rsid w:val="00D62086"/>
    <w:rsid w:val="00D6222F"/>
    <w:rsid w:val="00D62396"/>
    <w:rsid w:val="00D624D6"/>
    <w:rsid w:val="00D626A8"/>
    <w:rsid w:val="00D62B29"/>
    <w:rsid w:val="00D62E17"/>
    <w:rsid w:val="00D62EC0"/>
    <w:rsid w:val="00D630BB"/>
    <w:rsid w:val="00D63257"/>
    <w:rsid w:val="00D63332"/>
    <w:rsid w:val="00D63401"/>
    <w:rsid w:val="00D63757"/>
    <w:rsid w:val="00D63A82"/>
    <w:rsid w:val="00D63E01"/>
    <w:rsid w:val="00D63E9F"/>
    <w:rsid w:val="00D64237"/>
    <w:rsid w:val="00D6431F"/>
    <w:rsid w:val="00D64D61"/>
    <w:rsid w:val="00D64DAB"/>
    <w:rsid w:val="00D64E75"/>
    <w:rsid w:val="00D64F05"/>
    <w:rsid w:val="00D64F72"/>
    <w:rsid w:val="00D6506C"/>
    <w:rsid w:val="00D652C4"/>
    <w:rsid w:val="00D653F8"/>
    <w:rsid w:val="00D6540C"/>
    <w:rsid w:val="00D655AC"/>
    <w:rsid w:val="00D655F7"/>
    <w:rsid w:val="00D656FB"/>
    <w:rsid w:val="00D65A4E"/>
    <w:rsid w:val="00D65EE7"/>
    <w:rsid w:val="00D66088"/>
    <w:rsid w:val="00D66128"/>
    <w:rsid w:val="00D66416"/>
    <w:rsid w:val="00D667A6"/>
    <w:rsid w:val="00D668A5"/>
    <w:rsid w:val="00D66BF5"/>
    <w:rsid w:val="00D66D79"/>
    <w:rsid w:val="00D66DCE"/>
    <w:rsid w:val="00D6715C"/>
    <w:rsid w:val="00D67178"/>
    <w:rsid w:val="00D671B8"/>
    <w:rsid w:val="00D6750F"/>
    <w:rsid w:val="00D67558"/>
    <w:rsid w:val="00D67931"/>
    <w:rsid w:val="00D6795F"/>
    <w:rsid w:val="00D67973"/>
    <w:rsid w:val="00D679AB"/>
    <w:rsid w:val="00D67B19"/>
    <w:rsid w:val="00D67DFC"/>
    <w:rsid w:val="00D67EF4"/>
    <w:rsid w:val="00D705B6"/>
    <w:rsid w:val="00D705B8"/>
    <w:rsid w:val="00D706A8"/>
    <w:rsid w:val="00D7081B"/>
    <w:rsid w:val="00D7094D"/>
    <w:rsid w:val="00D70A6B"/>
    <w:rsid w:val="00D70AE9"/>
    <w:rsid w:val="00D70BB0"/>
    <w:rsid w:val="00D70C6B"/>
    <w:rsid w:val="00D70E5C"/>
    <w:rsid w:val="00D7126F"/>
    <w:rsid w:val="00D713FB"/>
    <w:rsid w:val="00D715BE"/>
    <w:rsid w:val="00D717EE"/>
    <w:rsid w:val="00D7186D"/>
    <w:rsid w:val="00D71937"/>
    <w:rsid w:val="00D719F1"/>
    <w:rsid w:val="00D71A74"/>
    <w:rsid w:val="00D71B3C"/>
    <w:rsid w:val="00D71B79"/>
    <w:rsid w:val="00D720B5"/>
    <w:rsid w:val="00D7219E"/>
    <w:rsid w:val="00D72816"/>
    <w:rsid w:val="00D7295D"/>
    <w:rsid w:val="00D72B0D"/>
    <w:rsid w:val="00D72BC3"/>
    <w:rsid w:val="00D73220"/>
    <w:rsid w:val="00D73297"/>
    <w:rsid w:val="00D736A2"/>
    <w:rsid w:val="00D73A1A"/>
    <w:rsid w:val="00D73B85"/>
    <w:rsid w:val="00D73FE1"/>
    <w:rsid w:val="00D742CF"/>
    <w:rsid w:val="00D74393"/>
    <w:rsid w:val="00D7459B"/>
    <w:rsid w:val="00D74A09"/>
    <w:rsid w:val="00D74A54"/>
    <w:rsid w:val="00D74D26"/>
    <w:rsid w:val="00D74F5F"/>
    <w:rsid w:val="00D75002"/>
    <w:rsid w:val="00D75056"/>
    <w:rsid w:val="00D750DD"/>
    <w:rsid w:val="00D752B9"/>
    <w:rsid w:val="00D7580E"/>
    <w:rsid w:val="00D758A1"/>
    <w:rsid w:val="00D75947"/>
    <w:rsid w:val="00D75CD3"/>
    <w:rsid w:val="00D75D82"/>
    <w:rsid w:val="00D75EC0"/>
    <w:rsid w:val="00D75EC4"/>
    <w:rsid w:val="00D764CC"/>
    <w:rsid w:val="00D7660E"/>
    <w:rsid w:val="00D7678B"/>
    <w:rsid w:val="00D76E61"/>
    <w:rsid w:val="00D775A0"/>
    <w:rsid w:val="00D77619"/>
    <w:rsid w:val="00D77644"/>
    <w:rsid w:val="00D7788C"/>
    <w:rsid w:val="00D778C9"/>
    <w:rsid w:val="00D803F1"/>
    <w:rsid w:val="00D8070E"/>
    <w:rsid w:val="00D80863"/>
    <w:rsid w:val="00D80898"/>
    <w:rsid w:val="00D808B1"/>
    <w:rsid w:val="00D80FEC"/>
    <w:rsid w:val="00D81083"/>
    <w:rsid w:val="00D81573"/>
    <w:rsid w:val="00D815BF"/>
    <w:rsid w:val="00D817EF"/>
    <w:rsid w:val="00D81A82"/>
    <w:rsid w:val="00D81DC4"/>
    <w:rsid w:val="00D82135"/>
    <w:rsid w:val="00D821FB"/>
    <w:rsid w:val="00D8222C"/>
    <w:rsid w:val="00D8242C"/>
    <w:rsid w:val="00D82514"/>
    <w:rsid w:val="00D8260A"/>
    <w:rsid w:val="00D8279B"/>
    <w:rsid w:val="00D828C6"/>
    <w:rsid w:val="00D82990"/>
    <w:rsid w:val="00D82992"/>
    <w:rsid w:val="00D82A7A"/>
    <w:rsid w:val="00D82B07"/>
    <w:rsid w:val="00D82B64"/>
    <w:rsid w:val="00D831EF"/>
    <w:rsid w:val="00D8379C"/>
    <w:rsid w:val="00D840F7"/>
    <w:rsid w:val="00D84269"/>
    <w:rsid w:val="00D843AE"/>
    <w:rsid w:val="00D843B6"/>
    <w:rsid w:val="00D84419"/>
    <w:rsid w:val="00D8477B"/>
    <w:rsid w:val="00D84874"/>
    <w:rsid w:val="00D84BA4"/>
    <w:rsid w:val="00D84DA9"/>
    <w:rsid w:val="00D8503A"/>
    <w:rsid w:val="00D85138"/>
    <w:rsid w:val="00D85139"/>
    <w:rsid w:val="00D85918"/>
    <w:rsid w:val="00D8597D"/>
    <w:rsid w:val="00D85DF2"/>
    <w:rsid w:val="00D86131"/>
    <w:rsid w:val="00D86440"/>
    <w:rsid w:val="00D86511"/>
    <w:rsid w:val="00D86659"/>
    <w:rsid w:val="00D868C6"/>
    <w:rsid w:val="00D86B80"/>
    <w:rsid w:val="00D86C8D"/>
    <w:rsid w:val="00D86D6A"/>
    <w:rsid w:val="00D87DC8"/>
    <w:rsid w:val="00D901FE"/>
    <w:rsid w:val="00D90304"/>
    <w:rsid w:val="00D9069E"/>
    <w:rsid w:val="00D90B24"/>
    <w:rsid w:val="00D90EFE"/>
    <w:rsid w:val="00D90F8B"/>
    <w:rsid w:val="00D91280"/>
    <w:rsid w:val="00D91420"/>
    <w:rsid w:val="00D9151B"/>
    <w:rsid w:val="00D91907"/>
    <w:rsid w:val="00D919A4"/>
    <w:rsid w:val="00D91A84"/>
    <w:rsid w:val="00D91D36"/>
    <w:rsid w:val="00D9212A"/>
    <w:rsid w:val="00D92164"/>
    <w:rsid w:val="00D93053"/>
    <w:rsid w:val="00D93376"/>
    <w:rsid w:val="00D93AFD"/>
    <w:rsid w:val="00D93B40"/>
    <w:rsid w:val="00D93D90"/>
    <w:rsid w:val="00D94000"/>
    <w:rsid w:val="00D942EB"/>
    <w:rsid w:val="00D9432D"/>
    <w:rsid w:val="00D944CF"/>
    <w:rsid w:val="00D94C55"/>
    <w:rsid w:val="00D94ECE"/>
    <w:rsid w:val="00D95640"/>
    <w:rsid w:val="00D957F0"/>
    <w:rsid w:val="00D95EEB"/>
    <w:rsid w:val="00D95EF7"/>
    <w:rsid w:val="00D95F15"/>
    <w:rsid w:val="00D960F2"/>
    <w:rsid w:val="00D96352"/>
    <w:rsid w:val="00D96441"/>
    <w:rsid w:val="00D96727"/>
    <w:rsid w:val="00D96A26"/>
    <w:rsid w:val="00D96BB3"/>
    <w:rsid w:val="00D97140"/>
    <w:rsid w:val="00D97224"/>
    <w:rsid w:val="00D9776A"/>
    <w:rsid w:val="00D97872"/>
    <w:rsid w:val="00D979BD"/>
    <w:rsid w:val="00D97D34"/>
    <w:rsid w:val="00D97D3A"/>
    <w:rsid w:val="00DA04F9"/>
    <w:rsid w:val="00DA0561"/>
    <w:rsid w:val="00DA0F08"/>
    <w:rsid w:val="00DA0FD0"/>
    <w:rsid w:val="00DA1049"/>
    <w:rsid w:val="00DA10E3"/>
    <w:rsid w:val="00DA1252"/>
    <w:rsid w:val="00DA16E4"/>
    <w:rsid w:val="00DA1780"/>
    <w:rsid w:val="00DA1782"/>
    <w:rsid w:val="00DA20F6"/>
    <w:rsid w:val="00DA2227"/>
    <w:rsid w:val="00DA226D"/>
    <w:rsid w:val="00DA23CE"/>
    <w:rsid w:val="00DA25B5"/>
    <w:rsid w:val="00DA25DF"/>
    <w:rsid w:val="00DA2893"/>
    <w:rsid w:val="00DA28BC"/>
    <w:rsid w:val="00DA298E"/>
    <w:rsid w:val="00DA299C"/>
    <w:rsid w:val="00DA299D"/>
    <w:rsid w:val="00DA29D3"/>
    <w:rsid w:val="00DA2A15"/>
    <w:rsid w:val="00DA2A7D"/>
    <w:rsid w:val="00DA2CFA"/>
    <w:rsid w:val="00DA2E0C"/>
    <w:rsid w:val="00DA34DC"/>
    <w:rsid w:val="00DA3B93"/>
    <w:rsid w:val="00DA3BC3"/>
    <w:rsid w:val="00DA3C6A"/>
    <w:rsid w:val="00DA3D79"/>
    <w:rsid w:val="00DA3D8C"/>
    <w:rsid w:val="00DA3DB5"/>
    <w:rsid w:val="00DA3E00"/>
    <w:rsid w:val="00DA3EC0"/>
    <w:rsid w:val="00DA40CA"/>
    <w:rsid w:val="00DA45B3"/>
    <w:rsid w:val="00DA476D"/>
    <w:rsid w:val="00DA47A3"/>
    <w:rsid w:val="00DA47F2"/>
    <w:rsid w:val="00DA4FD4"/>
    <w:rsid w:val="00DA52F4"/>
    <w:rsid w:val="00DA531E"/>
    <w:rsid w:val="00DA563A"/>
    <w:rsid w:val="00DA5982"/>
    <w:rsid w:val="00DA5AF0"/>
    <w:rsid w:val="00DA5C5D"/>
    <w:rsid w:val="00DA5D79"/>
    <w:rsid w:val="00DA5F60"/>
    <w:rsid w:val="00DA62D6"/>
    <w:rsid w:val="00DA6963"/>
    <w:rsid w:val="00DA6A5F"/>
    <w:rsid w:val="00DA7228"/>
    <w:rsid w:val="00DA781E"/>
    <w:rsid w:val="00DA78D5"/>
    <w:rsid w:val="00DA7A48"/>
    <w:rsid w:val="00DA7ABE"/>
    <w:rsid w:val="00DA7D22"/>
    <w:rsid w:val="00DB0107"/>
    <w:rsid w:val="00DB0131"/>
    <w:rsid w:val="00DB0253"/>
    <w:rsid w:val="00DB03A7"/>
    <w:rsid w:val="00DB040A"/>
    <w:rsid w:val="00DB0596"/>
    <w:rsid w:val="00DB071F"/>
    <w:rsid w:val="00DB0DD5"/>
    <w:rsid w:val="00DB10D6"/>
    <w:rsid w:val="00DB12A7"/>
    <w:rsid w:val="00DB170E"/>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52E3"/>
    <w:rsid w:val="00DB53F8"/>
    <w:rsid w:val="00DB58D9"/>
    <w:rsid w:val="00DB5A0C"/>
    <w:rsid w:val="00DB5B24"/>
    <w:rsid w:val="00DB5B68"/>
    <w:rsid w:val="00DB5BDD"/>
    <w:rsid w:val="00DB5EB4"/>
    <w:rsid w:val="00DB5FE1"/>
    <w:rsid w:val="00DB602A"/>
    <w:rsid w:val="00DB6077"/>
    <w:rsid w:val="00DB6112"/>
    <w:rsid w:val="00DB6184"/>
    <w:rsid w:val="00DB6283"/>
    <w:rsid w:val="00DB63A5"/>
    <w:rsid w:val="00DB63D5"/>
    <w:rsid w:val="00DB661B"/>
    <w:rsid w:val="00DB6786"/>
    <w:rsid w:val="00DB67C1"/>
    <w:rsid w:val="00DB6A0F"/>
    <w:rsid w:val="00DB6AB6"/>
    <w:rsid w:val="00DB6F34"/>
    <w:rsid w:val="00DB7034"/>
    <w:rsid w:val="00DB7244"/>
    <w:rsid w:val="00DB7300"/>
    <w:rsid w:val="00DB7894"/>
    <w:rsid w:val="00DB7A10"/>
    <w:rsid w:val="00DB7B0B"/>
    <w:rsid w:val="00DB7B73"/>
    <w:rsid w:val="00DB7BBF"/>
    <w:rsid w:val="00DB7C53"/>
    <w:rsid w:val="00DB7C78"/>
    <w:rsid w:val="00DB7F7D"/>
    <w:rsid w:val="00DC0141"/>
    <w:rsid w:val="00DC01BA"/>
    <w:rsid w:val="00DC062E"/>
    <w:rsid w:val="00DC0EC3"/>
    <w:rsid w:val="00DC0EC8"/>
    <w:rsid w:val="00DC1210"/>
    <w:rsid w:val="00DC1433"/>
    <w:rsid w:val="00DC15B6"/>
    <w:rsid w:val="00DC1783"/>
    <w:rsid w:val="00DC1E3B"/>
    <w:rsid w:val="00DC23C4"/>
    <w:rsid w:val="00DC24DC"/>
    <w:rsid w:val="00DC2761"/>
    <w:rsid w:val="00DC2818"/>
    <w:rsid w:val="00DC28F7"/>
    <w:rsid w:val="00DC2D91"/>
    <w:rsid w:val="00DC322F"/>
    <w:rsid w:val="00DC34CE"/>
    <w:rsid w:val="00DC3540"/>
    <w:rsid w:val="00DC3BD9"/>
    <w:rsid w:val="00DC3E35"/>
    <w:rsid w:val="00DC3E9F"/>
    <w:rsid w:val="00DC3EE4"/>
    <w:rsid w:val="00DC4028"/>
    <w:rsid w:val="00DC4537"/>
    <w:rsid w:val="00DC4586"/>
    <w:rsid w:val="00DC468F"/>
    <w:rsid w:val="00DC4DCE"/>
    <w:rsid w:val="00DC4F92"/>
    <w:rsid w:val="00DC4FE3"/>
    <w:rsid w:val="00DC566C"/>
    <w:rsid w:val="00DC5934"/>
    <w:rsid w:val="00DC5B25"/>
    <w:rsid w:val="00DC5CE4"/>
    <w:rsid w:val="00DC5F0D"/>
    <w:rsid w:val="00DC6765"/>
    <w:rsid w:val="00DC6AB7"/>
    <w:rsid w:val="00DC6DB5"/>
    <w:rsid w:val="00DC768B"/>
    <w:rsid w:val="00DC7A30"/>
    <w:rsid w:val="00DD0278"/>
    <w:rsid w:val="00DD0686"/>
    <w:rsid w:val="00DD0704"/>
    <w:rsid w:val="00DD0AAD"/>
    <w:rsid w:val="00DD0D59"/>
    <w:rsid w:val="00DD0D93"/>
    <w:rsid w:val="00DD0F49"/>
    <w:rsid w:val="00DD114D"/>
    <w:rsid w:val="00DD147F"/>
    <w:rsid w:val="00DD17A7"/>
    <w:rsid w:val="00DD17D4"/>
    <w:rsid w:val="00DD1B9B"/>
    <w:rsid w:val="00DD20BF"/>
    <w:rsid w:val="00DD211A"/>
    <w:rsid w:val="00DD223D"/>
    <w:rsid w:val="00DD2286"/>
    <w:rsid w:val="00DD2399"/>
    <w:rsid w:val="00DD286B"/>
    <w:rsid w:val="00DD2DD9"/>
    <w:rsid w:val="00DD30A2"/>
    <w:rsid w:val="00DD3435"/>
    <w:rsid w:val="00DD34A1"/>
    <w:rsid w:val="00DD3F8D"/>
    <w:rsid w:val="00DD4549"/>
    <w:rsid w:val="00DD463A"/>
    <w:rsid w:val="00DD4857"/>
    <w:rsid w:val="00DD4964"/>
    <w:rsid w:val="00DD49D3"/>
    <w:rsid w:val="00DD4BC1"/>
    <w:rsid w:val="00DD4D26"/>
    <w:rsid w:val="00DD4F77"/>
    <w:rsid w:val="00DD5558"/>
    <w:rsid w:val="00DD57A4"/>
    <w:rsid w:val="00DD5AC8"/>
    <w:rsid w:val="00DD61AF"/>
    <w:rsid w:val="00DD657A"/>
    <w:rsid w:val="00DD69D9"/>
    <w:rsid w:val="00DD69E8"/>
    <w:rsid w:val="00DD6AD2"/>
    <w:rsid w:val="00DD6D18"/>
    <w:rsid w:val="00DD6F5C"/>
    <w:rsid w:val="00DD6F79"/>
    <w:rsid w:val="00DD71B4"/>
    <w:rsid w:val="00DD7228"/>
    <w:rsid w:val="00DD73A9"/>
    <w:rsid w:val="00DD7432"/>
    <w:rsid w:val="00DD7ADC"/>
    <w:rsid w:val="00DD7BE6"/>
    <w:rsid w:val="00DD7E6F"/>
    <w:rsid w:val="00DE021B"/>
    <w:rsid w:val="00DE06DC"/>
    <w:rsid w:val="00DE09EA"/>
    <w:rsid w:val="00DE0AB6"/>
    <w:rsid w:val="00DE0B0C"/>
    <w:rsid w:val="00DE0BC7"/>
    <w:rsid w:val="00DE0E95"/>
    <w:rsid w:val="00DE12EA"/>
    <w:rsid w:val="00DE1474"/>
    <w:rsid w:val="00DE16AE"/>
    <w:rsid w:val="00DE1CE3"/>
    <w:rsid w:val="00DE1D7D"/>
    <w:rsid w:val="00DE2009"/>
    <w:rsid w:val="00DE234A"/>
    <w:rsid w:val="00DE25B6"/>
    <w:rsid w:val="00DE2B70"/>
    <w:rsid w:val="00DE2FE5"/>
    <w:rsid w:val="00DE302C"/>
    <w:rsid w:val="00DE31E1"/>
    <w:rsid w:val="00DE3351"/>
    <w:rsid w:val="00DE381D"/>
    <w:rsid w:val="00DE38DD"/>
    <w:rsid w:val="00DE3A63"/>
    <w:rsid w:val="00DE3E6C"/>
    <w:rsid w:val="00DE42C8"/>
    <w:rsid w:val="00DE45D7"/>
    <w:rsid w:val="00DE4719"/>
    <w:rsid w:val="00DE4729"/>
    <w:rsid w:val="00DE4752"/>
    <w:rsid w:val="00DE477E"/>
    <w:rsid w:val="00DE4892"/>
    <w:rsid w:val="00DE48C5"/>
    <w:rsid w:val="00DE4B4F"/>
    <w:rsid w:val="00DE4C38"/>
    <w:rsid w:val="00DE4CAE"/>
    <w:rsid w:val="00DE5638"/>
    <w:rsid w:val="00DE59A2"/>
    <w:rsid w:val="00DE59FC"/>
    <w:rsid w:val="00DE5ABA"/>
    <w:rsid w:val="00DE5B2B"/>
    <w:rsid w:val="00DE5BA7"/>
    <w:rsid w:val="00DE5C30"/>
    <w:rsid w:val="00DE5E26"/>
    <w:rsid w:val="00DE5FEA"/>
    <w:rsid w:val="00DE618E"/>
    <w:rsid w:val="00DE6805"/>
    <w:rsid w:val="00DE68B4"/>
    <w:rsid w:val="00DE7015"/>
    <w:rsid w:val="00DE71CD"/>
    <w:rsid w:val="00DE737B"/>
    <w:rsid w:val="00DE765F"/>
    <w:rsid w:val="00DE7692"/>
    <w:rsid w:val="00DE783E"/>
    <w:rsid w:val="00DE7A5A"/>
    <w:rsid w:val="00DE7A8E"/>
    <w:rsid w:val="00DE7D17"/>
    <w:rsid w:val="00DF0043"/>
    <w:rsid w:val="00DF023D"/>
    <w:rsid w:val="00DF059C"/>
    <w:rsid w:val="00DF06D6"/>
    <w:rsid w:val="00DF06F0"/>
    <w:rsid w:val="00DF07C7"/>
    <w:rsid w:val="00DF0844"/>
    <w:rsid w:val="00DF0946"/>
    <w:rsid w:val="00DF0E74"/>
    <w:rsid w:val="00DF12C6"/>
    <w:rsid w:val="00DF131A"/>
    <w:rsid w:val="00DF1824"/>
    <w:rsid w:val="00DF1988"/>
    <w:rsid w:val="00DF1CA2"/>
    <w:rsid w:val="00DF1F5E"/>
    <w:rsid w:val="00DF22C3"/>
    <w:rsid w:val="00DF22D4"/>
    <w:rsid w:val="00DF2470"/>
    <w:rsid w:val="00DF2861"/>
    <w:rsid w:val="00DF29E2"/>
    <w:rsid w:val="00DF2E15"/>
    <w:rsid w:val="00DF2F92"/>
    <w:rsid w:val="00DF2FA9"/>
    <w:rsid w:val="00DF3037"/>
    <w:rsid w:val="00DF3070"/>
    <w:rsid w:val="00DF3437"/>
    <w:rsid w:val="00DF3539"/>
    <w:rsid w:val="00DF3DF0"/>
    <w:rsid w:val="00DF4016"/>
    <w:rsid w:val="00DF4367"/>
    <w:rsid w:val="00DF451D"/>
    <w:rsid w:val="00DF4A91"/>
    <w:rsid w:val="00DF585F"/>
    <w:rsid w:val="00DF60A5"/>
    <w:rsid w:val="00DF6125"/>
    <w:rsid w:val="00DF6BD6"/>
    <w:rsid w:val="00DF6F8A"/>
    <w:rsid w:val="00DF6FB2"/>
    <w:rsid w:val="00DF72EC"/>
    <w:rsid w:val="00DF760D"/>
    <w:rsid w:val="00E000C8"/>
    <w:rsid w:val="00E00385"/>
    <w:rsid w:val="00E005BA"/>
    <w:rsid w:val="00E00FB3"/>
    <w:rsid w:val="00E0106E"/>
    <w:rsid w:val="00E01221"/>
    <w:rsid w:val="00E01531"/>
    <w:rsid w:val="00E015C2"/>
    <w:rsid w:val="00E01772"/>
    <w:rsid w:val="00E0177E"/>
    <w:rsid w:val="00E019D6"/>
    <w:rsid w:val="00E019F5"/>
    <w:rsid w:val="00E01A69"/>
    <w:rsid w:val="00E01BE9"/>
    <w:rsid w:val="00E01DCF"/>
    <w:rsid w:val="00E0206E"/>
    <w:rsid w:val="00E02076"/>
    <w:rsid w:val="00E021A4"/>
    <w:rsid w:val="00E0224C"/>
    <w:rsid w:val="00E023B0"/>
    <w:rsid w:val="00E03029"/>
    <w:rsid w:val="00E030FD"/>
    <w:rsid w:val="00E0345A"/>
    <w:rsid w:val="00E03559"/>
    <w:rsid w:val="00E03635"/>
    <w:rsid w:val="00E038C1"/>
    <w:rsid w:val="00E03924"/>
    <w:rsid w:val="00E03ABD"/>
    <w:rsid w:val="00E03BB4"/>
    <w:rsid w:val="00E03C4D"/>
    <w:rsid w:val="00E03F0A"/>
    <w:rsid w:val="00E03F1F"/>
    <w:rsid w:val="00E040BE"/>
    <w:rsid w:val="00E04392"/>
    <w:rsid w:val="00E0487C"/>
    <w:rsid w:val="00E04B93"/>
    <w:rsid w:val="00E04BD0"/>
    <w:rsid w:val="00E04E2D"/>
    <w:rsid w:val="00E04E45"/>
    <w:rsid w:val="00E05223"/>
    <w:rsid w:val="00E054CE"/>
    <w:rsid w:val="00E058CB"/>
    <w:rsid w:val="00E059B9"/>
    <w:rsid w:val="00E0621D"/>
    <w:rsid w:val="00E06270"/>
    <w:rsid w:val="00E066E6"/>
    <w:rsid w:val="00E066ED"/>
    <w:rsid w:val="00E069C5"/>
    <w:rsid w:val="00E06A6A"/>
    <w:rsid w:val="00E06A9A"/>
    <w:rsid w:val="00E06D04"/>
    <w:rsid w:val="00E06DC5"/>
    <w:rsid w:val="00E073CC"/>
    <w:rsid w:val="00E076A2"/>
    <w:rsid w:val="00E076E8"/>
    <w:rsid w:val="00E078A7"/>
    <w:rsid w:val="00E1010E"/>
    <w:rsid w:val="00E10146"/>
    <w:rsid w:val="00E10281"/>
    <w:rsid w:val="00E105DA"/>
    <w:rsid w:val="00E108BD"/>
    <w:rsid w:val="00E10AC2"/>
    <w:rsid w:val="00E10D5B"/>
    <w:rsid w:val="00E10E3A"/>
    <w:rsid w:val="00E10E63"/>
    <w:rsid w:val="00E1116E"/>
    <w:rsid w:val="00E117F8"/>
    <w:rsid w:val="00E11927"/>
    <w:rsid w:val="00E11CC2"/>
    <w:rsid w:val="00E11D0D"/>
    <w:rsid w:val="00E11D98"/>
    <w:rsid w:val="00E11E66"/>
    <w:rsid w:val="00E122E1"/>
    <w:rsid w:val="00E12445"/>
    <w:rsid w:val="00E12841"/>
    <w:rsid w:val="00E12A03"/>
    <w:rsid w:val="00E12AE6"/>
    <w:rsid w:val="00E12B0D"/>
    <w:rsid w:val="00E12B53"/>
    <w:rsid w:val="00E12CF1"/>
    <w:rsid w:val="00E12D9D"/>
    <w:rsid w:val="00E12E96"/>
    <w:rsid w:val="00E12FB6"/>
    <w:rsid w:val="00E13392"/>
    <w:rsid w:val="00E134F2"/>
    <w:rsid w:val="00E1377E"/>
    <w:rsid w:val="00E138DD"/>
    <w:rsid w:val="00E1396B"/>
    <w:rsid w:val="00E13F4C"/>
    <w:rsid w:val="00E141F5"/>
    <w:rsid w:val="00E14418"/>
    <w:rsid w:val="00E14493"/>
    <w:rsid w:val="00E14550"/>
    <w:rsid w:val="00E14659"/>
    <w:rsid w:val="00E147E8"/>
    <w:rsid w:val="00E14844"/>
    <w:rsid w:val="00E14979"/>
    <w:rsid w:val="00E14A7F"/>
    <w:rsid w:val="00E14CB8"/>
    <w:rsid w:val="00E14F01"/>
    <w:rsid w:val="00E14F68"/>
    <w:rsid w:val="00E15A0E"/>
    <w:rsid w:val="00E15A3B"/>
    <w:rsid w:val="00E16176"/>
    <w:rsid w:val="00E163C5"/>
    <w:rsid w:val="00E166DC"/>
    <w:rsid w:val="00E16878"/>
    <w:rsid w:val="00E16B39"/>
    <w:rsid w:val="00E16F0E"/>
    <w:rsid w:val="00E17709"/>
    <w:rsid w:val="00E1776E"/>
    <w:rsid w:val="00E17B6A"/>
    <w:rsid w:val="00E17B7D"/>
    <w:rsid w:val="00E17C8B"/>
    <w:rsid w:val="00E2068C"/>
    <w:rsid w:val="00E20862"/>
    <w:rsid w:val="00E2092F"/>
    <w:rsid w:val="00E2094C"/>
    <w:rsid w:val="00E20A00"/>
    <w:rsid w:val="00E20FEB"/>
    <w:rsid w:val="00E21026"/>
    <w:rsid w:val="00E21065"/>
    <w:rsid w:val="00E2122F"/>
    <w:rsid w:val="00E21347"/>
    <w:rsid w:val="00E21800"/>
    <w:rsid w:val="00E218AE"/>
    <w:rsid w:val="00E21D5D"/>
    <w:rsid w:val="00E2201C"/>
    <w:rsid w:val="00E225B5"/>
    <w:rsid w:val="00E22707"/>
    <w:rsid w:val="00E22B72"/>
    <w:rsid w:val="00E22C91"/>
    <w:rsid w:val="00E22E95"/>
    <w:rsid w:val="00E22F59"/>
    <w:rsid w:val="00E23025"/>
    <w:rsid w:val="00E23079"/>
    <w:rsid w:val="00E23783"/>
    <w:rsid w:val="00E237B0"/>
    <w:rsid w:val="00E23B74"/>
    <w:rsid w:val="00E240DC"/>
    <w:rsid w:val="00E2434E"/>
    <w:rsid w:val="00E2448F"/>
    <w:rsid w:val="00E2452D"/>
    <w:rsid w:val="00E24779"/>
    <w:rsid w:val="00E24909"/>
    <w:rsid w:val="00E24A2C"/>
    <w:rsid w:val="00E24CFC"/>
    <w:rsid w:val="00E24D05"/>
    <w:rsid w:val="00E24F2F"/>
    <w:rsid w:val="00E24FBA"/>
    <w:rsid w:val="00E25125"/>
    <w:rsid w:val="00E253C0"/>
    <w:rsid w:val="00E25834"/>
    <w:rsid w:val="00E25942"/>
    <w:rsid w:val="00E25B9F"/>
    <w:rsid w:val="00E25DF3"/>
    <w:rsid w:val="00E25DFA"/>
    <w:rsid w:val="00E2608B"/>
    <w:rsid w:val="00E26145"/>
    <w:rsid w:val="00E2645C"/>
    <w:rsid w:val="00E2657E"/>
    <w:rsid w:val="00E265F3"/>
    <w:rsid w:val="00E26714"/>
    <w:rsid w:val="00E26C2F"/>
    <w:rsid w:val="00E26CBD"/>
    <w:rsid w:val="00E26F63"/>
    <w:rsid w:val="00E27236"/>
    <w:rsid w:val="00E27747"/>
    <w:rsid w:val="00E27C0D"/>
    <w:rsid w:val="00E27CD6"/>
    <w:rsid w:val="00E27F80"/>
    <w:rsid w:val="00E27FE4"/>
    <w:rsid w:val="00E3024B"/>
    <w:rsid w:val="00E3061C"/>
    <w:rsid w:val="00E3079C"/>
    <w:rsid w:val="00E307EB"/>
    <w:rsid w:val="00E307F8"/>
    <w:rsid w:val="00E30CF4"/>
    <w:rsid w:val="00E30E22"/>
    <w:rsid w:val="00E30F29"/>
    <w:rsid w:val="00E30FDC"/>
    <w:rsid w:val="00E31657"/>
    <w:rsid w:val="00E31780"/>
    <w:rsid w:val="00E31943"/>
    <w:rsid w:val="00E31A59"/>
    <w:rsid w:val="00E31BA4"/>
    <w:rsid w:val="00E31E4B"/>
    <w:rsid w:val="00E32485"/>
    <w:rsid w:val="00E326A7"/>
    <w:rsid w:val="00E32759"/>
    <w:rsid w:val="00E32840"/>
    <w:rsid w:val="00E3288A"/>
    <w:rsid w:val="00E3294F"/>
    <w:rsid w:val="00E32A93"/>
    <w:rsid w:val="00E32AF2"/>
    <w:rsid w:val="00E330EE"/>
    <w:rsid w:val="00E33229"/>
    <w:rsid w:val="00E33329"/>
    <w:rsid w:val="00E337D8"/>
    <w:rsid w:val="00E33828"/>
    <w:rsid w:val="00E3382B"/>
    <w:rsid w:val="00E3399E"/>
    <w:rsid w:val="00E33A26"/>
    <w:rsid w:val="00E33CC4"/>
    <w:rsid w:val="00E33DC6"/>
    <w:rsid w:val="00E34254"/>
    <w:rsid w:val="00E34424"/>
    <w:rsid w:val="00E34578"/>
    <w:rsid w:val="00E346C0"/>
    <w:rsid w:val="00E34766"/>
    <w:rsid w:val="00E34927"/>
    <w:rsid w:val="00E3492F"/>
    <w:rsid w:val="00E34A8D"/>
    <w:rsid w:val="00E34DAD"/>
    <w:rsid w:val="00E34F0E"/>
    <w:rsid w:val="00E3508F"/>
    <w:rsid w:val="00E350C9"/>
    <w:rsid w:val="00E35318"/>
    <w:rsid w:val="00E35448"/>
    <w:rsid w:val="00E35561"/>
    <w:rsid w:val="00E3562A"/>
    <w:rsid w:val="00E35684"/>
    <w:rsid w:val="00E35851"/>
    <w:rsid w:val="00E35BC7"/>
    <w:rsid w:val="00E3602A"/>
    <w:rsid w:val="00E36132"/>
    <w:rsid w:val="00E361CB"/>
    <w:rsid w:val="00E36301"/>
    <w:rsid w:val="00E365D3"/>
    <w:rsid w:val="00E365F9"/>
    <w:rsid w:val="00E36AF9"/>
    <w:rsid w:val="00E36E4E"/>
    <w:rsid w:val="00E36E50"/>
    <w:rsid w:val="00E36F4F"/>
    <w:rsid w:val="00E37248"/>
    <w:rsid w:val="00E37317"/>
    <w:rsid w:val="00E373B7"/>
    <w:rsid w:val="00E375A6"/>
    <w:rsid w:val="00E37697"/>
    <w:rsid w:val="00E37729"/>
    <w:rsid w:val="00E378E4"/>
    <w:rsid w:val="00E37EAB"/>
    <w:rsid w:val="00E40259"/>
    <w:rsid w:val="00E403A9"/>
    <w:rsid w:val="00E40694"/>
    <w:rsid w:val="00E40AE5"/>
    <w:rsid w:val="00E40B09"/>
    <w:rsid w:val="00E40B7D"/>
    <w:rsid w:val="00E40CA4"/>
    <w:rsid w:val="00E40CC1"/>
    <w:rsid w:val="00E40D13"/>
    <w:rsid w:val="00E413A2"/>
    <w:rsid w:val="00E41464"/>
    <w:rsid w:val="00E414C5"/>
    <w:rsid w:val="00E416DC"/>
    <w:rsid w:val="00E4172E"/>
    <w:rsid w:val="00E417E8"/>
    <w:rsid w:val="00E419C6"/>
    <w:rsid w:val="00E41D09"/>
    <w:rsid w:val="00E41E30"/>
    <w:rsid w:val="00E42192"/>
    <w:rsid w:val="00E42227"/>
    <w:rsid w:val="00E42264"/>
    <w:rsid w:val="00E42277"/>
    <w:rsid w:val="00E4238B"/>
    <w:rsid w:val="00E4275C"/>
    <w:rsid w:val="00E42B02"/>
    <w:rsid w:val="00E42DEF"/>
    <w:rsid w:val="00E430A2"/>
    <w:rsid w:val="00E43122"/>
    <w:rsid w:val="00E431F8"/>
    <w:rsid w:val="00E4397B"/>
    <w:rsid w:val="00E43E72"/>
    <w:rsid w:val="00E43EF0"/>
    <w:rsid w:val="00E43FBF"/>
    <w:rsid w:val="00E442B4"/>
    <w:rsid w:val="00E443A8"/>
    <w:rsid w:val="00E44519"/>
    <w:rsid w:val="00E44581"/>
    <w:rsid w:val="00E44880"/>
    <w:rsid w:val="00E4492C"/>
    <w:rsid w:val="00E44ACC"/>
    <w:rsid w:val="00E44DA8"/>
    <w:rsid w:val="00E44DD8"/>
    <w:rsid w:val="00E45035"/>
    <w:rsid w:val="00E45146"/>
    <w:rsid w:val="00E452C3"/>
    <w:rsid w:val="00E45701"/>
    <w:rsid w:val="00E45769"/>
    <w:rsid w:val="00E45AD2"/>
    <w:rsid w:val="00E45B9A"/>
    <w:rsid w:val="00E45C7E"/>
    <w:rsid w:val="00E45DBE"/>
    <w:rsid w:val="00E462DF"/>
    <w:rsid w:val="00E4630B"/>
    <w:rsid w:val="00E4635E"/>
    <w:rsid w:val="00E46511"/>
    <w:rsid w:val="00E4654E"/>
    <w:rsid w:val="00E466B5"/>
    <w:rsid w:val="00E46794"/>
    <w:rsid w:val="00E46B29"/>
    <w:rsid w:val="00E46F1D"/>
    <w:rsid w:val="00E471BB"/>
    <w:rsid w:val="00E47550"/>
    <w:rsid w:val="00E4782F"/>
    <w:rsid w:val="00E47967"/>
    <w:rsid w:val="00E47EE4"/>
    <w:rsid w:val="00E50328"/>
    <w:rsid w:val="00E50332"/>
    <w:rsid w:val="00E5038E"/>
    <w:rsid w:val="00E5087C"/>
    <w:rsid w:val="00E508AB"/>
    <w:rsid w:val="00E50A4D"/>
    <w:rsid w:val="00E50B82"/>
    <w:rsid w:val="00E50BC4"/>
    <w:rsid w:val="00E513E1"/>
    <w:rsid w:val="00E514F3"/>
    <w:rsid w:val="00E5154D"/>
    <w:rsid w:val="00E515CC"/>
    <w:rsid w:val="00E517F8"/>
    <w:rsid w:val="00E5184D"/>
    <w:rsid w:val="00E51ABC"/>
    <w:rsid w:val="00E520D3"/>
    <w:rsid w:val="00E52258"/>
    <w:rsid w:val="00E52416"/>
    <w:rsid w:val="00E527F5"/>
    <w:rsid w:val="00E52B3E"/>
    <w:rsid w:val="00E52BBE"/>
    <w:rsid w:val="00E52CF6"/>
    <w:rsid w:val="00E52DB4"/>
    <w:rsid w:val="00E52E35"/>
    <w:rsid w:val="00E53126"/>
    <w:rsid w:val="00E533F3"/>
    <w:rsid w:val="00E5343C"/>
    <w:rsid w:val="00E53522"/>
    <w:rsid w:val="00E53530"/>
    <w:rsid w:val="00E535B6"/>
    <w:rsid w:val="00E538DA"/>
    <w:rsid w:val="00E53A5D"/>
    <w:rsid w:val="00E53D2A"/>
    <w:rsid w:val="00E53DCB"/>
    <w:rsid w:val="00E53E05"/>
    <w:rsid w:val="00E53FF0"/>
    <w:rsid w:val="00E54346"/>
    <w:rsid w:val="00E543D9"/>
    <w:rsid w:val="00E546D3"/>
    <w:rsid w:val="00E548F2"/>
    <w:rsid w:val="00E54C17"/>
    <w:rsid w:val="00E54DDA"/>
    <w:rsid w:val="00E54F22"/>
    <w:rsid w:val="00E5509F"/>
    <w:rsid w:val="00E55187"/>
    <w:rsid w:val="00E55189"/>
    <w:rsid w:val="00E5527C"/>
    <w:rsid w:val="00E5546D"/>
    <w:rsid w:val="00E55517"/>
    <w:rsid w:val="00E55BC9"/>
    <w:rsid w:val="00E55ED5"/>
    <w:rsid w:val="00E560D6"/>
    <w:rsid w:val="00E561A2"/>
    <w:rsid w:val="00E564A0"/>
    <w:rsid w:val="00E567BE"/>
    <w:rsid w:val="00E570BE"/>
    <w:rsid w:val="00E572FC"/>
    <w:rsid w:val="00E574BB"/>
    <w:rsid w:val="00E57630"/>
    <w:rsid w:val="00E579AD"/>
    <w:rsid w:val="00E57C6A"/>
    <w:rsid w:val="00E60148"/>
    <w:rsid w:val="00E60412"/>
    <w:rsid w:val="00E60513"/>
    <w:rsid w:val="00E60695"/>
    <w:rsid w:val="00E60728"/>
    <w:rsid w:val="00E60A36"/>
    <w:rsid w:val="00E60ABA"/>
    <w:rsid w:val="00E60F73"/>
    <w:rsid w:val="00E6150B"/>
    <w:rsid w:val="00E61825"/>
    <w:rsid w:val="00E6194A"/>
    <w:rsid w:val="00E619C9"/>
    <w:rsid w:val="00E619F3"/>
    <w:rsid w:val="00E61D45"/>
    <w:rsid w:val="00E61E99"/>
    <w:rsid w:val="00E61EC3"/>
    <w:rsid w:val="00E620FD"/>
    <w:rsid w:val="00E6224B"/>
    <w:rsid w:val="00E623A1"/>
    <w:rsid w:val="00E6240D"/>
    <w:rsid w:val="00E6280E"/>
    <w:rsid w:val="00E62E62"/>
    <w:rsid w:val="00E62FBC"/>
    <w:rsid w:val="00E62FF6"/>
    <w:rsid w:val="00E636BB"/>
    <w:rsid w:val="00E638FC"/>
    <w:rsid w:val="00E63940"/>
    <w:rsid w:val="00E639EE"/>
    <w:rsid w:val="00E63E92"/>
    <w:rsid w:val="00E63E94"/>
    <w:rsid w:val="00E642AE"/>
    <w:rsid w:val="00E643C1"/>
    <w:rsid w:val="00E64555"/>
    <w:rsid w:val="00E64646"/>
    <w:rsid w:val="00E64691"/>
    <w:rsid w:val="00E6472E"/>
    <w:rsid w:val="00E6476C"/>
    <w:rsid w:val="00E647FE"/>
    <w:rsid w:val="00E6489A"/>
    <w:rsid w:val="00E64FB1"/>
    <w:rsid w:val="00E65015"/>
    <w:rsid w:val="00E65117"/>
    <w:rsid w:val="00E65225"/>
    <w:rsid w:val="00E655A8"/>
    <w:rsid w:val="00E6580D"/>
    <w:rsid w:val="00E65A75"/>
    <w:rsid w:val="00E65B47"/>
    <w:rsid w:val="00E66084"/>
    <w:rsid w:val="00E6630B"/>
    <w:rsid w:val="00E663B1"/>
    <w:rsid w:val="00E66A0E"/>
    <w:rsid w:val="00E66FA3"/>
    <w:rsid w:val="00E671FF"/>
    <w:rsid w:val="00E677CC"/>
    <w:rsid w:val="00E6780C"/>
    <w:rsid w:val="00E6782E"/>
    <w:rsid w:val="00E67CC7"/>
    <w:rsid w:val="00E67EC8"/>
    <w:rsid w:val="00E67FEF"/>
    <w:rsid w:val="00E70108"/>
    <w:rsid w:val="00E7047B"/>
    <w:rsid w:val="00E706E1"/>
    <w:rsid w:val="00E70901"/>
    <w:rsid w:val="00E70988"/>
    <w:rsid w:val="00E71286"/>
    <w:rsid w:val="00E71312"/>
    <w:rsid w:val="00E7131D"/>
    <w:rsid w:val="00E714DC"/>
    <w:rsid w:val="00E71783"/>
    <w:rsid w:val="00E7192B"/>
    <w:rsid w:val="00E71CBD"/>
    <w:rsid w:val="00E71E1C"/>
    <w:rsid w:val="00E71F60"/>
    <w:rsid w:val="00E7203E"/>
    <w:rsid w:val="00E727CB"/>
    <w:rsid w:val="00E72866"/>
    <w:rsid w:val="00E72B62"/>
    <w:rsid w:val="00E72DBE"/>
    <w:rsid w:val="00E73014"/>
    <w:rsid w:val="00E73437"/>
    <w:rsid w:val="00E736E3"/>
    <w:rsid w:val="00E73765"/>
    <w:rsid w:val="00E738D0"/>
    <w:rsid w:val="00E7394C"/>
    <w:rsid w:val="00E73A3B"/>
    <w:rsid w:val="00E73B7B"/>
    <w:rsid w:val="00E73BA2"/>
    <w:rsid w:val="00E73BF4"/>
    <w:rsid w:val="00E73C2F"/>
    <w:rsid w:val="00E73CD3"/>
    <w:rsid w:val="00E73D1B"/>
    <w:rsid w:val="00E73F79"/>
    <w:rsid w:val="00E74114"/>
    <w:rsid w:val="00E745FA"/>
    <w:rsid w:val="00E74637"/>
    <w:rsid w:val="00E74857"/>
    <w:rsid w:val="00E748C0"/>
    <w:rsid w:val="00E7498A"/>
    <w:rsid w:val="00E74B0E"/>
    <w:rsid w:val="00E74E29"/>
    <w:rsid w:val="00E74EF3"/>
    <w:rsid w:val="00E75461"/>
    <w:rsid w:val="00E765D0"/>
    <w:rsid w:val="00E769FB"/>
    <w:rsid w:val="00E76B34"/>
    <w:rsid w:val="00E76D3F"/>
    <w:rsid w:val="00E76DA3"/>
    <w:rsid w:val="00E76E2A"/>
    <w:rsid w:val="00E76E9F"/>
    <w:rsid w:val="00E76FA3"/>
    <w:rsid w:val="00E770C9"/>
    <w:rsid w:val="00E77735"/>
    <w:rsid w:val="00E77B79"/>
    <w:rsid w:val="00E77CB4"/>
    <w:rsid w:val="00E77D34"/>
    <w:rsid w:val="00E80525"/>
    <w:rsid w:val="00E8071B"/>
    <w:rsid w:val="00E80886"/>
    <w:rsid w:val="00E80C56"/>
    <w:rsid w:val="00E80F25"/>
    <w:rsid w:val="00E81428"/>
    <w:rsid w:val="00E8164C"/>
    <w:rsid w:val="00E817F7"/>
    <w:rsid w:val="00E8187C"/>
    <w:rsid w:val="00E81B0D"/>
    <w:rsid w:val="00E81E2C"/>
    <w:rsid w:val="00E81E41"/>
    <w:rsid w:val="00E825DB"/>
    <w:rsid w:val="00E82AB8"/>
    <w:rsid w:val="00E82ADB"/>
    <w:rsid w:val="00E82B9F"/>
    <w:rsid w:val="00E82E2A"/>
    <w:rsid w:val="00E82ECA"/>
    <w:rsid w:val="00E82FA2"/>
    <w:rsid w:val="00E8316E"/>
    <w:rsid w:val="00E8333B"/>
    <w:rsid w:val="00E8379A"/>
    <w:rsid w:val="00E8382A"/>
    <w:rsid w:val="00E8394F"/>
    <w:rsid w:val="00E83C37"/>
    <w:rsid w:val="00E83CB1"/>
    <w:rsid w:val="00E83DB1"/>
    <w:rsid w:val="00E83EA8"/>
    <w:rsid w:val="00E83EF7"/>
    <w:rsid w:val="00E8448A"/>
    <w:rsid w:val="00E84663"/>
    <w:rsid w:val="00E84706"/>
    <w:rsid w:val="00E84792"/>
    <w:rsid w:val="00E85E7D"/>
    <w:rsid w:val="00E85EBF"/>
    <w:rsid w:val="00E85FD2"/>
    <w:rsid w:val="00E8613D"/>
    <w:rsid w:val="00E863E9"/>
    <w:rsid w:val="00E86703"/>
    <w:rsid w:val="00E868D4"/>
    <w:rsid w:val="00E86976"/>
    <w:rsid w:val="00E869A2"/>
    <w:rsid w:val="00E869FC"/>
    <w:rsid w:val="00E87012"/>
    <w:rsid w:val="00E872C6"/>
    <w:rsid w:val="00E87492"/>
    <w:rsid w:val="00E8756A"/>
    <w:rsid w:val="00E8757B"/>
    <w:rsid w:val="00E87915"/>
    <w:rsid w:val="00E87D8F"/>
    <w:rsid w:val="00E87DF3"/>
    <w:rsid w:val="00E87F6C"/>
    <w:rsid w:val="00E90795"/>
    <w:rsid w:val="00E90C3F"/>
    <w:rsid w:val="00E90FC4"/>
    <w:rsid w:val="00E910E8"/>
    <w:rsid w:val="00E912DE"/>
    <w:rsid w:val="00E918BB"/>
    <w:rsid w:val="00E91942"/>
    <w:rsid w:val="00E91DD0"/>
    <w:rsid w:val="00E92702"/>
    <w:rsid w:val="00E92760"/>
    <w:rsid w:val="00E92AC0"/>
    <w:rsid w:val="00E92DF1"/>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3EC"/>
    <w:rsid w:val="00E9479D"/>
    <w:rsid w:val="00E947D0"/>
    <w:rsid w:val="00E94845"/>
    <w:rsid w:val="00E94886"/>
    <w:rsid w:val="00E94A7C"/>
    <w:rsid w:val="00E94D5A"/>
    <w:rsid w:val="00E94E0A"/>
    <w:rsid w:val="00E955E9"/>
    <w:rsid w:val="00E9578D"/>
    <w:rsid w:val="00E9598D"/>
    <w:rsid w:val="00E95A07"/>
    <w:rsid w:val="00E95FC1"/>
    <w:rsid w:val="00E96093"/>
    <w:rsid w:val="00E961D3"/>
    <w:rsid w:val="00E9623B"/>
    <w:rsid w:val="00E9649A"/>
    <w:rsid w:val="00E96FD2"/>
    <w:rsid w:val="00E974CF"/>
    <w:rsid w:val="00E976FA"/>
    <w:rsid w:val="00E97B3A"/>
    <w:rsid w:val="00EA0229"/>
    <w:rsid w:val="00EA04C5"/>
    <w:rsid w:val="00EA05EE"/>
    <w:rsid w:val="00EA0684"/>
    <w:rsid w:val="00EA0CB0"/>
    <w:rsid w:val="00EA14A6"/>
    <w:rsid w:val="00EA174E"/>
    <w:rsid w:val="00EA1766"/>
    <w:rsid w:val="00EA18CD"/>
    <w:rsid w:val="00EA1A4E"/>
    <w:rsid w:val="00EA1A61"/>
    <w:rsid w:val="00EA1E7E"/>
    <w:rsid w:val="00EA204A"/>
    <w:rsid w:val="00EA20BA"/>
    <w:rsid w:val="00EA2145"/>
    <w:rsid w:val="00EA227F"/>
    <w:rsid w:val="00EA22D2"/>
    <w:rsid w:val="00EA24D0"/>
    <w:rsid w:val="00EA342D"/>
    <w:rsid w:val="00EA3825"/>
    <w:rsid w:val="00EA3A81"/>
    <w:rsid w:val="00EA3AEA"/>
    <w:rsid w:val="00EA3C2F"/>
    <w:rsid w:val="00EA4257"/>
    <w:rsid w:val="00EA43E2"/>
    <w:rsid w:val="00EA46DE"/>
    <w:rsid w:val="00EA47BA"/>
    <w:rsid w:val="00EA4C44"/>
    <w:rsid w:val="00EA4D3E"/>
    <w:rsid w:val="00EA4E47"/>
    <w:rsid w:val="00EA4ED8"/>
    <w:rsid w:val="00EA520D"/>
    <w:rsid w:val="00EA5225"/>
    <w:rsid w:val="00EA5397"/>
    <w:rsid w:val="00EA560D"/>
    <w:rsid w:val="00EA56C4"/>
    <w:rsid w:val="00EA5764"/>
    <w:rsid w:val="00EA593B"/>
    <w:rsid w:val="00EA5AD2"/>
    <w:rsid w:val="00EA5BF1"/>
    <w:rsid w:val="00EA5CC7"/>
    <w:rsid w:val="00EA5F28"/>
    <w:rsid w:val="00EA614E"/>
    <w:rsid w:val="00EA6789"/>
    <w:rsid w:val="00EA6B3A"/>
    <w:rsid w:val="00EA6D44"/>
    <w:rsid w:val="00EA711A"/>
    <w:rsid w:val="00EA74A0"/>
    <w:rsid w:val="00EA7646"/>
    <w:rsid w:val="00EA76DD"/>
    <w:rsid w:val="00EA780A"/>
    <w:rsid w:val="00EA7B6E"/>
    <w:rsid w:val="00EA7C44"/>
    <w:rsid w:val="00EB040E"/>
    <w:rsid w:val="00EB06F2"/>
    <w:rsid w:val="00EB06FE"/>
    <w:rsid w:val="00EB0F69"/>
    <w:rsid w:val="00EB0F9C"/>
    <w:rsid w:val="00EB136A"/>
    <w:rsid w:val="00EB1770"/>
    <w:rsid w:val="00EB1A75"/>
    <w:rsid w:val="00EB1D66"/>
    <w:rsid w:val="00EB22C5"/>
    <w:rsid w:val="00EB236A"/>
    <w:rsid w:val="00EB2397"/>
    <w:rsid w:val="00EB23EA"/>
    <w:rsid w:val="00EB2442"/>
    <w:rsid w:val="00EB244A"/>
    <w:rsid w:val="00EB27F7"/>
    <w:rsid w:val="00EB2CA9"/>
    <w:rsid w:val="00EB2D0B"/>
    <w:rsid w:val="00EB2D3D"/>
    <w:rsid w:val="00EB2F06"/>
    <w:rsid w:val="00EB2F28"/>
    <w:rsid w:val="00EB308A"/>
    <w:rsid w:val="00EB30BA"/>
    <w:rsid w:val="00EB312F"/>
    <w:rsid w:val="00EB31E5"/>
    <w:rsid w:val="00EB3309"/>
    <w:rsid w:val="00EB3582"/>
    <w:rsid w:val="00EB3668"/>
    <w:rsid w:val="00EB3C2F"/>
    <w:rsid w:val="00EB4132"/>
    <w:rsid w:val="00EB43D3"/>
    <w:rsid w:val="00EB46CF"/>
    <w:rsid w:val="00EB4C05"/>
    <w:rsid w:val="00EB4CC0"/>
    <w:rsid w:val="00EB5042"/>
    <w:rsid w:val="00EB5168"/>
    <w:rsid w:val="00EB51DB"/>
    <w:rsid w:val="00EB5476"/>
    <w:rsid w:val="00EB5494"/>
    <w:rsid w:val="00EB5525"/>
    <w:rsid w:val="00EB5621"/>
    <w:rsid w:val="00EB563B"/>
    <w:rsid w:val="00EB5971"/>
    <w:rsid w:val="00EB600B"/>
    <w:rsid w:val="00EB6054"/>
    <w:rsid w:val="00EB6267"/>
    <w:rsid w:val="00EB62EC"/>
    <w:rsid w:val="00EB64AF"/>
    <w:rsid w:val="00EB693F"/>
    <w:rsid w:val="00EB6950"/>
    <w:rsid w:val="00EB6CC5"/>
    <w:rsid w:val="00EB6D85"/>
    <w:rsid w:val="00EB6FED"/>
    <w:rsid w:val="00EB7018"/>
    <w:rsid w:val="00EB7062"/>
    <w:rsid w:val="00EB72E5"/>
    <w:rsid w:val="00EB7488"/>
    <w:rsid w:val="00EB7489"/>
    <w:rsid w:val="00EB7C0B"/>
    <w:rsid w:val="00EB7F95"/>
    <w:rsid w:val="00EC0016"/>
    <w:rsid w:val="00EC009D"/>
    <w:rsid w:val="00EC04A5"/>
    <w:rsid w:val="00EC050E"/>
    <w:rsid w:val="00EC072E"/>
    <w:rsid w:val="00EC087E"/>
    <w:rsid w:val="00EC0D89"/>
    <w:rsid w:val="00EC102A"/>
    <w:rsid w:val="00EC11FB"/>
    <w:rsid w:val="00EC12FB"/>
    <w:rsid w:val="00EC14FD"/>
    <w:rsid w:val="00EC169D"/>
    <w:rsid w:val="00EC181B"/>
    <w:rsid w:val="00EC1976"/>
    <w:rsid w:val="00EC1A24"/>
    <w:rsid w:val="00EC1AE3"/>
    <w:rsid w:val="00EC1B24"/>
    <w:rsid w:val="00EC1EE3"/>
    <w:rsid w:val="00EC1F6F"/>
    <w:rsid w:val="00EC1FFC"/>
    <w:rsid w:val="00EC2058"/>
    <w:rsid w:val="00EC20BC"/>
    <w:rsid w:val="00EC2246"/>
    <w:rsid w:val="00EC26DF"/>
    <w:rsid w:val="00EC2C84"/>
    <w:rsid w:val="00EC2DE1"/>
    <w:rsid w:val="00EC3279"/>
    <w:rsid w:val="00EC3380"/>
    <w:rsid w:val="00EC354F"/>
    <w:rsid w:val="00EC359F"/>
    <w:rsid w:val="00EC37E3"/>
    <w:rsid w:val="00EC39BE"/>
    <w:rsid w:val="00EC3BF7"/>
    <w:rsid w:val="00EC3CB5"/>
    <w:rsid w:val="00EC3E53"/>
    <w:rsid w:val="00EC43AB"/>
    <w:rsid w:val="00EC4486"/>
    <w:rsid w:val="00EC4741"/>
    <w:rsid w:val="00EC475F"/>
    <w:rsid w:val="00EC4973"/>
    <w:rsid w:val="00EC4B03"/>
    <w:rsid w:val="00EC4B37"/>
    <w:rsid w:val="00EC4C56"/>
    <w:rsid w:val="00EC4C60"/>
    <w:rsid w:val="00EC5267"/>
    <w:rsid w:val="00EC553F"/>
    <w:rsid w:val="00EC568D"/>
    <w:rsid w:val="00EC58A4"/>
    <w:rsid w:val="00EC5930"/>
    <w:rsid w:val="00EC593D"/>
    <w:rsid w:val="00EC5A8F"/>
    <w:rsid w:val="00EC5B97"/>
    <w:rsid w:val="00EC6218"/>
    <w:rsid w:val="00EC642F"/>
    <w:rsid w:val="00EC6457"/>
    <w:rsid w:val="00EC6570"/>
    <w:rsid w:val="00EC6620"/>
    <w:rsid w:val="00EC669A"/>
    <w:rsid w:val="00EC68CB"/>
    <w:rsid w:val="00EC6D50"/>
    <w:rsid w:val="00EC6DA2"/>
    <w:rsid w:val="00EC6F6D"/>
    <w:rsid w:val="00EC6FAF"/>
    <w:rsid w:val="00EC708D"/>
    <w:rsid w:val="00EC7248"/>
    <w:rsid w:val="00EC7517"/>
    <w:rsid w:val="00EC78EF"/>
    <w:rsid w:val="00EC7941"/>
    <w:rsid w:val="00EC7BCA"/>
    <w:rsid w:val="00EC7C5B"/>
    <w:rsid w:val="00ED0122"/>
    <w:rsid w:val="00ED04A8"/>
    <w:rsid w:val="00ED0665"/>
    <w:rsid w:val="00ED06E1"/>
    <w:rsid w:val="00ED0B8B"/>
    <w:rsid w:val="00ED0B8D"/>
    <w:rsid w:val="00ED1209"/>
    <w:rsid w:val="00ED1687"/>
    <w:rsid w:val="00ED1AF4"/>
    <w:rsid w:val="00ED1B75"/>
    <w:rsid w:val="00ED1D76"/>
    <w:rsid w:val="00ED1E0F"/>
    <w:rsid w:val="00ED1E2D"/>
    <w:rsid w:val="00ED1FA6"/>
    <w:rsid w:val="00ED2125"/>
    <w:rsid w:val="00ED23C1"/>
    <w:rsid w:val="00ED245B"/>
    <w:rsid w:val="00ED2583"/>
    <w:rsid w:val="00ED2AFE"/>
    <w:rsid w:val="00ED2BC3"/>
    <w:rsid w:val="00ED2C0F"/>
    <w:rsid w:val="00ED329E"/>
    <w:rsid w:val="00ED340D"/>
    <w:rsid w:val="00ED35B8"/>
    <w:rsid w:val="00ED36E1"/>
    <w:rsid w:val="00ED3AB8"/>
    <w:rsid w:val="00ED4293"/>
    <w:rsid w:val="00ED45B6"/>
    <w:rsid w:val="00ED4627"/>
    <w:rsid w:val="00ED49B2"/>
    <w:rsid w:val="00ED4B22"/>
    <w:rsid w:val="00ED4BD7"/>
    <w:rsid w:val="00ED4EF4"/>
    <w:rsid w:val="00ED501F"/>
    <w:rsid w:val="00ED51D2"/>
    <w:rsid w:val="00ED533C"/>
    <w:rsid w:val="00ED5EF8"/>
    <w:rsid w:val="00ED5F82"/>
    <w:rsid w:val="00ED6C1A"/>
    <w:rsid w:val="00ED703F"/>
    <w:rsid w:val="00ED708C"/>
    <w:rsid w:val="00ED7125"/>
    <w:rsid w:val="00ED7193"/>
    <w:rsid w:val="00ED75D6"/>
    <w:rsid w:val="00ED76C5"/>
    <w:rsid w:val="00ED784C"/>
    <w:rsid w:val="00ED7AD0"/>
    <w:rsid w:val="00ED7BAF"/>
    <w:rsid w:val="00ED7DA8"/>
    <w:rsid w:val="00ED7DFA"/>
    <w:rsid w:val="00ED7F61"/>
    <w:rsid w:val="00ED7FD1"/>
    <w:rsid w:val="00EE0231"/>
    <w:rsid w:val="00EE0292"/>
    <w:rsid w:val="00EE08BB"/>
    <w:rsid w:val="00EE0C3D"/>
    <w:rsid w:val="00EE0F11"/>
    <w:rsid w:val="00EE141E"/>
    <w:rsid w:val="00EE1712"/>
    <w:rsid w:val="00EE1F5D"/>
    <w:rsid w:val="00EE1F88"/>
    <w:rsid w:val="00EE21D7"/>
    <w:rsid w:val="00EE21F6"/>
    <w:rsid w:val="00EE22F7"/>
    <w:rsid w:val="00EE2A30"/>
    <w:rsid w:val="00EE3528"/>
    <w:rsid w:val="00EE368E"/>
    <w:rsid w:val="00EE36DE"/>
    <w:rsid w:val="00EE376D"/>
    <w:rsid w:val="00EE3BC0"/>
    <w:rsid w:val="00EE3BC4"/>
    <w:rsid w:val="00EE3C1A"/>
    <w:rsid w:val="00EE3C5D"/>
    <w:rsid w:val="00EE3CAD"/>
    <w:rsid w:val="00EE3D1F"/>
    <w:rsid w:val="00EE4247"/>
    <w:rsid w:val="00EE4A92"/>
    <w:rsid w:val="00EE4ABD"/>
    <w:rsid w:val="00EE4F23"/>
    <w:rsid w:val="00EE5052"/>
    <w:rsid w:val="00EE553F"/>
    <w:rsid w:val="00EE5AD7"/>
    <w:rsid w:val="00EE5AE5"/>
    <w:rsid w:val="00EE5D62"/>
    <w:rsid w:val="00EE5EF3"/>
    <w:rsid w:val="00EE5F92"/>
    <w:rsid w:val="00EE609F"/>
    <w:rsid w:val="00EE6B71"/>
    <w:rsid w:val="00EE6D31"/>
    <w:rsid w:val="00EE75EC"/>
    <w:rsid w:val="00EE7704"/>
    <w:rsid w:val="00EF01BB"/>
    <w:rsid w:val="00EF02D8"/>
    <w:rsid w:val="00EF0368"/>
    <w:rsid w:val="00EF03DD"/>
    <w:rsid w:val="00EF1001"/>
    <w:rsid w:val="00EF11B6"/>
    <w:rsid w:val="00EF18A7"/>
    <w:rsid w:val="00EF1AA0"/>
    <w:rsid w:val="00EF1C22"/>
    <w:rsid w:val="00EF1DF5"/>
    <w:rsid w:val="00EF2058"/>
    <w:rsid w:val="00EF20BF"/>
    <w:rsid w:val="00EF20DB"/>
    <w:rsid w:val="00EF21DD"/>
    <w:rsid w:val="00EF227B"/>
    <w:rsid w:val="00EF25DD"/>
    <w:rsid w:val="00EF2697"/>
    <w:rsid w:val="00EF27C4"/>
    <w:rsid w:val="00EF28CF"/>
    <w:rsid w:val="00EF2DE6"/>
    <w:rsid w:val="00EF3556"/>
    <w:rsid w:val="00EF36E1"/>
    <w:rsid w:val="00EF3CE4"/>
    <w:rsid w:val="00EF3F3B"/>
    <w:rsid w:val="00EF3F3F"/>
    <w:rsid w:val="00EF431A"/>
    <w:rsid w:val="00EF4333"/>
    <w:rsid w:val="00EF43A5"/>
    <w:rsid w:val="00EF460C"/>
    <w:rsid w:val="00EF4ABB"/>
    <w:rsid w:val="00EF4F3E"/>
    <w:rsid w:val="00EF5929"/>
    <w:rsid w:val="00EF5B3B"/>
    <w:rsid w:val="00EF5CC3"/>
    <w:rsid w:val="00EF5F6E"/>
    <w:rsid w:val="00EF5FAF"/>
    <w:rsid w:val="00EF622F"/>
    <w:rsid w:val="00EF666F"/>
    <w:rsid w:val="00EF69D5"/>
    <w:rsid w:val="00EF6DDE"/>
    <w:rsid w:val="00EF719F"/>
    <w:rsid w:val="00EF71C9"/>
    <w:rsid w:val="00EF73FF"/>
    <w:rsid w:val="00EF7735"/>
    <w:rsid w:val="00EF7A34"/>
    <w:rsid w:val="00EF7DC9"/>
    <w:rsid w:val="00EF7E17"/>
    <w:rsid w:val="00F0019F"/>
    <w:rsid w:val="00F004AD"/>
    <w:rsid w:val="00F008D2"/>
    <w:rsid w:val="00F00909"/>
    <w:rsid w:val="00F00A13"/>
    <w:rsid w:val="00F00B0F"/>
    <w:rsid w:val="00F00D86"/>
    <w:rsid w:val="00F00E75"/>
    <w:rsid w:val="00F01182"/>
    <w:rsid w:val="00F01204"/>
    <w:rsid w:val="00F0139B"/>
    <w:rsid w:val="00F0161F"/>
    <w:rsid w:val="00F0163A"/>
    <w:rsid w:val="00F01A00"/>
    <w:rsid w:val="00F01B4A"/>
    <w:rsid w:val="00F01E92"/>
    <w:rsid w:val="00F020B4"/>
    <w:rsid w:val="00F020C5"/>
    <w:rsid w:val="00F02C6D"/>
    <w:rsid w:val="00F02F8E"/>
    <w:rsid w:val="00F036D4"/>
    <w:rsid w:val="00F03714"/>
    <w:rsid w:val="00F03DE8"/>
    <w:rsid w:val="00F040D0"/>
    <w:rsid w:val="00F0412C"/>
    <w:rsid w:val="00F045BB"/>
    <w:rsid w:val="00F04684"/>
    <w:rsid w:val="00F048A6"/>
    <w:rsid w:val="00F049CC"/>
    <w:rsid w:val="00F04AC2"/>
    <w:rsid w:val="00F04C3D"/>
    <w:rsid w:val="00F04E33"/>
    <w:rsid w:val="00F04EE2"/>
    <w:rsid w:val="00F04F5B"/>
    <w:rsid w:val="00F04FF6"/>
    <w:rsid w:val="00F05138"/>
    <w:rsid w:val="00F05161"/>
    <w:rsid w:val="00F0525D"/>
    <w:rsid w:val="00F056DD"/>
    <w:rsid w:val="00F059C3"/>
    <w:rsid w:val="00F05A11"/>
    <w:rsid w:val="00F05C8B"/>
    <w:rsid w:val="00F0604C"/>
    <w:rsid w:val="00F06391"/>
    <w:rsid w:val="00F06B98"/>
    <w:rsid w:val="00F06D37"/>
    <w:rsid w:val="00F06DC3"/>
    <w:rsid w:val="00F06E93"/>
    <w:rsid w:val="00F0708E"/>
    <w:rsid w:val="00F072FD"/>
    <w:rsid w:val="00F073B5"/>
    <w:rsid w:val="00F07AF1"/>
    <w:rsid w:val="00F07B90"/>
    <w:rsid w:val="00F10036"/>
    <w:rsid w:val="00F10264"/>
    <w:rsid w:val="00F109CE"/>
    <w:rsid w:val="00F10B60"/>
    <w:rsid w:val="00F10D08"/>
    <w:rsid w:val="00F10E61"/>
    <w:rsid w:val="00F11126"/>
    <w:rsid w:val="00F11511"/>
    <w:rsid w:val="00F11512"/>
    <w:rsid w:val="00F1184D"/>
    <w:rsid w:val="00F11992"/>
    <w:rsid w:val="00F12C45"/>
    <w:rsid w:val="00F12D5F"/>
    <w:rsid w:val="00F12F49"/>
    <w:rsid w:val="00F13935"/>
    <w:rsid w:val="00F13BBE"/>
    <w:rsid w:val="00F13D36"/>
    <w:rsid w:val="00F13DBC"/>
    <w:rsid w:val="00F13E1A"/>
    <w:rsid w:val="00F13F4C"/>
    <w:rsid w:val="00F140C7"/>
    <w:rsid w:val="00F14249"/>
    <w:rsid w:val="00F14D5D"/>
    <w:rsid w:val="00F150AB"/>
    <w:rsid w:val="00F152CD"/>
    <w:rsid w:val="00F15883"/>
    <w:rsid w:val="00F15DC2"/>
    <w:rsid w:val="00F15F18"/>
    <w:rsid w:val="00F16057"/>
    <w:rsid w:val="00F160FB"/>
    <w:rsid w:val="00F16965"/>
    <w:rsid w:val="00F16BDB"/>
    <w:rsid w:val="00F16E03"/>
    <w:rsid w:val="00F17655"/>
    <w:rsid w:val="00F17871"/>
    <w:rsid w:val="00F17B09"/>
    <w:rsid w:val="00F17B0E"/>
    <w:rsid w:val="00F17FCF"/>
    <w:rsid w:val="00F202B0"/>
    <w:rsid w:val="00F20593"/>
    <w:rsid w:val="00F20902"/>
    <w:rsid w:val="00F20CBA"/>
    <w:rsid w:val="00F20D3D"/>
    <w:rsid w:val="00F21758"/>
    <w:rsid w:val="00F217F2"/>
    <w:rsid w:val="00F21A65"/>
    <w:rsid w:val="00F21ABC"/>
    <w:rsid w:val="00F21B90"/>
    <w:rsid w:val="00F21E6F"/>
    <w:rsid w:val="00F221E4"/>
    <w:rsid w:val="00F22606"/>
    <w:rsid w:val="00F2261D"/>
    <w:rsid w:val="00F22B6C"/>
    <w:rsid w:val="00F23116"/>
    <w:rsid w:val="00F233A1"/>
    <w:rsid w:val="00F23744"/>
    <w:rsid w:val="00F23754"/>
    <w:rsid w:val="00F237AB"/>
    <w:rsid w:val="00F23DF4"/>
    <w:rsid w:val="00F23E14"/>
    <w:rsid w:val="00F23F15"/>
    <w:rsid w:val="00F241DB"/>
    <w:rsid w:val="00F242E7"/>
    <w:rsid w:val="00F243C0"/>
    <w:rsid w:val="00F243D4"/>
    <w:rsid w:val="00F24536"/>
    <w:rsid w:val="00F2456C"/>
    <w:rsid w:val="00F24847"/>
    <w:rsid w:val="00F2496A"/>
    <w:rsid w:val="00F24A03"/>
    <w:rsid w:val="00F24A7F"/>
    <w:rsid w:val="00F24C3C"/>
    <w:rsid w:val="00F24E27"/>
    <w:rsid w:val="00F24E71"/>
    <w:rsid w:val="00F25170"/>
    <w:rsid w:val="00F253AB"/>
    <w:rsid w:val="00F25A28"/>
    <w:rsid w:val="00F25CC6"/>
    <w:rsid w:val="00F25E08"/>
    <w:rsid w:val="00F25E32"/>
    <w:rsid w:val="00F25EFB"/>
    <w:rsid w:val="00F265FE"/>
    <w:rsid w:val="00F266BF"/>
    <w:rsid w:val="00F26BF9"/>
    <w:rsid w:val="00F2749E"/>
    <w:rsid w:val="00F27779"/>
    <w:rsid w:val="00F27912"/>
    <w:rsid w:val="00F27CE3"/>
    <w:rsid w:val="00F27FDE"/>
    <w:rsid w:val="00F305F2"/>
    <w:rsid w:val="00F30DB0"/>
    <w:rsid w:val="00F311D1"/>
    <w:rsid w:val="00F31B95"/>
    <w:rsid w:val="00F31EE1"/>
    <w:rsid w:val="00F32363"/>
    <w:rsid w:val="00F32621"/>
    <w:rsid w:val="00F327C9"/>
    <w:rsid w:val="00F32857"/>
    <w:rsid w:val="00F328A1"/>
    <w:rsid w:val="00F328CF"/>
    <w:rsid w:val="00F32965"/>
    <w:rsid w:val="00F32B0E"/>
    <w:rsid w:val="00F32C0E"/>
    <w:rsid w:val="00F32C7B"/>
    <w:rsid w:val="00F32E27"/>
    <w:rsid w:val="00F3315A"/>
    <w:rsid w:val="00F33F4B"/>
    <w:rsid w:val="00F340DD"/>
    <w:rsid w:val="00F34362"/>
    <w:rsid w:val="00F347F6"/>
    <w:rsid w:val="00F34A81"/>
    <w:rsid w:val="00F34D1C"/>
    <w:rsid w:val="00F34F03"/>
    <w:rsid w:val="00F35188"/>
    <w:rsid w:val="00F352AF"/>
    <w:rsid w:val="00F352CA"/>
    <w:rsid w:val="00F3535E"/>
    <w:rsid w:val="00F353C1"/>
    <w:rsid w:val="00F353E9"/>
    <w:rsid w:val="00F35695"/>
    <w:rsid w:val="00F35697"/>
    <w:rsid w:val="00F357FC"/>
    <w:rsid w:val="00F358B9"/>
    <w:rsid w:val="00F35ADB"/>
    <w:rsid w:val="00F35CCF"/>
    <w:rsid w:val="00F35CDA"/>
    <w:rsid w:val="00F35D8D"/>
    <w:rsid w:val="00F360C5"/>
    <w:rsid w:val="00F365CD"/>
    <w:rsid w:val="00F36A17"/>
    <w:rsid w:val="00F36A6C"/>
    <w:rsid w:val="00F36F52"/>
    <w:rsid w:val="00F36F95"/>
    <w:rsid w:val="00F37138"/>
    <w:rsid w:val="00F371FB"/>
    <w:rsid w:val="00F37477"/>
    <w:rsid w:val="00F374BB"/>
    <w:rsid w:val="00F377C1"/>
    <w:rsid w:val="00F37E08"/>
    <w:rsid w:val="00F37E53"/>
    <w:rsid w:val="00F37E79"/>
    <w:rsid w:val="00F40360"/>
    <w:rsid w:val="00F4036C"/>
    <w:rsid w:val="00F40378"/>
    <w:rsid w:val="00F403A8"/>
    <w:rsid w:val="00F404C6"/>
    <w:rsid w:val="00F40700"/>
    <w:rsid w:val="00F40B7A"/>
    <w:rsid w:val="00F40BB2"/>
    <w:rsid w:val="00F4155B"/>
    <w:rsid w:val="00F418AC"/>
    <w:rsid w:val="00F419E4"/>
    <w:rsid w:val="00F41C05"/>
    <w:rsid w:val="00F41FD7"/>
    <w:rsid w:val="00F42177"/>
    <w:rsid w:val="00F424A2"/>
    <w:rsid w:val="00F4294A"/>
    <w:rsid w:val="00F42A42"/>
    <w:rsid w:val="00F42ABA"/>
    <w:rsid w:val="00F42C4C"/>
    <w:rsid w:val="00F42F99"/>
    <w:rsid w:val="00F43560"/>
    <w:rsid w:val="00F43D1D"/>
    <w:rsid w:val="00F43D96"/>
    <w:rsid w:val="00F43F36"/>
    <w:rsid w:val="00F43F9B"/>
    <w:rsid w:val="00F44FB6"/>
    <w:rsid w:val="00F44FC3"/>
    <w:rsid w:val="00F45045"/>
    <w:rsid w:val="00F451CF"/>
    <w:rsid w:val="00F45281"/>
    <w:rsid w:val="00F45444"/>
    <w:rsid w:val="00F454F0"/>
    <w:rsid w:val="00F45A45"/>
    <w:rsid w:val="00F45B05"/>
    <w:rsid w:val="00F461C6"/>
    <w:rsid w:val="00F4627F"/>
    <w:rsid w:val="00F465D2"/>
    <w:rsid w:val="00F46631"/>
    <w:rsid w:val="00F4683F"/>
    <w:rsid w:val="00F46A01"/>
    <w:rsid w:val="00F46BEF"/>
    <w:rsid w:val="00F46DE0"/>
    <w:rsid w:val="00F46F11"/>
    <w:rsid w:val="00F46F1D"/>
    <w:rsid w:val="00F46F51"/>
    <w:rsid w:val="00F470A4"/>
    <w:rsid w:val="00F476A3"/>
    <w:rsid w:val="00F477D2"/>
    <w:rsid w:val="00F47A81"/>
    <w:rsid w:val="00F47B0B"/>
    <w:rsid w:val="00F47E0D"/>
    <w:rsid w:val="00F50529"/>
    <w:rsid w:val="00F509E4"/>
    <w:rsid w:val="00F50F17"/>
    <w:rsid w:val="00F50FAC"/>
    <w:rsid w:val="00F50FB3"/>
    <w:rsid w:val="00F5120E"/>
    <w:rsid w:val="00F5178A"/>
    <w:rsid w:val="00F518B5"/>
    <w:rsid w:val="00F51A75"/>
    <w:rsid w:val="00F51AA0"/>
    <w:rsid w:val="00F51B6A"/>
    <w:rsid w:val="00F51D0E"/>
    <w:rsid w:val="00F51E87"/>
    <w:rsid w:val="00F51EC4"/>
    <w:rsid w:val="00F51EEC"/>
    <w:rsid w:val="00F51F01"/>
    <w:rsid w:val="00F52046"/>
    <w:rsid w:val="00F527DA"/>
    <w:rsid w:val="00F52910"/>
    <w:rsid w:val="00F530DA"/>
    <w:rsid w:val="00F536EE"/>
    <w:rsid w:val="00F53D37"/>
    <w:rsid w:val="00F53E47"/>
    <w:rsid w:val="00F54519"/>
    <w:rsid w:val="00F55506"/>
    <w:rsid w:val="00F5551D"/>
    <w:rsid w:val="00F555F1"/>
    <w:rsid w:val="00F55725"/>
    <w:rsid w:val="00F55B31"/>
    <w:rsid w:val="00F55C05"/>
    <w:rsid w:val="00F55CC5"/>
    <w:rsid w:val="00F55FEA"/>
    <w:rsid w:val="00F56225"/>
    <w:rsid w:val="00F56609"/>
    <w:rsid w:val="00F566D5"/>
    <w:rsid w:val="00F566FE"/>
    <w:rsid w:val="00F56736"/>
    <w:rsid w:val="00F568C2"/>
    <w:rsid w:val="00F569E9"/>
    <w:rsid w:val="00F56AB9"/>
    <w:rsid w:val="00F56F08"/>
    <w:rsid w:val="00F57880"/>
    <w:rsid w:val="00F57FB2"/>
    <w:rsid w:val="00F60232"/>
    <w:rsid w:val="00F6031A"/>
    <w:rsid w:val="00F603CB"/>
    <w:rsid w:val="00F605F3"/>
    <w:rsid w:val="00F60BC7"/>
    <w:rsid w:val="00F6101F"/>
    <w:rsid w:val="00F618DD"/>
    <w:rsid w:val="00F619D5"/>
    <w:rsid w:val="00F61F48"/>
    <w:rsid w:val="00F61F87"/>
    <w:rsid w:val="00F62103"/>
    <w:rsid w:val="00F6271A"/>
    <w:rsid w:val="00F62F9C"/>
    <w:rsid w:val="00F630F2"/>
    <w:rsid w:val="00F6328E"/>
    <w:rsid w:val="00F639CD"/>
    <w:rsid w:val="00F63E17"/>
    <w:rsid w:val="00F63F56"/>
    <w:rsid w:val="00F63F9F"/>
    <w:rsid w:val="00F64395"/>
    <w:rsid w:val="00F64474"/>
    <w:rsid w:val="00F648B8"/>
    <w:rsid w:val="00F64AD5"/>
    <w:rsid w:val="00F64C5C"/>
    <w:rsid w:val="00F64CAE"/>
    <w:rsid w:val="00F64CE5"/>
    <w:rsid w:val="00F65245"/>
    <w:rsid w:val="00F6543F"/>
    <w:rsid w:val="00F654B4"/>
    <w:rsid w:val="00F65AE6"/>
    <w:rsid w:val="00F66061"/>
    <w:rsid w:val="00F662A2"/>
    <w:rsid w:val="00F6632A"/>
    <w:rsid w:val="00F6634B"/>
    <w:rsid w:val="00F663D3"/>
    <w:rsid w:val="00F66994"/>
    <w:rsid w:val="00F669DF"/>
    <w:rsid w:val="00F66AAD"/>
    <w:rsid w:val="00F66B3C"/>
    <w:rsid w:val="00F66D8B"/>
    <w:rsid w:val="00F66FA9"/>
    <w:rsid w:val="00F66FE6"/>
    <w:rsid w:val="00F67036"/>
    <w:rsid w:val="00F67129"/>
    <w:rsid w:val="00F673FD"/>
    <w:rsid w:val="00F6743B"/>
    <w:rsid w:val="00F674AB"/>
    <w:rsid w:val="00F67AA2"/>
    <w:rsid w:val="00F67C41"/>
    <w:rsid w:val="00F67D69"/>
    <w:rsid w:val="00F67DCD"/>
    <w:rsid w:val="00F703B7"/>
    <w:rsid w:val="00F704F6"/>
    <w:rsid w:val="00F70943"/>
    <w:rsid w:val="00F70CFE"/>
    <w:rsid w:val="00F70E6B"/>
    <w:rsid w:val="00F70FBA"/>
    <w:rsid w:val="00F71AED"/>
    <w:rsid w:val="00F71BBB"/>
    <w:rsid w:val="00F71C2D"/>
    <w:rsid w:val="00F71C93"/>
    <w:rsid w:val="00F71DB3"/>
    <w:rsid w:val="00F71E08"/>
    <w:rsid w:val="00F71F17"/>
    <w:rsid w:val="00F7207B"/>
    <w:rsid w:val="00F724DD"/>
    <w:rsid w:val="00F72968"/>
    <w:rsid w:val="00F72C04"/>
    <w:rsid w:val="00F7320A"/>
    <w:rsid w:val="00F7323D"/>
    <w:rsid w:val="00F7327B"/>
    <w:rsid w:val="00F73289"/>
    <w:rsid w:val="00F7346D"/>
    <w:rsid w:val="00F734DC"/>
    <w:rsid w:val="00F73654"/>
    <w:rsid w:val="00F73705"/>
    <w:rsid w:val="00F73869"/>
    <w:rsid w:val="00F738CD"/>
    <w:rsid w:val="00F7398F"/>
    <w:rsid w:val="00F73C0A"/>
    <w:rsid w:val="00F73C78"/>
    <w:rsid w:val="00F73D54"/>
    <w:rsid w:val="00F74122"/>
    <w:rsid w:val="00F74763"/>
    <w:rsid w:val="00F747EF"/>
    <w:rsid w:val="00F74B6C"/>
    <w:rsid w:val="00F74D3D"/>
    <w:rsid w:val="00F74D76"/>
    <w:rsid w:val="00F751B6"/>
    <w:rsid w:val="00F752EC"/>
    <w:rsid w:val="00F7561E"/>
    <w:rsid w:val="00F75DB1"/>
    <w:rsid w:val="00F75E0A"/>
    <w:rsid w:val="00F75F6F"/>
    <w:rsid w:val="00F76364"/>
    <w:rsid w:val="00F76366"/>
    <w:rsid w:val="00F76436"/>
    <w:rsid w:val="00F76493"/>
    <w:rsid w:val="00F7656F"/>
    <w:rsid w:val="00F766A9"/>
    <w:rsid w:val="00F766D1"/>
    <w:rsid w:val="00F766EF"/>
    <w:rsid w:val="00F767EB"/>
    <w:rsid w:val="00F7691A"/>
    <w:rsid w:val="00F76B0E"/>
    <w:rsid w:val="00F77164"/>
    <w:rsid w:val="00F77652"/>
    <w:rsid w:val="00F77BBA"/>
    <w:rsid w:val="00F77D70"/>
    <w:rsid w:val="00F77EF4"/>
    <w:rsid w:val="00F8009F"/>
    <w:rsid w:val="00F800C5"/>
    <w:rsid w:val="00F80112"/>
    <w:rsid w:val="00F80695"/>
    <w:rsid w:val="00F812F1"/>
    <w:rsid w:val="00F8152A"/>
    <w:rsid w:val="00F817D9"/>
    <w:rsid w:val="00F8182E"/>
    <w:rsid w:val="00F819B6"/>
    <w:rsid w:val="00F81F16"/>
    <w:rsid w:val="00F82366"/>
    <w:rsid w:val="00F82413"/>
    <w:rsid w:val="00F8244D"/>
    <w:rsid w:val="00F82698"/>
    <w:rsid w:val="00F827E0"/>
    <w:rsid w:val="00F828A9"/>
    <w:rsid w:val="00F83131"/>
    <w:rsid w:val="00F8328A"/>
    <w:rsid w:val="00F832BD"/>
    <w:rsid w:val="00F83302"/>
    <w:rsid w:val="00F833C5"/>
    <w:rsid w:val="00F8347B"/>
    <w:rsid w:val="00F834F5"/>
    <w:rsid w:val="00F835F0"/>
    <w:rsid w:val="00F83819"/>
    <w:rsid w:val="00F83A77"/>
    <w:rsid w:val="00F83E98"/>
    <w:rsid w:val="00F8452F"/>
    <w:rsid w:val="00F84ADE"/>
    <w:rsid w:val="00F84B9D"/>
    <w:rsid w:val="00F84E8D"/>
    <w:rsid w:val="00F85184"/>
    <w:rsid w:val="00F853E2"/>
    <w:rsid w:val="00F8544B"/>
    <w:rsid w:val="00F854FA"/>
    <w:rsid w:val="00F85BE3"/>
    <w:rsid w:val="00F85C84"/>
    <w:rsid w:val="00F85D16"/>
    <w:rsid w:val="00F85D67"/>
    <w:rsid w:val="00F85E7E"/>
    <w:rsid w:val="00F861C7"/>
    <w:rsid w:val="00F8655A"/>
    <w:rsid w:val="00F866CA"/>
    <w:rsid w:val="00F868C9"/>
    <w:rsid w:val="00F86912"/>
    <w:rsid w:val="00F86AF5"/>
    <w:rsid w:val="00F86C51"/>
    <w:rsid w:val="00F86D35"/>
    <w:rsid w:val="00F86FB6"/>
    <w:rsid w:val="00F8705A"/>
    <w:rsid w:val="00F87214"/>
    <w:rsid w:val="00F87435"/>
    <w:rsid w:val="00F874D1"/>
    <w:rsid w:val="00F87A39"/>
    <w:rsid w:val="00F900F8"/>
    <w:rsid w:val="00F90352"/>
    <w:rsid w:val="00F90512"/>
    <w:rsid w:val="00F90596"/>
    <w:rsid w:val="00F906AD"/>
    <w:rsid w:val="00F90A19"/>
    <w:rsid w:val="00F90B6B"/>
    <w:rsid w:val="00F90FFD"/>
    <w:rsid w:val="00F911B7"/>
    <w:rsid w:val="00F9123C"/>
    <w:rsid w:val="00F9141A"/>
    <w:rsid w:val="00F915C9"/>
    <w:rsid w:val="00F91B47"/>
    <w:rsid w:val="00F91C8E"/>
    <w:rsid w:val="00F91E10"/>
    <w:rsid w:val="00F9231E"/>
    <w:rsid w:val="00F925BC"/>
    <w:rsid w:val="00F9267C"/>
    <w:rsid w:val="00F92A5E"/>
    <w:rsid w:val="00F92B39"/>
    <w:rsid w:val="00F930D6"/>
    <w:rsid w:val="00F931F3"/>
    <w:rsid w:val="00F93273"/>
    <w:rsid w:val="00F934B3"/>
    <w:rsid w:val="00F93B93"/>
    <w:rsid w:val="00F93DED"/>
    <w:rsid w:val="00F93E94"/>
    <w:rsid w:val="00F93ED1"/>
    <w:rsid w:val="00F941BC"/>
    <w:rsid w:val="00F941EB"/>
    <w:rsid w:val="00F94748"/>
    <w:rsid w:val="00F94995"/>
    <w:rsid w:val="00F94C68"/>
    <w:rsid w:val="00F951AF"/>
    <w:rsid w:val="00F95293"/>
    <w:rsid w:val="00F95460"/>
    <w:rsid w:val="00F954D0"/>
    <w:rsid w:val="00F95629"/>
    <w:rsid w:val="00F956B5"/>
    <w:rsid w:val="00F95742"/>
    <w:rsid w:val="00F95C09"/>
    <w:rsid w:val="00F96008"/>
    <w:rsid w:val="00F961CC"/>
    <w:rsid w:val="00F963E0"/>
    <w:rsid w:val="00F96AFB"/>
    <w:rsid w:val="00F96C84"/>
    <w:rsid w:val="00F96E93"/>
    <w:rsid w:val="00F972FA"/>
    <w:rsid w:val="00F97634"/>
    <w:rsid w:val="00F976BE"/>
    <w:rsid w:val="00F97940"/>
    <w:rsid w:val="00F97D07"/>
    <w:rsid w:val="00F97E26"/>
    <w:rsid w:val="00FA08D5"/>
    <w:rsid w:val="00FA09FC"/>
    <w:rsid w:val="00FA0A36"/>
    <w:rsid w:val="00FA0AB0"/>
    <w:rsid w:val="00FA0C82"/>
    <w:rsid w:val="00FA0F48"/>
    <w:rsid w:val="00FA10B1"/>
    <w:rsid w:val="00FA1224"/>
    <w:rsid w:val="00FA1530"/>
    <w:rsid w:val="00FA1540"/>
    <w:rsid w:val="00FA187F"/>
    <w:rsid w:val="00FA1DF5"/>
    <w:rsid w:val="00FA1E37"/>
    <w:rsid w:val="00FA220A"/>
    <w:rsid w:val="00FA2612"/>
    <w:rsid w:val="00FA26E5"/>
    <w:rsid w:val="00FA27CC"/>
    <w:rsid w:val="00FA29C8"/>
    <w:rsid w:val="00FA2C1F"/>
    <w:rsid w:val="00FA2E6E"/>
    <w:rsid w:val="00FA3435"/>
    <w:rsid w:val="00FA358C"/>
    <w:rsid w:val="00FA3C83"/>
    <w:rsid w:val="00FA3CA6"/>
    <w:rsid w:val="00FA415D"/>
    <w:rsid w:val="00FA42AF"/>
    <w:rsid w:val="00FA44B2"/>
    <w:rsid w:val="00FA460C"/>
    <w:rsid w:val="00FA4A68"/>
    <w:rsid w:val="00FA590C"/>
    <w:rsid w:val="00FA5B8A"/>
    <w:rsid w:val="00FA5CDC"/>
    <w:rsid w:val="00FA6046"/>
    <w:rsid w:val="00FA62DD"/>
    <w:rsid w:val="00FA653F"/>
    <w:rsid w:val="00FA66AC"/>
    <w:rsid w:val="00FA69F6"/>
    <w:rsid w:val="00FA6A55"/>
    <w:rsid w:val="00FA6A8F"/>
    <w:rsid w:val="00FA6E92"/>
    <w:rsid w:val="00FA7273"/>
    <w:rsid w:val="00FA72A4"/>
    <w:rsid w:val="00FA7370"/>
    <w:rsid w:val="00FA73A5"/>
    <w:rsid w:val="00FA7465"/>
    <w:rsid w:val="00FA751A"/>
    <w:rsid w:val="00FA7B40"/>
    <w:rsid w:val="00FB0288"/>
    <w:rsid w:val="00FB02B1"/>
    <w:rsid w:val="00FB05EE"/>
    <w:rsid w:val="00FB0BBE"/>
    <w:rsid w:val="00FB0D41"/>
    <w:rsid w:val="00FB0D88"/>
    <w:rsid w:val="00FB13FB"/>
    <w:rsid w:val="00FB17B9"/>
    <w:rsid w:val="00FB185E"/>
    <w:rsid w:val="00FB19C2"/>
    <w:rsid w:val="00FB19FD"/>
    <w:rsid w:val="00FB1CB4"/>
    <w:rsid w:val="00FB22E4"/>
    <w:rsid w:val="00FB22E6"/>
    <w:rsid w:val="00FB24BB"/>
    <w:rsid w:val="00FB24FF"/>
    <w:rsid w:val="00FB2563"/>
    <w:rsid w:val="00FB2656"/>
    <w:rsid w:val="00FB281E"/>
    <w:rsid w:val="00FB322F"/>
    <w:rsid w:val="00FB34CF"/>
    <w:rsid w:val="00FB3622"/>
    <w:rsid w:val="00FB37A2"/>
    <w:rsid w:val="00FB382C"/>
    <w:rsid w:val="00FB3A38"/>
    <w:rsid w:val="00FB3A45"/>
    <w:rsid w:val="00FB3AE4"/>
    <w:rsid w:val="00FB3B26"/>
    <w:rsid w:val="00FB3BF3"/>
    <w:rsid w:val="00FB3C63"/>
    <w:rsid w:val="00FB419C"/>
    <w:rsid w:val="00FB4411"/>
    <w:rsid w:val="00FB4469"/>
    <w:rsid w:val="00FB459C"/>
    <w:rsid w:val="00FB48E4"/>
    <w:rsid w:val="00FB4BFD"/>
    <w:rsid w:val="00FB4F94"/>
    <w:rsid w:val="00FB510E"/>
    <w:rsid w:val="00FB54A1"/>
    <w:rsid w:val="00FB54FF"/>
    <w:rsid w:val="00FB553B"/>
    <w:rsid w:val="00FB55DD"/>
    <w:rsid w:val="00FB55F1"/>
    <w:rsid w:val="00FB580D"/>
    <w:rsid w:val="00FB58B6"/>
    <w:rsid w:val="00FB58B9"/>
    <w:rsid w:val="00FB5AE3"/>
    <w:rsid w:val="00FB5E21"/>
    <w:rsid w:val="00FB62D7"/>
    <w:rsid w:val="00FB640D"/>
    <w:rsid w:val="00FB6651"/>
    <w:rsid w:val="00FB6701"/>
    <w:rsid w:val="00FB6C7B"/>
    <w:rsid w:val="00FB6D87"/>
    <w:rsid w:val="00FB6F42"/>
    <w:rsid w:val="00FB7586"/>
    <w:rsid w:val="00FB7AB2"/>
    <w:rsid w:val="00FB7C76"/>
    <w:rsid w:val="00FB7CA8"/>
    <w:rsid w:val="00FB7DA3"/>
    <w:rsid w:val="00FB7DBC"/>
    <w:rsid w:val="00FC0276"/>
    <w:rsid w:val="00FC0888"/>
    <w:rsid w:val="00FC08B6"/>
    <w:rsid w:val="00FC0B52"/>
    <w:rsid w:val="00FC0DE0"/>
    <w:rsid w:val="00FC0E73"/>
    <w:rsid w:val="00FC1001"/>
    <w:rsid w:val="00FC12E1"/>
    <w:rsid w:val="00FC13C3"/>
    <w:rsid w:val="00FC1472"/>
    <w:rsid w:val="00FC177B"/>
    <w:rsid w:val="00FC193D"/>
    <w:rsid w:val="00FC1A03"/>
    <w:rsid w:val="00FC1BE1"/>
    <w:rsid w:val="00FC2EE4"/>
    <w:rsid w:val="00FC3674"/>
    <w:rsid w:val="00FC3919"/>
    <w:rsid w:val="00FC416A"/>
    <w:rsid w:val="00FC42E8"/>
    <w:rsid w:val="00FC4524"/>
    <w:rsid w:val="00FC45EA"/>
    <w:rsid w:val="00FC4695"/>
    <w:rsid w:val="00FC496B"/>
    <w:rsid w:val="00FC49B8"/>
    <w:rsid w:val="00FC4CC2"/>
    <w:rsid w:val="00FC4FC4"/>
    <w:rsid w:val="00FC51A9"/>
    <w:rsid w:val="00FC51F8"/>
    <w:rsid w:val="00FC55B8"/>
    <w:rsid w:val="00FC5C0B"/>
    <w:rsid w:val="00FC5C99"/>
    <w:rsid w:val="00FC5E81"/>
    <w:rsid w:val="00FC7792"/>
    <w:rsid w:val="00FC782E"/>
    <w:rsid w:val="00FC7882"/>
    <w:rsid w:val="00FC794D"/>
    <w:rsid w:val="00FC79FC"/>
    <w:rsid w:val="00FC7A11"/>
    <w:rsid w:val="00FC7A50"/>
    <w:rsid w:val="00FC7C00"/>
    <w:rsid w:val="00FC7E6E"/>
    <w:rsid w:val="00FC7EF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13"/>
    <w:rsid w:val="00FD2409"/>
    <w:rsid w:val="00FD250B"/>
    <w:rsid w:val="00FD2855"/>
    <w:rsid w:val="00FD2B77"/>
    <w:rsid w:val="00FD2F34"/>
    <w:rsid w:val="00FD3B03"/>
    <w:rsid w:val="00FD3EC2"/>
    <w:rsid w:val="00FD4114"/>
    <w:rsid w:val="00FD4376"/>
    <w:rsid w:val="00FD4824"/>
    <w:rsid w:val="00FD4A25"/>
    <w:rsid w:val="00FD4BC1"/>
    <w:rsid w:val="00FD4D77"/>
    <w:rsid w:val="00FD4E28"/>
    <w:rsid w:val="00FD5050"/>
    <w:rsid w:val="00FD5145"/>
    <w:rsid w:val="00FD5228"/>
    <w:rsid w:val="00FD52AD"/>
    <w:rsid w:val="00FD55A2"/>
    <w:rsid w:val="00FD5A93"/>
    <w:rsid w:val="00FD5B6A"/>
    <w:rsid w:val="00FD5B7C"/>
    <w:rsid w:val="00FD5FB5"/>
    <w:rsid w:val="00FD622B"/>
    <w:rsid w:val="00FD6503"/>
    <w:rsid w:val="00FD66CA"/>
    <w:rsid w:val="00FD6866"/>
    <w:rsid w:val="00FD6EA6"/>
    <w:rsid w:val="00FD73E5"/>
    <w:rsid w:val="00FD73E9"/>
    <w:rsid w:val="00FD771D"/>
    <w:rsid w:val="00FD7760"/>
    <w:rsid w:val="00FD779E"/>
    <w:rsid w:val="00FD77E4"/>
    <w:rsid w:val="00FD7CD5"/>
    <w:rsid w:val="00FD7E5F"/>
    <w:rsid w:val="00FD7FA0"/>
    <w:rsid w:val="00FE0258"/>
    <w:rsid w:val="00FE04ED"/>
    <w:rsid w:val="00FE0AC6"/>
    <w:rsid w:val="00FE0B83"/>
    <w:rsid w:val="00FE0E4D"/>
    <w:rsid w:val="00FE10E0"/>
    <w:rsid w:val="00FE191D"/>
    <w:rsid w:val="00FE1C5A"/>
    <w:rsid w:val="00FE1CC7"/>
    <w:rsid w:val="00FE1D68"/>
    <w:rsid w:val="00FE2004"/>
    <w:rsid w:val="00FE210E"/>
    <w:rsid w:val="00FE236F"/>
    <w:rsid w:val="00FE2677"/>
    <w:rsid w:val="00FE27C2"/>
    <w:rsid w:val="00FE2976"/>
    <w:rsid w:val="00FE2BF5"/>
    <w:rsid w:val="00FE2DE1"/>
    <w:rsid w:val="00FE2E52"/>
    <w:rsid w:val="00FE309B"/>
    <w:rsid w:val="00FE31C7"/>
    <w:rsid w:val="00FE33BC"/>
    <w:rsid w:val="00FE3A79"/>
    <w:rsid w:val="00FE3B4E"/>
    <w:rsid w:val="00FE41E2"/>
    <w:rsid w:val="00FE4359"/>
    <w:rsid w:val="00FE4575"/>
    <w:rsid w:val="00FE46BD"/>
    <w:rsid w:val="00FE476D"/>
    <w:rsid w:val="00FE4841"/>
    <w:rsid w:val="00FE4B8B"/>
    <w:rsid w:val="00FE4E05"/>
    <w:rsid w:val="00FE54F0"/>
    <w:rsid w:val="00FE59C2"/>
    <w:rsid w:val="00FE5A17"/>
    <w:rsid w:val="00FE5B95"/>
    <w:rsid w:val="00FE5D1C"/>
    <w:rsid w:val="00FE5FCA"/>
    <w:rsid w:val="00FE6079"/>
    <w:rsid w:val="00FE62EF"/>
    <w:rsid w:val="00FE6645"/>
    <w:rsid w:val="00FE6DC2"/>
    <w:rsid w:val="00FE6F53"/>
    <w:rsid w:val="00FE723C"/>
    <w:rsid w:val="00FE73F6"/>
    <w:rsid w:val="00FE76C8"/>
    <w:rsid w:val="00FE7857"/>
    <w:rsid w:val="00FE7B7D"/>
    <w:rsid w:val="00FE7C2D"/>
    <w:rsid w:val="00FE7D19"/>
    <w:rsid w:val="00FE7E2E"/>
    <w:rsid w:val="00FF024E"/>
    <w:rsid w:val="00FF035B"/>
    <w:rsid w:val="00FF04A3"/>
    <w:rsid w:val="00FF0505"/>
    <w:rsid w:val="00FF0944"/>
    <w:rsid w:val="00FF09ED"/>
    <w:rsid w:val="00FF1663"/>
    <w:rsid w:val="00FF16F8"/>
    <w:rsid w:val="00FF1943"/>
    <w:rsid w:val="00FF1A59"/>
    <w:rsid w:val="00FF2576"/>
    <w:rsid w:val="00FF2BB0"/>
    <w:rsid w:val="00FF2DCB"/>
    <w:rsid w:val="00FF2F81"/>
    <w:rsid w:val="00FF30DA"/>
    <w:rsid w:val="00FF315A"/>
    <w:rsid w:val="00FF33FE"/>
    <w:rsid w:val="00FF3467"/>
    <w:rsid w:val="00FF38A1"/>
    <w:rsid w:val="00FF3A84"/>
    <w:rsid w:val="00FF3DF6"/>
    <w:rsid w:val="00FF3E26"/>
    <w:rsid w:val="00FF3FB6"/>
    <w:rsid w:val="00FF41D8"/>
    <w:rsid w:val="00FF444F"/>
    <w:rsid w:val="00FF4515"/>
    <w:rsid w:val="00FF466F"/>
    <w:rsid w:val="00FF4700"/>
    <w:rsid w:val="00FF487D"/>
    <w:rsid w:val="00FF48D9"/>
    <w:rsid w:val="00FF4AE4"/>
    <w:rsid w:val="00FF4B40"/>
    <w:rsid w:val="00FF4C96"/>
    <w:rsid w:val="00FF4F0D"/>
    <w:rsid w:val="00FF4F39"/>
    <w:rsid w:val="00FF511F"/>
    <w:rsid w:val="00FF5455"/>
    <w:rsid w:val="00FF54AD"/>
    <w:rsid w:val="00FF5C00"/>
    <w:rsid w:val="00FF635C"/>
    <w:rsid w:val="00FF6581"/>
    <w:rsid w:val="00FF67F0"/>
    <w:rsid w:val="00FF6BED"/>
    <w:rsid w:val="00FF6C71"/>
    <w:rsid w:val="00FF6D32"/>
    <w:rsid w:val="00FF6FF5"/>
    <w:rsid w:val="00FF6FF8"/>
    <w:rsid w:val="00FF72C0"/>
    <w:rsid w:val="00FF7373"/>
    <w:rsid w:val="00FF765E"/>
    <w:rsid w:val="00FF791E"/>
    <w:rsid w:val="00FF7AB6"/>
    <w:rsid w:val="00FF7B24"/>
    <w:rsid w:val="01595595"/>
    <w:rsid w:val="01C08067"/>
    <w:rsid w:val="02447FB7"/>
    <w:rsid w:val="02C4A145"/>
    <w:rsid w:val="02C72FBC"/>
    <w:rsid w:val="04808C1C"/>
    <w:rsid w:val="04BD509B"/>
    <w:rsid w:val="04F977C5"/>
    <w:rsid w:val="0683F120"/>
    <w:rsid w:val="094EF864"/>
    <w:rsid w:val="0B2CC2B9"/>
    <w:rsid w:val="0C1182B6"/>
    <w:rsid w:val="0C63F558"/>
    <w:rsid w:val="0CCCCF0D"/>
    <w:rsid w:val="0DBEA594"/>
    <w:rsid w:val="0DD2F81E"/>
    <w:rsid w:val="0E60E63A"/>
    <w:rsid w:val="0E7C83BB"/>
    <w:rsid w:val="0FB8F88C"/>
    <w:rsid w:val="1099AC5E"/>
    <w:rsid w:val="120FB420"/>
    <w:rsid w:val="13191E96"/>
    <w:rsid w:val="141FFC88"/>
    <w:rsid w:val="152483DB"/>
    <w:rsid w:val="160A0ED8"/>
    <w:rsid w:val="179DEEA6"/>
    <w:rsid w:val="17C35B58"/>
    <w:rsid w:val="18C97770"/>
    <w:rsid w:val="197C0788"/>
    <w:rsid w:val="19A4B7D8"/>
    <w:rsid w:val="19A5D055"/>
    <w:rsid w:val="1A38854E"/>
    <w:rsid w:val="1AA3550D"/>
    <w:rsid w:val="1CA51477"/>
    <w:rsid w:val="1DA4C990"/>
    <w:rsid w:val="1E15802E"/>
    <w:rsid w:val="1E79C06B"/>
    <w:rsid w:val="1E8A52D1"/>
    <w:rsid w:val="1ED6DE67"/>
    <w:rsid w:val="1F34B3EB"/>
    <w:rsid w:val="1F9551AC"/>
    <w:rsid w:val="203F5CAC"/>
    <w:rsid w:val="208C1561"/>
    <w:rsid w:val="21A5809D"/>
    <w:rsid w:val="21BF4019"/>
    <w:rsid w:val="22A526A2"/>
    <w:rsid w:val="22B4CA7B"/>
    <w:rsid w:val="234E554D"/>
    <w:rsid w:val="23882B0B"/>
    <w:rsid w:val="257F4EC3"/>
    <w:rsid w:val="2582860B"/>
    <w:rsid w:val="261C0B7D"/>
    <w:rsid w:val="2705ED11"/>
    <w:rsid w:val="278F0204"/>
    <w:rsid w:val="27AB5758"/>
    <w:rsid w:val="27EC579B"/>
    <w:rsid w:val="286827FB"/>
    <w:rsid w:val="28D6F8D8"/>
    <w:rsid w:val="2976EC49"/>
    <w:rsid w:val="29B44CFB"/>
    <w:rsid w:val="2AB5C874"/>
    <w:rsid w:val="2B5721DE"/>
    <w:rsid w:val="2BD6D1CC"/>
    <w:rsid w:val="2C144A85"/>
    <w:rsid w:val="2C158FA7"/>
    <w:rsid w:val="2C464429"/>
    <w:rsid w:val="2C860CBE"/>
    <w:rsid w:val="2CA65AD5"/>
    <w:rsid w:val="2D129D37"/>
    <w:rsid w:val="2DD6100E"/>
    <w:rsid w:val="2DE6D375"/>
    <w:rsid w:val="2DF3F68F"/>
    <w:rsid w:val="2ECDA702"/>
    <w:rsid w:val="3035F033"/>
    <w:rsid w:val="30850E02"/>
    <w:rsid w:val="30BD91D0"/>
    <w:rsid w:val="31455829"/>
    <w:rsid w:val="314C2BE5"/>
    <w:rsid w:val="31A38A03"/>
    <w:rsid w:val="31D2B52D"/>
    <w:rsid w:val="32621056"/>
    <w:rsid w:val="3296B5A9"/>
    <w:rsid w:val="349431D4"/>
    <w:rsid w:val="34EEA2B9"/>
    <w:rsid w:val="35004ADD"/>
    <w:rsid w:val="36641BF4"/>
    <w:rsid w:val="37DDB647"/>
    <w:rsid w:val="37DEA0D4"/>
    <w:rsid w:val="39CB1C28"/>
    <w:rsid w:val="3A346F6C"/>
    <w:rsid w:val="3A38A6B9"/>
    <w:rsid w:val="3AC61F79"/>
    <w:rsid w:val="3AE59555"/>
    <w:rsid w:val="3B7562A5"/>
    <w:rsid w:val="3C7B7617"/>
    <w:rsid w:val="3CDC2066"/>
    <w:rsid w:val="3E3BC5C0"/>
    <w:rsid w:val="416130B6"/>
    <w:rsid w:val="42164BF0"/>
    <w:rsid w:val="427DC46B"/>
    <w:rsid w:val="43601186"/>
    <w:rsid w:val="447D70A7"/>
    <w:rsid w:val="44856B75"/>
    <w:rsid w:val="44D3020F"/>
    <w:rsid w:val="45B8335A"/>
    <w:rsid w:val="45E6B53F"/>
    <w:rsid w:val="4600669E"/>
    <w:rsid w:val="47908E26"/>
    <w:rsid w:val="48218A4C"/>
    <w:rsid w:val="4846C0E2"/>
    <w:rsid w:val="484880C7"/>
    <w:rsid w:val="48765183"/>
    <w:rsid w:val="487CD49F"/>
    <w:rsid w:val="48F10824"/>
    <w:rsid w:val="490119F1"/>
    <w:rsid w:val="49D0DCB3"/>
    <w:rsid w:val="4B4A3296"/>
    <w:rsid w:val="4BD1C434"/>
    <w:rsid w:val="4C155C6A"/>
    <w:rsid w:val="4C548C5F"/>
    <w:rsid w:val="4CEBBD1D"/>
    <w:rsid w:val="4D4F0E12"/>
    <w:rsid w:val="4E01E763"/>
    <w:rsid w:val="4EFECE6D"/>
    <w:rsid w:val="4F3EA0B8"/>
    <w:rsid w:val="4F4E05D9"/>
    <w:rsid w:val="4FA69862"/>
    <w:rsid w:val="503190DA"/>
    <w:rsid w:val="53B1F9AE"/>
    <w:rsid w:val="54D36336"/>
    <w:rsid w:val="56BFBF85"/>
    <w:rsid w:val="56FE47DB"/>
    <w:rsid w:val="571AC8C6"/>
    <w:rsid w:val="576FF489"/>
    <w:rsid w:val="58444AE6"/>
    <w:rsid w:val="58A567FD"/>
    <w:rsid w:val="59033EB0"/>
    <w:rsid w:val="5940FE56"/>
    <w:rsid w:val="59882E55"/>
    <w:rsid w:val="598E6A46"/>
    <w:rsid w:val="5A5C4945"/>
    <w:rsid w:val="5B062ACB"/>
    <w:rsid w:val="5B47478F"/>
    <w:rsid w:val="5B5242A5"/>
    <w:rsid w:val="5BAE375D"/>
    <w:rsid w:val="5BE01919"/>
    <w:rsid w:val="5C23C91D"/>
    <w:rsid w:val="5CB55053"/>
    <w:rsid w:val="5E2AF606"/>
    <w:rsid w:val="5FE474A5"/>
    <w:rsid w:val="5FF1D677"/>
    <w:rsid w:val="609BD6DF"/>
    <w:rsid w:val="61D1770A"/>
    <w:rsid w:val="62750D79"/>
    <w:rsid w:val="63FC331B"/>
    <w:rsid w:val="64ADE9C4"/>
    <w:rsid w:val="64BD93A6"/>
    <w:rsid w:val="64EBCD9B"/>
    <w:rsid w:val="65049983"/>
    <w:rsid w:val="652E8BE1"/>
    <w:rsid w:val="653A0A7B"/>
    <w:rsid w:val="657C181B"/>
    <w:rsid w:val="66E9FF14"/>
    <w:rsid w:val="67067102"/>
    <w:rsid w:val="6784C362"/>
    <w:rsid w:val="67AB8BEC"/>
    <w:rsid w:val="6C175D34"/>
    <w:rsid w:val="6CE663F3"/>
    <w:rsid w:val="6D1BD3EA"/>
    <w:rsid w:val="6D45C891"/>
    <w:rsid w:val="6D69DDBF"/>
    <w:rsid w:val="6E213B40"/>
    <w:rsid w:val="6E688E99"/>
    <w:rsid w:val="6EFCBD19"/>
    <w:rsid w:val="6F3F16BB"/>
    <w:rsid w:val="6FC80718"/>
    <w:rsid w:val="701FB889"/>
    <w:rsid w:val="70602873"/>
    <w:rsid w:val="70747345"/>
    <w:rsid w:val="716B48FA"/>
    <w:rsid w:val="71912567"/>
    <w:rsid w:val="71B367A7"/>
    <w:rsid w:val="729B873C"/>
    <w:rsid w:val="73846790"/>
    <w:rsid w:val="74785C46"/>
    <w:rsid w:val="74B7E6BE"/>
    <w:rsid w:val="74CF1693"/>
    <w:rsid w:val="75FFE246"/>
    <w:rsid w:val="78682115"/>
    <w:rsid w:val="786DB3B0"/>
    <w:rsid w:val="7888C6B5"/>
    <w:rsid w:val="78F29366"/>
    <w:rsid w:val="7A001174"/>
    <w:rsid w:val="7A39494B"/>
    <w:rsid w:val="7B0C599C"/>
    <w:rsid w:val="7BA258F9"/>
    <w:rsid w:val="7BADC4FC"/>
    <w:rsid w:val="7C3DC97B"/>
    <w:rsid w:val="7E4FD1F2"/>
    <w:rsid w:val="7EA39006"/>
    <w:rsid w:val="7F26CF7F"/>
    <w:rsid w:val="7F82D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0E5"/>
    <w:rPr>
      <w:rFonts w:ascii="Times New Roman" w:eastAsia="Times New Roman" w:hAnsi="Times New Roman" w:cs="Times New Roman"/>
      <w:sz w:val="24"/>
      <w:szCs w:val="24"/>
    </w:rPr>
  </w:style>
  <w:style w:type="paragraph" w:styleId="Heading1">
    <w:name w:val="heading 1"/>
    <w:next w:val="Normal"/>
    <w:link w:val="Heading1Char"/>
    <w:uiPriority w:val="1"/>
    <w:qFormat/>
    <w:rsid w:val="00C56C33"/>
    <w:pPr>
      <w:keepNext/>
      <w:numPr>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3D552B"/>
    <w:pPr>
      <w:keepLines/>
      <w:numPr>
        <w:ilvl w:val="1"/>
        <w:numId w:val="6"/>
      </w:numPr>
      <w:tabs>
        <w:tab w:val="clear" w:pos="1440"/>
        <w:tab w:val="left" w:pos="1080"/>
      </w:tabs>
      <w:spacing w:before="24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Id w:val="8"/>
      </w:numPr>
      <w:spacing w:before="0"/>
      <w:outlineLvl w:val="2"/>
    </w:pPr>
  </w:style>
  <w:style w:type="paragraph" w:styleId="Heading4">
    <w:name w:val="heading 4"/>
    <w:basedOn w:val="Heading3"/>
    <w:next w:val="Normal"/>
    <w:link w:val="Heading4Char"/>
    <w:uiPriority w:val="9"/>
    <w:unhideWhenUsed/>
    <w:qFormat/>
    <w:rsid w:val="00073E56"/>
    <w:pPr>
      <w:numPr>
        <w:ilvl w:val="0"/>
        <w:numId w:val="21"/>
      </w:numPr>
      <w:spacing w:before="40" w:after="8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Times New Roman"/>
    <w:basedOn w:val="Normal"/>
    <w:link w:val="CommentTextChar"/>
    <w:uiPriority w:val="99"/>
    <w:unhideWhenUsed/>
    <w:qFormat/>
    <w:rsid w:val="00766CD0"/>
    <w:rPr>
      <w:szCs w:val="20"/>
    </w:rPr>
  </w:style>
  <w:style w:type="character" w:customStyle="1" w:styleId="CommentTextChar">
    <w:name w:val="Comment Text Char"/>
    <w:aliases w:val="t Char,Times New Roman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3D552B"/>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073E56"/>
    <w:rPr>
      <w:rFonts w:ascii="Times New Roman" w:eastAsiaTheme="majorEastAsia" w:hAnsi="Times New Roman" w:cstheme="majorBid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5"/>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 w:type="character" w:customStyle="1" w:styleId="normaltextrun">
    <w:name w:val="normaltextrun"/>
    <w:basedOn w:val="DefaultParagraphFont"/>
    <w:rsid w:val="00613C3E"/>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character" w:customStyle="1" w:styleId="spellingerror">
    <w:name w:val="spellingerror"/>
    <w:basedOn w:val="DefaultParagraphFont"/>
    <w:rsid w:val="0016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07182671">
      <w:bodyDiv w:val="1"/>
      <w:marLeft w:val="0"/>
      <w:marRight w:val="0"/>
      <w:marTop w:val="0"/>
      <w:marBottom w:val="0"/>
      <w:divBdr>
        <w:top w:val="none" w:sz="0" w:space="0" w:color="auto"/>
        <w:left w:val="none" w:sz="0" w:space="0" w:color="auto"/>
        <w:bottom w:val="none" w:sz="0" w:space="0" w:color="auto"/>
        <w:right w:val="none" w:sz="0" w:space="0" w:color="auto"/>
      </w:divBdr>
      <w:divsChild>
        <w:div w:id="402800077">
          <w:marLeft w:val="0"/>
          <w:marRight w:val="0"/>
          <w:marTop w:val="0"/>
          <w:marBottom w:val="0"/>
          <w:divBdr>
            <w:top w:val="none" w:sz="0" w:space="0" w:color="auto"/>
            <w:left w:val="none" w:sz="0" w:space="0" w:color="auto"/>
            <w:bottom w:val="none" w:sz="0" w:space="0" w:color="auto"/>
            <w:right w:val="none" w:sz="0" w:space="0" w:color="auto"/>
          </w:divBdr>
        </w:div>
        <w:div w:id="434903399">
          <w:marLeft w:val="0"/>
          <w:marRight w:val="0"/>
          <w:marTop w:val="0"/>
          <w:marBottom w:val="0"/>
          <w:divBdr>
            <w:top w:val="none" w:sz="0" w:space="0" w:color="auto"/>
            <w:left w:val="none" w:sz="0" w:space="0" w:color="auto"/>
            <w:bottom w:val="none" w:sz="0" w:space="0" w:color="auto"/>
            <w:right w:val="none" w:sz="0" w:space="0" w:color="auto"/>
          </w:divBdr>
          <w:divsChild>
            <w:div w:id="1557935091">
              <w:marLeft w:val="0"/>
              <w:marRight w:val="0"/>
              <w:marTop w:val="30"/>
              <w:marBottom w:val="30"/>
              <w:divBdr>
                <w:top w:val="none" w:sz="0" w:space="0" w:color="auto"/>
                <w:left w:val="none" w:sz="0" w:space="0" w:color="auto"/>
                <w:bottom w:val="none" w:sz="0" w:space="0" w:color="auto"/>
                <w:right w:val="none" w:sz="0" w:space="0" w:color="auto"/>
              </w:divBdr>
              <w:divsChild>
                <w:div w:id="1050920">
                  <w:marLeft w:val="0"/>
                  <w:marRight w:val="0"/>
                  <w:marTop w:val="0"/>
                  <w:marBottom w:val="0"/>
                  <w:divBdr>
                    <w:top w:val="none" w:sz="0" w:space="0" w:color="auto"/>
                    <w:left w:val="none" w:sz="0" w:space="0" w:color="auto"/>
                    <w:bottom w:val="none" w:sz="0" w:space="0" w:color="auto"/>
                    <w:right w:val="none" w:sz="0" w:space="0" w:color="auto"/>
                  </w:divBdr>
                  <w:divsChild>
                    <w:div w:id="1448499536">
                      <w:marLeft w:val="0"/>
                      <w:marRight w:val="0"/>
                      <w:marTop w:val="0"/>
                      <w:marBottom w:val="0"/>
                      <w:divBdr>
                        <w:top w:val="none" w:sz="0" w:space="0" w:color="auto"/>
                        <w:left w:val="none" w:sz="0" w:space="0" w:color="auto"/>
                        <w:bottom w:val="none" w:sz="0" w:space="0" w:color="auto"/>
                        <w:right w:val="none" w:sz="0" w:space="0" w:color="auto"/>
                      </w:divBdr>
                    </w:div>
                  </w:divsChild>
                </w:div>
                <w:div w:id="39062796">
                  <w:marLeft w:val="0"/>
                  <w:marRight w:val="0"/>
                  <w:marTop w:val="0"/>
                  <w:marBottom w:val="0"/>
                  <w:divBdr>
                    <w:top w:val="none" w:sz="0" w:space="0" w:color="auto"/>
                    <w:left w:val="none" w:sz="0" w:space="0" w:color="auto"/>
                    <w:bottom w:val="none" w:sz="0" w:space="0" w:color="auto"/>
                    <w:right w:val="none" w:sz="0" w:space="0" w:color="auto"/>
                  </w:divBdr>
                  <w:divsChild>
                    <w:div w:id="411700915">
                      <w:marLeft w:val="0"/>
                      <w:marRight w:val="0"/>
                      <w:marTop w:val="0"/>
                      <w:marBottom w:val="0"/>
                      <w:divBdr>
                        <w:top w:val="none" w:sz="0" w:space="0" w:color="auto"/>
                        <w:left w:val="none" w:sz="0" w:space="0" w:color="auto"/>
                        <w:bottom w:val="none" w:sz="0" w:space="0" w:color="auto"/>
                        <w:right w:val="none" w:sz="0" w:space="0" w:color="auto"/>
                      </w:divBdr>
                    </w:div>
                  </w:divsChild>
                </w:div>
                <w:div w:id="68818226">
                  <w:marLeft w:val="0"/>
                  <w:marRight w:val="0"/>
                  <w:marTop w:val="0"/>
                  <w:marBottom w:val="0"/>
                  <w:divBdr>
                    <w:top w:val="none" w:sz="0" w:space="0" w:color="auto"/>
                    <w:left w:val="none" w:sz="0" w:space="0" w:color="auto"/>
                    <w:bottom w:val="none" w:sz="0" w:space="0" w:color="auto"/>
                    <w:right w:val="none" w:sz="0" w:space="0" w:color="auto"/>
                  </w:divBdr>
                  <w:divsChild>
                    <w:div w:id="1206216478">
                      <w:marLeft w:val="0"/>
                      <w:marRight w:val="0"/>
                      <w:marTop w:val="0"/>
                      <w:marBottom w:val="0"/>
                      <w:divBdr>
                        <w:top w:val="none" w:sz="0" w:space="0" w:color="auto"/>
                        <w:left w:val="none" w:sz="0" w:space="0" w:color="auto"/>
                        <w:bottom w:val="none" w:sz="0" w:space="0" w:color="auto"/>
                        <w:right w:val="none" w:sz="0" w:space="0" w:color="auto"/>
                      </w:divBdr>
                    </w:div>
                  </w:divsChild>
                </w:div>
                <w:div w:id="83260185">
                  <w:marLeft w:val="0"/>
                  <w:marRight w:val="0"/>
                  <w:marTop w:val="0"/>
                  <w:marBottom w:val="0"/>
                  <w:divBdr>
                    <w:top w:val="none" w:sz="0" w:space="0" w:color="auto"/>
                    <w:left w:val="none" w:sz="0" w:space="0" w:color="auto"/>
                    <w:bottom w:val="none" w:sz="0" w:space="0" w:color="auto"/>
                    <w:right w:val="none" w:sz="0" w:space="0" w:color="auto"/>
                  </w:divBdr>
                  <w:divsChild>
                    <w:div w:id="1633823740">
                      <w:marLeft w:val="0"/>
                      <w:marRight w:val="0"/>
                      <w:marTop w:val="0"/>
                      <w:marBottom w:val="0"/>
                      <w:divBdr>
                        <w:top w:val="none" w:sz="0" w:space="0" w:color="auto"/>
                        <w:left w:val="none" w:sz="0" w:space="0" w:color="auto"/>
                        <w:bottom w:val="none" w:sz="0" w:space="0" w:color="auto"/>
                        <w:right w:val="none" w:sz="0" w:space="0" w:color="auto"/>
                      </w:divBdr>
                    </w:div>
                  </w:divsChild>
                </w:div>
                <w:div w:id="135536273">
                  <w:marLeft w:val="0"/>
                  <w:marRight w:val="0"/>
                  <w:marTop w:val="0"/>
                  <w:marBottom w:val="0"/>
                  <w:divBdr>
                    <w:top w:val="none" w:sz="0" w:space="0" w:color="auto"/>
                    <w:left w:val="none" w:sz="0" w:space="0" w:color="auto"/>
                    <w:bottom w:val="none" w:sz="0" w:space="0" w:color="auto"/>
                    <w:right w:val="none" w:sz="0" w:space="0" w:color="auto"/>
                  </w:divBdr>
                  <w:divsChild>
                    <w:div w:id="1207789922">
                      <w:marLeft w:val="0"/>
                      <w:marRight w:val="0"/>
                      <w:marTop w:val="0"/>
                      <w:marBottom w:val="0"/>
                      <w:divBdr>
                        <w:top w:val="none" w:sz="0" w:space="0" w:color="auto"/>
                        <w:left w:val="none" w:sz="0" w:space="0" w:color="auto"/>
                        <w:bottom w:val="none" w:sz="0" w:space="0" w:color="auto"/>
                        <w:right w:val="none" w:sz="0" w:space="0" w:color="auto"/>
                      </w:divBdr>
                    </w:div>
                  </w:divsChild>
                </w:div>
                <w:div w:id="172185452">
                  <w:marLeft w:val="0"/>
                  <w:marRight w:val="0"/>
                  <w:marTop w:val="0"/>
                  <w:marBottom w:val="0"/>
                  <w:divBdr>
                    <w:top w:val="none" w:sz="0" w:space="0" w:color="auto"/>
                    <w:left w:val="none" w:sz="0" w:space="0" w:color="auto"/>
                    <w:bottom w:val="none" w:sz="0" w:space="0" w:color="auto"/>
                    <w:right w:val="none" w:sz="0" w:space="0" w:color="auto"/>
                  </w:divBdr>
                  <w:divsChild>
                    <w:div w:id="1009451152">
                      <w:marLeft w:val="0"/>
                      <w:marRight w:val="0"/>
                      <w:marTop w:val="0"/>
                      <w:marBottom w:val="0"/>
                      <w:divBdr>
                        <w:top w:val="none" w:sz="0" w:space="0" w:color="auto"/>
                        <w:left w:val="none" w:sz="0" w:space="0" w:color="auto"/>
                        <w:bottom w:val="none" w:sz="0" w:space="0" w:color="auto"/>
                        <w:right w:val="none" w:sz="0" w:space="0" w:color="auto"/>
                      </w:divBdr>
                    </w:div>
                  </w:divsChild>
                </w:div>
                <w:div w:id="217060986">
                  <w:marLeft w:val="0"/>
                  <w:marRight w:val="0"/>
                  <w:marTop w:val="0"/>
                  <w:marBottom w:val="0"/>
                  <w:divBdr>
                    <w:top w:val="none" w:sz="0" w:space="0" w:color="auto"/>
                    <w:left w:val="none" w:sz="0" w:space="0" w:color="auto"/>
                    <w:bottom w:val="none" w:sz="0" w:space="0" w:color="auto"/>
                    <w:right w:val="none" w:sz="0" w:space="0" w:color="auto"/>
                  </w:divBdr>
                  <w:divsChild>
                    <w:div w:id="2015572459">
                      <w:marLeft w:val="0"/>
                      <w:marRight w:val="0"/>
                      <w:marTop w:val="0"/>
                      <w:marBottom w:val="0"/>
                      <w:divBdr>
                        <w:top w:val="none" w:sz="0" w:space="0" w:color="auto"/>
                        <w:left w:val="none" w:sz="0" w:space="0" w:color="auto"/>
                        <w:bottom w:val="none" w:sz="0" w:space="0" w:color="auto"/>
                        <w:right w:val="none" w:sz="0" w:space="0" w:color="auto"/>
                      </w:divBdr>
                    </w:div>
                  </w:divsChild>
                </w:div>
                <w:div w:id="227419459">
                  <w:marLeft w:val="0"/>
                  <w:marRight w:val="0"/>
                  <w:marTop w:val="0"/>
                  <w:marBottom w:val="0"/>
                  <w:divBdr>
                    <w:top w:val="none" w:sz="0" w:space="0" w:color="auto"/>
                    <w:left w:val="none" w:sz="0" w:space="0" w:color="auto"/>
                    <w:bottom w:val="none" w:sz="0" w:space="0" w:color="auto"/>
                    <w:right w:val="none" w:sz="0" w:space="0" w:color="auto"/>
                  </w:divBdr>
                  <w:divsChild>
                    <w:div w:id="1859200406">
                      <w:marLeft w:val="0"/>
                      <w:marRight w:val="0"/>
                      <w:marTop w:val="0"/>
                      <w:marBottom w:val="0"/>
                      <w:divBdr>
                        <w:top w:val="none" w:sz="0" w:space="0" w:color="auto"/>
                        <w:left w:val="none" w:sz="0" w:space="0" w:color="auto"/>
                        <w:bottom w:val="none" w:sz="0" w:space="0" w:color="auto"/>
                        <w:right w:val="none" w:sz="0" w:space="0" w:color="auto"/>
                      </w:divBdr>
                    </w:div>
                  </w:divsChild>
                </w:div>
                <w:div w:id="237522493">
                  <w:marLeft w:val="0"/>
                  <w:marRight w:val="0"/>
                  <w:marTop w:val="0"/>
                  <w:marBottom w:val="0"/>
                  <w:divBdr>
                    <w:top w:val="none" w:sz="0" w:space="0" w:color="auto"/>
                    <w:left w:val="none" w:sz="0" w:space="0" w:color="auto"/>
                    <w:bottom w:val="none" w:sz="0" w:space="0" w:color="auto"/>
                    <w:right w:val="none" w:sz="0" w:space="0" w:color="auto"/>
                  </w:divBdr>
                  <w:divsChild>
                    <w:div w:id="2118593616">
                      <w:marLeft w:val="0"/>
                      <w:marRight w:val="0"/>
                      <w:marTop w:val="0"/>
                      <w:marBottom w:val="0"/>
                      <w:divBdr>
                        <w:top w:val="none" w:sz="0" w:space="0" w:color="auto"/>
                        <w:left w:val="none" w:sz="0" w:space="0" w:color="auto"/>
                        <w:bottom w:val="none" w:sz="0" w:space="0" w:color="auto"/>
                        <w:right w:val="none" w:sz="0" w:space="0" w:color="auto"/>
                      </w:divBdr>
                    </w:div>
                  </w:divsChild>
                </w:div>
                <w:div w:id="290013332">
                  <w:marLeft w:val="0"/>
                  <w:marRight w:val="0"/>
                  <w:marTop w:val="0"/>
                  <w:marBottom w:val="0"/>
                  <w:divBdr>
                    <w:top w:val="none" w:sz="0" w:space="0" w:color="auto"/>
                    <w:left w:val="none" w:sz="0" w:space="0" w:color="auto"/>
                    <w:bottom w:val="none" w:sz="0" w:space="0" w:color="auto"/>
                    <w:right w:val="none" w:sz="0" w:space="0" w:color="auto"/>
                  </w:divBdr>
                  <w:divsChild>
                    <w:div w:id="531184401">
                      <w:marLeft w:val="0"/>
                      <w:marRight w:val="0"/>
                      <w:marTop w:val="0"/>
                      <w:marBottom w:val="0"/>
                      <w:divBdr>
                        <w:top w:val="none" w:sz="0" w:space="0" w:color="auto"/>
                        <w:left w:val="none" w:sz="0" w:space="0" w:color="auto"/>
                        <w:bottom w:val="none" w:sz="0" w:space="0" w:color="auto"/>
                        <w:right w:val="none" w:sz="0" w:space="0" w:color="auto"/>
                      </w:divBdr>
                    </w:div>
                  </w:divsChild>
                </w:div>
                <w:div w:id="372773381">
                  <w:marLeft w:val="0"/>
                  <w:marRight w:val="0"/>
                  <w:marTop w:val="0"/>
                  <w:marBottom w:val="0"/>
                  <w:divBdr>
                    <w:top w:val="none" w:sz="0" w:space="0" w:color="auto"/>
                    <w:left w:val="none" w:sz="0" w:space="0" w:color="auto"/>
                    <w:bottom w:val="none" w:sz="0" w:space="0" w:color="auto"/>
                    <w:right w:val="none" w:sz="0" w:space="0" w:color="auto"/>
                  </w:divBdr>
                  <w:divsChild>
                    <w:div w:id="838614915">
                      <w:marLeft w:val="0"/>
                      <w:marRight w:val="0"/>
                      <w:marTop w:val="0"/>
                      <w:marBottom w:val="0"/>
                      <w:divBdr>
                        <w:top w:val="none" w:sz="0" w:space="0" w:color="auto"/>
                        <w:left w:val="none" w:sz="0" w:space="0" w:color="auto"/>
                        <w:bottom w:val="none" w:sz="0" w:space="0" w:color="auto"/>
                        <w:right w:val="none" w:sz="0" w:space="0" w:color="auto"/>
                      </w:divBdr>
                    </w:div>
                  </w:divsChild>
                </w:div>
                <w:div w:id="499007804">
                  <w:marLeft w:val="0"/>
                  <w:marRight w:val="0"/>
                  <w:marTop w:val="0"/>
                  <w:marBottom w:val="0"/>
                  <w:divBdr>
                    <w:top w:val="none" w:sz="0" w:space="0" w:color="auto"/>
                    <w:left w:val="none" w:sz="0" w:space="0" w:color="auto"/>
                    <w:bottom w:val="none" w:sz="0" w:space="0" w:color="auto"/>
                    <w:right w:val="none" w:sz="0" w:space="0" w:color="auto"/>
                  </w:divBdr>
                  <w:divsChild>
                    <w:div w:id="1050108866">
                      <w:marLeft w:val="0"/>
                      <w:marRight w:val="0"/>
                      <w:marTop w:val="0"/>
                      <w:marBottom w:val="0"/>
                      <w:divBdr>
                        <w:top w:val="none" w:sz="0" w:space="0" w:color="auto"/>
                        <w:left w:val="none" w:sz="0" w:space="0" w:color="auto"/>
                        <w:bottom w:val="none" w:sz="0" w:space="0" w:color="auto"/>
                        <w:right w:val="none" w:sz="0" w:space="0" w:color="auto"/>
                      </w:divBdr>
                    </w:div>
                  </w:divsChild>
                </w:div>
                <w:div w:id="552499027">
                  <w:marLeft w:val="0"/>
                  <w:marRight w:val="0"/>
                  <w:marTop w:val="0"/>
                  <w:marBottom w:val="0"/>
                  <w:divBdr>
                    <w:top w:val="none" w:sz="0" w:space="0" w:color="auto"/>
                    <w:left w:val="none" w:sz="0" w:space="0" w:color="auto"/>
                    <w:bottom w:val="none" w:sz="0" w:space="0" w:color="auto"/>
                    <w:right w:val="none" w:sz="0" w:space="0" w:color="auto"/>
                  </w:divBdr>
                  <w:divsChild>
                    <w:div w:id="973560045">
                      <w:marLeft w:val="0"/>
                      <w:marRight w:val="0"/>
                      <w:marTop w:val="0"/>
                      <w:marBottom w:val="0"/>
                      <w:divBdr>
                        <w:top w:val="none" w:sz="0" w:space="0" w:color="auto"/>
                        <w:left w:val="none" w:sz="0" w:space="0" w:color="auto"/>
                        <w:bottom w:val="none" w:sz="0" w:space="0" w:color="auto"/>
                        <w:right w:val="none" w:sz="0" w:space="0" w:color="auto"/>
                      </w:divBdr>
                    </w:div>
                  </w:divsChild>
                </w:div>
                <w:div w:id="583295231">
                  <w:marLeft w:val="0"/>
                  <w:marRight w:val="0"/>
                  <w:marTop w:val="0"/>
                  <w:marBottom w:val="0"/>
                  <w:divBdr>
                    <w:top w:val="none" w:sz="0" w:space="0" w:color="auto"/>
                    <w:left w:val="none" w:sz="0" w:space="0" w:color="auto"/>
                    <w:bottom w:val="none" w:sz="0" w:space="0" w:color="auto"/>
                    <w:right w:val="none" w:sz="0" w:space="0" w:color="auto"/>
                  </w:divBdr>
                  <w:divsChild>
                    <w:div w:id="224606520">
                      <w:marLeft w:val="0"/>
                      <w:marRight w:val="0"/>
                      <w:marTop w:val="0"/>
                      <w:marBottom w:val="0"/>
                      <w:divBdr>
                        <w:top w:val="none" w:sz="0" w:space="0" w:color="auto"/>
                        <w:left w:val="none" w:sz="0" w:space="0" w:color="auto"/>
                        <w:bottom w:val="none" w:sz="0" w:space="0" w:color="auto"/>
                        <w:right w:val="none" w:sz="0" w:space="0" w:color="auto"/>
                      </w:divBdr>
                    </w:div>
                  </w:divsChild>
                </w:div>
                <w:div w:id="592009555">
                  <w:marLeft w:val="0"/>
                  <w:marRight w:val="0"/>
                  <w:marTop w:val="0"/>
                  <w:marBottom w:val="0"/>
                  <w:divBdr>
                    <w:top w:val="none" w:sz="0" w:space="0" w:color="auto"/>
                    <w:left w:val="none" w:sz="0" w:space="0" w:color="auto"/>
                    <w:bottom w:val="none" w:sz="0" w:space="0" w:color="auto"/>
                    <w:right w:val="none" w:sz="0" w:space="0" w:color="auto"/>
                  </w:divBdr>
                  <w:divsChild>
                    <w:div w:id="1712219190">
                      <w:marLeft w:val="0"/>
                      <w:marRight w:val="0"/>
                      <w:marTop w:val="0"/>
                      <w:marBottom w:val="0"/>
                      <w:divBdr>
                        <w:top w:val="none" w:sz="0" w:space="0" w:color="auto"/>
                        <w:left w:val="none" w:sz="0" w:space="0" w:color="auto"/>
                        <w:bottom w:val="none" w:sz="0" w:space="0" w:color="auto"/>
                        <w:right w:val="none" w:sz="0" w:space="0" w:color="auto"/>
                      </w:divBdr>
                    </w:div>
                  </w:divsChild>
                </w:div>
                <w:div w:id="642858573">
                  <w:marLeft w:val="0"/>
                  <w:marRight w:val="0"/>
                  <w:marTop w:val="0"/>
                  <w:marBottom w:val="0"/>
                  <w:divBdr>
                    <w:top w:val="none" w:sz="0" w:space="0" w:color="auto"/>
                    <w:left w:val="none" w:sz="0" w:space="0" w:color="auto"/>
                    <w:bottom w:val="none" w:sz="0" w:space="0" w:color="auto"/>
                    <w:right w:val="none" w:sz="0" w:space="0" w:color="auto"/>
                  </w:divBdr>
                  <w:divsChild>
                    <w:div w:id="680664761">
                      <w:marLeft w:val="0"/>
                      <w:marRight w:val="0"/>
                      <w:marTop w:val="0"/>
                      <w:marBottom w:val="0"/>
                      <w:divBdr>
                        <w:top w:val="none" w:sz="0" w:space="0" w:color="auto"/>
                        <w:left w:val="none" w:sz="0" w:space="0" w:color="auto"/>
                        <w:bottom w:val="none" w:sz="0" w:space="0" w:color="auto"/>
                        <w:right w:val="none" w:sz="0" w:space="0" w:color="auto"/>
                      </w:divBdr>
                    </w:div>
                  </w:divsChild>
                </w:div>
                <w:div w:id="653142871">
                  <w:marLeft w:val="0"/>
                  <w:marRight w:val="0"/>
                  <w:marTop w:val="0"/>
                  <w:marBottom w:val="0"/>
                  <w:divBdr>
                    <w:top w:val="none" w:sz="0" w:space="0" w:color="auto"/>
                    <w:left w:val="none" w:sz="0" w:space="0" w:color="auto"/>
                    <w:bottom w:val="none" w:sz="0" w:space="0" w:color="auto"/>
                    <w:right w:val="none" w:sz="0" w:space="0" w:color="auto"/>
                  </w:divBdr>
                  <w:divsChild>
                    <w:div w:id="38870483">
                      <w:marLeft w:val="0"/>
                      <w:marRight w:val="0"/>
                      <w:marTop w:val="0"/>
                      <w:marBottom w:val="0"/>
                      <w:divBdr>
                        <w:top w:val="none" w:sz="0" w:space="0" w:color="auto"/>
                        <w:left w:val="none" w:sz="0" w:space="0" w:color="auto"/>
                        <w:bottom w:val="none" w:sz="0" w:space="0" w:color="auto"/>
                        <w:right w:val="none" w:sz="0" w:space="0" w:color="auto"/>
                      </w:divBdr>
                    </w:div>
                  </w:divsChild>
                </w:div>
                <w:div w:id="694841115">
                  <w:marLeft w:val="0"/>
                  <w:marRight w:val="0"/>
                  <w:marTop w:val="0"/>
                  <w:marBottom w:val="0"/>
                  <w:divBdr>
                    <w:top w:val="none" w:sz="0" w:space="0" w:color="auto"/>
                    <w:left w:val="none" w:sz="0" w:space="0" w:color="auto"/>
                    <w:bottom w:val="none" w:sz="0" w:space="0" w:color="auto"/>
                    <w:right w:val="none" w:sz="0" w:space="0" w:color="auto"/>
                  </w:divBdr>
                  <w:divsChild>
                    <w:div w:id="1835415557">
                      <w:marLeft w:val="0"/>
                      <w:marRight w:val="0"/>
                      <w:marTop w:val="0"/>
                      <w:marBottom w:val="0"/>
                      <w:divBdr>
                        <w:top w:val="none" w:sz="0" w:space="0" w:color="auto"/>
                        <w:left w:val="none" w:sz="0" w:space="0" w:color="auto"/>
                        <w:bottom w:val="none" w:sz="0" w:space="0" w:color="auto"/>
                        <w:right w:val="none" w:sz="0" w:space="0" w:color="auto"/>
                      </w:divBdr>
                    </w:div>
                  </w:divsChild>
                </w:div>
                <w:div w:id="930315119">
                  <w:marLeft w:val="0"/>
                  <w:marRight w:val="0"/>
                  <w:marTop w:val="0"/>
                  <w:marBottom w:val="0"/>
                  <w:divBdr>
                    <w:top w:val="none" w:sz="0" w:space="0" w:color="auto"/>
                    <w:left w:val="none" w:sz="0" w:space="0" w:color="auto"/>
                    <w:bottom w:val="none" w:sz="0" w:space="0" w:color="auto"/>
                    <w:right w:val="none" w:sz="0" w:space="0" w:color="auto"/>
                  </w:divBdr>
                  <w:divsChild>
                    <w:div w:id="1393389470">
                      <w:marLeft w:val="0"/>
                      <w:marRight w:val="0"/>
                      <w:marTop w:val="0"/>
                      <w:marBottom w:val="0"/>
                      <w:divBdr>
                        <w:top w:val="none" w:sz="0" w:space="0" w:color="auto"/>
                        <w:left w:val="none" w:sz="0" w:space="0" w:color="auto"/>
                        <w:bottom w:val="none" w:sz="0" w:space="0" w:color="auto"/>
                        <w:right w:val="none" w:sz="0" w:space="0" w:color="auto"/>
                      </w:divBdr>
                    </w:div>
                  </w:divsChild>
                </w:div>
                <w:div w:id="937951350">
                  <w:marLeft w:val="0"/>
                  <w:marRight w:val="0"/>
                  <w:marTop w:val="0"/>
                  <w:marBottom w:val="0"/>
                  <w:divBdr>
                    <w:top w:val="none" w:sz="0" w:space="0" w:color="auto"/>
                    <w:left w:val="none" w:sz="0" w:space="0" w:color="auto"/>
                    <w:bottom w:val="none" w:sz="0" w:space="0" w:color="auto"/>
                    <w:right w:val="none" w:sz="0" w:space="0" w:color="auto"/>
                  </w:divBdr>
                  <w:divsChild>
                    <w:div w:id="1729036786">
                      <w:marLeft w:val="0"/>
                      <w:marRight w:val="0"/>
                      <w:marTop w:val="0"/>
                      <w:marBottom w:val="0"/>
                      <w:divBdr>
                        <w:top w:val="none" w:sz="0" w:space="0" w:color="auto"/>
                        <w:left w:val="none" w:sz="0" w:space="0" w:color="auto"/>
                        <w:bottom w:val="none" w:sz="0" w:space="0" w:color="auto"/>
                        <w:right w:val="none" w:sz="0" w:space="0" w:color="auto"/>
                      </w:divBdr>
                    </w:div>
                  </w:divsChild>
                </w:div>
                <w:div w:id="1095243423">
                  <w:marLeft w:val="0"/>
                  <w:marRight w:val="0"/>
                  <w:marTop w:val="0"/>
                  <w:marBottom w:val="0"/>
                  <w:divBdr>
                    <w:top w:val="none" w:sz="0" w:space="0" w:color="auto"/>
                    <w:left w:val="none" w:sz="0" w:space="0" w:color="auto"/>
                    <w:bottom w:val="none" w:sz="0" w:space="0" w:color="auto"/>
                    <w:right w:val="none" w:sz="0" w:space="0" w:color="auto"/>
                  </w:divBdr>
                  <w:divsChild>
                    <w:div w:id="697662267">
                      <w:marLeft w:val="0"/>
                      <w:marRight w:val="0"/>
                      <w:marTop w:val="0"/>
                      <w:marBottom w:val="0"/>
                      <w:divBdr>
                        <w:top w:val="none" w:sz="0" w:space="0" w:color="auto"/>
                        <w:left w:val="none" w:sz="0" w:space="0" w:color="auto"/>
                        <w:bottom w:val="none" w:sz="0" w:space="0" w:color="auto"/>
                        <w:right w:val="none" w:sz="0" w:space="0" w:color="auto"/>
                      </w:divBdr>
                    </w:div>
                  </w:divsChild>
                </w:div>
                <w:div w:id="1243762736">
                  <w:marLeft w:val="0"/>
                  <w:marRight w:val="0"/>
                  <w:marTop w:val="0"/>
                  <w:marBottom w:val="0"/>
                  <w:divBdr>
                    <w:top w:val="none" w:sz="0" w:space="0" w:color="auto"/>
                    <w:left w:val="none" w:sz="0" w:space="0" w:color="auto"/>
                    <w:bottom w:val="none" w:sz="0" w:space="0" w:color="auto"/>
                    <w:right w:val="none" w:sz="0" w:space="0" w:color="auto"/>
                  </w:divBdr>
                  <w:divsChild>
                    <w:div w:id="287901331">
                      <w:marLeft w:val="0"/>
                      <w:marRight w:val="0"/>
                      <w:marTop w:val="0"/>
                      <w:marBottom w:val="0"/>
                      <w:divBdr>
                        <w:top w:val="none" w:sz="0" w:space="0" w:color="auto"/>
                        <w:left w:val="none" w:sz="0" w:space="0" w:color="auto"/>
                        <w:bottom w:val="none" w:sz="0" w:space="0" w:color="auto"/>
                        <w:right w:val="none" w:sz="0" w:space="0" w:color="auto"/>
                      </w:divBdr>
                    </w:div>
                  </w:divsChild>
                </w:div>
                <w:div w:id="1262684313">
                  <w:marLeft w:val="0"/>
                  <w:marRight w:val="0"/>
                  <w:marTop w:val="0"/>
                  <w:marBottom w:val="0"/>
                  <w:divBdr>
                    <w:top w:val="none" w:sz="0" w:space="0" w:color="auto"/>
                    <w:left w:val="none" w:sz="0" w:space="0" w:color="auto"/>
                    <w:bottom w:val="none" w:sz="0" w:space="0" w:color="auto"/>
                    <w:right w:val="none" w:sz="0" w:space="0" w:color="auto"/>
                  </w:divBdr>
                  <w:divsChild>
                    <w:div w:id="563225824">
                      <w:marLeft w:val="0"/>
                      <w:marRight w:val="0"/>
                      <w:marTop w:val="0"/>
                      <w:marBottom w:val="0"/>
                      <w:divBdr>
                        <w:top w:val="none" w:sz="0" w:space="0" w:color="auto"/>
                        <w:left w:val="none" w:sz="0" w:space="0" w:color="auto"/>
                        <w:bottom w:val="none" w:sz="0" w:space="0" w:color="auto"/>
                        <w:right w:val="none" w:sz="0" w:space="0" w:color="auto"/>
                      </w:divBdr>
                    </w:div>
                  </w:divsChild>
                </w:div>
                <w:div w:id="1308902779">
                  <w:marLeft w:val="0"/>
                  <w:marRight w:val="0"/>
                  <w:marTop w:val="0"/>
                  <w:marBottom w:val="0"/>
                  <w:divBdr>
                    <w:top w:val="none" w:sz="0" w:space="0" w:color="auto"/>
                    <w:left w:val="none" w:sz="0" w:space="0" w:color="auto"/>
                    <w:bottom w:val="none" w:sz="0" w:space="0" w:color="auto"/>
                    <w:right w:val="none" w:sz="0" w:space="0" w:color="auto"/>
                  </w:divBdr>
                  <w:divsChild>
                    <w:div w:id="649095551">
                      <w:marLeft w:val="0"/>
                      <w:marRight w:val="0"/>
                      <w:marTop w:val="0"/>
                      <w:marBottom w:val="0"/>
                      <w:divBdr>
                        <w:top w:val="none" w:sz="0" w:space="0" w:color="auto"/>
                        <w:left w:val="none" w:sz="0" w:space="0" w:color="auto"/>
                        <w:bottom w:val="none" w:sz="0" w:space="0" w:color="auto"/>
                        <w:right w:val="none" w:sz="0" w:space="0" w:color="auto"/>
                      </w:divBdr>
                    </w:div>
                  </w:divsChild>
                </w:div>
                <w:div w:id="1404140718">
                  <w:marLeft w:val="0"/>
                  <w:marRight w:val="0"/>
                  <w:marTop w:val="0"/>
                  <w:marBottom w:val="0"/>
                  <w:divBdr>
                    <w:top w:val="none" w:sz="0" w:space="0" w:color="auto"/>
                    <w:left w:val="none" w:sz="0" w:space="0" w:color="auto"/>
                    <w:bottom w:val="none" w:sz="0" w:space="0" w:color="auto"/>
                    <w:right w:val="none" w:sz="0" w:space="0" w:color="auto"/>
                  </w:divBdr>
                  <w:divsChild>
                    <w:div w:id="1419981823">
                      <w:marLeft w:val="0"/>
                      <w:marRight w:val="0"/>
                      <w:marTop w:val="0"/>
                      <w:marBottom w:val="0"/>
                      <w:divBdr>
                        <w:top w:val="none" w:sz="0" w:space="0" w:color="auto"/>
                        <w:left w:val="none" w:sz="0" w:space="0" w:color="auto"/>
                        <w:bottom w:val="none" w:sz="0" w:space="0" w:color="auto"/>
                        <w:right w:val="none" w:sz="0" w:space="0" w:color="auto"/>
                      </w:divBdr>
                    </w:div>
                  </w:divsChild>
                </w:div>
                <w:div w:id="1416896327">
                  <w:marLeft w:val="0"/>
                  <w:marRight w:val="0"/>
                  <w:marTop w:val="0"/>
                  <w:marBottom w:val="0"/>
                  <w:divBdr>
                    <w:top w:val="none" w:sz="0" w:space="0" w:color="auto"/>
                    <w:left w:val="none" w:sz="0" w:space="0" w:color="auto"/>
                    <w:bottom w:val="none" w:sz="0" w:space="0" w:color="auto"/>
                    <w:right w:val="none" w:sz="0" w:space="0" w:color="auto"/>
                  </w:divBdr>
                  <w:divsChild>
                    <w:div w:id="1224174121">
                      <w:marLeft w:val="0"/>
                      <w:marRight w:val="0"/>
                      <w:marTop w:val="0"/>
                      <w:marBottom w:val="0"/>
                      <w:divBdr>
                        <w:top w:val="none" w:sz="0" w:space="0" w:color="auto"/>
                        <w:left w:val="none" w:sz="0" w:space="0" w:color="auto"/>
                        <w:bottom w:val="none" w:sz="0" w:space="0" w:color="auto"/>
                        <w:right w:val="none" w:sz="0" w:space="0" w:color="auto"/>
                      </w:divBdr>
                    </w:div>
                  </w:divsChild>
                </w:div>
                <w:div w:id="1454985835">
                  <w:marLeft w:val="0"/>
                  <w:marRight w:val="0"/>
                  <w:marTop w:val="0"/>
                  <w:marBottom w:val="0"/>
                  <w:divBdr>
                    <w:top w:val="none" w:sz="0" w:space="0" w:color="auto"/>
                    <w:left w:val="none" w:sz="0" w:space="0" w:color="auto"/>
                    <w:bottom w:val="none" w:sz="0" w:space="0" w:color="auto"/>
                    <w:right w:val="none" w:sz="0" w:space="0" w:color="auto"/>
                  </w:divBdr>
                  <w:divsChild>
                    <w:div w:id="65615921">
                      <w:marLeft w:val="0"/>
                      <w:marRight w:val="0"/>
                      <w:marTop w:val="0"/>
                      <w:marBottom w:val="0"/>
                      <w:divBdr>
                        <w:top w:val="none" w:sz="0" w:space="0" w:color="auto"/>
                        <w:left w:val="none" w:sz="0" w:space="0" w:color="auto"/>
                        <w:bottom w:val="none" w:sz="0" w:space="0" w:color="auto"/>
                        <w:right w:val="none" w:sz="0" w:space="0" w:color="auto"/>
                      </w:divBdr>
                    </w:div>
                  </w:divsChild>
                </w:div>
                <w:div w:id="1519269090">
                  <w:marLeft w:val="0"/>
                  <w:marRight w:val="0"/>
                  <w:marTop w:val="0"/>
                  <w:marBottom w:val="0"/>
                  <w:divBdr>
                    <w:top w:val="none" w:sz="0" w:space="0" w:color="auto"/>
                    <w:left w:val="none" w:sz="0" w:space="0" w:color="auto"/>
                    <w:bottom w:val="none" w:sz="0" w:space="0" w:color="auto"/>
                    <w:right w:val="none" w:sz="0" w:space="0" w:color="auto"/>
                  </w:divBdr>
                  <w:divsChild>
                    <w:div w:id="1771968292">
                      <w:marLeft w:val="0"/>
                      <w:marRight w:val="0"/>
                      <w:marTop w:val="0"/>
                      <w:marBottom w:val="0"/>
                      <w:divBdr>
                        <w:top w:val="none" w:sz="0" w:space="0" w:color="auto"/>
                        <w:left w:val="none" w:sz="0" w:space="0" w:color="auto"/>
                        <w:bottom w:val="none" w:sz="0" w:space="0" w:color="auto"/>
                        <w:right w:val="none" w:sz="0" w:space="0" w:color="auto"/>
                      </w:divBdr>
                    </w:div>
                  </w:divsChild>
                </w:div>
                <w:div w:id="1543056238">
                  <w:marLeft w:val="0"/>
                  <w:marRight w:val="0"/>
                  <w:marTop w:val="0"/>
                  <w:marBottom w:val="0"/>
                  <w:divBdr>
                    <w:top w:val="none" w:sz="0" w:space="0" w:color="auto"/>
                    <w:left w:val="none" w:sz="0" w:space="0" w:color="auto"/>
                    <w:bottom w:val="none" w:sz="0" w:space="0" w:color="auto"/>
                    <w:right w:val="none" w:sz="0" w:space="0" w:color="auto"/>
                  </w:divBdr>
                  <w:divsChild>
                    <w:div w:id="1373457552">
                      <w:marLeft w:val="0"/>
                      <w:marRight w:val="0"/>
                      <w:marTop w:val="0"/>
                      <w:marBottom w:val="0"/>
                      <w:divBdr>
                        <w:top w:val="none" w:sz="0" w:space="0" w:color="auto"/>
                        <w:left w:val="none" w:sz="0" w:space="0" w:color="auto"/>
                        <w:bottom w:val="none" w:sz="0" w:space="0" w:color="auto"/>
                        <w:right w:val="none" w:sz="0" w:space="0" w:color="auto"/>
                      </w:divBdr>
                    </w:div>
                  </w:divsChild>
                </w:div>
                <w:div w:id="1611470827">
                  <w:marLeft w:val="0"/>
                  <w:marRight w:val="0"/>
                  <w:marTop w:val="0"/>
                  <w:marBottom w:val="0"/>
                  <w:divBdr>
                    <w:top w:val="none" w:sz="0" w:space="0" w:color="auto"/>
                    <w:left w:val="none" w:sz="0" w:space="0" w:color="auto"/>
                    <w:bottom w:val="none" w:sz="0" w:space="0" w:color="auto"/>
                    <w:right w:val="none" w:sz="0" w:space="0" w:color="auto"/>
                  </w:divBdr>
                  <w:divsChild>
                    <w:div w:id="1188062591">
                      <w:marLeft w:val="0"/>
                      <w:marRight w:val="0"/>
                      <w:marTop w:val="0"/>
                      <w:marBottom w:val="0"/>
                      <w:divBdr>
                        <w:top w:val="none" w:sz="0" w:space="0" w:color="auto"/>
                        <w:left w:val="none" w:sz="0" w:space="0" w:color="auto"/>
                        <w:bottom w:val="none" w:sz="0" w:space="0" w:color="auto"/>
                        <w:right w:val="none" w:sz="0" w:space="0" w:color="auto"/>
                      </w:divBdr>
                    </w:div>
                  </w:divsChild>
                </w:div>
                <w:div w:id="1632050208">
                  <w:marLeft w:val="0"/>
                  <w:marRight w:val="0"/>
                  <w:marTop w:val="0"/>
                  <w:marBottom w:val="0"/>
                  <w:divBdr>
                    <w:top w:val="none" w:sz="0" w:space="0" w:color="auto"/>
                    <w:left w:val="none" w:sz="0" w:space="0" w:color="auto"/>
                    <w:bottom w:val="none" w:sz="0" w:space="0" w:color="auto"/>
                    <w:right w:val="none" w:sz="0" w:space="0" w:color="auto"/>
                  </w:divBdr>
                  <w:divsChild>
                    <w:div w:id="2139255939">
                      <w:marLeft w:val="0"/>
                      <w:marRight w:val="0"/>
                      <w:marTop w:val="0"/>
                      <w:marBottom w:val="0"/>
                      <w:divBdr>
                        <w:top w:val="none" w:sz="0" w:space="0" w:color="auto"/>
                        <w:left w:val="none" w:sz="0" w:space="0" w:color="auto"/>
                        <w:bottom w:val="none" w:sz="0" w:space="0" w:color="auto"/>
                        <w:right w:val="none" w:sz="0" w:space="0" w:color="auto"/>
                      </w:divBdr>
                    </w:div>
                  </w:divsChild>
                </w:div>
                <w:div w:id="1639412888">
                  <w:marLeft w:val="0"/>
                  <w:marRight w:val="0"/>
                  <w:marTop w:val="0"/>
                  <w:marBottom w:val="0"/>
                  <w:divBdr>
                    <w:top w:val="none" w:sz="0" w:space="0" w:color="auto"/>
                    <w:left w:val="none" w:sz="0" w:space="0" w:color="auto"/>
                    <w:bottom w:val="none" w:sz="0" w:space="0" w:color="auto"/>
                    <w:right w:val="none" w:sz="0" w:space="0" w:color="auto"/>
                  </w:divBdr>
                  <w:divsChild>
                    <w:div w:id="1335575939">
                      <w:marLeft w:val="0"/>
                      <w:marRight w:val="0"/>
                      <w:marTop w:val="0"/>
                      <w:marBottom w:val="0"/>
                      <w:divBdr>
                        <w:top w:val="none" w:sz="0" w:space="0" w:color="auto"/>
                        <w:left w:val="none" w:sz="0" w:space="0" w:color="auto"/>
                        <w:bottom w:val="none" w:sz="0" w:space="0" w:color="auto"/>
                        <w:right w:val="none" w:sz="0" w:space="0" w:color="auto"/>
                      </w:divBdr>
                    </w:div>
                  </w:divsChild>
                </w:div>
                <w:div w:id="1673407070">
                  <w:marLeft w:val="0"/>
                  <w:marRight w:val="0"/>
                  <w:marTop w:val="0"/>
                  <w:marBottom w:val="0"/>
                  <w:divBdr>
                    <w:top w:val="none" w:sz="0" w:space="0" w:color="auto"/>
                    <w:left w:val="none" w:sz="0" w:space="0" w:color="auto"/>
                    <w:bottom w:val="none" w:sz="0" w:space="0" w:color="auto"/>
                    <w:right w:val="none" w:sz="0" w:space="0" w:color="auto"/>
                  </w:divBdr>
                  <w:divsChild>
                    <w:div w:id="783768952">
                      <w:marLeft w:val="0"/>
                      <w:marRight w:val="0"/>
                      <w:marTop w:val="0"/>
                      <w:marBottom w:val="0"/>
                      <w:divBdr>
                        <w:top w:val="none" w:sz="0" w:space="0" w:color="auto"/>
                        <w:left w:val="none" w:sz="0" w:space="0" w:color="auto"/>
                        <w:bottom w:val="none" w:sz="0" w:space="0" w:color="auto"/>
                        <w:right w:val="none" w:sz="0" w:space="0" w:color="auto"/>
                      </w:divBdr>
                    </w:div>
                  </w:divsChild>
                </w:div>
                <w:div w:id="1683243982">
                  <w:marLeft w:val="0"/>
                  <w:marRight w:val="0"/>
                  <w:marTop w:val="0"/>
                  <w:marBottom w:val="0"/>
                  <w:divBdr>
                    <w:top w:val="none" w:sz="0" w:space="0" w:color="auto"/>
                    <w:left w:val="none" w:sz="0" w:space="0" w:color="auto"/>
                    <w:bottom w:val="none" w:sz="0" w:space="0" w:color="auto"/>
                    <w:right w:val="none" w:sz="0" w:space="0" w:color="auto"/>
                  </w:divBdr>
                  <w:divsChild>
                    <w:div w:id="932401497">
                      <w:marLeft w:val="0"/>
                      <w:marRight w:val="0"/>
                      <w:marTop w:val="0"/>
                      <w:marBottom w:val="0"/>
                      <w:divBdr>
                        <w:top w:val="none" w:sz="0" w:space="0" w:color="auto"/>
                        <w:left w:val="none" w:sz="0" w:space="0" w:color="auto"/>
                        <w:bottom w:val="none" w:sz="0" w:space="0" w:color="auto"/>
                        <w:right w:val="none" w:sz="0" w:space="0" w:color="auto"/>
                      </w:divBdr>
                    </w:div>
                  </w:divsChild>
                </w:div>
                <w:div w:id="1740011858">
                  <w:marLeft w:val="0"/>
                  <w:marRight w:val="0"/>
                  <w:marTop w:val="0"/>
                  <w:marBottom w:val="0"/>
                  <w:divBdr>
                    <w:top w:val="none" w:sz="0" w:space="0" w:color="auto"/>
                    <w:left w:val="none" w:sz="0" w:space="0" w:color="auto"/>
                    <w:bottom w:val="none" w:sz="0" w:space="0" w:color="auto"/>
                    <w:right w:val="none" w:sz="0" w:space="0" w:color="auto"/>
                  </w:divBdr>
                  <w:divsChild>
                    <w:div w:id="2141923911">
                      <w:marLeft w:val="0"/>
                      <w:marRight w:val="0"/>
                      <w:marTop w:val="0"/>
                      <w:marBottom w:val="0"/>
                      <w:divBdr>
                        <w:top w:val="none" w:sz="0" w:space="0" w:color="auto"/>
                        <w:left w:val="none" w:sz="0" w:space="0" w:color="auto"/>
                        <w:bottom w:val="none" w:sz="0" w:space="0" w:color="auto"/>
                        <w:right w:val="none" w:sz="0" w:space="0" w:color="auto"/>
                      </w:divBdr>
                    </w:div>
                  </w:divsChild>
                </w:div>
                <w:div w:id="1812405479">
                  <w:marLeft w:val="0"/>
                  <w:marRight w:val="0"/>
                  <w:marTop w:val="0"/>
                  <w:marBottom w:val="0"/>
                  <w:divBdr>
                    <w:top w:val="none" w:sz="0" w:space="0" w:color="auto"/>
                    <w:left w:val="none" w:sz="0" w:space="0" w:color="auto"/>
                    <w:bottom w:val="none" w:sz="0" w:space="0" w:color="auto"/>
                    <w:right w:val="none" w:sz="0" w:space="0" w:color="auto"/>
                  </w:divBdr>
                  <w:divsChild>
                    <w:div w:id="1402604914">
                      <w:marLeft w:val="0"/>
                      <w:marRight w:val="0"/>
                      <w:marTop w:val="0"/>
                      <w:marBottom w:val="0"/>
                      <w:divBdr>
                        <w:top w:val="none" w:sz="0" w:space="0" w:color="auto"/>
                        <w:left w:val="none" w:sz="0" w:space="0" w:color="auto"/>
                        <w:bottom w:val="none" w:sz="0" w:space="0" w:color="auto"/>
                        <w:right w:val="none" w:sz="0" w:space="0" w:color="auto"/>
                      </w:divBdr>
                    </w:div>
                  </w:divsChild>
                </w:div>
                <w:div w:id="1842043291">
                  <w:marLeft w:val="0"/>
                  <w:marRight w:val="0"/>
                  <w:marTop w:val="0"/>
                  <w:marBottom w:val="0"/>
                  <w:divBdr>
                    <w:top w:val="none" w:sz="0" w:space="0" w:color="auto"/>
                    <w:left w:val="none" w:sz="0" w:space="0" w:color="auto"/>
                    <w:bottom w:val="none" w:sz="0" w:space="0" w:color="auto"/>
                    <w:right w:val="none" w:sz="0" w:space="0" w:color="auto"/>
                  </w:divBdr>
                  <w:divsChild>
                    <w:div w:id="876163091">
                      <w:marLeft w:val="0"/>
                      <w:marRight w:val="0"/>
                      <w:marTop w:val="0"/>
                      <w:marBottom w:val="0"/>
                      <w:divBdr>
                        <w:top w:val="none" w:sz="0" w:space="0" w:color="auto"/>
                        <w:left w:val="none" w:sz="0" w:space="0" w:color="auto"/>
                        <w:bottom w:val="none" w:sz="0" w:space="0" w:color="auto"/>
                        <w:right w:val="none" w:sz="0" w:space="0" w:color="auto"/>
                      </w:divBdr>
                    </w:div>
                  </w:divsChild>
                </w:div>
                <w:div w:id="1864394956">
                  <w:marLeft w:val="0"/>
                  <w:marRight w:val="0"/>
                  <w:marTop w:val="0"/>
                  <w:marBottom w:val="0"/>
                  <w:divBdr>
                    <w:top w:val="none" w:sz="0" w:space="0" w:color="auto"/>
                    <w:left w:val="none" w:sz="0" w:space="0" w:color="auto"/>
                    <w:bottom w:val="none" w:sz="0" w:space="0" w:color="auto"/>
                    <w:right w:val="none" w:sz="0" w:space="0" w:color="auto"/>
                  </w:divBdr>
                  <w:divsChild>
                    <w:div w:id="30226812">
                      <w:marLeft w:val="0"/>
                      <w:marRight w:val="0"/>
                      <w:marTop w:val="0"/>
                      <w:marBottom w:val="0"/>
                      <w:divBdr>
                        <w:top w:val="none" w:sz="0" w:space="0" w:color="auto"/>
                        <w:left w:val="none" w:sz="0" w:space="0" w:color="auto"/>
                        <w:bottom w:val="none" w:sz="0" w:space="0" w:color="auto"/>
                        <w:right w:val="none" w:sz="0" w:space="0" w:color="auto"/>
                      </w:divBdr>
                    </w:div>
                  </w:divsChild>
                </w:div>
                <w:div w:id="1868836081">
                  <w:marLeft w:val="0"/>
                  <w:marRight w:val="0"/>
                  <w:marTop w:val="0"/>
                  <w:marBottom w:val="0"/>
                  <w:divBdr>
                    <w:top w:val="none" w:sz="0" w:space="0" w:color="auto"/>
                    <w:left w:val="none" w:sz="0" w:space="0" w:color="auto"/>
                    <w:bottom w:val="none" w:sz="0" w:space="0" w:color="auto"/>
                    <w:right w:val="none" w:sz="0" w:space="0" w:color="auto"/>
                  </w:divBdr>
                  <w:divsChild>
                    <w:div w:id="1854763789">
                      <w:marLeft w:val="0"/>
                      <w:marRight w:val="0"/>
                      <w:marTop w:val="0"/>
                      <w:marBottom w:val="0"/>
                      <w:divBdr>
                        <w:top w:val="none" w:sz="0" w:space="0" w:color="auto"/>
                        <w:left w:val="none" w:sz="0" w:space="0" w:color="auto"/>
                        <w:bottom w:val="none" w:sz="0" w:space="0" w:color="auto"/>
                        <w:right w:val="none" w:sz="0" w:space="0" w:color="auto"/>
                      </w:divBdr>
                    </w:div>
                  </w:divsChild>
                </w:div>
                <w:div w:id="1892689680">
                  <w:marLeft w:val="0"/>
                  <w:marRight w:val="0"/>
                  <w:marTop w:val="0"/>
                  <w:marBottom w:val="0"/>
                  <w:divBdr>
                    <w:top w:val="none" w:sz="0" w:space="0" w:color="auto"/>
                    <w:left w:val="none" w:sz="0" w:space="0" w:color="auto"/>
                    <w:bottom w:val="none" w:sz="0" w:space="0" w:color="auto"/>
                    <w:right w:val="none" w:sz="0" w:space="0" w:color="auto"/>
                  </w:divBdr>
                  <w:divsChild>
                    <w:div w:id="756096245">
                      <w:marLeft w:val="0"/>
                      <w:marRight w:val="0"/>
                      <w:marTop w:val="0"/>
                      <w:marBottom w:val="0"/>
                      <w:divBdr>
                        <w:top w:val="none" w:sz="0" w:space="0" w:color="auto"/>
                        <w:left w:val="none" w:sz="0" w:space="0" w:color="auto"/>
                        <w:bottom w:val="none" w:sz="0" w:space="0" w:color="auto"/>
                        <w:right w:val="none" w:sz="0" w:space="0" w:color="auto"/>
                      </w:divBdr>
                    </w:div>
                  </w:divsChild>
                </w:div>
                <w:div w:id="1909993253">
                  <w:marLeft w:val="0"/>
                  <w:marRight w:val="0"/>
                  <w:marTop w:val="0"/>
                  <w:marBottom w:val="0"/>
                  <w:divBdr>
                    <w:top w:val="none" w:sz="0" w:space="0" w:color="auto"/>
                    <w:left w:val="none" w:sz="0" w:space="0" w:color="auto"/>
                    <w:bottom w:val="none" w:sz="0" w:space="0" w:color="auto"/>
                    <w:right w:val="none" w:sz="0" w:space="0" w:color="auto"/>
                  </w:divBdr>
                  <w:divsChild>
                    <w:div w:id="1594246755">
                      <w:marLeft w:val="0"/>
                      <w:marRight w:val="0"/>
                      <w:marTop w:val="0"/>
                      <w:marBottom w:val="0"/>
                      <w:divBdr>
                        <w:top w:val="none" w:sz="0" w:space="0" w:color="auto"/>
                        <w:left w:val="none" w:sz="0" w:space="0" w:color="auto"/>
                        <w:bottom w:val="none" w:sz="0" w:space="0" w:color="auto"/>
                        <w:right w:val="none" w:sz="0" w:space="0" w:color="auto"/>
                      </w:divBdr>
                    </w:div>
                  </w:divsChild>
                </w:div>
                <w:div w:id="1934850939">
                  <w:marLeft w:val="0"/>
                  <w:marRight w:val="0"/>
                  <w:marTop w:val="0"/>
                  <w:marBottom w:val="0"/>
                  <w:divBdr>
                    <w:top w:val="none" w:sz="0" w:space="0" w:color="auto"/>
                    <w:left w:val="none" w:sz="0" w:space="0" w:color="auto"/>
                    <w:bottom w:val="none" w:sz="0" w:space="0" w:color="auto"/>
                    <w:right w:val="none" w:sz="0" w:space="0" w:color="auto"/>
                  </w:divBdr>
                  <w:divsChild>
                    <w:div w:id="1941178818">
                      <w:marLeft w:val="0"/>
                      <w:marRight w:val="0"/>
                      <w:marTop w:val="0"/>
                      <w:marBottom w:val="0"/>
                      <w:divBdr>
                        <w:top w:val="none" w:sz="0" w:space="0" w:color="auto"/>
                        <w:left w:val="none" w:sz="0" w:space="0" w:color="auto"/>
                        <w:bottom w:val="none" w:sz="0" w:space="0" w:color="auto"/>
                        <w:right w:val="none" w:sz="0" w:space="0" w:color="auto"/>
                      </w:divBdr>
                    </w:div>
                  </w:divsChild>
                </w:div>
                <w:div w:id="1970014312">
                  <w:marLeft w:val="0"/>
                  <w:marRight w:val="0"/>
                  <w:marTop w:val="0"/>
                  <w:marBottom w:val="0"/>
                  <w:divBdr>
                    <w:top w:val="none" w:sz="0" w:space="0" w:color="auto"/>
                    <w:left w:val="none" w:sz="0" w:space="0" w:color="auto"/>
                    <w:bottom w:val="none" w:sz="0" w:space="0" w:color="auto"/>
                    <w:right w:val="none" w:sz="0" w:space="0" w:color="auto"/>
                  </w:divBdr>
                  <w:divsChild>
                    <w:div w:id="692266403">
                      <w:marLeft w:val="0"/>
                      <w:marRight w:val="0"/>
                      <w:marTop w:val="0"/>
                      <w:marBottom w:val="0"/>
                      <w:divBdr>
                        <w:top w:val="none" w:sz="0" w:space="0" w:color="auto"/>
                        <w:left w:val="none" w:sz="0" w:space="0" w:color="auto"/>
                        <w:bottom w:val="none" w:sz="0" w:space="0" w:color="auto"/>
                        <w:right w:val="none" w:sz="0" w:space="0" w:color="auto"/>
                      </w:divBdr>
                    </w:div>
                  </w:divsChild>
                </w:div>
                <w:div w:id="2028671994">
                  <w:marLeft w:val="0"/>
                  <w:marRight w:val="0"/>
                  <w:marTop w:val="0"/>
                  <w:marBottom w:val="0"/>
                  <w:divBdr>
                    <w:top w:val="none" w:sz="0" w:space="0" w:color="auto"/>
                    <w:left w:val="none" w:sz="0" w:space="0" w:color="auto"/>
                    <w:bottom w:val="none" w:sz="0" w:space="0" w:color="auto"/>
                    <w:right w:val="none" w:sz="0" w:space="0" w:color="auto"/>
                  </w:divBdr>
                  <w:divsChild>
                    <w:div w:id="504589703">
                      <w:marLeft w:val="0"/>
                      <w:marRight w:val="0"/>
                      <w:marTop w:val="0"/>
                      <w:marBottom w:val="0"/>
                      <w:divBdr>
                        <w:top w:val="none" w:sz="0" w:space="0" w:color="auto"/>
                        <w:left w:val="none" w:sz="0" w:space="0" w:color="auto"/>
                        <w:bottom w:val="none" w:sz="0" w:space="0" w:color="auto"/>
                        <w:right w:val="none" w:sz="0" w:space="0" w:color="auto"/>
                      </w:divBdr>
                    </w:div>
                  </w:divsChild>
                </w:div>
                <w:div w:id="2035105611">
                  <w:marLeft w:val="0"/>
                  <w:marRight w:val="0"/>
                  <w:marTop w:val="0"/>
                  <w:marBottom w:val="0"/>
                  <w:divBdr>
                    <w:top w:val="none" w:sz="0" w:space="0" w:color="auto"/>
                    <w:left w:val="none" w:sz="0" w:space="0" w:color="auto"/>
                    <w:bottom w:val="none" w:sz="0" w:space="0" w:color="auto"/>
                    <w:right w:val="none" w:sz="0" w:space="0" w:color="auto"/>
                  </w:divBdr>
                  <w:divsChild>
                    <w:div w:id="17410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3543">
          <w:marLeft w:val="0"/>
          <w:marRight w:val="0"/>
          <w:marTop w:val="0"/>
          <w:marBottom w:val="0"/>
          <w:divBdr>
            <w:top w:val="none" w:sz="0" w:space="0" w:color="auto"/>
            <w:left w:val="none" w:sz="0" w:space="0" w:color="auto"/>
            <w:bottom w:val="none" w:sz="0" w:space="0" w:color="auto"/>
            <w:right w:val="none" w:sz="0" w:space="0" w:color="auto"/>
          </w:divBdr>
        </w:div>
      </w:divsChild>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395592153">
      <w:bodyDiv w:val="1"/>
      <w:marLeft w:val="0"/>
      <w:marRight w:val="0"/>
      <w:marTop w:val="0"/>
      <w:marBottom w:val="0"/>
      <w:divBdr>
        <w:top w:val="none" w:sz="0" w:space="0" w:color="auto"/>
        <w:left w:val="none" w:sz="0" w:space="0" w:color="auto"/>
        <w:bottom w:val="none" w:sz="0" w:space="0" w:color="auto"/>
        <w:right w:val="none" w:sz="0" w:space="0" w:color="auto"/>
      </w:divBdr>
      <w:divsChild>
        <w:div w:id="2051151737">
          <w:marLeft w:val="0"/>
          <w:marRight w:val="0"/>
          <w:marTop w:val="0"/>
          <w:marBottom w:val="0"/>
          <w:divBdr>
            <w:top w:val="none" w:sz="0" w:space="0" w:color="auto"/>
            <w:left w:val="none" w:sz="0" w:space="0" w:color="auto"/>
            <w:bottom w:val="none" w:sz="0" w:space="0" w:color="auto"/>
            <w:right w:val="none" w:sz="0" w:space="0" w:color="auto"/>
          </w:divBdr>
          <w:divsChild>
            <w:div w:id="417823442">
              <w:marLeft w:val="0"/>
              <w:marRight w:val="0"/>
              <w:marTop w:val="0"/>
              <w:marBottom w:val="0"/>
              <w:divBdr>
                <w:top w:val="none" w:sz="0" w:space="0" w:color="auto"/>
                <w:left w:val="none" w:sz="0" w:space="0" w:color="auto"/>
                <w:bottom w:val="none" w:sz="0" w:space="0" w:color="auto"/>
                <w:right w:val="none" w:sz="0" w:space="0" w:color="auto"/>
              </w:divBdr>
              <w:divsChild>
                <w:div w:id="937443126">
                  <w:marLeft w:val="0"/>
                  <w:marRight w:val="0"/>
                  <w:marTop w:val="0"/>
                  <w:marBottom w:val="0"/>
                  <w:divBdr>
                    <w:top w:val="none" w:sz="0" w:space="0" w:color="auto"/>
                    <w:left w:val="none" w:sz="0" w:space="0" w:color="auto"/>
                    <w:bottom w:val="none" w:sz="0" w:space="0" w:color="auto"/>
                    <w:right w:val="none" w:sz="0" w:space="0" w:color="auto"/>
                  </w:divBdr>
                  <w:divsChild>
                    <w:div w:id="128059020">
                      <w:marLeft w:val="0"/>
                      <w:marRight w:val="0"/>
                      <w:marTop w:val="0"/>
                      <w:marBottom w:val="0"/>
                      <w:divBdr>
                        <w:top w:val="none" w:sz="0" w:space="0" w:color="auto"/>
                        <w:left w:val="none" w:sz="0" w:space="0" w:color="auto"/>
                        <w:bottom w:val="none" w:sz="0" w:space="0" w:color="auto"/>
                        <w:right w:val="none" w:sz="0" w:space="0" w:color="auto"/>
                      </w:divBdr>
                      <w:divsChild>
                        <w:div w:id="1096632752">
                          <w:marLeft w:val="0"/>
                          <w:marRight w:val="0"/>
                          <w:marTop w:val="0"/>
                          <w:marBottom w:val="0"/>
                          <w:divBdr>
                            <w:top w:val="none" w:sz="0" w:space="0" w:color="auto"/>
                            <w:left w:val="none" w:sz="0" w:space="0" w:color="auto"/>
                            <w:bottom w:val="none" w:sz="0" w:space="0" w:color="auto"/>
                            <w:right w:val="none" w:sz="0" w:space="0" w:color="auto"/>
                          </w:divBdr>
                          <w:divsChild>
                            <w:div w:id="357971370">
                              <w:marLeft w:val="0"/>
                              <w:marRight w:val="0"/>
                              <w:marTop w:val="0"/>
                              <w:marBottom w:val="0"/>
                              <w:divBdr>
                                <w:top w:val="none" w:sz="0" w:space="0" w:color="auto"/>
                                <w:left w:val="none" w:sz="0" w:space="0" w:color="auto"/>
                                <w:bottom w:val="none" w:sz="0" w:space="0" w:color="auto"/>
                                <w:right w:val="none" w:sz="0" w:space="0" w:color="auto"/>
                              </w:divBdr>
                              <w:divsChild>
                                <w:div w:id="1901405521">
                                  <w:marLeft w:val="0"/>
                                  <w:marRight w:val="0"/>
                                  <w:marTop w:val="0"/>
                                  <w:marBottom w:val="0"/>
                                  <w:divBdr>
                                    <w:top w:val="none" w:sz="0" w:space="0" w:color="auto"/>
                                    <w:left w:val="none" w:sz="0" w:space="0" w:color="auto"/>
                                    <w:bottom w:val="none" w:sz="0" w:space="0" w:color="auto"/>
                                    <w:right w:val="none" w:sz="0" w:space="0" w:color="auto"/>
                                  </w:divBdr>
                                  <w:divsChild>
                                    <w:div w:id="483745521">
                                      <w:marLeft w:val="0"/>
                                      <w:marRight w:val="0"/>
                                      <w:marTop w:val="0"/>
                                      <w:marBottom w:val="0"/>
                                      <w:divBdr>
                                        <w:top w:val="none" w:sz="0" w:space="0" w:color="auto"/>
                                        <w:left w:val="none" w:sz="0" w:space="0" w:color="auto"/>
                                        <w:bottom w:val="none" w:sz="0" w:space="0" w:color="auto"/>
                                        <w:right w:val="none" w:sz="0" w:space="0" w:color="auto"/>
                                      </w:divBdr>
                                      <w:divsChild>
                                        <w:div w:id="1593396867">
                                          <w:marLeft w:val="0"/>
                                          <w:marRight w:val="0"/>
                                          <w:marTop w:val="0"/>
                                          <w:marBottom w:val="0"/>
                                          <w:divBdr>
                                            <w:top w:val="none" w:sz="0" w:space="0" w:color="auto"/>
                                            <w:left w:val="none" w:sz="0" w:space="0" w:color="auto"/>
                                            <w:bottom w:val="none" w:sz="0" w:space="0" w:color="auto"/>
                                            <w:right w:val="none" w:sz="0" w:space="0" w:color="auto"/>
                                          </w:divBdr>
                                          <w:divsChild>
                                            <w:div w:id="553201429">
                                              <w:marLeft w:val="0"/>
                                              <w:marRight w:val="0"/>
                                              <w:marTop w:val="0"/>
                                              <w:marBottom w:val="0"/>
                                              <w:divBdr>
                                                <w:top w:val="none" w:sz="0" w:space="0" w:color="auto"/>
                                                <w:left w:val="none" w:sz="0" w:space="0" w:color="auto"/>
                                                <w:bottom w:val="none" w:sz="0" w:space="0" w:color="auto"/>
                                                <w:right w:val="none" w:sz="0" w:space="0" w:color="auto"/>
                                              </w:divBdr>
                                              <w:divsChild>
                                                <w:div w:id="1845971770">
                                                  <w:marLeft w:val="0"/>
                                                  <w:marRight w:val="0"/>
                                                  <w:marTop w:val="0"/>
                                                  <w:marBottom w:val="0"/>
                                                  <w:divBdr>
                                                    <w:top w:val="none" w:sz="0" w:space="0" w:color="auto"/>
                                                    <w:left w:val="none" w:sz="0" w:space="0" w:color="auto"/>
                                                    <w:bottom w:val="none" w:sz="0" w:space="0" w:color="auto"/>
                                                    <w:right w:val="none" w:sz="0" w:space="0" w:color="auto"/>
                                                  </w:divBdr>
                                                  <w:divsChild>
                                                    <w:div w:id="986276163">
                                                      <w:marLeft w:val="0"/>
                                                      <w:marRight w:val="0"/>
                                                      <w:marTop w:val="0"/>
                                                      <w:marBottom w:val="0"/>
                                                      <w:divBdr>
                                                        <w:top w:val="single" w:sz="12" w:space="0" w:color="auto"/>
                                                        <w:left w:val="none" w:sz="0" w:space="0" w:color="auto"/>
                                                        <w:bottom w:val="none" w:sz="0" w:space="0" w:color="auto"/>
                                                        <w:right w:val="none" w:sz="0" w:space="0" w:color="auto"/>
                                                      </w:divBdr>
                                                      <w:divsChild>
                                                        <w:div w:id="2131898069">
                                                          <w:marLeft w:val="0"/>
                                                          <w:marRight w:val="0"/>
                                                          <w:marTop w:val="0"/>
                                                          <w:marBottom w:val="0"/>
                                                          <w:divBdr>
                                                            <w:top w:val="none" w:sz="0" w:space="0" w:color="auto"/>
                                                            <w:left w:val="none" w:sz="0" w:space="0" w:color="auto"/>
                                                            <w:bottom w:val="none" w:sz="0" w:space="0" w:color="auto"/>
                                                            <w:right w:val="none" w:sz="0" w:space="0" w:color="auto"/>
                                                          </w:divBdr>
                                                          <w:divsChild>
                                                            <w:div w:id="958412850">
                                                              <w:marLeft w:val="0"/>
                                                              <w:marRight w:val="0"/>
                                                              <w:marTop w:val="0"/>
                                                              <w:marBottom w:val="0"/>
                                                              <w:divBdr>
                                                                <w:top w:val="none" w:sz="0" w:space="0" w:color="auto"/>
                                                                <w:left w:val="none" w:sz="0" w:space="0" w:color="auto"/>
                                                                <w:bottom w:val="none" w:sz="0" w:space="0" w:color="auto"/>
                                                                <w:right w:val="none" w:sz="0" w:space="0" w:color="auto"/>
                                                              </w:divBdr>
                                                              <w:divsChild>
                                                                <w:div w:id="2116707196">
                                                                  <w:marLeft w:val="0"/>
                                                                  <w:marRight w:val="0"/>
                                                                  <w:marTop w:val="0"/>
                                                                  <w:marBottom w:val="0"/>
                                                                  <w:divBdr>
                                                                    <w:top w:val="none" w:sz="0" w:space="0" w:color="auto"/>
                                                                    <w:left w:val="none" w:sz="0" w:space="0" w:color="auto"/>
                                                                    <w:bottom w:val="none" w:sz="0" w:space="0" w:color="auto"/>
                                                                    <w:right w:val="none" w:sz="0" w:space="0" w:color="auto"/>
                                                                  </w:divBdr>
                                                                  <w:divsChild>
                                                                    <w:div w:id="1862158975">
                                                                      <w:marLeft w:val="0"/>
                                                                      <w:marRight w:val="0"/>
                                                                      <w:marTop w:val="0"/>
                                                                      <w:marBottom w:val="0"/>
                                                                      <w:divBdr>
                                                                        <w:top w:val="none" w:sz="0" w:space="0" w:color="auto"/>
                                                                        <w:left w:val="none" w:sz="0" w:space="0" w:color="auto"/>
                                                                        <w:bottom w:val="none" w:sz="0" w:space="0" w:color="auto"/>
                                                                        <w:right w:val="none" w:sz="0" w:space="0" w:color="auto"/>
                                                                      </w:divBdr>
                                                                      <w:divsChild>
                                                                        <w:div w:id="715810115">
                                                                          <w:marLeft w:val="0"/>
                                                                          <w:marRight w:val="0"/>
                                                                          <w:marTop w:val="0"/>
                                                                          <w:marBottom w:val="0"/>
                                                                          <w:divBdr>
                                                                            <w:top w:val="none" w:sz="0" w:space="0" w:color="auto"/>
                                                                            <w:left w:val="none" w:sz="0" w:space="0" w:color="auto"/>
                                                                            <w:bottom w:val="none" w:sz="0" w:space="0" w:color="auto"/>
                                                                            <w:right w:val="none" w:sz="0" w:space="0" w:color="auto"/>
                                                                          </w:divBdr>
                                                                          <w:divsChild>
                                                                            <w:div w:id="946230953">
                                                                              <w:marLeft w:val="0"/>
                                                                              <w:marRight w:val="0"/>
                                                                              <w:marTop w:val="0"/>
                                                                              <w:marBottom w:val="0"/>
                                                                              <w:divBdr>
                                                                                <w:top w:val="none" w:sz="0" w:space="0" w:color="auto"/>
                                                                                <w:left w:val="none" w:sz="0" w:space="0" w:color="auto"/>
                                                                                <w:bottom w:val="none" w:sz="0" w:space="0" w:color="auto"/>
                                                                                <w:right w:val="none" w:sz="0" w:space="0" w:color="auto"/>
                                                                              </w:divBdr>
                                                                              <w:divsChild>
                                                                                <w:div w:id="500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81377430">
      <w:bodyDiv w:val="1"/>
      <w:marLeft w:val="0"/>
      <w:marRight w:val="0"/>
      <w:marTop w:val="0"/>
      <w:marBottom w:val="0"/>
      <w:divBdr>
        <w:top w:val="none" w:sz="0" w:space="0" w:color="auto"/>
        <w:left w:val="none" w:sz="0" w:space="0" w:color="auto"/>
        <w:bottom w:val="none" w:sz="0" w:space="0" w:color="auto"/>
        <w:right w:val="none" w:sz="0" w:space="0" w:color="auto"/>
      </w:divBdr>
      <w:divsChild>
        <w:div w:id="2005937836">
          <w:marLeft w:val="0"/>
          <w:marRight w:val="0"/>
          <w:marTop w:val="0"/>
          <w:marBottom w:val="0"/>
          <w:divBdr>
            <w:top w:val="none" w:sz="0" w:space="0" w:color="auto"/>
            <w:left w:val="none" w:sz="0" w:space="0" w:color="auto"/>
            <w:bottom w:val="none" w:sz="0" w:space="0" w:color="auto"/>
            <w:right w:val="none" w:sz="0" w:space="0" w:color="auto"/>
          </w:divBdr>
          <w:divsChild>
            <w:div w:id="1032681834">
              <w:marLeft w:val="0"/>
              <w:marRight w:val="0"/>
              <w:marTop w:val="0"/>
              <w:marBottom w:val="0"/>
              <w:divBdr>
                <w:top w:val="none" w:sz="0" w:space="0" w:color="auto"/>
                <w:left w:val="none" w:sz="0" w:space="0" w:color="auto"/>
                <w:bottom w:val="none" w:sz="0" w:space="0" w:color="auto"/>
                <w:right w:val="none" w:sz="0" w:space="0" w:color="auto"/>
              </w:divBdr>
              <w:divsChild>
                <w:div w:id="1013072582">
                  <w:marLeft w:val="0"/>
                  <w:marRight w:val="0"/>
                  <w:marTop w:val="0"/>
                  <w:marBottom w:val="0"/>
                  <w:divBdr>
                    <w:top w:val="none" w:sz="0" w:space="0" w:color="auto"/>
                    <w:left w:val="none" w:sz="0" w:space="0" w:color="auto"/>
                    <w:bottom w:val="none" w:sz="0" w:space="0" w:color="auto"/>
                    <w:right w:val="none" w:sz="0" w:space="0" w:color="auto"/>
                  </w:divBdr>
                  <w:divsChild>
                    <w:div w:id="1912543489">
                      <w:marLeft w:val="0"/>
                      <w:marRight w:val="0"/>
                      <w:marTop w:val="0"/>
                      <w:marBottom w:val="0"/>
                      <w:divBdr>
                        <w:top w:val="none" w:sz="0" w:space="0" w:color="auto"/>
                        <w:left w:val="none" w:sz="0" w:space="0" w:color="auto"/>
                        <w:bottom w:val="none" w:sz="0" w:space="0" w:color="auto"/>
                        <w:right w:val="none" w:sz="0" w:space="0" w:color="auto"/>
                      </w:divBdr>
                      <w:divsChild>
                        <w:div w:id="1630283762">
                          <w:marLeft w:val="0"/>
                          <w:marRight w:val="0"/>
                          <w:marTop w:val="0"/>
                          <w:marBottom w:val="0"/>
                          <w:divBdr>
                            <w:top w:val="none" w:sz="0" w:space="0" w:color="auto"/>
                            <w:left w:val="none" w:sz="0" w:space="0" w:color="auto"/>
                            <w:bottom w:val="none" w:sz="0" w:space="0" w:color="auto"/>
                            <w:right w:val="none" w:sz="0" w:space="0" w:color="auto"/>
                          </w:divBdr>
                          <w:divsChild>
                            <w:div w:id="935358668">
                              <w:marLeft w:val="0"/>
                              <w:marRight w:val="0"/>
                              <w:marTop w:val="0"/>
                              <w:marBottom w:val="0"/>
                              <w:divBdr>
                                <w:top w:val="none" w:sz="0" w:space="0" w:color="auto"/>
                                <w:left w:val="none" w:sz="0" w:space="0" w:color="auto"/>
                                <w:bottom w:val="none" w:sz="0" w:space="0" w:color="auto"/>
                                <w:right w:val="none" w:sz="0" w:space="0" w:color="auto"/>
                              </w:divBdr>
                              <w:divsChild>
                                <w:div w:id="1138573428">
                                  <w:marLeft w:val="0"/>
                                  <w:marRight w:val="0"/>
                                  <w:marTop w:val="0"/>
                                  <w:marBottom w:val="0"/>
                                  <w:divBdr>
                                    <w:top w:val="none" w:sz="0" w:space="0" w:color="auto"/>
                                    <w:left w:val="none" w:sz="0" w:space="0" w:color="auto"/>
                                    <w:bottom w:val="none" w:sz="0" w:space="0" w:color="auto"/>
                                    <w:right w:val="none" w:sz="0" w:space="0" w:color="auto"/>
                                  </w:divBdr>
                                  <w:divsChild>
                                    <w:div w:id="154300926">
                                      <w:marLeft w:val="0"/>
                                      <w:marRight w:val="0"/>
                                      <w:marTop w:val="0"/>
                                      <w:marBottom w:val="0"/>
                                      <w:divBdr>
                                        <w:top w:val="none" w:sz="0" w:space="0" w:color="auto"/>
                                        <w:left w:val="none" w:sz="0" w:space="0" w:color="auto"/>
                                        <w:bottom w:val="none" w:sz="0" w:space="0" w:color="auto"/>
                                        <w:right w:val="none" w:sz="0" w:space="0" w:color="auto"/>
                                      </w:divBdr>
                                      <w:divsChild>
                                        <w:div w:id="1615208757">
                                          <w:marLeft w:val="0"/>
                                          <w:marRight w:val="0"/>
                                          <w:marTop w:val="0"/>
                                          <w:marBottom w:val="0"/>
                                          <w:divBdr>
                                            <w:top w:val="none" w:sz="0" w:space="0" w:color="auto"/>
                                            <w:left w:val="none" w:sz="0" w:space="0" w:color="auto"/>
                                            <w:bottom w:val="none" w:sz="0" w:space="0" w:color="auto"/>
                                            <w:right w:val="none" w:sz="0" w:space="0" w:color="auto"/>
                                          </w:divBdr>
                                          <w:divsChild>
                                            <w:div w:id="608391536">
                                              <w:marLeft w:val="0"/>
                                              <w:marRight w:val="0"/>
                                              <w:marTop w:val="0"/>
                                              <w:marBottom w:val="0"/>
                                              <w:divBdr>
                                                <w:top w:val="none" w:sz="0" w:space="0" w:color="auto"/>
                                                <w:left w:val="none" w:sz="0" w:space="0" w:color="auto"/>
                                                <w:bottom w:val="none" w:sz="0" w:space="0" w:color="auto"/>
                                                <w:right w:val="none" w:sz="0" w:space="0" w:color="auto"/>
                                              </w:divBdr>
                                              <w:divsChild>
                                                <w:div w:id="726684442">
                                                  <w:marLeft w:val="0"/>
                                                  <w:marRight w:val="0"/>
                                                  <w:marTop w:val="0"/>
                                                  <w:marBottom w:val="0"/>
                                                  <w:divBdr>
                                                    <w:top w:val="none" w:sz="0" w:space="0" w:color="auto"/>
                                                    <w:left w:val="none" w:sz="0" w:space="0" w:color="auto"/>
                                                    <w:bottom w:val="none" w:sz="0" w:space="0" w:color="auto"/>
                                                    <w:right w:val="none" w:sz="0" w:space="0" w:color="auto"/>
                                                  </w:divBdr>
                                                  <w:divsChild>
                                                    <w:div w:id="1985886193">
                                                      <w:marLeft w:val="0"/>
                                                      <w:marRight w:val="0"/>
                                                      <w:marTop w:val="0"/>
                                                      <w:marBottom w:val="0"/>
                                                      <w:divBdr>
                                                        <w:top w:val="single" w:sz="12" w:space="0" w:color="auto"/>
                                                        <w:left w:val="none" w:sz="0" w:space="0" w:color="auto"/>
                                                        <w:bottom w:val="none" w:sz="0" w:space="0" w:color="auto"/>
                                                        <w:right w:val="none" w:sz="0" w:space="0" w:color="auto"/>
                                                      </w:divBdr>
                                                      <w:divsChild>
                                                        <w:div w:id="1290163219">
                                                          <w:marLeft w:val="0"/>
                                                          <w:marRight w:val="0"/>
                                                          <w:marTop w:val="0"/>
                                                          <w:marBottom w:val="0"/>
                                                          <w:divBdr>
                                                            <w:top w:val="none" w:sz="0" w:space="0" w:color="auto"/>
                                                            <w:left w:val="none" w:sz="0" w:space="0" w:color="auto"/>
                                                            <w:bottom w:val="none" w:sz="0" w:space="0" w:color="auto"/>
                                                            <w:right w:val="none" w:sz="0" w:space="0" w:color="auto"/>
                                                          </w:divBdr>
                                                          <w:divsChild>
                                                            <w:div w:id="16860427">
                                                              <w:marLeft w:val="0"/>
                                                              <w:marRight w:val="0"/>
                                                              <w:marTop w:val="0"/>
                                                              <w:marBottom w:val="0"/>
                                                              <w:divBdr>
                                                                <w:top w:val="none" w:sz="0" w:space="0" w:color="auto"/>
                                                                <w:left w:val="none" w:sz="0" w:space="0" w:color="auto"/>
                                                                <w:bottom w:val="none" w:sz="0" w:space="0" w:color="auto"/>
                                                                <w:right w:val="none" w:sz="0" w:space="0" w:color="auto"/>
                                                              </w:divBdr>
                                                              <w:divsChild>
                                                                <w:div w:id="1131441887">
                                                                  <w:marLeft w:val="0"/>
                                                                  <w:marRight w:val="0"/>
                                                                  <w:marTop w:val="0"/>
                                                                  <w:marBottom w:val="0"/>
                                                                  <w:divBdr>
                                                                    <w:top w:val="none" w:sz="0" w:space="0" w:color="auto"/>
                                                                    <w:left w:val="none" w:sz="0" w:space="0" w:color="auto"/>
                                                                    <w:bottom w:val="none" w:sz="0" w:space="0" w:color="auto"/>
                                                                    <w:right w:val="none" w:sz="0" w:space="0" w:color="auto"/>
                                                                  </w:divBdr>
                                                                  <w:divsChild>
                                                                    <w:div w:id="970743016">
                                                                      <w:marLeft w:val="0"/>
                                                                      <w:marRight w:val="0"/>
                                                                      <w:marTop w:val="0"/>
                                                                      <w:marBottom w:val="0"/>
                                                                      <w:divBdr>
                                                                        <w:top w:val="none" w:sz="0" w:space="0" w:color="auto"/>
                                                                        <w:left w:val="none" w:sz="0" w:space="0" w:color="auto"/>
                                                                        <w:bottom w:val="none" w:sz="0" w:space="0" w:color="auto"/>
                                                                        <w:right w:val="none" w:sz="0" w:space="0" w:color="auto"/>
                                                                      </w:divBdr>
                                                                      <w:divsChild>
                                                                        <w:div w:id="478576003">
                                                                          <w:marLeft w:val="0"/>
                                                                          <w:marRight w:val="0"/>
                                                                          <w:marTop w:val="0"/>
                                                                          <w:marBottom w:val="0"/>
                                                                          <w:divBdr>
                                                                            <w:top w:val="none" w:sz="0" w:space="0" w:color="auto"/>
                                                                            <w:left w:val="none" w:sz="0" w:space="0" w:color="auto"/>
                                                                            <w:bottom w:val="none" w:sz="0" w:space="0" w:color="auto"/>
                                                                            <w:right w:val="none" w:sz="0" w:space="0" w:color="auto"/>
                                                                          </w:divBdr>
                                                                          <w:divsChild>
                                                                            <w:div w:id="934364122">
                                                                              <w:marLeft w:val="0"/>
                                                                              <w:marRight w:val="0"/>
                                                                              <w:marTop w:val="0"/>
                                                                              <w:marBottom w:val="0"/>
                                                                              <w:divBdr>
                                                                                <w:top w:val="none" w:sz="0" w:space="0" w:color="auto"/>
                                                                                <w:left w:val="none" w:sz="0" w:space="0" w:color="auto"/>
                                                                                <w:bottom w:val="none" w:sz="0" w:space="0" w:color="auto"/>
                                                                                <w:right w:val="none" w:sz="0" w:space="0" w:color="auto"/>
                                                                              </w:divBdr>
                                                                              <w:divsChild>
                                                                                <w:div w:id="33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4555353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777212866">
      <w:bodyDiv w:val="1"/>
      <w:marLeft w:val="0"/>
      <w:marRight w:val="0"/>
      <w:marTop w:val="0"/>
      <w:marBottom w:val="0"/>
      <w:divBdr>
        <w:top w:val="none" w:sz="0" w:space="0" w:color="auto"/>
        <w:left w:val="none" w:sz="0" w:space="0" w:color="auto"/>
        <w:bottom w:val="none" w:sz="0" w:space="0" w:color="auto"/>
        <w:right w:val="none" w:sz="0" w:space="0" w:color="auto"/>
      </w:divBdr>
    </w:div>
    <w:div w:id="799109976">
      <w:bodyDiv w:val="1"/>
      <w:marLeft w:val="0"/>
      <w:marRight w:val="0"/>
      <w:marTop w:val="0"/>
      <w:marBottom w:val="0"/>
      <w:divBdr>
        <w:top w:val="none" w:sz="0" w:space="0" w:color="auto"/>
        <w:left w:val="none" w:sz="0" w:space="0" w:color="auto"/>
        <w:bottom w:val="none" w:sz="0" w:space="0" w:color="auto"/>
        <w:right w:val="none" w:sz="0" w:space="0" w:color="auto"/>
      </w:divBdr>
    </w:div>
    <w:div w:id="814030448">
      <w:bodyDiv w:val="1"/>
      <w:marLeft w:val="0"/>
      <w:marRight w:val="0"/>
      <w:marTop w:val="0"/>
      <w:marBottom w:val="0"/>
      <w:divBdr>
        <w:top w:val="none" w:sz="0" w:space="0" w:color="auto"/>
        <w:left w:val="none" w:sz="0" w:space="0" w:color="auto"/>
        <w:bottom w:val="none" w:sz="0" w:space="0" w:color="auto"/>
        <w:right w:val="none" w:sz="0" w:space="0" w:color="auto"/>
      </w:divBdr>
      <w:divsChild>
        <w:div w:id="1082948774">
          <w:marLeft w:val="0"/>
          <w:marRight w:val="0"/>
          <w:marTop w:val="0"/>
          <w:marBottom w:val="0"/>
          <w:divBdr>
            <w:top w:val="none" w:sz="0" w:space="0" w:color="auto"/>
            <w:left w:val="none" w:sz="0" w:space="0" w:color="auto"/>
            <w:bottom w:val="none" w:sz="0" w:space="0" w:color="auto"/>
            <w:right w:val="none" w:sz="0" w:space="0" w:color="auto"/>
          </w:divBdr>
          <w:divsChild>
            <w:div w:id="130944006">
              <w:marLeft w:val="0"/>
              <w:marRight w:val="0"/>
              <w:marTop w:val="30"/>
              <w:marBottom w:val="30"/>
              <w:divBdr>
                <w:top w:val="none" w:sz="0" w:space="0" w:color="auto"/>
                <w:left w:val="none" w:sz="0" w:space="0" w:color="auto"/>
                <w:bottom w:val="none" w:sz="0" w:space="0" w:color="auto"/>
                <w:right w:val="none" w:sz="0" w:space="0" w:color="auto"/>
              </w:divBdr>
              <w:divsChild>
                <w:div w:id="73553252">
                  <w:marLeft w:val="0"/>
                  <w:marRight w:val="0"/>
                  <w:marTop w:val="0"/>
                  <w:marBottom w:val="0"/>
                  <w:divBdr>
                    <w:top w:val="none" w:sz="0" w:space="0" w:color="auto"/>
                    <w:left w:val="none" w:sz="0" w:space="0" w:color="auto"/>
                    <w:bottom w:val="none" w:sz="0" w:space="0" w:color="auto"/>
                    <w:right w:val="none" w:sz="0" w:space="0" w:color="auto"/>
                  </w:divBdr>
                  <w:divsChild>
                    <w:div w:id="561911946">
                      <w:marLeft w:val="0"/>
                      <w:marRight w:val="0"/>
                      <w:marTop w:val="0"/>
                      <w:marBottom w:val="0"/>
                      <w:divBdr>
                        <w:top w:val="none" w:sz="0" w:space="0" w:color="auto"/>
                        <w:left w:val="none" w:sz="0" w:space="0" w:color="auto"/>
                        <w:bottom w:val="none" w:sz="0" w:space="0" w:color="auto"/>
                        <w:right w:val="none" w:sz="0" w:space="0" w:color="auto"/>
                      </w:divBdr>
                    </w:div>
                  </w:divsChild>
                </w:div>
                <w:div w:id="110982381">
                  <w:marLeft w:val="0"/>
                  <w:marRight w:val="0"/>
                  <w:marTop w:val="0"/>
                  <w:marBottom w:val="0"/>
                  <w:divBdr>
                    <w:top w:val="none" w:sz="0" w:space="0" w:color="auto"/>
                    <w:left w:val="none" w:sz="0" w:space="0" w:color="auto"/>
                    <w:bottom w:val="none" w:sz="0" w:space="0" w:color="auto"/>
                    <w:right w:val="none" w:sz="0" w:space="0" w:color="auto"/>
                  </w:divBdr>
                  <w:divsChild>
                    <w:div w:id="1406146725">
                      <w:marLeft w:val="0"/>
                      <w:marRight w:val="0"/>
                      <w:marTop w:val="0"/>
                      <w:marBottom w:val="0"/>
                      <w:divBdr>
                        <w:top w:val="none" w:sz="0" w:space="0" w:color="auto"/>
                        <w:left w:val="none" w:sz="0" w:space="0" w:color="auto"/>
                        <w:bottom w:val="none" w:sz="0" w:space="0" w:color="auto"/>
                        <w:right w:val="none" w:sz="0" w:space="0" w:color="auto"/>
                      </w:divBdr>
                    </w:div>
                  </w:divsChild>
                </w:div>
                <w:div w:id="242378660">
                  <w:marLeft w:val="0"/>
                  <w:marRight w:val="0"/>
                  <w:marTop w:val="0"/>
                  <w:marBottom w:val="0"/>
                  <w:divBdr>
                    <w:top w:val="none" w:sz="0" w:space="0" w:color="auto"/>
                    <w:left w:val="none" w:sz="0" w:space="0" w:color="auto"/>
                    <w:bottom w:val="none" w:sz="0" w:space="0" w:color="auto"/>
                    <w:right w:val="none" w:sz="0" w:space="0" w:color="auto"/>
                  </w:divBdr>
                  <w:divsChild>
                    <w:div w:id="162284012">
                      <w:marLeft w:val="0"/>
                      <w:marRight w:val="0"/>
                      <w:marTop w:val="0"/>
                      <w:marBottom w:val="0"/>
                      <w:divBdr>
                        <w:top w:val="none" w:sz="0" w:space="0" w:color="auto"/>
                        <w:left w:val="none" w:sz="0" w:space="0" w:color="auto"/>
                        <w:bottom w:val="none" w:sz="0" w:space="0" w:color="auto"/>
                        <w:right w:val="none" w:sz="0" w:space="0" w:color="auto"/>
                      </w:divBdr>
                    </w:div>
                  </w:divsChild>
                </w:div>
                <w:div w:id="462315043">
                  <w:marLeft w:val="0"/>
                  <w:marRight w:val="0"/>
                  <w:marTop w:val="0"/>
                  <w:marBottom w:val="0"/>
                  <w:divBdr>
                    <w:top w:val="none" w:sz="0" w:space="0" w:color="auto"/>
                    <w:left w:val="none" w:sz="0" w:space="0" w:color="auto"/>
                    <w:bottom w:val="none" w:sz="0" w:space="0" w:color="auto"/>
                    <w:right w:val="none" w:sz="0" w:space="0" w:color="auto"/>
                  </w:divBdr>
                  <w:divsChild>
                    <w:div w:id="460005095">
                      <w:marLeft w:val="0"/>
                      <w:marRight w:val="0"/>
                      <w:marTop w:val="0"/>
                      <w:marBottom w:val="0"/>
                      <w:divBdr>
                        <w:top w:val="none" w:sz="0" w:space="0" w:color="auto"/>
                        <w:left w:val="none" w:sz="0" w:space="0" w:color="auto"/>
                        <w:bottom w:val="none" w:sz="0" w:space="0" w:color="auto"/>
                        <w:right w:val="none" w:sz="0" w:space="0" w:color="auto"/>
                      </w:divBdr>
                    </w:div>
                  </w:divsChild>
                </w:div>
                <w:div w:id="478838585">
                  <w:marLeft w:val="0"/>
                  <w:marRight w:val="0"/>
                  <w:marTop w:val="0"/>
                  <w:marBottom w:val="0"/>
                  <w:divBdr>
                    <w:top w:val="none" w:sz="0" w:space="0" w:color="auto"/>
                    <w:left w:val="none" w:sz="0" w:space="0" w:color="auto"/>
                    <w:bottom w:val="none" w:sz="0" w:space="0" w:color="auto"/>
                    <w:right w:val="none" w:sz="0" w:space="0" w:color="auto"/>
                  </w:divBdr>
                  <w:divsChild>
                    <w:div w:id="600799701">
                      <w:marLeft w:val="0"/>
                      <w:marRight w:val="0"/>
                      <w:marTop w:val="0"/>
                      <w:marBottom w:val="0"/>
                      <w:divBdr>
                        <w:top w:val="none" w:sz="0" w:space="0" w:color="auto"/>
                        <w:left w:val="none" w:sz="0" w:space="0" w:color="auto"/>
                        <w:bottom w:val="none" w:sz="0" w:space="0" w:color="auto"/>
                        <w:right w:val="none" w:sz="0" w:space="0" w:color="auto"/>
                      </w:divBdr>
                    </w:div>
                  </w:divsChild>
                </w:div>
                <w:div w:id="526913157">
                  <w:marLeft w:val="0"/>
                  <w:marRight w:val="0"/>
                  <w:marTop w:val="0"/>
                  <w:marBottom w:val="0"/>
                  <w:divBdr>
                    <w:top w:val="none" w:sz="0" w:space="0" w:color="auto"/>
                    <w:left w:val="none" w:sz="0" w:space="0" w:color="auto"/>
                    <w:bottom w:val="none" w:sz="0" w:space="0" w:color="auto"/>
                    <w:right w:val="none" w:sz="0" w:space="0" w:color="auto"/>
                  </w:divBdr>
                  <w:divsChild>
                    <w:div w:id="1392540703">
                      <w:marLeft w:val="0"/>
                      <w:marRight w:val="0"/>
                      <w:marTop w:val="0"/>
                      <w:marBottom w:val="0"/>
                      <w:divBdr>
                        <w:top w:val="none" w:sz="0" w:space="0" w:color="auto"/>
                        <w:left w:val="none" w:sz="0" w:space="0" w:color="auto"/>
                        <w:bottom w:val="none" w:sz="0" w:space="0" w:color="auto"/>
                        <w:right w:val="none" w:sz="0" w:space="0" w:color="auto"/>
                      </w:divBdr>
                    </w:div>
                    <w:div w:id="1856461985">
                      <w:marLeft w:val="0"/>
                      <w:marRight w:val="0"/>
                      <w:marTop w:val="0"/>
                      <w:marBottom w:val="0"/>
                      <w:divBdr>
                        <w:top w:val="none" w:sz="0" w:space="0" w:color="auto"/>
                        <w:left w:val="none" w:sz="0" w:space="0" w:color="auto"/>
                        <w:bottom w:val="none" w:sz="0" w:space="0" w:color="auto"/>
                        <w:right w:val="none" w:sz="0" w:space="0" w:color="auto"/>
                      </w:divBdr>
                    </w:div>
                  </w:divsChild>
                </w:div>
                <w:div w:id="559678596">
                  <w:marLeft w:val="0"/>
                  <w:marRight w:val="0"/>
                  <w:marTop w:val="0"/>
                  <w:marBottom w:val="0"/>
                  <w:divBdr>
                    <w:top w:val="none" w:sz="0" w:space="0" w:color="auto"/>
                    <w:left w:val="none" w:sz="0" w:space="0" w:color="auto"/>
                    <w:bottom w:val="none" w:sz="0" w:space="0" w:color="auto"/>
                    <w:right w:val="none" w:sz="0" w:space="0" w:color="auto"/>
                  </w:divBdr>
                  <w:divsChild>
                    <w:div w:id="406534069">
                      <w:marLeft w:val="0"/>
                      <w:marRight w:val="0"/>
                      <w:marTop w:val="0"/>
                      <w:marBottom w:val="0"/>
                      <w:divBdr>
                        <w:top w:val="none" w:sz="0" w:space="0" w:color="auto"/>
                        <w:left w:val="none" w:sz="0" w:space="0" w:color="auto"/>
                        <w:bottom w:val="none" w:sz="0" w:space="0" w:color="auto"/>
                        <w:right w:val="none" w:sz="0" w:space="0" w:color="auto"/>
                      </w:divBdr>
                    </w:div>
                    <w:div w:id="616520124">
                      <w:marLeft w:val="0"/>
                      <w:marRight w:val="0"/>
                      <w:marTop w:val="0"/>
                      <w:marBottom w:val="0"/>
                      <w:divBdr>
                        <w:top w:val="none" w:sz="0" w:space="0" w:color="auto"/>
                        <w:left w:val="none" w:sz="0" w:space="0" w:color="auto"/>
                        <w:bottom w:val="none" w:sz="0" w:space="0" w:color="auto"/>
                        <w:right w:val="none" w:sz="0" w:space="0" w:color="auto"/>
                      </w:divBdr>
                    </w:div>
                    <w:div w:id="1991715650">
                      <w:marLeft w:val="0"/>
                      <w:marRight w:val="0"/>
                      <w:marTop w:val="0"/>
                      <w:marBottom w:val="0"/>
                      <w:divBdr>
                        <w:top w:val="none" w:sz="0" w:space="0" w:color="auto"/>
                        <w:left w:val="none" w:sz="0" w:space="0" w:color="auto"/>
                        <w:bottom w:val="none" w:sz="0" w:space="0" w:color="auto"/>
                        <w:right w:val="none" w:sz="0" w:space="0" w:color="auto"/>
                      </w:divBdr>
                    </w:div>
                  </w:divsChild>
                </w:div>
                <w:div w:id="784077913">
                  <w:marLeft w:val="0"/>
                  <w:marRight w:val="0"/>
                  <w:marTop w:val="0"/>
                  <w:marBottom w:val="0"/>
                  <w:divBdr>
                    <w:top w:val="none" w:sz="0" w:space="0" w:color="auto"/>
                    <w:left w:val="none" w:sz="0" w:space="0" w:color="auto"/>
                    <w:bottom w:val="none" w:sz="0" w:space="0" w:color="auto"/>
                    <w:right w:val="none" w:sz="0" w:space="0" w:color="auto"/>
                  </w:divBdr>
                  <w:divsChild>
                    <w:div w:id="401879375">
                      <w:marLeft w:val="0"/>
                      <w:marRight w:val="0"/>
                      <w:marTop w:val="0"/>
                      <w:marBottom w:val="0"/>
                      <w:divBdr>
                        <w:top w:val="none" w:sz="0" w:space="0" w:color="auto"/>
                        <w:left w:val="none" w:sz="0" w:space="0" w:color="auto"/>
                        <w:bottom w:val="none" w:sz="0" w:space="0" w:color="auto"/>
                        <w:right w:val="none" w:sz="0" w:space="0" w:color="auto"/>
                      </w:divBdr>
                    </w:div>
                  </w:divsChild>
                </w:div>
                <w:div w:id="808746958">
                  <w:marLeft w:val="0"/>
                  <w:marRight w:val="0"/>
                  <w:marTop w:val="0"/>
                  <w:marBottom w:val="0"/>
                  <w:divBdr>
                    <w:top w:val="none" w:sz="0" w:space="0" w:color="auto"/>
                    <w:left w:val="none" w:sz="0" w:space="0" w:color="auto"/>
                    <w:bottom w:val="none" w:sz="0" w:space="0" w:color="auto"/>
                    <w:right w:val="none" w:sz="0" w:space="0" w:color="auto"/>
                  </w:divBdr>
                  <w:divsChild>
                    <w:div w:id="182134061">
                      <w:marLeft w:val="0"/>
                      <w:marRight w:val="0"/>
                      <w:marTop w:val="0"/>
                      <w:marBottom w:val="0"/>
                      <w:divBdr>
                        <w:top w:val="none" w:sz="0" w:space="0" w:color="auto"/>
                        <w:left w:val="none" w:sz="0" w:space="0" w:color="auto"/>
                        <w:bottom w:val="none" w:sz="0" w:space="0" w:color="auto"/>
                        <w:right w:val="none" w:sz="0" w:space="0" w:color="auto"/>
                      </w:divBdr>
                    </w:div>
                  </w:divsChild>
                </w:div>
                <w:div w:id="849836834">
                  <w:marLeft w:val="0"/>
                  <w:marRight w:val="0"/>
                  <w:marTop w:val="0"/>
                  <w:marBottom w:val="0"/>
                  <w:divBdr>
                    <w:top w:val="none" w:sz="0" w:space="0" w:color="auto"/>
                    <w:left w:val="none" w:sz="0" w:space="0" w:color="auto"/>
                    <w:bottom w:val="none" w:sz="0" w:space="0" w:color="auto"/>
                    <w:right w:val="none" w:sz="0" w:space="0" w:color="auto"/>
                  </w:divBdr>
                  <w:divsChild>
                    <w:div w:id="748191247">
                      <w:marLeft w:val="0"/>
                      <w:marRight w:val="0"/>
                      <w:marTop w:val="0"/>
                      <w:marBottom w:val="0"/>
                      <w:divBdr>
                        <w:top w:val="none" w:sz="0" w:space="0" w:color="auto"/>
                        <w:left w:val="none" w:sz="0" w:space="0" w:color="auto"/>
                        <w:bottom w:val="none" w:sz="0" w:space="0" w:color="auto"/>
                        <w:right w:val="none" w:sz="0" w:space="0" w:color="auto"/>
                      </w:divBdr>
                    </w:div>
                  </w:divsChild>
                </w:div>
                <w:div w:id="1261568561">
                  <w:marLeft w:val="0"/>
                  <w:marRight w:val="0"/>
                  <w:marTop w:val="0"/>
                  <w:marBottom w:val="0"/>
                  <w:divBdr>
                    <w:top w:val="none" w:sz="0" w:space="0" w:color="auto"/>
                    <w:left w:val="none" w:sz="0" w:space="0" w:color="auto"/>
                    <w:bottom w:val="none" w:sz="0" w:space="0" w:color="auto"/>
                    <w:right w:val="none" w:sz="0" w:space="0" w:color="auto"/>
                  </w:divBdr>
                  <w:divsChild>
                    <w:div w:id="1291126866">
                      <w:marLeft w:val="0"/>
                      <w:marRight w:val="0"/>
                      <w:marTop w:val="0"/>
                      <w:marBottom w:val="0"/>
                      <w:divBdr>
                        <w:top w:val="none" w:sz="0" w:space="0" w:color="auto"/>
                        <w:left w:val="none" w:sz="0" w:space="0" w:color="auto"/>
                        <w:bottom w:val="none" w:sz="0" w:space="0" w:color="auto"/>
                        <w:right w:val="none" w:sz="0" w:space="0" w:color="auto"/>
                      </w:divBdr>
                    </w:div>
                  </w:divsChild>
                </w:div>
                <w:div w:id="1880819636">
                  <w:marLeft w:val="0"/>
                  <w:marRight w:val="0"/>
                  <w:marTop w:val="0"/>
                  <w:marBottom w:val="0"/>
                  <w:divBdr>
                    <w:top w:val="none" w:sz="0" w:space="0" w:color="auto"/>
                    <w:left w:val="none" w:sz="0" w:space="0" w:color="auto"/>
                    <w:bottom w:val="none" w:sz="0" w:space="0" w:color="auto"/>
                    <w:right w:val="none" w:sz="0" w:space="0" w:color="auto"/>
                  </w:divBdr>
                  <w:divsChild>
                    <w:div w:id="354312812">
                      <w:marLeft w:val="0"/>
                      <w:marRight w:val="0"/>
                      <w:marTop w:val="0"/>
                      <w:marBottom w:val="0"/>
                      <w:divBdr>
                        <w:top w:val="none" w:sz="0" w:space="0" w:color="auto"/>
                        <w:left w:val="none" w:sz="0" w:space="0" w:color="auto"/>
                        <w:bottom w:val="none" w:sz="0" w:space="0" w:color="auto"/>
                        <w:right w:val="none" w:sz="0" w:space="0" w:color="auto"/>
                      </w:divBdr>
                    </w:div>
                  </w:divsChild>
                </w:div>
                <w:div w:id="1927691996">
                  <w:marLeft w:val="0"/>
                  <w:marRight w:val="0"/>
                  <w:marTop w:val="0"/>
                  <w:marBottom w:val="0"/>
                  <w:divBdr>
                    <w:top w:val="none" w:sz="0" w:space="0" w:color="auto"/>
                    <w:left w:val="none" w:sz="0" w:space="0" w:color="auto"/>
                    <w:bottom w:val="none" w:sz="0" w:space="0" w:color="auto"/>
                    <w:right w:val="none" w:sz="0" w:space="0" w:color="auto"/>
                  </w:divBdr>
                  <w:divsChild>
                    <w:div w:id="1301158039">
                      <w:marLeft w:val="0"/>
                      <w:marRight w:val="0"/>
                      <w:marTop w:val="0"/>
                      <w:marBottom w:val="0"/>
                      <w:divBdr>
                        <w:top w:val="none" w:sz="0" w:space="0" w:color="auto"/>
                        <w:left w:val="none" w:sz="0" w:space="0" w:color="auto"/>
                        <w:bottom w:val="none" w:sz="0" w:space="0" w:color="auto"/>
                        <w:right w:val="none" w:sz="0" w:space="0" w:color="auto"/>
                      </w:divBdr>
                    </w:div>
                  </w:divsChild>
                </w:div>
                <w:div w:id="1960068063">
                  <w:marLeft w:val="0"/>
                  <w:marRight w:val="0"/>
                  <w:marTop w:val="0"/>
                  <w:marBottom w:val="0"/>
                  <w:divBdr>
                    <w:top w:val="none" w:sz="0" w:space="0" w:color="auto"/>
                    <w:left w:val="none" w:sz="0" w:space="0" w:color="auto"/>
                    <w:bottom w:val="none" w:sz="0" w:space="0" w:color="auto"/>
                    <w:right w:val="none" w:sz="0" w:space="0" w:color="auto"/>
                  </w:divBdr>
                  <w:divsChild>
                    <w:div w:id="9698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194883045">
      <w:bodyDiv w:val="1"/>
      <w:marLeft w:val="0"/>
      <w:marRight w:val="0"/>
      <w:marTop w:val="0"/>
      <w:marBottom w:val="0"/>
      <w:divBdr>
        <w:top w:val="none" w:sz="0" w:space="0" w:color="auto"/>
        <w:left w:val="none" w:sz="0" w:space="0" w:color="auto"/>
        <w:bottom w:val="none" w:sz="0" w:space="0" w:color="auto"/>
        <w:right w:val="none" w:sz="0" w:space="0" w:color="auto"/>
      </w:divBdr>
    </w:div>
    <w:div w:id="1195189935">
      <w:bodyDiv w:val="1"/>
      <w:marLeft w:val="0"/>
      <w:marRight w:val="0"/>
      <w:marTop w:val="0"/>
      <w:marBottom w:val="0"/>
      <w:divBdr>
        <w:top w:val="none" w:sz="0" w:space="0" w:color="auto"/>
        <w:left w:val="none" w:sz="0" w:space="0" w:color="auto"/>
        <w:bottom w:val="none" w:sz="0" w:space="0" w:color="auto"/>
        <w:right w:val="none" w:sz="0" w:space="0" w:color="auto"/>
      </w:divBdr>
    </w:div>
    <w:div w:id="1202061807">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289239889">
      <w:bodyDiv w:val="1"/>
      <w:marLeft w:val="0"/>
      <w:marRight w:val="0"/>
      <w:marTop w:val="0"/>
      <w:marBottom w:val="0"/>
      <w:divBdr>
        <w:top w:val="none" w:sz="0" w:space="0" w:color="auto"/>
        <w:left w:val="none" w:sz="0" w:space="0" w:color="auto"/>
        <w:bottom w:val="none" w:sz="0" w:space="0" w:color="auto"/>
        <w:right w:val="none" w:sz="0" w:space="0" w:color="auto"/>
      </w:divBdr>
    </w:div>
    <w:div w:id="1336104462">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650063">
      <w:bodyDiv w:val="1"/>
      <w:marLeft w:val="0"/>
      <w:marRight w:val="0"/>
      <w:marTop w:val="0"/>
      <w:marBottom w:val="0"/>
      <w:divBdr>
        <w:top w:val="none" w:sz="0" w:space="0" w:color="auto"/>
        <w:left w:val="none" w:sz="0" w:space="0" w:color="auto"/>
        <w:bottom w:val="none" w:sz="0" w:space="0" w:color="auto"/>
        <w:right w:val="none" w:sz="0" w:space="0" w:color="auto"/>
      </w:divBdr>
      <w:divsChild>
        <w:div w:id="62029635">
          <w:marLeft w:val="0"/>
          <w:marRight w:val="0"/>
          <w:marTop w:val="0"/>
          <w:marBottom w:val="0"/>
          <w:divBdr>
            <w:top w:val="none" w:sz="0" w:space="0" w:color="auto"/>
            <w:left w:val="none" w:sz="0" w:space="0" w:color="auto"/>
            <w:bottom w:val="none" w:sz="0" w:space="0" w:color="auto"/>
            <w:right w:val="none" w:sz="0" w:space="0" w:color="auto"/>
          </w:divBdr>
        </w:div>
        <w:div w:id="180507614">
          <w:marLeft w:val="0"/>
          <w:marRight w:val="0"/>
          <w:marTop w:val="0"/>
          <w:marBottom w:val="0"/>
          <w:divBdr>
            <w:top w:val="none" w:sz="0" w:space="0" w:color="auto"/>
            <w:left w:val="none" w:sz="0" w:space="0" w:color="auto"/>
            <w:bottom w:val="none" w:sz="0" w:space="0" w:color="auto"/>
            <w:right w:val="none" w:sz="0" w:space="0" w:color="auto"/>
          </w:divBdr>
        </w:div>
        <w:div w:id="248782959">
          <w:marLeft w:val="0"/>
          <w:marRight w:val="0"/>
          <w:marTop w:val="0"/>
          <w:marBottom w:val="0"/>
          <w:divBdr>
            <w:top w:val="none" w:sz="0" w:space="0" w:color="auto"/>
            <w:left w:val="none" w:sz="0" w:space="0" w:color="auto"/>
            <w:bottom w:val="none" w:sz="0" w:space="0" w:color="auto"/>
            <w:right w:val="none" w:sz="0" w:space="0" w:color="auto"/>
          </w:divBdr>
        </w:div>
        <w:div w:id="312762073">
          <w:marLeft w:val="0"/>
          <w:marRight w:val="0"/>
          <w:marTop w:val="0"/>
          <w:marBottom w:val="0"/>
          <w:divBdr>
            <w:top w:val="none" w:sz="0" w:space="0" w:color="auto"/>
            <w:left w:val="none" w:sz="0" w:space="0" w:color="auto"/>
            <w:bottom w:val="none" w:sz="0" w:space="0" w:color="auto"/>
            <w:right w:val="none" w:sz="0" w:space="0" w:color="auto"/>
          </w:divBdr>
        </w:div>
        <w:div w:id="522210680">
          <w:marLeft w:val="0"/>
          <w:marRight w:val="0"/>
          <w:marTop w:val="0"/>
          <w:marBottom w:val="0"/>
          <w:divBdr>
            <w:top w:val="none" w:sz="0" w:space="0" w:color="auto"/>
            <w:left w:val="none" w:sz="0" w:space="0" w:color="auto"/>
            <w:bottom w:val="none" w:sz="0" w:space="0" w:color="auto"/>
            <w:right w:val="none" w:sz="0" w:space="0" w:color="auto"/>
          </w:divBdr>
        </w:div>
        <w:div w:id="1292906480">
          <w:marLeft w:val="0"/>
          <w:marRight w:val="0"/>
          <w:marTop w:val="0"/>
          <w:marBottom w:val="0"/>
          <w:divBdr>
            <w:top w:val="none" w:sz="0" w:space="0" w:color="auto"/>
            <w:left w:val="none" w:sz="0" w:space="0" w:color="auto"/>
            <w:bottom w:val="none" w:sz="0" w:space="0" w:color="auto"/>
            <w:right w:val="none" w:sz="0" w:space="0" w:color="auto"/>
          </w:divBdr>
        </w:div>
        <w:div w:id="1447312164">
          <w:marLeft w:val="0"/>
          <w:marRight w:val="0"/>
          <w:marTop w:val="0"/>
          <w:marBottom w:val="0"/>
          <w:divBdr>
            <w:top w:val="none" w:sz="0" w:space="0" w:color="auto"/>
            <w:left w:val="none" w:sz="0" w:space="0" w:color="auto"/>
            <w:bottom w:val="none" w:sz="0" w:space="0" w:color="auto"/>
            <w:right w:val="none" w:sz="0" w:space="0" w:color="auto"/>
          </w:divBdr>
        </w:div>
        <w:div w:id="1753312690">
          <w:marLeft w:val="0"/>
          <w:marRight w:val="0"/>
          <w:marTop w:val="0"/>
          <w:marBottom w:val="0"/>
          <w:divBdr>
            <w:top w:val="none" w:sz="0" w:space="0" w:color="auto"/>
            <w:left w:val="none" w:sz="0" w:space="0" w:color="auto"/>
            <w:bottom w:val="none" w:sz="0" w:space="0" w:color="auto"/>
            <w:right w:val="none" w:sz="0" w:space="0" w:color="auto"/>
          </w:divBdr>
        </w:div>
        <w:div w:id="1764035311">
          <w:marLeft w:val="0"/>
          <w:marRight w:val="0"/>
          <w:marTop w:val="0"/>
          <w:marBottom w:val="0"/>
          <w:divBdr>
            <w:top w:val="none" w:sz="0" w:space="0" w:color="auto"/>
            <w:left w:val="none" w:sz="0" w:space="0" w:color="auto"/>
            <w:bottom w:val="none" w:sz="0" w:space="0" w:color="auto"/>
            <w:right w:val="none" w:sz="0" w:space="0" w:color="auto"/>
          </w:divBdr>
        </w:div>
        <w:div w:id="1851796803">
          <w:marLeft w:val="0"/>
          <w:marRight w:val="0"/>
          <w:marTop w:val="0"/>
          <w:marBottom w:val="0"/>
          <w:divBdr>
            <w:top w:val="none" w:sz="0" w:space="0" w:color="auto"/>
            <w:left w:val="none" w:sz="0" w:space="0" w:color="auto"/>
            <w:bottom w:val="none" w:sz="0" w:space="0" w:color="auto"/>
            <w:right w:val="none" w:sz="0" w:space="0" w:color="auto"/>
          </w:divBdr>
        </w:div>
        <w:div w:id="2026009558">
          <w:marLeft w:val="0"/>
          <w:marRight w:val="0"/>
          <w:marTop w:val="0"/>
          <w:marBottom w:val="0"/>
          <w:divBdr>
            <w:top w:val="none" w:sz="0" w:space="0" w:color="auto"/>
            <w:left w:val="none" w:sz="0" w:space="0" w:color="auto"/>
            <w:bottom w:val="none" w:sz="0" w:space="0" w:color="auto"/>
            <w:right w:val="none" w:sz="0" w:space="0" w:color="auto"/>
          </w:divBdr>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662806055">
      <w:bodyDiv w:val="1"/>
      <w:marLeft w:val="0"/>
      <w:marRight w:val="0"/>
      <w:marTop w:val="0"/>
      <w:marBottom w:val="0"/>
      <w:divBdr>
        <w:top w:val="none" w:sz="0" w:space="0" w:color="auto"/>
        <w:left w:val="none" w:sz="0" w:space="0" w:color="auto"/>
        <w:bottom w:val="none" w:sz="0" w:space="0" w:color="auto"/>
        <w:right w:val="none" w:sz="0" w:space="0" w:color="auto"/>
      </w:divBdr>
    </w:div>
    <w:div w:id="1665085232">
      <w:bodyDiv w:val="1"/>
      <w:marLeft w:val="0"/>
      <w:marRight w:val="0"/>
      <w:marTop w:val="0"/>
      <w:marBottom w:val="0"/>
      <w:divBdr>
        <w:top w:val="none" w:sz="0" w:space="0" w:color="auto"/>
        <w:left w:val="none" w:sz="0" w:space="0" w:color="auto"/>
        <w:bottom w:val="none" w:sz="0" w:space="0" w:color="auto"/>
        <w:right w:val="none" w:sz="0" w:space="0" w:color="auto"/>
      </w:divBdr>
      <w:divsChild>
        <w:div w:id="364061571">
          <w:marLeft w:val="0"/>
          <w:marRight w:val="0"/>
          <w:marTop w:val="0"/>
          <w:marBottom w:val="0"/>
          <w:divBdr>
            <w:top w:val="none" w:sz="0" w:space="0" w:color="auto"/>
            <w:left w:val="none" w:sz="0" w:space="0" w:color="auto"/>
            <w:bottom w:val="none" w:sz="0" w:space="0" w:color="auto"/>
            <w:right w:val="none" w:sz="0" w:space="0" w:color="auto"/>
          </w:divBdr>
        </w:div>
        <w:div w:id="1830251880">
          <w:marLeft w:val="0"/>
          <w:marRight w:val="0"/>
          <w:marTop w:val="0"/>
          <w:marBottom w:val="0"/>
          <w:divBdr>
            <w:top w:val="none" w:sz="0" w:space="0" w:color="auto"/>
            <w:left w:val="none" w:sz="0" w:space="0" w:color="auto"/>
            <w:bottom w:val="none" w:sz="0" w:space="0" w:color="auto"/>
            <w:right w:val="none" w:sz="0" w:space="0" w:color="auto"/>
          </w:divBdr>
        </w:div>
      </w:divsChild>
    </w:div>
    <w:div w:id="1688798919">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20407305">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3246425">
      <w:bodyDiv w:val="1"/>
      <w:marLeft w:val="0"/>
      <w:marRight w:val="0"/>
      <w:marTop w:val="0"/>
      <w:marBottom w:val="0"/>
      <w:divBdr>
        <w:top w:val="none" w:sz="0" w:space="0" w:color="auto"/>
        <w:left w:val="none" w:sz="0" w:space="0" w:color="auto"/>
        <w:bottom w:val="none" w:sz="0" w:space="0" w:color="auto"/>
        <w:right w:val="none" w:sz="0" w:space="0" w:color="auto"/>
      </w:divBdr>
    </w:div>
    <w:div w:id="2040353003">
      <w:bodyDiv w:val="1"/>
      <w:marLeft w:val="0"/>
      <w:marRight w:val="0"/>
      <w:marTop w:val="0"/>
      <w:marBottom w:val="0"/>
      <w:divBdr>
        <w:top w:val="none" w:sz="0" w:space="0" w:color="auto"/>
        <w:left w:val="none" w:sz="0" w:space="0" w:color="auto"/>
        <w:bottom w:val="none" w:sz="0" w:space="0" w:color="auto"/>
        <w:right w:val="none" w:sz="0" w:space="0" w:color="auto"/>
      </w:divBdr>
    </w:div>
    <w:div w:id="2047632597">
      <w:bodyDiv w:val="1"/>
      <w:marLeft w:val="0"/>
      <w:marRight w:val="0"/>
      <w:marTop w:val="0"/>
      <w:marBottom w:val="0"/>
      <w:divBdr>
        <w:top w:val="none" w:sz="0" w:space="0" w:color="auto"/>
        <w:left w:val="none" w:sz="0" w:space="0" w:color="auto"/>
        <w:bottom w:val="none" w:sz="0" w:space="0" w:color="auto"/>
        <w:right w:val="none" w:sz="0" w:space="0" w:color="auto"/>
      </w:divBdr>
      <w:divsChild>
        <w:div w:id="144393106">
          <w:marLeft w:val="0"/>
          <w:marRight w:val="0"/>
          <w:marTop w:val="0"/>
          <w:marBottom w:val="0"/>
          <w:divBdr>
            <w:top w:val="none" w:sz="0" w:space="0" w:color="auto"/>
            <w:left w:val="none" w:sz="0" w:space="0" w:color="auto"/>
            <w:bottom w:val="none" w:sz="0" w:space="0" w:color="auto"/>
            <w:right w:val="none" w:sz="0" w:space="0" w:color="auto"/>
          </w:divBdr>
          <w:divsChild>
            <w:div w:id="503009936">
              <w:marLeft w:val="0"/>
              <w:marRight w:val="0"/>
              <w:marTop w:val="0"/>
              <w:marBottom w:val="0"/>
              <w:divBdr>
                <w:top w:val="none" w:sz="0" w:space="0" w:color="auto"/>
                <w:left w:val="none" w:sz="0" w:space="0" w:color="auto"/>
                <w:bottom w:val="none" w:sz="0" w:space="0" w:color="auto"/>
                <w:right w:val="none" w:sz="0" w:space="0" w:color="auto"/>
              </w:divBdr>
            </w:div>
          </w:divsChild>
        </w:div>
        <w:div w:id="239489188">
          <w:marLeft w:val="0"/>
          <w:marRight w:val="0"/>
          <w:marTop w:val="0"/>
          <w:marBottom w:val="0"/>
          <w:divBdr>
            <w:top w:val="none" w:sz="0" w:space="0" w:color="auto"/>
            <w:left w:val="none" w:sz="0" w:space="0" w:color="auto"/>
            <w:bottom w:val="none" w:sz="0" w:space="0" w:color="auto"/>
            <w:right w:val="none" w:sz="0" w:space="0" w:color="auto"/>
          </w:divBdr>
          <w:divsChild>
            <w:div w:id="1652445230">
              <w:marLeft w:val="0"/>
              <w:marRight w:val="0"/>
              <w:marTop w:val="0"/>
              <w:marBottom w:val="0"/>
              <w:divBdr>
                <w:top w:val="none" w:sz="0" w:space="0" w:color="auto"/>
                <w:left w:val="none" w:sz="0" w:space="0" w:color="auto"/>
                <w:bottom w:val="none" w:sz="0" w:space="0" w:color="auto"/>
                <w:right w:val="none" w:sz="0" w:space="0" w:color="auto"/>
              </w:divBdr>
            </w:div>
          </w:divsChild>
        </w:div>
        <w:div w:id="239679677">
          <w:marLeft w:val="0"/>
          <w:marRight w:val="0"/>
          <w:marTop w:val="0"/>
          <w:marBottom w:val="0"/>
          <w:divBdr>
            <w:top w:val="none" w:sz="0" w:space="0" w:color="auto"/>
            <w:left w:val="none" w:sz="0" w:space="0" w:color="auto"/>
            <w:bottom w:val="none" w:sz="0" w:space="0" w:color="auto"/>
            <w:right w:val="none" w:sz="0" w:space="0" w:color="auto"/>
          </w:divBdr>
          <w:divsChild>
            <w:div w:id="1297295567">
              <w:marLeft w:val="0"/>
              <w:marRight w:val="0"/>
              <w:marTop w:val="0"/>
              <w:marBottom w:val="0"/>
              <w:divBdr>
                <w:top w:val="none" w:sz="0" w:space="0" w:color="auto"/>
                <w:left w:val="none" w:sz="0" w:space="0" w:color="auto"/>
                <w:bottom w:val="none" w:sz="0" w:space="0" w:color="auto"/>
                <w:right w:val="none" w:sz="0" w:space="0" w:color="auto"/>
              </w:divBdr>
            </w:div>
          </w:divsChild>
        </w:div>
        <w:div w:id="367804780">
          <w:marLeft w:val="0"/>
          <w:marRight w:val="0"/>
          <w:marTop w:val="0"/>
          <w:marBottom w:val="0"/>
          <w:divBdr>
            <w:top w:val="none" w:sz="0" w:space="0" w:color="auto"/>
            <w:left w:val="none" w:sz="0" w:space="0" w:color="auto"/>
            <w:bottom w:val="none" w:sz="0" w:space="0" w:color="auto"/>
            <w:right w:val="none" w:sz="0" w:space="0" w:color="auto"/>
          </w:divBdr>
          <w:divsChild>
            <w:div w:id="1313366383">
              <w:marLeft w:val="0"/>
              <w:marRight w:val="0"/>
              <w:marTop w:val="0"/>
              <w:marBottom w:val="0"/>
              <w:divBdr>
                <w:top w:val="none" w:sz="0" w:space="0" w:color="auto"/>
                <w:left w:val="none" w:sz="0" w:space="0" w:color="auto"/>
                <w:bottom w:val="none" w:sz="0" w:space="0" w:color="auto"/>
                <w:right w:val="none" w:sz="0" w:space="0" w:color="auto"/>
              </w:divBdr>
            </w:div>
          </w:divsChild>
        </w:div>
        <w:div w:id="557789775">
          <w:marLeft w:val="0"/>
          <w:marRight w:val="0"/>
          <w:marTop w:val="0"/>
          <w:marBottom w:val="0"/>
          <w:divBdr>
            <w:top w:val="none" w:sz="0" w:space="0" w:color="auto"/>
            <w:left w:val="none" w:sz="0" w:space="0" w:color="auto"/>
            <w:bottom w:val="none" w:sz="0" w:space="0" w:color="auto"/>
            <w:right w:val="none" w:sz="0" w:space="0" w:color="auto"/>
          </w:divBdr>
          <w:divsChild>
            <w:div w:id="1853521783">
              <w:marLeft w:val="0"/>
              <w:marRight w:val="0"/>
              <w:marTop w:val="0"/>
              <w:marBottom w:val="0"/>
              <w:divBdr>
                <w:top w:val="none" w:sz="0" w:space="0" w:color="auto"/>
                <w:left w:val="none" w:sz="0" w:space="0" w:color="auto"/>
                <w:bottom w:val="none" w:sz="0" w:space="0" w:color="auto"/>
                <w:right w:val="none" w:sz="0" w:space="0" w:color="auto"/>
              </w:divBdr>
            </w:div>
          </w:divsChild>
        </w:div>
        <w:div w:id="689111795">
          <w:marLeft w:val="0"/>
          <w:marRight w:val="0"/>
          <w:marTop w:val="0"/>
          <w:marBottom w:val="0"/>
          <w:divBdr>
            <w:top w:val="none" w:sz="0" w:space="0" w:color="auto"/>
            <w:left w:val="none" w:sz="0" w:space="0" w:color="auto"/>
            <w:bottom w:val="none" w:sz="0" w:space="0" w:color="auto"/>
            <w:right w:val="none" w:sz="0" w:space="0" w:color="auto"/>
          </w:divBdr>
          <w:divsChild>
            <w:div w:id="636838153">
              <w:marLeft w:val="0"/>
              <w:marRight w:val="0"/>
              <w:marTop w:val="0"/>
              <w:marBottom w:val="0"/>
              <w:divBdr>
                <w:top w:val="none" w:sz="0" w:space="0" w:color="auto"/>
                <w:left w:val="none" w:sz="0" w:space="0" w:color="auto"/>
                <w:bottom w:val="none" w:sz="0" w:space="0" w:color="auto"/>
                <w:right w:val="none" w:sz="0" w:space="0" w:color="auto"/>
              </w:divBdr>
            </w:div>
          </w:divsChild>
        </w:div>
        <w:div w:id="925845493">
          <w:marLeft w:val="0"/>
          <w:marRight w:val="0"/>
          <w:marTop w:val="0"/>
          <w:marBottom w:val="0"/>
          <w:divBdr>
            <w:top w:val="none" w:sz="0" w:space="0" w:color="auto"/>
            <w:left w:val="none" w:sz="0" w:space="0" w:color="auto"/>
            <w:bottom w:val="none" w:sz="0" w:space="0" w:color="auto"/>
            <w:right w:val="none" w:sz="0" w:space="0" w:color="auto"/>
          </w:divBdr>
          <w:divsChild>
            <w:div w:id="447504005">
              <w:marLeft w:val="0"/>
              <w:marRight w:val="0"/>
              <w:marTop w:val="0"/>
              <w:marBottom w:val="0"/>
              <w:divBdr>
                <w:top w:val="none" w:sz="0" w:space="0" w:color="auto"/>
                <w:left w:val="none" w:sz="0" w:space="0" w:color="auto"/>
                <w:bottom w:val="none" w:sz="0" w:space="0" w:color="auto"/>
                <w:right w:val="none" w:sz="0" w:space="0" w:color="auto"/>
              </w:divBdr>
            </w:div>
          </w:divsChild>
        </w:div>
        <w:div w:id="1009214907">
          <w:marLeft w:val="0"/>
          <w:marRight w:val="0"/>
          <w:marTop w:val="0"/>
          <w:marBottom w:val="0"/>
          <w:divBdr>
            <w:top w:val="none" w:sz="0" w:space="0" w:color="auto"/>
            <w:left w:val="none" w:sz="0" w:space="0" w:color="auto"/>
            <w:bottom w:val="none" w:sz="0" w:space="0" w:color="auto"/>
            <w:right w:val="none" w:sz="0" w:space="0" w:color="auto"/>
          </w:divBdr>
          <w:divsChild>
            <w:div w:id="1247109265">
              <w:marLeft w:val="0"/>
              <w:marRight w:val="0"/>
              <w:marTop w:val="0"/>
              <w:marBottom w:val="0"/>
              <w:divBdr>
                <w:top w:val="none" w:sz="0" w:space="0" w:color="auto"/>
                <w:left w:val="none" w:sz="0" w:space="0" w:color="auto"/>
                <w:bottom w:val="none" w:sz="0" w:space="0" w:color="auto"/>
                <w:right w:val="none" w:sz="0" w:space="0" w:color="auto"/>
              </w:divBdr>
            </w:div>
          </w:divsChild>
        </w:div>
        <w:div w:id="1176922609">
          <w:marLeft w:val="0"/>
          <w:marRight w:val="0"/>
          <w:marTop w:val="0"/>
          <w:marBottom w:val="0"/>
          <w:divBdr>
            <w:top w:val="none" w:sz="0" w:space="0" w:color="auto"/>
            <w:left w:val="none" w:sz="0" w:space="0" w:color="auto"/>
            <w:bottom w:val="none" w:sz="0" w:space="0" w:color="auto"/>
            <w:right w:val="none" w:sz="0" w:space="0" w:color="auto"/>
          </w:divBdr>
          <w:divsChild>
            <w:div w:id="797577392">
              <w:marLeft w:val="0"/>
              <w:marRight w:val="0"/>
              <w:marTop w:val="0"/>
              <w:marBottom w:val="0"/>
              <w:divBdr>
                <w:top w:val="none" w:sz="0" w:space="0" w:color="auto"/>
                <w:left w:val="none" w:sz="0" w:space="0" w:color="auto"/>
                <w:bottom w:val="none" w:sz="0" w:space="0" w:color="auto"/>
                <w:right w:val="none" w:sz="0" w:space="0" w:color="auto"/>
              </w:divBdr>
            </w:div>
            <w:div w:id="1537964088">
              <w:marLeft w:val="0"/>
              <w:marRight w:val="0"/>
              <w:marTop w:val="0"/>
              <w:marBottom w:val="0"/>
              <w:divBdr>
                <w:top w:val="none" w:sz="0" w:space="0" w:color="auto"/>
                <w:left w:val="none" w:sz="0" w:space="0" w:color="auto"/>
                <w:bottom w:val="none" w:sz="0" w:space="0" w:color="auto"/>
                <w:right w:val="none" w:sz="0" w:space="0" w:color="auto"/>
              </w:divBdr>
            </w:div>
          </w:divsChild>
        </w:div>
        <w:div w:id="1349336641">
          <w:marLeft w:val="0"/>
          <w:marRight w:val="0"/>
          <w:marTop w:val="0"/>
          <w:marBottom w:val="0"/>
          <w:divBdr>
            <w:top w:val="none" w:sz="0" w:space="0" w:color="auto"/>
            <w:left w:val="none" w:sz="0" w:space="0" w:color="auto"/>
            <w:bottom w:val="none" w:sz="0" w:space="0" w:color="auto"/>
            <w:right w:val="none" w:sz="0" w:space="0" w:color="auto"/>
          </w:divBdr>
          <w:divsChild>
            <w:div w:id="772556597">
              <w:marLeft w:val="0"/>
              <w:marRight w:val="0"/>
              <w:marTop w:val="0"/>
              <w:marBottom w:val="0"/>
              <w:divBdr>
                <w:top w:val="none" w:sz="0" w:space="0" w:color="auto"/>
                <w:left w:val="none" w:sz="0" w:space="0" w:color="auto"/>
                <w:bottom w:val="none" w:sz="0" w:space="0" w:color="auto"/>
                <w:right w:val="none" w:sz="0" w:space="0" w:color="auto"/>
              </w:divBdr>
            </w:div>
            <w:div w:id="1809395448">
              <w:marLeft w:val="0"/>
              <w:marRight w:val="0"/>
              <w:marTop w:val="0"/>
              <w:marBottom w:val="0"/>
              <w:divBdr>
                <w:top w:val="none" w:sz="0" w:space="0" w:color="auto"/>
                <w:left w:val="none" w:sz="0" w:space="0" w:color="auto"/>
                <w:bottom w:val="none" w:sz="0" w:space="0" w:color="auto"/>
                <w:right w:val="none" w:sz="0" w:space="0" w:color="auto"/>
              </w:divBdr>
            </w:div>
            <w:div w:id="1946960452">
              <w:marLeft w:val="0"/>
              <w:marRight w:val="0"/>
              <w:marTop w:val="0"/>
              <w:marBottom w:val="0"/>
              <w:divBdr>
                <w:top w:val="none" w:sz="0" w:space="0" w:color="auto"/>
                <w:left w:val="none" w:sz="0" w:space="0" w:color="auto"/>
                <w:bottom w:val="none" w:sz="0" w:space="0" w:color="auto"/>
                <w:right w:val="none" w:sz="0" w:space="0" w:color="auto"/>
              </w:divBdr>
            </w:div>
          </w:divsChild>
        </w:div>
        <w:div w:id="1698309937">
          <w:marLeft w:val="0"/>
          <w:marRight w:val="0"/>
          <w:marTop w:val="0"/>
          <w:marBottom w:val="0"/>
          <w:divBdr>
            <w:top w:val="none" w:sz="0" w:space="0" w:color="auto"/>
            <w:left w:val="none" w:sz="0" w:space="0" w:color="auto"/>
            <w:bottom w:val="none" w:sz="0" w:space="0" w:color="auto"/>
            <w:right w:val="none" w:sz="0" w:space="0" w:color="auto"/>
          </w:divBdr>
          <w:divsChild>
            <w:div w:id="348800851">
              <w:marLeft w:val="0"/>
              <w:marRight w:val="0"/>
              <w:marTop w:val="0"/>
              <w:marBottom w:val="0"/>
              <w:divBdr>
                <w:top w:val="none" w:sz="0" w:space="0" w:color="auto"/>
                <w:left w:val="none" w:sz="0" w:space="0" w:color="auto"/>
                <w:bottom w:val="none" w:sz="0" w:space="0" w:color="auto"/>
                <w:right w:val="none" w:sz="0" w:space="0" w:color="auto"/>
              </w:divBdr>
            </w:div>
          </w:divsChild>
        </w:div>
        <w:div w:id="1761874367">
          <w:marLeft w:val="0"/>
          <w:marRight w:val="0"/>
          <w:marTop w:val="0"/>
          <w:marBottom w:val="0"/>
          <w:divBdr>
            <w:top w:val="none" w:sz="0" w:space="0" w:color="auto"/>
            <w:left w:val="none" w:sz="0" w:space="0" w:color="auto"/>
            <w:bottom w:val="none" w:sz="0" w:space="0" w:color="auto"/>
            <w:right w:val="none" w:sz="0" w:space="0" w:color="auto"/>
          </w:divBdr>
          <w:divsChild>
            <w:div w:id="855113861">
              <w:marLeft w:val="0"/>
              <w:marRight w:val="0"/>
              <w:marTop w:val="0"/>
              <w:marBottom w:val="0"/>
              <w:divBdr>
                <w:top w:val="none" w:sz="0" w:space="0" w:color="auto"/>
                <w:left w:val="none" w:sz="0" w:space="0" w:color="auto"/>
                <w:bottom w:val="none" w:sz="0" w:space="0" w:color="auto"/>
                <w:right w:val="none" w:sz="0" w:space="0" w:color="auto"/>
              </w:divBdr>
            </w:div>
          </w:divsChild>
        </w:div>
        <w:div w:id="1950434771">
          <w:marLeft w:val="0"/>
          <w:marRight w:val="0"/>
          <w:marTop w:val="0"/>
          <w:marBottom w:val="0"/>
          <w:divBdr>
            <w:top w:val="none" w:sz="0" w:space="0" w:color="auto"/>
            <w:left w:val="none" w:sz="0" w:space="0" w:color="auto"/>
            <w:bottom w:val="none" w:sz="0" w:space="0" w:color="auto"/>
            <w:right w:val="none" w:sz="0" w:space="0" w:color="auto"/>
          </w:divBdr>
          <w:divsChild>
            <w:div w:id="1008286764">
              <w:marLeft w:val="0"/>
              <w:marRight w:val="0"/>
              <w:marTop w:val="0"/>
              <w:marBottom w:val="0"/>
              <w:divBdr>
                <w:top w:val="none" w:sz="0" w:space="0" w:color="auto"/>
                <w:left w:val="none" w:sz="0" w:space="0" w:color="auto"/>
                <w:bottom w:val="none" w:sz="0" w:space="0" w:color="auto"/>
                <w:right w:val="none" w:sz="0" w:space="0" w:color="auto"/>
              </w:divBdr>
            </w:div>
          </w:divsChild>
        </w:div>
        <w:div w:id="2134060166">
          <w:marLeft w:val="0"/>
          <w:marRight w:val="0"/>
          <w:marTop w:val="0"/>
          <w:marBottom w:val="0"/>
          <w:divBdr>
            <w:top w:val="none" w:sz="0" w:space="0" w:color="auto"/>
            <w:left w:val="none" w:sz="0" w:space="0" w:color="auto"/>
            <w:bottom w:val="none" w:sz="0" w:space="0" w:color="auto"/>
            <w:right w:val="none" w:sz="0" w:space="0" w:color="auto"/>
          </w:divBdr>
          <w:divsChild>
            <w:div w:id="14301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quality-initiatives-patient-assessment-instruments/physician-compare-initia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care-compar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3fb903-928d-4c19-82a4-142fa71b231e">
      <UserInfo>
        <DisplayName>Rob Truhn II</DisplayName>
        <AccountId>165</AccountId>
        <AccountType/>
      </UserInfo>
    </SharedWithUsers>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77956-ABFC-4C3B-8E82-3EFFFAEE6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38921-E2A9-4CFB-A4EC-6C7E8C5A6B26}">
  <ds:schemaRefs>
    <ds:schemaRef ds:uri="http://purl.org/dc/terms/"/>
    <ds:schemaRef ds:uri="22bb7b03-74e3-4244-88c2-4a3caedda43c"/>
    <ds:schemaRef ds:uri="http://schemas.microsoft.com/office/infopath/2007/PartnerControls"/>
    <ds:schemaRef ds:uri="http://schemas.microsoft.com/office/2006/documentManagement/types"/>
    <ds:schemaRef ds:uri="http://purl.org/dc/elements/1.1/"/>
    <ds:schemaRef ds:uri="http://schemas.microsoft.com/office/2006/metadata/properties"/>
    <ds:schemaRef ds:uri="473fb903-928d-4c19-82a4-142fa71b231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0C110990-655B-4B51-8C08-4F82680E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22911</Words>
  <Characters>130595</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153200</CharactersWithSpaces>
  <SharedDoc>false</SharedDoc>
  <HLinks>
    <vt:vector size="12" baseType="variant">
      <vt:variant>
        <vt:i4>5439565</vt:i4>
      </vt:variant>
      <vt:variant>
        <vt:i4>3</vt:i4>
      </vt:variant>
      <vt:variant>
        <vt:i4>0</vt:i4>
      </vt:variant>
      <vt:variant>
        <vt:i4>5</vt:i4>
      </vt:variant>
      <vt:variant>
        <vt:lpwstr>https://www.cms.gov/medicare/quality-initiatives-patient-assessment-instruments/physician-compare-initiative/</vt:lpwstr>
      </vt:variant>
      <vt:variant>
        <vt:lpwstr/>
      </vt:variant>
      <vt:variant>
        <vt:i4>3080248</vt:i4>
      </vt:variant>
      <vt:variant>
        <vt:i4>0</vt:i4>
      </vt:variant>
      <vt:variant>
        <vt:i4>0</vt:i4>
      </vt:variant>
      <vt:variant>
        <vt:i4>5</vt:i4>
      </vt:variant>
      <vt:variant>
        <vt:lpwstr>https://www.medicare.gov/care-compare/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2022-08-05T18:20:00Z</dcterms:created>
  <dcterms:modified xsi:type="dcterms:W3CDTF">2022-08-05T18:24:00Z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