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171A" w:rsidP="00615863" w14:paraId="42DB4C06"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rPr>
          <w:rFonts w:ascii="Times" w:hAnsi="Times"/>
        </w:rPr>
      </w:pPr>
      <w:r>
        <w:rPr>
          <w:rFonts w:ascii="Times" w:hAnsi="Times"/>
        </w:rPr>
        <w:t>CMS Response to Public Comments Received for CMS-10</w:t>
      </w:r>
      <w:r w:rsidR="00472099">
        <w:rPr>
          <w:rFonts w:ascii="Times" w:hAnsi="Times"/>
        </w:rPr>
        <w:t>328</w:t>
      </w:r>
    </w:p>
    <w:p w:rsidR="00615863" w:rsidP="00615863" w14:paraId="72004FA7"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pPr>
    </w:p>
    <w:p w:rsidR="00702D1D" w14:paraId="10FCB2D5" w14:textId="77777777"/>
    <w:p w:rsidR="00702D1D" w:rsidP="005E51D8" w14:paraId="49653DEA" w14:textId="699D6840">
      <w:pPr>
        <w:spacing w:line="480" w:lineRule="auto"/>
      </w:pPr>
      <w:r>
        <w:t xml:space="preserve">The Centers for Medicare </w:t>
      </w:r>
      <w:r w:rsidR="00D027B1">
        <w:t>&amp;</w:t>
      </w:r>
      <w:r>
        <w:t xml:space="preserve"> Medicaid Services</w:t>
      </w:r>
      <w:r w:rsidR="00F56CC6">
        <w:t xml:space="preserve"> (CMS)</w:t>
      </w:r>
      <w:r>
        <w:t xml:space="preserve"> received </w:t>
      </w:r>
      <w:r w:rsidR="009F5B5B">
        <w:t xml:space="preserve">two </w:t>
      </w:r>
      <w:r>
        <w:t xml:space="preserve">comments </w:t>
      </w:r>
      <w:r w:rsidR="009F5B5B">
        <w:t>on the planned changes</w:t>
      </w:r>
      <w:r w:rsidR="00F56CC6">
        <w:t xml:space="preserve"> to CMS-1</w:t>
      </w:r>
      <w:r w:rsidR="00472099">
        <w:t>0328</w:t>
      </w:r>
      <w:r w:rsidR="00736BA8">
        <w:t xml:space="preserve">.  </w:t>
      </w:r>
      <w:r w:rsidR="005C5895">
        <w:t xml:space="preserve">Below is a summary of and our response to the comments received.  </w:t>
      </w:r>
    </w:p>
    <w:p w:rsidR="00B9148E" w:rsidP="005E51D8" w14:paraId="7B610BC8" w14:textId="77777777">
      <w:pPr>
        <w:spacing w:line="480" w:lineRule="auto"/>
        <w:rPr>
          <w:b/>
          <w:u w:val="single"/>
        </w:rPr>
      </w:pPr>
    </w:p>
    <w:p w:rsidR="00A21042" w:rsidRPr="00BF0DF2" w:rsidP="005E51D8" w14:paraId="072ED328" w14:textId="367F42A4">
      <w:pPr>
        <w:spacing w:line="480" w:lineRule="auto"/>
        <w:rPr>
          <w:rFonts w:ascii="Times" w:hAnsi="Times"/>
        </w:rPr>
      </w:pPr>
      <w:r w:rsidRPr="00A21042">
        <w:rPr>
          <w:b/>
          <w:u w:val="single"/>
        </w:rPr>
        <w:t>Comment:</w:t>
      </w:r>
      <w:r w:rsidRPr="005E51D8">
        <w:t xml:space="preserve"> </w:t>
      </w:r>
      <w:r w:rsidRPr="005E51D8" w:rsidR="00921DCB">
        <w:t xml:space="preserve"> </w:t>
      </w:r>
      <w:r w:rsidRPr="00921DCB" w:rsidR="009F5B5B">
        <w:rPr>
          <w:rFonts w:ascii="Times" w:hAnsi="Times"/>
        </w:rPr>
        <w:t>One</w:t>
      </w:r>
      <w:r w:rsidRPr="00921DCB" w:rsidR="00B33F04">
        <w:rPr>
          <w:rFonts w:ascii="Times" w:hAnsi="Times"/>
        </w:rPr>
        <w:t xml:space="preserve"> </w:t>
      </w:r>
      <w:r w:rsidR="00B33F04">
        <w:rPr>
          <w:rFonts w:ascii="Times" w:hAnsi="Times"/>
        </w:rPr>
        <w:t>comment</w:t>
      </w:r>
      <w:r w:rsidR="009F5B5B">
        <w:rPr>
          <w:rFonts w:ascii="Times" w:hAnsi="Times"/>
        </w:rPr>
        <w:t>er</w:t>
      </w:r>
      <w:r w:rsidR="00B33F04">
        <w:rPr>
          <w:rFonts w:ascii="Times" w:hAnsi="Times"/>
        </w:rPr>
        <w:t xml:space="preserve"> </w:t>
      </w:r>
      <w:r w:rsidR="00757FA3">
        <w:rPr>
          <w:rFonts w:ascii="Times" w:hAnsi="Times"/>
        </w:rPr>
        <w:t>maintained</w:t>
      </w:r>
      <w:r w:rsidR="00B33F04">
        <w:rPr>
          <w:rFonts w:ascii="Times" w:hAnsi="Times"/>
        </w:rPr>
        <w:t xml:space="preserve"> that the proposed Group Practice Information Form would be helpful because it would not require separate Physician Information Forms </w:t>
      </w:r>
      <w:r w:rsidR="00075AF5">
        <w:rPr>
          <w:rFonts w:ascii="Times" w:hAnsi="Times"/>
        </w:rPr>
        <w:t xml:space="preserve">for each physician </w:t>
      </w:r>
      <w:r w:rsidR="00E94704">
        <w:rPr>
          <w:rFonts w:ascii="Times" w:hAnsi="Times"/>
        </w:rPr>
        <w:t>included</w:t>
      </w:r>
      <w:r w:rsidR="00075AF5">
        <w:rPr>
          <w:rFonts w:ascii="Times" w:hAnsi="Times"/>
        </w:rPr>
        <w:t xml:space="preserve"> in the disclosure when reporting noncompliance arising from the failure of a physician practice to qualify as a group practice under §411.352 (“group practice noncompliance”).  </w:t>
      </w:r>
      <w:r w:rsidR="00D56BF8">
        <w:rPr>
          <w:rFonts w:ascii="Times" w:hAnsi="Times"/>
        </w:rPr>
        <w:t xml:space="preserve">The commenter requested that </w:t>
      </w:r>
      <w:r w:rsidR="00BF0DF2">
        <w:rPr>
          <w:rFonts w:ascii="Times" w:hAnsi="Times"/>
        </w:rPr>
        <w:t>CMS no longer require separate Physician Information Forms for reporting other types of noncompliance</w:t>
      </w:r>
      <w:r w:rsidR="007E128D">
        <w:rPr>
          <w:rFonts w:ascii="Times" w:hAnsi="Times"/>
        </w:rPr>
        <w:t xml:space="preserve"> involving multiple physicians</w:t>
      </w:r>
      <w:r w:rsidR="00BF0DF2">
        <w:rPr>
          <w:rFonts w:ascii="Times" w:hAnsi="Times"/>
        </w:rPr>
        <w:t xml:space="preserve">, </w:t>
      </w:r>
      <w:r w:rsidR="00EC7309">
        <w:rPr>
          <w:rFonts w:ascii="Times" w:hAnsi="Times"/>
        </w:rPr>
        <w:t xml:space="preserve">such as </w:t>
      </w:r>
      <w:r w:rsidR="00D8139B">
        <w:rPr>
          <w:rFonts w:ascii="Times" w:hAnsi="Times"/>
        </w:rPr>
        <w:t xml:space="preserve">referrals from physicians with </w:t>
      </w:r>
      <w:r w:rsidR="00BF6D79">
        <w:rPr>
          <w:rFonts w:ascii="Times" w:hAnsi="Times"/>
        </w:rPr>
        <w:t xml:space="preserve">similar </w:t>
      </w:r>
      <w:r w:rsidR="00BF0DF2">
        <w:rPr>
          <w:rFonts w:ascii="Times" w:hAnsi="Times"/>
        </w:rPr>
        <w:t xml:space="preserve">compensation arrangements </w:t>
      </w:r>
      <w:r w:rsidR="00BF6D79">
        <w:rPr>
          <w:rFonts w:ascii="Times" w:hAnsi="Times"/>
        </w:rPr>
        <w:t>or</w:t>
      </w:r>
      <w:r w:rsidR="00BF0DF2">
        <w:rPr>
          <w:rFonts w:ascii="Times" w:hAnsi="Times"/>
        </w:rPr>
        <w:t xml:space="preserve"> ownership or investment interests</w:t>
      </w:r>
      <w:r w:rsidR="00EC7309">
        <w:rPr>
          <w:rFonts w:ascii="Times" w:hAnsi="Times"/>
        </w:rPr>
        <w:t xml:space="preserve"> that fail to satisfy the requirements of an applicable exception</w:t>
      </w:r>
      <w:r w:rsidR="00BF0DF2">
        <w:rPr>
          <w:rFonts w:ascii="Times" w:hAnsi="Times"/>
        </w:rPr>
        <w:t>.</w:t>
      </w:r>
      <w:r w:rsidR="00472099">
        <w:rPr>
          <w:rFonts w:ascii="Times" w:hAnsi="Times"/>
        </w:rPr>
        <w:t xml:space="preserve">  </w:t>
      </w:r>
      <w:r w:rsidR="009F5B5B">
        <w:rPr>
          <w:rFonts w:ascii="Times" w:hAnsi="Times"/>
        </w:rPr>
        <w:t>T</w:t>
      </w:r>
      <w:r w:rsidR="00472099">
        <w:rPr>
          <w:rFonts w:ascii="Times" w:hAnsi="Times"/>
        </w:rPr>
        <w:t>he commenter</w:t>
      </w:r>
      <w:r w:rsidR="009F5B5B">
        <w:rPr>
          <w:rFonts w:ascii="Times" w:hAnsi="Times"/>
        </w:rPr>
        <w:t xml:space="preserve"> des</w:t>
      </w:r>
      <w:r w:rsidR="00D07E62">
        <w:rPr>
          <w:rFonts w:ascii="Times" w:hAnsi="Times"/>
        </w:rPr>
        <w:t xml:space="preserve">cribed the completion of individual Physician Information Forms as </w:t>
      </w:r>
      <w:r w:rsidR="00DF1098">
        <w:rPr>
          <w:rFonts w:ascii="Times" w:hAnsi="Times"/>
        </w:rPr>
        <w:t>burdensome</w:t>
      </w:r>
      <w:r w:rsidR="00472099">
        <w:rPr>
          <w:rFonts w:ascii="Times" w:hAnsi="Times"/>
        </w:rPr>
        <w:t xml:space="preserve"> for disclosing parties </w:t>
      </w:r>
      <w:r w:rsidR="00B33F04">
        <w:rPr>
          <w:rFonts w:ascii="Times" w:hAnsi="Times"/>
        </w:rPr>
        <w:t>whe</w:t>
      </w:r>
      <w:r w:rsidR="00D07E62">
        <w:rPr>
          <w:rFonts w:ascii="Times" w:hAnsi="Times"/>
        </w:rPr>
        <w:t>re</w:t>
      </w:r>
      <w:r w:rsidR="00B33F04">
        <w:rPr>
          <w:rFonts w:ascii="Times" w:hAnsi="Times"/>
        </w:rPr>
        <w:t xml:space="preserve"> the facts of the noncompliance are the same for each physician</w:t>
      </w:r>
      <w:r w:rsidR="00BF0DF2">
        <w:rPr>
          <w:rFonts w:ascii="Times" w:hAnsi="Times"/>
        </w:rPr>
        <w:t xml:space="preserve"> who was </w:t>
      </w:r>
      <w:r w:rsidR="00D07E62">
        <w:rPr>
          <w:rFonts w:ascii="Times" w:hAnsi="Times"/>
        </w:rPr>
        <w:t xml:space="preserve">(or was deemed to be) </w:t>
      </w:r>
      <w:r w:rsidR="00BF0DF2">
        <w:rPr>
          <w:rFonts w:ascii="Times" w:hAnsi="Times"/>
        </w:rPr>
        <w:t xml:space="preserve">a party to the compensation arrangement or who had similar ownership or investment interest.  </w:t>
      </w:r>
      <w:r w:rsidR="00B5105A">
        <w:rPr>
          <w:rFonts w:ascii="Times" w:hAnsi="Times"/>
        </w:rPr>
        <w:t xml:space="preserve">The commenter suggested that CMS allow disclosing parties to detail the facts of a particular financial relationship and identify the physicians </w:t>
      </w:r>
      <w:r w:rsidR="00EC7309">
        <w:rPr>
          <w:rFonts w:ascii="Times" w:hAnsi="Times"/>
        </w:rPr>
        <w:t>“</w:t>
      </w:r>
      <w:r w:rsidR="00B5105A">
        <w:rPr>
          <w:rFonts w:ascii="Times" w:hAnsi="Times"/>
        </w:rPr>
        <w:t>involved in</w:t>
      </w:r>
      <w:r w:rsidR="00EC7309">
        <w:rPr>
          <w:rFonts w:ascii="Times" w:hAnsi="Times"/>
        </w:rPr>
        <w:t>”</w:t>
      </w:r>
      <w:r w:rsidR="00B5105A">
        <w:rPr>
          <w:rFonts w:ascii="Times" w:hAnsi="Times"/>
        </w:rPr>
        <w:t xml:space="preserve"> the </w:t>
      </w:r>
      <w:r w:rsidR="00F21F8C">
        <w:rPr>
          <w:rFonts w:ascii="Times" w:hAnsi="Times"/>
        </w:rPr>
        <w:t xml:space="preserve">financial </w:t>
      </w:r>
      <w:r w:rsidR="00B5105A">
        <w:rPr>
          <w:rFonts w:ascii="Times" w:hAnsi="Times"/>
        </w:rPr>
        <w:t>relationship in a single form</w:t>
      </w:r>
      <w:r w:rsidR="00F21F8C">
        <w:rPr>
          <w:rFonts w:ascii="Times" w:hAnsi="Times"/>
        </w:rPr>
        <w:t xml:space="preserve"> (to be developed by CMS)</w:t>
      </w:r>
      <w:r w:rsidR="00B5105A">
        <w:rPr>
          <w:rFonts w:ascii="Times" w:hAnsi="Times"/>
        </w:rPr>
        <w:t xml:space="preserve">.  The commenter </w:t>
      </w:r>
      <w:r w:rsidR="00BF6D79">
        <w:rPr>
          <w:rFonts w:ascii="Times" w:hAnsi="Times"/>
        </w:rPr>
        <w:t xml:space="preserve">suggested </w:t>
      </w:r>
      <w:r w:rsidR="00B5105A">
        <w:rPr>
          <w:rFonts w:ascii="Times" w:hAnsi="Times"/>
        </w:rPr>
        <w:t>that</w:t>
      </w:r>
      <w:r w:rsidR="00F21F8C">
        <w:rPr>
          <w:rFonts w:ascii="Times" w:hAnsi="Times"/>
        </w:rPr>
        <w:t>, where the facts of the noncompliance are the same for each physician who was (or was deemed to be) a party to the compensation arrangement or who had similar ownership or investment interest,</w:t>
      </w:r>
      <w:r w:rsidR="00B5105A">
        <w:rPr>
          <w:rFonts w:ascii="Times" w:hAnsi="Times"/>
        </w:rPr>
        <w:t xml:space="preserve"> much of the </w:t>
      </w:r>
      <w:r w:rsidR="00645895">
        <w:rPr>
          <w:rFonts w:ascii="Times" w:hAnsi="Times"/>
        </w:rPr>
        <w:t xml:space="preserve">physician-specific </w:t>
      </w:r>
      <w:r w:rsidR="00B5105A">
        <w:rPr>
          <w:rFonts w:ascii="Times" w:hAnsi="Times"/>
        </w:rPr>
        <w:t>information collected in the Physician Information Forms (such as the physician’s name, N</w:t>
      </w:r>
      <w:r w:rsidR="00DF1795">
        <w:rPr>
          <w:rFonts w:ascii="Times" w:hAnsi="Times"/>
        </w:rPr>
        <w:t xml:space="preserve">ational </w:t>
      </w:r>
      <w:r w:rsidR="00B5105A">
        <w:rPr>
          <w:rFonts w:ascii="Times" w:hAnsi="Times"/>
        </w:rPr>
        <w:t>P</w:t>
      </w:r>
      <w:r w:rsidR="00DF1795">
        <w:rPr>
          <w:rFonts w:ascii="Times" w:hAnsi="Times"/>
        </w:rPr>
        <w:t xml:space="preserve">rovider </w:t>
      </w:r>
      <w:r w:rsidR="00B5105A">
        <w:rPr>
          <w:rFonts w:ascii="Times" w:hAnsi="Times"/>
        </w:rPr>
        <w:t>I</w:t>
      </w:r>
      <w:r w:rsidR="00DF1795">
        <w:rPr>
          <w:rFonts w:ascii="Times" w:hAnsi="Times"/>
        </w:rPr>
        <w:t>dentifier</w:t>
      </w:r>
      <w:r w:rsidR="00B5105A">
        <w:rPr>
          <w:rFonts w:ascii="Times" w:hAnsi="Times"/>
        </w:rPr>
        <w:t xml:space="preserve">, and physician organization, if applicable) could be collected in a spreadsheet </w:t>
      </w:r>
      <w:r w:rsidR="00F21F8C">
        <w:rPr>
          <w:rFonts w:ascii="Times" w:hAnsi="Times"/>
        </w:rPr>
        <w:t xml:space="preserve">identifying </w:t>
      </w:r>
      <w:r w:rsidR="00B5105A">
        <w:rPr>
          <w:rFonts w:ascii="Times" w:hAnsi="Times"/>
        </w:rPr>
        <w:t xml:space="preserve">all the physicians who made prohibited referrals to the disclosing party.  </w:t>
      </w:r>
    </w:p>
    <w:p w:rsidR="00A21042" w:rsidP="005E51D8" w14:paraId="2A6752DD" w14:textId="77777777">
      <w:pPr>
        <w:spacing w:line="480" w:lineRule="auto"/>
        <w:rPr>
          <w:rFonts w:ascii="Times" w:hAnsi="Times"/>
        </w:rPr>
      </w:pPr>
    </w:p>
    <w:p w:rsidR="0056485C" w:rsidP="005E51D8" w14:paraId="4DEFD803" w14:textId="390509DF">
      <w:pPr>
        <w:spacing w:line="480" w:lineRule="auto"/>
      </w:pPr>
      <w:r w:rsidRPr="00A21042">
        <w:rPr>
          <w:b/>
          <w:u w:val="single"/>
        </w:rPr>
        <w:t>Response:</w:t>
      </w:r>
      <w:r w:rsidRPr="005E51D8">
        <w:rPr>
          <w:b/>
        </w:rPr>
        <w:t xml:space="preserve"> </w:t>
      </w:r>
      <w:r w:rsidRPr="005E51D8" w:rsidR="00921DCB">
        <w:t xml:space="preserve"> </w:t>
      </w:r>
      <w:r w:rsidRPr="00D31DA9" w:rsidR="00C31ADC">
        <w:t>We</w:t>
      </w:r>
      <w:r w:rsidRPr="00D31DA9" w:rsidR="00A21042">
        <w:t xml:space="preserve"> </w:t>
      </w:r>
      <w:r w:rsidRPr="00D31DA9" w:rsidR="00B5105A">
        <w:t xml:space="preserve">agree with the commenter that the proposed Group Practice Information Form will </w:t>
      </w:r>
      <w:r w:rsidRPr="00D31DA9" w:rsidR="00C31ADC">
        <w:t xml:space="preserve">facilitate the disclosure of group practice noncompliance.  In response to </w:t>
      </w:r>
      <w:r w:rsidRPr="00D31DA9" w:rsidR="003E2BE0">
        <w:t xml:space="preserve">the  </w:t>
      </w:r>
      <w:r w:rsidR="00587896">
        <w:t>comment on</w:t>
      </w:r>
      <w:r w:rsidRPr="00D31DA9" w:rsidR="003E2BE0">
        <w:t xml:space="preserve"> the </w:t>
      </w:r>
      <w:r w:rsidRPr="00D31DA9" w:rsidR="00E37267">
        <w:t xml:space="preserve">requirement that disclosing parties submit a separate </w:t>
      </w:r>
      <w:r w:rsidRPr="00D31DA9" w:rsidR="003E2BE0">
        <w:t>Physician Information Form</w:t>
      </w:r>
      <w:r w:rsidRPr="00D31DA9" w:rsidR="00176705">
        <w:t xml:space="preserve"> </w:t>
      </w:r>
      <w:r w:rsidR="00D31DA9">
        <w:t xml:space="preserve">for each physician when disclosing </w:t>
      </w:r>
      <w:r w:rsidRPr="00D31DA9" w:rsidR="00176705">
        <w:t>other types of noncompliance</w:t>
      </w:r>
      <w:r w:rsidRPr="00D31DA9" w:rsidR="003E2BE0">
        <w:t xml:space="preserve">, we note the following.  First, </w:t>
      </w:r>
      <w:r w:rsidR="00864A75">
        <w:t xml:space="preserve">we require a separate Physician Information Form for each physician only when it is necessary to adequately </w:t>
      </w:r>
      <w:bookmarkStart w:id="0" w:name="_GoBack"/>
      <w:bookmarkEnd w:id="0"/>
      <w:r w:rsidR="00864A75">
        <w:t>report violations of the physician self-referral law.  T</w:t>
      </w:r>
      <w:r w:rsidR="00BF6D79">
        <w:t>he making of a prohibited referral is specific to an individual physician, as is the submission of claims to the Medicare program for designated health services improperly referred by that physician.  W</w:t>
      </w:r>
      <w:r w:rsidR="00197179">
        <w:t xml:space="preserve">e </w:t>
      </w:r>
      <w:r w:rsidR="00BF6D79">
        <w:t xml:space="preserve">analyze noncompliance with the physician self-referral law on a physician-by-physician basis, and </w:t>
      </w:r>
      <w:r w:rsidR="00197179">
        <w:t xml:space="preserve">require the completion of separate Physician Information Forms to allow the agency to </w:t>
      </w:r>
      <w:r w:rsidR="00BF6D79">
        <w:t>assess</w:t>
      </w:r>
      <w:r w:rsidR="00197179">
        <w:t xml:space="preserve"> the nature and extent of noncompliance as required under Section </w:t>
      </w:r>
      <w:r w:rsidR="00757FA3">
        <w:t>6409</w:t>
      </w:r>
      <w:r w:rsidR="00197179">
        <w:t xml:space="preserve"> of the </w:t>
      </w:r>
      <w:r w:rsidR="00757FA3">
        <w:t>Affordable Care Act</w:t>
      </w:r>
      <w:r w:rsidR="00197179">
        <w:t xml:space="preserve">.  Second, </w:t>
      </w:r>
      <w:r w:rsidR="00900ADF">
        <w:t xml:space="preserve">the commenter’s concerns are addressed in </w:t>
      </w:r>
      <w:r w:rsidR="00550BB0">
        <w:t xml:space="preserve">large </w:t>
      </w:r>
      <w:r w:rsidR="00900ADF">
        <w:t>part by the n</w:t>
      </w:r>
      <w:r w:rsidR="002E18B0">
        <w:t>ow</w:t>
      </w:r>
      <w:r w:rsidR="00F829F2">
        <w:t>-</w:t>
      </w:r>
      <w:r w:rsidR="00900ADF">
        <w:t xml:space="preserve">formalized special </w:t>
      </w:r>
      <w:r w:rsidR="009460FF">
        <w:t>process</w:t>
      </w:r>
      <w:r w:rsidR="00900ADF">
        <w:t xml:space="preserve"> for </w:t>
      </w:r>
      <w:r w:rsidR="009460FF">
        <w:t xml:space="preserve">collecting information on </w:t>
      </w:r>
      <w:r w:rsidR="00900ADF">
        <w:t>physicians who stand in the shoes of their physician organization</w:t>
      </w:r>
      <w:r w:rsidR="009460FF">
        <w:t xml:space="preserve"> and are, therefore, deemed to have the same compensation arrangement (with the same parties and on the same terms) as the physician organization</w:t>
      </w:r>
      <w:r w:rsidR="00900ADF">
        <w:t xml:space="preserve">.  Under the special </w:t>
      </w:r>
      <w:r w:rsidR="009460FF">
        <w:t>process</w:t>
      </w:r>
      <w:r w:rsidR="00900ADF">
        <w:t xml:space="preserve">, a disclosing party may submit a </w:t>
      </w:r>
      <w:r w:rsidRPr="00900ADF" w:rsidR="00900ADF">
        <w:rPr>
          <w:i/>
        </w:rPr>
        <w:t>single</w:t>
      </w:r>
      <w:r w:rsidR="00900ADF">
        <w:t xml:space="preserve"> Physician Information Form that details the noncompliant compensation arrangement(s) </w:t>
      </w:r>
      <w:r w:rsidR="00FB29DF">
        <w:t>between the entity and</w:t>
      </w:r>
      <w:r w:rsidR="00900ADF">
        <w:t xml:space="preserve"> the physician organization along with a separate listing of each physician who is deemed to have the same noncompliant compensation arrangement(s) with the entity as the </w:t>
      </w:r>
      <w:r w:rsidR="00900ADF">
        <w:t xml:space="preserve">physician organization and the period(s) of noncompliance for each physician.  </w:t>
      </w:r>
      <w:r w:rsidR="00CC031F">
        <w:t xml:space="preserve">(This </w:t>
      </w:r>
      <w:r w:rsidR="00DF1795">
        <w:t xml:space="preserve">is current </w:t>
      </w:r>
      <w:r w:rsidR="00CC031F">
        <w:t xml:space="preserve">policy </w:t>
      </w:r>
      <w:r w:rsidR="00DF1795">
        <w:t>stated</w:t>
      </w:r>
      <w:r w:rsidR="00CC031F">
        <w:t xml:space="preserve"> in a FAQ on </w:t>
      </w:r>
      <w:r w:rsidR="00441DCC">
        <w:t>the physician self-referral</w:t>
      </w:r>
      <w:r w:rsidR="00CC031F">
        <w:t xml:space="preserve"> </w:t>
      </w:r>
      <w:r w:rsidRPr="005E51D8" w:rsidR="00757FA3">
        <w:t>website</w:t>
      </w:r>
      <w:r w:rsidR="00CC031F">
        <w:t xml:space="preserve">, </w:t>
      </w:r>
      <w:r w:rsidR="00DF1795">
        <w:t xml:space="preserve">and </w:t>
      </w:r>
      <w:r w:rsidR="00197179">
        <w:t xml:space="preserve">is </w:t>
      </w:r>
      <w:r w:rsidR="00CC031F">
        <w:t xml:space="preserve">now incorporated in the </w:t>
      </w:r>
      <w:r w:rsidR="00441DCC">
        <w:t>“Instructions Regarding the Voluntary Self-Referral Disclosure Protocol Submission”</w:t>
      </w:r>
      <w:r w:rsidR="00CC031F">
        <w:t xml:space="preserve"> at</w:t>
      </w:r>
      <w:r w:rsidR="00900ADF">
        <w:t xml:space="preserve"> IV.A.2.c</w:t>
      </w:r>
      <w:r w:rsidR="00CC031F">
        <w:t>.)</w:t>
      </w:r>
    </w:p>
    <w:p w:rsidR="00FC5C1A" w:rsidP="005E51D8" w14:paraId="053ECB14" w14:textId="77777777">
      <w:pPr>
        <w:spacing w:line="480" w:lineRule="auto"/>
      </w:pPr>
    </w:p>
    <w:p w:rsidR="00FC5C1A" w:rsidP="005E51D8" w14:paraId="55016587" w14:textId="38BD2B59">
      <w:pPr>
        <w:spacing w:line="480" w:lineRule="auto"/>
      </w:pPr>
      <w:r>
        <w:t xml:space="preserve">In our experience administering the SRDP, the majority of </w:t>
      </w:r>
      <w:r w:rsidR="005B1A8E">
        <w:t xml:space="preserve">self-disclosures </w:t>
      </w:r>
      <w:r w:rsidR="00024726">
        <w:t>that report noncompliance pertaining to multiple physicians in the same physician organization</w:t>
      </w:r>
      <w:r>
        <w:t xml:space="preserve"> </w:t>
      </w:r>
      <w:r w:rsidR="005B1A8E">
        <w:t>report</w:t>
      </w:r>
      <w:r>
        <w:t xml:space="preserve"> either: (a) group practice noncompliance, or (b)</w:t>
      </w:r>
      <w:r w:rsidR="00645895">
        <w:t xml:space="preserve"> </w:t>
      </w:r>
      <w:r w:rsidRPr="00645895" w:rsidR="00645895">
        <w:t xml:space="preserve">arrangements </w:t>
      </w:r>
      <w:r w:rsidR="00791440">
        <w:t xml:space="preserve">that are deemed to be between entities and </w:t>
      </w:r>
      <w:r w:rsidRPr="00645895" w:rsidR="00645895">
        <w:t xml:space="preserve">physicians </w:t>
      </w:r>
      <w:r w:rsidR="00791440">
        <w:t>under</w:t>
      </w:r>
      <w:r w:rsidRPr="00645895" w:rsidR="00645895">
        <w:t xml:space="preserve"> §411.354(c)</w:t>
      </w:r>
      <w:r w:rsidR="00791440">
        <w:t>(1)(ii) or (2)(iv)</w:t>
      </w:r>
      <w:r w:rsidR="00645895">
        <w:t xml:space="preserve">.  Taken together, the proposed Group Practice Information Form and the special rule for </w:t>
      </w:r>
      <w:r w:rsidRPr="00FC5C1A" w:rsidR="00645895">
        <w:t>physicians who stand in the shoes of their physician organization</w:t>
      </w:r>
      <w:r w:rsidR="00645895">
        <w:t xml:space="preserve"> will allo</w:t>
      </w:r>
      <w:r w:rsidR="00550BB0">
        <w:t xml:space="preserve">w </w:t>
      </w:r>
      <w:r w:rsidR="00645895">
        <w:t xml:space="preserve">parties </w:t>
      </w:r>
      <w:r w:rsidR="005C5895">
        <w:t xml:space="preserve">to </w:t>
      </w:r>
      <w:r w:rsidR="00384895">
        <w:t xml:space="preserve">report </w:t>
      </w:r>
      <w:r w:rsidR="00791440">
        <w:t xml:space="preserve">this type of </w:t>
      </w:r>
      <w:r w:rsidR="00384895">
        <w:t xml:space="preserve">noncompliance using a single form.  </w:t>
      </w:r>
      <w:r w:rsidR="005B1A8E">
        <w:t xml:space="preserve">We believe that the use of </w:t>
      </w:r>
      <w:r w:rsidR="000E1EC8">
        <w:t xml:space="preserve">a </w:t>
      </w:r>
      <w:r w:rsidR="005B1A8E">
        <w:t xml:space="preserve">single form is appropriate in </w:t>
      </w:r>
      <w:r w:rsidR="00791440">
        <w:t xml:space="preserve">these </w:t>
      </w:r>
      <w:r w:rsidR="005B1A8E">
        <w:t xml:space="preserve">cases, because the physicians are part of the same </w:t>
      </w:r>
      <w:r w:rsidR="00057E43">
        <w:t>physician organization</w:t>
      </w:r>
      <w:r w:rsidR="00550BB0">
        <w:t xml:space="preserve">, and, in the case of compensation arrangements where the stand in the shoes </w:t>
      </w:r>
      <w:r w:rsidR="00791440">
        <w:t xml:space="preserve">provisions </w:t>
      </w:r>
      <w:r w:rsidR="00550BB0">
        <w:t xml:space="preserve">apply, the </w:t>
      </w:r>
      <w:r w:rsidR="00D61892">
        <w:t xml:space="preserve">individual </w:t>
      </w:r>
      <w:r w:rsidR="00550BB0">
        <w:t>physicians are deemed to have the same arrangement(s) with the entity as the physician organization.</w:t>
      </w:r>
    </w:p>
    <w:p w:rsidR="00D3270C" w:rsidP="005E51D8" w14:paraId="31A0CCC7" w14:textId="77777777">
      <w:pPr>
        <w:spacing w:line="480" w:lineRule="auto"/>
      </w:pPr>
    </w:p>
    <w:p w:rsidR="00A21042" w:rsidRPr="00D31DA9" w:rsidP="005E51D8" w14:paraId="00DCB4E1" w14:textId="555592BB">
      <w:pPr>
        <w:spacing w:line="480" w:lineRule="auto"/>
      </w:pPr>
      <w:r>
        <w:t xml:space="preserve">In contrast, when a party discloses </w:t>
      </w:r>
      <w:r w:rsidR="001B03EC">
        <w:t>noncompliance with respect to</w:t>
      </w:r>
      <w:r>
        <w:t xml:space="preserve"> </w:t>
      </w:r>
      <w:r w:rsidR="001B03EC">
        <w:t xml:space="preserve">its compensation arrangements with </w:t>
      </w:r>
      <w:r>
        <w:t xml:space="preserve">physicians who are not in the same physician organization, even if some of the factual details of the </w:t>
      </w:r>
      <w:r w:rsidR="001B03EC">
        <w:t xml:space="preserve">compensation </w:t>
      </w:r>
      <w:r>
        <w:t>arrangements are similar</w:t>
      </w:r>
      <w:r w:rsidR="001B03EC">
        <w:t>, the compensation arrangement with each physician are separate and distinct</w:t>
      </w:r>
      <w:r>
        <w:t xml:space="preserve">.  </w:t>
      </w:r>
      <w:r w:rsidR="00D259DB">
        <w:t>In such circumstances</w:t>
      </w:r>
      <w:r>
        <w:t xml:space="preserve">, </w:t>
      </w:r>
      <w:r w:rsidR="001B03EC">
        <w:t xml:space="preserve">for the reasons described above, </w:t>
      </w:r>
      <w:r w:rsidR="00D61892">
        <w:t xml:space="preserve">we continue to believe that </w:t>
      </w:r>
      <w:r>
        <w:t xml:space="preserve">separate Physician Information Forms are </w:t>
      </w:r>
      <w:r w:rsidR="00D61892">
        <w:t>necessary</w:t>
      </w:r>
      <w:r>
        <w:t xml:space="preserve"> </w:t>
      </w:r>
      <w:r w:rsidR="00D259DB">
        <w:t xml:space="preserve">to report the specific facts and circumstance </w:t>
      </w:r>
      <w:r w:rsidR="00D259DB">
        <w:t xml:space="preserve">of each separate </w:t>
      </w:r>
      <w:r w:rsidR="001B03EC">
        <w:t xml:space="preserve">compensation </w:t>
      </w:r>
      <w:r w:rsidR="00D259DB">
        <w:t>arrangement</w:t>
      </w:r>
      <w:r>
        <w:t>.  Likewise, when a group practice fails to satisfy</w:t>
      </w:r>
      <w:r w:rsidR="001B03EC">
        <w:t xml:space="preserve"> the requirements of</w:t>
      </w:r>
      <w:r>
        <w:t xml:space="preserve"> a</w:t>
      </w:r>
      <w:r w:rsidR="001B03EC">
        <w:t xml:space="preserve">n </w:t>
      </w:r>
      <w:r>
        <w:t xml:space="preserve">exception in §411.355, such as the exception for in-office ancillary services at §411.355(b), </w:t>
      </w:r>
      <w:r w:rsidR="005232EE">
        <w:t>the</w:t>
      </w:r>
      <w:r w:rsidR="00D259DB">
        <w:t xml:space="preserve"> facts of each physician’s prohibited referrals </w:t>
      </w:r>
      <w:r w:rsidR="001B03EC">
        <w:t xml:space="preserve">will </w:t>
      </w:r>
      <w:r w:rsidR="00D259DB">
        <w:t>differ, making separate Physician Information Forms necessary to adequately disclose the noncompliance</w:t>
      </w:r>
      <w:r w:rsidR="001B03EC">
        <w:t xml:space="preserve"> with the physician self-referral law</w:t>
      </w:r>
      <w:r w:rsidR="00D259DB">
        <w:t xml:space="preserve">. </w:t>
      </w:r>
      <w:r w:rsidR="008527AA">
        <w:t xml:space="preserve"> T</w:t>
      </w:r>
      <w:r w:rsidR="00045C68">
        <w:t>o underscore this point, t</w:t>
      </w:r>
      <w:r w:rsidR="008527AA">
        <w:t xml:space="preserve">he instructions to the Group Practice Information Form have been clarified to explicitly state that </w:t>
      </w:r>
      <w:r w:rsidR="00C226C6">
        <w:t xml:space="preserve">the </w:t>
      </w:r>
      <w:r w:rsidR="008527AA">
        <w:t>for</w:t>
      </w:r>
      <w:r w:rsidR="00C226C6">
        <w:t xml:space="preserve">m may not be used by a physician practice that qualifies as a group practice under §411.352 or </w:t>
      </w:r>
      <w:r w:rsidR="001B03EC">
        <w:t xml:space="preserve">the medical practice of </w:t>
      </w:r>
      <w:r w:rsidR="00C226C6">
        <w:t xml:space="preserve">a physician in solo practice to report the </w:t>
      </w:r>
      <w:r w:rsidR="001B03EC">
        <w:t xml:space="preserve">entity’s </w:t>
      </w:r>
      <w:r w:rsidR="00C226C6">
        <w:t xml:space="preserve">failure to satisfy the requirements of an applicable exception in §411.355, including the in-office ancillary services exception.  </w:t>
      </w:r>
      <w:r w:rsidR="008527AA">
        <w:t xml:space="preserve"> </w:t>
      </w:r>
    </w:p>
    <w:p w:rsidR="00900ADF" w:rsidRPr="00A21042" w:rsidP="005E51D8" w14:paraId="2E13D343" w14:textId="77777777">
      <w:pPr>
        <w:spacing w:line="480" w:lineRule="auto"/>
        <w:rPr>
          <w:b/>
        </w:rPr>
      </w:pPr>
    </w:p>
    <w:p w:rsidR="00FA0E72" w:rsidP="005E51D8" w14:paraId="499C7BAB" w14:textId="77777777">
      <w:pPr>
        <w:spacing w:line="480" w:lineRule="auto"/>
      </w:pPr>
    </w:p>
    <w:p w:rsidR="00A21042" w:rsidP="005E51D8" w14:paraId="6666F7AD" w14:textId="1DEBEF45">
      <w:pPr>
        <w:spacing w:line="480" w:lineRule="auto"/>
        <w:rPr>
          <w:rFonts w:ascii="Times" w:hAnsi="Times"/>
        </w:rPr>
      </w:pPr>
      <w:r w:rsidRPr="00A21042">
        <w:rPr>
          <w:b/>
          <w:u w:val="single"/>
        </w:rPr>
        <w:t>Comment:</w:t>
      </w:r>
      <w:r w:rsidRPr="005E51D8">
        <w:t xml:space="preserve"> </w:t>
      </w:r>
      <w:r w:rsidRPr="005E51D8" w:rsidR="00921DCB">
        <w:t xml:space="preserve"> </w:t>
      </w:r>
      <w:r w:rsidR="00D61892">
        <w:rPr>
          <w:rFonts w:ascii="Times" w:hAnsi="Times"/>
        </w:rPr>
        <w:t>One</w:t>
      </w:r>
      <w:r w:rsidR="00645895">
        <w:rPr>
          <w:rFonts w:ascii="Times" w:hAnsi="Times"/>
        </w:rPr>
        <w:t xml:space="preserve"> commenter noted that, under the currently approved collection</w:t>
      </w:r>
      <w:r w:rsidR="0069095B">
        <w:rPr>
          <w:rFonts w:ascii="Times" w:hAnsi="Times"/>
        </w:rPr>
        <w:t xml:space="preserve"> of information</w:t>
      </w:r>
      <w:r w:rsidR="00645895">
        <w:rPr>
          <w:rFonts w:ascii="Times" w:hAnsi="Times"/>
        </w:rPr>
        <w:t>, CMS accepts electronic submission of the SRDP Forms and related materials, but requires a hard</w:t>
      </w:r>
      <w:r w:rsidR="005C5895">
        <w:rPr>
          <w:rFonts w:ascii="Times" w:hAnsi="Times"/>
        </w:rPr>
        <w:t xml:space="preserve"> </w:t>
      </w:r>
      <w:r w:rsidR="00645895">
        <w:rPr>
          <w:rFonts w:ascii="Times" w:hAnsi="Times"/>
        </w:rPr>
        <w:t xml:space="preserve">copy of the signed certification to be </w:t>
      </w:r>
      <w:r w:rsidR="005C5895">
        <w:rPr>
          <w:rFonts w:ascii="Times" w:hAnsi="Times"/>
        </w:rPr>
        <w:t>mailed or otherwise physically delivered to CMS</w:t>
      </w:r>
      <w:r w:rsidR="00645895">
        <w:rPr>
          <w:rFonts w:ascii="Times" w:hAnsi="Times"/>
        </w:rPr>
        <w:t xml:space="preserve">.  The commenter requested that CMS permit the entire submission, including the signed certification, to be submitted electronically.  </w:t>
      </w:r>
    </w:p>
    <w:p w:rsidR="000C5114" w:rsidP="005E51D8" w14:paraId="173897F1" w14:textId="77777777">
      <w:pPr>
        <w:spacing w:line="480" w:lineRule="auto"/>
        <w:rPr>
          <w:rFonts w:ascii="Times" w:hAnsi="Times"/>
        </w:rPr>
      </w:pPr>
    </w:p>
    <w:p w:rsidR="00FB21A8" w:rsidP="005E51D8" w14:paraId="67325068" w14:textId="6E4A27AA">
      <w:pPr>
        <w:spacing w:line="480" w:lineRule="auto"/>
      </w:pPr>
      <w:r w:rsidRPr="00A21042">
        <w:rPr>
          <w:b/>
          <w:u w:val="single"/>
        </w:rPr>
        <w:t>Response:</w:t>
      </w:r>
      <w:r w:rsidRPr="005E51D8">
        <w:rPr>
          <w:b/>
        </w:rPr>
        <w:t xml:space="preserve"> </w:t>
      </w:r>
      <w:r w:rsidRPr="005E51D8" w:rsidR="00921DCB">
        <w:rPr>
          <w:b/>
        </w:rPr>
        <w:t xml:space="preserve"> </w:t>
      </w:r>
      <w:r w:rsidR="00D61892">
        <w:t xml:space="preserve">Under the proposed updates to the SRDP, a signed certification remains a necessary element of a complete disclosure.  See the SRDP Disclosure Form IV.A.2.e.  However, disclosing parties are no longer required to </w:t>
      </w:r>
      <w:r w:rsidR="005C5895">
        <w:t xml:space="preserve">mail or otherwise physically deliver to CMS </w:t>
      </w:r>
      <w:r w:rsidR="00D61892">
        <w:t xml:space="preserve">the </w:t>
      </w:r>
      <w:r w:rsidR="005421EC">
        <w:t xml:space="preserve">signed </w:t>
      </w:r>
      <w:r w:rsidR="00D61892">
        <w:t>certification in hard</w:t>
      </w:r>
      <w:r w:rsidR="005C5895">
        <w:t xml:space="preserve"> </w:t>
      </w:r>
      <w:r w:rsidR="00D61892">
        <w:t xml:space="preserve">copy </w:t>
      </w:r>
      <w:r w:rsidR="005C5895">
        <w:t>format</w:t>
      </w:r>
      <w:r w:rsidR="00D61892">
        <w:t xml:space="preserve">.  The entire SRDP submission may now be submitted electronically.  </w:t>
      </w:r>
    </w:p>
    <w:p w:rsidR="00636D92" w:rsidP="005E51D8" w14:paraId="10439BCC" w14:textId="77777777">
      <w:pPr>
        <w:spacing w:line="480" w:lineRule="auto"/>
        <w:rPr>
          <w:rFonts w:ascii="Times" w:hAnsi="Times"/>
        </w:rPr>
      </w:pPr>
    </w:p>
    <w:p w:rsidR="00636D92" w:rsidRPr="00837B57" w:rsidP="005E51D8" w14:paraId="5F55BDF2" w14:textId="469C1827">
      <w:pPr>
        <w:spacing w:line="480" w:lineRule="auto"/>
        <w:rPr>
          <w:rFonts w:ascii="Times" w:hAnsi="Times"/>
        </w:rPr>
      </w:pPr>
      <w:r w:rsidRPr="00A21042">
        <w:rPr>
          <w:b/>
          <w:u w:val="single"/>
        </w:rPr>
        <w:t>Comment:</w:t>
      </w:r>
      <w:r w:rsidRPr="005E51D8">
        <w:t xml:space="preserve"> </w:t>
      </w:r>
      <w:r w:rsidRPr="005E51D8" w:rsidR="00921DCB">
        <w:t xml:space="preserve"> </w:t>
      </w:r>
      <w:r w:rsidR="00837B57">
        <w:rPr>
          <w:rFonts w:ascii="Times" w:hAnsi="Times"/>
        </w:rPr>
        <w:t>One commenter who generally supported the Group Practice Information Form stated that the instruction</w:t>
      </w:r>
      <w:r w:rsidR="005E66B8">
        <w:rPr>
          <w:rFonts w:ascii="Times" w:hAnsi="Times"/>
        </w:rPr>
        <w:t>s</w:t>
      </w:r>
      <w:r w:rsidR="00837B57">
        <w:rPr>
          <w:rFonts w:ascii="Times" w:hAnsi="Times"/>
        </w:rPr>
        <w:t xml:space="preserve"> </w:t>
      </w:r>
      <w:r w:rsidR="00A64B1A">
        <w:rPr>
          <w:rFonts w:ascii="Times" w:hAnsi="Times"/>
        </w:rPr>
        <w:t>for</w:t>
      </w:r>
      <w:r w:rsidR="00837B57">
        <w:rPr>
          <w:rFonts w:ascii="Times" w:hAnsi="Times"/>
        </w:rPr>
        <w:t xml:space="preserve"> </w:t>
      </w:r>
      <w:r w:rsidR="005E66B8">
        <w:rPr>
          <w:rFonts w:ascii="Times" w:hAnsi="Times"/>
        </w:rPr>
        <w:t xml:space="preserve">reporting the failure to satisfy the </w:t>
      </w:r>
      <w:r w:rsidR="0069095B">
        <w:rPr>
          <w:rFonts w:ascii="Times" w:hAnsi="Times"/>
        </w:rPr>
        <w:t>“</w:t>
      </w:r>
      <w:r w:rsidR="005E66B8">
        <w:rPr>
          <w:rFonts w:ascii="Times" w:hAnsi="Times"/>
        </w:rPr>
        <w:t>volume or value</w:t>
      </w:r>
      <w:r w:rsidR="0069095B">
        <w:rPr>
          <w:rFonts w:ascii="Times" w:hAnsi="Times"/>
        </w:rPr>
        <w:t>”</w:t>
      </w:r>
      <w:r w:rsidR="005E66B8">
        <w:rPr>
          <w:rFonts w:ascii="Times" w:hAnsi="Times"/>
        </w:rPr>
        <w:t xml:space="preserve"> requirement at §411.352(g) and the special rule</w:t>
      </w:r>
      <w:r w:rsidR="00A64B1A">
        <w:rPr>
          <w:rFonts w:ascii="Times" w:hAnsi="Times"/>
        </w:rPr>
        <w:t>s</w:t>
      </w:r>
      <w:r w:rsidR="005E66B8">
        <w:rPr>
          <w:rFonts w:ascii="Times" w:hAnsi="Times"/>
        </w:rPr>
        <w:t xml:space="preserve"> for profit shares and productivity bonuses at §411.352</w:t>
      </w:r>
      <w:r w:rsidR="00A64B1A">
        <w:rPr>
          <w:rFonts w:ascii="Times" w:hAnsi="Times"/>
        </w:rPr>
        <w:t xml:space="preserve"> </w:t>
      </w:r>
      <w:r w:rsidR="00837B57">
        <w:rPr>
          <w:rFonts w:ascii="Times" w:hAnsi="Times"/>
        </w:rPr>
        <w:t xml:space="preserve">could be </w:t>
      </w:r>
      <w:r w:rsidR="005E66B8">
        <w:rPr>
          <w:rFonts w:ascii="Times" w:hAnsi="Times"/>
        </w:rPr>
        <w:t>clarified in certain respects to avoid potential misunderstanding</w:t>
      </w:r>
      <w:r w:rsidR="00A64B1A">
        <w:rPr>
          <w:rFonts w:ascii="Times" w:hAnsi="Times"/>
        </w:rPr>
        <w:t>s</w:t>
      </w:r>
      <w:r w:rsidR="005E66B8">
        <w:rPr>
          <w:rFonts w:ascii="Times" w:hAnsi="Times"/>
        </w:rPr>
        <w:t xml:space="preserve">.  First, the commenter </w:t>
      </w:r>
      <w:r w:rsidR="00B838B7">
        <w:rPr>
          <w:rFonts w:ascii="Times" w:hAnsi="Times"/>
        </w:rPr>
        <w:t xml:space="preserve">asserted </w:t>
      </w:r>
      <w:r w:rsidR="005E66B8">
        <w:rPr>
          <w:rFonts w:ascii="Times" w:hAnsi="Times"/>
        </w:rPr>
        <w:t xml:space="preserve">that the </w:t>
      </w:r>
      <w:r w:rsidR="0069095B">
        <w:rPr>
          <w:rFonts w:ascii="Times" w:hAnsi="Times"/>
        </w:rPr>
        <w:t xml:space="preserve">SRDP </w:t>
      </w:r>
      <w:r w:rsidR="005E66B8">
        <w:rPr>
          <w:rFonts w:ascii="Times" w:hAnsi="Times"/>
        </w:rPr>
        <w:t xml:space="preserve">instructions could be read to suggest </w:t>
      </w:r>
      <w:r w:rsidRPr="00837B57" w:rsidR="00837B57">
        <w:rPr>
          <w:rFonts w:ascii="Times" w:hAnsi="Times"/>
        </w:rPr>
        <w:t xml:space="preserve">that compensation that takes into account </w:t>
      </w:r>
      <w:r w:rsidR="00A64B1A">
        <w:rPr>
          <w:rFonts w:ascii="Times" w:hAnsi="Times"/>
        </w:rPr>
        <w:t xml:space="preserve">the volume or value of </w:t>
      </w:r>
      <w:r w:rsidRPr="00837B57" w:rsidR="00837B57">
        <w:rPr>
          <w:rFonts w:ascii="Times" w:hAnsi="Times"/>
        </w:rPr>
        <w:t xml:space="preserve">referrals </w:t>
      </w:r>
      <w:r w:rsidRPr="00837B57" w:rsidR="00837B57">
        <w:rPr>
          <w:rFonts w:ascii="Times" w:hAnsi="Times"/>
          <w:i/>
          <w:iCs/>
        </w:rPr>
        <w:t xml:space="preserve">necessarily </w:t>
      </w:r>
      <w:r w:rsidRPr="00837B57" w:rsidR="00837B57">
        <w:rPr>
          <w:rFonts w:ascii="Times" w:hAnsi="Times"/>
        </w:rPr>
        <w:t>violates the requirement at</w:t>
      </w:r>
      <w:r w:rsidR="00837B57">
        <w:rPr>
          <w:rFonts w:ascii="Times" w:hAnsi="Times"/>
        </w:rPr>
        <w:t xml:space="preserve"> </w:t>
      </w:r>
      <w:r w:rsidRPr="00837B57" w:rsidR="00837B57">
        <w:rPr>
          <w:rFonts w:ascii="Times" w:hAnsi="Times"/>
        </w:rPr>
        <w:t>§411.352(g) unless the designated health services are</w:t>
      </w:r>
      <w:r w:rsidRPr="00837B57" w:rsidR="00837B57">
        <w:rPr>
          <w:color w:val="000000"/>
          <w:sz w:val="22"/>
          <w:szCs w:val="22"/>
        </w:rPr>
        <w:t xml:space="preserve"> </w:t>
      </w:r>
      <w:r w:rsidRPr="00837B57" w:rsidR="00837B57">
        <w:rPr>
          <w:rFonts w:ascii="Times" w:hAnsi="Times"/>
        </w:rPr>
        <w:t xml:space="preserve">personally </w:t>
      </w:r>
      <w:r w:rsidR="00837B57">
        <w:rPr>
          <w:rFonts w:ascii="Times" w:hAnsi="Times"/>
        </w:rPr>
        <w:t>p</w:t>
      </w:r>
      <w:r w:rsidRPr="00837B57" w:rsidR="00837B57">
        <w:rPr>
          <w:rFonts w:ascii="Times" w:hAnsi="Times"/>
        </w:rPr>
        <w:t>erformed by the physician or are “incident to” the physician’s personally performed services</w:t>
      </w:r>
      <w:r w:rsidR="00A64B1A">
        <w:rPr>
          <w:rFonts w:ascii="Times" w:hAnsi="Times"/>
        </w:rPr>
        <w:t>.  To address this potential mis</w:t>
      </w:r>
      <w:r w:rsidR="005878E0">
        <w:rPr>
          <w:rFonts w:ascii="Times" w:hAnsi="Times"/>
        </w:rPr>
        <w:t>understanding</w:t>
      </w:r>
      <w:r w:rsidR="00A64B1A">
        <w:rPr>
          <w:rFonts w:ascii="Times" w:hAnsi="Times"/>
        </w:rPr>
        <w:t xml:space="preserve">, the commenter suggested </w:t>
      </w:r>
      <w:r w:rsidR="0069095B">
        <w:rPr>
          <w:rFonts w:ascii="Times" w:hAnsi="Times"/>
        </w:rPr>
        <w:t xml:space="preserve">that </w:t>
      </w:r>
      <w:r w:rsidR="00553BEC">
        <w:rPr>
          <w:rFonts w:ascii="Times" w:hAnsi="Times"/>
        </w:rPr>
        <w:t xml:space="preserve">we </w:t>
      </w:r>
      <w:r w:rsidR="00B838B7">
        <w:rPr>
          <w:rFonts w:ascii="Times" w:hAnsi="Times"/>
        </w:rPr>
        <w:t xml:space="preserve">explicitly state </w:t>
      </w:r>
      <w:r w:rsidR="00A64B1A">
        <w:rPr>
          <w:rFonts w:ascii="Times" w:hAnsi="Times"/>
        </w:rPr>
        <w:t xml:space="preserve">that compensation that takes into account the volume or value of referrals may satisfy the requirement at §411.352(g) if the conditions of the special rules at §411.352(i) are satisfied.  Second, the commenter </w:t>
      </w:r>
      <w:r w:rsidR="00B838B7">
        <w:rPr>
          <w:rFonts w:ascii="Times" w:hAnsi="Times"/>
        </w:rPr>
        <w:t xml:space="preserve">asserted </w:t>
      </w:r>
      <w:r w:rsidR="00A64B1A">
        <w:rPr>
          <w:rFonts w:ascii="Times" w:hAnsi="Times"/>
        </w:rPr>
        <w:t xml:space="preserve">that the </w:t>
      </w:r>
      <w:r w:rsidR="00B838B7">
        <w:rPr>
          <w:rFonts w:ascii="Times" w:hAnsi="Times"/>
        </w:rPr>
        <w:t xml:space="preserve">SRDP </w:t>
      </w:r>
      <w:r w:rsidR="00A64B1A">
        <w:rPr>
          <w:rFonts w:ascii="Times" w:hAnsi="Times"/>
        </w:rPr>
        <w:t xml:space="preserve">instructions could be read to suggest that the </w:t>
      </w:r>
      <w:r w:rsidR="005E66B8">
        <w:rPr>
          <w:rFonts w:ascii="Times" w:hAnsi="Times"/>
        </w:rPr>
        <w:t xml:space="preserve">only way to satisfy the special rules for profit shares and productivity bonuses at § 411.352(i) is to satisfy one of the deeming provisions in §411.352(i).  </w:t>
      </w:r>
      <w:r w:rsidR="00CF73D2">
        <w:rPr>
          <w:rFonts w:ascii="Times" w:hAnsi="Times"/>
        </w:rPr>
        <w:t xml:space="preserve">To correct this potential misunderstanding, the commenter suggested several minor revisions to the instructions.  </w:t>
      </w:r>
    </w:p>
    <w:p w:rsidR="00015CC2" w:rsidP="005E51D8" w14:paraId="7764CB3F" w14:textId="77777777">
      <w:pPr>
        <w:spacing w:line="480" w:lineRule="auto"/>
        <w:rPr>
          <w:rFonts w:ascii="Times" w:hAnsi="Times"/>
        </w:rPr>
      </w:pPr>
    </w:p>
    <w:p w:rsidR="00E46C81" w:rsidP="005E51D8" w14:paraId="6074670E" w14:textId="6D9A827A">
      <w:pPr>
        <w:spacing w:line="480" w:lineRule="auto"/>
      </w:pPr>
      <w:r w:rsidRPr="00A21042">
        <w:rPr>
          <w:b/>
          <w:u w:val="single"/>
        </w:rPr>
        <w:t>Response:</w:t>
      </w:r>
      <w:r w:rsidRPr="005E51D8">
        <w:rPr>
          <w:b/>
        </w:rPr>
        <w:t xml:space="preserve"> </w:t>
      </w:r>
      <w:r w:rsidRPr="005E51D8" w:rsidR="00921DCB">
        <w:rPr>
          <w:b/>
        </w:rPr>
        <w:t xml:space="preserve"> </w:t>
      </w:r>
      <w:r w:rsidR="00AB575E">
        <w:t xml:space="preserve">As a preliminary matter, we note that the SRDP Forms provide instructions on how to disclose overpayments arising from violations of the physician self-referral law.  The instructions to the SRDP Forms are not intended to provide guidance on the </w:t>
      </w:r>
      <w:r w:rsidR="00B838B7">
        <w:t xml:space="preserve">application of or compliance with the </w:t>
      </w:r>
      <w:r w:rsidR="00AB575E">
        <w:t xml:space="preserve">physician self-referral law.  </w:t>
      </w:r>
    </w:p>
    <w:p w:rsidR="00AB575E" w:rsidP="005E51D8" w14:paraId="530ECA71" w14:textId="02295394">
      <w:pPr>
        <w:spacing w:line="480" w:lineRule="auto"/>
      </w:pPr>
    </w:p>
    <w:p w:rsidR="00AB575E" w:rsidRPr="00AB575E" w:rsidP="005E51D8" w14:paraId="067811FC" w14:textId="72DB44D4">
      <w:pPr>
        <w:spacing w:line="480" w:lineRule="auto"/>
      </w:pPr>
      <w:r>
        <w:t xml:space="preserve">With respect to the commenter’s first point, we agree that a </w:t>
      </w:r>
      <w:r w:rsidR="00A14BF8">
        <w:t xml:space="preserve">physician practice </w:t>
      </w:r>
      <w:r>
        <w:t xml:space="preserve">may </w:t>
      </w:r>
      <w:r w:rsidR="00A14BF8">
        <w:t xml:space="preserve">avoid noncompliance with </w:t>
      </w:r>
      <w:r>
        <w:t xml:space="preserve">the requirement at §411.352(g) </w:t>
      </w:r>
      <w:r w:rsidR="00A14BF8">
        <w:t xml:space="preserve">if it meets </w:t>
      </w:r>
      <w:r>
        <w:t xml:space="preserve">the conditions of the special rules at §411.352(i).  To avoid </w:t>
      </w:r>
      <w:r w:rsidR="00A14BF8">
        <w:t>any</w:t>
      </w:r>
      <w:r>
        <w:t xml:space="preserve"> potential misunderstanding identified by the commenter, we are adding the language indicated in italics to the following example of how to report failure to satisfy the requirement at §411.352(g):  “Certain members of the practice received productivity bonuses that took into account referrals for designated health services that were neither personally performed by the physicians nor incident to the physician’s personally performed services </w:t>
      </w:r>
      <w:r>
        <w:rPr>
          <w:i/>
        </w:rPr>
        <w:t xml:space="preserve">and the productivity bonuses did not </w:t>
      </w:r>
      <w:r w:rsidR="005C5895">
        <w:rPr>
          <w:i/>
        </w:rPr>
        <w:t>meet</w:t>
      </w:r>
      <w:r>
        <w:rPr>
          <w:i/>
        </w:rPr>
        <w:t xml:space="preserve"> the conditions of the special rule at §411.352(i)</w:t>
      </w:r>
      <w:r>
        <w:t xml:space="preserve">.”  </w:t>
      </w:r>
    </w:p>
    <w:p w:rsidR="00AB575E" w:rsidP="005E51D8" w14:paraId="38A5DC0B" w14:textId="4C43CE79">
      <w:pPr>
        <w:spacing w:line="480" w:lineRule="auto"/>
      </w:pPr>
    </w:p>
    <w:p w:rsidR="00CF73D2" w:rsidRPr="009B783B" w:rsidP="005E51D8" w14:paraId="6054D7F0" w14:textId="12837D17">
      <w:pPr>
        <w:spacing w:line="480" w:lineRule="auto"/>
      </w:pPr>
      <w:r>
        <w:t xml:space="preserve">With respect to the commenter’s second point, we agree that </w:t>
      </w:r>
      <w:r w:rsidR="00A14BF8">
        <w:t xml:space="preserve">a </w:t>
      </w:r>
      <w:r w:rsidR="00BD12CF">
        <w:t xml:space="preserve">physician </w:t>
      </w:r>
      <w:r w:rsidR="00A14BF8">
        <w:t xml:space="preserve">practice </w:t>
      </w:r>
      <w:r>
        <w:t xml:space="preserve">is not </w:t>
      </w:r>
      <w:r w:rsidR="00A14BF8">
        <w:t xml:space="preserve">required </w:t>
      </w:r>
      <w:r>
        <w:t xml:space="preserve">to </w:t>
      </w:r>
      <w:r w:rsidR="00A14BF8">
        <w:t xml:space="preserve">meet </w:t>
      </w:r>
      <w:r>
        <w:t>the conditions of a deeming provision in §411.352(i)(1)(iii)</w:t>
      </w:r>
      <w:r w:rsidR="009B783B">
        <w:t xml:space="preserve"> or §411.352(i)(2)(ii) in order </w:t>
      </w:r>
      <w:r w:rsidR="00A14BF8">
        <w:t xml:space="preserve">for the share of overall profits or a productivity bonus not to be directly related to the volume or value of the recipient physician’s referrals under </w:t>
      </w:r>
      <w:r w:rsidR="009B783B">
        <w:t xml:space="preserve">§411.352(i).  However, we do not believe that it is necessary to modify the proposed Group Practice Information Form.  The instructions </w:t>
      </w:r>
      <w:r w:rsidR="00634FC4">
        <w:t>pertaining to the special rules at §411.352(i)</w:t>
      </w:r>
      <w:r w:rsidR="009B783B">
        <w:t xml:space="preserve"> request specific information from physician practices that </w:t>
      </w:r>
      <w:r w:rsidRPr="00162BC1" w:rsidR="009B783B">
        <w:rPr>
          <w:i/>
        </w:rPr>
        <w:t>relied</w:t>
      </w:r>
      <w:r w:rsidR="009B783B">
        <w:t xml:space="preserve"> on one or more of the deeming provisions in </w:t>
      </w:r>
      <w:r w:rsidR="00975971">
        <w:t>§411.352(i)(1)(iii) or (2)(ii)</w:t>
      </w:r>
      <w:r w:rsidR="009B783B">
        <w:t xml:space="preserve"> to satisfy the volume or value requirement at §411.352</w:t>
      </w:r>
      <w:r w:rsidR="00AD7052">
        <w:t>(g)</w:t>
      </w:r>
      <w:r w:rsidR="009B783B">
        <w:t xml:space="preserve">.  If a </w:t>
      </w:r>
      <w:r w:rsidR="00BD12CF">
        <w:t>physician practice</w:t>
      </w:r>
      <w:r w:rsidR="009B783B">
        <w:t xml:space="preserve"> otherwise </w:t>
      </w:r>
      <w:r w:rsidR="00BD12CF">
        <w:t>met</w:t>
      </w:r>
      <w:r w:rsidR="009B783B">
        <w:t xml:space="preserve"> the conditions of the special rules </w:t>
      </w:r>
      <w:r w:rsidR="00BD12CF">
        <w:t xml:space="preserve">at </w:t>
      </w:r>
      <w:r w:rsidR="00162BC1">
        <w:t>§411.352(</w:t>
      </w:r>
      <w:r w:rsidR="00634FC4">
        <w:t>i</w:t>
      </w:r>
      <w:r w:rsidR="00162BC1">
        <w:t xml:space="preserve">), then the </w:t>
      </w:r>
      <w:r w:rsidR="00BD12CF">
        <w:t xml:space="preserve">practice </w:t>
      </w:r>
      <w:r w:rsidR="00162BC1">
        <w:t xml:space="preserve">would not have to rely on the deeming provisions.  </w:t>
      </w:r>
      <w:r w:rsidR="009B783B">
        <w:t xml:space="preserve">To the extent that a </w:t>
      </w:r>
      <w:r w:rsidR="00BD12CF">
        <w:t>physician practice</w:t>
      </w:r>
      <w:r w:rsidR="009B783B">
        <w:t xml:space="preserve"> did not rely on one </w:t>
      </w:r>
      <w:r w:rsidR="00BD12CF">
        <w:t xml:space="preserve">of </w:t>
      </w:r>
      <w:r w:rsidR="009B783B">
        <w:t xml:space="preserve">these deeming provisions, it is not necessary for the </w:t>
      </w:r>
      <w:r w:rsidR="00BD12CF">
        <w:t>practice</w:t>
      </w:r>
      <w:r w:rsidR="009B783B">
        <w:t xml:space="preserve"> to provide this information.  </w:t>
      </w:r>
    </w:p>
    <w:p w:rsidR="00AB575E" w:rsidP="005E51D8" w14:paraId="7E1B1E9B" w14:textId="77777777">
      <w:pPr>
        <w:spacing w:line="480" w:lineRule="auto"/>
        <w:rPr>
          <w:b/>
        </w:rPr>
      </w:pPr>
    </w:p>
    <w:p w:rsidR="00262089" w:rsidP="005E51D8" w14:paraId="3723EECF" w14:textId="2634035B">
      <w:pPr>
        <w:spacing w:line="480" w:lineRule="auto"/>
        <w:rPr>
          <w:rFonts w:ascii="Times" w:hAnsi="Times"/>
        </w:rPr>
      </w:pPr>
      <w:r w:rsidRPr="00A21042">
        <w:rPr>
          <w:b/>
          <w:u w:val="single"/>
        </w:rPr>
        <w:t>Comment:</w:t>
      </w:r>
      <w:r w:rsidRPr="005E51D8">
        <w:t xml:space="preserve"> </w:t>
      </w:r>
      <w:r w:rsidRPr="005E51D8" w:rsidR="00921DCB">
        <w:t xml:space="preserve"> </w:t>
      </w:r>
      <w:r w:rsidR="00FB21A8">
        <w:rPr>
          <w:rFonts w:ascii="Times" w:hAnsi="Times"/>
        </w:rPr>
        <w:t>One commenter</w:t>
      </w:r>
      <w:r w:rsidR="000B528B">
        <w:rPr>
          <w:rFonts w:ascii="Times" w:hAnsi="Times"/>
        </w:rPr>
        <w:t xml:space="preserve"> </w:t>
      </w:r>
      <w:r w:rsidR="00D10689">
        <w:rPr>
          <w:rFonts w:ascii="Times" w:hAnsi="Times"/>
        </w:rPr>
        <w:t>stressed</w:t>
      </w:r>
      <w:r w:rsidR="004C7F0E">
        <w:rPr>
          <w:rFonts w:ascii="Times" w:hAnsi="Times"/>
        </w:rPr>
        <w:t xml:space="preserve"> </w:t>
      </w:r>
      <w:r w:rsidR="000B528B">
        <w:rPr>
          <w:rFonts w:ascii="Times" w:hAnsi="Times"/>
        </w:rPr>
        <w:t xml:space="preserve">that the proposed Group Practice Information Form will reduce burden for parties disclosing group practice noncompliance, and added that that the </w:t>
      </w:r>
      <w:r w:rsidR="004B3DC8">
        <w:rPr>
          <w:rFonts w:ascii="Times" w:hAnsi="Times"/>
        </w:rPr>
        <w:t>form</w:t>
      </w:r>
      <w:r w:rsidR="00D10689">
        <w:rPr>
          <w:rFonts w:ascii="Times" w:hAnsi="Times"/>
        </w:rPr>
        <w:t>,</w:t>
      </w:r>
      <w:r w:rsidR="000B528B">
        <w:rPr>
          <w:rFonts w:ascii="Times" w:hAnsi="Times"/>
        </w:rPr>
        <w:t xml:space="preserve"> </w:t>
      </w:r>
      <w:r w:rsidR="00F73021">
        <w:rPr>
          <w:rFonts w:ascii="Times" w:hAnsi="Times"/>
        </w:rPr>
        <w:t>in general</w:t>
      </w:r>
      <w:r w:rsidR="00D10689">
        <w:rPr>
          <w:rFonts w:ascii="Times" w:hAnsi="Times"/>
        </w:rPr>
        <w:t>,</w:t>
      </w:r>
      <w:r w:rsidR="00F73021">
        <w:rPr>
          <w:rFonts w:ascii="Times" w:hAnsi="Times"/>
        </w:rPr>
        <w:t xml:space="preserve"> </w:t>
      </w:r>
      <w:r w:rsidR="000B528B">
        <w:rPr>
          <w:rFonts w:ascii="Times" w:hAnsi="Times"/>
        </w:rPr>
        <w:t>is well</w:t>
      </w:r>
      <w:r w:rsidR="00D10689">
        <w:rPr>
          <w:rFonts w:ascii="Times" w:hAnsi="Times"/>
        </w:rPr>
        <w:t>-</w:t>
      </w:r>
      <w:r w:rsidR="000B528B">
        <w:rPr>
          <w:rFonts w:ascii="Times" w:hAnsi="Times"/>
        </w:rPr>
        <w:t>tailored to gather necessary information and is not unduly burdensome.  However, the commenter objected</w:t>
      </w:r>
      <w:r w:rsidR="00A445AF">
        <w:rPr>
          <w:rFonts w:ascii="Times" w:hAnsi="Times"/>
        </w:rPr>
        <w:t xml:space="preserve"> to </w:t>
      </w:r>
      <w:r w:rsidR="005862E8">
        <w:rPr>
          <w:rFonts w:ascii="Times" w:hAnsi="Times"/>
        </w:rPr>
        <w:t>the following</w:t>
      </w:r>
      <w:r w:rsidR="00A612F3">
        <w:rPr>
          <w:rFonts w:ascii="Times" w:hAnsi="Times"/>
        </w:rPr>
        <w:t xml:space="preserve"> specific request for information on the Group Practice </w:t>
      </w:r>
      <w:r w:rsidR="00D10689">
        <w:rPr>
          <w:rFonts w:ascii="Times" w:hAnsi="Times"/>
        </w:rPr>
        <w:t xml:space="preserve">Information </w:t>
      </w:r>
      <w:r w:rsidR="00A612F3">
        <w:rPr>
          <w:rFonts w:ascii="Times" w:hAnsi="Times"/>
        </w:rPr>
        <w:t>Form</w:t>
      </w:r>
      <w:r w:rsidR="00C26FBE">
        <w:rPr>
          <w:rFonts w:ascii="Times" w:hAnsi="Times"/>
        </w:rPr>
        <w:t>:</w:t>
      </w:r>
      <w:r w:rsidR="00A612F3">
        <w:rPr>
          <w:rFonts w:ascii="Times" w:hAnsi="Times"/>
        </w:rPr>
        <w:t xml:space="preserve">  </w:t>
      </w:r>
      <w:r w:rsidR="00DF38B5">
        <w:rPr>
          <w:rFonts w:ascii="Times" w:hAnsi="Times"/>
        </w:rPr>
        <w:t>f</w:t>
      </w:r>
      <w:r w:rsidR="00092854">
        <w:rPr>
          <w:rFonts w:ascii="Times" w:hAnsi="Times"/>
        </w:rPr>
        <w:t>or disclosures where a physician practice failed to qualify as a group practice under §411.352 because one or more physicians in the practi</w:t>
      </w:r>
      <w:r w:rsidR="00C003AF">
        <w:rPr>
          <w:rFonts w:ascii="Times" w:hAnsi="Times"/>
        </w:rPr>
        <w:t xml:space="preserve">ce received productivity bonuses based on services not personally performed by </w:t>
      </w:r>
      <w:r w:rsidR="00092854">
        <w:rPr>
          <w:rFonts w:ascii="Times" w:hAnsi="Times"/>
        </w:rPr>
        <w:t xml:space="preserve">the </w:t>
      </w:r>
      <w:r w:rsidR="00C003AF">
        <w:rPr>
          <w:rFonts w:ascii="Times" w:hAnsi="Times"/>
        </w:rPr>
        <w:t>physician or services not “incident to” such personally performed services</w:t>
      </w:r>
      <w:r w:rsidR="00092854">
        <w:rPr>
          <w:rFonts w:ascii="Times" w:hAnsi="Times"/>
        </w:rPr>
        <w:t xml:space="preserve">, the proposed Group Practice Information Form </w:t>
      </w:r>
      <w:r w:rsidR="00E74702">
        <w:rPr>
          <w:rFonts w:ascii="Times" w:hAnsi="Times"/>
        </w:rPr>
        <w:t xml:space="preserve">requests information regarding the </w:t>
      </w:r>
      <w:r w:rsidRPr="00E74702" w:rsidR="00E74702">
        <w:rPr>
          <w:rFonts w:ascii="Times" w:hAnsi="Times"/>
        </w:rPr>
        <w:t>total number of unique designated health services CPT/HCPCS codes billed by the practice</w:t>
      </w:r>
      <w:r w:rsidR="00E74702">
        <w:rPr>
          <w:rFonts w:ascii="Times" w:hAnsi="Times"/>
        </w:rPr>
        <w:t>,</w:t>
      </w:r>
      <w:r w:rsidRPr="00E74702" w:rsidR="00E74702">
        <w:rPr>
          <w:rFonts w:ascii="Times" w:hAnsi="Times"/>
        </w:rPr>
        <w:t xml:space="preserve"> and</w:t>
      </w:r>
      <w:r w:rsidR="00E74702">
        <w:rPr>
          <w:rFonts w:ascii="Times" w:hAnsi="Times"/>
        </w:rPr>
        <w:t xml:space="preserve"> t</w:t>
      </w:r>
      <w:r w:rsidRPr="00E74702" w:rsidR="00E74702">
        <w:rPr>
          <w:rFonts w:ascii="Times" w:hAnsi="Times"/>
        </w:rPr>
        <w:t>he number of designated health services CPT/HCPCS codes for which physician(s) received productivity bonuses</w:t>
      </w:r>
      <w:r w:rsidR="00E74702">
        <w:rPr>
          <w:rFonts w:ascii="Times" w:hAnsi="Times"/>
        </w:rPr>
        <w:t xml:space="preserve"> </w:t>
      </w:r>
      <w:r w:rsidRPr="00E74702" w:rsidR="00E74702">
        <w:rPr>
          <w:rFonts w:ascii="Times" w:hAnsi="Times"/>
        </w:rPr>
        <w:t>that were neither personally performed by the physicians nor services “incident to” such personally performed</w:t>
      </w:r>
      <w:r w:rsidR="00E74702">
        <w:rPr>
          <w:rFonts w:ascii="Times" w:hAnsi="Times"/>
        </w:rPr>
        <w:t xml:space="preserve"> </w:t>
      </w:r>
      <w:r w:rsidRPr="00E74702" w:rsidR="00E74702">
        <w:rPr>
          <w:rFonts w:ascii="Times" w:hAnsi="Times"/>
        </w:rPr>
        <w:t>services</w:t>
      </w:r>
      <w:r w:rsidR="00E74702">
        <w:rPr>
          <w:rFonts w:ascii="Times" w:hAnsi="Times"/>
        </w:rPr>
        <w:t>.</w:t>
      </w:r>
      <w:r w:rsidR="00092854">
        <w:rPr>
          <w:rFonts w:ascii="Times" w:hAnsi="Times"/>
        </w:rPr>
        <w:t xml:space="preserve">  According to the commenter, this requirement </w:t>
      </w:r>
      <w:r w:rsidR="004B3DC8">
        <w:rPr>
          <w:rFonts w:ascii="Times" w:hAnsi="Times"/>
        </w:rPr>
        <w:t>would impose significant administrative burden on disclosing parties while yielding very little insight into the nature and extent of the disclosed noncompliance</w:t>
      </w:r>
      <w:r w:rsidR="00D10689">
        <w:rPr>
          <w:rFonts w:ascii="Times" w:hAnsi="Times"/>
        </w:rPr>
        <w:t xml:space="preserve"> with the physician self-referral law</w:t>
      </w:r>
      <w:r w:rsidR="004B3DC8">
        <w:rPr>
          <w:rFonts w:ascii="Times" w:hAnsi="Times"/>
        </w:rPr>
        <w:t xml:space="preserve">.  In particular, the commenter </w:t>
      </w:r>
      <w:r w:rsidR="00A902BB">
        <w:rPr>
          <w:rFonts w:ascii="Times" w:hAnsi="Times"/>
        </w:rPr>
        <w:t>contended</w:t>
      </w:r>
      <w:r w:rsidR="004B3DC8">
        <w:rPr>
          <w:rFonts w:ascii="Times" w:hAnsi="Times"/>
        </w:rPr>
        <w:t xml:space="preserve"> that the number of CPT/HCPCS codes billed by a </w:t>
      </w:r>
      <w:r w:rsidR="00D10689">
        <w:rPr>
          <w:rFonts w:ascii="Times" w:hAnsi="Times"/>
        </w:rPr>
        <w:t xml:space="preserve">physician </w:t>
      </w:r>
      <w:r w:rsidR="004B3DC8">
        <w:rPr>
          <w:rFonts w:ascii="Times" w:hAnsi="Times"/>
        </w:rPr>
        <w:t xml:space="preserve">practice </w:t>
      </w:r>
      <w:r w:rsidR="008D2EF7">
        <w:rPr>
          <w:rFonts w:ascii="Times" w:hAnsi="Times"/>
        </w:rPr>
        <w:t xml:space="preserve">often </w:t>
      </w:r>
      <w:r w:rsidR="004B3DC8">
        <w:rPr>
          <w:rFonts w:ascii="Times" w:hAnsi="Times"/>
        </w:rPr>
        <w:t xml:space="preserve">has more to do with the specialties of the physicians in the practice than the extent of noncompliance.  </w:t>
      </w:r>
    </w:p>
    <w:p w:rsidR="00FB21A8" w:rsidRPr="00FB21A8" w:rsidP="005E51D8" w14:paraId="788D3AE3" w14:textId="77777777">
      <w:pPr>
        <w:spacing w:line="480" w:lineRule="auto"/>
        <w:rPr>
          <w:rFonts w:ascii="Times" w:hAnsi="Times"/>
          <w:i/>
        </w:rPr>
      </w:pPr>
    </w:p>
    <w:p w:rsidR="00262089" w:rsidRPr="008D2EF7" w:rsidP="005E51D8" w14:paraId="2B973DE7" w14:textId="692F260B">
      <w:pPr>
        <w:spacing w:line="480" w:lineRule="auto"/>
      </w:pPr>
      <w:r w:rsidRPr="00A21042">
        <w:rPr>
          <w:b/>
          <w:u w:val="single"/>
        </w:rPr>
        <w:t>Response:</w:t>
      </w:r>
      <w:r w:rsidRPr="005E51D8">
        <w:rPr>
          <w:b/>
        </w:rPr>
        <w:t xml:space="preserve"> </w:t>
      </w:r>
      <w:r w:rsidRPr="005E51D8" w:rsidR="00921DCB">
        <w:rPr>
          <w:b/>
        </w:rPr>
        <w:t xml:space="preserve"> </w:t>
      </w:r>
      <w:r w:rsidR="008D2EF7">
        <w:t xml:space="preserve">We </w:t>
      </w:r>
      <w:r w:rsidR="00847C13">
        <w:t xml:space="preserve">appreciate the commenter’s general support for the proposed Group Practice Information Form, but we </w:t>
      </w:r>
      <w:r w:rsidR="008D2EF7">
        <w:t xml:space="preserve">disagree with </w:t>
      </w:r>
      <w:r w:rsidR="00D10689">
        <w:t>its assessment</w:t>
      </w:r>
      <w:r w:rsidR="00847C13">
        <w:t xml:space="preserve"> of the request for information regarding CPT/HCPCS codes billed by the </w:t>
      </w:r>
      <w:r w:rsidR="00D10689">
        <w:t xml:space="preserve">physician </w:t>
      </w:r>
      <w:r w:rsidR="00847C13">
        <w:t>practice</w:t>
      </w:r>
      <w:r w:rsidR="008D2EF7">
        <w:t xml:space="preserve">.  </w:t>
      </w:r>
      <w:r w:rsidR="00D10689">
        <w:t>W</w:t>
      </w:r>
      <w:r w:rsidR="008D2EF7">
        <w:t xml:space="preserve">e believe </w:t>
      </w:r>
      <w:r w:rsidR="008D2EF7">
        <w:t>that</w:t>
      </w:r>
      <w:r w:rsidR="00D10689">
        <w:t>, in most cases,</w:t>
      </w:r>
      <w:r w:rsidR="008D2EF7">
        <w:t xml:space="preserve"> </w:t>
      </w:r>
      <w:r w:rsidR="00E30DAB">
        <w:t xml:space="preserve">the </w:t>
      </w:r>
      <w:r w:rsidR="008D2EF7">
        <w:t xml:space="preserve">information requested regarding CPT/HCPCS can be </w:t>
      </w:r>
      <w:r w:rsidR="00B43796">
        <w:t xml:space="preserve">collected </w:t>
      </w:r>
      <w:r w:rsidR="00FD4480">
        <w:t xml:space="preserve">fairly easily </w:t>
      </w:r>
      <w:r w:rsidR="00B43796">
        <w:t xml:space="preserve">by a query of the practice’s billing or electronic health records software.  </w:t>
      </w:r>
      <w:r w:rsidR="009A01BE">
        <w:t>W</w:t>
      </w:r>
      <w:r w:rsidR="00847C13">
        <w:t xml:space="preserve">e </w:t>
      </w:r>
      <w:r w:rsidR="009A01BE">
        <w:t xml:space="preserve">also </w:t>
      </w:r>
      <w:r w:rsidR="00847C13">
        <w:t xml:space="preserve">believe that the ratio of the total number of CPT/HCPCS codes billed by the </w:t>
      </w:r>
      <w:r w:rsidR="00D10689">
        <w:t xml:space="preserve">physician </w:t>
      </w:r>
      <w:r w:rsidR="00847C13">
        <w:t xml:space="preserve">practice to the number of CPT/HCPCS codes that formed the basis for improper productivity bonuses provides </w:t>
      </w:r>
      <w:r w:rsidR="00E30DAB">
        <w:t>use</w:t>
      </w:r>
      <w:r w:rsidR="00847C13">
        <w:t xml:space="preserve">ful information regarding the extent of </w:t>
      </w:r>
      <w:r w:rsidR="009A01BE">
        <w:t xml:space="preserve">the disclosed </w:t>
      </w:r>
      <w:r w:rsidR="00847C13">
        <w:t>noncompliance</w:t>
      </w:r>
      <w:r w:rsidR="00D10689">
        <w:t>, as well as the extent of the harm the physician self-referral law is intended to prevent</w:t>
      </w:r>
      <w:r w:rsidR="00847C13">
        <w:t xml:space="preserve">. </w:t>
      </w:r>
      <w:r w:rsidR="0093756D">
        <w:t xml:space="preserve"> In our administration of the SRDP, we have reviewed many disclosures where improper </w:t>
      </w:r>
      <w:r w:rsidR="00D10689">
        <w:t xml:space="preserve">productivity </w:t>
      </w:r>
      <w:r w:rsidR="0093756D">
        <w:t xml:space="preserve">bonuses were paid </w:t>
      </w:r>
      <w:r w:rsidR="00D10689">
        <w:t xml:space="preserve">based </w:t>
      </w:r>
      <w:r w:rsidR="0093756D">
        <w:t>on a handful of CPT/HCPCS codes representing a very small percentage of the designated health services provided</w:t>
      </w:r>
      <w:r w:rsidR="005862E8">
        <w:t xml:space="preserve"> by the </w:t>
      </w:r>
      <w:r w:rsidR="00D10689">
        <w:t xml:space="preserve">physician </w:t>
      </w:r>
      <w:r w:rsidR="005862E8">
        <w:t>practice</w:t>
      </w:r>
      <w:r w:rsidR="0093756D">
        <w:t xml:space="preserve">.  </w:t>
      </w:r>
      <w:r w:rsidR="00E30DAB">
        <w:t xml:space="preserve">This information, coupled with requested information regarding revenues derived from designated health services and the number of affected physicians in the practice, </w:t>
      </w:r>
      <w:r w:rsidR="00D10689">
        <w:t>provides a comprehensive overview of the failure of the physician practice to qualify as a group practice, and is crucial to our ability to assess</w:t>
      </w:r>
      <w:r w:rsidR="00E30DAB">
        <w:t xml:space="preserve"> the nature and extent of noncompliance </w:t>
      </w:r>
      <w:r w:rsidR="00D10689">
        <w:t>by</w:t>
      </w:r>
      <w:r w:rsidR="00E30DAB">
        <w:t xml:space="preserve"> the </w:t>
      </w:r>
      <w:r w:rsidR="00D10689">
        <w:t xml:space="preserve">physician </w:t>
      </w:r>
      <w:r w:rsidR="00E30DAB">
        <w:t xml:space="preserve">practice.  </w:t>
      </w:r>
    </w:p>
    <w:p w:rsidR="001417C9" w:rsidP="005E51D8" w14:paraId="642E8FF9" w14:textId="77777777">
      <w:pPr>
        <w:spacing w:line="480" w:lineRule="auto"/>
        <w:rPr>
          <w:b/>
        </w:rPr>
      </w:pPr>
    </w:p>
    <w:p w:rsidR="00847C13" w:rsidP="005E51D8" w14:paraId="6956211D" w14:textId="658C74F5">
      <w:pPr>
        <w:spacing w:line="480" w:lineRule="auto"/>
      </w:pPr>
      <w:r>
        <w:t>We are aware</w:t>
      </w:r>
      <w:r>
        <w:t xml:space="preserve"> that</w:t>
      </w:r>
      <w:r w:rsidR="00EC12E8">
        <w:t>,</w:t>
      </w:r>
      <w:r>
        <w:t xml:space="preserve"> in </w:t>
      </w:r>
      <w:r w:rsidR="00EC12E8">
        <w:t>some instances,</w:t>
      </w:r>
      <w:r>
        <w:t xml:space="preserve"> th</w:t>
      </w:r>
      <w:r>
        <w:t xml:space="preserve">e requested </w:t>
      </w:r>
      <w:r>
        <w:t xml:space="preserve">information </w:t>
      </w:r>
      <w:r>
        <w:t xml:space="preserve">regarding CPT/HCPCS codes </w:t>
      </w:r>
      <w:r>
        <w:t xml:space="preserve">may be </w:t>
      </w:r>
      <w:r w:rsidR="00EC12E8">
        <w:t xml:space="preserve">impossible </w:t>
      </w:r>
      <w:r>
        <w:t xml:space="preserve">or </w:t>
      </w:r>
      <w:r w:rsidR="00EC12E8">
        <w:t xml:space="preserve">extremely </w:t>
      </w:r>
      <w:r>
        <w:t>burdensome to collect.  Therefore, we have modified the</w:t>
      </w:r>
      <w:r w:rsidR="00EC12E8">
        <w:t xml:space="preserve"> instruction regarding this information </w:t>
      </w:r>
      <w:r>
        <w:t xml:space="preserve">to state that the information should be provided “if available.”  </w:t>
      </w:r>
      <w:r>
        <w:t xml:space="preserve">We also accept reasonable estimates made by the </w:t>
      </w:r>
      <w:r w:rsidR="00493835">
        <w:t>physician practice</w:t>
      </w:r>
      <w:r>
        <w:t xml:space="preserve">.  </w:t>
      </w:r>
    </w:p>
    <w:p w:rsidR="00847C13" w:rsidP="005E51D8" w14:paraId="284157B0" w14:textId="77777777">
      <w:pPr>
        <w:spacing w:line="480" w:lineRule="auto"/>
        <w:rPr>
          <w:b/>
        </w:rPr>
      </w:pPr>
    </w:p>
    <w:p w:rsidR="001417C9" w:rsidP="005E51D8" w14:paraId="06F6B5A4" w14:textId="04BA8773">
      <w:pPr>
        <w:spacing w:line="480" w:lineRule="auto"/>
        <w:rPr>
          <w:rFonts w:ascii="Times" w:hAnsi="Times"/>
        </w:rPr>
      </w:pPr>
      <w:r w:rsidRPr="00A21042">
        <w:rPr>
          <w:b/>
          <w:u w:val="single"/>
        </w:rPr>
        <w:t>Comment:</w:t>
      </w:r>
      <w:r w:rsidRPr="005E51D8">
        <w:t xml:space="preserve"> </w:t>
      </w:r>
      <w:r w:rsidRPr="005E51D8" w:rsidR="00921DCB">
        <w:t xml:space="preserve"> </w:t>
      </w:r>
      <w:r w:rsidR="005566A4">
        <w:rPr>
          <w:rFonts w:ascii="Times" w:hAnsi="Times"/>
        </w:rPr>
        <w:t xml:space="preserve">A commenter commended CMS for not requiring a report on </w:t>
      </w:r>
      <w:r w:rsidR="0064789E">
        <w:rPr>
          <w:rFonts w:ascii="Times" w:hAnsi="Times"/>
        </w:rPr>
        <w:t xml:space="preserve">the </w:t>
      </w:r>
      <w:r w:rsidR="005566A4">
        <w:rPr>
          <w:rFonts w:ascii="Times" w:hAnsi="Times"/>
        </w:rPr>
        <w:t xml:space="preserve">pervasiveness </w:t>
      </w:r>
      <w:r w:rsidR="0064789E">
        <w:rPr>
          <w:rFonts w:ascii="Times" w:hAnsi="Times"/>
        </w:rPr>
        <w:t xml:space="preserve">of noncompliance </w:t>
      </w:r>
      <w:r w:rsidR="005566A4">
        <w:rPr>
          <w:rFonts w:ascii="Times" w:hAnsi="Times"/>
        </w:rPr>
        <w:t>when disclosing group practice noncompliance</w:t>
      </w:r>
      <w:r w:rsidR="00451569">
        <w:rPr>
          <w:rFonts w:ascii="Times" w:hAnsi="Times"/>
        </w:rPr>
        <w:t xml:space="preserve"> </w:t>
      </w:r>
      <w:r w:rsidR="00493835">
        <w:rPr>
          <w:rFonts w:ascii="Times" w:hAnsi="Times"/>
        </w:rPr>
        <w:t xml:space="preserve">using </w:t>
      </w:r>
      <w:r w:rsidR="00451569">
        <w:rPr>
          <w:rFonts w:ascii="Times" w:hAnsi="Times"/>
        </w:rPr>
        <w:t xml:space="preserve">the </w:t>
      </w:r>
      <w:r w:rsidR="00451569">
        <w:rPr>
          <w:rFonts w:ascii="Times" w:hAnsi="Times"/>
        </w:rPr>
        <w:t>Group Practice Information Form</w:t>
      </w:r>
      <w:r w:rsidR="005566A4">
        <w:rPr>
          <w:rFonts w:ascii="Times" w:hAnsi="Times"/>
        </w:rPr>
        <w:t xml:space="preserve">.  The commenter requested that </w:t>
      </w:r>
      <w:r w:rsidR="00B86B6A">
        <w:rPr>
          <w:rFonts w:ascii="Times" w:hAnsi="Times"/>
        </w:rPr>
        <w:t>CMS no longer require information</w:t>
      </w:r>
      <w:r w:rsidR="005566A4">
        <w:rPr>
          <w:rFonts w:ascii="Times" w:hAnsi="Times"/>
        </w:rPr>
        <w:t xml:space="preserve"> on pervasiveness</w:t>
      </w:r>
      <w:r w:rsidR="00493835">
        <w:rPr>
          <w:rFonts w:ascii="Times" w:hAnsi="Times"/>
        </w:rPr>
        <w:t>—</w:t>
      </w:r>
      <w:r w:rsidR="00B86B6A">
        <w:rPr>
          <w:rFonts w:ascii="Times" w:hAnsi="Times"/>
        </w:rPr>
        <w:t xml:space="preserve">defined in the SRDP Disclosure Form as </w:t>
      </w:r>
      <w:r w:rsidR="00B86B6A">
        <w:rPr>
          <w:color w:val="000000"/>
        </w:rPr>
        <w:t>how common or frequent the disclosed noncompliance was in comparison with similar financial relationships between the disclosing party and physicians</w:t>
      </w:r>
      <w:r w:rsidR="00493835">
        <w:rPr>
          <w:color w:val="000000"/>
        </w:rPr>
        <w:t>—</w:t>
      </w:r>
      <w:r w:rsidR="005566A4">
        <w:rPr>
          <w:rFonts w:ascii="Times" w:hAnsi="Times"/>
        </w:rPr>
        <w:t>for any type of disclosed noncompliance</w:t>
      </w:r>
      <w:r w:rsidR="00493835">
        <w:rPr>
          <w:rFonts w:ascii="Times" w:hAnsi="Times"/>
        </w:rPr>
        <w:t xml:space="preserve"> with the physician self-referral law</w:t>
      </w:r>
      <w:r w:rsidR="005566A4">
        <w:rPr>
          <w:rFonts w:ascii="Times" w:hAnsi="Times"/>
        </w:rPr>
        <w:t xml:space="preserve">.  According the commenter, </w:t>
      </w:r>
      <w:r w:rsidR="003103CF">
        <w:rPr>
          <w:rFonts w:ascii="Times" w:hAnsi="Times"/>
        </w:rPr>
        <w:t>information regarding the pervasiveness of noncompliance</w:t>
      </w:r>
      <w:r w:rsidR="00B86B6A">
        <w:rPr>
          <w:rFonts w:ascii="Times" w:hAnsi="Times"/>
        </w:rPr>
        <w:t xml:space="preserve"> </w:t>
      </w:r>
      <w:r w:rsidR="003103CF">
        <w:rPr>
          <w:rFonts w:ascii="Times" w:hAnsi="Times"/>
        </w:rPr>
        <w:t xml:space="preserve">is not useful in evaluating the extent of noncompliance.  In addition, according to the commenter </w:t>
      </w:r>
      <w:r w:rsidR="005566A4">
        <w:rPr>
          <w:rFonts w:ascii="Times" w:hAnsi="Times"/>
        </w:rPr>
        <w:t xml:space="preserve">it is unduly burdensome for disclosing parties to collect information on other financial relationships that are similar to the disclosed financial relationship, especially for large organizations or for lengthy periods of noncompliance.  </w:t>
      </w:r>
      <w:r w:rsidR="0072594C">
        <w:rPr>
          <w:rFonts w:ascii="Times" w:hAnsi="Times"/>
        </w:rPr>
        <w:t xml:space="preserve">The commenter also stated that the requirement that </w:t>
      </w:r>
      <w:r w:rsidR="00D82E17">
        <w:rPr>
          <w:rFonts w:ascii="Times" w:hAnsi="Times"/>
        </w:rPr>
        <w:t xml:space="preserve">disclosing parties </w:t>
      </w:r>
      <w:r w:rsidR="0072594C">
        <w:rPr>
          <w:rFonts w:ascii="Times" w:hAnsi="Times"/>
        </w:rPr>
        <w:t xml:space="preserve">report the pervasiveness of the noncompliance raises questions about whether </w:t>
      </w:r>
      <w:r w:rsidR="00D82E17">
        <w:rPr>
          <w:rFonts w:ascii="Times" w:hAnsi="Times"/>
        </w:rPr>
        <w:t>the parties have</w:t>
      </w:r>
      <w:r w:rsidR="0072594C">
        <w:rPr>
          <w:rFonts w:ascii="Times" w:hAnsi="Times"/>
        </w:rPr>
        <w:t xml:space="preserve"> a duty to audit other financial relationships when submitting a self-disclosure to the SRDP.  </w:t>
      </w:r>
    </w:p>
    <w:p w:rsidR="00015CC2" w:rsidP="005E51D8" w14:paraId="41A31877" w14:textId="77777777">
      <w:pPr>
        <w:spacing w:line="480" w:lineRule="auto"/>
        <w:rPr>
          <w:rFonts w:ascii="Times" w:hAnsi="Times"/>
          <w:i/>
        </w:rPr>
      </w:pPr>
    </w:p>
    <w:p w:rsidR="00015CC2" w:rsidRPr="00015CC2" w:rsidP="005E51D8" w14:paraId="28EE5670" w14:textId="48053687">
      <w:pPr>
        <w:spacing w:line="480" w:lineRule="auto"/>
        <w:rPr>
          <w:rFonts w:ascii="Times" w:hAnsi="Times"/>
        </w:rPr>
      </w:pPr>
      <w:r>
        <w:rPr>
          <w:rFonts w:ascii="Times" w:hAnsi="Times"/>
        </w:rPr>
        <w:t>The commenter requested that</w:t>
      </w:r>
      <w:r w:rsidR="00F0398F">
        <w:rPr>
          <w:rFonts w:ascii="Times" w:hAnsi="Times"/>
        </w:rPr>
        <w:t>,</w:t>
      </w:r>
      <w:r>
        <w:rPr>
          <w:rFonts w:ascii="Times" w:hAnsi="Times"/>
        </w:rPr>
        <w:t xml:space="preserve"> if CMS retains the required report on pervasiveness, </w:t>
      </w:r>
      <w:r w:rsidR="00DF38B5">
        <w:rPr>
          <w:rFonts w:ascii="Times" w:hAnsi="Times"/>
        </w:rPr>
        <w:t>CMS</w:t>
      </w:r>
      <w:r>
        <w:rPr>
          <w:rFonts w:ascii="Times" w:hAnsi="Times"/>
        </w:rPr>
        <w:t xml:space="preserve"> should explicitly allow for qualitative statements on the pervasiveness, such as “</w:t>
      </w:r>
      <w:r w:rsidRPr="00015CC2">
        <w:rPr>
          <w:rFonts w:ascii="Times" w:hAnsi="Times"/>
        </w:rPr>
        <w:t>the disclosed arrangement was the only noncompliant financial relationship identified during the course of a due diligence review that involved all of the disclosing party’s financial relationships with physicians</w:t>
      </w:r>
      <w:r>
        <w:rPr>
          <w:rFonts w:ascii="Times" w:hAnsi="Times"/>
        </w:rPr>
        <w:t xml:space="preserve">.”  </w:t>
      </w:r>
    </w:p>
    <w:p w:rsidR="001417C9" w:rsidP="005E51D8" w14:paraId="5A76CBEC" w14:textId="77777777">
      <w:pPr>
        <w:spacing w:line="480" w:lineRule="auto"/>
        <w:rPr>
          <w:rFonts w:ascii="Times" w:hAnsi="Times"/>
        </w:rPr>
      </w:pPr>
    </w:p>
    <w:p w:rsidR="002D2683" w:rsidP="005E51D8" w14:paraId="5233EE7A" w14:textId="26CE21EC">
      <w:pPr>
        <w:spacing w:line="480" w:lineRule="auto"/>
      </w:pPr>
      <w:r w:rsidRPr="00A21042">
        <w:rPr>
          <w:b/>
          <w:u w:val="single"/>
        </w:rPr>
        <w:t>Response:</w:t>
      </w:r>
      <w:r w:rsidRPr="005E51D8">
        <w:rPr>
          <w:b/>
        </w:rPr>
        <w:t xml:space="preserve"> </w:t>
      </w:r>
      <w:r w:rsidRPr="005E51D8" w:rsidR="00921DCB">
        <w:rPr>
          <w:b/>
        </w:rPr>
        <w:t xml:space="preserve"> </w:t>
      </w:r>
      <w:r w:rsidR="00451569">
        <w:t xml:space="preserve">We continue to believe that the report on pervasiveness provides </w:t>
      </w:r>
      <w:r w:rsidR="00F0398F">
        <w:t xml:space="preserve">important </w:t>
      </w:r>
      <w:r w:rsidR="00451569">
        <w:t xml:space="preserve">information </w:t>
      </w:r>
      <w:r w:rsidR="00F0398F">
        <w:t xml:space="preserve">necessary to assess </w:t>
      </w:r>
      <w:r w:rsidR="00451569">
        <w:t>the extent of noncompliance</w:t>
      </w:r>
      <w:r w:rsidR="00F0398F">
        <w:t xml:space="preserve"> as required under section </w:t>
      </w:r>
      <w:r w:rsidR="00864A75">
        <w:t>6409</w:t>
      </w:r>
      <w:r w:rsidR="00F0398F">
        <w:t xml:space="preserve"> of the A</w:t>
      </w:r>
      <w:r w:rsidR="00864A75">
        <w:t xml:space="preserve">ffordable </w:t>
      </w:r>
      <w:r w:rsidR="00F0398F">
        <w:t>C</w:t>
      </w:r>
      <w:r w:rsidR="00864A75">
        <w:t xml:space="preserve">are </w:t>
      </w:r>
      <w:r w:rsidR="00F0398F">
        <w:t>A</w:t>
      </w:r>
      <w:r w:rsidR="00864A75">
        <w:t>ct</w:t>
      </w:r>
      <w:r w:rsidR="0072594C">
        <w:t xml:space="preserve">.  For example, assume Hospital A employs </w:t>
      </w:r>
      <w:r w:rsidR="005C5895">
        <w:t>five</w:t>
      </w:r>
      <w:r w:rsidR="0072594C">
        <w:t xml:space="preserve"> </w:t>
      </w:r>
      <w:r w:rsidR="0072594C">
        <w:t>physicians, and the employment arrangement</w:t>
      </w:r>
      <w:r w:rsidR="00273BF5">
        <w:t>s</w:t>
      </w:r>
      <w:r w:rsidR="0072594C">
        <w:t xml:space="preserve"> for all </w:t>
      </w:r>
      <w:r w:rsidR="005C5895">
        <w:t>five</w:t>
      </w:r>
      <w:r w:rsidR="0072594C">
        <w:t xml:space="preserve"> physicians do not satisfy the requirements of an</w:t>
      </w:r>
      <w:r w:rsidR="00B175C8">
        <w:t>y</w:t>
      </w:r>
      <w:r w:rsidR="0072594C">
        <w:t xml:space="preserve"> applicable exception in §411.357.  Assume </w:t>
      </w:r>
      <w:r w:rsidR="00F0398F">
        <w:t xml:space="preserve">also </w:t>
      </w:r>
      <w:r w:rsidR="0072594C">
        <w:t>that Hospital B employs 100 physicians, and</w:t>
      </w:r>
      <w:r w:rsidR="00AF1816">
        <w:t xml:space="preserve"> the hospital discloses that</w:t>
      </w:r>
      <w:r w:rsidR="0072594C">
        <w:t xml:space="preserve"> compensation arrangements with </w:t>
      </w:r>
      <w:r w:rsidR="005C5895">
        <w:t>five</w:t>
      </w:r>
      <w:r w:rsidR="0072594C">
        <w:t xml:space="preserve"> of the physicians do not </w:t>
      </w:r>
      <w:r w:rsidRPr="0072594C" w:rsidR="0072594C">
        <w:t>satisfy the requirements of an</w:t>
      </w:r>
      <w:r w:rsidR="00B175C8">
        <w:t>y</w:t>
      </w:r>
      <w:r w:rsidRPr="0072594C" w:rsidR="0072594C">
        <w:t xml:space="preserve"> applicable exception in §411.357</w:t>
      </w:r>
      <w:r w:rsidR="00AF1816">
        <w:t>.  If we did not collect information on other similar financial relationships</w:t>
      </w:r>
      <w:r w:rsidR="00F0398F">
        <w:t>—</w:t>
      </w:r>
      <w:r w:rsidR="00AF1816">
        <w:t xml:space="preserve">in this </w:t>
      </w:r>
      <w:r w:rsidR="00F0398F">
        <w:t xml:space="preserve">example, </w:t>
      </w:r>
      <w:r w:rsidR="00AF1816">
        <w:t xml:space="preserve">employment arrangements </w:t>
      </w:r>
      <w:r w:rsidR="00B175C8">
        <w:t>between the hospitals and physicians</w:t>
      </w:r>
      <w:r w:rsidR="00F0398F">
        <w:t>—</w:t>
      </w:r>
      <w:r w:rsidR="00AF1816">
        <w:t>then the extensiveness of the noncompliance at Hospital A and Hospital B would appear to be roughly similar</w:t>
      </w:r>
      <w:r w:rsidR="00F0398F">
        <w:t xml:space="preserve"> (</w:t>
      </w:r>
      <w:r w:rsidR="00AF1816">
        <w:t xml:space="preserve">in both cases, there are </w:t>
      </w:r>
      <w:r w:rsidR="005C5895">
        <w:t>five</w:t>
      </w:r>
      <w:r w:rsidR="00AF1816">
        <w:t xml:space="preserve"> noncompliant employment arrangements</w:t>
      </w:r>
      <w:r w:rsidR="00F0398F">
        <w:t>)</w:t>
      </w:r>
      <w:r w:rsidR="00AF1816">
        <w:t>.  However, we believe that the fact that 100</w:t>
      </w:r>
      <w:r w:rsidR="00F0398F">
        <w:t xml:space="preserve"> percent</w:t>
      </w:r>
      <w:r w:rsidR="00AF1816">
        <w:t xml:space="preserve"> of the employment arrangements at Hospital A </w:t>
      </w:r>
      <w:r w:rsidR="00F0398F">
        <w:t>failed to satisfy the requirements of an applicable exception</w:t>
      </w:r>
      <w:r w:rsidR="00AF1816">
        <w:t xml:space="preserve">, while only </w:t>
      </w:r>
      <w:r w:rsidR="005E65CB">
        <w:t xml:space="preserve">5 </w:t>
      </w:r>
      <w:r w:rsidR="00F0398F">
        <w:t>percent</w:t>
      </w:r>
      <w:r w:rsidR="00AF1816">
        <w:t xml:space="preserve"> of the </w:t>
      </w:r>
      <w:r w:rsidR="00F0398F">
        <w:t xml:space="preserve">employment </w:t>
      </w:r>
      <w:r w:rsidR="00AF1816">
        <w:t xml:space="preserve">arrangements at Hospital B </w:t>
      </w:r>
      <w:r w:rsidR="00F0398F">
        <w:t>did so</w:t>
      </w:r>
      <w:r w:rsidR="00AF1816">
        <w:t xml:space="preserve">, indicates that the noncompliance was more extensive at Hospital A.  </w:t>
      </w:r>
    </w:p>
    <w:p w:rsidR="00AF1816" w:rsidP="005E51D8" w14:paraId="2D509371" w14:textId="77777777">
      <w:pPr>
        <w:spacing w:line="480" w:lineRule="auto"/>
      </w:pPr>
    </w:p>
    <w:p w:rsidR="00AF1816" w:rsidP="005E51D8" w14:paraId="073516B8" w14:textId="0234702A">
      <w:pPr>
        <w:spacing w:line="480" w:lineRule="auto"/>
      </w:pPr>
      <w:r>
        <w:t>Regarding the burden of collecti</w:t>
      </w:r>
      <w:r w:rsidR="000F211E">
        <w:t>ng information on pervasiveness</w:t>
      </w:r>
      <w:r w:rsidR="00AE44F7">
        <w:t xml:space="preserve">, we believe that </w:t>
      </w:r>
      <w:r w:rsidR="000F211E">
        <w:t>most entities maintain this information and that it can be accessed without undue burden by querying the entity’s accounts payable or accounts receivable, as applicable, for physician vendors</w:t>
      </w:r>
      <w:r w:rsidR="0091594C">
        <w:t>, lessees, or purchasers</w:t>
      </w:r>
      <w:r w:rsidR="000F211E">
        <w:t>.  We also accept reasonable estimates of the pervasiveness</w:t>
      </w:r>
      <w:r w:rsidR="0091594C">
        <w:t xml:space="preserve"> of reported noncompliance</w:t>
      </w:r>
      <w:r w:rsidR="000F211E">
        <w:t xml:space="preserve">.  We have modified the instructions for the SRDP Disclosure Form to explicitly state that reasonable estimates are accepted.  Lastly, the report on pervasiveness does not impose a separate or independent duty to audit other financial relationships between the entity and physicians.  </w:t>
      </w:r>
    </w:p>
    <w:p w:rsidR="00450724" w:rsidP="005E51D8" w14:paraId="1AB53AF5" w14:textId="77777777">
      <w:pPr>
        <w:spacing w:line="480" w:lineRule="auto"/>
      </w:pPr>
    </w:p>
    <w:p w:rsidR="00450724" w:rsidP="005E51D8" w14:paraId="35A37FA1" w14:textId="2721E53A">
      <w:pPr>
        <w:spacing w:line="480" w:lineRule="auto"/>
      </w:pPr>
      <w:r>
        <w:t xml:space="preserve">In response to the commenter’s </w:t>
      </w:r>
      <w:r w:rsidR="0091594C">
        <w:t>suggested description of pervasiveness of noncompliance</w:t>
      </w:r>
      <w:r>
        <w:t xml:space="preserve">, we continue to believe that quantitative assessments of the number of similar financial relationships provide the clearest and least ambiguous information on pervasiveness.  </w:t>
      </w:r>
      <w:r w:rsidR="00054A0E">
        <w:t>A</w:t>
      </w:r>
      <w:r>
        <w:t xml:space="preserve"> statement as to the number and general types of financial relationships (e.g., rental of office space, employment, medical director services, etc.) reviewed as a part of comprehensive due diligence </w:t>
      </w:r>
      <w:r w:rsidR="004B4408">
        <w:t>and the number of noncompliant financial relationships discovered in this process</w:t>
      </w:r>
      <w:r w:rsidR="00054A0E">
        <w:t>, similar to that suggested by the commenter,</w:t>
      </w:r>
      <w:r w:rsidR="004B4408">
        <w:t xml:space="preserve"> </w:t>
      </w:r>
      <w:r w:rsidR="00054A0E">
        <w:t>may be submitted as</w:t>
      </w:r>
      <w:r>
        <w:t xml:space="preserve"> a report of the pervasiveness of noncompliance.  </w:t>
      </w:r>
    </w:p>
    <w:p w:rsidR="000E11B8" w:rsidP="005E51D8" w14:paraId="5C6406EC" w14:textId="77777777">
      <w:pPr>
        <w:spacing w:line="480" w:lineRule="auto"/>
      </w:pPr>
    </w:p>
    <w:p w:rsidR="000E11B8" w:rsidP="005E51D8" w14:paraId="1D25C19E" w14:textId="4F7B394C">
      <w:pPr>
        <w:spacing w:line="480" w:lineRule="auto"/>
      </w:pPr>
      <w:r w:rsidRPr="00A21042">
        <w:rPr>
          <w:b/>
          <w:u w:val="single"/>
        </w:rPr>
        <w:t>Comment:</w:t>
      </w:r>
      <w:r w:rsidRPr="005E51D8">
        <w:t xml:space="preserve"> </w:t>
      </w:r>
      <w:r w:rsidRPr="005E51D8" w:rsidR="00921DCB">
        <w:t xml:space="preserve"> </w:t>
      </w:r>
      <w:r>
        <w:t xml:space="preserve">One commenter </w:t>
      </w:r>
      <w:r w:rsidR="004C0A9C">
        <w:t xml:space="preserve">objected to the following statement </w:t>
      </w:r>
      <w:r w:rsidR="00536BE6">
        <w:t>in</w:t>
      </w:r>
      <w:r w:rsidR="004C0A9C">
        <w:t xml:space="preserve"> section IV.A.2.b of the SRDP Disclosure Form:  “Note that the physician services exception at §411.355(a) and the in-office ancillary services exception at §411.355(b) are available only to a physician practice that qualifies as a group practice under §411.352.”  According to the commenter, this statement could imply that </w:t>
      </w:r>
      <w:r>
        <w:t xml:space="preserve">the exception for in-office ancillary services is not available to a physician in solo practice.  The commenter asked CMS to clarify that this exception is available to physicians in solo practice.  </w:t>
      </w:r>
    </w:p>
    <w:p w:rsidR="000E11B8" w:rsidP="005E51D8" w14:paraId="4C8180F2" w14:textId="77777777">
      <w:pPr>
        <w:spacing w:line="480" w:lineRule="auto"/>
      </w:pPr>
    </w:p>
    <w:p w:rsidR="000E11B8" w:rsidRPr="00451569" w:rsidP="005E51D8" w14:paraId="45E4894A" w14:textId="403E459F">
      <w:pPr>
        <w:spacing w:line="480" w:lineRule="auto"/>
      </w:pPr>
      <w:r w:rsidRPr="00743086">
        <w:rPr>
          <w:b/>
          <w:u w:val="single"/>
        </w:rPr>
        <w:t>Respons</w:t>
      </w:r>
      <w:r w:rsidRPr="00921DCB">
        <w:rPr>
          <w:b/>
          <w:u w:val="single"/>
        </w:rPr>
        <w:t>e</w:t>
      </w:r>
      <w:r w:rsidRPr="005E51D8">
        <w:rPr>
          <w:u w:val="single"/>
        </w:rPr>
        <w:t>:</w:t>
      </w:r>
      <w:r w:rsidR="00921DCB">
        <w:t xml:space="preserve">  </w:t>
      </w:r>
      <w:r w:rsidR="00536BE6">
        <w:t>T</w:t>
      </w:r>
      <w:r w:rsidR="004C0A9C">
        <w:t xml:space="preserve">he commenter </w:t>
      </w:r>
      <w:r w:rsidR="00536BE6">
        <w:t xml:space="preserve">is correct </w:t>
      </w:r>
      <w:r w:rsidR="004C0A9C">
        <w:t xml:space="preserve">that the exception for in-office ancillary services </w:t>
      </w:r>
      <w:r w:rsidR="00536BE6">
        <w:t xml:space="preserve">at §411.355(b) </w:t>
      </w:r>
      <w:r w:rsidR="004C0A9C">
        <w:t xml:space="preserve">is available to physicians in solo practice.  </w:t>
      </w:r>
      <w:r w:rsidR="009C1F9E">
        <w:t>To address the concern raised by the commenter, i</w:t>
      </w:r>
      <w:r w:rsidR="00743086">
        <w:t xml:space="preserve">n place of the sentence cited by the commenter, the instructions </w:t>
      </w:r>
      <w:r w:rsidR="00536BE6">
        <w:t xml:space="preserve">in </w:t>
      </w:r>
      <w:r w:rsidR="00743086">
        <w:t>section IV.A.2.b now read, in relevant part</w:t>
      </w:r>
      <w:r w:rsidR="009C1F9E">
        <w:t>:</w:t>
      </w:r>
      <w:r w:rsidR="00743086">
        <w:t xml:space="preserve"> “</w:t>
      </w:r>
      <w:r w:rsidR="00536BE6">
        <w:t>N</w:t>
      </w:r>
      <w:r w:rsidRPr="00743086" w:rsidR="00743086">
        <w:t xml:space="preserve">ote that, if a physician practice consists of two or more physicians and does not qualify as a group practice under </w:t>
      </w:r>
      <w:r w:rsidR="00536BE6">
        <w:t>§</w:t>
      </w:r>
      <w:r w:rsidRPr="00743086" w:rsidR="00743086">
        <w:t xml:space="preserve">411.352, the </w:t>
      </w:r>
      <w:r w:rsidRPr="00743086" w:rsidR="00743086">
        <w:t xml:space="preserve">practice may not rely on the exception for </w:t>
      </w:r>
      <w:r w:rsidR="00536BE6">
        <w:t xml:space="preserve">physician </w:t>
      </w:r>
      <w:r w:rsidRPr="00743086" w:rsidR="00743086">
        <w:t xml:space="preserve">services at </w:t>
      </w:r>
      <w:r w:rsidR="00536BE6">
        <w:t>§</w:t>
      </w:r>
      <w:r w:rsidRPr="00743086" w:rsidR="00743086">
        <w:t xml:space="preserve">411.355(a) or the exception for in-office ancillary services exception at </w:t>
      </w:r>
      <w:r w:rsidR="00536BE6">
        <w:t>§</w:t>
      </w:r>
      <w:r w:rsidRPr="00743086" w:rsidR="00743086">
        <w:t>411.355(b)</w:t>
      </w:r>
      <w:r w:rsidR="00743086">
        <w:t xml:space="preserve">.”  </w:t>
      </w:r>
    </w:p>
    <w:sectPr w:rsidSect="005653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824C15"/>
    <w:multiLevelType w:val="hybridMultilevel"/>
    <w:tmpl w:val="1C3A376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561A64E4"/>
    <w:multiLevelType w:val="hybridMultilevel"/>
    <w:tmpl w:val="B43E512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BCB5347"/>
    <w:multiLevelType w:val="multilevel"/>
    <w:tmpl w:val="B3A67C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F9B7C28"/>
    <w:multiLevelType w:val="hybridMultilevel"/>
    <w:tmpl w:val="B3A67C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1A"/>
    <w:rsid w:val="00015CC2"/>
    <w:rsid w:val="00024726"/>
    <w:rsid w:val="00044DA8"/>
    <w:rsid w:val="00045C68"/>
    <w:rsid w:val="00054A0E"/>
    <w:rsid w:val="00057E43"/>
    <w:rsid w:val="00075AF5"/>
    <w:rsid w:val="00092854"/>
    <w:rsid w:val="000B528B"/>
    <w:rsid w:val="000C5114"/>
    <w:rsid w:val="000D6E42"/>
    <w:rsid w:val="000E11B8"/>
    <w:rsid w:val="000E1EC8"/>
    <w:rsid w:val="000F211E"/>
    <w:rsid w:val="00103EFB"/>
    <w:rsid w:val="001417C9"/>
    <w:rsid w:val="00162BC1"/>
    <w:rsid w:val="00176705"/>
    <w:rsid w:val="00197179"/>
    <w:rsid w:val="001A3A4A"/>
    <w:rsid w:val="001A584E"/>
    <w:rsid w:val="001B03EC"/>
    <w:rsid w:val="00210719"/>
    <w:rsid w:val="00256DE8"/>
    <w:rsid w:val="00262089"/>
    <w:rsid w:val="00267CEC"/>
    <w:rsid w:val="00273BF5"/>
    <w:rsid w:val="002C5375"/>
    <w:rsid w:val="002D2683"/>
    <w:rsid w:val="002E0F7E"/>
    <w:rsid w:val="002E18B0"/>
    <w:rsid w:val="003103CF"/>
    <w:rsid w:val="00341DAF"/>
    <w:rsid w:val="00364C85"/>
    <w:rsid w:val="0036654A"/>
    <w:rsid w:val="00384895"/>
    <w:rsid w:val="003963C9"/>
    <w:rsid w:val="003C564B"/>
    <w:rsid w:val="003D2FD0"/>
    <w:rsid w:val="003E2BE0"/>
    <w:rsid w:val="004042A3"/>
    <w:rsid w:val="00404906"/>
    <w:rsid w:val="00441DCC"/>
    <w:rsid w:val="004459CB"/>
    <w:rsid w:val="00450724"/>
    <w:rsid w:val="00451569"/>
    <w:rsid w:val="00471C28"/>
    <w:rsid w:val="00472099"/>
    <w:rsid w:val="0049171A"/>
    <w:rsid w:val="00493835"/>
    <w:rsid w:val="004A6F6D"/>
    <w:rsid w:val="004B3DC8"/>
    <w:rsid w:val="004B4408"/>
    <w:rsid w:val="004C0A9C"/>
    <w:rsid w:val="004C7F0E"/>
    <w:rsid w:val="004D2263"/>
    <w:rsid w:val="004F356A"/>
    <w:rsid w:val="00501658"/>
    <w:rsid w:val="00514BE0"/>
    <w:rsid w:val="005232EE"/>
    <w:rsid w:val="0052691B"/>
    <w:rsid w:val="00536BE6"/>
    <w:rsid w:val="005375AF"/>
    <w:rsid w:val="005421EC"/>
    <w:rsid w:val="00550BB0"/>
    <w:rsid w:val="00553BEC"/>
    <w:rsid w:val="005566A4"/>
    <w:rsid w:val="0056485C"/>
    <w:rsid w:val="005653CB"/>
    <w:rsid w:val="005862E8"/>
    <w:rsid w:val="00587896"/>
    <w:rsid w:val="005878E0"/>
    <w:rsid w:val="005B1A8E"/>
    <w:rsid w:val="005C5895"/>
    <w:rsid w:val="005D58B3"/>
    <w:rsid w:val="005E51D8"/>
    <w:rsid w:val="005E65CB"/>
    <w:rsid w:val="005E66B8"/>
    <w:rsid w:val="00615863"/>
    <w:rsid w:val="00634058"/>
    <w:rsid w:val="00634FC4"/>
    <w:rsid w:val="00636D92"/>
    <w:rsid w:val="00645895"/>
    <w:rsid w:val="0064789E"/>
    <w:rsid w:val="00653402"/>
    <w:rsid w:val="006637A9"/>
    <w:rsid w:val="00674879"/>
    <w:rsid w:val="0069095B"/>
    <w:rsid w:val="00692947"/>
    <w:rsid w:val="006B69FD"/>
    <w:rsid w:val="006C3B95"/>
    <w:rsid w:val="00702D1D"/>
    <w:rsid w:val="0072434C"/>
    <w:rsid w:val="0072594C"/>
    <w:rsid w:val="00736BA8"/>
    <w:rsid w:val="00743086"/>
    <w:rsid w:val="007502C7"/>
    <w:rsid w:val="00757FA3"/>
    <w:rsid w:val="007615B9"/>
    <w:rsid w:val="0076562D"/>
    <w:rsid w:val="00791440"/>
    <w:rsid w:val="007B5CF2"/>
    <w:rsid w:val="007B7AAB"/>
    <w:rsid w:val="007B7C6A"/>
    <w:rsid w:val="007C7F1B"/>
    <w:rsid w:val="007D237B"/>
    <w:rsid w:val="007E128D"/>
    <w:rsid w:val="007F4344"/>
    <w:rsid w:val="00837B57"/>
    <w:rsid w:val="00847C13"/>
    <w:rsid w:val="008527AA"/>
    <w:rsid w:val="00864A75"/>
    <w:rsid w:val="00864C17"/>
    <w:rsid w:val="00866C74"/>
    <w:rsid w:val="008D2EF7"/>
    <w:rsid w:val="00900ADF"/>
    <w:rsid w:val="0091594C"/>
    <w:rsid w:val="00921DCB"/>
    <w:rsid w:val="0092401F"/>
    <w:rsid w:val="0092602A"/>
    <w:rsid w:val="00926CDC"/>
    <w:rsid w:val="009277CC"/>
    <w:rsid w:val="009305C3"/>
    <w:rsid w:val="00935BA7"/>
    <w:rsid w:val="0093756D"/>
    <w:rsid w:val="009440ED"/>
    <w:rsid w:val="009460FF"/>
    <w:rsid w:val="00966CEE"/>
    <w:rsid w:val="00975971"/>
    <w:rsid w:val="00990BF3"/>
    <w:rsid w:val="009A01BE"/>
    <w:rsid w:val="009A5E6A"/>
    <w:rsid w:val="009B783B"/>
    <w:rsid w:val="009C1F9E"/>
    <w:rsid w:val="009E7ED8"/>
    <w:rsid w:val="009F4354"/>
    <w:rsid w:val="009F5B5B"/>
    <w:rsid w:val="00A14BF8"/>
    <w:rsid w:val="00A1629D"/>
    <w:rsid w:val="00A21042"/>
    <w:rsid w:val="00A445AF"/>
    <w:rsid w:val="00A44D8D"/>
    <w:rsid w:val="00A612F3"/>
    <w:rsid w:val="00A64B1A"/>
    <w:rsid w:val="00A902BB"/>
    <w:rsid w:val="00AB575E"/>
    <w:rsid w:val="00AD7052"/>
    <w:rsid w:val="00AE44F7"/>
    <w:rsid w:val="00AE702D"/>
    <w:rsid w:val="00AF1816"/>
    <w:rsid w:val="00B175C8"/>
    <w:rsid w:val="00B17C9D"/>
    <w:rsid w:val="00B27E6A"/>
    <w:rsid w:val="00B33F04"/>
    <w:rsid w:val="00B43796"/>
    <w:rsid w:val="00B5105A"/>
    <w:rsid w:val="00B568C7"/>
    <w:rsid w:val="00B81AFD"/>
    <w:rsid w:val="00B838B7"/>
    <w:rsid w:val="00B86B6A"/>
    <w:rsid w:val="00B9148E"/>
    <w:rsid w:val="00BC0DE2"/>
    <w:rsid w:val="00BD12CF"/>
    <w:rsid w:val="00BE1A41"/>
    <w:rsid w:val="00BF0DF2"/>
    <w:rsid w:val="00BF6D79"/>
    <w:rsid w:val="00C003AF"/>
    <w:rsid w:val="00C226C6"/>
    <w:rsid w:val="00C22EC9"/>
    <w:rsid w:val="00C26FBE"/>
    <w:rsid w:val="00C27B71"/>
    <w:rsid w:val="00C31ADC"/>
    <w:rsid w:val="00C365D3"/>
    <w:rsid w:val="00C41FBB"/>
    <w:rsid w:val="00C5580D"/>
    <w:rsid w:val="00C93A81"/>
    <w:rsid w:val="00CA77CE"/>
    <w:rsid w:val="00CC031F"/>
    <w:rsid w:val="00CF73D2"/>
    <w:rsid w:val="00D027B1"/>
    <w:rsid w:val="00D07E62"/>
    <w:rsid w:val="00D10689"/>
    <w:rsid w:val="00D259DB"/>
    <w:rsid w:val="00D31DA9"/>
    <w:rsid w:val="00D3270C"/>
    <w:rsid w:val="00D46D10"/>
    <w:rsid w:val="00D54C45"/>
    <w:rsid w:val="00D56BF8"/>
    <w:rsid w:val="00D61892"/>
    <w:rsid w:val="00D7056E"/>
    <w:rsid w:val="00D8139B"/>
    <w:rsid w:val="00D82E17"/>
    <w:rsid w:val="00DA0680"/>
    <w:rsid w:val="00DA37F8"/>
    <w:rsid w:val="00DE5B73"/>
    <w:rsid w:val="00DF1098"/>
    <w:rsid w:val="00DF1795"/>
    <w:rsid w:val="00DF38B5"/>
    <w:rsid w:val="00E2537A"/>
    <w:rsid w:val="00E30DAB"/>
    <w:rsid w:val="00E37267"/>
    <w:rsid w:val="00E46C81"/>
    <w:rsid w:val="00E61500"/>
    <w:rsid w:val="00E74702"/>
    <w:rsid w:val="00E74CC5"/>
    <w:rsid w:val="00E911E1"/>
    <w:rsid w:val="00E94704"/>
    <w:rsid w:val="00EC02E1"/>
    <w:rsid w:val="00EC12E8"/>
    <w:rsid w:val="00EC23FC"/>
    <w:rsid w:val="00EC7309"/>
    <w:rsid w:val="00F0161D"/>
    <w:rsid w:val="00F0398F"/>
    <w:rsid w:val="00F21F8C"/>
    <w:rsid w:val="00F2738F"/>
    <w:rsid w:val="00F42E97"/>
    <w:rsid w:val="00F56CC6"/>
    <w:rsid w:val="00F73021"/>
    <w:rsid w:val="00F80368"/>
    <w:rsid w:val="00F829F2"/>
    <w:rsid w:val="00F87B96"/>
    <w:rsid w:val="00FA0E72"/>
    <w:rsid w:val="00FB21A8"/>
    <w:rsid w:val="00FB29DF"/>
    <w:rsid w:val="00FC5C1A"/>
    <w:rsid w:val="00FD4480"/>
    <w:rsid w:val="00FE6E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FCAF0E"/>
  <w15:chartTrackingRefBased/>
  <w15:docId w15:val="{3C316577-E26C-4FCC-A3E3-DFB8C22B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3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1DCC"/>
    <w:rPr>
      <w:color w:val="0563C1" w:themeColor="hyperlink"/>
      <w:u w:val="single"/>
    </w:rPr>
  </w:style>
  <w:style w:type="character" w:styleId="UnresolvedMention">
    <w:name w:val="Unresolved Mention"/>
    <w:basedOn w:val="DefaultParagraphFont"/>
    <w:uiPriority w:val="99"/>
    <w:semiHidden/>
    <w:unhideWhenUsed/>
    <w:rsid w:val="00441DCC"/>
    <w:rPr>
      <w:color w:val="605E5C"/>
      <w:shd w:val="clear" w:color="auto" w:fill="E1DFDD"/>
    </w:rPr>
  </w:style>
  <w:style w:type="character" w:styleId="FollowedHyperlink">
    <w:name w:val="FollowedHyperlink"/>
    <w:basedOn w:val="DefaultParagraphFont"/>
    <w:rsid w:val="00441DCC"/>
    <w:rPr>
      <w:color w:val="954F72" w:themeColor="followedHyperlink"/>
      <w:u w:val="single"/>
    </w:rPr>
  </w:style>
  <w:style w:type="character" w:styleId="CommentReference">
    <w:name w:val="annotation reference"/>
    <w:basedOn w:val="DefaultParagraphFont"/>
    <w:rsid w:val="000E11B8"/>
    <w:rPr>
      <w:sz w:val="16"/>
      <w:szCs w:val="16"/>
    </w:rPr>
  </w:style>
  <w:style w:type="paragraph" w:styleId="CommentText">
    <w:name w:val="annotation text"/>
    <w:basedOn w:val="Normal"/>
    <w:link w:val="CommentTextChar"/>
    <w:rsid w:val="000E11B8"/>
    <w:rPr>
      <w:sz w:val="20"/>
      <w:szCs w:val="20"/>
    </w:rPr>
  </w:style>
  <w:style w:type="character" w:customStyle="1" w:styleId="CommentTextChar">
    <w:name w:val="Comment Text Char"/>
    <w:basedOn w:val="DefaultParagraphFont"/>
    <w:link w:val="CommentText"/>
    <w:rsid w:val="000E11B8"/>
  </w:style>
  <w:style w:type="paragraph" w:styleId="CommentSubject">
    <w:name w:val="annotation subject"/>
    <w:basedOn w:val="CommentText"/>
    <w:next w:val="CommentText"/>
    <w:link w:val="CommentSubjectChar"/>
    <w:rsid w:val="000E11B8"/>
    <w:rPr>
      <w:b/>
      <w:bCs/>
    </w:rPr>
  </w:style>
  <w:style w:type="character" w:customStyle="1" w:styleId="CommentSubjectChar">
    <w:name w:val="Comment Subject Char"/>
    <w:basedOn w:val="CommentTextChar"/>
    <w:link w:val="CommentSubject"/>
    <w:rsid w:val="000E11B8"/>
    <w:rPr>
      <w:b/>
      <w:bCs/>
    </w:rPr>
  </w:style>
  <w:style w:type="paragraph" w:styleId="BalloonText">
    <w:name w:val="Balloon Text"/>
    <w:basedOn w:val="Normal"/>
    <w:link w:val="BalloonTextChar"/>
    <w:rsid w:val="000E11B8"/>
    <w:rPr>
      <w:rFonts w:ascii="Segoe UI" w:hAnsi="Segoe UI" w:cs="Segoe UI"/>
      <w:sz w:val="18"/>
      <w:szCs w:val="18"/>
    </w:rPr>
  </w:style>
  <w:style w:type="character" w:customStyle="1" w:styleId="BalloonTextChar">
    <w:name w:val="Balloon Text Char"/>
    <w:basedOn w:val="DefaultParagraphFont"/>
    <w:link w:val="BalloonText"/>
    <w:rsid w:val="000E11B8"/>
    <w:rPr>
      <w:rFonts w:ascii="Segoe UI" w:hAnsi="Segoe UI" w:cs="Segoe UI"/>
      <w:sz w:val="18"/>
      <w:szCs w:val="18"/>
    </w:rPr>
  </w:style>
  <w:style w:type="paragraph" w:styleId="Revision">
    <w:name w:val="Revision"/>
    <w:hidden/>
    <w:uiPriority w:val="99"/>
    <w:semiHidden/>
    <w:rsid w:val="00DA06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2813</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CMS Response to Public Comments Received for CMS-10150</vt:lpstr>
    </vt:vector>
  </TitlesOfParts>
  <Company>CMS</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 to Public Comments Received for CMS-10150</dc:title>
  <dc:creator>Thomas E. Dudley</dc:creator>
  <cp:lastModifiedBy>LOW</cp:lastModifiedBy>
  <cp:revision>3</cp:revision>
  <cp:lastPrinted>2005-10-18T18:27:00Z</cp:lastPrinted>
  <dcterms:created xsi:type="dcterms:W3CDTF">2022-08-25T15:21:00Z</dcterms:created>
  <dcterms:modified xsi:type="dcterms:W3CDTF">2022-08-25T15:22:00Z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