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0621" w:rsidR="00160621" w:rsidP="00160621" w:rsidRDefault="00505538" w14:paraId="670B57C7" w14:textId="525D949E">
      <w:pPr>
        <w:pStyle w:val="ReportCover-Title"/>
        <w:jc w:val="center"/>
        <w:rPr>
          <w:rFonts w:ascii="Arial" w:hAnsi="Arial" w:cs="Arial"/>
          <w:color w:val="auto"/>
        </w:rPr>
      </w:pPr>
      <w:r w:rsidRPr="00505538">
        <w:rPr>
          <w:rFonts w:ascii="Arial" w:hAnsi="Arial" w:eastAsia="Arial Unicode MS" w:cs="Arial"/>
          <w:noProof/>
          <w:color w:val="auto"/>
        </w:rPr>
        <w:t xml:space="preserve">ORR-2 Quarterly Report on </w:t>
      </w:r>
      <w:r w:rsidRPr="00505538" w:rsidR="00AE2630">
        <w:rPr>
          <w:rFonts w:ascii="Arial" w:hAnsi="Arial" w:eastAsia="Arial Unicode MS" w:cs="Arial"/>
          <w:noProof/>
          <w:color w:val="auto"/>
        </w:rPr>
        <w:t xml:space="preserve">Expenditures and </w:t>
      </w:r>
      <w:r w:rsidRPr="00505538">
        <w:rPr>
          <w:rFonts w:ascii="Arial" w:hAnsi="Arial" w:eastAsia="Arial Unicode MS" w:cs="Arial"/>
          <w:noProof/>
          <w:color w:val="auto"/>
        </w:rPr>
        <w:t xml:space="preserve">Obligations </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P="00505538" w:rsidRDefault="00160621" w14:paraId="3CAA9B87" w14:textId="638F6D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05538">
        <w:rPr>
          <w:rFonts w:ascii="Arial" w:hAnsi="Arial" w:cs="Arial"/>
          <w:color w:val="auto"/>
          <w:sz w:val="32"/>
          <w:szCs w:val="32"/>
        </w:rPr>
        <w:t>0407</w:t>
      </w:r>
    </w:p>
    <w:p w:rsidRPr="00160621" w:rsidR="00505538" w:rsidP="00505538" w:rsidRDefault="00505538" w14:paraId="105B216D" w14:textId="77777777">
      <w:pPr>
        <w:pStyle w:val="ReportCover-Title"/>
        <w:jc w:val="cente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FD55EB" w14:paraId="76FA23BE" w14:textId="76141826">
      <w:pPr>
        <w:pStyle w:val="ReportCover-Date"/>
        <w:jc w:val="center"/>
        <w:rPr>
          <w:rFonts w:ascii="Arial" w:hAnsi="Arial" w:cs="Arial"/>
          <w:color w:val="auto"/>
        </w:rPr>
      </w:pPr>
      <w:r>
        <w:rPr>
          <w:rFonts w:ascii="Arial" w:hAnsi="Arial" w:cs="Arial"/>
          <w:color w:val="auto"/>
        </w:rPr>
        <w:t>August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505538" w:rsidR="00160621" w:rsidP="00160621" w:rsidRDefault="00160621" w14:paraId="5E112DDD" w14:textId="77777777">
      <w:pPr>
        <w:jc w:val="center"/>
        <w:rPr>
          <w:rFonts w:ascii="Arial" w:hAnsi="Arial" w:cs="Arial"/>
        </w:rPr>
      </w:pPr>
      <w:r w:rsidRPr="00505538">
        <w:rPr>
          <w:rFonts w:ascii="Arial" w:hAnsi="Arial" w:cs="Arial"/>
        </w:rPr>
        <w:t>Submitted By:</w:t>
      </w:r>
    </w:p>
    <w:p w:rsidRPr="00505538" w:rsidR="00505538" w:rsidP="00160621" w:rsidRDefault="00505538" w14:paraId="7AE376DF" w14:textId="7BEF55B3">
      <w:pPr>
        <w:jc w:val="center"/>
        <w:rPr>
          <w:rFonts w:ascii="Arial" w:hAnsi="Arial" w:cs="Arial"/>
        </w:rPr>
      </w:pPr>
      <w:r w:rsidRPr="00505538">
        <w:rPr>
          <w:rFonts w:ascii="Arial" w:hAnsi="Arial" w:cs="Arial"/>
        </w:rPr>
        <w:t xml:space="preserve">Office of Refugee Resettlement </w:t>
      </w:r>
    </w:p>
    <w:p w:rsidRPr="00160621" w:rsidR="00160621" w:rsidP="00160621" w:rsidRDefault="00160621" w14:paraId="6B7D9C75" w14:textId="791377AF">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21C4C2D8" w14:textId="0610FEBF">
      <w:pPr>
        <w:jc w:val="center"/>
        <w:rPr>
          <w:rFonts w:ascii="Arial" w:hAnsi="Arial" w:cs="Arial"/>
        </w:rPr>
      </w:pPr>
    </w:p>
    <w:p w:rsidR="003E43CB" w:rsidP="00160621" w:rsidRDefault="003E43CB" w14:paraId="55099903"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694BBD" w:rsidR="00505538" w:rsidP="00505538" w:rsidRDefault="00505538" w14:paraId="6D072DFC" w14:textId="66AB9117">
      <w:pPr>
        <w:tabs>
          <w:tab w:val="left" w:pos="-720"/>
          <w:tab w:val="left" w:pos="0"/>
          <w:tab w:val="num" w:pos="360"/>
        </w:tabs>
        <w:suppressAutoHyphens/>
        <w:ind w:left="360"/>
        <w:rPr>
          <w:rFonts w:ascii="Times New Roman" w:hAnsi="Times New Roman"/>
          <w:sz w:val="24"/>
          <w:szCs w:val="24"/>
        </w:rPr>
      </w:pPr>
      <w:r w:rsidRPr="00694BBD">
        <w:rPr>
          <w:rFonts w:ascii="Times New Roman" w:hAnsi="Times New Roman"/>
          <w:sz w:val="24"/>
          <w:szCs w:val="24"/>
        </w:rPr>
        <w:t xml:space="preserve">The Refugee Cash and Medical Assistance (CMA) program, implemented by the Office of Refugee Resettlement (ORR) in the Administration for Children and Families (ACF), </w:t>
      </w:r>
      <w:r w:rsidRPr="00694BBD" w:rsidR="00694BBD">
        <w:rPr>
          <w:rFonts w:ascii="Times New Roman" w:hAnsi="Times New Roman"/>
          <w:sz w:val="24"/>
          <w:szCs w:val="24"/>
        </w:rPr>
        <w:t>Department of Health and Human Services (</w:t>
      </w:r>
      <w:r w:rsidRPr="00694BBD">
        <w:rPr>
          <w:rFonts w:ascii="Times New Roman" w:hAnsi="Times New Roman"/>
          <w:sz w:val="24"/>
          <w:szCs w:val="24"/>
        </w:rPr>
        <w:t>HHS</w:t>
      </w:r>
      <w:r w:rsidRPr="00694BBD" w:rsidR="00694BBD">
        <w:rPr>
          <w:rFonts w:ascii="Times New Roman" w:hAnsi="Times New Roman"/>
          <w:sz w:val="24"/>
          <w:szCs w:val="24"/>
        </w:rPr>
        <w:t>)</w:t>
      </w:r>
      <w:r w:rsidRPr="00694BBD">
        <w:rPr>
          <w:rFonts w:ascii="Times New Roman" w:hAnsi="Times New Roman"/>
          <w:sz w:val="24"/>
          <w:szCs w:val="24"/>
        </w:rPr>
        <w:t xml:space="preserve">, is a reimbursement program for costs incurred by States and non-profit organizations in </w:t>
      </w:r>
      <w:proofErr w:type="gramStart"/>
      <w:r w:rsidRPr="00694BBD">
        <w:rPr>
          <w:rFonts w:ascii="Times New Roman" w:hAnsi="Times New Roman"/>
          <w:sz w:val="24"/>
          <w:szCs w:val="24"/>
        </w:rPr>
        <w:t>providing assistance to</w:t>
      </w:r>
      <w:proofErr w:type="gramEnd"/>
      <w:r w:rsidRPr="00694BBD">
        <w:rPr>
          <w:rFonts w:ascii="Times New Roman" w:hAnsi="Times New Roman"/>
          <w:sz w:val="24"/>
          <w:szCs w:val="24"/>
        </w:rPr>
        <w:t xml:space="preserve"> refugees, asylees, Cuban/Haitian entrants, Amerasians, Afghans and Iraqis with Special Immigrant Visas, and victims of trafficking.  The program reimburses States and non-profit organizations for the costs they incur in providing four types of assistance:  cash assistance, medical assistance, medical screening, and services for unaccompanied minors. The program also reimburses grantees for their administrative costs. Reimbursement is provided through both mandatory and discretionary grant awards. </w:t>
      </w:r>
    </w:p>
    <w:p w:rsidRPr="00A82B9E" w:rsidR="00505538" w:rsidP="00505538" w:rsidRDefault="00505538" w14:paraId="477BFD47"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7AB079CF" w14:textId="2888D0EA">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Currently, grantees under this program submit the </w:t>
      </w:r>
      <w:r>
        <w:rPr>
          <w:rFonts w:ascii="Times New Roman" w:hAnsi="Times New Roman"/>
          <w:sz w:val="24"/>
          <w:szCs w:val="24"/>
        </w:rPr>
        <w:t>ORR-2</w:t>
      </w:r>
      <w:r w:rsidRPr="00A82B9E">
        <w:rPr>
          <w:rFonts w:ascii="Times New Roman" w:hAnsi="Times New Roman"/>
          <w:sz w:val="24"/>
          <w:szCs w:val="24"/>
        </w:rPr>
        <w:t xml:space="preserve"> </w:t>
      </w:r>
      <w:r w:rsidR="00351B33">
        <w:rPr>
          <w:rFonts w:ascii="Times New Roman" w:hAnsi="Times New Roman"/>
          <w:sz w:val="24"/>
          <w:szCs w:val="24"/>
        </w:rPr>
        <w:t xml:space="preserve">Quarterly Report on Expenditures and Obligations </w:t>
      </w:r>
      <w:r w:rsidRPr="00A82B9E">
        <w:rPr>
          <w:rFonts w:ascii="Times New Roman" w:hAnsi="Times New Roman"/>
          <w:sz w:val="24"/>
          <w:szCs w:val="24"/>
        </w:rPr>
        <w:t xml:space="preserve">on a quarterly basis.  In the </w:t>
      </w:r>
      <w:r>
        <w:rPr>
          <w:rFonts w:ascii="Times New Roman" w:hAnsi="Times New Roman"/>
          <w:sz w:val="24"/>
          <w:szCs w:val="24"/>
        </w:rPr>
        <w:t>ORR-2</w:t>
      </w:r>
      <w:r w:rsidRPr="00A82B9E">
        <w:rPr>
          <w:rFonts w:ascii="Times New Roman" w:hAnsi="Times New Roman"/>
          <w:sz w:val="24"/>
          <w:szCs w:val="24"/>
        </w:rPr>
        <w:t xml:space="preserve"> </w:t>
      </w:r>
      <w:r w:rsidR="00351B33">
        <w:rPr>
          <w:rFonts w:ascii="Times New Roman" w:hAnsi="Times New Roman"/>
          <w:sz w:val="24"/>
          <w:szCs w:val="24"/>
        </w:rPr>
        <w:t>Quarterly Report on Expenditures and Obligations</w:t>
      </w:r>
      <w:r w:rsidRPr="00A82B9E">
        <w:rPr>
          <w:rFonts w:ascii="Times New Roman" w:hAnsi="Times New Roman"/>
          <w:sz w:val="24"/>
          <w:szCs w:val="24"/>
        </w:rPr>
        <w:t xml:space="preserve">, grantees report total expenditures and unliquidated obligations that include costs for all components of the program and for administrative costs combined. </w:t>
      </w:r>
    </w:p>
    <w:p w:rsidRPr="00A82B9E" w:rsidR="00505538" w:rsidP="00505538" w:rsidRDefault="00505538" w14:paraId="5F3E056A"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6962A03A" w14:textId="77777777">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Since CMA is a reimbursement program, it is essential that ORR be able to project accurately what the costs of the program will be for each fiscal year </w:t>
      </w:r>
      <w:proofErr w:type="gramStart"/>
      <w:r w:rsidRPr="00A82B9E">
        <w:rPr>
          <w:rFonts w:ascii="Times New Roman" w:hAnsi="Times New Roman"/>
          <w:sz w:val="24"/>
          <w:szCs w:val="24"/>
        </w:rPr>
        <w:t>in order to</w:t>
      </w:r>
      <w:proofErr w:type="gramEnd"/>
      <w:r w:rsidRPr="00A82B9E">
        <w:rPr>
          <w:rFonts w:ascii="Times New Roman" w:hAnsi="Times New Roman"/>
          <w:sz w:val="24"/>
          <w:szCs w:val="24"/>
        </w:rPr>
        <w:t xml:space="preserve"> ensure that States are fully reimbursed.  ORR regulations at 45 CFR Part 400.211 </w:t>
      </w:r>
      <w:r>
        <w:rPr>
          <w:rFonts w:ascii="Times New Roman" w:hAnsi="Times New Roman"/>
          <w:sz w:val="24"/>
          <w:szCs w:val="24"/>
        </w:rPr>
        <w:t xml:space="preserve">(attached) </w:t>
      </w:r>
      <w:r w:rsidRPr="00A82B9E">
        <w:rPr>
          <w:rFonts w:ascii="Times New Roman" w:hAnsi="Times New Roman"/>
          <w:sz w:val="24"/>
          <w:szCs w:val="24"/>
        </w:rPr>
        <w:t xml:space="preserve">prescribe a specific methodology to be used by ORR each year in determining the number of months for which each year’s appropriation will provide full reimbursement (the time-eligibility period). Currently, ORR provides reimbursement for up to eight months of cash and medical assistance to eligible populations and for services to unaccompanied minors until emancipation.  During the year, ORR continuously updates the estimating model to ensure that funds will be available to reimburse grantees for the current time-eligibility period.  If ORR were to determine that funds were inadequate for the time-eligibility period, ORR would reduce the number of months of eligibility so that funds would be available for the entire year for cost reimbursement.  This process ensures that all grantees are reimbursed for the services and assistance that they provide during the time–eligibility period.      </w:t>
      </w:r>
    </w:p>
    <w:p w:rsidRPr="00A82B9E" w:rsidR="00505538" w:rsidP="00505538" w:rsidRDefault="00505538" w14:paraId="07A9C06B"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16477934" w14:textId="77777777">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The methodology at 45 CFR Section 400.211 requires that cost estimates be derived for each component of the program separately.  The reason for this requirement is that the different components of the program increase in cost each year at differing rates.  For instance, grantee administrative costs generally increase at a slower rate than do medical assistance costs.  Since the accuracy of the overall cost prediction is greatly enhanced by using different inflators for each component of the program, financial reporting for each component of the program separately is critical to accurate predictions and to ensuring full reimbursement of grantees’ costs.  </w:t>
      </w:r>
    </w:p>
    <w:p w:rsidRPr="00A82B9E" w:rsidR="00505538" w:rsidP="00505538" w:rsidRDefault="00505538" w14:paraId="4F01796F" w14:textId="77777777">
      <w:pPr>
        <w:tabs>
          <w:tab w:val="left" w:pos="-720"/>
          <w:tab w:val="left" w:pos="0"/>
          <w:tab w:val="num" w:pos="360"/>
        </w:tabs>
        <w:suppressAutoHyphens/>
        <w:ind w:left="360"/>
        <w:rPr>
          <w:rFonts w:ascii="Times New Roman" w:hAnsi="Times New Roman"/>
          <w:sz w:val="24"/>
          <w:szCs w:val="24"/>
        </w:rPr>
      </w:pPr>
    </w:p>
    <w:p w:rsidR="00D60543" w:rsidP="00505538" w:rsidRDefault="00505538" w14:paraId="47A9B9C7" w14:textId="23C3578F">
      <w:pPr>
        <w:tabs>
          <w:tab w:val="left" w:pos="-720"/>
          <w:tab w:val="left" w:pos="0"/>
          <w:tab w:val="num" w:pos="360"/>
        </w:tabs>
        <w:suppressAutoHyphens/>
        <w:ind w:left="360"/>
        <w:rPr>
          <w:rFonts w:ascii="Times New Roman" w:hAnsi="Times New Roman"/>
          <w:snapToGrid/>
          <w:sz w:val="24"/>
          <w:szCs w:val="24"/>
        </w:rPr>
      </w:pPr>
      <w:r w:rsidRPr="00A82B9E">
        <w:rPr>
          <w:rFonts w:ascii="Times New Roman" w:hAnsi="Times New Roman"/>
          <w:sz w:val="24"/>
          <w:szCs w:val="24"/>
        </w:rPr>
        <w:t>ORR is therefore proposing a</w:t>
      </w:r>
      <w:r>
        <w:rPr>
          <w:rFonts w:ascii="Times New Roman" w:hAnsi="Times New Roman"/>
          <w:sz w:val="24"/>
          <w:szCs w:val="24"/>
        </w:rPr>
        <w:t>n</w:t>
      </w:r>
      <w:r w:rsidRPr="00A82B9E">
        <w:rPr>
          <w:rFonts w:ascii="Times New Roman" w:hAnsi="Times New Roman"/>
          <w:sz w:val="24"/>
          <w:szCs w:val="24"/>
        </w:rPr>
        <w:t xml:space="preserve"> </w:t>
      </w:r>
      <w:r>
        <w:rPr>
          <w:rFonts w:ascii="Times New Roman" w:hAnsi="Times New Roman"/>
          <w:sz w:val="24"/>
          <w:szCs w:val="24"/>
        </w:rPr>
        <w:t xml:space="preserve">extension of </w:t>
      </w:r>
      <w:r w:rsidRPr="00A82B9E">
        <w:rPr>
          <w:rFonts w:ascii="Times New Roman" w:hAnsi="Times New Roman"/>
          <w:sz w:val="24"/>
          <w:szCs w:val="24"/>
        </w:rPr>
        <w:t xml:space="preserve">data collection form – the ORR-2 - </w:t>
      </w:r>
      <w:r w:rsidR="00351B33">
        <w:rPr>
          <w:rFonts w:ascii="Times New Roman" w:hAnsi="Times New Roman"/>
          <w:sz w:val="24"/>
          <w:szCs w:val="24"/>
        </w:rPr>
        <w:t>Quarterly Report on Expenditures and Obligations</w:t>
      </w:r>
      <w:r>
        <w:rPr>
          <w:rFonts w:ascii="Times New Roman" w:hAnsi="Times New Roman"/>
          <w:sz w:val="24"/>
          <w:szCs w:val="24"/>
        </w:rPr>
        <w:t>.</w:t>
      </w:r>
      <w:r w:rsidR="00694BBD">
        <w:rPr>
          <w:rFonts w:ascii="Times New Roman" w:hAnsi="Times New Roman"/>
          <w:sz w:val="24"/>
          <w:szCs w:val="24"/>
        </w:rPr>
        <w:t xml:space="preserve"> </w:t>
      </w:r>
      <w:r w:rsidRPr="003E43CB" w:rsidR="00694BBD">
        <w:rPr>
          <w:rFonts w:ascii="Times New Roman" w:hAnsi="Times New Roman"/>
          <w:b/>
          <w:bCs/>
          <w:sz w:val="24"/>
          <w:szCs w:val="24"/>
        </w:rPr>
        <w:t>No revisions are proposed</w:t>
      </w:r>
      <w:r w:rsidR="00694BBD">
        <w:rPr>
          <w:rFonts w:ascii="Times New Roman" w:hAnsi="Times New Roman"/>
          <w:sz w:val="24"/>
          <w:szCs w:val="24"/>
        </w:rPr>
        <w:t>.</w:t>
      </w: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P</w:t>
      </w:r>
      <w:r w:rsidRPr="00075889" w:rsidR="002C3C4F">
        <w:rPr>
          <w:rFonts w:ascii="Times New Roman" w:hAnsi="Times New Roman"/>
          <w:b/>
          <w:snapToGrid/>
          <w:sz w:val="24"/>
          <w:szCs w:val="24"/>
        </w:rPr>
        <w:t xml:space="preserve">urpose and Use of the Information Collection </w:t>
      </w:r>
    </w:p>
    <w:p w:rsidRPr="00505538" w:rsidR="00505538" w:rsidP="00505538" w:rsidRDefault="00505538" w14:paraId="499C712D" w14:textId="5EEA0987">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As noted above, </w:t>
      </w:r>
      <w:r w:rsidR="00860C01">
        <w:rPr>
          <w:rFonts w:ascii="Times New Roman" w:hAnsi="Times New Roman"/>
          <w:snapToGrid/>
          <w:sz w:val="24"/>
          <w:szCs w:val="24"/>
        </w:rPr>
        <w:t>the</w:t>
      </w:r>
      <w:r w:rsidRPr="00505538">
        <w:rPr>
          <w:rFonts w:ascii="Times New Roman" w:hAnsi="Times New Roman"/>
          <w:snapToGrid/>
          <w:sz w:val="24"/>
          <w:szCs w:val="24"/>
        </w:rPr>
        <w:t xml:space="preserve"> ORR-2 quarterly information collection fulfills both the financial reporting requirement of the SF-425 Federal Financial Report and the program component cost reporting requirement of 45 CFR Part 400.211.  In addition to providing ORR with the data necessary for accurate cost estimation to ensure that grantee expenditures on refugee resettlement will be fully reimbursed for the allowable time-eligibility period, these data are also critical for effective monitoring of grantees’ use of federal funds.  The data</w:t>
      </w:r>
      <w:r w:rsidR="00725706">
        <w:rPr>
          <w:rFonts w:ascii="Times New Roman" w:hAnsi="Times New Roman"/>
          <w:snapToGrid/>
          <w:sz w:val="24"/>
          <w:szCs w:val="24"/>
        </w:rPr>
        <w:t xml:space="preserve"> is and</w:t>
      </w:r>
      <w:r w:rsidRPr="00505538">
        <w:rPr>
          <w:rFonts w:ascii="Times New Roman" w:hAnsi="Times New Roman"/>
          <w:snapToGrid/>
          <w:sz w:val="24"/>
          <w:szCs w:val="24"/>
        </w:rPr>
        <w:t xml:space="preserve"> will </w:t>
      </w:r>
      <w:r w:rsidR="00725706">
        <w:rPr>
          <w:rFonts w:ascii="Times New Roman" w:hAnsi="Times New Roman"/>
          <w:snapToGrid/>
          <w:sz w:val="24"/>
          <w:szCs w:val="24"/>
        </w:rPr>
        <w:t xml:space="preserve">continue to </w:t>
      </w:r>
      <w:r w:rsidRPr="00505538">
        <w:rPr>
          <w:rFonts w:ascii="Times New Roman" w:hAnsi="Times New Roman"/>
          <w:snapToGrid/>
          <w:sz w:val="24"/>
          <w:szCs w:val="24"/>
        </w:rPr>
        <w:t xml:space="preserve">be used internally only. </w:t>
      </w:r>
    </w:p>
    <w:p w:rsidRPr="00505538" w:rsidR="00505538" w:rsidP="00505538" w:rsidRDefault="00505538" w14:paraId="11AE954E" w14:textId="77777777">
      <w:pPr>
        <w:widowControl/>
        <w:tabs>
          <w:tab w:val="num" w:pos="360"/>
        </w:tabs>
        <w:ind w:left="360"/>
        <w:rPr>
          <w:rFonts w:ascii="Times New Roman" w:hAnsi="Times New Roman"/>
          <w:snapToGrid/>
          <w:sz w:val="24"/>
          <w:szCs w:val="24"/>
        </w:rPr>
      </w:pPr>
    </w:p>
    <w:p w:rsidRPr="00505538" w:rsidR="00505538" w:rsidP="00505538" w:rsidRDefault="00505538" w14:paraId="71A28F86" w14:textId="3B868475">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Review of grantee expenditures and obligations is an ongoing component of grantee monitoring to ensure that funds are being used appropriately. </w:t>
      </w:r>
      <w:r w:rsidR="00822BE4">
        <w:rPr>
          <w:rFonts w:ascii="Times New Roman" w:hAnsi="Times New Roman"/>
          <w:snapToGrid/>
          <w:sz w:val="24"/>
          <w:szCs w:val="24"/>
        </w:rPr>
        <w:t>The</w:t>
      </w:r>
      <w:r w:rsidRPr="00505538">
        <w:rPr>
          <w:rFonts w:ascii="Times New Roman" w:hAnsi="Times New Roman"/>
          <w:snapToGrid/>
          <w:sz w:val="24"/>
          <w:szCs w:val="24"/>
        </w:rPr>
        <w:t xml:space="preserve"> ORR-2 provides data broken out by program component which greatly enhances this ongoing monitoring effort by providing information on changes and trends in each component of the program.</w:t>
      </w:r>
    </w:p>
    <w:p w:rsidRPr="00505538" w:rsidR="00505538" w:rsidP="00505538" w:rsidRDefault="00505538" w14:paraId="0468FEBF" w14:textId="77777777">
      <w:pPr>
        <w:widowControl/>
        <w:tabs>
          <w:tab w:val="num" w:pos="360"/>
        </w:tabs>
        <w:ind w:left="360"/>
        <w:rPr>
          <w:rFonts w:ascii="Times New Roman" w:hAnsi="Times New Roman"/>
          <w:snapToGrid/>
          <w:sz w:val="24"/>
          <w:szCs w:val="24"/>
        </w:rPr>
      </w:pPr>
    </w:p>
    <w:p w:rsidRPr="00505538" w:rsidR="00505538" w:rsidP="00505538" w:rsidRDefault="00505538" w14:paraId="4B018AA0" w14:textId="1367C69A">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In addition, the program-component-level cost data contributes to the accuracy of the estimating model for program expenditures.  The ORR-2 data will </w:t>
      </w:r>
      <w:r w:rsidR="00822BE4">
        <w:rPr>
          <w:rFonts w:ascii="Times New Roman" w:hAnsi="Times New Roman"/>
          <w:snapToGrid/>
          <w:sz w:val="24"/>
          <w:szCs w:val="24"/>
        </w:rPr>
        <w:t xml:space="preserve">continue to </w:t>
      </w:r>
      <w:r w:rsidRPr="00505538">
        <w:rPr>
          <w:rFonts w:ascii="Times New Roman" w:hAnsi="Times New Roman"/>
          <w:snapToGrid/>
          <w:sz w:val="24"/>
          <w:szCs w:val="24"/>
        </w:rPr>
        <w:t xml:space="preserve">enhance ORR’s ability to verify continually that funds will be adequate for the entire fiscal year and to ensure that no grantee experiences a reimbursement shortfall.  </w:t>
      </w:r>
    </w:p>
    <w:p w:rsidRPr="00505538" w:rsidR="00505538" w:rsidP="00505538" w:rsidRDefault="00505538" w14:paraId="15300088" w14:textId="77777777">
      <w:pPr>
        <w:widowControl/>
        <w:tabs>
          <w:tab w:val="num" w:pos="360"/>
        </w:tabs>
        <w:ind w:left="360"/>
        <w:rPr>
          <w:rFonts w:ascii="Times New Roman" w:hAnsi="Times New Roman"/>
          <w:snapToGrid/>
          <w:sz w:val="24"/>
          <w:szCs w:val="24"/>
        </w:rPr>
      </w:pPr>
    </w:p>
    <w:p w:rsidRPr="004F7B95" w:rsidR="00D60543" w:rsidP="00505538" w:rsidRDefault="00505538" w14:paraId="3C8C4501" w14:textId="537C68A4">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 ORR-2 - Quarterly Report on Expenditures and Obligations provide</w:t>
      </w:r>
      <w:r w:rsidR="00822BE4">
        <w:rPr>
          <w:rFonts w:ascii="Times New Roman" w:hAnsi="Times New Roman"/>
          <w:snapToGrid/>
          <w:sz w:val="24"/>
          <w:szCs w:val="24"/>
        </w:rPr>
        <w:t>s</w:t>
      </w:r>
      <w:r w:rsidRPr="00505538">
        <w:rPr>
          <w:rFonts w:ascii="Times New Roman" w:hAnsi="Times New Roman"/>
          <w:snapToGrid/>
          <w:sz w:val="24"/>
          <w:szCs w:val="24"/>
        </w:rPr>
        <w:t>, in a manner that minimizes grantee reporting burden, both the data needed to meet the requirements of the SF-425 Federal Financial Report as well as the additional breakdowns of expenditures and obligations by program component that are critical to accurate cost projections.</w:t>
      </w:r>
    </w:p>
    <w:p w:rsidR="00790D2C" w:rsidP="00D7443D" w:rsidRDefault="00790D2C" w14:paraId="6C3FFD0B" w14:textId="472ACE5A">
      <w:pPr>
        <w:widowControl/>
        <w:tabs>
          <w:tab w:val="num" w:pos="360"/>
        </w:tabs>
        <w:ind w:left="360"/>
        <w:rPr>
          <w:rFonts w:ascii="Times New Roman" w:hAnsi="Times New Roman"/>
          <w:snapToGrid/>
          <w:sz w:val="24"/>
          <w:szCs w:val="24"/>
        </w:rPr>
      </w:pPr>
    </w:p>
    <w:p w:rsidRPr="004F7B95" w:rsidR="00547AF9" w:rsidP="00D7443D" w:rsidRDefault="00547AF9" w14:paraId="503B3141"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505538" w:rsidRDefault="00505538" w14:paraId="64C47E67" w14:textId="66C74B4B">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This data collection form </w:t>
      </w:r>
      <w:r w:rsidR="00822BE4">
        <w:rPr>
          <w:rFonts w:ascii="Times New Roman" w:hAnsi="Times New Roman"/>
          <w:snapToGrid/>
          <w:sz w:val="24"/>
          <w:szCs w:val="24"/>
        </w:rPr>
        <w:t xml:space="preserve">is and </w:t>
      </w:r>
      <w:r w:rsidRPr="00505538">
        <w:rPr>
          <w:rFonts w:ascii="Times New Roman" w:hAnsi="Times New Roman"/>
          <w:snapToGrid/>
          <w:sz w:val="24"/>
          <w:szCs w:val="24"/>
        </w:rPr>
        <w:t>will</w:t>
      </w:r>
      <w:r w:rsidR="00822BE4">
        <w:rPr>
          <w:rFonts w:ascii="Times New Roman" w:hAnsi="Times New Roman"/>
          <w:snapToGrid/>
          <w:sz w:val="24"/>
          <w:szCs w:val="24"/>
        </w:rPr>
        <w:t xml:space="preserve"> continue to</w:t>
      </w:r>
      <w:r w:rsidRPr="00505538">
        <w:rPr>
          <w:rFonts w:ascii="Times New Roman" w:hAnsi="Times New Roman"/>
          <w:snapToGrid/>
          <w:sz w:val="24"/>
          <w:szCs w:val="24"/>
        </w:rPr>
        <w:t xml:space="preserve"> be completed and submitted through ACF’s online data collection system (Grant Solutions/OLDC).  </w:t>
      </w:r>
    </w:p>
    <w:p w:rsidR="00D60543" w:rsidP="00022586" w:rsidRDefault="00D60543" w14:paraId="61323458" w14:textId="574BE159">
      <w:pPr>
        <w:widowControl/>
        <w:tabs>
          <w:tab w:val="num" w:pos="360"/>
        </w:tabs>
        <w:ind w:left="360"/>
        <w:rPr>
          <w:rFonts w:ascii="Times New Roman" w:hAnsi="Times New Roman"/>
          <w:snapToGrid/>
          <w:sz w:val="24"/>
          <w:szCs w:val="24"/>
        </w:rPr>
      </w:pPr>
    </w:p>
    <w:p w:rsidRPr="004F7B95" w:rsidR="00547AF9" w:rsidP="00022586" w:rsidRDefault="00547AF9" w14:paraId="1510F8F0"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rsidRDefault="00505538" w14:paraId="2896C13D" w14:textId="29CA9FCD">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No similar information collection exists that could be substituted for the information needed for program cost projections as required by 45 CFR Part 400.211. </w:t>
      </w:r>
      <w:r w:rsidR="00822BE4">
        <w:rPr>
          <w:rFonts w:ascii="Times New Roman" w:hAnsi="Times New Roman"/>
          <w:snapToGrid/>
          <w:sz w:val="24"/>
          <w:szCs w:val="24"/>
        </w:rPr>
        <w:t>This</w:t>
      </w:r>
      <w:r w:rsidRPr="00505538">
        <w:rPr>
          <w:rFonts w:ascii="Times New Roman" w:hAnsi="Times New Roman"/>
          <w:snapToGrid/>
          <w:sz w:val="24"/>
          <w:szCs w:val="24"/>
        </w:rPr>
        <w:t xml:space="preserve"> form simultaneously </w:t>
      </w:r>
      <w:r w:rsidRPr="00505538" w:rsidR="00822BE4">
        <w:rPr>
          <w:rFonts w:ascii="Times New Roman" w:hAnsi="Times New Roman"/>
          <w:snapToGrid/>
          <w:sz w:val="24"/>
          <w:szCs w:val="24"/>
        </w:rPr>
        <w:t>fulfill</w:t>
      </w:r>
      <w:r w:rsidR="00822BE4">
        <w:rPr>
          <w:rFonts w:ascii="Times New Roman" w:hAnsi="Times New Roman"/>
          <w:snapToGrid/>
          <w:sz w:val="24"/>
          <w:szCs w:val="24"/>
        </w:rPr>
        <w:t>s</w:t>
      </w:r>
      <w:r w:rsidRPr="00505538" w:rsidR="00822BE4">
        <w:rPr>
          <w:rFonts w:ascii="Times New Roman" w:hAnsi="Times New Roman"/>
          <w:snapToGrid/>
          <w:sz w:val="24"/>
          <w:szCs w:val="24"/>
        </w:rPr>
        <w:t xml:space="preserve"> </w:t>
      </w:r>
      <w:r w:rsidRPr="00505538">
        <w:rPr>
          <w:rFonts w:ascii="Times New Roman" w:hAnsi="Times New Roman"/>
          <w:snapToGrid/>
          <w:sz w:val="24"/>
          <w:szCs w:val="24"/>
        </w:rPr>
        <w:t xml:space="preserve">the two requirements of providing data for financial review of grantee implementation of CMA projects and the data needed for accurate cost projections, </w:t>
      </w:r>
      <w:r w:rsidR="00822BE4">
        <w:rPr>
          <w:rFonts w:ascii="Times New Roman" w:hAnsi="Times New Roman"/>
          <w:snapToGrid/>
          <w:sz w:val="24"/>
          <w:szCs w:val="24"/>
        </w:rPr>
        <w:t>which</w:t>
      </w:r>
      <w:r w:rsidRPr="00505538">
        <w:rPr>
          <w:rFonts w:ascii="Times New Roman" w:hAnsi="Times New Roman"/>
          <w:snapToGrid/>
          <w:sz w:val="24"/>
          <w:szCs w:val="24"/>
        </w:rPr>
        <w:t xml:space="preserve"> eliminates all potential duplication in information collection.  </w:t>
      </w:r>
      <w:r w:rsidR="00822BE4">
        <w:rPr>
          <w:rFonts w:ascii="Times New Roman" w:hAnsi="Times New Roman"/>
          <w:snapToGrid/>
          <w:sz w:val="24"/>
          <w:szCs w:val="24"/>
        </w:rPr>
        <w:t xml:space="preserve">The </w:t>
      </w:r>
      <w:r w:rsidRPr="00505538">
        <w:rPr>
          <w:rFonts w:ascii="Times New Roman" w:hAnsi="Times New Roman"/>
          <w:snapToGrid/>
          <w:sz w:val="24"/>
          <w:szCs w:val="24"/>
        </w:rPr>
        <w:t>ORR-2 Quarterly Report on Expenditures and Obligations fulfills the requirement of the SF-425.</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505538" w14:paraId="1AC2893A" w14:textId="10A2CD76">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 information to be collected is the minimum needed to meet the requirements of financial monitoring and cost projection.  There will be no impact on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505538" w:rsidR="00505538" w:rsidP="00505538" w:rsidRDefault="00505538" w14:paraId="5599C51E" w14:textId="5D614DBE">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Collecting this information less frequently than quarterly would make ongoing monitoring of the costs being incurred under this reimbursement program less timely, thus significantly impact program effectiveness.  Quarterly reporting allows sufficiently frequent tracking to ensure that CMA allocations fully reimburse grantees for their costs. ORR-2 reports are reviewed by program specialists and are tracked throughout each year.  </w:t>
      </w:r>
    </w:p>
    <w:p w:rsidRPr="00505538" w:rsidR="00505538" w:rsidP="00505538" w:rsidRDefault="00505538" w14:paraId="072BF5CE" w14:textId="77777777">
      <w:pPr>
        <w:widowControl/>
        <w:tabs>
          <w:tab w:val="num" w:pos="360"/>
        </w:tabs>
        <w:ind w:left="360"/>
        <w:rPr>
          <w:rFonts w:ascii="Times New Roman" w:hAnsi="Times New Roman"/>
          <w:snapToGrid/>
          <w:sz w:val="24"/>
          <w:szCs w:val="24"/>
        </w:rPr>
      </w:pPr>
    </w:p>
    <w:p w:rsidR="00D60543" w:rsidP="00022586" w:rsidRDefault="00505538" w14:paraId="456E0DAC" w14:textId="3824D1BB">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ORR also uses financial data from grantees on an ongoing basis to update cost estimates.  Quarterly cost estimates contribute to ensuring that federal funds are available to reimburse all grantees for the time-eligibility period. Quarterly reporting is also used in determining quarterly allocations of funds to grantees.  Costs among grantees can vary significantly over the course of a year depending on the number and characteristics of the eligible population being resettled in their State.  Allocations are recalculated each quarter so that awards will provide adequate reimbursement to grantees for their costs each quarter.  ORR’s ability to determine quarterly allocations to grantees that will adequately reimburse their costs would be adversely affected by less frequent reporting.  </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505538" w14:paraId="7781B5A4" w14:textId="778EC1AE">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There are no special circumstances pertaining to this form. Respondents will report quarterly.  Respondents have more than 30 days to prepare responses; the data</w:t>
      </w:r>
      <w:r w:rsidR="0056100C">
        <w:rPr>
          <w:rFonts w:ascii="Times New Roman" w:hAnsi="Times New Roman"/>
          <w:snapToGrid/>
          <w:sz w:val="24"/>
          <w:szCs w:val="24"/>
        </w:rPr>
        <w:t xml:space="preserve"> </w:t>
      </w:r>
      <w:r w:rsidRPr="00505538">
        <w:rPr>
          <w:rFonts w:ascii="Times New Roman" w:hAnsi="Times New Roman"/>
          <w:snapToGrid/>
          <w:sz w:val="24"/>
          <w:szCs w:val="24"/>
        </w:rPr>
        <w:t>collection form will be available continuously to grantees from the beginning date of an award, thus allowing ample time for collecting data and reporting. Respondents submit one form electronically through ACF’s Grant Solutions</w:t>
      </w:r>
      <w:r w:rsidR="00547AF9">
        <w:rPr>
          <w:rFonts w:ascii="Times New Roman" w:hAnsi="Times New Roman"/>
          <w:snapToGrid/>
          <w:sz w:val="24"/>
          <w:szCs w:val="24"/>
        </w:rPr>
        <w:t>/OLDC</w:t>
      </w:r>
      <w:r w:rsidRPr="00505538">
        <w:rPr>
          <w:rFonts w:ascii="Times New Roman" w:hAnsi="Times New Roman"/>
          <w:snapToGrid/>
          <w:sz w:val="24"/>
          <w:szCs w:val="24"/>
        </w:rPr>
        <w:t>. Respondents do not need to retain records for more than three years after submission of the final expenditure report.  There is no requirement for confidential information.  The data collection is not a statistical survey.</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9730FF" w:rsidR="00022586" w:rsidP="009730FF" w:rsidRDefault="0084609A" w14:paraId="1992C6A4" w14:textId="468BD68F">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D1584">
        <w:rPr>
          <w:rFonts w:ascii="Times New Roman" w:hAnsi="Times New Roman"/>
          <w:sz w:val="24"/>
          <w:szCs w:val="24"/>
        </w:rPr>
        <w:t xml:space="preserve">May 27, </w:t>
      </w:r>
      <w:r w:rsidR="00505538">
        <w:rPr>
          <w:rFonts w:ascii="Times New Roman" w:hAnsi="Times New Roman"/>
          <w:sz w:val="24"/>
          <w:szCs w:val="24"/>
        </w:rPr>
        <w:t>202</w:t>
      </w:r>
      <w:r w:rsidR="008F0364">
        <w:rPr>
          <w:rFonts w:ascii="Times New Roman" w:hAnsi="Times New Roman"/>
          <w:sz w:val="24"/>
          <w:szCs w:val="24"/>
        </w:rPr>
        <w:t>2</w:t>
      </w:r>
      <w:r w:rsidRPr="004F7B95">
        <w:rPr>
          <w:rFonts w:ascii="Times New Roman" w:hAnsi="Times New Roman"/>
          <w:sz w:val="24"/>
          <w:szCs w:val="24"/>
        </w:rPr>
        <w:t xml:space="preserve">, Volume </w:t>
      </w:r>
      <w:r w:rsidR="00505538">
        <w:rPr>
          <w:rFonts w:ascii="Times New Roman" w:hAnsi="Times New Roman"/>
          <w:sz w:val="24"/>
          <w:szCs w:val="24"/>
        </w:rPr>
        <w:t>8</w:t>
      </w:r>
      <w:r w:rsidR="008F0364">
        <w:rPr>
          <w:rFonts w:ascii="Times New Roman" w:hAnsi="Times New Roman"/>
          <w:sz w:val="24"/>
          <w:szCs w:val="24"/>
        </w:rPr>
        <w:t>7</w:t>
      </w:r>
      <w:r w:rsidRPr="004F7B95">
        <w:rPr>
          <w:rFonts w:ascii="Times New Roman" w:hAnsi="Times New Roman"/>
          <w:sz w:val="24"/>
          <w:szCs w:val="24"/>
        </w:rPr>
        <w:t xml:space="preserve">, Number </w:t>
      </w:r>
      <w:r w:rsidR="00505538">
        <w:rPr>
          <w:rFonts w:ascii="Times New Roman" w:hAnsi="Times New Roman"/>
          <w:sz w:val="24"/>
          <w:szCs w:val="24"/>
        </w:rPr>
        <w:t>10</w:t>
      </w:r>
      <w:r w:rsidR="008F0364">
        <w:rPr>
          <w:rFonts w:ascii="Times New Roman" w:hAnsi="Times New Roman"/>
          <w:sz w:val="24"/>
          <w:szCs w:val="24"/>
        </w:rPr>
        <w:t>3</w:t>
      </w:r>
      <w:r w:rsidRPr="004F7B95">
        <w:rPr>
          <w:rFonts w:ascii="Times New Roman" w:hAnsi="Times New Roman"/>
          <w:sz w:val="24"/>
          <w:szCs w:val="24"/>
        </w:rPr>
        <w:t xml:space="preserve">, page </w:t>
      </w:r>
      <w:r w:rsidR="008F0364">
        <w:rPr>
          <w:rFonts w:ascii="Times New Roman" w:hAnsi="Times New Roman"/>
          <w:sz w:val="24"/>
          <w:szCs w:val="24"/>
        </w:rPr>
        <w:t>32168</w:t>
      </w:r>
      <w:r w:rsidRPr="004F7B95">
        <w:rPr>
          <w:rFonts w:ascii="Times New Roman" w:hAnsi="Times New Roman"/>
          <w:sz w:val="24"/>
          <w:szCs w:val="24"/>
        </w:rPr>
        <w:t xml:space="preserve">, and provided a sixty-day period for public comment.  We did not receive comments. </w:t>
      </w:r>
    </w:p>
    <w:p w:rsidR="00022586" w:rsidP="00022586" w:rsidRDefault="00022586" w14:paraId="2EDB417E" w14:textId="46844816">
      <w:pPr>
        <w:widowControl/>
        <w:tabs>
          <w:tab w:val="num" w:pos="360"/>
        </w:tabs>
        <w:ind w:left="360"/>
        <w:rPr>
          <w:rFonts w:ascii="Times New Roman" w:hAnsi="Times New Roman"/>
          <w:snapToGrid/>
          <w:sz w:val="24"/>
          <w:szCs w:val="24"/>
        </w:rPr>
      </w:pPr>
    </w:p>
    <w:p w:rsidR="00547AF9" w:rsidP="00022586" w:rsidRDefault="00547AF9" w14:paraId="5BCE619C" w14:textId="1802DC6C">
      <w:pPr>
        <w:widowControl/>
        <w:tabs>
          <w:tab w:val="num" w:pos="360"/>
        </w:tabs>
        <w:ind w:left="360"/>
        <w:rPr>
          <w:rFonts w:ascii="Times New Roman" w:hAnsi="Times New Roman"/>
          <w:snapToGrid/>
          <w:sz w:val="24"/>
          <w:szCs w:val="24"/>
        </w:rPr>
      </w:pPr>
    </w:p>
    <w:p w:rsidRPr="004F7B95" w:rsidR="00B95A0E" w:rsidP="00022586" w:rsidRDefault="00B95A0E" w14:paraId="40CEDC0C"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Explanation of Any Payment or Gift to Respondents </w:t>
      </w:r>
    </w:p>
    <w:p w:rsidRPr="009730FF" w:rsidR="00D60543" w:rsidP="00AF7545" w:rsidRDefault="009730FF" w14:paraId="4915BD6F" w14:textId="59EB623F">
      <w:pPr>
        <w:tabs>
          <w:tab w:val="left" w:pos="-720"/>
        </w:tabs>
        <w:suppressAutoHyphens/>
        <w:ind w:left="360"/>
        <w:rPr>
          <w:rFonts w:ascii="Times New Roman" w:hAnsi="Times New Roman"/>
          <w:sz w:val="24"/>
          <w:szCs w:val="24"/>
        </w:rPr>
      </w:pPr>
      <w:r w:rsidRPr="00A82B9E">
        <w:rPr>
          <w:rFonts w:ascii="Times New Roman" w:hAnsi="Times New Roman"/>
          <w:sz w:val="24"/>
          <w:szCs w:val="24"/>
        </w:rPr>
        <w:t>There will be no payment or gift to respondents.</w:t>
      </w:r>
    </w:p>
    <w:p w:rsidR="00D60543" w:rsidP="00DE529D" w:rsidRDefault="00D60543" w14:paraId="62113040" w14:textId="178393E9">
      <w:pPr>
        <w:widowControl/>
        <w:tabs>
          <w:tab w:val="num" w:pos="360"/>
        </w:tabs>
        <w:ind w:left="360"/>
        <w:rPr>
          <w:rFonts w:ascii="Times New Roman" w:hAnsi="Times New Roman"/>
          <w:snapToGrid/>
          <w:sz w:val="24"/>
          <w:szCs w:val="24"/>
        </w:rPr>
      </w:pPr>
    </w:p>
    <w:p w:rsidRPr="004F7B95" w:rsidR="00547AF9" w:rsidP="00DE529D" w:rsidRDefault="00547AF9" w14:paraId="2DCE1D40" w14:textId="77777777">
      <w:pPr>
        <w:widowControl/>
        <w:tabs>
          <w:tab w:val="num" w:pos="360"/>
        </w:tabs>
        <w:ind w:left="360"/>
        <w:rPr>
          <w:rFonts w:ascii="Times New Roman" w:hAnsi="Times New Roman"/>
          <w:snapToGrid/>
          <w:sz w:val="24"/>
          <w:szCs w:val="24"/>
        </w:rPr>
      </w:pPr>
    </w:p>
    <w:p w:rsidRPr="00075889" w:rsidR="002C3C4F" w:rsidP="00AF7545"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9730FF" w14:paraId="15840E9A" w14:textId="3FA9F7F4">
      <w:pPr>
        <w:widowControl/>
        <w:tabs>
          <w:tab w:val="num" w:pos="360"/>
        </w:tabs>
        <w:ind w:left="360"/>
        <w:rPr>
          <w:rFonts w:ascii="Times New Roman" w:hAnsi="Times New Roman"/>
          <w:snapToGrid/>
          <w:sz w:val="24"/>
          <w:szCs w:val="24"/>
        </w:rPr>
      </w:pPr>
      <w:r w:rsidRPr="009730FF">
        <w:rPr>
          <w:rFonts w:ascii="Times New Roman" w:hAnsi="Times New Roman"/>
          <w:snapToGrid/>
          <w:sz w:val="24"/>
          <w:szCs w:val="24"/>
        </w:rPr>
        <w:t>Since the respondents will be grantee organizations, rather than individuals, and since the reporting will be on expenditures and obligations of federal grant funds, there will be no assurance of confidentiality; and no Privacy Act System of Records will be established.</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AF7545"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9730FF" w:rsidRDefault="009730FF" w14:paraId="597B7A37" w14:textId="439D7784">
      <w:pPr>
        <w:widowControl/>
        <w:tabs>
          <w:tab w:val="num" w:pos="360"/>
        </w:tabs>
        <w:ind w:left="360"/>
        <w:rPr>
          <w:rFonts w:ascii="Times New Roman" w:hAnsi="Times New Roman"/>
          <w:snapToGrid/>
          <w:sz w:val="24"/>
          <w:szCs w:val="24"/>
        </w:rPr>
      </w:pPr>
      <w:r w:rsidRPr="009730FF">
        <w:rPr>
          <w:rFonts w:ascii="Times New Roman" w:hAnsi="Times New Roman"/>
          <w:snapToGrid/>
          <w:sz w:val="24"/>
          <w:szCs w:val="24"/>
        </w:rPr>
        <w:t xml:space="preserve">There are no sensitive questions in this data collection. The collection is for grantee data on expenditures and obligations of federal grants.  </w:t>
      </w:r>
    </w:p>
    <w:p w:rsidR="00DE529D" w:rsidP="0051278C" w:rsidRDefault="00DE529D" w14:paraId="710C7355" w14:textId="01BD6E80">
      <w:pPr>
        <w:widowControl/>
        <w:tabs>
          <w:tab w:val="num" w:pos="360"/>
        </w:tabs>
        <w:ind w:left="720" w:hanging="360"/>
        <w:rPr>
          <w:rFonts w:ascii="Times New Roman" w:hAnsi="Times New Roman"/>
          <w:snapToGrid/>
          <w:sz w:val="24"/>
          <w:szCs w:val="24"/>
        </w:rPr>
      </w:pPr>
    </w:p>
    <w:p w:rsidRPr="004F7B95" w:rsidR="00547AF9" w:rsidP="0051278C" w:rsidRDefault="00547AF9" w14:paraId="5B44DAD2"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9730FF" w:rsidR="009730FF" w:rsidP="009730FF" w:rsidRDefault="009730FF" w14:paraId="15CBCF7B" w14:textId="0AFEE291">
      <w:pPr>
        <w:widowControl/>
        <w:ind w:left="360"/>
        <w:rPr>
          <w:rFonts w:ascii="Times New Roman" w:hAnsi="Times New Roman"/>
          <w:snapToGrid/>
          <w:sz w:val="24"/>
          <w:szCs w:val="24"/>
        </w:rPr>
      </w:pPr>
      <w:r w:rsidRPr="009730FF">
        <w:rPr>
          <w:rFonts w:ascii="Times New Roman" w:hAnsi="Times New Roman"/>
          <w:snapToGrid/>
          <w:sz w:val="24"/>
          <w:szCs w:val="24"/>
        </w:rPr>
        <w:t xml:space="preserve">There will be approximately </w:t>
      </w:r>
      <w:r>
        <w:rPr>
          <w:rFonts w:ascii="Times New Roman" w:hAnsi="Times New Roman"/>
          <w:snapToGrid/>
          <w:sz w:val="24"/>
          <w:szCs w:val="24"/>
        </w:rPr>
        <w:t>63</w:t>
      </w:r>
      <w:r w:rsidRPr="009730FF">
        <w:rPr>
          <w:rFonts w:ascii="Times New Roman" w:hAnsi="Times New Roman"/>
          <w:snapToGrid/>
          <w:sz w:val="24"/>
          <w:szCs w:val="24"/>
        </w:rPr>
        <w:t xml:space="preserve"> respondents. State agencies and State Replacement Designees are allocated funds through mandatory grant actions</w:t>
      </w:r>
      <w:r>
        <w:rPr>
          <w:rFonts w:ascii="Times New Roman" w:hAnsi="Times New Roman"/>
          <w:snapToGrid/>
          <w:sz w:val="24"/>
          <w:szCs w:val="24"/>
        </w:rPr>
        <w:t>.</w:t>
      </w:r>
    </w:p>
    <w:p w:rsidRPr="009730FF" w:rsidR="009730FF" w:rsidP="009730FF" w:rsidRDefault="009730FF" w14:paraId="46E3644B" w14:textId="77777777">
      <w:pPr>
        <w:widowControl/>
        <w:ind w:left="360"/>
        <w:rPr>
          <w:rFonts w:ascii="Times New Roman" w:hAnsi="Times New Roman"/>
          <w:snapToGrid/>
          <w:sz w:val="24"/>
          <w:szCs w:val="24"/>
        </w:rPr>
      </w:pPr>
    </w:p>
    <w:p w:rsidR="009730FF" w:rsidP="009730FF" w:rsidRDefault="009730FF" w14:paraId="2E583CFB" w14:textId="57EBDD8C">
      <w:pPr>
        <w:widowControl/>
        <w:ind w:left="360"/>
        <w:rPr>
          <w:rFonts w:ascii="Times New Roman" w:hAnsi="Times New Roman"/>
          <w:snapToGrid/>
          <w:sz w:val="24"/>
          <w:szCs w:val="24"/>
        </w:rPr>
      </w:pPr>
      <w:r w:rsidRPr="009730FF">
        <w:rPr>
          <w:rFonts w:ascii="Times New Roman" w:hAnsi="Times New Roman"/>
          <w:snapToGrid/>
          <w:sz w:val="24"/>
          <w:szCs w:val="24"/>
        </w:rPr>
        <w:t>These grantees will prepare the ORR-2 Quarterly Report on Expenditures and Obligations four times a year; it is estimated that the time required each quarter will be 1.5 hours, or 6 hours per year.  The ORR-2 is not anticipated to involve any additional data collection burden on grantees since these data are already being collected, cumulated, and reported quarterly.  There is no additional incremental cost.</w:t>
      </w:r>
      <w:r>
        <w:rPr>
          <w:rFonts w:ascii="Times New Roman" w:hAnsi="Times New Roman"/>
          <w:snapToGrid/>
          <w:sz w:val="24"/>
          <w:szCs w:val="24"/>
        </w:rPr>
        <w:t xml:space="preserve"> </w:t>
      </w:r>
    </w:p>
    <w:p w:rsidRPr="009730FF" w:rsidR="009730FF" w:rsidP="009730FF" w:rsidRDefault="009730FF" w14:paraId="5CA8F72F" w14:textId="77777777">
      <w:pPr>
        <w:widowControl/>
        <w:ind w:left="360"/>
        <w:rPr>
          <w:rFonts w:ascii="Times New Roman" w:hAnsi="Times New Roman"/>
          <w:snapToGrid/>
          <w:sz w:val="24"/>
          <w:szCs w:val="24"/>
        </w:rPr>
      </w:pPr>
    </w:p>
    <w:p w:rsidR="00CB1A12" w:rsidP="009730FF" w:rsidRDefault="009730FF" w14:paraId="055034F3" w14:textId="3807BAB0">
      <w:pPr>
        <w:widowControl/>
        <w:ind w:left="360"/>
        <w:rPr>
          <w:rFonts w:ascii="Times New Roman" w:hAnsi="Times New Roman"/>
          <w:snapToGrid/>
          <w:sz w:val="24"/>
          <w:szCs w:val="24"/>
        </w:rPr>
      </w:pPr>
      <w:r w:rsidRPr="009730FF">
        <w:rPr>
          <w:rFonts w:ascii="Times New Roman" w:hAnsi="Times New Roman"/>
          <w:snapToGrid/>
          <w:sz w:val="24"/>
          <w:szCs w:val="24"/>
        </w:rPr>
        <w:t xml:space="preserve">The ORR-2 data collection form will include only the data </w:t>
      </w:r>
      <w:proofErr w:type="gramStart"/>
      <w:r w:rsidRPr="009730FF">
        <w:rPr>
          <w:rFonts w:ascii="Times New Roman" w:hAnsi="Times New Roman"/>
          <w:snapToGrid/>
          <w:sz w:val="24"/>
          <w:szCs w:val="24"/>
        </w:rPr>
        <w:t>actually needed</w:t>
      </w:r>
      <w:proofErr w:type="gramEnd"/>
      <w:r w:rsidRPr="009730FF">
        <w:rPr>
          <w:rFonts w:ascii="Times New Roman" w:hAnsi="Times New Roman"/>
          <w:snapToGrid/>
          <w:sz w:val="24"/>
          <w:szCs w:val="24"/>
        </w:rPr>
        <w:t xml:space="preserve"> by the Office of Refugee Resettlement to monitor grantees and to provide data for program cost</w:t>
      </w:r>
      <w:r>
        <w:rPr>
          <w:rFonts w:ascii="Times New Roman" w:hAnsi="Times New Roman"/>
          <w:snapToGrid/>
          <w:sz w:val="24"/>
          <w:szCs w:val="24"/>
        </w:rPr>
        <w:t xml:space="preserve"> </w:t>
      </w:r>
      <w:r w:rsidRPr="009730FF">
        <w:rPr>
          <w:rFonts w:ascii="Times New Roman" w:hAnsi="Times New Roman"/>
          <w:snapToGrid/>
          <w:sz w:val="24"/>
          <w:szCs w:val="24"/>
        </w:rPr>
        <w:t>projections.</w:t>
      </w:r>
    </w:p>
    <w:p w:rsidRPr="004F7B95" w:rsidR="009730FF" w:rsidP="00DE529D" w:rsidRDefault="009730FF" w14:paraId="5163EBB3" w14:textId="77777777">
      <w:pPr>
        <w:widowControl/>
        <w:ind w:left="360"/>
        <w:rPr>
          <w:rFonts w:ascii="Times New Roman" w:hAnsi="Times New Roman"/>
          <w:snapToGrid/>
          <w:sz w:val="24"/>
          <w:szCs w:val="24"/>
        </w:rPr>
      </w:pPr>
    </w:p>
    <w:tbl>
      <w:tblPr>
        <w:tblW w:w="9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15"/>
        <w:gridCol w:w="1259"/>
        <w:gridCol w:w="1398"/>
        <w:gridCol w:w="1027"/>
        <w:gridCol w:w="7"/>
        <w:gridCol w:w="798"/>
        <w:gridCol w:w="7"/>
        <w:gridCol w:w="1076"/>
        <w:gridCol w:w="7"/>
        <w:gridCol w:w="1134"/>
        <w:gridCol w:w="7"/>
      </w:tblGrid>
      <w:tr w:rsidRPr="004F7B95" w:rsidR="00AF7545" w:rsidTr="00FD55EB" w14:paraId="230FE56D" w14:textId="77777777">
        <w:trPr>
          <w:gridAfter w:val="1"/>
          <w:wAfter w:w="7" w:type="dxa"/>
          <w:jc w:val="center"/>
        </w:trPr>
        <w:tc>
          <w:tcPr>
            <w:tcW w:w="2515" w:type="dxa"/>
            <w:shd w:val="clear" w:color="auto" w:fill="BFBFBF"/>
            <w:vAlign w:val="center"/>
          </w:tcPr>
          <w:p w:rsidRPr="00405C10" w:rsidR="00AF7545" w:rsidP="004110F5" w:rsidRDefault="00AF754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59" w:type="dxa"/>
            <w:shd w:val="clear" w:color="auto" w:fill="BFBFBF"/>
            <w:vAlign w:val="center"/>
          </w:tcPr>
          <w:p w:rsidRPr="00405C10" w:rsidR="00AF7545" w:rsidP="004F7B95" w:rsidRDefault="00AF754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98" w:type="dxa"/>
            <w:shd w:val="clear" w:color="auto" w:fill="BFBFBF"/>
            <w:vAlign w:val="center"/>
          </w:tcPr>
          <w:p w:rsidRPr="00405C10" w:rsidR="00AF7545" w:rsidP="004F7B95" w:rsidRDefault="00AF7545" w14:paraId="5053A5D0" w14:textId="6F467F75">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27" w:type="dxa"/>
            <w:shd w:val="clear" w:color="auto" w:fill="BFBFBF"/>
            <w:vAlign w:val="center"/>
          </w:tcPr>
          <w:p w:rsidRPr="00405C10" w:rsidR="00AF7545" w:rsidP="004F7B95" w:rsidRDefault="00AF754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05" w:type="dxa"/>
            <w:gridSpan w:val="2"/>
            <w:shd w:val="clear" w:color="auto" w:fill="BFBFBF"/>
            <w:vAlign w:val="center"/>
          </w:tcPr>
          <w:p w:rsidRPr="00405C10" w:rsidR="00AF7545" w:rsidP="004F7B95" w:rsidRDefault="00AF7545" w14:paraId="3AE1FC11" w14:textId="68F71F1C">
            <w:pPr>
              <w:jc w:val="center"/>
              <w:rPr>
                <w:rFonts w:ascii="Times New Roman" w:hAnsi="Times New Roman"/>
                <w:bCs/>
                <w:szCs w:val="24"/>
              </w:rPr>
            </w:pPr>
            <w:r w:rsidRPr="00405C10">
              <w:rPr>
                <w:rFonts w:ascii="Times New Roman" w:hAnsi="Times New Roman"/>
                <w:bCs/>
                <w:szCs w:val="24"/>
              </w:rPr>
              <w:t>Annual Burden Hours</w:t>
            </w:r>
          </w:p>
        </w:tc>
        <w:tc>
          <w:tcPr>
            <w:tcW w:w="1083" w:type="dxa"/>
            <w:gridSpan w:val="2"/>
            <w:shd w:val="clear" w:color="auto" w:fill="BFBFBF"/>
            <w:vAlign w:val="center"/>
          </w:tcPr>
          <w:p w:rsidRPr="00405C10" w:rsidR="00AF7545" w:rsidP="004F7B95" w:rsidRDefault="00AF754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41" w:type="dxa"/>
            <w:gridSpan w:val="2"/>
            <w:shd w:val="clear" w:color="auto" w:fill="BFBFBF"/>
            <w:vAlign w:val="center"/>
          </w:tcPr>
          <w:p w:rsidRPr="00405C10" w:rsidR="00AF7545" w:rsidP="004F7B95" w:rsidRDefault="00AF7545"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AF7545" w:rsidTr="00FD55EB" w14:paraId="5140B154" w14:textId="77777777">
        <w:trPr>
          <w:gridAfter w:val="1"/>
          <w:wAfter w:w="7" w:type="dxa"/>
          <w:trHeight w:val="432"/>
          <w:jc w:val="center"/>
        </w:trPr>
        <w:tc>
          <w:tcPr>
            <w:tcW w:w="2515" w:type="dxa"/>
            <w:vAlign w:val="center"/>
          </w:tcPr>
          <w:p w:rsidRPr="00405C10" w:rsidR="00AF7545" w:rsidP="004F7B95" w:rsidRDefault="00AF7545" w14:paraId="33E13E32" w14:textId="1FE3FABA">
            <w:pPr>
              <w:tabs>
                <w:tab w:val="center" w:pos="4320"/>
                <w:tab w:val="right" w:pos="8640"/>
              </w:tabs>
              <w:rPr>
                <w:rFonts w:ascii="Times New Roman" w:hAnsi="Times New Roman"/>
                <w:szCs w:val="24"/>
              </w:rPr>
            </w:pPr>
            <w:r w:rsidRPr="00A82B9E">
              <w:rPr>
                <w:rFonts w:ascii="Times New Roman" w:hAnsi="Times New Roman"/>
                <w:sz w:val="24"/>
                <w:szCs w:val="24"/>
              </w:rPr>
              <w:t>ORR</w:t>
            </w:r>
            <w:r w:rsidR="00FD55EB">
              <w:rPr>
                <w:rFonts w:ascii="Times New Roman" w:hAnsi="Times New Roman"/>
                <w:sz w:val="24"/>
                <w:szCs w:val="24"/>
              </w:rPr>
              <w:t>-</w:t>
            </w:r>
            <w:r w:rsidRPr="00A82B9E">
              <w:rPr>
                <w:rFonts w:ascii="Times New Roman" w:hAnsi="Times New Roman"/>
                <w:sz w:val="24"/>
                <w:szCs w:val="24"/>
              </w:rPr>
              <w:t>2 Quarterly Report on Expenditures and Obligations</w:t>
            </w:r>
          </w:p>
        </w:tc>
        <w:tc>
          <w:tcPr>
            <w:tcW w:w="1259" w:type="dxa"/>
            <w:vAlign w:val="center"/>
          </w:tcPr>
          <w:p w:rsidRPr="00405C10" w:rsidR="00AF7545" w:rsidP="004F7B95" w:rsidRDefault="00AF7545" w14:paraId="631BD576" w14:textId="614D0086">
            <w:pPr>
              <w:tabs>
                <w:tab w:val="center" w:pos="4320"/>
                <w:tab w:val="right" w:pos="8640"/>
              </w:tabs>
              <w:jc w:val="center"/>
              <w:rPr>
                <w:rFonts w:ascii="Times New Roman" w:hAnsi="Times New Roman"/>
                <w:szCs w:val="24"/>
                <w:highlight w:val="yellow"/>
              </w:rPr>
            </w:pPr>
            <w:r w:rsidRPr="0056100C">
              <w:rPr>
                <w:rFonts w:ascii="Times New Roman" w:hAnsi="Times New Roman"/>
                <w:szCs w:val="24"/>
              </w:rPr>
              <w:t>63</w:t>
            </w:r>
          </w:p>
        </w:tc>
        <w:tc>
          <w:tcPr>
            <w:tcW w:w="1398" w:type="dxa"/>
            <w:vAlign w:val="center"/>
          </w:tcPr>
          <w:p w:rsidRPr="00405C10" w:rsidR="00AF7545" w:rsidP="004F7B95" w:rsidRDefault="00AF7545" w14:paraId="3DD8ECC7" w14:textId="2574382F">
            <w:pPr>
              <w:tabs>
                <w:tab w:val="center" w:pos="4320"/>
                <w:tab w:val="right" w:pos="8640"/>
              </w:tabs>
              <w:jc w:val="center"/>
              <w:rPr>
                <w:rFonts w:ascii="Times New Roman" w:hAnsi="Times New Roman"/>
                <w:szCs w:val="24"/>
              </w:rPr>
            </w:pPr>
            <w:r>
              <w:rPr>
                <w:rFonts w:ascii="Times New Roman" w:hAnsi="Times New Roman"/>
                <w:szCs w:val="24"/>
              </w:rPr>
              <w:t>4</w:t>
            </w:r>
          </w:p>
        </w:tc>
        <w:tc>
          <w:tcPr>
            <w:tcW w:w="1027" w:type="dxa"/>
            <w:vAlign w:val="center"/>
          </w:tcPr>
          <w:p w:rsidRPr="00405C10" w:rsidR="00AF7545" w:rsidP="004F7B95" w:rsidRDefault="00AF7545" w14:paraId="46007120" w14:textId="2A82C4A9">
            <w:pPr>
              <w:tabs>
                <w:tab w:val="center" w:pos="4320"/>
                <w:tab w:val="right" w:pos="8640"/>
              </w:tabs>
              <w:jc w:val="center"/>
              <w:rPr>
                <w:rFonts w:ascii="Times New Roman" w:hAnsi="Times New Roman"/>
                <w:szCs w:val="24"/>
              </w:rPr>
            </w:pPr>
            <w:r>
              <w:rPr>
                <w:rFonts w:ascii="Times New Roman" w:hAnsi="Times New Roman"/>
                <w:szCs w:val="24"/>
              </w:rPr>
              <w:t>1.5</w:t>
            </w:r>
          </w:p>
        </w:tc>
        <w:tc>
          <w:tcPr>
            <w:tcW w:w="805" w:type="dxa"/>
            <w:gridSpan w:val="2"/>
            <w:vAlign w:val="center"/>
          </w:tcPr>
          <w:p w:rsidRPr="00405C10" w:rsidR="00AF7545" w:rsidP="004F7B95" w:rsidRDefault="00AF7545" w14:paraId="25670C73" w14:textId="6B71511B">
            <w:pPr>
              <w:tabs>
                <w:tab w:val="center" w:pos="4320"/>
                <w:tab w:val="right" w:pos="8640"/>
              </w:tabs>
              <w:jc w:val="center"/>
              <w:rPr>
                <w:rFonts w:ascii="Times New Roman" w:hAnsi="Times New Roman"/>
                <w:szCs w:val="24"/>
              </w:rPr>
            </w:pPr>
            <w:r>
              <w:rPr>
                <w:rFonts w:ascii="Times New Roman" w:hAnsi="Times New Roman"/>
                <w:szCs w:val="24"/>
              </w:rPr>
              <w:t>378</w:t>
            </w:r>
          </w:p>
        </w:tc>
        <w:tc>
          <w:tcPr>
            <w:tcW w:w="1083" w:type="dxa"/>
            <w:gridSpan w:val="2"/>
            <w:vAlign w:val="center"/>
          </w:tcPr>
          <w:p w:rsidRPr="00405C10" w:rsidR="00AF7545" w:rsidP="004F7B95" w:rsidRDefault="00AF7545" w14:paraId="7D556C98" w14:textId="47191BE4">
            <w:pPr>
              <w:tabs>
                <w:tab w:val="center" w:pos="4320"/>
                <w:tab w:val="right" w:pos="8640"/>
              </w:tabs>
              <w:jc w:val="center"/>
              <w:rPr>
                <w:rFonts w:ascii="Times New Roman" w:hAnsi="Times New Roman"/>
                <w:szCs w:val="24"/>
              </w:rPr>
            </w:pPr>
            <w:r>
              <w:rPr>
                <w:rFonts w:ascii="Times New Roman" w:hAnsi="Times New Roman"/>
                <w:szCs w:val="24"/>
              </w:rPr>
              <w:t>$7</w:t>
            </w:r>
            <w:r w:rsidR="00FD55EB">
              <w:rPr>
                <w:rFonts w:ascii="Times New Roman" w:hAnsi="Times New Roman"/>
                <w:szCs w:val="24"/>
              </w:rPr>
              <w:t>3</w:t>
            </w:r>
            <w:r>
              <w:rPr>
                <w:rFonts w:ascii="Times New Roman" w:hAnsi="Times New Roman"/>
                <w:szCs w:val="24"/>
              </w:rPr>
              <w:t>.</w:t>
            </w:r>
            <w:r w:rsidR="00FD55EB">
              <w:rPr>
                <w:rFonts w:ascii="Times New Roman" w:hAnsi="Times New Roman"/>
                <w:szCs w:val="24"/>
              </w:rPr>
              <w:t>84</w:t>
            </w:r>
          </w:p>
        </w:tc>
        <w:tc>
          <w:tcPr>
            <w:tcW w:w="1141" w:type="dxa"/>
            <w:gridSpan w:val="2"/>
            <w:vAlign w:val="center"/>
          </w:tcPr>
          <w:p w:rsidRPr="00405C10" w:rsidR="00AF7545" w:rsidP="004F7B95" w:rsidRDefault="00AF7545" w14:paraId="5133F4BC" w14:textId="332321C6">
            <w:pPr>
              <w:tabs>
                <w:tab w:val="center" w:pos="4320"/>
                <w:tab w:val="right" w:pos="8640"/>
              </w:tabs>
              <w:jc w:val="center"/>
              <w:rPr>
                <w:rFonts w:ascii="Times New Roman" w:hAnsi="Times New Roman"/>
                <w:szCs w:val="24"/>
              </w:rPr>
            </w:pPr>
            <w:r>
              <w:rPr>
                <w:rFonts w:ascii="Times New Roman" w:hAnsi="Times New Roman"/>
                <w:szCs w:val="24"/>
              </w:rPr>
              <w:t>$2</w:t>
            </w:r>
            <w:r w:rsidR="00FD55EB">
              <w:rPr>
                <w:rFonts w:ascii="Times New Roman" w:hAnsi="Times New Roman"/>
                <w:szCs w:val="24"/>
              </w:rPr>
              <w:t>7</w:t>
            </w:r>
            <w:r>
              <w:rPr>
                <w:rFonts w:ascii="Times New Roman" w:hAnsi="Times New Roman"/>
                <w:szCs w:val="24"/>
              </w:rPr>
              <w:t>,</w:t>
            </w:r>
            <w:r w:rsidR="00FD55EB">
              <w:rPr>
                <w:rFonts w:ascii="Times New Roman" w:hAnsi="Times New Roman"/>
                <w:szCs w:val="24"/>
              </w:rPr>
              <w:t>911.52</w:t>
            </w:r>
          </w:p>
        </w:tc>
      </w:tr>
      <w:tr w:rsidRPr="004F7B95" w:rsidR="00AF7545" w:rsidTr="00FD55EB" w14:paraId="68F71184" w14:textId="77777777">
        <w:trPr>
          <w:jc w:val="center"/>
        </w:trPr>
        <w:tc>
          <w:tcPr>
            <w:tcW w:w="6206" w:type="dxa"/>
            <w:gridSpan w:val="5"/>
            <w:vAlign w:val="center"/>
          </w:tcPr>
          <w:p w:rsidRPr="00405C10" w:rsidR="00AF7545" w:rsidP="004F7B95" w:rsidRDefault="00AF7545" w14:paraId="3C5537BF"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05" w:type="dxa"/>
            <w:gridSpan w:val="2"/>
            <w:vAlign w:val="center"/>
          </w:tcPr>
          <w:p w:rsidRPr="00405C10" w:rsidR="00AF7545" w:rsidP="00547AF9" w:rsidRDefault="00AF7545" w14:paraId="29C85233" w14:textId="09C3CFA1">
            <w:pPr>
              <w:tabs>
                <w:tab w:val="center" w:pos="4320"/>
                <w:tab w:val="right" w:pos="8640"/>
              </w:tabs>
              <w:jc w:val="center"/>
              <w:rPr>
                <w:rFonts w:ascii="Times New Roman" w:hAnsi="Times New Roman"/>
                <w:b/>
                <w:szCs w:val="24"/>
              </w:rPr>
            </w:pPr>
            <w:r>
              <w:rPr>
                <w:rFonts w:ascii="Times New Roman" w:hAnsi="Times New Roman"/>
                <w:b/>
                <w:szCs w:val="24"/>
              </w:rPr>
              <w:t>378</w:t>
            </w:r>
          </w:p>
        </w:tc>
        <w:tc>
          <w:tcPr>
            <w:tcW w:w="1083" w:type="dxa"/>
            <w:gridSpan w:val="2"/>
          </w:tcPr>
          <w:p w:rsidRPr="00405C10" w:rsidR="00AF7545" w:rsidP="004F7B95" w:rsidRDefault="00AF754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41" w:type="dxa"/>
            <w:gridSpan w:val="2"/>
          </w:tcPr>
          <w:p w:rsidR="00AF7545" w:rsidP="004F7B95" w:rsidRDefault="00AF7545" w14:paraId="10D54A76" w14:textId="77777777">
            <w:pPr>
              <w:tabs>
                <w:tab w:val="center" w:pos="4320"/>
                <w:tab w:val="right" w:pos="8640"/>
              </w:tabs>
              <w:jc w:val="center"/>
              <w:rPr>
                <w:rFonts w:ascii="Times New Roman" w:hAnsi="Times New Roman"/>
                <w:b/>
                <w:szCs w:val="24"/>
              </w:rPr>
            </w:pPr>
          </w:p>
          <w:p w:rsidRPr="00FD55EB" w:rsidR="00AF7545" w:rsidP="004F7B95" w:rsidRDefault="00FD55EB" w14:paraId="5B5863BC" w14:textId="07DEBF85">
            <w:pPr>
              <w:tabs>
                <w:tab w:val="center" w:pos="4320"/>
                <w:tab w:val="right" w:pos="8640"/>
              </w:tabs>
              <w:jc w:val="center"/>
              <w:rPr>
                <w:rFonts w:ascii="Times New Roman" w:hAnsi="Times New Roman"/>
                <w:b/>
                <w:bCs/>
                <w:szCs w:val="24"/>
              </w:rPr>
            </w:pPr>
            <w:r w:rsidRPr="00FD55EB">
              <w:rPr>
                <w:rFonts w:ascii="Times New Roman" w:hAnsi="Times New Roman"/>
                <w:b/>
                <w:bCs/>
                <w:szCs w:val="24"/>
              </w:rPr>
              <w:t>$27,911.52</w:t>
            </w:r>
          </w:p>
        </w:tc>
      </w:tr>
    </w:tbl>
    <w:p w:rsidR="00CB1A12" w:rsidP="00DE529D" w:rsidRDefault="00CB1A12" w14:paraId="6967D635" w14:textId="77777777">
      <w:pPr>
        <w:widowControl/>
        <w:ind w:left="360"/>
        <w:rPr>
          <w:rFonts w:ascii="Times New Roman" w:hAnsi="Times New Roman"/>
          <w:snapToGrid/>
          <w:sz w:val="24"/>
          <w:szCs w:val="24"/>
        </w:rPr>
      </w:pPr>
    </w:p>
    <w:p w:rsidRPr="00FD55EB" w:rsidR="00FD55EB" w:rsidP="00FD55EB" w:rsidRDefault="00FD55EB" w14:paraId="18CEAC27" w14:textId="77777777">
      <w:pPr>
        <w:widowControl/>
        <w:ind w:left="360"/>
        <w:rPr>
          <w:rFonts w:ascii="Times New Roman" w:hAnsi="Times New Roman"/>
          <w:sz w:val="24"/>
          <w:szCs w:val="24"/>
        </w:rPr>
      </w:pPr>
      <w:r w:rsidRPr="00FD55EB">
        <w:rPr>
          <w:rFonts w:ascii="Times New Roman" w:hAnsi="Times New Roman"/>
          <w:sz w:val="24"/>
          <w:szCs w:val="24"/>
        </w:rPr>
        <w:t xml:space="preserve">The cost to respondents was calculated using the Bureau of Labor Statistics (BLS) job code for Social and Community Services Managers [11-9151] and wage data from May 2021, </w:t>
      </w:r>
      <w:r w:rsidRPr="00FD55EB">
        <w:rPr>
          <w:rFonts w:ascii="Times New Roman" w:hAnsi="Times New Roman"/>
          <w:sz w:val="24"/>
          <w:szCs w:val="24"/>
        </w:rPr>
        <w:lastRenderedPageBreak/>
        <w:t>which is $36.92 per hour. To account for fringe benefits and overhead the rate was multiplied by two which is $73.84. The estimate of annualized cost to respondents for hour burden is $73.84 times 1,920 hours or $141,773.</w:t>
      </w:r>
    </w:p>
    <w:p w:rsidR="00D60543" w:rsidP="00FD55EB" w:rsidRDefault="0051153F" w14:paraId="77D4A871" w14:textId="4026E029">
      <w:pPr>
        <w:widowControl/>
        <w:ind w:left="360"/>
        <w:rPr>
          <w:rFonts w:ascii="Times New Roman" w:hAnsi="Times New Roman"/>
          <w:snapToGrid/>
          <w:sz w:val="24"/>
          <w:szCs w:val="24"/>
        </w:rPr>
      </w:pPr>
      <w:hyperlink w:history="1" r:id="rId11">
        <w:r w:rsidRPr="00DE70CE" w:rsidR="00FD55EB">
          <w:rPr>
            <w:rStyle w:val="Hyperlink"/>
            <w:rFonts w:ascii="Times New Roman" w:hAnsi="Times New Roman"/>
            <w:sz w:val="24"/>
            <w:szCs w:val="24"/>
          </w:rPr>
          <w:t>https://www.bls.gov/oes/current/oes119151.htm</w:t>
        </w:r>
      </w:hyperlink>
      <w:r w:rsidR="00FD55EB">
        <w:rPr>
          <w:rFonts w:ascii="Times New Roman" w:hAnsi="Times New Roman"/>
          <w:sz w:val="24"/>
          <w:szCs w:val="24"/>
        </w:rPr>
        <w:t xml:space="preserve"> </w:t>
      </w:r>
    </w:p>
    <w:p w:rsidR="00D60543" w:rsidP="00DE529D" w:rsidRDefault="00D60543" w14:paraId="344EF814" w14:textId="7E6FAACA">
      <w:pPr>
        <w:widowControl/>
        <w:ind w:left="360"/>
        <w:rPr>
          <w:rFonts w:ascii="Times New Roman" w:hAnsi="Times New Roman"/>
          <w:snapToGrid/>
          <w:sz w:val="24"/>
          <w:szCs w:val="24"/>
        </w:rPr>
      </w:pPr>
    </w:p>
    <w:p w:rsidRPr="004F7B95" w:rsidR="006D1584" w:rsidP="00DE529D" w:rsidRDefault="006D1584" w14:paraId="1CF7F5D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B84DBD" w14:paraId="0A69333B" w14:textId="40A3D65A">
      <w:pPr>
        <w:widowControl/>
        <w:ind w:left="360"/>
        <w:rPr>
          <w:rFonts w:ascii="Times New Roman" w:hAnsi="Times New Roman"/>
          <w:snapToGrid/>
          <w:sz w:val="24"/>
          <w:szCs w:val="24"/>
        </w:rPr>
      </w:pPr>
      <w:r w:rsidRPr="00B84DBD">
        <w:rPr>
          <w:rFonts w:ascii="Times New Roman" w:hAnsi="Times New Roman"/>
          <w:snapToGrid/>
          <w:sz w:val="24"/>
          <w:szCs w:val="24"/>
        </w:rPr>
        <w:t xml:space="preserve">It is not anticipated that there will be any Other Annual Cost Burden to Respondents and Record Keepers.  </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E83C63" w:rsidR="00E83C63" w:rsidP="00E83C63" w:rsidRDefault="00E83C63" w14:paraId="2B4F6B4C" w14:textId="5FD93F2A">
      <w:pPr>
        <w:tabs>
          <w:tab w:val="left" w:pos="-576"/>
          <w:tab w:val="left" w:pos="360"/>
          <w:tab w:val="left" w:pos="1440"/>
          <w:tab w:val="left" w:pos="2160"/>
          <w:tab w:val="left" w:pos="2880"/>
          <w:tab w:val="left" w:pos="7200"/>
        </w:tabs>
        <w:suppressAutoHyphens/>
        <w:ind w:left="360"/>
        <w:rPr>
          <w:rFonts w:ascii="Times New Roman" w:hAnsi="Times New Roman"/>
          <w:snapToGrid/>
          <w:sz w:val="24"/>
          <w:szCs w:val="24"/>
        </w:rPr>
      </w:pPr>
      <w:r w:rsidRPr="00E83C63">
        <w:rPr>
          <w:rFonts w:ascii="Times New Roman" w:hAnsi="Times New Roman"/>
          <w:sz w:val="24"/>
          <w:szCs w:val="24"/>
        </w:rPr>
        <w:t>We estimate that, for four reporting periods of the fiscal year, the review and analysis of the</w:t>
      </w:r>
      <w:r>
        <w:rPr>
          <w:rFonts w:ascii="Times New Roman" w:hAnsi="Times New Roman"/>
          <w:sz w:val="24"/>
          <w:szCs w:val="24"/>
        </w:rPr>
        <w:t xml:space="preserve"> </w:t>
      </w:r>
      <w:r w:rsidRPr="00E83C63">
        <w:rPr>
          <w:rFonts w:ascii="Times New Roman" w:hAnsi="Times New Roman"/>
          <w:sz w:val="24"/>
          <w:szCs w:val="24"/>
        </w:rPr>
        <w:t>ORR-2 data on cash and medical assistance, child welfare and employment services by ORR staff will require four hours per state for each fiscal year ORR-2 submission, or one hour for each quarterly report.</w:t>
      </w:r>
    </w:p>
    <w:p w:rsidRPr="00E83C63" w:rsidR="00E83C63" w:rsidP="00E83C63" w:rsidRDefault="00E83C63" w14:paraId="20D41F26" w14:textId="2C590EEB">
      <w:pPr>
        <w:tabs>
          <w:tab w:val="left" w:pos="-576"/>
          <w:tab w:val="left" w:pos="0"/>
          <w:tab w:val="left" w:pos="720"/>
          <w:tab w:val="left" w:pos="1440"/>
          <w:tab w:val="left" w:pos="2160"/>
          <w:tab w:val="left" w:pos="2880"/>
          <w:tab w:val="left" w:pos="7200"/>
        </w:tabs>
        <w:suppressAutoHyphens/>
        <w:rPr>
          <w:rFonts w:ascii="Times New Roman" w:hAnsi="Times New Roman"/>
          <w:color w:val="993366"/>
          <w:sz w:val="24"/>
          <w:szCs w:val="24"/>
        </w:rPr>
      </w:pPr>
    </w:p>
    <w:tbl>
      <w:tblPr>
        <w:tblW w:w="909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8"/>
        <w:gridCol w:w="1482"/>
        <w:gridCol w:w="1710"/>
        <w:gridCol w:w="1530"/>
        <w:gridCol w:w="1350"/>
        <w:gridCol w:w="1530"/>
      </w:tblGrid>
      <w:tr w:rsidRPr="00A37438" w:rsidR="00E83C63" w:rsidTr="00E83C63" w14:paraId="79DD4E2E" w14:textId="77777777">
        <w:tc>
          <w:tcPr>
            <w:tcW w:w="1488"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04BBB4CC" w14:textId="77777777">
            <w:pPr>
              <w:jc w:val="center"/>
              <w:rPr>
                <w:rFonts w:ascii="Times New Roman" w:hAnsi="Times New Roman"/>
                <w:sz w:val="24"/>
                <w:szCs w:val="24"/>
              </w:rPr>
            </w:pPr>
            <w:r w:rsidRPr="00A37438">
              <w:rPr>
                <w:rFonts w:ascii="Times New Roman" w:hAnsi="Times New Roman"/>
                <w:sz w:val="24"/>
                <w:szCs w:val="24"/>
              </w:rPr>
              <w:t>Instrument</w:t>
            </w:r>
          </w:p>
        </w:tc>
        <w:tc>
          <w:tcPr>
            <w:tcW w:w="1482"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3013AE3B" w14:textId="77777777">
            <w:pPr>
              <w:ind w:hanging="36"/>
              <w:jc w:val="center"/>
              <w:rPr>
                <w:rFonts w:ascii="Times New Roman" w:hAnsi="Times New Roman"/>
                <w:sz w:val="24"/>
                <w:szCs w:val="24"/>
              </w:rPr>
            </w:pPr>
            <w:r w:rsidRPr="00A37438">
              <w:rPr>
                <w:rFonts w:ascii="Times New Roman" w:hAnsi="Times New Roman"/>
                <w:sz w:val="24"/>
                <w:szCs w:val="24"/>
              </w:rPr>
              <w:t xml:space="preserve">Number of </w:t>
            </w:r>
          </w:p>
          <w:p w:rsidRPr="00A37438" w:rsidR="00E83C63" w:rsidP="00A12537" w:rsidRDefault="00E83C63" w14:paraId="7E0FE924" w14:textId="77777777">
            <w:pPr>
              <w:ind w:hanging="36"/>
              <w:jc w:val="center"/>
              <w:rPr>
                <w:rFonts w:ascii="Times New Roman" w:hAnsi="Times New Roman"/>
                <w:sz w:val="24"/>
                <w:szCs w:val="24"/>
              </w:rPr>
            </w:pPr>
            <w:r w:rsidRPr="00A37438">
              <w:rPr>
                <w:rFonts w:ascii="Times New Roman" w:hAnsi="Times New Roman"/>
                <w:sz w:val="24"/>
                <w:szCs w:val="24"/>
              </w:rPr>
              <w:t>Respondents</w:t>
            </w:r>
          </w:p>
        </w:tc>
        <w:tc>
          <w:tcPr>
            <w:tcW w:w="171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437016DE" w14:textId="77777777">
            <w:pPr>
              <w:ind w:hanging="36"/>
              <w:jc w:val="center"/>
              <w:rPr>
                <w:rFonts w:ascii="Times New Roman" w:hAnsi="Times New Roman"/>
                <w:sz w:val="24"/>
                <w:szCs w:val="24"/>
              </w:rPr>
            </w:pPr>
            <w:r w:rsidRPr="00A37438">
              <w:rPr>
                <w:rFonts w:ascii="Times New Roman" w:hAnsi="Times New Roman"/>
                <w:sz w:val="24"/>
                <w:szCs w:val="24"/>
              </w:rPr>
              <w:t xml:space="preserve">Average Burden </w:t>
            </w:r>
          </w:p>
          <w:p w:rsidRPr="00A37438" w:rsidR="00E83C63" w:rsidP="00A12537" w:rsidRDefault="00E83C63" w14:paraId="3E2A282D" w14:textId="77777777">
            <w:pPr>
              <w:ind w:hanging="36"/>
              <w:jc w:val="center"/>
              <w:rPr>
                <w:rFonts w:ascii="Times New Roman" w:hAnsi="Times New Roman"/>
                <w:sz w:val="24"/>
                <w:szCs w:val="24"/>
              </w:rPr>
            </w:pPr>
            <w:r w:rsidRPr="00A37438">
              <w:rPr>
                <w:rFonts w:ascii="Times New Roman" w:hAnsi="Times New Roman"/>
                <w:sz w:val="24"/>
                <w:szCs w:val="24"/>
              </w:rPr>
              <w:t>Federal Hours</w:t>
            </w:r>
          </w:p>
          <w:p w:rsidRPr="00A37438" w:rsidR="00E83C63" w:rsidP="00A12537" w:rsidRDefault="00E83C63" w14:paraId="725424E8" w14:textId="77777777">
            <w:pPr>
              <w:ind w:hanging="36"/>
              <w:jc w:val="center"/>
              <w:rPr>
                <w:rFonts w:ascii="Times New Roman" w:hAnsi="Times New Roman"/>
                <w:sz w:val="24"/>
                <w:szCs w:val="24"/>
              </w:rPr>
            </w:pPr>
            <w:r w:rsidRPr="00A37438">
              <w:rPr>
                <w:rFonts w:ascii="Times New Roman" w:hAnsi="Times New Roman"/>
                <w:sz w:val="24"/>
                <w:szCs w:val="24"/>
              </w:rPr>
              <w:t>Per Review</w:t>
            </w:r>
          </w:p>
        </w:tc>
        <w:tc>
          <w:tcPr>
            <w:tcW w:w="153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2118BAF7" w14:textId="77777777">
            <w:pPr>
              <w:ind w:hanging="36"/>
              <w:jc w:val="center"/>
              <w:rPr>
                <w:rFonts w:ascii="Times New Roman" w:hAnsi="Times New Roman"/>
                <w:sz w:val="24"/>
                <w:szCs w:val="24"/>
              </w:rPr>
            </w:pPr>
            <w:r w:rsidRPr="00A37438">
              <w:rPr>
                <w:rFonts w:ascii="Times New Roman" w:hAnsi="Times New Roman"/>
                <w:sz w:val="24"/>
                <w:szCs w:val="24"/>
              </w:rPr>
              <w:t xml:space="preserve">Total Burden </w:t>
            </w:r>
          </w:p>
          <w:p w:rsidRPr="00A37438" w:rsidR="00E83C63" w:rsidP="00A12537" w:rsidRDefault="00E83C63" w14:paraId="4CC951BF" w14:textId="77777777">
            <w:pPr>
              <w:ind w:hanging="36"/>
              <w:jc w:val="center"/>
              <w:rPr>
                <w:rFonts w:ascii="Times New Roman" w:hAnsi="Times New Roman"/>
                <w:sz w:val="24"/>
                <w:szCs w:val="24"/>
              </w:rPr>
            </w:pPr>
            <w:r w:rsidRPr="00A37438">
              <w:rPr>
                <w:rFonts w:ascii="Times New Roman" w:hAnsi="Times New Roman"/>
                <w:sz w:val="24"/>
                <w:szCs w:val="24"/>
              </w:rPr>
              <w:t xml:space="preserve">Hours </w:t>
            </w:r>
          </w:p>
          <w:p w:rsidRPr="00A37438" w:rsidR="00E83C63" w:rsidP="00A12537" w:rsidRDefault="00E83C63" w14:paraId="6251F92E" w14:textId="77777777">
            <w:pPr>
              <w:ind w:hanging="36"/>
              <w:jc w:val="center"/>
              <w:rPr>
                <w:rFonts w:ascii="Times New Roman" w:hAnsi="Times New Roman"/>
                <w:sz w:val="24"/>
                <w:szCs w:val="24"/>
              </w:rPr>
            </w:pPr>
            <w:r w:rsidRPr="00A37438">
              <w:rPr>
                <w:rFonts w:ascii="Times New Roman" w:hAnsi="Times New Roman"/>
                <w:sz w:val="24"/>
                <w:szCs w:val="24"/>
              </w:rPr>
              <w:t>Per Response</w:t>
            </w:r>
          </w:p>
        </w:tc>
        <w:tc>
          <w:tcPr>
            <w:tcW w:w="135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7DD15005" w14:textId="77777777">
            <w:pPr>
              <w:ind w:hanging="36"/>
              <w:jc w:val="center"/>
              <w:rPr>
                <w:rFonts w:ascii="Times New Roman" w:hAnsi="Times New Roman"/>
                <w:sz w:val="24"/>
                <w:szCs w:val="24"/>
              </w:rPr>
            </w:pPr>
            <w:r w:rsidRPr="00A37438">
              <w:rPr>
                <w:rFonts w:ascii="Times New Roman" w:hAnsi="Times New Roman"/>
                <w:sz w:val="24"/>
                <w:szCs w:val="24"/>
              </w:rPr>
              <w:t>Average Hourly Wage</w:t>
            </w:r>
          </w:p>
        </w:tc>
        <w:tc>
          <w:tcPr>
            <w:tcW w:w="153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A37438" w:rsidR="00E83C63" w:rsidP="00A12537" w:rsidRDefault="00E83C63" w14:paraId="61F7C8C0" w14:textId="77777777">
            <w:pPr>
              <w:ind w:hanging="36"/>
              <w:jc w:val="center"/>
              <w:rPr>
                <w:rFonts w:ascii="Times New Roman" w:hAnsi="Times New Roman"/>
                <w:sz w:val="24"/>
                <w:szCs w:val="24"/>
              </w:rPr>
            </w:pPr>
            <w:r w:rsidRPr="00A37438">
              <w:rPr>
                <w:rFonts w:ascii="Times New Roman" w:hAnsi="Times New Roman"/>
                <w:sz w:val="24"/>
                <w:szCs w:val="24"/>
              </w:rPr>
              <w:t>Total Annual Cost</w:t>
            </w:r>
          </w:p>
        </w:tc>
      </w:tr>
      <w:tr w:rsidRPr="00A37438" w:rsidR="00E83C63" w:rsidTr="00E83C63" w14:paraId="7ADE9CD6" w14:textId="77777777">
        <w:trPr>
          <w:trHeight w:val="404"/>
        </w:trPr>
        <w:tc>
          <w:tcPr>
            <w:tcW w:w="1488"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3A0D3226" w14:textId="77777777">
            <w:pPr>
              <w:rPr>
                <w:rFonts w:ascii="Times New Roman" w:hAnsi="Times New Roman"/>
                <w:sz w:val="24"/>
                <w:szCs w:val="24"/>
              </w:rPr>
            </w:pPr>
            <w:r w:rsidRPr="00A37438">
              <w:rPr>
                <w:rFonts w:ascii="Times New Roman" w:hAnsi="Times New Roman"/>
                <w:sz w:val="24"/>
                <w:szCs w:val="24"/>
              </w:rPr>
              <w:t>ORR-</w:t>
            </w:r>
            <w:r>
              <w:rPr>
                <w:rFonts w:ascii="Times New Roman" w:hAnsi="Times New Roman"/>
                <w:sz w:val="24"/>
                <w:szCs w:val="24"/>
              </w:rPr>
              <w:t>2</w:t>
            </w:r>
          </w:p>
        </w:tc>
        <w:tc>
          <w:tcPr>
            <w:tcW w:w="1482"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2749A3F6" w14:textId="77777777">
            <w:pPr>
              <w:jc w:val="center"/>
              <w:rPr>
                <w:rFonts w:ascii="Times New Roman" w:hAnsi="Times New Roman"/>
                <w:sz w:val="24"/>
                <w:szCs w:val="24"/>
              </w:rPr>
            </w:pPr>
            <w:r w:rsidRPr="00A37438">
              <w:rPr>
                <w:rFonts w:ascii="Times New Roman" w:hAnsi="Times New Roman"/>
                <w:sz w:val="24"/>
                <w:szCs w:val="24"/>
              </w:rPr>
              <w:t>6</w:t>
            </w:r>
            <w:r>
              <w:rPr>
                <w:rFonts w:ascii="Times New Roman" w:hAnsi="Times New Roman"/>
                <w:sz w:val="24"/>
                <w:szCs w:val="24"/>
              </w:rPr>
              <w:t>3</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4F23EB22" w14:textId="77777777">
            <w:pPr>
              <w:jc w:val="center"/>
              <w:rPr>
                <w:rFonts w:ascii="Times New Roman" w:hAnsi="Times New Roman"/>
                <w:sz w:val="24"/>
                <w:szCs w:val="24"/>
              </w:rPr>
            </w:pPr>
            <w:r>
              <w:rPr>
                <w:rFonts w:ascii="Times New Roman" w:hAnsi="Times New Roman"/>
                <w:sz w:val="24"/>
                <w:szCs w:val="24"/>
              </w:rPr>
              <w:t>4</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30005E3B" w14:textId="77777777">
            <w:pPr>
              <w:jc w:val="center"/>
              <w:rPr>
                <w:rFonts w:ascii="Times New Roman" w:hAnsi="Times New Roman"/>
                <w:sz w:val="24"/>
                <w:szCs w:val="24"/>
              </w:rPr>
            </w:pPr>
            <w:r>
              <w:rPr>
                <w:rFonts w:ascii="Times New Roman" w:hAnsi="Times New Roman"/>
                <w:sz w:val="24"/>
                <w:szCs w:val="24"/>
              </w:rPr>
              <w:t>252</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192BBFF9" w14:textId="77777777">
            <w:pPr>
              <w:jc w:val="center"/>
              <w:rPr>
                <w:rFonts w:ascii="Times New Roman" w:hAnsi="Times New Roman"/>
                <w:sz w:val="24"/>
                <w:szCs w:val="24"/>
              </w:rPr>
            </w:pPr>
            <w:r w:rsidRPr="00A37438">
              <w:rPr>
                <w:rFonts w:ascii="Times New Roman" w:hAnsi="Times New Roman"/>
                <w:sz w:val="24"/>
                <w:szCs w:val="24"/>
              </w:rPr>
              <w:t>$48.33</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3E707253" w14:textId="77777777">
            <w:pPr>
              <w:jc w:val="center"/>
              <w:rPr>
                <w:rFonts w:ascii="Times New Roman" w:hAnsi="Times New Roman"/>
                <w:sz w:val="24"/>
                <w:szCs w:val="24"/>
              </w:rPr>
            </w:pPr>
            <w:r w:rsidRPr="00A37438">
              <w:rPr>
                <w:rFonts w:ascii="Times New Roman" w:hAnsi="Times New Roman"/>
                <w:sz w:val="24"/>
                <w:szCs w:val="24"/>
              </w:rPr>
              <w:t>$1</w:t>
            </w:r>
            <w:r>
              <w:rPr>
                <w:rFonts w:ascii="Times New Roman" w:hAnsi="Times New Roman"/>
                <w:sz w:val="24"/>
                <w:szCs w:val="24"/>
              </w:rPr>
              <w:t>2</w:t>
            </w:r>
            <w:r w:rsidRPr="00A37438">
              <w:rPr>
                <w:rFonts w:ascii="Times New Roman" w:hAnsi="Times New Roman"/>
                <w:sz w:val="24"/>
                <w:szCs w:val="24"/>
              </w:rPr>
              <w:t>,</w:t>
            </w:r>
            <w:r>
              <w:rPr>
                <w:rFonts w:ascii="Times New Roman" w:hAnsi="Times New Roman"/>
                <w:sz w:val="24"/>
                <w:szCs w:val="24"/>
              </w:rPr>
              <w:t>179</w:t>
            </w:r>
          </w:p>
        </w:tc>
      </w:tr>
      <w:tr w:rsidRPr="00A37438" w:rsidR="00E83C63" w:rsidTr="00E83C63" w14:paraId="006540C8" w14:textId="77777777">
        <w:trPr>
          <w:trHeight w:val="350"/>
        </w:trPr>
        <w:tc>
          <w:tcPr>
            <w:tcW w:w="7560" w:type="dxa"/>
            <w:gridSpan w:val="5"/>
            <w:tcBorders>
              <w:top w:val="single" w:color="auto" w:sz="4" w:space="0"/>
              <w:left w:val="single" w:color="auto" w:sz="4" w:space="0"/>
              <w:bottom w:val="single" w:color="auto" w:sz="4" w:space="0"/>
              <w:right w:val="single" w:color="auto" w:sz="4" w:space="0"/>
            </w:tcBorders>
            <w:vAlign w:val="center"/>
            <w:hideMark/>
          </w:tcPr>
          <w:p w:rsidRPr="00A37438" w:rsidR="00E83C63" w:rsidP="00A12537" w:rsidRDefault="00E83C63" w14:paraId="4933B0E8" w14:textId="77777777">
            <w:pPr>
              <w:jc w:val="right"/>
              <w:rPr>
                <w:rFonts w:ascii="Times New Roman" w:hAnsi="Times New Roman"/>
                <w:b/>
                <w:bCs/>
                <w:sz w:val="24"/>
                <w:szCs w:val="24"/>
              </w:rPr>
            </w:pPr>
            <w:r w:rsidRPr="00A37438">
              <w:rPr>
                <w:rFonts w:ascii="Times New Roman" w:hAnsi="Times New Roman"/>
                <w:b/>
                <w:bCs/>
                <w:sz w:val="24"/>
                <w:szCs w:val="24"/>
              </w:rPr>
              <w:t>Estimated Total Annualized Cost to the Federal Government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A37438" w:rsidR="00E83C63" w:rsidP="00E83C63" w:rsidRDefault="00E83C63" w14:paraId="5F169529" w14:textId="77777777">
            <w:pPr>
              <w:jc w:val="center"/>
              <w:rPr>
                <w:rFonts w:ascii="Times New Roman" w:hAnsi="Times New Roman"/>
                <w:b/>
                <w:bCs/>
                <w:sz w:val="24"/>
                <w:szCs w:val="24"/>
              </w:rPr>
            </w:pPr>
            <w:r w:rsidRPr="00A37438">
              <w:rPr>
                <w:rFonts w:ascii="Times New Roman" w:hAnsi="Times New Roman"/>
                <w:b/>
                <w:bCs/>
                <w:sz w:val="24"/>
                <w:szCs w:val="24"/>
              </w:rPr>
              <w:t>$1</w:t>
            </w:r>
            <w:r>
              <w:rPr>
                <w:rFonts w:ascii="Times New Roman" w:hAnsi="Times New Roman"/>
                <w:b/>
                <w:bCs/>
                <w:sz w:val="24"/>
                <w:szCs w:val="24"/>
              </w:rPr>
              <w:t>2</w:t>
            </w:r>
            <w:r w:rsidRPr="00A37438">
              <w:rPr>
                <w:rFonts w:ascii="Times New Roman" w:hAnsi="Times New Roman"/>
                <w:b/>
                <w:bCs/>
                <w:sz w:val="24"/>
                <w:szCs w:val="24"/>
              </w:rPr>
              <w:t>,</w:t>
            </w:r>
            <w:r>
              <w:rPr>
                <w:rFonts w:ascii="Times New Roman" w:hAnsi="Times New Roman"/>
                <w:b/>
                <w:bCs/>
                <w:sz w:val="24"/>
                <w:szCs w:val="24"/>
              </w:rPr>
              <w:t>179</w:t>
            </w:r>
          </w:p>
        </w:tc>
      </w:tr>
    </w:tbl>
    <w:p w:rsidRPr="00E83C63" w:rsidR="00E83C63" w:rsidP="00E83C63" w:rsidRDefault="00E83C63" w14:paraId="4772E7F0" w14:textId="77777777">
      <w:pPr>
        <w:rPr>
          <w:rFonts w:ascii="Times New Roman" w:hAnsi="Times New Roman"/>
          <w:sz w:val="24"/>
          <w:szCs w:val="24"/>
        </w:rPr>
      </w:pPr>
    </w:p>
    <w:p w:rsidRPr="00E83C63" w:rsidR="00E83C63" w:rsidP="00E83C63" w:rsidRDefault="00E83C63" w14:paraId="1E38AD45" w14:textId="77777777">
      <w:pPr>
        <w:ind w:left="360"/>
        <w:rPr>
          <w:rFonts w:ascii="Times New Roman" w:hAnsi="Times New Roman"/>
          <w:sz w:val="24"/>
          <w:szCs w:val="24"/>
        </w:rPr>
      </w:pPr>
      <w:r w:rsidRPr="00E83C63">
        <w:rPr>
          <w:rFonts w:ascii="Times New Roman" w:hAnsi="Times New Roman"/>
          <w:sz w:val="24"/>
          <w:szCs w:val="24"/>
        </w:rPr>
        <w:t xml:space="preserve">The cost to respondents was calculated using the Bureau of Labor Statistics (BLS) job code for Management Analysts [13-1111] and wage data from May 2021, which is $48.33 per hour. The estimate of annualized cost to respondents for hour burden is $48.33 times 252 hours or $12,179. This total amount covers time and effort of staff to review, clarify and correct reports, submit for approval process, and file. </w:t>
      </w:r>
      <w:hyperlink w:history="1" r:id="rId12">
        <w:r w:rsidRPr="00E83C63">
          <w:rPr>
            <w:rStyle w:val="Hyperlink"/>
            <w:rFonts w:ascii="Times New Roman" w:hAnsi="Times New Roman"/>
            <w:sz w:val="24"/>
            <w:szCs w:val="24"/>
          </w:rPr>
          <w:t>https://www.bls.gov/oes/current/oes131111.htm</w:t>
        </w:r>
      </w:hyperlink>
      <w:r w:rsidRPr="00E83C63">
        <w:rPr>
          <w:rFonts w:ascii="Times New Roman" w:hAnsi="Times New Roman"/>
          <w:sz w:val="24"/>
          <w:szCs w:val="24"/>
        </w:rPr>
        <w:t xml:space="preserve"> </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B84DBD" w14:paraId="1CCB7D8F" w14:textId="64C3061C">
      <w:pPr>
        <w:widowControl/>
        <w:ind w:left="360"/>
        <w:rPr>
          <w:rFonts w:ascii="Times New Roman" w:hAnsi="Times New Roman"/>
          <w:snapToGrid/>
          <w:sz w:val="24"/>
          <w:szCs w:val="24"/>
        </w:rPr>
      </w:pPr>
      <w:r w:rsidRPr="00A82B9E">
        <w:rPr>
          <w:rFonts w:ascii="Times New Roman" w:hAnsi="Times New Roman"/>
          <w:sz w:val="24"/>
          <w:szCs w:val="24"/>
        </w:rPr>
        <w:t xml:space="preserve">This is a </w:t>
      </w:r>
      <w:r>
        <w:rPr>
          <w:rFonts w:ascii="Times New Roman" w:hAnsi="Times New Roman"/>
          <w:sz w:val="24"/>
          <w:szCs w:val="24"/>
        </w:rPr>
        <w:t>renewal of an existing data collection and there are no changes</w:t>
      </w:r>
      <w:r w:rsidR="00B95924">
        <w:rPr>
          <w:rFonts w:ascii="Times New Roman" w:hAnsi="Times New Roman"/>
          <w:sz w:val="24"/>
          <w:szCs w:val="24"/>
        </w:rPr>
        <w:t xml:space="preserve"> proposed</w:t>
      </w:r>
      <w:r>
        <w:rPr>
          <w:rFonts w:ascii="Times New Roman" w:hAnsi="Times New Roman"/>
          <w:sz w:val="24"/>
          <w:szCs w:val="24"/>
        </w:rPr>
        <w:t>.</w:t>
      </w:r>
      <w:r w:rsidR="00B95924">
        <w:rPr>
          <w:rFonts w:ascii="Times New Roman" w:hAnsi="Times New Roman"/>
          <w:sz w:val="24"/>
          <w:szCs w:val="24"/>
        </w:rPr>
        <w:t xml:space="preserve"> </w:t>
      </w:r>
      <w:r w:rsidRPr="00547AF9" w:rsidR="00547AF9">
        <w:rPr>
          <w:rFonts w:ascii="Times New Roman" w:hAnsi="Times New Roman"/>
          <w:snapToGrid/>
          <w:sz w:val="24"/>
          <w:szCs w:val="24"/>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B84DBD" w14:paraId="20669B59" w14:textId="3D9EB76A">
      <w:pPr>
        <w:widowControl/>
        <w:ind w:left="360"/>
        <w:rPr>
          <w:rFonts w:ascii="Times New Roman" w:hAnsi="Times New Roman"/>
          <w:snapToGrid/>
          <w:sz w:val="24"/>
          <w:szCs w:val="24"/>
        </w:rPr>
      </w:pPr>
      <w:r w:rsidRPr="00B84DBD">
        <w:rPr>
          <w:rFonts w:ascii="Times New Roman" w:hAnsi="Times New Roman"/>
          <w:snapToGrid/>
          <w:sz w:val="24"/>
          <w:szCs w:val="24"/>
        </w:rPr>
        <w:t xml:space="preserve">There are no plans to publish these data. These data are for internal use only in monitoring the performance of grantees, in providing ongoing estimates of program cost to ensure that all costs can be reimbursed, and in allocating sufficient funds each quarter to ensure that </w:t>
      </w:r>
      <w:r w:rsidRPr="00B84DBD">
        <w:rPr>
          <w:rFonts w:ascii="Times New Roman" w:hAnsi="Times New Roman"/>
          <w:snapToGrid/>
          <w:sz w:val="24"/>
          <w:szCs w:val="24"/>
        </w:rPr>
        <w:lastRenderedPageBreak/>
        <w:t>grantees are reimbursed for all costs incurred. These data will be entered into a spreadsheet and tracked by program component and total cost.  Program Specialists will have access to the forms as submitted and to the program-wide spreadsheet to assist them in financial monitoring of the grantees for which they are responsible. Additionally, the program component totals will be entered into the estimating methodology and used to project costs.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B84DBD" w14:paraId="30989008" w14:textId="3999C178">
      <w:pPr>
        <w:widowControl/>
        <w:ind w:left="360" w:hanging="90"/>
        <w:rPr>
          <w:rFonts w:ascii="Times New Roman" w:hAnsi="Times New Roman"/>
          <w:snapToGrid/>
          <w:sz w:val="24"/>
          <w:szCs w:val="24"/>
        </w:rPr>
      </w:pPr>
      <w:r w:rsidRPr="00A82B9E">
        <w:rPr>
          <w:rFonts w:ascii="Times New Roman" w:hAnsi="Times New Roman"/>
          <w:sz w:val="24"/>
          <w:szCs w:val="24"/>
        </w:rPr>
        <w:t>The OMB Expiratio</w:t>
      </w:r>
      <w:r>
        <w:rPr>
          <w:rFonts w:ascii="Times New Roman" w:hAnsi="Times New Roman"/>
          <w:sz w:val="24"/>
          <w:szCs w:val="24"/>
        </w:rPr>
        <w:t>n Date will be displayed on the</w:t>
      </w:r>
      <w:r w:rsidRPr="00A82B9E">
        <w:rPr>
          <w:rFonts w:ascii="Times New Roman" w:hAnsi="Times New Roman"/>
          <w:sz w:val="24"/>
          <w:szCs w:val="24"/>
        </w:rPr>
        <w:t xml:space="preserve"> information collection.</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56100C" w:rsidR="00597E7F" w:rsidP="0051153F" w:rsidRDefault="00B84DBD" w14:paraId="67CA458C" w14:textId="2FC4581C">
      <w:pPr>
        <w:tabs>
          <w:tab w:val="left" w:pos="-720"/>
        </w:tabs>
        <w:suppressAutoHyphens/>
        <w:ind w:left="360"/>
        <w:rPr>
          <w:rFonts w:ascii="Times New Roman" w:hAnsi="Times New Roman"/>
          <w:sz w:val="24"/>
          <w:szCs w:val="24"/>
        </w:rPr>
      </w:pPr>
      <w:r w:rsidRPr="00A82B9E">
        <w:rPr>
          <w:rFonts w:ascii="Times New Roman" w:hAnsi="Times New Roman"/>
          <w:sz w:val="24"/>
          <w:szCs w:val="24"/>
        </w:rPr>
        <w:t>No exceptions.</w:t>
      </w:r>
    </w:p>
    <w:sectPr w:rsidRPr="0056100C" w:rsidR="00597E7F"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D91D" w14:textId="77777777" w:rsidR="001F6DD7" w:rsidRDefault="001F6DD7">
      <w:pPr>
        <w:spacing w:line="20" w:lineRule="exact"/>
        <w:rPr>
          <w:sz w:val="24"/>
        </w:rPr>
      </w:pPr>
    </w:p>
  </w:endnote>
  <w:endnote w:type="continuationSeparator" w:id="0">
    <w:p w14:paraId="60FF2119" w14:textId="77777777" w:rsidR="001F6DD7" w:rsidRDefault="001F6DD7">
      <w:r>
        <w:rPr>
          <w:sz w:val="24"/>
        </w:rPr>
        <w:t xml:space="preserve"> </w:t>
      </w:r>
    </w:p>
  </w:endnote>
  <w:endnote w:type="continuationNotice" w:id="1">
    <w:p w14:paraId="0E29BA39" w14:textId="77777777" w:rsidR="001F6DD7" w:rsidRDefault="001F6D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3F3C" w14:textId="77777777" w:rsidR="001F6DD7" w:rsidRDefault="001F6DD7">
      <w:r>
        <w:rPr>
          <w:sz w:val="24"/>
        </w:rPr>
        <w:separator/>
      </w:r>
    </w:p>
  </w:footnote>
  <w:footnote w:type="continuationSeparator" w:id="0">
    <w:p w14:paraId="1AF3397F" w14:textId="77777777" w:rsidR="001F6DD7" w:rsidRDefault="001F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F069F"/>
    <w:rsid w:val="00102200"/>
    <w:rsid w:val="001337B5"/>
    <w:rsid w:val="0014145B"/>
    <w:rsid w:val="00160621"/>
    <w:rsid w:val="00186385"/>
    <w:rsid w:val="001C483C"/>
    <w:rsid w:val="001C7FFE"/>
    <w:rsid w:val="001D1651"/>
    <w:rsid w:val="001F6DD7"/>
    <w:rsid w:val="00222C7F"/>
    <w:rsid w:val="00226C42"/>
    <w:rsid w:val="00234235"/>
    <w:rsid w:val="002464EB"/>
    <w:rsid w:val="002509BD"/>
    <w:rsid w:val="00290A1C"/>
    <w:rsid w:val="0029589B"/>
    <w:rsid w:val="00296738"/>
    <w:rsid w:val="002C3C4F"/>
    <w:rsid w:val="002E10D1"/>
    <w:rsid w:val="003405A4"/>
    <w:rsid w:val="00351B33"/>
    <w:rsid w:val="00354319"/>
    <w:rsid w:val="0038209B"/>
    <w:rsid w:val="00384617"/>
    <w:rsid w:val="003B7A50"/>
    <w:rsid w:val="003C1D6E"/>
    <w:rsid w:val="003E43CB"/>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05538"/>
    <w:rsid w:val="0051153F"/>
    <w:rsid w:val="0051278C"/>
    <w:rsid w:val="00522C18"/>
    <w:rsid w:val="00541E51"/>
    <w:rsid w:val="00547AF9"/>
    <w:rsid w:val="005520C3"/>
    <w:rsid w:val="00556056"/>
    <w:rsid w:val="0056100C"/>
    <w:rsid w:val="005824BD"/>
    <w:rsid w:val="00597E7F"/>
    <w:rsid w:val="005A7777"/>
    <w:rsid w:val="005B00FC"/>
    <w:rsid w:val="005B22D4"/>
    <w:rsid w:val="005C60F1"/>
    <w:rsid w:val="005D1B7E"/>
    <w:rsid w:val="005D274E"/>
    <w:rsid w:val="005D61DB"/>
    <w:rsid w:val="005E0B35"/>
    <w:rsid w:val="005F0ED4"/>
    <w:rsid w:val="00603498"/>
    <w:rsid w:val="00634E1D"/>
    <w:rsid w:val="00640565"/>
    <w:rsid w:val="00651F0F"/>
    <w:rsid w:val="00681E38"/>
    <w:rsid w:val="00694BBD"/>
    <w:rsid w:val="006B1006"/>
    <w:rsid w:val="006B2726"/>
    <w:rsid w:val="006D1584"/>
    <w:rsid w:val="006D1643"/>
    <w:rsid w:val="006E6629"/>
    <w:rsid w:val="006F589F"/>
    <w:rsid w:val="006F68BE"/>
    <w:rsid w:val="00707AFB"/>
    <w:rsid w:val="00725706"/>
    <w:rsid w:val="00762C40"/>
    <w:rsid w:val="00786793"/>
    <w:rsid w:val="00790D2C"/>
    <w:rsid w:val="007935D5"/>
    <w:rsid w:val="007A0FBE"/>
    <w:rsid w:val="007E48CC"/>
    <w:rsid w:val="0080325F"/>
    <w:rsid w:val="008158D3"/>
    <w:rsid w:val="00817E2B"/>
    <w:rsid w:val="00822BE4"/>
    <w:rsid w:val="00841BDF"/>
    <w:rsid w:val="0084609A"/>
    <w:rsid w:val="00846E18"/>
    <w:rsid w:val="00860C01"/>
    <w:rsid w:val="008900A8"/>
    <w:rsid w:val="008955AC"/>
    <w:rsid w:val="008F0364"/>
    <w:rsid w:val="008F7221"/>
    <w:rsid w:val="009113FF"/>
    <w:rsid w:val="00936A53"/>
    <w:rsid w:val="009451B1"/>
    <w:rsid w:val="00945B72"/>
    <w:rsid w:val="00955A02"/>
    <w:rsid w:val="00957799"/>
    <w:rsid w:val="00962045"/>
    <w:rsid w:val="00966622"/>
    <w:rsid w:val="009730FF"/>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E2630"/>
    <w:rsid w:val="00AF399C"/>
    <w:rsid w:val="00AF4347"/>
    <w:rsid w:val="00AF5FE7"/>
    <w:rsid w:val="00AF7545"/>
    <w:rsid w:val="00B14349"/>
    <w:rsid w:val="00B27347"/>
    <w:rsid w:val="00B84243"/>
    <w:rsid w:val="00B84DBD"/>
    <w:rsid w:val="00B95924"/>
    <w:rsid w:val="00B95A0E"/>
    <w:rsid w:val="00BD378C"/>
    <w:rsid w:val="00C02282"/>
    <w:rsid w:val="00C13BA6"/>
    <w:rsid w:val="00C22D3C"/>
    <w:rsid w:val="00CB1A12"/>
    <w:rsid w:val="00CE53AB"/>
    <w:rsid w:val="00CE6182"/>
    <w:rsid w:val="00D02EF1"/>
    <w:rsid w:val="00D176EB"/>
    <w:rsid w:val="00D203FE"/>
    <w:rsid w:val="00D344B2"/>
    <w:rsid w:val="00D60543"/>
    <w:rsid w:val="00D67D80"/>
    <w:rsid w:val="00D7443D"/>
    <w:rsid w:val="00D76757"/>
    <w:rsid w:val="00D806D3"/>
    <w:rsid w:val="00D9648C"/>
    <w:rsid w:val="00D9720E"/>
    <w:rsid w:val="00DB2443"/>
    <w:rsid w:val="00DC1C23"/>
    <w:rsid w:val="00DE529D"/>
    <w:rsid w:val="00E01B4E"/>
    <w:rsid w:val="00E368FB"/>
    <w:rsid w:val="00E4383A"/>
    <w:rsid w:val="00E83C63"/>
    <w:rsid w:val="00EC26A5"/>
    <w:rsid w:val="00EC698B"/>
    <w:rsid w:val="00ED782E"/>
    <w:rsid w:val="00F02021"/>
    <w:rsid w:val="00F10B17"/>
    <w:rsid w:val="00F210CA"/>
    <w:rsid w:val="00F83116"/>
    <w:rsid w:val="00FA5092"/>
    <w:rsid w:val="00FB4221"/>
    <w:rsid w:val="00FB7547"/>
    <w:rsid w:val="00FD55EB"/>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F7545"/>
    <w:rPr>
      <w:color w:val="954F72" w:themeColor="followedHyperlink"/>
      <w:u w:val="single"/>
    </w:rPr>
  </w:style>
  <w:style w:type="character" w:styleId="UnresolvedMention">
    <w:name w:val="Unresolved Mention"/>
    <w:basedOn w:val="DefaultParagraphFont"/>
    <w:uiPriority w:val="99"/>
    <w:semiHidden/>
    <w:unhideWhenUsed/>
    <w:rsid w:val="00FD55EB"/>
    <w:rPr>
      <w:color w:val="605E5C"/>
      <w:shd w:val="clear" w:color="auto" w:fill="E1DFDD"/>
    </w:rPr>
  </w:style>
  <w:style w:type="character" w:styleId="Emphasis">
    <w:name w:val="Emphasis"/>
    <w:basedOn w:val="DefaultParagraphFont"/>
    <w:qFormat/>
    <w:rsid w:val="00E83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1111.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5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1985</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 PRA</dc:creator>
  <cp:keywords/>
  <cp:lastModifiedBy>ACF PRA</cp:lastModifiedBy>
  <cp:revision>7</cp:revision>
  <dcterms:created xsi:type="dcterms:W3CDTF">2022-08-04T18:06:00Z</dcterms:created>
  <dcterms:modified xsi:type="dcterms:W3CDTF">2022-08-10T19:36:00Z</dcterms:modified>
</cp:coreProperties>
</file>