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534E" w:rsidRPr="00CE0FA4" w14:paraId="10153EF6" w14:textId="77777777">
      <w:r w:rsidRPr="00CE0FA4">
        <w:t>Supporting Statement for Paperwork Reduction Act Submissions</w:t>
      </w:r>
    </w:p>
    <w:p w:rsidR="001C1774" w:rsidRPr="00CE0FA4" w14:paraId="10153EF7" w14:textId="3B3D0628">
      <w:pPr>
        <w:rPr>
          <w:color w:val="FF0000"/>
        </w:rPr>
      </w:pPr>
      <w:r w:rsidRPr="00CE0FA4">
        <w:t>New Collection</w:t>
      </w:r>
    </w:p>
    <w:p w:rsidR="00CF534E" w:rsidRPr="00CE0FA4" w14:paraId="10153EF8" w14:textId="27351A41">
      <w:pPr>
        <w:rPr>
          <w:color w:val="FF0000"/>
        </w:rPr>
      </w:pPr>
      <w:r w:rsidRPr="00CE0FA4">
        <w:t>Law Enforcement use of Geophysical Methods</w:t>
      </w:r>
    </w:p>
    <w:p w:rsidR="006C736D" w:rsidRPr="00CE0FA4" w14:paraId="10153EF9" w14:textId="77777777"/>
    <w:p w:rsidR="00CF534E" w:rsidRPr="00CE0FA4" w14:paraId="10153EFA" w14:textId="77777777">
      <w:pPr>
        <w:rPr>
          <w:b/>
          <w:bCs/>
        </w:rPr>
      </w:pPr>
      <w:r w:rsidRPr="00CE0FA4">
        <w:rPr>
          <w:b/>
          <w:bCs/>
        </w:rPr>
        <w:t>OMB Control # 1110-</w:t>
      </w:r>
      <w:r w:rsidRPr="00CE0FA4" w:rsidR="007C6C6B">
        <w:rPr>
          <w:b/>
          <w:bCs/>
        </w:rPr>
        <w:t>xxxx</w:t>
      </w:r>
    </w:p>
    <w:p w:rsidR="00094DE9" w:rsidRPr="00CE0FA4" w14:paraId="10153EFB" w14:textId="77777777"/>
    <w:p w:rsidR="00CF534E" w:rsidRPr="00CE0FA4" w14:paraId="10153EFC" w14:textId="77777777">
      <w:r w:rsidRPr="00CE0FA4">
        <w:t xml:space="preserve">Part A. </w:t>
      </w:r>
      <w:r w:rsidRPr="00CE0FA4" w:rsidR="00A7449B">
        <w:t xml:space="preserve"> </w:t>
      </w:r>
      <w:r w:rsidRPr="00CE0FA4">
        <w:t>Justification</w:t>
      </w:r>
    </w:p>
    <w:p w:rsidR="00CF534E" w:rsidRPr="00CE0FA4" w14:paraId="10153EFD" w14:textId="77777777"/>
    <w:p w:rsidR="00CF534E" w:rsidRPr="00CE0FA4" w:rsidP="005E3BE7" w14:paraId="10153EFE" w14:textId="77777777">
      <w:pPr>
        <w:pStyle w:val="ListParagraph"/>
        <w:numPr>
          <w:ilvl w:val="0"/>
          <w:numId w:val="1"/>
        </w:numPr>
      </w:pPr>
      <w:r w:rsidRPr="00CE0FA4">
        <w:rPr>
          <w:b/>
        </w:rPr>
        <w:t>Necessity of Information</w:t>
      </w:r>
      <w:r w:rsidRPr="00CE0FA4">
        <w:t xml:space="preserve">: </w:t>
      </w:r>
    </w:p>
    <w:p w:rsidR="005E3BE7" w:rsidRPr="00CE0FA4" w:rsidP="005E3BE7" w14:paraId="10153EFF" w14:textId="77777777"/>
    <w:p w:rsidR="00FE4F00" w:rsidRPr="00CE0FA4" w:rsidP="00FE4F00" w14:paraId="1BCBA6EE" w14:textId="505FD5D8">
      <w:pPr>
        <w:widowControl/>
        <w:autoSpaceDE/>
        <w:autoSpaceDN/>
        <w:adjustRightInd/>
      </w:pPr>
      <w:r w:rsidRPr="00CE0FA4">
        <w:t xml:space="preserve">This </w:t>
      </w:r>
      <w:r w:rsidRPr="00CE0FA4" w:rsidR="00396BB8">
        <w:t>questionnaire</w:t>
      </w:r>
      <w:r w:rsidRPr="00CE0FA4">
        <w:t xml:space="preserve"> </w:t>
      </w:r>
      <w:r w:rsidRPr="00CE0FA4" w:rsidR="00C275C4">
        <w:t>will</w:t>
      </w:r>
      <w:r w:rsidRPr="00CE0FA4">
        <w:t xml:space="preserve"> gather information </w:t>
      </w:r>
      <w:r w:rsidRPr="00CE0FA4">
        <w:rPr>
          <w:rFonts w:eastAsia="Times New Roman" w:cstheme="minorHAnsi"/>
          <w:color w:val="000000"/>
        </w:rPr>
        <w:t xml:space="preserve">on law enforcement use of geophysical methods, such as ground penetrating radar (GPR), electrical resistivity, and magnetometry </w:t>
      </w:r>
      <w:r w:rsidRPr="00CE0FA4">
        <w:rPr>
          <w:rFonts w:eastAsia="Times New Roman" w:cstheme="minorHAnsi"/>
        </w:rPr>
        <w:t xml:space="preserve">to detect concealed targets as part of a criminal investigation (for example: homicide graves, drugs, or weapons). </w:t>
      </w:r>
      <w:bookmarkStart w:id="0" w:name="OLE_LINK41"/>
      <w:r w:rsidRPr="00CE0FA4">
        <w:rPr>
          <w:rFonts w:eastAsia="Times New Roman" w:cstheme="minorHAnsi"/>
        </w:rPr>
        <w:t xml:space="preserve">This questionnaire will ask which geophysical methods were used, the suspected targets, survey environment, information on the geophysical service providers </w:t>
      </w:r>
      <w:bookmarkStart w:id="1" w:name="OLE_LINK42"/>
      <w:r w:rsidRPr="00CE0FA4">
        <w:rPr>
          <w:rFonts w:eastAsia="Times New Roman" w:cstheme="minorHAnsi"/>
        </w:rPr>
        <w:t xml:space="preserve">and summaries of one to </w:t>
      </w:r>
      <w:r w:rsidRPr="00CE0FA4" w:rsidR="00CE0FA4">
        <w:rPr>
          <w:rFonts w:eastAsia="Times New Roman" w:cstheme="minorHAnsi"/>
        </w:rPr>
        <w:t>three geophysical</w:t>
      </w:r>
      <w:r w:rsidRPr="00CE0FA4">
        <w:rPr>
          <w:rFonts w:eastAsia="Times New Roman" w:cstheme="minorHAnsi"/>
        </w:rPr>
        <w:t xml:space="preserve"> survey conducted. </w:t>
      </w:r>
      <w:bookmarkEnd w:id="0"/>
      <w:r w:rsidRPr="00CE0FA4">
        <w:rPr>
          <w:rFonts w:eastAsia="Times New Roman" w:cstheme="minorHAnsi"/>
        </w:rPr>
        <w:t xml:space="preserve"> </w:t>
      </w:r>
      <w:bookmarkEnd w:id="1"/>
      <w:r w:rsidRPr="00CE0FA4">
        <w:t xml:space="preserve"> </w:t>
      </w:r>
    </w:p>
    <w:p w:rsidR="001216D9" w:rsidRPr="00CE0FA4" w:rsidP="00BC2ADB" w14:paraId="1E084156" w14:textId="77777777"/>
    <w:p w:rsidR="001216D9" w:rsidRPr="00CE0FA4" w:rsidP="001216D9" w14:paraId="25DB669C" w14:textId="1FBDC01A">
      <w:r w:rsidRPr="00CE0FA4">
        <w:t xml:space="preserve">The participants will be solicited through law enforcement associations such as the FBI National Academy Associates. The </w:t>
      </w:r>
      <w:r w:rsidRPr="00CE0FA4" w:rsidR="003B4414">
        <w:t>questionnaire</w:t>
      </w:r>
      <w:r w:rsidRPr="00CE0FA4">
        <w:t xml:space="preserve"> will be administered through FBI.gov. </w:t>
      </w:r>
      <w:bookmarkStart w:id="2" w:name="_Hlk102371563"/>
      <w:r w:rsidRPr="00CE0FA4">
        <w:t>Participants are not required to provide identifying information or their affiliation.</w:t>
      </w:r>
      <w:bookmarkEnd w:id="2"/>
      <w:r w:rsidRPr="00CE0FA4">
        <w:t xml:space="preserve"> </w:t>
      </w:r>
      <w:bookmarkStart w:id="3" w:name="_Hlk102372374"/>
      <w:bookmarkStart w:id="4" w:name="_Hlk102372127"/>
      <w:r w:rsidRPr="00CE0FA4">
        <w:t xml:space="preserve">If the participant chooses to provide this information, it will only be used to for potential follow up questions and to account for multiple reports from participants from the same law enforcement organization. </w:t>
      </w:r>
      <w:bookmarkStart w:id="5" w:name="_Hlk102372094"/>
      <w:bookmarkEnd w:id="3"/>
      <w:r w:rsidRPr="00CE0FA4">
        <w:t xml:space="preserve">All identifying information and institutional affiliations will be restricted to the study’s leaders. </w:t>
      </w:r>
      <w:bookmarkEnd w:id="4"/>
      <w:bookmarkEnd w:id="5"/>
      <w:r w:rsidRPr="00CE0FA4" w:rsidR="002A49A6">
        <w:t>There are no apparent legal or administrative requirements that necessitate the collection.</w:t>
      </w:r>
    </w:p>
    <w:p w:rsidR="005E3BE7" w:rsidRPr="00CE0FA4" w:rsidP="005E3BE7" w14:paraId="10153F01" w14:textId="77777777">
      <w:pPr>
        <w:rPr>
          <w:rStyle w:val="xdtextbox1"/>
          <w:bdr w:val="none" w:sz="0" w:space="0" w:color="auto" w:frame="1"/>
        </w:rPr>
      </w:pPr>
    </w:p>
    <w:p w:rsidR="00CF534E" w:rsidRPr="00CE0FA4" w14:paraId="10153F02" w14:textId="77777777">
      <w:pPr>
        <w:rPr>
          <w:b/>
        </w:rPr>
      </w:pPr>
      <w:r w:rsidRPr="00CE0FA4">
        <w:rPr>
          <w:b/>
        </w:rPr>
        <w:t xml:space="preserve">2.  Needs </w:t>
      </w:r>
      <w:r w:rsidRPr="00CE0FA4" w:rsidR="00C138A6">
        <w:rPr>
          <w:b/>
        </w:rPr>
        <w:t>and Uses:</w:t>
      </w:r>
    </w:p>
    <w:p w:rsidR="00CF534E" w:rsidRPr="00CE0FA4" w14:paraId="10153F03" w14:textId="77777777"/>
    <w:p w:rsidR="0083329A" w:rsidRPr="00CE0FA4" w:rsidP="0083329A" w14:paraId="16291F2A" w14:textId="13C9AD6E">
      <w:pPr>
        <w:rPr>
          <w:rStyle w:val="xdtextbox1"/>
          <w:bdr w:val="none" w:sz="0" w:space="0" w:color="auto" w:frame="1"/>
        </w:rPr>
      </w:pPr>
      <w:r w:rsidRPr="00CE0FA4">
        <w:t>The FBI Laboratory Division will</w:t>
      </w:r>
      <w:r w:rsidRPr="00CE0FA4">
        <w:t xml:space="preserve"> </w:t>
      </w:r>
      <w:r w:rsidRPr="00CE0FA4" w:rsidR="00ED5854">
        <w:t xml:space="preserve">have the questionnaire available on FBI.gov for </w:t>
      </w:r>
      <w:r w:rsidRPr="00CE0FA4" w:rsidR="009A3D0D">
        <w:t>active and</w:t>
      </w:r>
      <w:r w:rsidRPr="00CE0FA4" w:rsidR="00827D3E">
        <w:t>/</w:t>
      </w:r>
      <w:r w:rsidRPr="00CE0FA4" w:rsidR="009A3D0D">
        <w:t>or retired personnel in</w:t>
      </w:r>
      <w:r w:rsidRPr="00CE0FA4" w:rsidR="00ED5854">
        <w:t xml:space="preserve"> </w:t>
      </w:r>
      <w:bookmarkStart w:id="6" w:name="OLE_LINK3"/>
      <w:r w:rsidRPr="00CE0FA4" w:rsidR="00ED5854">
        <w:t>federal, state, local or tri</w:t>
      </w:r>
      <w:r w:rsidRPr="00CE0FA4" w:rsidR="002F41CC">
        <w:t>b</w:t>
      </w:r>
      <w:r w:rsidRPr="00CE0FA4" w:rsidR="00ED5854">
        <w:t>al</w:t>
      </w:r>
      <w:r w:rsidRPr="00CE0FA4" w:rsidR="00CE577E">
        <w:t xml:space="preserve"> law enforcement</w:t>
      </w:r>
      <w:r w:rsidRPr="00CE0FA4" w:rsidR="00ED5854">
        <w:t xml:space="preserve">. </w:t>
      </w:r>
      <w:bookmarkEnd w:id="6"/>
      <w:r w:rsidRPr="00CE0FA4" w:rsidR="00ED5854">
        <w:t xml:space="preserve">The </w:t>
      </w:r>
      <w:r w:rsidRPr="00CE0FA4">
        <w:t>compile</w:t>
      </w:r>
      <w:r w:rsidRPr="00CE0FA4" w:rsidR="00ED5854">
        <w:t>d</w:t>
      </w:r>
      <w:r w:rsidRPr="00CE0FA4">
        <w:t xml:space="preserve"> results in this study </w:t>
      </w:r>
      <w:r w:rsidRPr="00CE0FA4">
        <w:t xml:space="preserve">which </w:t>
      </w:r>
      <w:r w:rsidRPr="00CE0FA4" w:rsidR="00562DF4">
        <w:t>will be used</w:t>
      </w:r>
      <w:r w:rsidRPr="00CE0FA4">
        <w:t xml:space="preserve"> to </w:t>
      </w:r>
      <w:r w:rsidRPr="00CE0FA4" w:rsidR="004B0B15">
        <w:t xml:space="preserve">understand </w:t>
      </w:r>
      <w:r w:rsidRPr="00CE0FA4">
        <w:t xml:space="preserve">recommend </w:t>
      </w:r>
      <w:r w:rsidRPr="00CE0FA4" w:rsidR="004F640E">
        <w:t>the applications of</w:t>
      </w:r>
      <w:r w:rsidRPr="00CE0FA4">
        <w:t xml:space="preserve"> geophysical methods by law enforcement</w:t>
      </w:r>
      <w:r w:rsidRPr="00CE0FA4" w:rsidR="004F640E">
        <w:t xml:space="preserve"> in search of concealed targets</w:t>
      </w:r>
      <w:r w:rsidRPr="00CE0FA4">
        <w:t xml:space="preserve">. Results may be published in a scientific journal and/or law enforcement journal but anonymity of participants will be preserved. </w:t>
      </w:r>
    </w:p>
    <w:p w:rsidR="00BC2ADB" w:rsidRPr="00CE0FA4" w:rsidP="007C6C6B" w14:paraId="2C96F92C" w14:textId="77777777">
      <w:pPr>
        <w:rPr>
          <w:color w:val="FF0000"/>
        </w:rPr>
      </w:pPr>
    </w:p>
    <w:p w:rsidR="00051326" w:rsidRPr="00CE0FA4" w:rsidP="007C6C6B" w14:paraId="10153F05" w14:textId="77777777"/>
    <w:p w:rsidR="00CF534E" w:rsidRPr="00CE0FA4" w14:paraId="10153F06" w14:textId="77777777">
      <w:r w:rsidRPr="00CE0FA4">
        <w:rPr>
          <w:b/>
        </w:rPr>
        <w:t>3.  Use of Technology</w:t>
      </w:r>
      <w:r w:rsidRPr="00CE0FA4">
        <w:t>:</w:t>
      </w:r>
    </w:p>
    <w:p w:rsidR="00CF534E" w:rsidRPr="00CE0FA4" w14:paraId="10153F07" w14:textId="77777777"/>
    <w:p w:rsidR="00C246C0" w:rsidRPr="00CE0FA4" w14:paraId="546045C4" w14:textId="75AED3F9">
      <w:r w:rsidRPr="00CE0FA4">
        <w:t xml:space="preserve">This </w:t>
      </w:r>
      <w:r w:rsidRPr="00CE0FA4" w:rsidR="003B4414">
        <w:t>questionnaire</w:t>
      </w:r>
      <w:r w:rsidRPr="00CE0FA4">
        <w:t xml:space="preserve"> will be deployed </w:t>
      </w:r>
      <w:r w:rsidRPr="00CE0FA4" w:rsidR="00177A18">
        <w:t>using the FBI.gov</w:t>
      </w:r>
      <w:r w:rsidRPr="00CE0FA4" w:rsidR="00964691">
        <w:t xml:space="preserve"> web</w:t>
      </w:r>
      <w:r w:rsidRPr="00CE0FA4" w:rsidR="00177A18">
        <w:t>site</w:t>
      </w:r>
      <w:r w:rsidRPr="00CE0FA4" w:rsidR="00964691">
        <w:t>.</w:t>
      </w:r>
    </w:p>
    <w:p w:rsidR="00E5771F" w:rsidRPr="00CE0FA4" w14:paraId="10153F09" w14:textId="77777777"/>
    <w:p w:rsidR="00CF534E" w:rsidRPr="00CE0FA4" w14:paraId="10153F0A" w14:textId="77777777">
      <w:pPr>
        <w:sectPr w:rsidSect="00AF134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0" w:footer="1354" w:gutter="0"/>
          <w:cols w:space="720"/>
          <w:noEndnote/>
        </w:sectPr>
      </w:pPr>
    </w:p>
    <w:p w:rsidR="00CF534E" w:rsidRPr="00CE0FA4" w14:paraId="10153F0B" w14:textId="77777777">
      <w:pPr>
        <w:rPr>
          <w:b/>
        </w:rPr>
      </w:pPr>
      <w:r w:rsidRPr="00CE0FA4">
        <w:rPr>
          <w:b/>
        </w:rPr>
        <w:t>4.  Efforts to Identify Duplication:</w:t>
      </w:r>
    </w:p>
    <w:p w:rsidR="00CF534E" w:rsidRPr="00CE0FA4" w14:paraId="10153F0C" w14:textId="77777777"/>
    <w:p w:rsidR="00E5771F" w:rsidRPr="00CE0FA4" w14:paraId="10153F0D" w14:textId="38F184C5">
      <w:r w:rsidRPr="00CE0FA4">
        <w:t xml:space="preserve">We are unaware of any </w:t>
      </w:r>
      <w:r w:rsidRPr="00CE0FA4" w:rsidR="009C1331">
        <w:t xml:space="preserve">similar </w:t>
      </w:r>
      <w:r w:rsidRPr="00CE0FA4" w:rsidR="00A060A3">
        <w:t>questionnaires</w:t>
      </w:r>
      <w:r w:rsidRPr="00CE0FA4" w:rsidR="009C1331">
        <w:t xml:space="preserve"> </w:t>
      </w:r>
      <w:r w:rsidRPr="00CE0FA4" w:rsidR="00DF08AB">
        <w:t>on this topic</w:t>
      </w:r>
      <w:r w:rsidRPr="00CE0FA4" w:rsidR="009C1331">
        <w:t>.</w:t>
      </w:r>
    </w:p>
    <w:p w:rsidR="009D63B1" w:rsidRPr="00CE0FA4" w14:paraId="10153F0E" w14:textId="77777777">
      <w:pPr>
        <w:rPr>
          <w:color w:val="FF0000"/>
        </w:rPr>
      </w:pPr>
      <w:r w:rsidRPr="00CE0FA4">
        <w:rPr>
          <w:color w:val="FF0000"/>
        </w:rPr>
        <w:t xml:space="preserve"> </w:t>
      </w:r>
    </w:p>
    <w:p w:rsidR="00CF534E" w:rsidRPr="00CE0FA4" w14:paraId="10153F0F" w14:textId="77777777">
      <w:r w:rsidRPr="00CE0FA4">
        <w:rPr>
          <w:b/>
        </w:rPr>
        <w:t>5.   Methods to Minimize Burden on Small Businesses</w:t>
      </w:r>
      <w:r w:rsidRPr="00CE0FA4">
        <w:t>:</w:t>
      </w:r>
    </w:p>
    <w:p w:rsidR="00CF534E" w:rsidRPr="00CE0FA4" w14:paraId="10153F10" w14:textId="77777777"/>
    <w:p w:rsidR="00CF534E" w:rsidRPr="00CE0FA4" w14:paraId="10153F11" w14:textId="1B5CF4C9">
      <w:r w:rsidRPr="00CE0FA4">
        <w:t>N</w:t>
      </w:r>
      <w:r w:rsidRPr="00CE0FA4" w:rsidR="00916DB6">
        <w:t xml:space="preserve">ot </w:t>
      </w:r>
      <w:r w:rsidRPr="00CE0FA4">
        <w:t>A</w:t>
      </w:r>
      <w:r w:rsidRPr="00CE0FA4" w:rsidR="00916DB6">
        <w:t>pplicable</w:t>
      </w:r>
    </w:p>
    <w:p w:rsidR="00E5771F" w:rsidRPr="00CE0FA4" w14:paraId="10153F12" w14:textId="77777777"/>
    <w:p w:rsidR="00CF534E" w:rsidRPr="00CE0FA4" w14:paraId="10153F13" w14:textId="77777777">
      <w:r w:rsidRPr="00CE0FA4">
        <w:rPr>
          <w:b/>
        </w:rPr>
        <w:t>6.  Consequences of Less Frequent Collection</w:t>
      </w:r>
      <w:r w:rsidRPr="00CE0FA4">
        <w:t>:</w:t>
      </w:r>
    </w:p>
    <w:p w:rsidR="00CF534E" w:rsidRPr="00CE0FA4" w:rsidP="006709C9" w14:paraId="10153F14" w14:textId="77777777">
      <w:pPr>
        <w:ind w:firstLine="720"/>
      </w:pPr>
    </w:p>
    <w:p w:rsidR="008E5FC0" w:rsidRPr="00CE0FA4" w14:paraId="33C27B17" w14:textId="70299F76">
      <w:bookmarkStart w:id="7" w:name="OLE_LINK1"/>
      <w:r w:rsidRPr="00CE0FA4">
        <w:t>Applicatio</w:t>
      </w:r>
      <w:r w:rsidRPr="00CE0FA4" w:rsidR="00E2448A">
        <w:t>n</w:t>
      </w:r>
      <w:r w:rsidRPr="00CE0FA4" w:rsidR="009946F0">
        <w:t xml:space="preserve">s </w:t>
      </w:r>
      <w:r w:rsidRPr="00CE0FA4">
        <w:t xml:space="preserve">of the result of this </w:t>
      </w:r>
      <w:r w:rsidRPr="00CE0FA4" w:rsidR="003338D5">
        <w:t>questionnaire</w:t>
      </w:r>
      <w:r w:rsidRPr="00CE0FA4">
        <w:t xml:space="preserve"> coul</w:t>
      </w:r>
      <w:r w:rsidRPr="00CE0FA4" w:rsidR="009946F0">
        <w:t>d</w:t>
      </w:r>
      <w:r w:rsidRPr="00CE0FA4">
        <w:t xml:space="preserve"> make </w:t>
      </w:r>
      <w:r w:rsidRPr="00CE0FA4" w:rsidR="0096260A">
        <w:t xml:space="preserve">use of geophysics </w:t>
      </w:r>
      <w:r w:rsidRPr="00CE0FA4" w:rsidR="003338D5">
        <w:t>for law enforcement</w:t>
      </w:r>
      <w:r w:rsidRPr="00CE0FA4" w:rsidR="00E02210">
        <w:t xml:space="preserve"> missions</w:t>
      </w:r>
      <w:r w:rsidRPr="00CE0FA4" w:rsidR="0096260A">
        <w:t xml:space="preserve"> </w:t>
      </w:r>
      <w:r w:rsidRPr="00CE0FA4" w:rsidR="009946F0">
        <w:t>more</w:t>
      </w:r>
      <w:r w:rsidRPr="00CE0FA4" w:rsidR="0096260A">
        <w:t xml:space="preserve"> effective</w:t>
      </w:r>
      <w:r w:rsidRPr="00CE0FA4" w:rsidR="009946F0">
        <w:t xml:space="preserve">; not conducting this </w:t>
      </w:r>
      <w:r w:rsidRPr="00CE0FA4" w:rsidR="00E02210">
        <w:t xml:space="preserve">questionnaire </w:t>
      </w:r>
      <w:r w:rsidRPr="00CE0FA4" w:rsidR="009946F0">
        <w:t xml:space="preserve">could </w:t>
      </w:r>
      <w:r w:rsidRPr="00CE0FA4" w:rsidR="00E2448A">
        <w:t>increase costs to law enforcement due to inefficiency.</w:t>
      </w:r>
    </w:p>
    <w:bookmarkEnd w:id="7"/>
    <w:p w:rsidR="00E5771F" w:rsidRPr="00CE0FA4" w14:paraId="10153F16" w14:textId="77777777">
      <w:pPr>
        <w:rPr>
          <w:color w:val="FF0000"/>
        </w:rPr>
      </w:pPr>
    </w:p>
    <w:p w:rsidR="00E5771F" w:rsidRPr="00CE0FA4" w14:paraId="10153F18" w14:textId="77777777"/>
    <w:p w:rsidR="00CF534E" w:rsidRPr="00CE0FA4" w14:paraId="10153F19" w14:textId="77777777">
      <w:pPr>
        <w:rPr>
          <w:b/>
        </w:rPr>
      </w:pPr>
      <w:r w:rsidRPr="00CE0FA4">
        <w:rPr>
          <w:b/>
        </w:rPr>
        <w:t>7.  Special Circumstances Influencing Collection:</w:t>
      </w:r>
    </w:p>
    <w:p w:rsidR="00413806" w:rsidRPr="00CE0FA4" w:rsidP="009D63B1" w14:paraId="6289637F" w14:textId="77777777">
      <w:pPr>
        <w:rPr>
          <w:color w:val="FF0000"/>
        </w:rPr>
      </w:pPr>
    </w:p>
    <w:p w:rsidR="00413806" w:rsidRPr="00CE0FA4" w:rsidP="009D63B1" w14:paraId="5CE317CF" w14:textId="51030D16">
      <w:pPr>
        <w:rPr>
          <w:color w:val="FF0000"/>
        </w:rPr>
      </w:pPr>
      <w:r w:rsidRPr="00CE0FA4">
        <w:t xml:space="preserve">None of these circumstances </w:t>
      </w:r>
      <w:r w:rsidRPr="00CE0FA4" w:rsidR="00520F9F">
        <w:t xml:space="preserve">apply to this </w:t>
      </w:r>
      <w:r w:rsidRPr="00CE0FA4" w:rsidR="00E23081">
        <w:t>questionnaire</w:t>
      </w:r>
      <w:r w:rsidRPr="00CE0FA4" w:rsidR="00520F9F">
        <w:t>.</w:t>
      </w:r>
    </w:p>
    <w:p w:rsidR="00FE2EFF" w:rsidRPr="00CE0FA4" w:rsidP="009D63B1" w14:paraId="10153F1C" w14:textId="77777777"/>
    <w:p w:rsidR="00CF534E" w:rsidRPr="00CE0FA4" w14:paraId="10153F1D" w14:textId="77777777">
      <w:pPr>
        <w:rPr>
          <w:b/>
        </w:rPr>
      </w:pPr>
      <w:r w:rsidRPr="00CE0FA4">
        <w:rPr>
          <w:b/>
        </w:rPr>
        <w:t>8.  Public Comments and Consultations:</w:t>
      </w:r>
    </w:p>
    <w:p w:rsidR="00E5771F" w:rsidRPr="00CE0FA4" w:rsidP="00E5771F" w14:paraId="10153F1E" w14:textId="77777777">
      <w:pPr>
        <w:pStyle w:val="Default"/>
      </w:pPr>
    </w:p>
    <w:p w:rsidR="00E5771F" w:rsidRPr="00CE0FA4" w14:paraId="10153F20" w14:textId="77777777">
      <w:pPr>
        <w:rPr>
          <w:b/>
        </w:rPr>
      </w:pPr>
    </w:p>
    <w:p w:rsidR="00CF534E" w:rsidRPr="00CE0FA4" w14:paraId="10153F21" w14:textId="79F54619">
      <w:r w:rsidRPr="00CE0FA4">
        <w:t xml:space="preserve">This </w:t>
      </w:r>
      <w:r w:rsidRPr="00CE0FA4" w:rsidR="00E23081">
        <w:t>questionnaire</w:t>
      </w:r>
      <w:r w:rsidRPr="00CE0FA4">
        <w:t xml:space="preserve"> has not </w:t>
      </w:r>
      <w:r w:rsidRPr="00CE0FA4" w:rsidR="00E66A7B">
        <w:t>been</w:t>
      </w:r>
      <w:r w:rsidRPr="00CE0FA4">
        <w:t xml:space="preserve"> published for public comment. </w:t>
      </w:r>
    </w:p>
    <w:p w:rsidR="007941C2" w:rsidRPr="00CE0FA4" w14:paraId="5BB7F3C6" w14:textId="77777777"/>
    <w:p w:rsidR="00CF534E" w:rsidRPr="00CE0FA4" w14:paraId="10153F22" w14:textId="77777777">
      <w:r w:rsidRPr="00CE0FA4">
        <w:rPr>
          <w:b/>
        </w:rPr>
        <w:t>9.  Payment of Gift to Claimants</w:t>
      </w:r>
      <w:r w:rsidRPr="00CE0FA4">
        <w:t>:</w:t>
      </w:r>
    </w:p>
    <w:p w:rsidR="00CF534E" w:rsidRPr="00CE0FA4" w14:paraId="10153F23" w14:textId="77777777"/>
    <w:p w:rsidR="00E66A7B" w:rsidRPr="00CE0FA4" w14:paraId="344B17CB" w14:textId="77777777">
      <w:pPr>
        <w:rPr>
          <w:color w:val="FF0000"/>
        </w:rPr>
      </w:pPr>
    </w:p>
    <w:p w:rsidR="00E5771F" w:rsidRPr="00CE0FA4" w14:paraId="10153F25" w14:textId="7D9A6DE3">
      <w:r w:rsidRPr="00CE0FA4">
        <w:t>There are no gifts or payments to respondents.</w:t>
      </w:r>
    </w:p>
    <w:p w:rsidR="0029324E" w:rsidRPr="00CE0FA4" w14:paraId="6A26B3E2" w14:textId="77777777"/>
    <w:p w:rsidR="00CF534E" w:rsidRPr="00CE0FA4" w14:paraId="10153F26" w14:textId="77777777">
      <w:r w:rsidRPr="00CE0FA4">
        <w:rPr>
          <w:b/>
        </w:rPr>
        <w:t>10.  Assurance of Confidentiality</w:t>
      </w:r>
      <w:r w:rsidRPr="00CE0FA4">
        <w:t>:</w:t>
      </w:r>
    </w:p>
    <w:p w:rsidR="00CF534E" w:rsidRPr="00CE0FA4" w14:paraId="10153F27" w14:textId="77777777"/>
    <w:p w:rsidR="0029324E" w:rsidRPr="00CE0FA4" w14:paraId="63FC3CC7" w14:textId="77777777">
      <w:pPr>
        <w:rPr>
          <w:color w:val="FF0000"/>
        </w:rPr>
      </w:pPr>
    </w:p>
    <w:p w:rsidR="0029324E" w:rsidRPr="00CE0FA4" w14:paraId="506274A1" w14:textId="1829E307">
      <w:pPr>
        <w:rPr>
          <w:color w:val="FF0000"/>
        </w:rPr>
      </w:pPr>
      <w:r w:rsidRPr="00CE0FA4">
        <w:t xml:space="preserve">Disclosure of contact information of participants is entirely voluntary. </w:t>
      </w:r>
    </w:p>
    <w:p w:rsidR="00C03063" w:rsidRPr="00CE0FA4" w14:paraId="10153F29" w14:textId="77777777"/>
    <w:p w:rsidR="00C03063" w:rsidRPr="00CE0FA4" w14:paraId="10153F2A" w14:textId="77777777">
      <w:pPr>
        <w:sectPr>
          <w:type w:val="continuous"/>
          <w:pgSz w:w="12240" w:h="15840"/>
          <w:pgMar w:top="1440" w:right="1440" w:bottom="1350" w:left="1440" w:header="1440" w:footer="1350" w:gutter="0"/>
          <w:cols w:space="720"/>
          <w:noEndnote/>
        </w:sectPr>
      </w:pPr>
    </w:p>
    <w:p w:rsidR="00CF534E" w:rsidRPr="00CE0FA4" w14:paraId="10153F2B" w14:textId="77777777">
      <w:pPr>
        <w:rPr>
          <w:b/>
        </w:rPr>
      </w:pPr>
      <w:r w:rsidRPr="00CE0FA4">
        <w:rPr>
          <w:b/>
        </w:rPr>
        <w:t>11.  Justification for Sensitive Questions:</w:t>
      </w:r>
    </w:p>
    <w:p w:rsidR="006221F2" w:rsidRPr="00CE0FA4" w14:paraId="78E8D737" w14:textId="77777777">
      <w:pPr>
        <w:rPr>
          <w:color w:val="FF0000"/>
        </w:rPr>
      </w:pPr>
    </w:p>
    <w:p w:rsidR="006221F2" w:rsidRPr="00CE0FA4" w14:paraId="59291F32" w14:textId="59F57CD6">
      <w:pPr>
        <w:rPr>
          <w:color w:val="FF0000"/>
        </w:rPr>
      </w:pPr>
      <w:r w:rsidRPr="00CE0FA4">
        <w:t>None of t</w:t>
      </w:r>
      <w:r w:rsidRPr="00CE0FA4" w:rsidR="004565D2">
        <w:t>he questions within the</w:t>
      </w:r>
      <w:r w:rsidRPr="00CE0FA4">
        <w:t xml:space="preserve"> </w:t>
      </w:r>
      <w:r w:rsidRPr="00CE0FA4" w:rsidR="00022845">
        <w:t>questionnaire</w:t>
      </w:r>
      <w:r w:rsidRPr="00CE0FA4">
        <w:t xml:space="preserve"> are sensitive in nature as described above. </w:t>
      </w:r>
    </w:p>
    <w:p w:rsidR="00FD5F0A" w:rsidRPr="00CE0FA4" w14:paraId="10153F2E" w14:textId="77777777"/>
    <w:p w:rsidR="00FD5F0A" w:rsidRPr="00CE0FA4" w14:paraId="10153F2F" w14:textId="77777777">
      <w:pPr>
        <w:rPr>
          <w:b/>
        </w:rPr>
      </w:pPr>
      <w:r w:rsidRPr="00CE0FA4">
        <w:rPr>
          <w:b/>
        </w:rPr>
        <w:t>1</w:t>
      </w:r>
      <w:r w:rsidRPr="00CE0FA4" w:rsidR="00B50EA9">
        <w:rPr>
          <w:b/>
        </w:rPr>
        <w:t>2.  Estimate of Hour Burden:</w:t>
      </w:r>
    </w:p>
    <w:p w:rsidR="00CF534E" w:rsidRPr="00CE0FA4" w:rsidP="00C138A6" w14:paraId="10153F35" w14:textId="77777777">
      <w:pPr>
        <w:tabs>
          <w:tab w:val="left" w:pos="2625"/>
        </w:tabs>
      </w:pPr>
      <w:r w:rsidRPr="00CE0FA4">
        <w:tab/>
      </w:r>
    </w:p>
    <w:p w:rsidR="00CF534E" w:rsidRPr="00CE0FA4" w14:paraId="10153F36" w14:textId="704E7DA6">
      <w:r w:rsidRPr="00CE0FA4">
        <w:t>Number of respondents</w:t>
      </w:r>
      <w:r w:rsidRPr="00CE0FA4" w:rsidR="001F3FA7">
        <w:t xml:space="preserve"> -100</w:t>
      </w:r>
      <w:r w:rsidRPr="00CE0FA4">
        <w:tab/>
      </w:r>
    </w:p>
    <w:p w:rsidR="00CF534E" w:rsidRPr="00CE0FA4" w14:paraId="10153F37" w14:textId="0F995B9E">
      <w:r w:rsidRPr="00CE0FA4">
        <w:t>Frequency of response</w:t>
      </w:r>
      <w:r w:rsidRPr="00CE0FA4" w:rsidR="004F1991">
        <w:t xml:space="preserve"> </w:t>
      </w:r>
      <w:r w:rsidRPr="00CE0FA4" w:rsidR="001F3FA7">
        <w:t>- 1</w:t>
      </w:r>
      <w:r w:rsidRPr="00CE0FA4">
        <w:tab/>
      </w:r>
    </w:p>
    <w:p w:rsidR="00CF534E" w:rsidRPr="00CE0FA4" w14:paraId="10153F38" w14:textId="1EBF4161">
      <w:r w:rsidRPr="00CE0FA4">
        <w:t>Total annual responses</w:t>
      </w:r>
      <w:r w:rsidRPr="00CE0FA4" w:rsidR="004F1991">
        <w:t xml:space="preserve"> </w:t>
      </w:r>
      <w:r w:rsidRPr="00CE0FA4" w:rsidR="001F3FA7">
        <w:t>-</w:t>
      </w:r>
      <w:r w:rsidRPr="00CE0FA4" w:rsidR="001F448C">
        <w:t xml:space="preserve"> 1</w:t>
      </w:r>
    </w:p>
    <w:p w:rsidR="00CF534E" w:rsidRPr="00CE0FA4" w14:paraId="10153F39" w14:textId="54377D16">
      <w:r w:rsidRPr="00CE0FA4">
        <w:t>Minutes per response</w:t>
      </w:r>
      <w:r w:rsidRPr="00CE0FA4" w:rsidR="004F1991">
        <w:t xml:space="preserve"> </w:t>
      </w:r>
      <w:r w:rsidRPr="00CE0FA4" w:rsidR="001F448C">
        <w:t>– 10-15 minutes</w:t>
      </w:r>
    </w:p>
    <w:p w:rsidR="00CF534E" w:rsidRPr="00CE0FA4" w14:paraId="10153F3A" w14:textId="0CA62846">
      <w:r w:rsidRPr="00CE0FA4">
        <w:t>Annual hour burden</w:t>
      </w:r>
      <w:r w:rsidRPr="00CE0FA4" w:rsidR="001F448C">
        <w:t xml:space="preserve"> – 25 hours</w:t>
      </w:r>
      <w:r w:rsidRPr="00CE0FA4">
        <w:tab/>
      </w:r>
      <w:r w:rsidRPr="00CE0FA4">
        <w:tab/>
      </w:r>
    </w:p>
    <w:p w:rsidR="00CF534E" w:rsidRPr="00CE0FA4" w14:paraId="10153F3B" w14:textId="77777777"/>
    <w:p w:rsidR="00CF534E" w:rsidRPr="00CE0FA4" w14:paraId="10153F3C" w14:textId="77777777">
      <w:pPr>
        <w:rPr>
          <w:b/>
        </w:rPr>
      </w:pPr>
      <w:r w:rsidRPr="00CE0FA4">
        <w:rPr>
          <w:b/>
        </w:rPr>
        <w:t>13.  Estimate of Cost Burden:</w:t>
      </w:r>
    </w:p>
    <w:p w:rsidR="00CF534E" w:rsidRPr="00CE0FA4" w14:paraId="10153F3D" w14:textId="77777777"/>
    <w:p w:rsidR="002514B4" w:rsidRPr="00CE0FA4" w:rsidP="002514B4" w14:paraId="745C2C4E" w14:textId="77777777">
      <w:pPr>
        <w:rPr>
          <w:color w:val="FF0000"/>
        </w:rPr>
      </w:pPr>
      <w:r w:rsidRPr="00CE0FA4">
        <w:rPr>
          <w:rFonts w:eastAsia="Times New Roman"/>
          <w:color w:val="000000"/>
          <w:bdr w:val="none" w:sz="0" w:space="0" w:color="auto" w:frame="1"/>
          <w:shd w:val="clear" w:color="auto" w:fill="FFFFFF"/>
        </w:rPr>
        <w:t>Respondents will not incur any costs other than their time to respond. Respondents will not incur any capital, start up, or system maintenance costs associated with this information collection.</w:t>
      </w:r>
    </w:p>
    <w:p w:rsidR="001F448C" w:rsidRPr="00CE0FA4" w14:paraId="1B8ECCC3" w14:textId="77777777">
      <w:pPr>
        <w:rPr>
          <w:color w:val="FF0000"/>
        </w:rPr>
      </w:pPr>
    </w:p>
    <w:p w:rsidR="00FD5F0A" w:rsidRPr="00CE0FA4" w14:paraId="10153F3F" w14:textId="77777777"/>
    <w:p w:rsidR="00CF534E" w:rsidRPr="00CE0FA4" w14:paraId="10153F40" w14:textId="77777777">
      <w:pPr>
        <w:rPr>
          <w:b/>
        </w:rPr>
      </w:pPr>
      <w:r w:rsidRPr="00CE0FA4">
        <w:rPr>
          <w:b/>
        </w:rPr>
        <w:t>14.  Estimated Annualized Costs to Federal Government:</w:t>
      </w:r>
    </w:p>
    <w:p w:rsidR="00CF534E" w:rsidRPr="00CE0FA4" w14:paraId="10153F41" w14:textId="77777777"/>
    <w:p w:rsidR="00ED5DC0" w:rsidRPr="00CE0FA4" w:rsidP="00FD5F0A" w14:paraId="3E9314FE" w14:textId="77777777">
      <w:pPr>
        <w:pStyle w:val="Default"/>
        <w:rPr>
          <w:rFonts w:ascii="Times New Roman" w:hAnsi="Times New Roman" w:cs="Times New Roman"/>
          <w:color w:val="FF0000"/>
          <w:szCs w:val="23"/>
        </w:rPr>
      </w:pPr>
    </w:p>
    <w:tbl>
      <w:tblPr>
        <w:tblStyle w:val="TableGrid"/>
        <w:tblW w:w="0" w:type="auto"/>
        <w:tblLook w:val="04A0"/>
      </w:tblPr>
      <w:tblGrid>
        <w:gridCol w:w="3865"/>
        <w:gridCol w:w="4230"/>
        <w:gridCol w:w="1255"/>
      </w:tblGrid>
      <w:tr w14:paraId="68D8212F" w14:textId="77777777" w:rsidTr="003D2860">
        <w:tblPrEx>
          <w:tblW w:w="0" w:type="auto"/>
          <w:tblLook w:val="04A0"/>
        </w:tblPrEx>
        <w:trPr>
          <w:trHeight w:val="485"/>
        </w:trPr>
        <w:tc>
          <w:tcPr>
            <w:tcW w:w="3865" w:type="dxa"/>
          </w:tcPr>
          <w:p w:rsidR="00EB74D6" w:rsidRPr="00CE0FA4" w:rsidP="0085240E" w14:paraId="206EF6FC" w14:textId="6751C466">
            <w:pPr>
              <w:rPr>
                <w:bdr w:val="none" w:sz="0" w:space="0" w:color="auto" w:frame="1"/>
                <w:shd w:val="clear" w:color="auto" w:fill="FFFFFF"/>
              </w:rPr>
            </w:pPr>
            <w:bookmarkStart w:id="8" w:name="OLE_LINK20"/>
            <w:r w:rsidRPr="00CE0FA4">
              <w:rPr>
                <w:bdr w:val="none" w:sz="0" w:space="0" w:color="auto" w:frame="1"/>
                <w:shd w:val="clear" w:color="auto" w:fill="FFFFFF"/>
              </w:rPr>
              <w:t>Total Annualized capital/startup costs</w:t>
            </w:r>
          </w:p>
        </w:tc>
        <w:tc>
          <w:tcPr>
            <w:tcW w:w="4230" w:type="dxa"/>
          </w:tcPr>
          <w:p w:rsidR="00EB74D6" w:rsidRPr="00CE0FA4" w:rsidP="0085240E" w14:paraId="13BE3F4B" w14:textId="5EAFF681">
            <w:r w:rsidRPr="00CE0FA4">
              <w:t>Startup cost component</w:t>
            </w:r>
          </w:p>
        </w:tc>
        <w:tc>
          <w:tcPr>
            <w:tcW w:w="1255" w:type="dxa"/>
          </w:tcPr>
          <w:p w:rsidR="00EB74D6" w:rsidRPr="00CE0FA4" w:rsidP="0085240E" w14:paraId="5C05E2BC" w14:textId="28E27C10">
            <w:r w:rsidRPr="00CE0FA4">
              <w:t>$0</w:t>
            </w:r>
          </w:p>
        </w:tc>
      </w:tr>
      <w:tr w14:paraId="086F6542" w14:textId="77777777" w:rsidTr="003D2860">
        <w:tblPrEx>
          <w:tblW w:w="0" w:type="auto"/>
          <w:tblLook w:val="04A0"/>
        </w:tblPrEx>
        <w:trPr>
          <w:trHeight w:val="485"/>
        </w:trPr>
        <w:tc>
          <w:tcPr>
            <w:tcW w:w="3865" w:type="dxa"/>
          </w:tcPr>
          <w:p w:rsidR="00EB74D6" w:rsidRPr="00CE0FA4" w:rsidP="0085240E" w14:paraId="1F5872E9" w14:textId="56A87759">
            <w:pPr>
              <w:rPr>
                <w:bdr w:val="none" w:sz="0" w:space="0" w:color="auto" w:frame="1"/>
                <w:shd w:val="clear" w:color="auto" w:fill="FFFFFF"/>
              </w:rPr>
            </w:pPr>
            <w:r w:rsidRPr="00CE0FA4">
              <w:rPr>
                <w:bdr w:val="none" w:sz="0" w:space="0" w:color="auto" w:frame="1"/>
                <w:shd w:val="clear" w:color="auto" w:fill="FFFFFF"/>
              </w:rPr>
              <w:t>Total operation</w:t>
            </w:r>
            <w:r w:rsidRPr="00CE0FA4" w:rsidR="00F465B2">
              <w:rPr>
                <w:bdr w:val="none" w:sz="0" w:space="0" w:color="auto" w:frame="1"/>
                <w:shd w:val="clear" w:color="auto" w:fill="FFFFFF"/>
              </w:rPr>
              <w:t xml:space="preserve"> and maintenance and purchase of service component</w:t>
            </w:r>
          </w:p>
        </w:tc>
        <w:tc>
          <w:tcPr>
            <w:tcW w:w="4230" w:type="dxa"/>
          </w:tcPr>
          <w:p w:rsidR="00EB74D6" w:rsidRPr="00CE0FA4" w:rsidP="0085240E" w14:paraId="79D5733A" w14:textId="6B5C1664">
            <w:r w:rsidRPr="00CE0FA4">
              <w:rPr>
                <w:bdr w:val="none" w:sz="0" w:space="0" w:color="auto" w:frame="1"/>
                <w:shd w:val="clear" w:color="auto" w:fill="FFFFFF"/>
              </w:rPr>
              <w:t>Creating &amp; maintaining the website, collection, and analysis of responses</w:t>
            </w:r>
          </w:p>
        </w:tc>
        <w:tc>
          <w:tcPr>
            <w:tcW w:w="1255" w:type="dxa"/>
          </w:tcPr>
          <w:p w:rsidR="00EB74D6" w:rsidRPr="00CE0FA4" w:rsidP="0085240E" w14:paraId="1F3D298A" w14:textId="72747C67">
            <w:r w:rsidRPr="00CE0FA4">
              <w:t>$4,000</w:t>
            </w:r>
          </w:p>
        </w:tc>
      </w:tr>
      <w:tr w14:paraId="5210C171" w14:textId="77777777" w:rsidTr="003D2860">
        <w:tblPrEx>
          <w:tblW w:w="0" w:type="auto"/>
          <w:tblLook w:val="04A0"/>
        </w:tblPrEx>
        <w:trPr>
          <w:trHeight w:val="485"/>
        </w:trPr>
        <w:tc>
          <w:tcPr>
            <w:tcW w:w="3865" w:type="dxa"/>
          </w:tcPr>
          <w:p w:rsidR="00D0585B" w:rsidRPr="00CE0FA4" w:rsidP="0085240E" w14:paraId="43598962" w14:textId="7D43DFF2">
            <w:pPr>
              <w:rPr>
                <w:bdr w:val="none" w:sz="0" w:space="0" w:color="auto" w:frame="1"/>
                <w:shd w:val="clear" w:color="auto" w:fill="FFFFFF"/>
              </w:rPr>
            </w:pPr>
            <w:r w:rsidRPr="00CE0FA4">
              <w:rPr>
                <w:bdr w:val="none" w:sz="0" w:space="0" w:color="auto" w:frame="1"/>
                <w:shd w:val="clear" w:color="auto" w:fill="FFFFFF"/>
              </w:rPr>
              <w:t xml:space="preserve">Total cost </w:t>
            </w:r>
          </w:p>
        </w:tc>
        <w:tc>
          <w:tcPr>
            <w:tcW w:w="4230" w:type="dxa"/>
          </w:tcPr>
          <w:p w:rsidR="00D0585B" w:rsidRPr="00CE0FA4" w:rsidP="0085240E" w14:paraId="5CF85615" w14:textId="5F85D18C">
            <w:pPr>
              <w:rPr>
                <w:bdr w:val="none" w:sz="0" w:space="0" w:color="auto" w:frame="1"/>
                <w:shd w:val="clear" w:color="auto" w:fill="FFFFFF"/>
              </w:rPr>
            </w:pPr>
            <w:r w:rsidRPr="00CE0FA4">
              <w:rPr>
                <w:bdr w:val="none" w:sz="0" w:space="0" w:color="auto" w:frame="1"/>
                <w:shd w:val="clear" w:color="auto" w:fill="FFFFFF"/>
              </w:rPr>
              <w:t>-</w:t>
            </w:r>
          </w:p>
        </w:tc>
        <w:tc>
          <w:tcPr>
            <w:tcW w:w="1255" w:type="dxa"/>
          </w:tcPr>
          <w:p w:rsidR="00D0585B" w:rsidRPr="00CE0FA4" w:rsidP="0085240E" w14:paraId="3E0B4988" w14:textId="2D29A321">
            <w:r w:rsidRPr="00CE0FA4">
              <w:t>$4,000</w:t>
            </w:r>
          </w:p>
        </w:tc>
      </w:tr>
      <w:bookmarkEnd w:id="8"/>
    </w:tbl>
    <w:p w:rsidR="00CF534E" w:rsidRPr="00CE0FA4" w14:paraId="10153F44" w14:textId="77777777"/>
    <w:p w:rsidR="00CF534E" w:rsidRPr="00CE0FA4" w14:paraId="10153F45" w14:textId="77777777">
      <w:pPr>
        <w:rPr>
          <w:b/>
        </w:rPr>
      </w:pPr>
      <w:r w:rsidRPr="00CE0FA4">
        <w:rPr>
          <w:b/>
        </w:rPr>
        <w:t>15.  Reasons for Change in Burden:</w:t>
      </w:r>
    </w:p>
    <w:p w:rsidR="00FD5F0A" w:rsidRPr="00CE0FA4" w:rsidP="00FD5F0A" w14:paraId="10153F46" w14:textId="77777777">
      <w:pPr>
        <w:pStyle w:val="Default"/>
      </w:pPr>
    </w:p>
    <w:p w:rsidR="00CF534E" w:rsidRPr="00CE0FA4" w14:paraId="10153F47" w14:textId="77777777">
      <w:r w:rsidRPr="00CE0FA4">
        <w:t xml:space="preserve">This is a new ICR request with no previous burden. </w:t>
      </w:r>
    </w:p>
    <w:p w:rsidR="000446AC" w:rsidRPr="00CE0FA4" w14:paraId="10153F48" w14:textId="77777777">
      <w:pPr>
        <w:rPr>
          <w:b/>
        </w:rPr>
      </w:pPr>
    </w:p>
    <w:p w:rsidR="00CF534E" w:rsidRPr="00CE0FA4" w14:paraId="10153F49" w14:textId="77777777">
      <w:pPr>
        <w:rPr>
          <w:b/>
        </w:rPr>
      </w:pPr>
      <w:r w:rsidRPr="00CE0FA4">
        <w:rPr>
          <w:b/>
        </w:rPr>
        <w:t>16.  Plans for Publication:</w:t>
      </w:r>
    </w:p>
    <w:p w:rsidR="00FD5F0A" w:rsidRPr="00CE0FA4" w:rsidP="00FD5F0A" w14:paraId="10153F4A" w14:textId="77777777"/>
    <w:p w:rsidR="009E792C" w:rsidRPr="00CE0FA4" w14:paraId="0F37B968" w14:textId="2B68698C">
      <w:r w:rsidRPr="00CE0FA4">
        <w:t xml:space="preserve">If there are sufficient respondents </w:t>
      </w:r>
      <w:r w:rsidRPr="00CE0FA4" w:rsidR="00DF08AB">
        <w:t xml:space="preserve">to </w:t>
      </w:r>
      <w:r w:rsidRPr="00CE0FA4">
        <w:t xml:space="preserve">this </w:t>
      </w:r>
      <w:r w:rsidRPr="00CE0FA4" w:rsidR="003B4414">
        <w:t>questionnaire</w:t>
      </w:r>
      <w:r w:rsidRPr="00CE0FA4">
        <w:t xml:space="preserve">, then results may be published </w:t>
      </w:r>
      <w:r w:rsidRPr="00CE0FA4" w:rsidR="00E919DD">
        <w:t>for a law enforcement audience</w:t>
      </w:r>
      <w:r w:rsidRPr="00CE0FA4" w:rsidR="007E0C27">
        <w:t xml:space="preserve"> and scientist audience. Estimated publication would be 2 years from </w:t>
      </w:r>
      <w:r w:rsidRPr="00CE0FA4" w:rsidR="00022845">
        <w:t>questionnaire</w:t>
      </w:r>
      <w:r w:rsidRPr="00CE0FA4" w:rsidR="007E0C27">
        <w:t xml:space="preserve"> distribution date</w:t>
      </w:r>
      <w:r w:rsidRPr="00CE0FA4" w:rsidR="00405934">
        <w:t>.</w:t>
      </w:r>
      <w:r w:rsidRPr="00CE0FA4" w:rsidR="007E0C27">
        <w:t xml:space="preserve"> </w:t>
      </w:r>
    </w:p>
    <w:p w:rsidR="000446AC" w:rsidRPr="00CE0FA4" w14:paraId="10153F4C" w14:textId="77777777"/>
    <w:p w:rsidR="00CF534E" w:rsidRPr="00CE0FA4" w14:paraId="10153F4D" w14:textId="77777777">
      <w:r w:rsidRPr="00CE0FA4">
        <w:rPr>
          <w:b/>
        </w:rPr>
        <w:t>17.  Expiration Date Approval:</w:t>
      </w:r>
    </w:p>
    <w:p w:rsidR="00CF534E" w:rsidRPr="00CE0FA4" w14:paraId="10153F4E" w14:textId="77777777"/>
    <w:p w:rsidR="008D71D5" w:rsidRPr="00CE0FA4" w14:paraId="088E9D4D" w14:textId="0205BEDA">
      <w:r w:rsidRPr="00CE0FA4">
        <w:t xml:space="preserve">Not applicable. </w:t>
      </w:r>
    </w:p>
    <w:p w:rsidR="008D71D5" w:rsidRPr="00CE0FA4" w14:paraId="339AB867" w14:textId="2AC2A708">
      <w:pPr>
        <w:rPr>
          <w:b/>
        </w:rPr>
      </w:pPr>
      <w:r w:rsidRPr="00CE0FA4">
        <w:rPr>
          <w:b/>
        </w:rPr>
        <w:t xml:space="preserve"> </w:t>
      </w:r>
    </w:p>
    <w:p w:rsidR="000446AC" w:rsidRPr="00CE0FA4" w14:paraId="10153F50" w14:textId="77777777">
      <w:pPr>
        <w:rPr>
          <w:b/>
        </w:rPr>
      </w:pPr>
    </w:p>
    <w:p w:rsidR="00CE0FA4" w:rsidRPr="00CE0FA4" w14:paraId="5F8E2BDF" w14:textId="77777777">
      <w:pPr>
        <w:rPr>
          <w:b/>
        </w:rPr>
      </w:pPr>
      <w:r w:rsidRPr="00CE0FA4">
        <w:rPr>
          <w:b/>
        </w:rPr>
        <w:t>18.  Exceptions to the Certification Statement:</w:t>
      </w:r>
    </w:p>
    <w:p w:rsidR="00CF534E" w:rsidRPr="00CE0FA4" w14:paraId="10153F56" w14:textId="07804971">
      <w:pPr>
        <w:rPr>
          <w:b/>
        </w:rPr>
      </w:pPr>
      <w:r w:rsidRPr="00CE0FA4">
        <w:t>There are no exceptions to the certification statement.</w:t>
      </w:r>
    </w:p>
    <w:p w:rsidR="007D1AC8" w:rsidRPr="00CE0FA4" w14:paraId="10153F57" w14:textId="77777777"/>
    <w:p w:rsidR="00F367A7" w:rsidRPr="00CE0FA4" w14:paraId="10153F58" w14:textId="77777777"/>
    <w:sectPr w:rsidSect="00CF534E">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D2" w14:paraId="4C6EF2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3AE" w14:paraId="10153F5D" w14:textId="77777777">
    <w:pPr>
      <w:spacing w:line="240" w:lineRule="exact"/>
    </w:pPr>
  </w:p>
  <w:p w:rsidR="003123AE" w14:paraId="10153F5E" w14:textId="77777777">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rsidR="003123AE" w14:paraId="10153F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D2" w14:paraId="0D6937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D2" w14:paraId="22EFA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D2" w14:paraId="3E6FF1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73D2" w14:paraId="1186B7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3A7C14"/>
    <w:multiLevelType w:val="hybridMultilevel"/>
    <w:tmpl w:val="58F8A878"/>
    <w:lvl w:ilvl="0">
      <w:start w:val="1"/>
      <w:numFmt w:val="decimal"/>
      <w:lvlText w:val="%1."/>
      <w:lvlJc w:val="left"/>
      <w:pPr>
        <w:ind w:left="375" w:hanging="37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8715E"/>
    <w:multiLevelType w:val="hybridMultilevel"/>
    <w:tmpl w:val="F5C6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575D"/>
    <w:rsid w:val="00014BE4"/>
    <w:rsid w:val="00014FE0"/>
    <w:rsid w:val="00022845"/>
    <w:rsid w:val="00031438"/>
    <w:rsid w:val="000446AC"/>
    <w:rsid w:val="00051326"/>
    <w:rsid w:val="00051B92"/>
    <w:rsid w:val="00064657"/>
    <w:rsid w:val="00094DE9"/>
    <w:rsid w:val="000F3A40"/>
    <w:rsid w:val="00103327"/>
    <w:rsid w:val="00115CD3"/>
    <w:rsid w:val="001216D9"/>
    <w:rsid w:val="001247DB"/>
    <w:rsid w:val="00125537"/>
    <w:rsid w:val="00127BA3"/>
    <w:rsid w:val="00132F41"/>
    <w:rsid w:val="001467FE"/>
    <w:rsid w:val="00154C0F"/>
    <w:rsid w:val="00166668"/>
    <w:rsid w:val="00177A18"/>
    <w:rsid w:val="00187061"/>
    <w:rsid w:val="001941C3"/>
    <w:rsid w:val="001A39BA"/>
    <w:rsid w:val="001C1774"/>
    <w:rsid w:val="001C5067"/>
    <w:rsid w:val="001C6E60"/>
    <w:rsid w:val="001D5352"/>
    <w:rsid w:val="001E28AD"/>
    <w:rsid w:val="001F3FA7"/>
    <w:rsid w:val="001F448C"/>
    <w:rsid w:val="001F7048"/>
    <w:rsid w:val="00204B3A"/>
    <w:rsid w:val="002514B4"/>
    <w:rsid w:val="00265D4B"/>
    <w:rsid w:val="0029324E"/>
    <w:rsid w:val="002A49A6"/>
    <w:rsid w:val="002B10A6"/>
    <w:rsid w:val="002C1B03"/>
    <w:rsid w:val="002E6717"/>
    <w:rsid w:val="002F41CC"/>
    <w:rsid w:val="003123AE"/>
    <w:rsid w:val="0032260F"/>
    <w:rsid w:val="003239D6"/>
    <w:rsid w:val="003338D5"/>
    <w:rsid w:val="00341957"/>
    <w:rsid w:val="00346D80"/>
    <w:rsid w:val="00353EDC"/>
    <w:rsid w:val="00367647"/>
    <w:rsid w:val="0038414C"/>
    <w:rsid w:val="00392FD4"/>
    <w:rsid w:val="00396BB8"/>
    <w:rsid w:val="003A11BD"/>
    <w:rsid w:val="003B080C"/>
    <w:rsid w:val="003B4414"/>
    <w:rsid w:val="003D2860"/>
    <w:rsid w:val="003E100E"/>
    <w:rsid w:val="003F1E01"/>
    <w:rsid w:val="00405934"/>
    <w:rsid w:val="00413806"/>
    <w:rsid w:val="0041718C"/>
    <w:rsid w:val="00430801"/>
    <w:rsid w:val="00433727"/>
    <w:rsid w:val="004522F7"/>
    <w:rsid w:val="00453E67"/>
    <w:rsid w:val="004559A7"/>
    <w:rsid w:val="004565D2"/>
    <w:rsid w:val="00472D01"/>
    <w:rsid w:val="004744BF"/>
    <w:rsid w:val="004969B1"/>
    <w:rsid w:val="004A3D21"/>
    <w:rsid w:val="004B0B15"/>
    <w:rsid w:val="004B7FDA"/>
    <w:rsid w:val="004C0E01"/>
    <w:rsid w:val="004E7D14"/>
    <w:rsid w:val="004F1991"/>
    <w:rsid w:val="004F640E"/>
    <w:rsid w:val="00502131"/>
    <w:rsid w:val="0051681F"/>
    <w:rsid w:val="00520F9F"/>
    <w:rsid w:val="00526E4C"/>
    <w:rsid w:val="00534D1D"/>
    <w:rsid w:val="005367FD"/>
    <w:rsid w:val="00537C84"/>
    <w:rsid w:val="00544663"/>
    <w:rsid w:val="00556E8B"/>
    <w:rsid w:val="00562DF4"/>
    <w:rsid w:val="00565912"/>
    <w:rsid w:val="00565B81"/>
    <w:rsid w:val="00566293"/>
    <w:rsid w:val="005673D2"/>
    <w:rsid w:val="00590C24"/>
    <w:rsid w:val="00594BFE"/>
    <w:rsid w:val="005B0BE3"/>
    <w:rsid w:val="005C586F"/>
    <w:rsid w:val="005E3BE7"/>
    <w:rsid w:val="005F30DF"/>
    <w:rsid w:val="00603BDD"/>
    <w:rsid w:val="006221F2"/>
    <w:rsid w:val="0066255D"/>
    <w:rsid w:val="006709C9"/>
    <w:rsid w:val="00670F9E"/>
    <w:rsid w:val="00672E96"/>
    <w:rsid w:val="00676194"/>
    <w:rsid w:val="006936C2"/>
    <w:rsid w:val="006B03D5"/>
    <w:rsid w:val="006C0A78"/>
    <w:rsid w:val="006C4C9D"/>
    <w:rsid w:val="006C736D"/>
    <w:rsid w:val="006F47B7"/>
    <w:rsid w:val="006F7513"/>
    <w:rsid w:val="00715A71"/>
    <w:rsid w:val="00751FAD"/>
    <w:rsid w:val="00786426"/>
    <w:rsid w:val="007941C2"/>
    <w:rsid w:val="007A5F3F"/>
    <w:rsid w:val="007B1FA1"/>
    <w:rsid w:val="007B3501"/>
    <w:rsid w:val="007C365A"/>
    <w:rsid w:val="007C6493"/>
    <w:rsid w:val="007C6C6B"/>
    <w:rsid w:val="007D1AC8"/>
    <w:rsid w:val="007D2DFA"/>
    <w:rsid w:val="007E0C27"/>
    <w:rsid w:val="007E4298"/>
    <w:rsid w:val="007F0C3B"/>
    <w:rsid w:val="007F5D22"/>
    <w:rsid w:val="007F7306"/>
    <w:rsid w:val="008055D2"/>
    <w:rsid w:val="00807E63"/>
    <w:rsid w:val="00827D3E"/>
    <w:rsid w:val="008311AE"/>
    <w:rsid w:val="008320A6"/>
    <w:rsid w:val="0083329A"/>
    <w:rsid w:val="0084127B"/>
    <w:rsid w:val="00842DDB"/>
    <w:rsid w:val="00851731"/>
    <w:rsid w:val="0085240E"/>
    <w:rsid w:val="00884009"/>
    <w:rsid w:val="00890D78"/>
    <w:rsid w:val="008A76A0"/>
    <w:rsid w:val="008A7934"/>
    <w:rsid w:val="008C4A2D"/>
    <w:rsid w:val="008D6AB0"/>
    <w:rsid w:val="008D71D5"/>
    <w:rsid w:val="008E5FC0"/>
    <w:rsid w:val="008F3A43"/>
    <w:rsid w:val="009021E6"/>
    <w:rsid w:val="00907209"/>
    <w:rsid w:val="00916DB6"/>
    <w:rsid w:val="009172E1"/>
    <w:rsid w:val="0096260A"/>
    <w:rsid w:val="00964691"/>
    <w:rsid w:val="009666B7"/>
    <w:rsid w:val="009946F0"/>
    <w:rsid w:val="009A3D0D"/>
    <w:rsid w:val="009B76E4"/>
    <w:rsid w:val="009C1331"/>
    <w:rsid w:val="009C1FE9"/>
    <w:rsid w:val="009C2730"/>
    <w:rsid w:val="009D207E"/>
    <w:rsid w:val="009D63B1"/>
    <w:rsid w:val="009E1BAD"/>
    <w:rsid w:val="009E7442"/>
    <w:rsid w:val="009E792C"/>
    <w:rsid w:val="009F4A55"/>
    <w:rsid w:val="009F5D0D"/>
    <w:rsid w:val="009F6FB6"/>
    <w:rsid w:val="00A060A3"/>
    <w:rsid w:val="00A237D1"/>
    <w:rsid w:val="00A24FCC"/>
    <w:rsid w:val="00A51365"/>
    <w:rsid w:val="00A652E7"/>
    <w:rsid w:val="00A7170A"/>
    <w:rsid w:val="00A7449B"/>
    <w:rsid w:val="00A76A29"/>
    <w:rsid w:val="00A83ED0"/>
    <w:rsid w:val="00AA29C7"/>
    <w:rsid w:val="00AC33CA"/>
    <w:rsid w:val="00AC3E14"/>
    <w:rsid w:val="00AD59F8"/>
    <w:rsid w:val="00AF134D"/>
    <w:rsid w:val="00B06AFE"/>
    <w:rsid w:val="00B136DA"/>
    <w:rsid w:val="00B35740"/>
    <w:rsid w:val="00B43917"/>
    <w:rsid w:val="00B50EA9"/>
    <w:rsid w:val="00B62D10"/>
    <w:rsid w:val="00B80B80"/>
    <w:rsid w:val="00B86C25"/>
    <w:rsid w:val="00B86E23"/>
    <w:rsid w:val="00B95EE1"/>
    <w:rsid w:val="00BA1DDC"/>
    <w:rsid w:val="00BC2ADB"/>
    <w:rsid w:val="00BC5CB3"/>
    <w:rsid w:val="00BD2B48"/>
    <w:rsid w:val="00BD6CCE"/>
    <w:rsid w:val="00BE2251"/>
    <w:rsid w:val="00C03063"/>
    <w:rsid w:val="00C138A6"/>
    <w:rsid w:val="00C246C0"/>
    <w:rsid w:val="00C275C4"/>
    <w:rsid w:val="00C508E9"/>
    <w:rsid w:val="00C70F3F"/>
    <w:rsid w:val="00C854CF"/>
    <w:rsid w:val="00CA3A9D"/>
    <w:rsid w:val="00CC66AB"/>
    <w:rsid w:val="00CC7DF4"/>
    <w:rsid w:val="00CD01D6"/>
    <w:rsid w:val="00CD5A8C"/>
    <w:rsid w:val="00CE0FA4"/>
    <w:rsid w:val="00CE577E"/>
    <w:rsid w:val="00CF534E"/>
    <w:rsid w:val="00CF5ACF"/>
    <w:rsid w:val="00D00FFA"/>
    <w:rsid w:val="00D0585B"/>
    <w:rsid w:val="00D0797D"/>
    <w:rsid w:val="00D35D34"/>
    <w:rsid w:val="00D40170"/>
    <w:rsid w:val="00D72430"/>
    <w:rsid w:val="00D817F8"/>
    <w:rsid w:val="00D91786"/>
    <w:rsid w:val="00D92AE6"/>
    <w:rsid w:val="00D93608"/>
    <w:rsid w:val="00D93C3A"/>
    <w:rsid w:val="00D94D8D"/>
    <w:rsid w:val="00DA31A6"/>
    <w:rsid w:val="00DE580F"/>
    <w:rsid w:val="00DF08AB"/>
    <w:rsid w:val="00DF1A0E"/>
    <w:rsid w:val="00DF2051"/>
    <w:rsid w:val="00E0210E"/>
    <w:rsid w:val="00E02210"/>
    <w:rsid w:val="00E07F4D"/>
    <w:rsid w:val="00E23081"/>
    <w:rsid w:val="00E2448A"/>
    <w:rsid w:val="00E52839"/>
    <w:rsid w:val="00E5771F"/>
    <w:rsid w:val="00E66A7B"/>
    <w:rsid w:val="00E919DD"/>
    <w:rsid w:val="00E967D9"/>
    <w:rsid w:val="00EA20FD"/>
    <w:rsid w:val="00EB74D6"/>
    <w:rsid w:val="00EB7DC9"/>
    <w:rsid w:val="00ED0A48"/>
    <w:rsid w:val="00ED319D"/>
    <w:rsid w:val="00ED364D"/>
    <w:rsid w:val="00ED5854"/>
    <w:rsid w:val="00ED5DC0"/>
    <w:rsid w:val="00EE1EEB"/>
    <w:rsid w:val="00EF4E3F"/>
    <w:rsid w:val="00F16DAA"/>
    <w:rsid w:val="00F367A7"/>
    <w:rsid w:val="00F465B2"/>
    <w:rsid w:val="00F8380E"/>
    <w:rsid w:val="00F84E7F"/>
    <w:rsid w:val="00FA5540"/>
    <w:rsid w:val="00FD5F0A"/>
    <w:rsid w:val="00FD6B0C"/>
    <w:rsid w:val="00FE2EFF"/>
    <w:rsid w:val="00FE4F00"/>
    <w:rsid w:val="00FE546F"/>
    <w:rsid w:val="00FF0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0153EF6"/>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C5067"/>
    <w:pPr>
      <w:widowControl/>
      <w:autoSpaceDE/>
      <w:autoSpaceDN/>
      <w:adjustRightInd/>
      <w:spacing w:before="100" w:beforeAutospacing="1" w:after="100" w:afterAutospacing="1"/>
    </w:pPr>
    <w:rPr>
      <w:rFonts w:eastAsia="Times New Roman"/>
    </w:rPr>
  </w:style>
  <w:style w:type="paragraph" w:styleId="Header">
    <w:name w:val="header"/>
    <w:basedOn w:val="Normal"/>
    <w:link w:val="HeaderChar"/>
    <w:uiPriority w:val="99"/>
    <w:unhideWhenUsed/>
    <w:rsid w:val="005673D2"/>
    <w:pPr>
      <w:tabs>
        <w:tab w:val="center" w:pos="4680"/>
        <w:tab w:val="right" w:pos="9360"/>
      </w:tabs>
    </w:pPr>
  </w:style>
  <w:style w:type="character" w:customStyle="1" w:styleId="HeaderChar">
    <w:name w:val="Header Char"/>
    <w:basedOn w:val="DefaultParagraphFont"/>
    <w:link w:val="Header"/>
    <w:uiPriority w:val="99"/>
    <w:rsid w:val="005673D2"/>
    <w:rPr>
      <w:rFonts w:ascii="Times New Roman" w:hAnsi="Times New Roman" w:cs="Times New Roman"/>
      <w:sz w:val="24"/>
      <w:szCs w:val="24"/>
    </w:rPr>
  </w:style>
  <w:style w:type="paragraph" w:styleId="Footer">
    <w:name w:val="footer"/>
    <w:basedOn w:val="Normal"/>
    <w:link w:val="FooterChar"/>
    <w:uiPriority w:val="99"/>
    <w:unhideWhenUsed/>
    <w:rsid w:val="005673D2"/>
    <w:pPr>
      <w:tabs>
        <w:tab w:val="center" w:pos="4680"/>
        <w:tab w:val="right" w:pos="9360"/>
      </w:tabs>
    </w:pPr>
  </w:style>
  <w:style w:type="character" w:customStyle="1" w:styleId="FooterChar">
    <w:name w:val="Footer Char"/>
    <w:basedOn w:val="DefaultParagraphFont"/>
    <w:link w:val="Footer"/>
    <w:uiPriority w:val="99"/>
    <w:rsid w:val="005673D2"/>
    <w:rPr>
      <w:rFonts w:ascii="Times New Roman" w:hAnsi="Times New Roman" w:cs="Times New Roman"/>
      <w:sz w:val="24"/>
      <w:szCs w:val="24"/>
    </w:rPr>
  </w:style>
  <w:style w:type="table" w:styleId="TableGrid">
    <w:name w:val="Table Grid"/>
    <w:basedOn w:val="TableNormal"/>
    <w:uiPriority w:val="59"/>
    <w:rsid w:val="0089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Proulx, Michelle Grace (LD) (CON)</cp:lastModifiedBy>
  <cp:revision>45</cp:revision>
  <cp:lastPrinted>2015-02-26T20:41:00Z</cp:lastPrinted>
  <dcterms:created xsi:type="dcterms:W3CDTF">2022-05-02T13:14:00Z</dcterms:created>
  <dcterms:modified xsi:type="dcterms:W3CDTF">2022-07-18T12:29:00Z</dcterms:modified>
</cp:coreProperties>
</file>