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78C" w:rsidP="00BA6EFF" w:rsidRDefault="0029478C" w14:paraId="200FBD03" w14:textId="77777777">
      <w:pPr>
        <w:ind w:left="2880" w:firstLine="720"/>
        <w:rPr>
          <w:b/>
        </w:rPr>
      </w:pPr>
      <w:r w:rsidRPr="00041787">
        <w:rPr>
          <w:b/>
        </w:rPr>
        <w:t>SUPPORTING STATEMENT</w:t>
      </w:r>
      <w:r w:rsidR="002241C1">
        <w:rPr>
          <w:b/>
        </w:rPr>
        <w:t xml:space="preserve"> </w:t>
      </w:r>
    </w:p>
    <w:p w:rsidR="00CC0996" w:rsidP="00CF5465" w:rsidRDefault="00CC0996" w14:paraId="57230657" w14:textId="77777777">
      <w:pPr>
        <w:tabs>
          <w:tab w:val="center" w:pos="4680"/>
        </w:tabs>
        <w:jc w:val="center"/>
        <w:rPr>
          <w:b/>
        </w:rPr>
      </w:pPr>
    </w:p>
    <w:p w:rsidRPr="0014716B" w:rsidR="00CC0996" w:rsidP="00CC0996" w:rsidRDefault="00CC0996" w14:paraId="1DF58D21" w14:textId="368470FA">
      <w:pPr>
        <w:tabs>
          <w:tab w:val="left" w:pos="360"/>
        </w:tabs>
        <w:ind w:left="360" w:hanging="360"/>
        <w:jc w:val="center"/>
        <w:rPr>
          <w:b/>
        </w:rPr>
      </w:pPr>
      <w:r>
        <w:rPr>
          <w:b/>
        </w:rPr>
        <w:t>REQUIRED ELEMENTS</w:t>
      </w:r>
      <w:r w:rsidRPr="0014716B">
        <w:rPr>
          <w:b/>
        </w:rPr>
        <w:t xml:space="preserve"> OF AN UNEMPLOYMENT INSURANCE (UI)</w:t>
      </w:r>
    </w:p>
    <w:p w:rsidR="00CC0996" w:rsidP="00CC0996" w:rsidRDefault="00CC0996" w14:paraId="7033E5A8" w14:textId="77777777">
      <w:pPr>
        <w:tabs>
          <w:tab w:val="left" w:pos="360"/>
        </w:tabs>
        <w:ind w:left="360" w:hanging="360"/>
        <w:jc w:val="center"/>
        <w:rPr>
          <w:b/>
        </w:rPr>
      </w:pPr>
      <w:r w:rsidRPr="0014716B">
        <w:rPr>
          <w:b/>
        </w:rPr>
        <w:t>REEMPLOYMENT SERVICES AND ELIGIBILITY ASSESSMENT (RESEA) GRANT</w:t>
      </w:r>
    </w:p>
    <w:p w:rsidR="00E43CD6" w:rsidP="00060218" w:rsidRDefault="00CC0996" w14:paraId="377B8096" w14:textId="14BA1A99">
      <w:pPr>
        <w:tabs>
          <w:tab w:val="left" w:pos="360"/>
        </w:tabs>
        <w:ind w:left="360" w:hanging="360"/>
        <w:jc w:val="center"/>
        <w:rPr>
          <w:b/>
        </w:rPr>
      </w:pPr>
      <w:r w:rsidRPr="0014716B">
        <w:rPr>
          <w:b/>
        </w:rPr>
        <w:t xml:space="preserve"> </w:t>
      </w:r>
      <w:r>
        <w:rPr>
          <w:b/>
        </w:rPr>
        <w:t>STATE PLAN</w:t>
      </w:r>
    </w:p>
    <w:p w:rsidR="00D84EEC" w:rsidP="00D84EEC" w:rsidRDefault="00CF5465" w14:paraId="6D2883E7" w14:textId="00C96A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rPr>
      </w:pPr>
      <w:r w:rsidRPr="00000539">
        <w:rPr>
          <w:b/>
        </w:rPr>
        <w:t>OMB Control Number</w:t>
      </w:r>
      <w:r w:rsidR="001056E2">
        <w:rPr>
          <w:b/>
        </w:rPr>
        <w:t xml:space="preserve">:  </w:t>
      </w:r>
      <w:r w:rsidR="006F5E2B">
        <w:rPr>
          <w:color w:val="000000" w:themeColor="text1"/>
        </w:rPr>
        <w:t>1205-0538</w:t>
      </w:r>
    </w:p>
    <w:p w:rsidR="00EA78D2" w:rsidP="00EA78D2" w:rsidRDefault="00EA78D2" w14:paraId="04908830" w14:textId="53A8FDE2">
      <w:pPr>
        <w:autoSpaceDE w:val="0"/>
        <w:autoSpaceDN w:val="0"/>
        <w:adjustRightInd w:val="0"/>
      </w:pPr>
    </w:p>
    <w:p w:rsidR="001056E2" w:rsidP="00695963" w:rsidRDefault="00695963" w14:paraId="17ABC92C" w14:textId="045C0891">
      <w:pPr>
        <w:autoSpaceDE w:val="0"/>
        <w:autoSpaceDN w:val="0"/>
        <w:adjustRightInd w:val="0"/>
      </w:pPr>
      <w:r w:rsidRPr="00695963">
        <w:t>The Department of Labor</w:t>
      </w:r>
      <w:r w:rsidR="009D1106">
        <w:t xml:space="preserve"> (</w:t>
      </w:r>
      <w:r w:rsidR="007536D1">
        <w:t>Department</w:t>
      </w:r>
      <w:r w:rsidR="009D1106">
        <w:t>)</w:t>
      </w:r>
      <w:r w:rsidRPr="00695963">
        <w:t xml:space="preserve">, Employment and Training Administration (ETA) </w:t>
      </w:r>
      <w:r w:rsidR="009D1106">
        <w:t xml:space="preserve">is submitting </w:t>
      </w:r>
      <w:r w:rsidR="00410E26">
        <w:t xml:space="preserve">a revision </w:t>
      </w:r>
      <w:r w:rsidR="009D1106">
        <w:t xml:space="preserve">Information Collection Request (ICR) </w:t>
      </w:r>
      <w:r w:rsidR="001056E2">
        <w:t xml:space="preserve">to </w:t>
      </w:r>
      <w:r w:rsidR="009D1106">
        <w:t xml:space="preserve">implement and </w:t>
      </w:r>
      <w:r w:rsidR="00490E61">
        <w:t xml:space="preserve">collect an </w:t>
      </w:r>
      <w:r w:rsidR="00CC0996">
        <w:t>annual</w:t>
      </w:r>
      <w:r w:rsidR="00713BA3">
        <w:t xml:space="preserve"> RESEA state p</w:t>
      </w:r>
      <w:r w:rsidR="001056E2">
        <w:t>lan</w:t>
      </w:r>
      <w:r w:rsidR="00CC0996">
        <w:t xml:space="preserve"> as </w:t>
      </w:r>
      <w:r w:rsidR="00713BA3">
        <w:t>described in</w:t>
      </w:r>
      <w:r w:rsidR="00CC0996">
        <w:t xml:space="preserve"> Section </w:t>
      </w:r>
      <w:r w:rsidR="00490E61">
        <w:t xml:space="preserve">306(e) of the Social Security Act (SSA). </w:t>
      </w:r>
    </w:p>
    <w:p w:rsidRPr="00CE3C52" w:rsidR="00695963" w:rsidP="00EA78D2" w:rsidRDefault="00695963" w14:paraId="707A8A9B" w14:textId="77777777">
      <w:pPr>
        <w:autoSpaceDE w:val="0"/>
        <w:autoSpaceDN w:val="0"/>
        <w:adjustRightInd w:val="0"/>
      </w:pPr>
    </w:p>
    <w:p w:rsidRPr="00CE3C52" w:rsidR="00EA78D2" w:rsidP="0052176B" w:rsidRDefault="00EA78D2" w14:paraId="37C5565B" w14:textId="77777777">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Pr="00CE3C52" w:rsidR="00EA78D2" w:rsidP="00A64B66" w:rsidRDefault="00A64B66" w14:paraId="288EAE63" w14:textId="77777777">
      <w:pPr>
        <w:tabs>
          <w:tab w:val="left" w:pos="3045"/>
        </w:tabs>
        <w:autoSpaceDE w:val="0"/>
        <w:autoSpaceDN w:val="0"/>
        <w:adjustRightInd w:val="0"/>
      </w:pPr>
      <w:r>
        <w:tab/>
      </w:r>
    </w:p>
    <w:p w:rsidR="00E43CD6" w:rsidP="00E43CD6" w:rsidRDefault="00344D3F" w14:paraId="3CAD5DC7" w14:textId="77777777">
      <w:pPr>
        <w:pStyle w:val="ListParagraph"/>
        <w:numPr>
          <w:ilvl w:val="0"/>
          <w:numId w:val="4"/>
        </w:numPr>
        <w:tabs>
          <w:tab w:val="right" w:pos="360"/>
        </w:tabs>
        <w:autoSpaceDE w:val="0"/>
        <w:autoSpaceDN w:val="0"/>
        <w:adjustRightInd w:val="0"/>
        <w:rPr>
          <w:b/>
          <w:bCs/>
          <w:iCs/>
        </w:rPr>
      </w:pPr>
      <w:r>
        <w:rPr>
          <w:b/>
          <w:bCs/>
          <w:iCs/>
        </w:rPr>
        <w:t xml:space="preserve">   </w:t>
      </w:r>
      <w:r w:rsidRPr="00667ACD" w:rsidR="00EA78D2">
        <w:rPr>
          <w:b/>
          <w:bCs/>
          <w:iCs/>
        </w:rPr>
        <w:t>Explain the circumstances that make the collection of information necessary</w:t>
      </w:r>
      <w:r w:rsidRPr="00667ACD" w:rsidR="00F25EFF">
        <w:rPr>
          <w:b/>
          <w:bCs/>
          <w:iCs/>
        </w:rPr>
        <w:t xml:space="preserve">.  </w:t>
      </w:r>
      <w:r w:rsidRPr="00667ACD" w:rsidR="00EA78D2">
        <w:rPr>
          <w:b/>
          <w:bCs/>
          <w:iCs/>
        </w:rPr>
        <w:t>Identify any</w:t>
      </w:r>
      <w:r w:rsidRPr="00667ACD" w:rsidR="00AA7469">
        <w:rPr>
          <w:b/>
          <w:bCs/>
          <w:iCs/>
        </w:rPr>
        <w:t xml:space="preserve"> </w:t>
      </w:r>
      <w:r w:rsidRPr="00667ACD" w:rsidR="00EA78D2">
        <w:rPr>
          <w:b/>
          <w:bCs/>
          <w:iCs/>
        </w:rPr>
        <w:t xml:space="preserve">legal or administrative requirements that necessitate the collection. </w:t>
      </w:r>
      <w:r w:rsidRPr="00667ACD" w:rsidR="001C050B">
        <w:rPr>
          <w:b/>
          <w:bCs/>
          <w:iCs/>
        </w:rPr>
        <w:t xml:space="preserve"> </w:t>
      </w:r>
      <w:r w:rsidRPr="00667ACD" w:rsidR="00EA78D2">
        <w:rPr>
          <w:b/>
          <w:bCs/>
          <w:iCs/>
        </w:rPr>
        <w:t>Attach a copy of the appropriate section of each statute and regulation mandating or authorizing the collection of information.</w:t>
      </w:r>
    </w:p>
    <w:p w:rsidR="00E43CD6" w:rsidP="00E43CD6" w:rsidRDefault="00E43CD6" w14:paraId="55823845" w14:textId="77777777">
      <w:pPr>
        <w:pStyle w:val="ListParagraph"/>
        <w:tabs>
          <w:tab w:val="right" w:pos="360"/>
        </w:tabs>
        <w:autoSpaceDE w:val="0"/>
        <w:autoSpaceDN w:val="0"/>
        <w:adjustRightInd w:val="0"/>
        <w:ind w:left="540"/>
        <w:rPr>
          <w:b/>
          <w:bCs/>
          <w:iCs/>
        </w:rPr>
      </w:pPr>
    </w:p>
    <w:p w:rsidR="00E43CD6" w:rsidP="00E43CD6" w:rsidRDefault="00E43CD6" w14:paraId="20596F11" w14:textId="77777777">
      <w:pPr>
        <w:pStyle w:val="ListParagraph"/>
        <w:tabs>
          <w:tab w:val="right" w:pos="360"/>
        </w:tabs>
        <w:autoSpaceDE w:val="0"/>
        <w:autoSpaceDN w:val="0"/>
        <w:adjustRightInd w:val="0"/>
        <w:ind w:left="540"/>
        <w:rPr>
          <w:bCs/>
        </w:rPr>
      </w:pPr>
    </w:p>
    <w:p w:rsidR="00E43CD6" w:rsidP="00E43CD6" w:rsidRDefault="009D1106" w14:paraId="6A24397D" w14:textId="77777777">
      <w:pPr>
        <w:pStyle w:val="ListParagraph"/>
        <w:tabs>
          <w:tab w:val="right" w:pos="360"/>
        </w:tabs>
        <w:autoSpaceDE w:val="0"/>
        <w:autoSpaceDN w:val="0"/>
        <w:adjustRightInd w:val="0"/>
        <w:ind w:left="540"/>
        <w:rPr>
          <w:kern w:val="36"/>
        </w:rPr>
      </w:pPr>
      <w:r w:rsidRPr="00C03B4F">
        <w:rPr>
          <w:kern w:val="36"/>
        </w:rPr>
        <w:t xml:space="preserve">The federal-state UI program is a required partner in the comprehensive, integrated workforce system.  Individuals who have lost employment due to lack of suitable work and have earned sufficient wage credits may receive UI benefits if they meet initial and continuing eligibility requirements.  Since 2005, the </w:t>
      </w:r>
      <w:r>
        <w:rPr>
          <w:kern w:val="36"/>
        </w:rPr>
        <w:t>Department</w:t>
      </w:r>
      <w:r w:rsidRPr="00C03B4F">
        <w:rPr>
          <w:kern w:val="36"/>
        </w:rPr>
        <w:t xml:space="preserve"> and participating state UI agencies have been addressing individual reemployment needs of UI claimants and working to prevent and detect UI improper payments through the voluntary UI Reemployment and Eligibility Assessment (REA) program and, beginning in FY 2015, through the voluntary RESEA program.  Because there is strong evidence that these programs and service delivery strategies work, they have been a high priority for the </w:t>
      </w:r>
      <w:r>
        <w:rPr>
          <w:kern w:val="36"/>
        </w:rPr>
        <w:t>ETA</w:t>
      </w:r>
      <w:r w:rsidRPr="00C03B4F">
        <w:rPr>
          <w:kern w:val="36"/>
        </w:rPr>
        <w:t>.</w:t>
      </w:r>
    </w:p>
    <w:p w:rsidR="00E43CD6" w:rsidP="00E43CD6" w:rsidRDefault="00E43CD6" w14:paraId="43D10CCA" w14:textId="77777777">
      <w:pPr>
        <w:pStyle w:val="ListParagraph"/>
        <w:tabs>
          <w:tab w:val="right" w:pos="360"/>
        </w:tabs>
        <w:autoSpaceDE w:val="0"/>
        <w:autoSpaceDN w:val="0"/>
        <w:adjustRightInd w:val="0"/>
        <w:ind w:left="540"/>
        <w:rPr>
          <w:kern w:val="36"/>
        </w:rPr>
      </w:pPr>
    </w:p>
    <w:p w:rsidR="00E43CD6" w:rsidP="00E43CD6" w:rsidRDefault="009D1106" w14:paraId="65F2B1EC" w14:textId="77777777">
      <w:pPr>
        <w:pStyle w:val="ListParagraph"/>
        <w:tabs>
          <w:tab w:val="right" w:pos="360"/>
        </w:tabs>
        <w:autoSpaceDE w:val="0"/>
        <w:autoSpaceDN w:val="0"/>
        <w:adjustRightInd w:val="0"/>
        <w:ind w:left="540"/>
      </w:pPr>
      <w:r w:rsidRPr="00C03B4F">
        <w:t>On February 9, 2018, the President signed the Bipartisan Budget Act of 2018, Public Law 115-123 (BBA), which include</w:t>
      </w:r>
      <w:r>
        <w:t>d</w:t>
      </w:r>
      <w:r w:rsidRPr="00C03B4F">
        <w:t xml:space="preserve"> amendments to the Social Security Act (SSA) </w:t>
      </w:r>
      <w:r w:rsidR="001321A2">
        <w:t xml:space="preserve">that </w:t>
      </w:r>
      <w:r w:rsidRPr="00C03B4F">
        <w:t>create a permanent authorization for the RESEA program.  The RESEA provisions are contained in Section 30206 of the BBA, enacting new Section 306 of the SSA</w:t>
      </w:r>
      <w:r>
        <w:t>.  The recently enacted Section</w:t>
      </w:r>
      <w:r w:rsidR="001321A2">
        <w:t xml:space="preserve"> 306 of the Social Security Act introduced several new program requirements including the requirement that states must submit an annual state plan to be considered eligible for funding.  The specific requirements of the state plan are </w:t>
      </w:r>
      <w:r w:rsidR="00102509">
        <w:t>identified in Section 306(e</w:t>
      </w:r>
      <w:r w:rsidR="001321A2">
        <w:t>) of the SSA</w:t>
      </w:r>
      <w:r w:rsidR="00102509">
        <w:t xml:space="preserve"> (attached).  </w:t>
      </w:r>
      <w:r w:rsidR="007536D1">
        <w:t xml:space="preserve">Unlike other provisions of Section 306, there was no specified timeframe associated with implementation of Section 306(e) of the SSA and the Department has interpreted this provision as taking effect upon the BBA’s enactment.  </w:t>
      </w:r>
    </w:p>
    <w:p w:rsidR="00E43CD6" w:rsidP="00E43CD6" w:rsidRDefault="00E43CD6" w14:paraId="6DDF2C7B" w14:textId="77777777">
      <w:pPr>
        <w:pStyle w:val="ListParagraph"/>
        <w:tabs>
          <w:tab w:val="right" w:pos="360"/>
        </w:tabs>
        <w:autoSpaceDE w:val="0"/>
        <w:autoSpaceDN w:val="0"/>
        <w:adjustRightInd w:val="0"/>
        <w:ind w:left="540"/>
      </w:pPr>
    </w:p>
    <w:p w:rsidRPr="00E43CD6" w:rsidR="009D1106" w:rsidP="00E43CD6" w:rsidRDefault="007536D1" w14:paraId="618E3D94" w14:textId="325E74C0">
      <w:pPr>
        <w:pStyle w:val="ListParagraph"/>
        <w:tabs>
          <w:tab w:val="right" w:pos="360"/>
        </w:tabs>
        <w:autoSpaceDE w:val="0"/>
        <w:autoSpaceDN w:val="0"/>
        <w:adjustRightInd w:val="0"/>
        <w:ind w:left="540"/>
        <w:rPr>
          <w:b/>
          <w:bCs/>
          <w:iCs/>
        </w:rPr>
      </w:pPr>
      <w:r>
        <w:t>In addition to the sta</w:t>
      </w:r>
      <w:r w:rsidR="008B5815">
        <w:t>tutorily required elements</w:t>
      </w:r>
      <w:r>
        <w:t xml:space="preserve"> identified in Section 306(e) of the SSA, the ICR also includes routine administrative and logistical elements that have been identified by ETA as necessary for </w:t>
      </w:r>
      <w:r w:rsidR="008B5815">
        <w:t xml:space="preserve">the </w:t>
      </w:r>
      <w:r>
        <w:t xml:space="preserve">grant review and approval process.  </w:t>
      </w:r>
    </w:p>
    <w:p w:rsidRPr="00CE3C52" w:rsidR="00EA78D2" w:rsidP="00EA78D2" w:rsidRDefault="00EA78D2" w14:paraId="513FD58D" w14:textId="77777777">
      <w:pPr>
        <w:autoSpaceDE w:val="0"/>
        <w:autoSpaceDN w:val="0"/>
        <w:adjustRightInd w:val="0"/>
      </w:pPr>
    </w:p>
    <w:p w:rsidR="00EA78D2" w:rsidP="006C133A" w:rsidRDefault="009D2A30" w14:paraId="18F06B5A" w14:textId="77777777">
      <w:pPr>
        <w:tabs>
          <w:tab w:val="right" w:pos="360"/>
        </w:tabs>
        <w:autoSpaceDE w:val="0"/>
        <w:autoSpaceDN w:val="0"/>
        <w:adjustRightInd w:val="0"/>
        <w:ind w:left="540" w:hanging="540"/>
        <w:rPr>
          <w:i/>
        </w:rPr>
      </w:pPr>
      <w:r w:rsidRPr="00C271F0">
        <w:rPr>
          <w:b/>
          <w:bCs/>
          <w:iCs/>
        </w:rPr>
        <w:lastRenderedPageBreak/>
        <w:tab/>
      </w:r>
      <w:r w:rsidRPr="00C271F0" w:rsidR="00EA78D2">
        <w:rPr>
          <w:b/>
          <w:bCs/>
          <w:iCs/>
        </w:rPr>
        <w:t>2.</w:t>
      </w:r>
      <w:r w:rsidRPr="00B10FD7" w:rsidR="00EA78D2">
        <w:rPr>
          <w:i/>
        </w:rPr>
        <w:t xml:space="preserve"> </w:t>
      </w:r>
      <w:r w:rsidRPr="00B10FD7">
        <w:rPr>
          <w:i/>
        </w:rPr>
        <w:tab/>
      </w:r>
      <w:r w:rsidRPr="00AA7469" w:rsidR="00EA78D2">
        <w:rPr>
          <w:b/>
          <w:bCs/>
          <w:iCs/>
        </w:rPr>
        <w:t xml:space="preserve">Indicate how, by whom, and for what purpose the information is to be used. </w:t>
      </w:r>
      <w:r w:rsidRPr="00AA7469" w:rsidR="00B10FD7">
        <w:rPr>
          <w:b/>
          <w:bCs/>
          <w:iCs/>
        </w:rPr>
        <w:t xml:space="preserve"> </w:t>
      </w:r>
      <w:r w:rsidRPr="00AA7469" w:rsidR="00EA78D2">
        <w:rPr>
          <w:b/>
          <w:bCs/>
          <w:iCs/>
        </w:rPr>
        <w:t>Except for a new collection, indicate the actual use the agency has made of the information received from the current collection.</w:t>
      </w:r>
    </w:p>
    <w:p w:rsidR="000166A6" w:rsidP="006C133A" w:rsidRDefault="000166A6" w14:paraId="5A53091A" w14:textId="02FA5F36">
      <w:pPr>
        <w:tabs>
          <w:tab w:val="right" w:pos="360"/>
        </w:tabs>
        <w:autoSpaceDE w:val="0"/>
        <w:autoSpaceDN w:val="0"/>
        <w:adjustRightInd w:val="0"/>
        <w:ind w:left="540" w:hanging="540"/>
        <w:rPr>
          <w:i/>
        </w:rPr>
      </w:pPr>
    </w:p>
    <w:p w:rsidR="00150AF4" w:rsidP="008B5815" w:rsidRDefault="008B5815" w14:paraId="3EAEF692" w14:textId="6A88815E">
      <w:pPr>
        <w:tabs>
          <w:tab w:val="right" w:pos="360"/>
        </w:tabs>
        <w:autoSpaceDE w:val="0"/>
        <w:autoSpaceDN w:val="0"/>
        <w:adjustRightInd w:val="0"/>
        <w:ind w:left="540" w:hanging="540"/>
      </w:pPr>
      <w:r>
        <w:rPr>
          <w:i/>
        </w:rPr>
        <w:tab/>
      </w:r>
      <w:r w:rsidRPr="00713BA3" w:rsidR="00150AF4">
        <w:tab/>
        <w:t>To be considered eligible</w:t>
      </w:r>
      <w:r w:rsidRPr="009A4440" w:rsidR="00150AF4">
        <w:t xml:space="preserve"> for</w:t>
      </w:r>
      <w:r w:rsidRPr="009A4440">
        <w:t xml:space="preserve"> RESEA</w:t>
      </w:r>
      <w:r>
        <w:t xml:space="preserve"> funding for a Fiscal Year, </w:t>
      </w:r>
      <w:r w:rsidR="00150AF4">
        <w:t xml:space="preserve">a </w:t>
      </w:r>
      <w:r w:rsidR="00713BA3">
        <w:t>s</w:t>
      </w:r>
      <w:r>
        <w:t>tate must submit a state plan that</w:t>
      </w:r>
      <w:r w:rsidR="00150AF4">
        <w:t xml:space="preserve"> outlines how the state intends to conduct a program of reemployment services and eligibility assessments by responding to </w:t>
      </w:r>
      <w:r>
        <w:t xml:space="preserve">all the </w:t>
      </w:r>
      <w:r w:rsidR="00150AF4">
        <w:t xml:space="preserve">required elements identified in this proposed ICR.  Complete plans the fully address the required elements and are submitted in timely manner will be approved by Secretary.  Plans that fail to meet the required elements will be disapproved </w:t>
      </w:r>
      <w:r w:rsidR="00713BA3">
        <w:t>and the s</w:t>
      </w:r>
      <w:r w:rsidR="00150AF4">
        <w:t>tate will be notified of this disapproval within 30 days o</w:t>
      </w:r>
      <w:r w:rsidR="001C1A99">
        <w:t xml:space="preserve">f the Department’s </w:t>
      </w:r>
      <w:r w:rsidR="00150AF4">
        <w:t>receipt of the plan.  This written notification will describe any portion(s) of the plan that was not approved and the reason for the disapproval(s) and provide the state with an opportunity to submit a revised plan.</w:t>
      </w:r>
    </w:p>
    <w:p w:rsidR="001C1A99" w:rsidP="008B5815" w:rsidRDefault="001C1A99" w14:paraId="4607BCAB" w14:textId="5FC8DC6E">
      <w:pPr>
        <w:tabs>
          <w:tab w:val="right" w:pos="360"/>
        </w:tabs>
        <w:autoSpaceDE w:val="0"/>
        <w:autoSpaceDN w:val="0"/>
        <w:adjustRightInd w:val="0"/>
        <w:ind w:left="540" w:hanging="540"/>
      </w:pPr>
    </w:p>
    <w:p w:rsidR="001C1A99" w:rsidP="008B5815" w:rsidRDefault="001C1A99" w14:paraId="37BD5116" w14:textId="795B3C26">
      <w:pPr>
        <w:tabs>
          <w:tab w:val="right" w:pos="360"/>
        </w:tabs>
        <w:autoSpaceDE w:val="0"/>
        <w:autoSpaceDN w:val="0"/>
        <w:adjustRightInd w:val="0"/>
        <w:ind w:left="540" w:hanging="540"/>
      </w:pPr>
      <w:r>
        <w:tab/>
      </w:r>
      <w:r>
        <w:tab/>
        <w:t xml:space="preserve">Approved plans will be incorporated into each state’s grant agreement and be used by the Department to support routine grant monitoring and the targeting of technical assistance. The Department will also analyze and summarize the information contained in the state plans to inform future budget requests and respond to requests from Congress, Office of the Inspector General, and other RESEA stakeholders.  Portions of the state plans may also be made available to the public through publication on the </w:t>
      </w:r>
      <w:r w:rsidR="0089139A">
        <w:t>Department’s</w:t>
      </w:r>
      <w:r>
        <w:t xml:space="preserve"> websites. </w:t>
      </w:r>
    </w:p>
    <w:p w:rsidR="008B5815" w:rsidP="00713BA3" w:rsidRDefault="008B5815" w14:paraId="23DB3BBA" w14:textId="14AFDE26">
      <w:pPr>
        <w:tabs>
          <w:tab w:val="right" w:pos="360"/>
        </w:tabs>
        <w:autoSpaceDE w:val="0"/>
        <w:autoSpaceDN w:val="0"/>
        <w:adjustRightInd w:val="0"/>
        <w:rPr>
          <w:i/>
        </w:rPr>
      </w:pPr>
    </w:p>
    <w:p w:rsidRPr="00B10FD7" w:rsidR="000166A6" w:rsidP="00713BA3" w:rsidRDefault="000166A6" w14:paraId="7A8E7707" w14:textId="77777777">
      <w:pPr>
        <w:tabs>
          <w:tab w:val="right" w:pos="360"/>
        </w:tabs>
        <w:autoSpaceDE w:val="0"/>
        <w:autoSpaceDN w:val="0"/>
        <w:adjustRightInd w:val="0"/>
        <w:rPr>
          <w:i/>
        </w:rPr>
      </w:pPr>
    </w:p>
    <w:p w:rsidRPr="00706756" w:rsidR="00EA78D2" w:rsidP="006C133A" w:rsidRDefault="00F44D0F" w14:paraId="4679493E" w14:textId="77777777">
      <w:pPr>
        <w:tabs>
          <w:tab w:val="right" w:pos="360"/>
        </w:tabs>
        <w:autoSpaceDE w:val="0"/>
        <w:autoSpaceDN w:val="0"/>
        <w:adjustRightInd w:val="0"/>
        <w:ind w:left="540" w:hanging="540"/>
        <w:rPr>
          <w:b/>
          <w:bCs/>
          <w:iCs/>
        </w:rPr>
      </w:pPr>
      <w:r w:rsidRPr="002221A7">
        <w:rPr>
          <w:i/>
        </w:rPr>
        <w:tab/>
      </w:r>
      <w:r w:rsidRPr="00706756" w:rsidR="00EA78D2">
        <w:rPr>
          <w:b/>
          <w:bCs/>
          <w:iCs/>
        </w:rPr>
        <w:t>3.</w:t>
      </w:r>
      <w:r w:rsidRPr="00706756">
        <w:rPr>
          <w:b/>
          <w:bCs/>
          <w:iCs/>
        </w:rPr>
        <w:tab/>
      </w:r>
      <w:r w:rsidRPr="00706756" w:rsidR="00EA78D2">
        <w:rPr>
          <w:b/>
          <w:bCs/>
          <w:i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06756" w:rsidR="00910252">
        <w:rPr>
          <w:b/>
          <w:bCs/>
          <w:iCs/>
        </w:rPr>
        <w:t xml:space="preserve"> </w:t>
      </w:r>
      <w:r w:rsidRPr="00706756" w:rsidR="00EA78D2">
        <w:rPr>
          <w:b/>
          <w:bCs/>
          <w:iCs/>
        </w:rPr>
        <w:t>Also</w:t>
      </w:r>
      <w:r w:rsidRPr="00706756" w:rsidR="00910252">
        <w:rPr>
          <w:b/>
          <w:bCs/>
          <w:iCs/>
        </w:rPr>
        <w:t>,</w:t>
      </w:r>
      <w:r w:rsidRPr="00706756" w:rsidR="00EA78D2">
        <w:rPr>
          <w:b/>
          <w:bCs/>
          <w:iCs/>
        </w:rPr>
        <w:t xml:space="preserve"> describe any consideration of using information technology to reduce burden.</w:t>
      </w:r>
    </w:p>
    <w:p w:rsidRPr="002221A7" w:rsidR="000166A6" w:rsidP="006C133A" w:rsidRDefault="000166A6" w14:paraId="35FBB98C" w14:textId="77777777">
      <w:pPr>
        <w:tabs>
          <w:tab w:val="right" w:pos="360"/>
        </w:tabs>
        <w:autoSpaceDE w:val="0"/>
        <w:autoSpaceDN w:val="0"/>
        <w:adjustRightInd w:val="0"/>
        <w:ind w:left="540" w:hanging="540"/>
        <w:rPr>
          <w:i/>
        </w:rPr>
      </w:pPr>
    </w:p>
    <w:p w:rsidR="000166A6" w:rsidP="009E37D3" w:rsidRDefault="000166A6" w14:paraId="150A0A87" w14:textId="405D74B0">
      <w:pPr>
        <w:tabs>
          <w:tab w:val="left" w:pos="-1440"/>
        </w:tabs>
        <w:ind w:left="540"/>
      </w:pPr>
      <w:r>
        <w:t xml:space="preserve">This data reporting requirement uses automated procedures for data collection, transmission, and analysis that utilize state and </w:t>
      </w:r>
      <w:r w:rsidR="00713BA3">
        <w:t>F</w:t>
      </w:r>
      <w:r>
        <w:t xml:space="preserve">ederal information processing technology.  </w:t>
      </w:r>
      <w:r w:rsidRPr="005B7E0A">
        <w:t>USDOL provides computers to eac</w:t>
      </w:r>
      <w:r w:rsidRPr="005B7E0A">
        <w:rPr>
          <w:color w:val="000080"/>
        </w:rPr>
        <w:t>h</w:t>
      </w:r>
      <w:r w:rsidRPr="005B7E0A">
        <w:t xml:space="preserve"> state and jurisdict</w:t>
      </w:r>
      <w:r w:rsidRPr="005B7E0A">
        <w:rPr>
          <w:color w:val="000080"/>
        </w:rPr>
        <w:t>i</w:t>
      </w:r>
      <w:r w:rsidRPr="005B7E0A">
        <w:t xml:space="preserve">on along with </w:t>
      </w:r>
      <w:r>
        <w:t>r</w:t>
      </w:r>
      <w:r w:rsidRPr="005B7E0A">
        <w:t xml:space="preserve">eporting software and a proprietary network to use to transmit data to the computers at the </w:t>
      </w:r>
      <w:r>
        <w:t>US</w:t>
      </w:r>
      <w:r w:rsidRPr="005B7E0A">
        <w:rPr>
          <w:color w:val="000000"/>
        </w:rPr>
        <w:t>DOL</w:t>
      </w:r>
      <w:r w:rsidRPr="005B7E0A">
        <w:rPr>
          <w:color w:val="000080"/>
        </w:rPr>
        <w:t xml:space="preserve"> </w:t>
      </w:r>
      <w:r w:rsidRPr="005B7E0A">
        <w:rPr>
          <w:color w:val="000000"/>
        </w:rPr>
        <w:t>N</w:t>
      </w:r>
      <w:r w:rsidRPr="005B7E0A">
        <w:t xml:space="preserve">ational </w:t>
      </w:r>
      <w:r w:rsidRPr="005B7E0A">
        <w:rPr>
          <w:color w:val="000000"/>
        </w:rPr>
        <w:t>O</w:t>
      </w:r>
      <w:r w:rsidRPr="005B7E0A">
        <w:t xml:space="preserve">ffice.  </w:t>
      </w:r>
    </w:p>
    <w:p w:rsidRPr="00CE3C52" w:rsidR="00EA78D2" w:rsidP="00EA78D2" w:rsidRDefault="00EA78D2" w14:paraId="3D428847" w14:textId="77777777">
      <w:pPr>
        <w:autoSpaceDE w:val="0"/>
        <w:autoSpaceDN w:val="0"/>
        <w:adjustRightInd w:val="0"/>
      </w:pPr>
    </w:p>
    <w:p w:rsidRPr="00706756" w:rsidR="00EA78D2" w:rsidP="006C133A" w:rsidRDefault="008A07F2" w14:paraId="3C72DE37" w14:textId="77777777">
      <w:pPr>
        <w:tabs>
          <w:tab w:val="right" w:pos="360"/>
          <w:tab w:val="left" w:pos="540"/>
        </w:tabs>
        <w:autoSpaceDE w:val="0"/>
        <w:autoSpaceDN w:val="0"/>
        <w:adjustRightInd w:val="0"/>
        <w:ind w:left="540" w:hanging="540"/>
        <w:rPr>
          <w:b/>
          <w:bCs/>
          <w:iCs/>
        </w:rPr>
      </w:pPr>
      <w:r w:rsidRPr="00706756">
        <w:rPr>
          <w:b/>
          <w:bCs/>
          <w:iCs/>
        </w:rPr>
        <w:tab/>
      </w:r>
      <w:r w:rsidRPr="00706756" w:rsidR="00EA78D2">
        <w:rPr>
          <w:b/>
          <w:bCs/>
          <w:iCs/>
        </w:rPr>
        <w:t>4.</w:t>
      </w:r>
      <w:r w:rsidRPr="00706756">
        <w:rPr>
          <w:b/>
          <w:bCs/>
          <w:iCs/>
        </w:rPr>
        <w:tab/>
      </w:r>
      <w:r w:rsidRPr="00706756" w:rsidR="00EA78D2">
        <w:rPr>
          <w:b/>
          <w:bCs/>
          <w:iCs/>
        </w:rPr>
        <w:t xml:space="preserve">Describe efforts to identify duplication. </w:t>
      </w:r>
      <w:r w:rsidRPr="00706756" w:rsidR="00910252">
        <w:rPr>
          <w:b/>
          <w:bCs/>
          <w:iCs/>
        </w:rPr>
        <w:t xml:space="preserve"> </w:t>
      </w:r>
      <w:r w:rsidRPr="00706756" w:rsidR="00EA78D2">
        <w:rPr>
          <w:b/>
          <w:bCs/>
          <w:iCs/>
        </w:rPr>
        <w:t>Show specifically why any similar information already available cannot be used or modified for use for the purposes described in Item 2 above.</w:t>
      </w:r>
    </w:p>
    <w:p w:rsidR="00581C6C" w:rsidP="006C133A" w:rsidRDefault="00581C6C" w14:paraId="1DC3B654" w14:textId="77777777">
      <w:pPr>
        <w:tabs>
          <w:tab w:val="right" w:pos="360"/>
          <w:tab w:val="left" w:pos="540"/>
        </w:tabs>
        <w:autoSpaceDE w:val="0"/>
        <w:autoSpaceDN w:val="0"/>
        <w:adjustRightInd w:val="0"/>
        <w:ind w:left="540" w:hanging="540"/>
        <w:rPr>
          <w:i/>
        </w:rPr>
      </w:pPr>
    </w:p>
    <w:p w:rsidR="00581C6C" w:rsidP="00581C6C" w:rsidRDefault="009E37D3" w14:paraId="78367FE4" w14:textId="77777777">
      <w:pPr>
        <w:tabs>
          <w:tab w:val="left" w:pos="-1440"/>
        </w:tabs>
      </w:pPr>
      <w:r>
        <w:t xml:space="preserve">        </w:t>
      </w:r>
      <w:r w:rsidR="00581C6C">
        <w:t>There is no duplication.</w:t>
      </w:r>
    </w:p>
    <w:p w:rsidRPr="00CE3C52" w:rsidR="00EA78D2" w:rsidP="00EA78D2" w:rsidRDefault="00EA78D2" w14:paraId="5DD543B0" w14:textId="77777777">
      <w:pPr>
        <w:autoSpaceDE w:val="0"/>
        <w:autoSpaceDN w:val="0"/>
        <w:adjustRightInd w:val="0"/>
      </w:pPr>
    </w:p>
    <w:p w:rsidRPr="00706756" w:rsidR="00EA78D2" w:rsidP="006C133A" w:rsidRDefault="008A07F2" w14:paraId="5992AC80" w14:textId="77777777">
      <w:pPr>
        <w:tabs>
          <w:tab w:val="right" w:pos="360"/>
          <w:tab w:val="left" w:pos="540"/>
        </w:tabs>
        <w:autoSpaceDE w:val="0"/>
        <w:autoSpaceDN w:val="0"/>
        <w:adjustRightInd w:val="0"/>
        <w:ind w:left="540" w:hanging="540"/>
        <w:rPr>
          <w:b/>
          <w:bCs/>
          <w:iCs/>
        </w:rPr>
      </w:pPr>
      <w:r w:rsidRPr="002221A7">
        <w:rPr>
          <w:i/>
        </w:rPr>
        <w:tab/>
      </w:r>
      <w:r w:rsidRPr="00706756" w:rsidR="00EA78D2">
        <w:rPr>
          <w:b/>
          <w:bCs/>
          <w:iCs/>
        </w:rPr>
        <w:t>5.</w:t>
      </w:r>
      <w:r w:rsidRPr="00706756">
        <w:rPr>
          <w:b/>
          <w:bCs/>
          <w:iCs/>
        </w:rPr>
        <w:tab/>
      </w:r>
      <w:r w:rsidRPr="00706756" w:rsidR="00EA78D2">
        <w:rPr>
          <w:b/>
          <w:bCs/>
          <w:iCs/>
        </w:rPr>
        <w:t>If the collection of information impacts small businesses or other small entities, describe any methods used to minimize burden.</w:t>
      </w:r>
    </w:p>
    <w:p w:rsidRPr="00706756" w:rsidR="00581C6C" w:rsidP="006C133A" w:rsidRDefault="00581C6C" w14:paraId="6AF0841D" w14:textId="77777777">
      <w:pPr>
        <w:tabs>
          <w:tab w:val="right" w:pos="360"/>
          <w:tab w:val="left" w:pos="540"/>
        </w:tabs>
        <w:autoSpaceDE w:val="0"/>
        <w:autoSpaceDN w:val="0"/>
        <w:adjustRightInd w:val="0"/>
        <w:ind w:left="540" w:hanging="540"/>
        <w:rPr>
          <w:iCs/>
        </w:rPr>
      </w:pPr>
    </w:p>
    <w:p w:rsidR="00581C6C" w:rsidP="00581C6C" w:rsidRDefault="00B0760B" w14:paraId="28092FAB" w14:textId="77777777">
      <w:r>
        <w:t xml:space="preserve">        </w:t>
      </w:r>
      <w:r w:rsidR="00581C6C">
        <w:t>This collection does not impact small businesses.</w:t>
      </w:r>
    </w:p>
    <w:p w:rsidRPr="00CE3C52" w:rsidR="00EA78D2" w:rsidP="00EA78D2" w:rsidRDefault="00EA78D2" w14:paraId="03767297" w14:textId="77777777">
      <w:pPr>
        <w:autoSpaceDE w:val="0"/>
        <w:autoSpaceDN w:val="0"/>
        <w:adjustRightInd w:val="0"/>
      </w:pPr>
    </w:p>
    <w:p w:rsidRPr="00706756" w:rsidR="001C1A99" w:rsidP="00713BA3" w:rsidRDefault="008A07F2" w14:paraId="29A91769" w14:textId="6EA11A5C">
      <w:pPr>
        <w:tabs>
          <w:tab w:val="right" w:pos="360"/>
          <w:tab w:val="left" w:pos="540"/>
        </w:tabs>
        <w:autoSpaceDE w:val="0"/>
        <w:autoSpaceDN w:val="0"/>
        <w:adjustRightInd w:val="0"/>
        <w:ind w:left="540" w:hanging="540"/>
        <w:rPr>
          <w:b/>
          <w:bCs/>
          <w:iCs/>
        </w:rPr>
      </w:pPr>
      <w:r w:rsidRPr="002221A7">
        <w:rPr>
          <w:i/>
        </w:rPr>
        <w:lastRenderedPageBreak/>
        <w:tab/>
      </w:r>
      <w:r w:rsidRPr="00706756" w:rsidR="00EA78D2">
        <w:rPr>
          <w:b/>
          <w:bCs/>
          <w:iCs/>
        </w:rPr>
        <w:t>6.</w:t>
      </w:r>
      <w:r w:rsidRPr="00706756">
        <w:rPr>
          <w:b/>
          <w:bCs/>
          <w:iCs/>
        </w:rPr>
        <w:tab/>
      </w:r>
      <w:r w:rsidRPr="00706756" w:rsidR="00EA78D2">
        <w:rPr>
          <w:b/>
          <w:bCs/>
          <w:iCs/>
        </w:rPr>
        <w:t>Describe the consequence to Federal program or policy activities if the collection is not conducted or is conducted less frequently, as well as any technical or legal obstacles to reducing burden.</w:t>
      </w:r>
    </w:p>
    <w:p w:rsidR="0089139A" w:rsidP="00713BA3" w:rsidRDefault="0089139A" w14:paraId="0CBB5837" w14:textId="084A011D"/>
    <w:p w:rsidR="0089139A" w:rsidP="009A4440" w:rsidRDefault="0089139A" w14:paraId="63F17DF5" w14:textId="6361503C">
      <w:pPr>
        <w:ind w:left="540"/>
      </w:pPr>
      <w:r>
        <w:t xml:space="preserve">Several requirements </w:t>
      </w:r>
      <w:r w:rsidR="008B27F3">
        <w:t>in</w:t>
      </w:r>
      <w:r>
        <w:t xml:space="preserve"> Section 306 of the SSA require frequent oversight to ensure states </w:t>
      </w:r>
      <w:proofErr w:type="gramStart"/>
      <w:r>
        <w:t>are in</w:t>
      </w:r>
      <w:r w:rsidR="00574452">
        <w:t xml:space="preserve"> </w:t>
      </w:r>
      <w:r>
        <w:t>compliance with</w:t>
      </w:r>
      <w:proofErr w:type="gramEnd"/>
      <w:r>
        <w:t xml:space="preserve"> the statute.  Specifically, Section 306(c)(1) provides that “a State shall use such funds [RESEA grant funds] only for interventions demonstrated to reduce the number of weeks for which program </w:t>
      </w:r>
      <w:r w:rsidR="00574452">
        <w:t>participants</w:t>
      </w:r>
      <w:r>
        <w:t xml:space="preserve"> receive </w:t>
      </w:r>
      <w:r w:rsidR="00574452">
        <w:t>unemployment compensation</w:t>
      </w:r>
      <w:r w:rsidR="000269A1">
        <w:t xml:space="preserve">” and Section 306(d)(1) requires “any intervention without a high or moderate causal evidence rating…be under evaluation at the time of use.”  There are also separate funding </w:t>
      </w:r>
      <w:r w:rsidR="009A4440">
        <w:t>restrictions</w:t>
      </w:r>
      <w:r w:rsidR="000269A1">
        <w:t xml:space="preserve"> associated with each of these requirements. </w:t>
      </w:r>
    </w:p>
    <w:p w:rsidR="000269A1" w:rsidP="009A4440" w:rsidRDefault="000269A1" w14:paraId="55587A99" w14:textId="14D2FDAE">
      <w:pPr>
        <w:ind w:left="540"/>
      </w:pPr>
    </w:p>
    <w:p w:rsidR="00687C85" w:rsidP="00FC47AC" w:rsidRDefault="000269A1" w14:paraId="58030AD0" w14:textId="368B4DA2">
      <w:pPr>
        <w:ind w:left="540"/>
      </w:pPr>
      <w:r>
        <w:t xml:space="preserve">Due to </w:t>
      </w:r>
      <w:r w:rsidR="009A4440">
        <w:t xml:space="preserve">resource limitations, the Department will need to rely on the state plans to ensure compliance with Federal requirements.  </w:t>
      </w:r>
      <w:r w:rsidR="00D3235C">
        <w:t xml:space="preserve">Collecting </w:t>
      </w:r>
      <w:r w:rsidR="00713BA3">
        <w:t>state p</w:t>
      </w:r>
      <w:r w:rsidR="009A4440">
        <w:t xml:space="preserve">lans </w:t>
      </w:r>
      <w:r w:rsidR="00D3235C">
        <w:t xml:space="preserve">less frequently </w:t>
      </w:r>
      <w:r w:rsidR="008D40E8">
        <w:t xml:space="preserve">than </w:t>
      </w:r>
      <w:r w:rsidR="00687C85">
        <w:t xml:space="preserve">annually </w:t>
      </w:r>
      <w:r w:rsidR="00D3235C">
        <w:t>would not allow for adequate</w:t>
      </w:r>
      <w:r w:rsidR="009A4440">
        <w:t xml:space="preserve"> and timely</w:t>
      </w:r>
      <w:r w:rsidR="00D3235C">
        <w:t xml:space="preserve"> monitoring or </w:t>
      </w:r>
      <w:r w:rsidR="009A4440">
        <w:t xml:space="preserve">targeting of technical assistance. </w:t>
      </w:r>
      <w:r w:rsidR="00D3235C">
        <w:t xml:space="preserve"> </w:t>
      </w:r>
    </w:p>
    <w:p w:rsidR="00FC6929" w:rsidP="00713BA3" w:rsidRDefault="00FC6929" w14:paraId="0B421703" w14:textId="4C438BEF"/>
    <w:p w:rsidR="00E335D2" w:rsidP="00E335D2" w:rsidRDefault="00687C85" w14:paraId="05A0E973" w14:textId="77777777">
      <w:pPr>
        <w:ind w:left="540"/>
      </w:pPr>
      <w:r>
        <w:t xml:space="preserve">Additionally, </w:t>
      </w:r>
      <w:r w:rsidR="009A4440">
        <w:t>to support states in meeting the above requirements, the Department will maintain an inventory of evidence-based strategies and interventions that</w:t>
      </w:r>
      <w:r w:rsidR="00257E6C">
        <w:t xml:space="preserve"> state</w:t>
      </w:r>
      <w:r w:rsidR="007C0800">
        <w:t>s</w:t>
      </w:r>
      <w:r w:rsidR="009A4440">
        <w:t xml:space="preserve"> may</w:t>
      </w:r>
      <w:r w:rsidR="00257E6C">
        <w:t xml:space="preserve"> incorporate</w:t>
      </w:r>
      <w:r w:rsidR="009A4440">
        <w:t xml:space="preserve"> into</w:t>
      </w:r>
      <w:r w:rsidR="00257E6C">
        <w:t xml:space="preserve"> their</w:t>
      </w:r>
      <w:r w:rsidR="009A4440">
        <w:t xml:space="preserve"> RESEA service-delivery design. The state plans will provide valuable</w:t>
      </w:r>
      <w:r w:rsidR="007C0800">
        <w:t xml:space="preserve"> information, </w:t>
      </w:r>
      <w:r w:rsidR="00385CF6">
        <w:t>including information</w:t>
      </w:r>
      <w:r w:rsidR="007C0800">
        <w:t xml:space="preserve"> </w:t>
      </w:r>
      <w:r w:rsidR="00257E6C">
        <w:t xml:space="preserve">about ongoing evaluations and participant </w:t>
      </w:r>
      <w:r w:rsidR="007C0800">
        <w:t xml:space="preserve">data collected during the previous Fiscal </w:t>
      </w:r>
      <w:r w:rsidR="00385CF6">
        <w:t>year that</w:t>
      </w:r>
      <w:r w:rsidR="007C0800">
        <w:t xml:space="preserve"> will assist the Department in maintaining an inventory that reflects the most current information available. </w:t>
      </w:r>
      <w:r w:rsidR="00257E6C">
        <w:t xml:space="preserve"> </w:t>
      </w:r>
      <w:r w:rsidR="009A4440">
        <w:t xml:space="preserve"> </w:t>
      </w:r>
    </w:p>
    <w:p w:rsidR="00E335D2" w:rsidP="00E335D2" w:rsidRDefault="00E335D2" w14:paraId="2CFA3D26" w14:textId="77777777">
      <w:pPr>
        <w:ind w:firstLine="360"/>
      </w:pPr>
    </w:p>
    <w:p w:rsidRPr="00D53DEB" w:rsidR="00E335D2" w:rsidP="00E335D2" w:rsidRDefault="00EA78D2" w14:paraId="6CBFCD87" w14:textId="523A9886">
      <w:pPr>
        <w:ind w:left="720" w:hanging="360"/>
      </w:pPr>
      <w:r w:rsidRPr="00927DD9">
        <w:rPr>
          <w:b/>
          <w:bCs/>
          <w:iCs/>
        </w:rPr>
        <w:t>7.</w:t>
      </w:r>
      <w:r w:rsidR="00E335D2">
        <w:rPr>
          <w:b/>
          <w:bCs/>
          <w:iCs/>
        </w:rPr>
        <w:tab/>
      </w:r>
      <w:r w:rsidRPr="00D53DEB" w:rsidR="00E335D2">
        <w:rPr>
          <w:b/>
          <w:bCs/>
        </w:rPr>
        <w:t>Explain any special circumstances that would cause an information collection to be conducted in a manner:</w:t>
      </w:r>
    </w:p>
    <w:p w:rsidRPr="00D53DEB" w:rsidR="00E335D2" w:rsidP="00E335D2" w:rsidRDefault="00E335D2" w14:paraId="153C9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53DEB" w:rsidR="00E335D2" w:rsidP="00E335D2" w:rsidRDefault="00E335D2" w14:paraId="50CDF565"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rPr>
      </w:pPr>
      <w:r w:rsidRPr="00D53DEB">
        <w:rPr>
          <w:b/>
          <w:bCs/>
        </w:rPr>
        <w:t xml:space="preserve">requiring respondents to report information to the agency more often than </w:t>
      </w:r>
      <w:proofErr w:type="gramStart"/>
      <w:r w:rsidRPr="00D53DEB">
        <w:rPr>
          <w:b/>
          <w:bCs/>
        </w:rPr>
        <w:t>quarterly;</w:t>
      </w:r>
      <w:proofErr w:type="gramEnd"/>
    </w:p>
    <w:p w:rsidRPr="00D53DEB" w:rsidR="00E335D2" w:rsidP="00E335D2" w:rsidRDefault="00E335D2" w14:paraId="084C028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E335D2" w:rsidP="00E335D2" w:rsidRDefault="00E335D2" w14:paraId="670AB369"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rPr>
      </w:pPr>
      <w:r w:rsidRPr="00D53DEB">
        <w:rPr>
          <w:b/>
          <w:bCs/>
        </w:rPr>
        <w:t xml:space="preserve">requiring respondents to prepare a written response to a collection of information in fewer than 30 days after receipt of </w:t>
      </w:r>
      <w:proofErr w:type="gramStart"/>
      <w:r w:rsidRPr="00D53DEB">
        <w:rPr>
          <w:b/>
          <w:bCs/>
        </w:rPr>
        <w:t>it;</w:t>
      </w:r>
      <w:proofErr w:type="gramEnd"/>
    </w:p>
    <w:p w:rsidRPr="00D53DEB" w:rsidR="00E335D2" w:rsidP="00E335D2" w:rsidRDefault="00E335D2" w14:paraId="2091BB5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E335D2" w:rsidP="00E335D2" w:rsidRDefault="00E335D2" w14:paraId="11CC6CD8"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rPr>
      </w:pPr>
      <w:r w:rsidRPr="00D53DEB">
        <w:rPr>
          <w:b/>
          <w:bCs/>
        </w:rPr>
        <w:t xml:space="preserve">requiring respondents to submit more than an original and two copies of any </w:t>
      </w:r>
      <w:proofErr w:type="gramStart"/>
      <w:r w:rsidRPr="00D53DEB">
        <w:rPr>
          <w:b/>
          <w:bCs/>
        </w:rPr>
        <w:t>document;</w:t>
      </w:r>
      <w:proofErr w:type="gramEnd"/>
    </w:p>
    <w:p w:rsidRPr="00D53DEB" w:rsidR="00E335D2" w:rsidP="00E335D2" w:rsidRDefault="00E335D2" w14:paraId="6A786073"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E335D2" w:rsidP="00E335D2" w:rsidRDefault="00E335D2" w14:paraId="27190EA5"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rPr>
      </w:pPr>
      <w:r w:rsidRPr="00D53DEB">
        <w:rPr>
          <w:b/>
          <w:bCs/>
        </w:rPr>
        <w:t xml:space="preserve">requiring respondents to retain records, other than health, medical, government contract, grant-in-aid, or tax records for more than three </w:t>
      </w:r>
      <w:proofErr w:type="gramStart"/>
      <w:r w:rsidRPr="00D53DEB">
        <w:rPr>
          <w:b/>
          <w:bCs/>
        </w:rPr>
        <w:t>years;</w:t>
      </w:r>
      <w:proofErr w:type="gramEnd"/>
    </w:p>
    <w:p w:rsidRPr="00D53DEB" w:rsidR="00E335D2" w:rsidP="00E335D2" w:rsidRDefault="00E335D2" w14:paraId="075394E1"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E335D2" w:rsidP="00E335D2" w:rsidRDefault="00E335D2" w14:paraId="2C833369"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rPr>
      </w:pPr>
      <w:r w:rsidRPr="00D53DEB">
        <w:rPr>
          <w:b/>
          <w:bCs/>
        </w:rPr>
        <w:t xml:space="preserve">in connection with a statistical survey, that is not designed to produce valid and reliable results that can be generalized to the universe of </w:t>
      </w:r>
      <w:proofErr w:type="gramStart"/>
      <w:r w:rsidRPr="00D53DEB">
        <w:rPr>
          <w:b/>
          <w:bCs/>
        </w:rPr>
        <w:t>study;</w:t>
      </w:r>
      <w:proofErr w:type="gramEnd"/>
    </w:p>
    <w:p w:rsidRPr="00D53DEB" w:rsidR="00E335D2" w:rsidP="00E335D2" w:rsidRDefault="00E335D2" w14:paraId="40581B6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E335D2" w:rsidP="00D116CE" w:rsidRDefault="00E335D2" w14:paraId="0F2063F0"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rPr>
      </w:pPr>
      <w:r w:rsidRPr="00D53DEB">
        <w:rPr>
          <w:b/>
          <w:bCs/>
        </w:rPr>
        <w:t xml:space="preserve">requiring the use of statistical data classification that has not been reviewed and approved by </w:t>
      </w:r>
      <w:proofErr w:type="gramStart"/>
      <w:r w:rsidRPr="00D53DEB">
        <w:rPr>
          <w:b/>
          <w:bCs/>
        </w:rPr>
        <w:t>OMB;</w:t>
      </w:r>
      <w:proofErr w:type="gramEnd"/>
    </w:p>
    <w:p w:rsidRPr="00D53DEB" w:rsidR="00E335D2" w:rsidP="00E335D2" w:rsidRDefault="00E335D2" w14:paraId="68A6AB0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E335D2" w:rsidP="00D116CE" w:rsidRDefault="00E335D2" w14:paraId="5CFC1843"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rPr>
      </w:pPr>
      <w:r w:rsidRPr="00D53DEB">
        <w:rPr>
          <w:b/>
          <w:bCs/>
        </w:rPr>
        <w:lastRenderedPageBreak/>
        <w:t>that includes a pledge of confidential</w:t>
      </w:r>
      <w:r>
        <w:rPr>
          <w:b/>
          <w:bCs/>
        </w:rPr>
        <w:t>it</w:t>
      </w:r>
      <w:r w:rsidRPr="00D53DEB">
        <w:rPr>
          <w:b/>
          <w:bCs/>
        </w:rPr>
        <w: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3DEB" w:rsidR="00E335D2" w:rsidP="00E335D2" w:rsidRDefault="00E335D2" w14:paraId="4E3BB1A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E335D2" w:rsidP="00D116CE" w:rsidRDefault="00E335D2" w14:paraId="631C5D44"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53DEB">
        <w:rPr>
          <w:b/>
          <w:bCs/>
        </w:rPr>
        <w:t>requiring respondents to submit proprietary trade secret, or other confidential information unless the agency can demonstrate that it has instituted procedures to protect the information's confidential</w:t>
      </w:r>
      <w:r>
        <w:rPr>
          <w:b/>
          <w:bCs/>
        </w:rPr>
        <w:t>it</w:t>
      </w:r>
      <w:r w:rsidRPr="00D53DEB">
        <w:rPr>
          <w:b/>
          <w:bCs/>
        </w:rPr>
        <w:t>y to the extent permitted by law.</w:t>
      </w:r>
    </w:p>
    <w:p w:rsidRPr="00D53DEB" w:rsidR="00E335D2" w:rsidP="00E335D2" w:rsidRDefault="00E335D2" w14:paraId="5232D99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E335D2" w:rsidP="00E335D2" w:rsidRDefault="00E335D2" w14:paraId="03D322B2" w14:textId="78BAA7E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ab/>
      </w:r>
      <w:r w:rsidRPr="00AB65EB">
        <w:t>This ICR implicates no special circumstances.</w:t>
      </w:r>
    </w:p>
    <w:p w:rsidR="00EA78D2" w:rsidP="00E335D2" w:rsidRDefault="00EA78D2" w14:paraId="45071496" w14:textId="55E6C527">
      <w:pPr>
        <w:tabs>
          <w:tab w:val="right" w:pos="360"/>
          <w:tab w:val="left" w:pos="540"/>
        </w:tabs>
        <w:autoSpaceDE w:val="0"/>
        <w:autoSpaceDN w:val="0"/>
        <w:adjustRightInd w:val="0"/>
        <w:ind w:left="540" w:hanging="540"/>
      </w:pPr>
    </w:p>
    <w:p w:rsidRPr="00927DD9" w:rsidR="00EA78D2" w:rsidP="00973CD5" w:rsidRDefault="00DC5B18" w14:paraId="3BAD8886" w14:textId="77777777">
      <w:pPr>
        <w:tabs>
          <w:tab w:val="right" w:pos="360"/>
          <w:tab w:val="left" w:pos="540"/>
        </w:tabs>
        <w:autoSpaceDE w:val="0"/>
        <w:autoSpaceDN w:val="0"/>
        <w:adjustRightInd w:val="0"/>
        <w:ind w:left="540" w:hanging="540"/>
        <w:rPr>
          <w:b/>
          <w:bCs/>
          <w:iCs/>
        </w:rPr>
      </w:pPr>
      <w:r w:rsidRPr="00927DD9">
        <w:rPr>
          <w:b/>
          <w:bCs/>
          <w:iCs/>
        </w:rPr>
        <w:tab/>
      </w:r>
      <w:r w:rsidRPr="00927DD9" w:rsidR="00EA78D2">
        <w:rPr>
          <w:b/>
          <w:bCs/>
          <w:iCs/>
        </w:rPr>
        <w:t>8.</w:t>
      </w:r>
      <w:r w:rsidRPr="00927DD9">
        <w:rPr>
          <w:b/>
          <w:bCs/>
          <w:iCs/>
        </w:rPr>
        <w:tab/>
      </w:r>
      <w:r w:rsidRPr="00927DD9" w:rsidR="00EA78D2">
        <w:rPr>
          <w:b/>
          <w:bCs/>
          <w:iCs/>
        </w:rPr>
        <w:t xml:space="preserve">If applicable, provide a copy and identify the date and page number of </w:t>
      </w:r>
      <w:proofErr w:type="gramStart"/>
      <w:r w:rsidRPr="00927DD9" w:rsidR="00EA78D2">
        <w:rPr>
          <w:b/>
          <w:bCs/>
          <w:iCs/>
        </w:rPr>
        <w:t>publication</w:t>
      </w:r>
      <w:proofErr w:type="gramEnd"/>
      <w:r w:rsidRPr="00927DD9" w:rsidR="00EA78D2">
        <w:rPr>
          <w:b/>
          <w:bCs/>
          <w:iCs/>
        </w:rPr>
        <w:t xml:space="preserve"> in the </w:t>
      </w:r>
      <w:r w:rsidRPr="00927DD9" w:rsidR="00EA78D2">
        <w:rPr>
          <w:b/>
          <w:bCs/>
          <w:i/>
        </w:rPr>
        <w:t>Federal Register</w:t>
      </w:r>
      <w:r w:rsidRPr="00927DD9" w:rsidR="00EA78D2">
        <w:rPr>
          <w:b/>
          <w:bCs/>
          <w:iCs/>
        </w:rPr>
        <w:t xml:space="preserve"> of the agency's notice, required by 5 CFR 1320.8(d), soliciting comments on the information collection prior to submission to OMB. </w:t>
      </w:r>
      <w:r w:rsidRPr="00927DD9" w:rsidR="001C050B">
        <w:rPr>
          <w:b/>
          <w:bCs/>
          <w:iCs/>
        </w:rPr>
        <w:t xml:space="preserve"> </w:t>
      </w:r>
      <w:r w:rsidRPr="00927DD9" w:rsidR="00EA78D2">
        <w:rPr>
          <w:b/>
          <w:bCs/>
          <w:iCs/>
        </w:rPr>
        <w:t>Summarize public comments received in response to that notice and describe actions taken by the agency in response to these comments</w:t>
      </w:r>
      <w:r w:rsidRPr="00927DD9" w:rsidR="00F25EFF">
        <w:rPr>
          <w:b/>
          <w:bCs/>
          <w:iCs/>
        </w:rPr>
        <w:t xml:space="preserve">.  </w:t>
      </w:r>
      <w:r w:rsidRPr="00927DD9" w:rsidR="00EA78D2">
        <w:rPr>
          <w:b/>
          <w:bCs/>
          <w:iCs/>
        </w:rPr>
        <w:t xml:space="preserve">Specifically address comments received on cost and hour burden. </w:t>
      </w:r>
    </w:p>
    <w:p w:rsidRPr="00927DD9" w:rsidR="00E5276F" w:rsidP="00973CD5" w:rsidRDefault="00E5276F" w14:paraId="0B5B41D8" w14:textId="77777777">
      <w:pPr>
        <w:autoSpaceDE w:val="0"/>
        <w:autoSpaceDN w:val="0"/>
        <w:adjustRightInd w:val="0"/>
        <w:ind w:left="540"/>
        <w:rPr>
          <w:b/>
          <w:bCs/>
          <w:iCs/>
        </w:rPr>
      </w:pPr>
    </w:p>
    <w:p w:rsidRPr="00927DD9" w:rsidR="00EA78D2" w:rsidP="00973CD5" w:rsidRDefault="00EA78D2" w14:paraId="46F9A1AF" w14:textId="77777777">
      <w:pPr>
        <w:autoSpaceDE w:val="0"/>
        <w:autoSpaceDN w:val="0"/>
        <w:adjustRightInd w:val="0"/>
        <w:ind w:left="540"/>
        <w:rPr>
          <w:b/>
          <w:bCs/>
          <w:iCs/>
        </w:rPr>
      </w:pPr>
      <w:r w:rsidRPr="00927DD9">
        <w:rPr>
          <w:b/>
          <w:bCs/>
          <w:iCs/>
        </w:rPr>
        <w:t>Describe efforts to consult with persons outside the agency to obtain their views on the availability of data, frequency of collection, the clarity of instructions and recordkeeping, disclosure, or reporting format (if any), and on the data elements to be re</w:t>
      </w:r>
      <w:r w:rsidRPr="00927DD9" w:rsidR="001C050B">
        <w:rPr>
          <w:b/>
          <w:bCs/>
          <w:iCs/>
        </w:rPr>
        <w:t>corded, disclosed, or reported.</w:t>
      </w:r>
    </w:p>
    <w:p w:rsidR="00904938" w:rsidP="00973CD5" w:rsidRDefault="00904938" w14:paraId="71BC8279" w14:textId="77777777">
      <w:pPr>
        <w:autoSpaceDE w:val="0"/>
        <w:autoSpaceDN w:val="0"/>
        <w:adjustRightInd w:val="0"/>
        <w:ind w:left="540"/>
        <w:rPr>
          <w:i/>
        </w:rPr>
      </w:pPr>
    </w:p>
    <w:p w:rsidRPr="00927DD9" w:rsidR="00EA78D2" w:rsidP="00973CD5" w:rsidRDefault="00EA78D2" w14:paraId="67E65C3B" w14:textId="77777777">
      <w:pPr>
        <w:autoSpaceDE w:val="0"/>
        <w:autoSpaceDN w:val="0"/>
        <w:adjustRightInd w:val="0"/>
        <w:ind w:left="540"/>
        <w:rPr>
          <w:b/>
          <w:bCs/>
          <w:iCs/>
        </w:rPr>
      </w:pPr>
      <w:r w:rsidRPr="00927DD9">
        <w:rPr>
          <w:b/>
          <w:bCs/>
          <w:iCs/>
        </w:rPr>
        <w:t>Consultation with representatives of those from whom information is to be obtained or those who must compile records should occur at least once every 3 years</w:t>
      </w:r>
      <w:r w:rsidRPr="00927DD9" w:rsidR="002221A7">
        <w:rPr>
          <w:b/>
          <w:bCs/>
          <w:iCs/>
        </w:rPr>
        <w:t>—</w:t>
      </w:r>
      <w:r w:rsidRPr="00927DD9">
        <w:rPr>
          <w:b/>
          <w:bCs/>
          <w:iCs/>
        </w:rPr>
        <w:t xml:space="preserve">even if the collection of information activity is the same as in prior periods. </w:t>
      </w:r>
      <w:r w:rsidRPr="00927DD9" w:rsidR="00DC5B18">
        <w:rPr>
          <w:b/>
          <w:bCs/>
          <w:iCs/>
        </w:rPr>
        <w:t xml:space="preserve"> </w:t>
      </w:r>
      <w:r w:rsidRPr="00927DD9">
        <w:rPr>
          <w:b/>
          <w:bCs/>
          <w:iCs/>
        </w:rPr>
        <w:t xml:space="preserve">There may be circumstances that may preclude consultation in a specific situation. </w:t>
      </w:r>
      <w:r w:rsidRPr="00927DD9" w:rsidR="00DC5B18">
        <w:rPr>
          <w:b/>
          <w:bCs/>
          <w:iCs/>
        </w:rPr>
        <w:t xml:space="preserve"> </w:t>
      </w:r>
      <w:r w:rsidRPr="00927DD9">
        <w:rPr>
          <w:b/>
          <w:bCs/>
          <w:iCs/>
        </w:rPr>
        <w:t>These circumstances should be explained.</w:t>
      </w:r>
    </w:p>
    <w:p w:rsidR="00EA78D2" w:rsidP="00B0760B" w:rsidRDefault="00EA78D2" w14:paraId="0B6D4271" w14:textId="77777777">
      <w:pPr>
        <w:autoSpaceDE w:val="0"/>
        <w:autoSpaceDN w:val="0"/>
        <w:adjustRightInd w:val="0"/>
        <w:ind w:left="540"/>
      </w:pPr>
    </w:p>
    <w:p w:rsidRPr="008E0F10" w:rsidR="00D3235C" w:rsidP="00B0760B" w:rsidRDefault="00D3235C" w14:paraId="799A97F4" w14:textId="78CF3053">
      <w:pPr>
        <w:ind w:left="540"/>
      </w:pPr>
      <w:r w:rsidRPr="0014585F">
        <w:rPr>
          <w:rFonts w:cs="Courier New"/>
        </w:rPr>
        <w:t xml:space="preserve">In accordance with the Paperwork Reduction Act of 1995, the public was given an opportunity to review and comment through a notice in the </w:t>
      </w:r>
      <w:r w:rsidRPr="0014585F">
        <w:rPr>
          <w:rFonts w:cs="Courier New"/>
          <w:i/>
        </w:rPr>
        <w:t>Federal Register</w:t>
      </w:r>
      <w:r w:rsidRPr="0014585F">
        <w:rPr>
          <w:rFonts w:cs="Courier New"/>
        </w:rPr>
        <w:t xml:space="preserve"> on</w:t>
      </w:r>
      <w:r w:rsidR="001142BB">
        <w:rPr>
          <w:rFonts w:cs="Courier New"/>
        </w:rPr>
        <w:t xml:space="preserve"> April 14, 2022 (87 FR 22234)</w:t>
      </w:r>
      <w:r w:rsidRPr="0014585F">
        <w:rPr>
          <w:rFonts w:cs="Courier New"/>
        </w:rPr>
        <w:t xml:space="preserve">.  </w:t>
      </w:r>
      <w:r w:rsidRPr="0014585F" w:rsidR="002A0B75">
        <w:rPr>
          <w:rFonts w:cs="Courier New"/>
        </w:rPr>
        <w:t xml:space="preserve">No comments were received. </w:t>
      </w:r>
    </w:p>
    <w:p w:rsidRPr="00CE3C52" w:rsidR="00EA78D2" w:rsidP="00EA78D2" w:rsidRDefault="00EA78D2" w14:paraId="3AC4609B" w14:textId="77777777">
      <w:pPr>
        <w:autoSpaceDE w:val="0"/>
        <w:autoSpaceDN w:val="0"/>
        <w:adjustRightInd w:val="0"/>
      </w:pPr>
    </w:p>
    <w:p w:rsidRPr="00927DD9" w:rsidR="00EA78D2" w:rsidP="00973CD5" w:rsidRDefault="00F52F68" w14:paraId="1ABAE29E" w14:textId="77777777">
      <w:pPr>
        <w:tabs>
          <w:tab w:val="right" w:pos="360"/>
          <w:tab w:val="left" w:pos="540"/>
        </w:tabs>
        <w:autoSpaceDE w:val="0"/>
        <w:autoSpaceDN w:val="0"/>
        <w:adjustRightInd w:val="0"/>
        <w:ind w:left="540" w:hanging="540"/>
        <w:rPr>
          <w:b/>
          <w:bCs/>
          <w:iCs/>
        </w:rPr>
      </w:pPr>
      <w:r w:rsidRPr="008F4D44">
        <w:rPr>
          <w:i/>
        </w:rPr>
        <w:tab/>
      </w:r>
      <w:r w:rsidRPr="00927DD9" w:rsidR="00EA78D2">
        <w:rPr>
          <w:b/>
          <w:bCs/>
          <w:iCs/>
        </w:rPr>
        <w:t>9.</w:t>
      </w:r>
      <w:r w:rsidRPr="00927DD9">
        <w:rPr>
          <w:b/>
          <w:bCs/>
          <w:iCs/>
        </w:rPr>
        <w:tab/>
      </w:r>
      <w:r w:rsidRPr="00927DD9" w:rsidR="00EA78D2">
        <w:rPr>
          <w:b/>
          <w:bCs/>
          <w:iCs/>
        </w:rPr>
        <w:t>Explain any decision to provide any payment or gift to respondents, other than remuneration of contractors or grantees.</w:t>
      </w:r>
    </w:p>
    <w:p w:rsidR="00EA78D2" w:rsidP="00EA78D2" w:rsidRDefault="00EA78D2" w14:paraId="0E9485BE" w14:textId="77777777">
      <w:pPr>
        <w:autoSpaceDE w:val="0"/>
        <w:autoSpaceDN w:val="0"/>
        <w:adjustRightInd w:val="0"/>
      </w:pPr>
    </w:p>
    <w:p w:rsidR="00D3235C" w:rsidP="00D3235C" w:rsidRDefault="00B0760B" w14:paraId="72DB824B" w14:textId="76226154">
      <w:pPr>
        <w:tabs>
          <w:tab w:val="left" w:pos="-1440"/>
        </w:tabs>
      </w:pPr>
      <w:r>
        <w:t xml:space="preserve">         </w:t>
      </w:r>
      <w:r w:rsidR="00D3235C">
        <w:t xml:space="preserve">No payments </w:t>
      </w:r>
      <w:r w:rsidR="00927DD9">
        <w:t xml:space="preserve">and/or gifts </w:t>
      </w:r>
      <w:r w:rsidR="00D3235C">
        <w:t xml:space="preserve">are made to respondents.  </w:t>
      </w:r>
    </w:p>
    <w:p w:rsidRPr="00CE3C52" w:rsidR="00F52F68" w:rsidP="00EA78D2" w:rsidRDefault="00F52F68" w14:paraId="6A2260E5" w14:textId="77777777">
      <w:pPr>
        <w:autoSpaceDE w:val="0"/>
        <w:autoSpaceDN w:val="0"/>
        <w:adjustRightInd w:val="0"/>
      </w:pPr>
    </w:p>
    <w:p w:rsidRPr="00927DD9" w:rsidR="00EA78D2" w:rsidP="00973CD5" w:rsidRDefault="00F52F68" w14:paraId="43EC0F87" w14:textId="77777777">
      <w:pPr>
        <w:tabs>
          <w:tab w:val="right" w:pos="360"/>
          <w:tab w:val="left" w:pos="540"/>
        </w:tabs>
        <w:autoSpaceDE w:val="0"/>
        <w:autoSpaceDN w:val="0"/>
        <w:adjustRightInd w:val="0"/>
        <w:ind w:left="540" w:hanging="540"/>
        <w:rPr>
          <w:b/>
          <w:bCs/>
          <w:iCs/>
        </w:rPr>
      </w:pPr>
      <w:r w:rsidRPr="008F4D44">
        <w:rPr>
          <w:i/>
        </w:rPr>
        <w:tab/>
      </w:r>
      <w:r w:rsidRPr="00927DD9" w:rsidR="00EA78D2">
        <w:rPr>
          <w:b/>
          <w:bCs/>
          <w:iCs/>
        </w:rPr>
        <w:t>10.</w:t>
      </w:r>
      <w:r w:rsidRPr="00927DD9">
        <w:rPr>
          <w:b/>
          <w:bCs/>
          <w:iCs/>
        </w:rPr>
        <w:tab/>
      </w:r>
      <w:r w:rsidRPr="00927DD9" w:rsidR="00EA78D2">
        <w:rPr>
          <w:b/>
          <w:bCs/>
          <w:iCs/>
        </w:rPr>
        <w:t>Describe any assurance of confidentiality provided to respondents and the basis for the assurance in statute, regulation, or agency policy.</w:t>
      </w:r>
    </w:p>
    <w:p w:rsidR="00EA78D2" w:rsidP="00EA78D2" w:rsidRDefault="00EA78D2" w14:paraId="521C7BD1" w14:textId="77777777">
      <w:pPr>
        <w:autoSpaceDE w:val="0"/>
        <w:autoSpaceDN w:val="0"/>
        <w:adjustRightInd w:val="0"/>
      </w:pPr>
    </w:p>
    <w:p w:rsidR="00D3235C" w:rsidP="00B0760B" w:rsidRDefault="00D3235C" w14:paraId="29C6EF99" w14:textId="1DBBBED0">
      <w:pPr>
        <w:tabs>
          <w:tab w:val="left" w:pos="-1440"/>
        </w:tabs>
        <w:ind w:left="540"/>
      </w:pPr>
      <w:r>
        <w:t>There are no issues of confidentiality as no personal data on individual claimants is provided to ETA as part of this collection.</w:t>
      </w:r>
      <w:r w:rsidR="00FC47AC">
        <w:t xml:space="preserve"> </w:t>
      </w:r>
      <w:r>
        <w:t xml:space="preserve"> ETA does not receive any data on individual claimants from states as a requirement of this data collection.  Only aggregate data describing activity for all claimants are reported to</w:t>
      </w:r>
      <w:r w:rsidR="00FC47AC">
        <w:t xml:space="preserve"> ETA</w:t>
      </w:r>
      <w:r>
        <w:t xml:space="preserve">.  </w:t>
      </w:r>
    </w:p>
    <w:p w:rsidR="00D3235C" w:rsidP="00B0760B" w:rsidRDefault="00D3235C" w14:paraId="4FE27EEC" w14:textId="77777777">
      <w:pPr>
        <w:ind w:left="540"/>
      </w:pPr>
    </w:p>
    <w:p w:rsidRPr="00CD0FA9" w:rsidR="00EA78D2" w:rsidP="00973CD5" w:rsidRDefault="00973CD5" w14:paraId="3F2C025F" w14:textId="77777777">
      <w:pPr>
        <w:tabs>
          <w:tab w:val="right" w:pos="360"/>
          <w:tab w:val="left" w:pos="540"/>
        </w:tabs>
        <w:autoSpaceDE w:val="0"/>
        <w:autoSpaceDN w:val="0"/>
        <w:adjustRightInd w:val="0"/>
        <w:ind w:left="540" w:hanging="540"/>
        <w:rPr>
          <w:b/>
          <w:bCs/>
          <w:iCs/>
        </w:rPr>
      </w:pPr>
      <w:r w:rsidRPr="00CD0FA9">
        <w:rPr>
          <w:b/>
          <w:bCs/>
          <w:iCs/>
        </w:rPr>
        <w:tab/>
      </w:r>
      <w:r w:rsidRPr="00CD0FA9" w:rsidR="00EA78D2">
        <w:rPr>
          <w:b/>
          <w:bCs/>
          <w:iCs/>
        </w:rPr>
        <w:t>11.</w:t>
      </w:r>
      <w:r w:rsidRPr="00CD0FA9">
        <w:rPr>
          <w:b/>
          <w:bCs/>
          <w:iCs/>
        </w:rPr>
        <w:tab/>
      </w:r>
      <w:r w:rsidRPr="00CD0FA9" w:rsidR="00EA78D2">
        <w:rPr>
          <w:b/>
          <w:bCs/>
          <w:iCs/>
        </w:rPr>
        <w:t xml:space="preserve">Provide additional justification for any questions of a sensitive nature, such as sexual behavior and attitudes, religious beliefs, and other matters that are commonly considered private. </w:t>
      </w:r>
      <w:r w:rsidRPr="00CD0FA9" w:rsidR="00904938">
        <w:rPr>
          <w:b/>
          <w:bCs/>
          <w:iCs/>
        </w:rPr>
        <w:t xml:space="preserve"> </w:t>
      </w:r>
      <w:r w:rsidRPr="00CD0FA9" w:rsidR="00EA78D2">
        <w:rPr>
          <w:b/>
          <w:bCs/>
          <w:i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rsidRDefault="00EA78D2" w14:paraId="1663B9CD" w14:textId="77777777">
      <w:pPr>
        <w:autoSpaceDE w:val="0"/>
        <w:autoSpaceDN w:val="0"/>
        <w:adjustRightInd w:val="0"/>
      </w:pPr>
    </w:p>
    <w:p w:rsidR="00D3235C" w:rsidP="00D3235C" w:rsidRDefault="00B0760B" w14:paraId="0ADBA54C" w14:textId="77777777">
      <w:pPr>
        <w:tabs>
          <w:tab w:val="left" w:pos="-1440"/>
        </w:tabs>
      </w:pPr>
      <w:r>
        <w:t xml:space="preserve">         </w:t>
      </w:r>
      <w:r w:rsidR="00D3235C">
        <w:t>No questions of a sensitive nature are included.</w:t>
      </w:r>
    </w:p>
    <w:p w:rsidRPr="00CE3C52" w:rsidR="00EA78D2" w:rsidP="00EA78D2" w:rsidRDefault="00EA78D2" w14:paraId="27611473" w14:textId="77777777">
      <w:pPr>
        <w:autoSpaceDE w:val="0"/>
        <w:autoSpaceDN w:val="0"/>
        <w:adjustRightInd w:val="0"/>
      </w:pPr>
    </w:p>
    <w:p w:rsidR="00EA78D2" w:rsidP="00026992" w:rsidRDefault="00996590" w14:paraId="530098CE" w14:textId="016B4B30">
      <w:pPr>
        <w:tabs>
          <w:tab w:val="right" w:pos="360"/>
        </w:tabs>
        <w:autoSpaceDE w:val="0"/>
        <w:autoSpaceDN w:val="0"/>
        <w:adjustRightInd w:val="0"/>
        <w:ind w:left="540" w:hanging="540"/>
        <w:rPr>
          <w:i/>
        </w:rPr>
      </w:pPr>
      <w:r w:rsidRPr="00CD0FA9">
        <w:rPr>
          <w:b/>
          <w:bCs/>
          <w:iCs/>
        </w:rPr>
        <w:tab/>
      </w:r>
      <w:r w:rsidRPr="00CD0FA9" w:rsidR="00EA78D2">
        <w:rPr>
          <w:b/>
          <w:bCs/>
          <w:iCs/>
        </w:rPr>
        <w:t>12.</w:t>
      </w:r>
      <w:r w:rsidRPr="00CD0FA9">
        <w:rPr>
          <w:b/>
          <w:bCs/>
          <w:iCs/>
        </w:rPr>
        <w:tab/>
      </w:r>
      <w:r w:rsidRPr="00CD0FA9" w:rsidR="00EA78D2">
        <w:rPr>
          <w:b/>
          <w:bCs/>
          <w:iCs/>
        </w:rPr>
        <w:t xml:space="preserve"> </w:t>
      </w:r>
      <w:r w:rsidRPr="00CD0FA9" w:rsidR="009E30B9">
        <w:rPr>
          <w:b/>
          <w:bCs/>
          <w:iCs/>
        </w:rPr>
        <w:t>Provide estimates of the hour burden of the collection of information</w:t>
      </w:r>
      <w:r w:rsidRPr="008F4D44" w:rsidR="009E30B9">
        <w:rPr>
          <w:i/>
        </w:rPr>
        <w:t xml:space="preserve">. </w:t>
      </w:r>
      <w:r w:rsidR="00060EDE">
        <w:rPr>
          <w:i/>
        </w:rPr>
        <w:br/>
      </w:r>
      <w:r w:rsidR="009E30B9">
        <w:rPr>
          <w:i/>
        </w:rPr>
        <w:t xml:space="preserve"> </w:t>
      </w:r>
    </w:p>
    <w:p w:rsidRPr="00D53DEB" w:rsidR="00060EDE" w:rsidP="00060EDE" w:rsidRDefault="00060EDE" w14:paraId="1A1B27D8" w14:textId="77777777">
      <w:pPr>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53DE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Pr>
          <w:b/>
          <w:bCs/>
        </w:rPr>
        <w:t>ly</w:t>
      </w:r>
      <w:r w:rsidRPr="00D53DEB">
        <w:rPr>
          <w:b/>
          <w:bCs/>
        </w:rPr>
        <w:t>, estimates should not include burden hours for customary and usual business practices.</w:t>
      </w:r>
    </w:p>
    <w:p w:rsidRPr="00D53DEB" w:rsidR="00060EDE" w:rsidP="00060EDE" w:rsidRDefault="00060EDE" w14:paraId="1ED43EE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D53DEB" w:rsidR="00060EDE" w:rsidP="00060EDE" w:rsidRDefault="00060EDE" w14:paraId="4F7D9E39"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060EDE" w:rsidP="00060EDE" w:rsidRDefault="00060EDE" w14:paraId="212BD20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4B2311" w:rsidR="00060EDE" w:rsidP="00060EDE" w:rsidRDefault="00060EDE" w14:paraId="7D78E49C" w14:textId="76EE2681">
      <w:pPr>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6626FF" w:rsidR="00060EDE" w:rsidP="00060EDE" w:rsidRDefault="00060EDE" w14:paraId="21E71FE5" w14:textId="77777777">
      <w:pPr>
        <w:ind w:left="720"/>
        <w:rPr>
          <w:i/>
        </w:rPr>
      </w:pPr>
    </w:p>
    <w:p w:rsidR="00026992" w:rsidP="00A246E9" w:rsidRDefault="00060EDE" w14:paraId="7E603094" w14:textId="382F6DA7">
      <w:pPr>
        <w:ind w:left="720"/>
        <w:jc w:val="center"/>
        <w:rPr>
          <w:i/>
        </w:rPr>
      </w:pPr>
      <w:r w:rsidRPr="00E60FB0">
        <w:rPr>
          <w:b/>
        </w:rPr>
        <w:t>Estimated Annualized Respondent Cost and Hour Burden</w:t>
      </w:r>
    </w:p>
    <w:tbl>
      <w:tblPr>
        <w:tblW w:w="1026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415"/>
        <w:gridCol w:w="1219"/>
        <w:gridCol w:w="1182"/>
        <w:gridCol w:w="1097"/>
        <w:gridCol w:w="950"/>
        <w:gridCol w:w="978"/>
        <w:gridCol w:w="1980"/>
      </w:tblGrid>
      <w:tr w:rsidR="005C08EE" w:rsidTr="00060218" w14:paraId="3BC787FC" w14:textId="77777777">
        <w:trPr>
          <w:trHeight w:val="1360"/>
        </w:trPr>
        <w:tc>
          <w:tcPr>
            <w:tcW w:w="1390" w:type="dxa"/>
            <w:tcBorders>
              <w:top w:val="single" w:color="auto" w:sz="4" w:space="0"/>
              <w:left w:val="single" w:color="auto" w:sz="4" w:space="0"/>
              <w:bottom w:val="single" w:color="auto" w:sz="4" w:space="0"/>
              <w:right w:val="single" w:color="auto" w:sz="4" w:space="0"/>
            </w:tcBorders>
            <w:shd w:val="clear" w:color="auto" w:fill="8DB3E2"/>
            <w:hideMark/>
          </w:tcPr>
          <w:p w:rsidR="00A246E9" w:rsidP="00206E86" w:rsidRDefault="00A246E9" w14:paraId="208EFD5F" w14:textId="77777777">
            <w:pPr>
              <w:spacing w:line="276" w:lineRule="auto"/>
              <w:rPr>
                <w:b/>
                <w:sz w:val="22"/>
                <w:szCs w:val="22"/>
              </w:rPr>
            </w:pPr>
            <w:r>
              <w:rPr>
                <w:b/>
                <w:sz w:val="22"/>
                <w:szCs w:val="22"/>
              </w:rPr>
              <w:t>Activity</w:t>
            </w:r>
          </w:p>
        </w:tc>
        <w:tc>
          <w:tcPr>
            <w:tcW w:w="1366" w:type="dxa"/>
            <w:tcBorders>
              <w:top w:val="single" w:color="auto" w:sz="4" w:space="0"/>
              <w:left w:val="single" w:color="auto" w:sz="4" w:space="0"/>
              <w:bottom w:val="single" w:color="auto" w:sz="4" w:space="0"/>
              <w:right w:val="single" w:color="auto" w:sz="4" w:space="0"/>
            </w:tcBorders>
            <w:shd w:val="clear" w:color="auto" w:fill="8DB3E2"/>
            <w:hideMark/>
          </w:tcPr>
          <w:p w:rsidR="00A246E9" w:rsidP="00206E86" w:rsidRDefault="00A246E9" w14:paraId="289AED5F" w14:textId="77777777">
            <w:pPr>
              <w:spacing w:line="276" w:lineRule="auto"/>
              <w:rPr>
                <w:b/>
                <w:sz w:val="22"/>
                <w:szCs w:val="22"/>
              </w:rPr>
            </w:pPr>
            <w:r>
              <w:rPr>
                <w:b/>
                <w:sz w:val="22"/>
                <w:szCs w:val="22"/>
              </w:rPr>
              <w:t>Number of Respondents</w:t>
            </w:r>
          </w:p>
        </w:tc>
        <w:tc>
          <w:tcPr>
            <w:tcW w:w="1178" w:type="dxa"/>
            <w:tcBorders>
              <w:top w:val="single" w:color="auto" w:sz="4" w:space="0"/>
              <w:left w:val="single" w:color="auto" w:sz="4" w:space="0"/>
              <w:bottom w:val="single" w:color="auto" w:sz="4" w:space="0"/>
              <w:right w:val="single" w:color="auto" w:sz="4" w:space="0"/>
            </w:tcBorders>
            <w:shd w:val="clear" w:color="auto" w:fill="8DB3E2"/>
            <w:hideMark/>
          </w:tcPr>
          <w:p w:rsidR="00A246E9" w:rsidP="00206E86" w:rsidRDefault="00A246E9" w14:paraId="5A911067" w14:textId="77777777">
            <w:pPr>
              <w:spacing w:line="276" w:lineRule="auto"/>
              <w:rPr>
                <w:b/>
                <w:sz w:val="22"/>
                <w:szCs w:val="22"/>
              </w:rPr>
            </w:pPr>
            <w:r>
              <w:rPr>
                <w:b/>
                <w:sz w:val="22"/>
                <w:szCs w:val="22"/>
              </w:rPr>
              <w:t>Frequency</w:t>
            </w:r>
          </w:p>
        </w:tc>
        <w:tc>
          <w:tcPr>
            <w:tcW w:w="1143" w:type="dxa"/>
            <w:tcBorders>
              <w:top w:val="single" w:color="auto" w:sz="4" w:space="0"/>
              <w:left w:val="single" w:color="auto" w:sz="4" w:space="0"/>
              <w:bottom w:val="single" w:color="auto" w:sz="4" w:space="0"/>
              <w:right w:val="single" w:color="auto" w:sz="4" w:space="0"/>
            </w:tcBorders>
            <w:shd w:val="clear" w:color="auto" w:fill="8DB3E2"/>
            <w:hideMark/>
          </w:tcPr>
          <w:p w:rsidR="00A246E9" w:rsidP="00206E86" w:rsidRDefault="00A246E9" w14:paraId="0A2F36C8" w14:textId="77777777">
            <w:pPr>
              <w:spacing w:line="276" w:lineRule="auto"/>
              <w:rPr>
                <w:b/>
                <w:sz w:val="22"/>
                <w:szCs w:val="22"/>
              </w:rPr>
            </w:pPr>
            <w:r>
              <w:rPr>
                <w:b/>
                <w:sz w:val="22"/>
                <w:szCs w:val="22"/>
              </w:rPr>
              <w:t>Total Annual Responses</w:t>
            </w:r>
          </w:p>
        </w:tc>
        <w:tc>
          <w:tcPr>
            <w:tcW w:w="1061" w:type="dxa"/>
            <w:tcBorders>
              <w:top w:val="single" w:color="auto" w:sz="4" w:space="0"/>
              <w:left w:val="single" w:color="auto" w:sz="4" w:space="0"/>
              <w:bottom w:val="single" w:color="auto" w:sz="4" w:space="0"/>
              <w:right w:val="single" w:color="auto" w:sz="4" w:space="0"/>
            </w:tcBorders>
            <w:shd w:val="clear" w:color="auto" w:fill="8DB3E2"/>
            <w:hideMark/>
          </w:tcPr>
          <w:p w:rsidR="00A246E9" w:rsidP="00206E86" w:rsidRDefault="00A246E9" w14:paraId="7200BC47" w14:textId="77777777">
            <w:pPr>
              <w:spacing w:line="276" w:lineRule="auto"/>
              <w:rPr>
                <w:b/>
                <w:sz w:val="22"/>
                <w:szCs w:val="22"/>
              </w:rPr>
            </w:pPr>
            <w:r>
              <w:rPr>
                <w:b/>
                <w:sz w:val="22"/>
                <w:szCs w:val="22"/>
              </w:rPr>
              <w:t>Time Per Response</w:t>
            </w:r>
          </w:p>
          <w:p w:rsidR="00E401E0" w:rsidP="00206E86" w:rsidRDefault="00E401E0" w14:paraId="505557B1" w14:textId="6C29E650">
            <w:pPr>
              <w:spacing w:line="276" w:lineRule="auto"/>
              <w:rPr>
                <w:b/>
                <w:sz w:val="22"/>
                <w:szCs w:val="22"/>
              </w:rPr>
            </w:pPr>
            <w:r>
              <w:rPr>
                <w:b/>
                <w:sz w:val="22"/>
                <w:szCs w:val="22"/>
              </w:rPr>
              <w:t>(Hours)</w:t>
            </w:r>
          </w:p>
        </w:tc>
        <w:tc>
          <w:tcPr>
            <w:tcW w:w="920" w:type="dxa"/>
            <w:tcBorders>
              <w:top w:val="single" w:color="auto" w:sz="4" w:space="0"/>
              <w:left w:val="single" w:color="auto" w:sz="4" w:space="0"/>
              <w:bottom w:val="single" w:color="auto" w:sz="4" w:space="0"/>
              <w:right w:val="single" w:color="auto" w:sz="4" w:space="0"/>
            </w:tcBorders>
            <w:shd w:val="clear" w:color="auto" w:fill="8DB3E2"/>
            <w:hideMark/>
          </w:tcPr>
          <w:p w:rsidR="00A246E9" w:rsidP="00206E86" w:rsidRDefault="00A246E9" w14:paraId="7512149D" w14:textId="77777777">
            <w:pPr>
              <w:spacing w:line="276" w:lineRule="auto"/>
              <w:rPr>
                <w:b/>
                <w:sz w:val="22"/>
                <w:szCs w:val="22"/>
              </w:rPr>
            </w:pPr>
            <w:r>
              <w:rPr>
                <w:b/>
                <w:sz w:val="22"/>
                <w:szCs w:val="22"/>
              </w:rPr>
              <w:t>Total Annual Burden (Hours)</w:t>
            </w:r>
          </w:p>
        </w:tc>
        <w:tc>
          <w:tcPr>
            <w:tcW w:w="1007" w:type="dxa"/>
            <w:tcBorders>
              <w:top w:val="single" w:color="auto" w:sz="4" w:space="0"/>
              <w:left w:val="single" w:color="auto" w:sz="4" w:space="0"/>
              <w:bottom w:val="single" w:color="auto" w:sz="4" w:space="0"/>
              <w:right w:val="single" w:color="auto" w:sz="4" w:space="0"/>
            </w:tcBorders>
            <w:shd w:val="clear" w:color="auto" w:fill="8DB3E2"/>
            <w:hideMark/>
          </w:tcPr>
          <w:p w:rsidR="00A246E9" w:rsidP="00206E86" w:rsidRDefault="00A246E9" w14:paraId="51ADB9C7" w14:textId="77777777">
            <w:pPr>
              <w:spacing w:line="276" w:lineRule="auto"/>
              <w:rPr>
                <w:b/>
                <w:sz w:val="22"/>
                <w:szCs w:val="22"/>
              </w:rPr>
            </w:pPr>
            <w:r>
              <w:rPr>
                <w:b/>
                <w:sz w:val="22"/>
                <w:szCs w:val="22"/>
              </w:rPr>
              <w:t>Hourly Rate*</w:t>
            </w:r>
          </w:p>
        </w:tc>
        <w:tc>
          <w:tcPr>
            <w:tcW w:w="2195" w:type="dxa"/>
            <w:tcBorders>
              <w:top w:val="single" w:color="auto" w:sz="4" w:space="0"/>
              <w:left w:val="single" w:color="auto" w:sz="4" w:space="0"/>
              <w:bottom w:val="single" w:color="auto" w:sz="4" w:space="0"/>
              <w:right w:val="single" w:color="auto" w:sz="4" w:space="0"/>
            </w:tcBorders>
            <w:shd w:val="clear" w:color="auto" w:fill="8DB3E2"/>
            <w:hideMark/>
          </w:tcPr>
          <w:p w:rsidR="00A246E9" w:rsidP="00206E86" w:rsidRDefault="00A246E9" w14:paraId="10BCF31E" w14:textId="77777777">
            <w:pPr>
              <w:spacing w:line="276" w:lineRule="auto"/>
              <w:rPr>
                <w:b/>
                <w:sz w:val="22"/>
                <w:szCs w:val="22"/>
              </w:rPr>
            </w:pPr>
            <w:r>
              <w:rPr>
                <w:b/>
                <w:sz w:val="22"/>
                <w:szCs w:val="22"/>
              </w:rPr>
              <w:t>Monetized Value of Respondent Time</w:t>
            </w:r>
          </w:p>
        </w:tc>
      </w:tr>
      <w:tr w:rsidR="005C08EE" w:rsidTr="00060218" w14:paraId="06889C2B" w14:textId="77777777">
        <w:trPr>
          <w:trHeight w:val="190"/>
        </w:trPr>
        <w:tc>
          <w:tcPr>
            <w:tcW w:w="1390" w:type="dxa"/>
            <w:tcBorders>
              <w:top w:val="single" w:color="auto" w:sz="4" w:space="0"/>
              <w:left w:val="single" w:color="auto" w:sz="4" w:space="0"/>
              <w:bottom w:val="single" w:color="auto" w:sz="4" w:space="0"/>
              <w:right w:val="single" w:color="auto" w:sz="4" w:space="0"/>
            </w:tcBorders>
            <w:vAlign w:val="bottom"/>
          </w:tcPr>
          <w:p w:rsidR="00A246E9" w:rsidP="00206E86" w:rsidRDefault="00A246E9" w14:paraId="70B8B053" w14:textId="77777777">
            <w:pPr>
              <w:spacing w:line="276" w:lineRule="auto"/>
              <w:rPr>
                <w:sz w:val="22"/>
                <w:szCs w:val="22"/>
              </w:rPr>
            </w:pPr>
            <w:r>
              <w:rPr>
                <w:sz w:val="22"/>
                <w:szCs w:val="22"/>
              </w:rPr>
              <w:t>State Plan Development</w:t>
            </w:r>
          </w:p>
        </w:tc>
        <w:tc>
          <w:tcPr>
            <w:tcW w:w="1366"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785161ED" w14:textId="77777777">
            <w:pPr>
              <w:spacing w:line="276" w:lineRule="auto"/>
              <w:jc w:val="center"/>
              <w:rPr>
                <w:sz w:val="22"/>
                <w:szCs w:val="22"/>
              </w:rPr>
            </w:pPr>
            <w:r>
              <w:rPr>
                <w:sz w:val="22"/>
                <w:szCs w:val="22"/>
              </w:rPr>
              <w:t>53</w:t>
            </w:r>
          </w:p>
        </w:tc>
        <w:tc>
          <w:tcPr>
            <w:tcW w:w="1178"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6526B203" w14:textId="77777777">
            <w:pPr>
              <w:spacing w:line="276" w:lineRule="auto"/>
              <w:jc w:val="center"/>
              <w:rPr>
                <w:sz w:val="22"/>
                <w:szCs w:val="22"/>
              </w:rPr>
            </w:pPr>
            <w:r>
              <w:rPr>
                <w:sz w:val="22"/>
                <w:szCs w:val="22"/>
              </w:rPr>
              <w:t>1</w:t>
            </w:r>
          </w:p>
        </w:tc>
        <w:tc>
          <w:tcPr>
            <w:tcW w:w="1143"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1888131B" w14:textId="77777777">
            <w:pPr>
              <w:spacing w:line="276" w:lineRule="auto"/>
              <w:jc w:val="center"/>
              <w:rPr>
                <w:sz w:val="22"/>
                <w:szCs w:val="22"/>
              </w:rPr>
            </w:pPr>
            <w:r>
              <w:rPr>
                <w:sz w:val="22"/>
                <w:szCs w:val="22"/>
              </w:rPr>
              <w:t>53</w:t>
            </w:r>
          </w:p>
        </w:tc>
        <w:tc>
          <w:tcPr>
            <w:tcW w:w="1061"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3751A982" w14:textId="77777777">
            <w:pPr>
              <w:spacing w:line="276" w:lineRule="auto"/>
              <w:jc w:val="center"/>
              <w:rPr>
                <w:sz w:val="22"/>
                <w:szCs w:val="22"/>
              </w:rPr>
            </w:pPr>
            <w:r>
              <w:rPr>
                <w:sz w:val="22"/>
                <w:szCs w:val="22"/>
              </w:rPr>
              <w:t>40</w:t>
            </w:r>
          </w:p>
        </w:tc>
        <w:tc>
          <w:tcPr>
            <w:tcW w:w="920"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52E0AAA1" w14:textId="77777777">
            <w:pPr>
              <w:spacing w:line="276" w:lineRule="auto"/>
              <w:jc w:val="center"/>
              <w:rPr>
                <w:sz w:val="22"/>
                <w:szCs w:val="22"/>
              </w:rPr>
            </w:pPr>
            <w:r>
              <w:rPr>
                <w:sz w:val="22"/>
                <w:szCs w:val="22"/>
              </w:rPr>
              <w:t>2,120</w:t>
            </w:r>
          </w:p>
        </w:tc>
        <w:tc>
          <w:tcPr>
            <w:tcW w:w="1007"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0FFECA7E" w14:textId="014F9086">
            <w:pPr>
              <w:spacing w:line="276" w:lineRule="auto"/>
              <w:jc w:val="center"/>
              <w:rPr>
                <w:sz w:val="22"/>
                <w:szCs w:val="22"/>
              </w:rPr>
            </w:pPr>
            <w:r>
              <w:rPr>
                <w:sz w:val="22"/>
                <w:szCs w:val="22"/>
              </w:rPr>
              <w:t>$</w:t>
            </w:r>
            <w:r w:rsidR="00DC0492">
              <w:rPr>
                <w:sz w:val="22"/>
                <w:szCs w:val="22"/>
              </w:rPr>
              <w:t>53</w:t>
            </w:r>
            <w:r>
              <w:rPr>
                <w:sz w:val="22"/>
                <w:szCs w:val="22"/>
              </w:rPr>
              <w:t>.</w:t>
            </w:r>
            <w:r w:rsidR="00C52860">
              <w:rPr>
                <w:sz w:val="22"/>
                <w:szCs w:val="22"/>
              </w:rPr>
              <w:t>34</w:t>
            </w:r>
          </w:p>
        </w:tc>
        <w:tc>
          <w:tcPr>
            <w:tcW w:w="2195"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3CAAFBBF" w14:textId="646815C2">
            <w:pPr>
              <w:spacing w:line="276" w:lineRule="auto"/>
              <w:jc w:val="center"/>
              <w:rPr>
                <w:sz w:val="22"/>
                <w:szCs w:val="22"/>
              </w:rPr>
            </w:pPr>
            <w:r>
              <w:rPr>
                <w:sz w:val="22"/>
                <w:szCs w:val="22"/>
              </w:rPr>
              <w:t>$</w:t>
            </w:r>
            <w:r w:rsidR="00DC0492">
              <w:rPr>
                <w:sz w:val="22"/>
                <w:szCs w:val="22"/>
              </w:rPr>
              <w:t>11</w:t>
            </w:r>
            <w:r w:rsidR="003566A3">
              <w:rPr>
                <w:sz w:val="22"/>
                <w:szCs w:val="22"/>
              </w:rPr>
              <w:t>3,080.80</w:t>
            </w:r>
          </w:p>
        </w:tc>
      </w:tr>
      <w:tr w:rsidR="005C08EE" w:rsidTr="00060218" w14:paraId="457D5074" w14:textId="77777777">
        <w:trPr>
          <w:trHeight w:val="390"/>
        </w:trPr>
        <w:tc>
          <w:tcPr>
            <w:tcW w:w="1390" w:type="dxa"/>
            <w:tcBorders>
              <w:top w:val="single" w:color="auto" w:sz="4" w:space="0"/>
              <w:left w:val="single" w:color="auto" w:sz="4" w:space="0"/>
              <w:bottom w:val="single" w:color="auto" w:sz="4" w:space="0"/>
              <w:right w:val="single" w:color="auto" w:sz="4" w:space="0"/>
            </w:tcBorders>
            <w:hideMark/>
          </w:tcPr>
          <w:p w:rsidR="00A246E9" w:rsidP="00206E86" w:rsidRDefault="00A246E9" w14:paraId="41DBBF90" w14:textId="77777777">
            <w:pPr>
              <w:spacing w:line="276" w:lineRule="auto"/>
              <w:rPr>
                <w:b/>
                <w:i/>
                <w:sz w:val="22"/>
                <w:szCs w:val="22"/>
              </w:rPr>
            </w:pPr>
            <w:r>
              <w:rPr>
                <w:b/>
                <w:i/>
                <w:sz w:val="22"/>
                <w:szCs w:val="22"/>
              </w:rPr>
              <w:t>Unduplicated Totals</w:t>
            </w:r>
          </w:p>
        </w:tc>
        <w:tc>
          <w:tcPr>
            <w:tcW w:w="1366"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2650DC05" w14:textId="0817A358">
            <w:pPr>
              <w:spacing w:line="276" w:lineRule="auto"/>
              <w:jc w:val="center"/>
              <w:rPr>
                <w:b/>
                <w:i/>
                <w:sz w:val="22"/>
                <w:szCs w:val="22"/>
              </w:rPr>
            </w:pPr>
          </w:p>
        </w:tc>
        <w:tc>
          <w:tcPr>
            <w:tcW w:w="1178" w:type="dxa"/>
            <w:tcBorders>
              <w:top w:val="single" w:color="auto" w:sz="4" w:space="0"/>
              <w:left w:val="single" w:color="auto" w:sz="4" w:space="0"/>
              <w:bottom w:val="single" w:color="auto" w:sz="4" w:space="0"/>
              <w:right w:val="single" w:color="auto" w:sz="4" w:space="0"/>
            </w:tcBorders>
            <w:vAlign w:val="bottom"/>
          </w:tcPr>
          <w:p w:rsidR="00A246E9" w:rsidP="00A246E9" w:rsidRDefault="003566A3" w14:paraId="07156417" w14:textId="0DE20E9C">
            <w:pPr>
              <w:spacing w:line="276" w:lineRule="auto"/>
              <w:jc w:val="center"/>
              <w:rPr>
                <w:b/>
                <w:i/>
                <w:sz w:val="22"/>
                <w:szCs w:val="22"/>
              </w:rPr>
            </w:pPr>
            <w:r>
              <w:rPr>
                <w:b/>
                <w:i/>
                <w:sz w:val="22"/>
                <w:szCs w:val="22"/>
              </w:rPr>
              <w:t>/////</w:t>
            </w:r>
          </w:p>
        </w:tc>
        <w:tc>
          <w:tcPr>
            <w:tcW w:w="1143"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5AAD89A4" w14:textId="77777777">
            <w:pPr>
              <w:spacing w:line="276" w:lineRule="auto"/>
              <w:jc w:val="center"/>
              <w:rPr>
                <w:b/>
                <w:i/>
                <w:sz w:val="22"/>
                <w:szCs w:val="22"/>
              </w:rPr>
            </w:pPr>
            <w:r>
              <w:rPr>
                <w:b/>
                <w:i/>
                <w:sz w:val="22"/>
                <w:szCs w:val="22"/>
              </w:rPr>
              <w:t>53</w:t>
            </w:r>
          </w:p>
        </w:tc>
        <w:tc>
          <w:tcPr>
            <w:tcW w:w="1061" w:type="dxa"/>
            <w:tcBorders>
              <w:top w:val="single" w:color="auto" w:sz="4" w:space="0"/>
              <w:left w:val="single" w:color="auto" w:sz="4" w:space="0"/>
              <w:bottom w:val="single" w:color="auto" w:sz="4" w:space="0"/>
              <w:right w:val="single" w:color="auto" w:sz="4" w:space="0"/>
            </w:tcBorders>
            <w:vAlign w:val="bottom"/>
          </w:tcPr>
          <w:p w:rsidR="00A246E9" w:rsidP="00A246E9" w:rsidRDefault="003566A3" w14:paraId="4E8636C3" w14:textId="34572D85">
            <w:pPr>
              <w:spacing w:line="276" w:lineRule="auto"/>
              <w:jc w:val="center"/>
              <w:rPr>
                <w:b/>
                <w:i/>
                <w:sz w:val="22"/>
                <w:szCs w:val="22"/>
              </w:rPr>
            </w:pPr>
            <w:r>
              <w:rPr>
                <w:b/>
                <w:i/>
                <w:sz w:val="22"/>
                <w:szCs w:val="22"/>
              </w:rPr>
              <w:t>/////</w:t>
            </w:r>
          </w:p>
        </w:tc>
        <w:tc>
          <w:tcPr>
            <w:tcW w:w="920"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0DEFBD0C" w14:textId="77777777">
            <w:pPr>
              <w:spacing w:line="276" w:lineRule="auto"/>
              <w:jc w:val="center"/>
              <w:rPr>
                <w:b/>
                <w:i/>
                <w:sz w:val="22"/>
                <w:szCs w:val="22"/>
              </w:rPr>
            </w:pPr>
            <w:r>
              <w:rPr>
                <w:b/>
                <w:i/>
                <w:sz w:val="22"/>
                <w:szCs w:val="22"/>
              </w:rPr>
              <w:t>2,120</w:t>
            </w:r>
          </w:p>
        </w:tc>
        <w:tc>
          <w:tcPr>
            <w:tcW w:w="1007"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41341F8B" w14:textId="7F78DD53">
            <w:pPr>
              <w:spacing w:line="276" w:lineRule="auto"/>
              <w:jc w:val="center"/>
              <w:rPr>
                <w:b/>
                <w:i/>
                <w:sz w:val="22"/>
                <w:szCs w:val="22"/>
              </w:rPr>
            </w:pPr>
          </w:p>
        </w:tc>
        <w:tc>
          <w:tcPr>
            <w:tcW w:w="2195" w:type="dxa"/>
            <w:tcBorders>
              <w:top w:val="single" w:color="auto" w:sz="4" w:space="0"/>
              <w:left w:val="single" w:color="auto" w:sz="4" w:space="0"/>
              <w:bottom w:val="single" w:color="auto" w:sz="4" w:space="0"/>
              <w:right w:val="single" w:color="auto" w:sz="4" w:space="0"/>
            </w:tcBorders>
            <w:vAlign w:val="bottom"/>
          </w:tcPr>
          <w:p w:rsidR="00A246E9" w:rsidP="00A246E9" w:rsidRDefault="00A246E9" w14:paraId="07AAFB74" w14:textId="0929F6DA">
            <w:pPr>
              <w:spacing w:line="276" w:lineRule="auto"/>
              <w:jc w:val="center"/>
              <w:rPr>
                <w:b/>
                <w:i/>
                <w:sz w:val="22"/>
                <w:szCs w:val="22"/>
              </w:rPr>
            </w:pPr>
            <w:r>
              <w:rPr>
                <w:b/>
                <w:i/>
                <w:sz w:val="22"/>
                <w:szCs w:val="22"/>
              </w:rPr>
              <w:t>$1</w:t>
            </w:r>
            <w:r w:rsidR="00DC0492">
              <w:rPr>
                <w:b/>
                <w:i/>
                <w:sz w:val="22"/>
                <w:szCs w:val="22"/>
              </w:rPr>
              <w:t>1</w:t>
            </w:r>
            <w:r w:rsidR="003566A3">
              <w:rPr>
                <w:b/>
                <w:i/>
                <w:sz w:val="22"/>
                <w:szCs w:val="22"/>
              </w:rPr>
              <w:t>3,080.80</w:t>
            </w:r>
          </w:p>
        </w:tc>
      </w:tr>
    </w:tbl>
    <w:p w:rsidRPr="00060218" w:rsidR="001142BB" w:rsidP="001142BB" w:rsidRDefault="001142BB" w14:paraId="17D3429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rPr>
      </w:pPr>
      <w:r w:rsidRPr="00060218">
        <w:rPr>
          <w:bCs/>
        </w:rPr>
        <w:t xml:space="preserve">*Source: The hourly rate is computed by dividing the FY 2022 national average PS/PB annual salary for state staff as provided for through the distribution of state UI administrative grants </w:t>
      </w:r>
    </w:p>
    <w:p w:rsidR="00A246E9" w:rsidP="00060218" w:rsidRDefault="001142BB" w14:paraId="534950C4" w14:textId="0F603EB9">
      <w:pPr>
        <w:rPr>
          <w:bCs/>
        </w:rPr>
      </w:pPr>
      <w:r w:rsidRPr="00060218">
        <w:rPr>
          <w:bCs/>
        </w:rPr>
        <w:t>(https://www.dol.gov/agencies/eta/advisories/unemployment-insurance-program-letter-no-25-21-change-1)by the average number of hours worked in a year (1,711).  For FY 2022, this calculation is:  $91,265 / 1,711= $53.34</w:t>
      </w:r>
      <w:r w:rsidRPr="001142BB">
        <w:rPr>
          <w:bCs/>
        </w:rPr>
        <w:t>.</w:t>
      </w:r>
    </w:p>
    <w:p w:rsidR="00060218" w:rsidP="00026992" w:rsidRDefault="00060218" w14:paraId="7A52FFB8" w14:textId="77777777">
      <w:pPr>
        <w:ind w:left="540"/>
      </w:pPr>
    </w:p>
    <w:p w:rsidR="00977517" w:rsidP="00B0760B" w:rsidRDefault="00026992" w14:paraId="7BCB65B9" w14:textId="23CB4C3B">
      <w:pPr>
        <w:ind w:left="540"/>
        <w:rPr>
          <w:i/>
        </w:rPr>
      </w:pPr>
      <w:r>
        <w:t>During FY 20</w:t>
      </w:r>
      <w:r w:rsidR="003A230C">
        <w:t>22</w:t>
      </w:r>
      <w:r>
        <w:t>, 4</w:t>
      </w:r>
      <w:r w:rsidR="00880EA7">
        <w:t>9</w:t>
      </w:r>
      <w:r>
        <w:t xml:space="preserve"> states</w:t>
      </w:r>
      <w:r w:rsidR="00880EA7">
        <w:t>,</w:t>
      </w:r>
      <w:r>
        <w:t xml:space="preserve"> the District of Columbia, Puerto Rico, and the Virgin Islands operated an RESEA </w:t>
      </w:r>
      <w:proofErr w:type="gramStart"/>
      <w:r>
        <w:t>program</w:t>
      </w:r>
      <w:proofErr w:type="gramEnd"/>
      <w:r>
        <w:t xml:space="preserve"> and it is envisioned that eventually all 53 potentially eligible SWAs will participate. The Department estimates that it will receive 53 state plans annually and each response will take 40 hours to develop, finalize, and transmit. The Department estimates the annual time burden to be 2,120 hours</w:t>
      </w:r>
      <w:r w:rsidDel="00FC47AC">
        <w:t xml:space="preserve"> </w:t>
      </w:r>
      <w:r>
        <w:t>and the monetized value of respondent time to be $1</w:t>
      </w:r>
      <w:r w:rsidR="00351DE2">
        <w:t>1</w:t>
      </w:r>
      <w:r w:rsidR="003566A3">
        <w:t>3,080.80</w:t>
      </w:r>
      <w:r>
        <w:t xml:space="preserve"> based on an hourly rate of $</w:t>
      </w:r>
      <w:r w:rsidR="00351DE2">
        <w:t>53</w:t>
      </w:r>
      <w:r>
        <w:t>.</w:t>
      </w:r>
      <w:r w:rsidR="003566A3">
        <w:t>34</w:t>
      </w:r>
      <w:r>
        <w:t xml:space="preserve">.   </w:t>
      </w:r>
    </w:p>
    <w:p w:rsidR="00E00344" w:rsidP="00026992" w:rsidRDefault="00E00344" w14:paraId="45C3A45F" w14:textId="20AA4F0D"/>
    <w:p w:rsidR="00B0760B" w:rsidP="00B0760B" w:rsidRDefault="00B0760B" w14:paraId="7D85B057" w14:textId="03893016">
      <w:pPr>
        <w:tabs>
          <w:tab w:val="right" w:pos="360"/>
        </w:tabs>
        <w:autoSpaceDE w:val="0"/>
        <w:autoSpaceDN w:val="0"/>
        <w:adjustRightInd w:val="0"/>
        <w:ind w:left="540" w:hanging="540"/>
        <w:rPr>
          <w:b/>
          <w:bCs/>
          <w:iCs/>
        </w:rPr>
      </w:pPr>
      <w:r w:rsidRPr="00C44181">
        <w:rPr>
          <w:b/>
          <w:bCs/>
          <w:iCs/>
        </w:rPr>
        <w:tab/>
        <w:t>13.</w:t>
      </w:r>
      <w:r w:rsidRPr="00C44181">
        <w:rPr>
          <w:b/>
          <w:bCs/>
          <w:iCs/>
        </w:rPr>
        <w:tab/>
        <w:t xml:space="preserve">Provide an estimate for the total annual cost burden to respondents or recordkeepers resulting from the collection of information.  (Do not include the cost of any hour burden </w:t>
      </w:r>
      <w:r w:rsidR="00C44181">
        <w:rPr>
          <w:b/>
          <w:bCs/>
          <w:iCs/>
        </w:rPr>
        <w:t>shown in Items 12 and 14</w:t>
      </w:r>
      <w:r w:rsidRPr="00C44181">
        <w:rPr>
          <w:b/>
          <w:bCs/>
          <w:iCs/>
        </w:rPr>
        <w:t>).</w:t>
      </w:r>
    </w:p>
    <w:p w:rsidRPr="00D53DEB" w:rsidR="00027B24" w:rsidP="00027B24" w:rsidRDefault="00027B24" w14:paraId="4F6254A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027B24" w:rsidP="00027B24" w:rsidRDefault="00027B24" w14:paraId="0A558A78" w14:textId="77777777">
      <w:pPr>
        <w:numPr>
          <w:ilvl w:val="0"/>
          <w:numId w:val="7"/>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Pr>
          <w:b/>
        </w:rPr>
        <w:t>T</w:t>
      </w:r>
      <w:r w:rsidRPr="006F6E13">
        <w:rPr>
          <w:b/>
        </w:rPr>
        <w:t>he cost estimate should be split into two components</w:t>
      </w:r>
      <w:proofErr w:type="gramStart"/>
      <w:r w:rsidRPr="006F6E13">
        <w:rPr>
          <w:b/>
        </w:rPr>
        <w:t>:  (</w:t>
      </w:r>
      <w:proofErr w:type="gramEnd"/>
      <w:r w:rsidRPr="006F6E13">
        <w:rPr>
          <w:b/>
        </w:rPr>
        <w:t>a) a total capital</w:t>
      </w:r>
    </w:p>
    <w:p w:rsidR="00027B24" w:rsidP="00027B24" w:rsidRDefault="00027B24" w14:paraId="0EADD93D"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proofErr w:type="spellStart"/>
      <w:r w:rsidRPr="006F6E13">
        <w:rPr>
          <w:b/>
        </w:rPr>
        <w:t>start up</w:t>
      </w:r>
      <w:proofErr w:type="spellEnd"/>
      <w:r w:rsidRPr="006F6E13">
        <w:rPr>
          <w:b/>
        </w:rPr>
        <w:t xml:space="preserve"> cost component (annualized over its expected useful life); and (b) a</w:t>
      </w:r>
    </w:p>
    <w:p w:rsidR="00027B24" w:rsidP="00027B24" w:rsidRDefault="00027B24" w14:paraId="3E73C31D"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027B24" w:rsidP="00027B24" w:rsidRDefault="00027B24" w14:paraId="7A111416"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w:t>
      </w:r>
      <w:proofErr w:type="gramStart"/>
      <w:r w:rsidRPr="006F6E13">
        <w:rPr>
          <w:b/>
        </w:rPr>
        <w:t>take into account</w:t>
      </w:r>
      <w:proofErr w:type="gramEnd"/>
      <w:r w:rsidRPr="006F6E13">
        <w:rPr>
          <w:b/>
        </w:rPr>
        <w:t xml:space="preserve"> costs associated with generating, </w:t>
      </w:r>
    </w:p>
    <w:p w:rsidR="00027B24" w:rsidP="00027B24" w:rsidRDefault="00027B24" w14:paraId="7C3C870D"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Pr="006F6E13" w:rsidR="00027B24" w:rsidP="00027B24" w:rsidRDefault="00027B24" w14:paraId="3915EFB0"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proofErr w:type="gramStart"/>
      <w:r w:rsidRPr="006F6E13">
        <w:rPr>
          <w:b/>
        </w:rPr>
        <w:t>time period</w:t>
      </w:r>
      <w:proofErr w:type="gramEnd"/>
      <w:r w:rsidRPr="006F6E13">
        <w:rPr>
          <w:b/>
        </w:rPr>
        <w:t xml:space="preserve"> over which costs will be incurred.  Capital and start-up costs include, among other items, preparations for collecting information such as purchasing computers and software; monitoring, sampling, </w:t>
      </w:r>
      <w:proofErr w:type="gramStart"/>
      <w:r w:rsidRPr="006F6E13">
        <w:rPr>
          <w:b/>
        </w:rPr>
        <w:t>drilling</w:t>
      </w:r>
      <w:proofErr w:type="gramEnd"/>
      <w:r w:rsidRPr="006F6E13">
        <w:rPr>
          <w:b/>
        </w:rPr>
        <w:t xml:space="preserve"> and testing equipment; and record storage facilities.</w:t>
      </w:r>
    </w:p>
    <w:p w:rsidRPr="00D53DEB" w:rsidR="00027B24" w:rsidP="00027B24" w:rsidRDefault="00027B24" w14:paraId="1999176B"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Pr="00D53DEB" w:rsidR="00027B24" w:rsidP="00027B24" w:rsidRDefault="00027B24" w14:paraId="21242D9A" w14:textId="77777777">
      <w:pPr>
        <w:numPr>
          <w:ilvl w:val="0"/>
          <w:numId w:val="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D53DEB">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D53DEB">
        <w:rPr>
          <w:b/>
        </w:rPr>
        <w:t>process</w:t>
      </w:r>
      <w:proofErr w:type="gramEnd"/>
      <w:r w:rsidRPr="00D53DEB">
        <w:rPr>
          <w:b/>
        </w:rPr>
        <w:t xml:space="preserve"> and use existing economic or regulatory impact analysis associated with the rulemaking containing the information collection, as appropriate.</w:t>
      </w:r>
    </w:p>
    <w:p w:rsidRPr="00D53DEB" w:rsidR="00027B24" w:rsidP="00027B24" w:rsidRDefault="00027B24" w14:paraId="03F63C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D53DEB" w:rsidR="00027B24" w:rsidP="00027B24" w:rsidRDefault="00027B24" w14:paraId="187F7048" w14:textId="77777777">
      <w:pPr>
        <w:numPr>
          <w:ilvl w:val="0"/>
          <w:numId w:val="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760B" w:rsidP="00B0760B" w:rsidRDefault="00B0760B" w14:paraId="0CCB0606" w14:textId="77777777">
      <w:pPr>
        <w:autoSpaceDE w:val="0"/>
        <w:autoSpaceDN w:val="0"/>
        <w:adjustRightInd w:val="0"/>
      </w:pPr>
    </w:p>
    <w:p w:rsidR="00B0760B" w:rsidP="00B0760B" w:rsidRDefault="00B0760B" w14:paraId="63B2D6F0" w14:textId="77777777">
      <w:pPr>
        <w:autoSpaceDE w:val="0"/>
        <w:autoSpaceDN w:val="0"/>
        <w:adjustRightInd w:val="0"/>
      </w:pPr>
      <w:r>
        <w:t xml:space="preserve">         There are no annualized costs to respondents.</w:t>
      </w:r>
    </w:p>
    <w:p w:rsidR="00B0760B" w:rsidP="00B0760B" w:rsidRDefault="00B0760B" w14:paraId="5EECAF52" w14:textId="77777777">
      <w:pPr>
        <w:autoSpaceDE w:val="0"/>
        <w:autoSpaceDN w:val="0"/>
        <w:adjustRightInd w:val="0"/>
      </w:pPr>
    </w:p>
    <w:p w:rsidRPr="007D3097" w:rsidR="00B0760B" w:rsidP="00713BA3" w:rsidRDefault="00B0760B" w14:paraId="390EB97A" w14:textId="77777777">
      <w:pPr>
        <w:shd w:val="clear" w:color="auto" w:fill="FFFFFF" w:themeFill="background1"/>
        <w:tabs>
          <w:tab w:val="right" w:pos="360"/>
        </w:tabs>
        <w:autoSpaceDE w:val="0"/>
        <w:autoSpaceDN w:val="0"/>
        <w:adjustRightInd w:val="0"/>
        <w:ind w:left="540" w:hanging="540"/>
        <w:rPr>
          <w:b/>
          <w:bCs/>
          <w:iCs/>
        </w:rPr>
      </w:pPr>
      <w:r w:rsidRPr="007D3097">
        <w:rPr>
          <w:b/>
          <w:bCs/>
          <w:iCs/>
        </w:rPr>
        <w:t>14.</w:t>
      </w:r>
      <w:r w:rsidRPr="007D3097">
        <w:rPr>
          <w:b/>
          <w:bCs/>
          <w:iCs/>
        </w:rPr>
        <w:tab/>
        <w:t xml:space="preserve">    Provide estimates of annualized costs to the Federal government.  Also, provide a description of the method used to estimate cost, which should include quantification of hours, operational expenses (such as equipment, overhead, printing, and support staff), and </w:t>
      </w:r>
      <w:r w:rsidRPr="007D3097">
        <w:rPr>
          <w:b/>
          <w:bCs/>
          <w:iCs/>
        </w:rPr>
        <w:lastRenderedPageBreak/>
        <w:t>any other expense that would not have been incurred without this collection of information.  Agencies may also aggregate cost estimates from Items 12, 13, and 14 in a single table.</w:t>
      </w:r>
    </w:p>
    <w:p w:rsidRPr="005203F5" w:rsidR="00B0760B" w:rsidP="00713BA3" w:rsidRDefault="00B0760B" w14:paraId="04EE4B40" w14:textId="4A1D6688">
      <w:pPr>
        <w:shd w:val="clear" w:color="auto" w:fill="FFFFFF" w:themeFill="background1"/>
        <w:autoSpaceDE w:val="0"/>
        <w:autoSpaceDN w:val="0"/>
        <w:adjustRightInd w:val="0"/>
        <w:ind w:left="540"/>
      </w:pPr>
    </w:p>
    <w:p w:rsidR="001A06A0" w:rsidP="00713BA3" w:rsidRDefault="00410E26" w14:paraId="64F3407A" w14:textId="24FC501B">
      <w:pPr>
        <w:shd w:val="clear" w:color="auto" w:fill="FFFFFF" w:themeFill="background1"/>
        <w:autoSpaceDE w:val="0"/>
        <w:autoSpaceDN w:val="0"/>
        <w:adjustRightInd w:val="0"/>
        <w:ind w:left="540"/>
      </w:pPr>
      <w:r>
        <w:t>There are no costs to the Federal Government.</w:t>
      </w:r>
    </w:p>
    <w:p w:rsidR="001A06A0" w:rsidP="00713BA3" w:rsidRDefault="001A06A0" w14:paraId="614613A3" w14:textId="77777777">
      <w:pPr>
        <w:tabs>
          <w:tab w:val="right" w:pos="360"/>
        </w:tabs>
        <w:autoSpaceDE w:val="0"/>
        <w:autoSpaceDN w:val="0"/>
        <w:adjustRightInd w:val="0"/>
        <w:rPr>
          <w:i/>
        </w:rPr>
      </w:pPr>
    </w:p>
    <w:p w:rsidRPr="00EC3414" w:rsidR="00B15FD2" w:rsidP="00B15FD2" w:rsidRDefault="00B15FD2" w14:paraId="59522729" w14:textId="1B03634F">
      <w:pPr>
        <w:tabs>
          <w:tab w:val="right" w:pos="360"/>
        </w:tabs>
        <w:autoSpaceDE w:val="0"/>
        <w:autoSpaceDN w:val="0"/>
        <w:adjustRightInd w:val="0"/>
        <w:ind w:left="540" w:hanging="540"/>
        <w:rPr>
          <w:b/>
          <w:bCs/>
          <w:iCs/>
        </w:rPr>
      </w:pPr>
      <w:r w:rsidRPr="00EC3414">
        <w:rPr>
          <w:b/>
          <w:bCs/>
          <w:iCs/>
        </w:rPr>
        <w:t>15.</w:t>
      </w:r>
      <w:r w:rsidRPr="00EC3414">
        <w:rPr>
          <w:b/>
          <w:bCs/>
          <w:iCs/>
        </w:rPr>
        <w:tab/>
      </w:r>
      <w:r w:rsidRPr="00EC3414" w:rsidR="00B0760B">
        <w:rPr>
          <w:b/>
          <w:bCs/>
          <w:iCs/>
        </w:rPr>
        <w:t xml:space="preserve">    </w:t>
      </w:r>
      <w:r w:rsidRPr="00EC3414">
        <w:rPr>
          <w:b/>
          <w:bCs/>
          <w:iCs/>
        </w:rPr>
        <w:t>Explain the reasons for any program changes or adjustments</w:t>
      </w:r>
      <w:r w:rsidR="00097FA7">
        <w:rPr>
          <w:b/>
          <w:bCs/>
          <w:iCs/>
        </w:rPr>
        <w:t>.</w:t>
      </w:r>
    </w:p>
    <w:p w:rsidR="00385CF6" w:rsidP="00B15FD2" w:rsidRDefault="00385CF6" w14:paraId="7C68645A" w14:textId="2BD7813E">
      <w:pPr>
        <w:tabs>
          <w:tab w:val="right" w:pos="360"/>
        </w:tabs>
        <w:autoSpaceDE w:val="0"/>
        <w:autoSpaceDN w:val="0"/>
        <w:adjustRightInd w:val="0"/>
        <w:ind w:left="540" w:hanging="540"/>
        <w:rPr>
          <w:i/>
        </w:rPr>
      </w:pPr>
    </w:p>
    <w:p w:rsidR="003F2DD4" w:rsidP="00B15FD2" w:rsidRDefault="00385CF6" w14:paraId="53FC5B99" w14:textId="7494D89D">
      <w:pPr>
        <w:tabs>
          <w:tab w:val="right" w:pos="360"/>
        </w:tabs>
        <w:autoSpaceDE w:val="0"/>
        <w:autoSpaceDN w:val="0"/>
        <w:adjustRightInd w:val="0"/>
        <w:ind w:left="540" w:hanging="540"/>
      </w:pPr>
      <w:r>
        <w:rPr>
          <w:i/>
        </w:rPr>
        <w:tab/>
      </w:r>
      <w:r>
        <w:rPr>
          <w:i/>
        </w:rPr>
        <w:tab/>
      </w:r>
      <w:r w:rsidR="003F2DD4">
        <w:rPr>
          <w:iCs/>
        </w:rPr>
        <w:t>ETA is proposing to make three adjustments to t</w:t>
      </w:r>
      <w:r w:rsidR="008539E0">
        <w:t>he State Plan Template</w:t>
      </w:r>
      <w:r w:rsidR="00B14B39">
        <w:t>, which are necessary to accurately capture information that reflects the status of states’ RESEA programs and for ETA’s wholistic review of planned RESEA activities.</w:t>
      </w:r>
      <w:r w:rsidR="003F2DD4">
        <w:br/>
      </w:r>
    </w:p>
    <w:p w:rsidR="003F2DD4" w:rsidP="003F2DD4" w:rsidRDefault="008F0EB3" w14:paraId="17BC6782" w14:textId="43BDB25F">
      <w:pPr>
        <w:pStyle w:val="ListParagraph"/>
        <w:numPr>
          <w:ilvl w:val="0"/>
          <w:numId w:val="8"/>
        </w:numPr>
        <w:tabs>
          <w:tab w:val="right" w:pos="360"/>
        </w:tabs>
        <w:autoSpaceDE w:val="0"/>
        <w:autoSpaceDN w:val="0"/>
        <w:adjustRightInd w:val="0"/>
      </w:pPr>
      <w:r>
        <w:t xml:space="preserve">Adjusting the document’s format from PDF to word document is to assist states in </w:t>
      </w:r>
      <w:r w:rsidR="00D448DD">
        <w:t>presenting</w:t>
      </w:r>
      <w:r>
        <w:t xml:space="preserve"> their RESEA narratives</w:t>
      </w:r>
      <w:r w:rsidR="006705E4">
        <w:t xml:space="preserve"> without any length limitations.  Additionally</w:t>
      </w:r>
      <w:r>
        <w:t>,</w:t>
      </w:r>
      <w:r w:rsidR="006705E4">
        <w:t xml:space="preserve"> </w:t>
      </w:r>
      <w:r w:rsidR="003F2DD4">
        <w:t>a w</w:t>
      </w:r>
      <w:r w:rsidR="006705E4">
        <w:t xml:space="preserve">ord document format </w:t>
      </w:r>
      <w:r w:rsidR="00D51CBD">
        <w:t>aides</w:t>
      </w:r>
      <w:r w:rsidR="003F2DD4">
        <w:t xml:space="preserve"> the state plan</w:t>
      </w:r>
      <w:r w:rsidR="00625CEB">
        <w:t xml:space="preserve"> review</w:t>
      </w:r>
      <w:r w:rsidR="003F2DD4">
        <w:t xml:space="preserve"> process as it permits</w:t>
      </w:r>
      <w:r w:rsidR="00626A15">
        <w:t xml:space="preserve"> a reviewer</w:t>
      </w:r>
      <w:r w:rsidR="003F2DD4">
        <w:t xml:space="preserve"> to see a</w:t>
      </w:r>
      <w:r w:rsidR="00625CEB">
        <w:t xml:space="preserve"> </w:t>
      </w:r>
      <w:r w:rsidR="006705E4">
        <w:t>state’s response in its entirety</w:t>
      </w:r>
      <w:r>
        <w:t>.</w:t>
      </w:r>
      <w:r w:rsidR="006705E4">
        <w:t xml:space="preserve"> </w:t>
      </w:r>
      <w:r w:rsidR="003F2DD4">
        <w:br/>
      </w:r>
    </w:p>
    <w:p w:rsidR="003F2DD4" w:rsidP="003F2DD4" w:rsidRDefault="007E4EB8" w14:paraId="481CC39C" w14:textId="2F4B6CA8">
      <w:pPr>
        <w:pStyle w:val="ListParagraph"/>
        <w:numPr>
          <w:ilvl w:val="0"/>
          <w:numId w:val="8"/>
        </w:numPr>
        <w:tabs>
          <w:tab w:val="right" w:pos="360"/>
        </w:tabs>
        <w:autoSpaceDE w:val="0"/>
        <w:autoSpaceDN w:val="0"/>
        <w:adjustRightInd w:val="0"/>
      </w:pPr>
      <w:r>
        <w:t xml:space="preserve">Removal of </w:t>
      </w:r>
      <w:r w:rsidR="008539E0">
        <w:t>redundant questions</w:t>
      </w:r>
      <w:r w:rsidR="002B1434">
        <w:t xml:space="preserve"> to minimize the burden of the collection of information, while</w:t>
      </w:r>
      <w:r w:rsidR="008539E0">
        <w:t xml:space="preserve"> </w:t>
      </w:r>
      <w:r w:rsidR="002B1434">
        <w:t xml:space="preserve">working </w:t>
      </w:r>
      <w:r w:rsidR="003354B6">
        <w:t xml:space="preserve">to </w:t>
      </w:r>
      <w:r w:rsidR="00D045ED">
        <w:t xml:space="preserve">enhance the quality, utility, and clarity of the information to be collected. </w:t>
      </w:r>
      <w:r w:rsidR="00D045ED">
        <w:br/>
      </w:r>
    </w:p>
    <w:p w:rsidR="008F0EB3" w:rsidP="00B14B39" w:rsidRDefault="00CE6A0C" w14:paraId="0F488590" w14:textId="4BAC55B0">
      <w:pPr>
        <w:pStyle w:val="ListParagraph"/>
        <w:numPr>
          <w:ilvl w:val="0"/>
          <w:numId w:val="8"/>
        </w:numPr>
        <w:tabs>
          <w:tab w:val="right" w:pos="360"/>
        </w:tabs>
        <w:autoSpaceDE w:val="0"/>
        <w:autoSpaceDN w:val="0"/>
        <w:adjustRightInd w:val="0"/>
      </w:pPr>
      <w:r>
        <w:t xml:space="preserve">Addition of </w:t>
      </w:r>
      <w:r w:rsidR="008539E0">
        <w:t>a</w:t>
      </w:r>
      <w:r w:rsidR="003354B6">
        <w:t>n evaluation</w:t>
      </w:r>
      <w:r w:rsidR="008539E0">
        <w:t xml:space="preserve"> chart </w:t>
      </w:r>
      <w:r w:rsidR="00356E4D">
        <w:t>to better support</w:t>
      </w:r>
      <w:r>
        <w:t xml:space="preserve"> states in meeting</w:t>
      </w:r>
      <w:r w:rsidR="00356E4D">
        <w:t xml:space="preserve"> the fiscal year 2023 implementation of section 303(c)(2), SSA, which requires states to devote a specific percentage of their RESEA funding to evidence-based components with a high or moderate causal rating</w:t>
      </w:r>
      <w:r w:rsidR="008539E0">
        <w:t>.</w:t>
      </w:r>
    </w:p>
    <w:p w:rsidR="00646300" w:rsidP="00646300" w:rsidRDefault="00646300" w14:paraId="2D601B01" w14:textId="627AF739">
      <w:pPr>
        <w:tabs>
          <w:tab w:val="right" w:pos="360"/>
        </w:tabs>
        <w:autoSpaceDE w:val="0"/>
        <w:autoSpaceDN w:val="0"/>
        <w:adjustRightInd w:val="0"/>
      </w:pPr>
    </w:p>
    <w:p w:rsidR="00646300" w:rsidP="007D4793" w:rsidRDefault="00646300" w14:paraId="226B3594" w14:textId="07CAB919">
      <w:pPr>
        <w:tabs>
          <w:tab w:val="right" w:pos="360"/>
        </w:tabs>
        <w:autoSpaceDE w:val="0"/>
        <w:autoSpaceDN w:val="0"/>
        <w:adjustRightInd w:val="0"/>
        <w:ind w:left="360"/>
      </w:pPr>
      <w:r>
        <w:t xml:space="preserve">Although ETA removed redundant questions to minimize the burden of the collection of information, the new addition of an evaluation chart whose information request is </w:t>
      </w:r>
      <w:r w:rsidR="00E94A92">
        <w:t>comparable</w:t>
      </w:r>
      <w:r>
        <w:t xml:space="preserve"> to that of the removed redundant questions. Thus, the burden of </w:t>
      </w:r>
      <w:r w:rsidR="00AC2A1B">
        <w:t xml:space="preserve">the collection of </w:t>
      </w:r>
      <w:r>
        <w:t xml:space="preserve">information </w:t>
      </w:r>
      <w:r w:rsidR="00AC2A1B">
        <w:t>to the states remains unchanged.</w:t>
      </w:r>
      <w:r>
        <w:t xml:space="preserve"> </w:t>
      </w:r>
    </w:p>
    <w:p w:rsidR="00C31033" w:rsidP="007D4793" w:rsidRDefault="00C31033" w14:paraId="072B9714" w14:textId="2E4F8713">
      <w:pPr>
        <w:tabs>
          <w:tab w:val="right" w:pos="360"/>
        </w:tabs>
        <w:autoSpaceDE w:val="0"/>
        <w:autoSpaceDN w:val="0"/>
        <w:adjustRightInd w:val="0"/>
        <w:ind w:left="360"/>
      </w:pPr>
    </w:p>
    <w:p w:rsidRPr="00713BA3" w:rsidR="00C31033" w:rsidP="00742205" w:rsidRDefault="00C31033" w14:paraId="3BFDAF35" w14:textId="571F00FC">
      <w:pPr>
        <w:pStyle w:val="ListParagraph"/>
        <w:numPr>
          <w:ilvl w:val="0"/>
          <w:numId w:val="6"/>
        </w:numPr>
        <w:tabs>
          <w:tab w:val="right" w:pos="360"/>
        </w:tabs>
        <w:autoSpaceDE w:val="0"/>
        <w:autoSpaceDN w:val="0"/>
        <w:adjustRightInd w:val="0"/>
      </w:pPr>
      <w:r>
        <w:t xml:space="preserve">A version of the form showing the tracked changes is included </w:t>
      </w:r>
      <w:r w:rsidR="003B5F43">
        <w:t>under</w:t>
      </w:r>
      <w:r>
        <w:t xml:space="preserve"> “Document</w:t>
      </w:r>
      <w:r w:rsidR="003B5F43">
        <w:t>s</w:t>
      </w:r>
      <w:r>
        <w:t xml:space="preserve"> for IC” in the submitted ICR.   </w:t>
      </w:r>
    </w:p>
    <w:p w:rsidR="002D0159" w:rsidP="00B15FD2" w:rsidRDefault="002D0159" w14:paraId="53C6FAFD" w14:textId="1EBAA733">
      <w:pPr>
        <w:autoSpaceDE w:val="0"/>
        <w:autoSpaceDN w:val="0"/>
        <w:adjustRightInd w:val="0"/>
      </w:pPr>
    </w:p>
    <w:p w:rsidRPr="00FB17B9" w:rsidR="00B15FD2" w:rsidP="00B15FD2" w:rsidRDefault="00B15FD2" w14:paraId="1397906F" w14:textId="77777777">
      <w:pPr>
        <w:tabs>
          <w:tab w:val="right" w:pos="360"/>
        </w:tabs>
        <w:autoSpaceDE w:val="0"/>
        <w:autoSpaceDN w:val="0"/>
        <w:adjustRightInd w:val="0"/>
        <w:ind w:left="540" w:hanging="540"/>
        <w:rPr>
          <w:b/>
          <w:bCs/>
          <w:iCs/>
        </w:rPr>
      </w:pPr>
      <w:r w:rsidRPr="00FB17B9">
        <w:rPr>
          <w:b/>
          <w:bCs/>
          <w:iCs/>
        </w:rPr>
        <w:tab/>
        <w:t>16.</w:t>
      </w:r>
      <w:r w:rsidRPr="00FB17B9">
        <w:rPr>
          <w:b/>
          <w:bCs/>
          <w:i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2A1F" w:rsidP="00422A1F" w:rsidRDefault="00422A1F" w14:paraId="388CA19B" w14:textId="77777777">
      <w:pPr>
        <w:tabs>
          <w:tab w:val="left" w:pos="-1440"/>
        </w:tabs>
      </w:pPr>
    </w:p>
    <w:p w:rsidR="00422A1F" w:rsidP="00422A1F" w:rsidRDefault="00B0760B" w14:paraId="06208264" w14:textId="7F169AFC">
      <w:pPr>
        <w:tabs>
          <w:tab w:val="left" w:pos="-1440"/>
        </w:tabs>
      </w:pPr>
      <w:r>
        <w:t xml:space="preserve">         </w:t>
      </w:r>
      <w:r w:rsidR="00422A1F">
        <w:t>Decisions on publication of data have not been</w:t>
      </w:r>
      <w:r w:rsidR="00ED6DBD">
        <w:t xml:space="preserve"> finalized</w:t>
      </w:r>
      <w:r w:rsidR="00422A1F">
        <w:t>.</w:t>
      </w:r>
    </w:p>
    <w:p w:rsidR="00B15FD2" w:rsidP="00B15FD2" w:rsidRDefault="00B15FD2" w14:paraId="2836E9F5" w14:textId="77777777">
      <w:pPr>
        <w:autoSpaceDE w:val="0"/>
        <w:autoSpaceDN w:val="0"/>
        <w:adjustRightInd w:val="0"/>
      </w:pPr>
    </w:p>
    <w:p w:rsidRPr="00FB17B9" w:rsidR="00B15FD2" w:rsidP="00B15FD2" w:rsidRDefault="00B15FD2" w14:paraId="5DBA153F" w14:textId="77777777">
      <w:pPr>
        <w:tabs>
          <w:tab w:val="right" w:pos="360"/>
        </w:tabs>
        <w:autoSpaceDE w:val="0"/>
        <w:autoSpaceDN w:val="0"/>
        <w:adjustRightInd w:val="0"/>
        <w:ind w:left="540" w:hanging="540"/>
        <w:rPr>
          <w:b/>
          <w:bCs/>
          <w:iCs/>
        </w:rPr>
      </w:pPr>
      <w:r w:rsidRPr="00FB17B9">
        <w:rPr>
          <w:b/>
          <w:bCs/>
          <w:iCs/>
        </w:rPr>
        <w:tab/>
        <w:t>17.</w:t>
      </w:r>
      <w:r w:rsidRPr="00FB17B9">
        <w:rPr>
          <w:b/>
          <w:bCs/>
          <w:iCs/>
        </w:rPr>
        <w:tab/>
        <w:t xml:space="preserve">If seeking approval not to display the expiration date for OMB approval of the information collection, explain the reasons that display would be inappropriate. </w:t>
      </w:r>
    </w:p>
    <w:p w:rsidR="00422A1F" w:rsidP="00422A1F" w:rsidRDefault="00422A1F" w14:paraId="46CE0966" w14:textId="77777777"/>
    <w:p w:rsidR="00422A1F" w:rsidP="00422A1F" w:rsidRDefault="00B0760B" w14:paraId="694B5D07" w14:textId="77777777">
      <w:r>
        <w:t xml:space="preserve">        </w:t>
      </w:r>
      <w:r w:rsidR="00422A1F">
        <w:t>The expiration date for OMB approval will be displayed.</w:t>
      </w:r>
    </w:p>
    <w:p w:rsidRPr="00CE3C52" w:rsidR="00B15FD2" w:rsidP="00B15FD2" w:rsidRDefault="00B15FD2" w14:paraId="0B3CC09E" w14:textId="77777777">
      <w:pPr>
        <w:autoSpaceDE w:val="0"/>
        <w:autoSpaceDN w:val="0"/>
        <w:adjustRightInd w:val="0"/>
      </w:pPr>
    </w:p>
    <w:p w:rsidRPr="00FB17B9" w:rsidR="00422A1F" w:rsidP="00B15FD2" w:rsidRDefault="00B15FD2" w14:paraId="34B63688" w14:textId="2B7BC1A8">
      <w:pPr>
        <w:tabs>
          <w:tab w:val="right" w:pos="360"/>
        </w:tabs>
        <w:ind w:left="540" w:hanging="540"/>
        <w:rPr>
          <w:b/>
          <w:bCs/>
          <w:iCs/>
        </w:rPr>
      </w:pPr>
      <w:r w:rsidRPr="00030FA0">
        <w:rPr>
          <w:i/>
        </w:rPr>
        <w:lastRenderedPageBreak/>
        <w:tab/>
      </w:r>
      <w:r w:rsidRPr="00FB17B9">
        <w:rPr>
          <w:b/>
          <w:bCs/>
          <w:iCs/>
        </w:rPr>
        <w:t>18.</w:t>
      </w:r>
      <w:r w:rsidRPr="00FB17B9">
        <w:rPr>
          <w:b/>
          <w:bCs/>
          <w:iCs/>
        </w:rPr>
        <w:tab/>
        <w:t>Explain each exception to the certification statement</w:t>
      </w:r>
      <w:r w:rsidR="00097FA7">
        <w:rPr>
          <w:b/>
          <w:bCs/>
          <w:iCs/>
        </w:rPr>
        <w:t>.</w:t>
      </w:r>
    </w:p>
    <w:p w:rsidR="00422A1F" w:rsidP="00B15FD2" w:rsidRDefault="00422A1F" w14:paraId="4D56BDAC" w14:textId="77777777">
      <w:pPr>
        <w:tabs>
          <w:tab w:val="right" w:pos="360"/>
        </w:tabs>
        <w:ind w:left="540" w:hanging="540"/>
        <w:rPr>
          <w:i/>
        </w:rPr>
      </w:pPr>
    </w:p>
    <w:p w:rsidR="00B15FD2" w:rsidP="00B15FD2" w:rsidRDefault="00B0760B" w14:paraId="13B74727" w14:textId="77777777">
      <w:pPr>
        <w:tabs>
          <w:tab w:val="right" w:pos="360"/>
        </w:tabs>
        <w:ind w:left="540" w:hanging="540"/>
        <w:rPr>
          <w:i/>
        </w:rPr>
      </w:pPr>
      <w:r>
        <w:t xml:space="preserve">          </w:t>
      </w:r>
      <w:r w:rsidR="00422A1F">
        <w:t>There are no exceptions to the certification statement.</w:t>
      </w:r>
    </w:p>
    <w:p w:rsidR="00B15FD2" w:rsidP="00B15FD2" w:rsidRDefault="00B15FD2" w14:paraId="79316A92" w14:textId="77777777">
      <w:pPr>
        <w:tabs>
          <w:tab w:val="left" w:pos="1650"/>
        </w:tabs>
        <w:ind w:left="540" w:hanging="540"/>
        <w:rPr>
          <w:i/>
        </w:rPr>
      </w:pPr>
      <w:r>
        <w:rPr>
          <w:i/>
        </w:rPr>
        <w:tab/>
      </w:r>
      <w:r>
        <w:rPr>
          <w:i/>
        </w:rPr>
        <w:tab/>
      </w:r>
    </w:p>
    <w:p w:rsidRPr="00BC21B5" w:rsidR="003F4C38" w:rsidP="00BC21B5" w:rsidRDefault="003F4C38" w14:paraId="77D26736" w14:textId="77777777">
      <w:pPr>
        <w:tabs>
          <w:tab w:val="left" w:pos="540"/>
        </w:tabs>
        <w:autoSpaceDE w:val="0"/>
        <w:autoSpaceDN w:val="0"/>
        <w:adjustRightInd w:val="0"/>
      </w:pPr>
      <w:r>
        <w:rPr>
          <w:b/>
        </w:rPr>
        <w:t>B</w:t>
      </w:r>
      <w:r w:rsidRPr="00CE3C52">
        <w:rPr>
          <w:b/>
        </w:rPr>
        <w:t xml:space="preserve">. </w:t>
      </w:r>
      <w:r>
        <w:rPr>
          <w:b/>
        </w:rPr>
        <w:tab/>
      </w:r>
      <w:r w:rsidR="00C45047">
        <w:rPr>
          <w:b/>
        </w:rPr>
        <w:t>Collections of Information Employing Statistical Methods</w:t>
      </w:r>
    </w:p>
    <w:p w:rsidR="00B15FD2" w:rsidP="00B15FD2" w:rsidRDefault="00B15FD2" w14:paraId="5DCE6C57" w14:textId="77777777"/>
    <w:p w:rsidR="004A1161" w:rsidP="00BC21B5" w:rsidRDefault="00B15FD2" w14:paraId="531F2AD5" w14:textId="7D14D977">
      <w:pPr>
        <w:ind w:left="540"/>
      </w:pPr>
      <w:r>
        <w:t xml:space="preserve">This information collection does not employ </w:t>
      </w:r>
      <w:r w:rsidR="004A1161">
        <w:t>statistical methods.</w:t>
      </w:r>
    </w:p>
    <w:p w:rsidR="00075F41" w:rsidP="00B15FD2" w:rsidRDefault="00075F41" w14:paraId="6DBB166D" w14:textId="77777777"/>
    <w:p w:rsidR="00075F41" w:rsidP="00B15FD2" w:rsidRDefault="00075F41" w14:paraId="3D5846C3" w14:textId="77777777"/>
    <w:sectPr w:rsidR="00075F41" w:rsidSect="006F2FBC">
      <w:headerReference w:type="default" r:id="rId8"/>
      <w:footerReference w:type="default" r:id="rId9"/>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F72E" w14:textId="77777777" w:rsidR="006751BA" w:rsidRDefault="006751BA" w:rsidP="00910252">
      <w:r>
        <w:separator/>
      </w:r>
    </w:p>
  </w:endnote>
  <w:endnote w:type="continuationSeparator" w:id="0">
    <w:p w14:paraId="67C1EF14" w14:textId="77777777" w:rsidR="006751BA" w:rsidRDefault="006751BA"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7394"/>
      <w:docPartObj>
        <w:docPartGallery w:val="Page Numbers (Bottom of Page)"/>
        <w:docPartUnique/>
      </w:docPartObj>
    </w:sdtPr>
    <w:sdtEndPr>
      <w:rPr>
        <w:noProof/>
      </w:rPr>
    </w:sdtEndPr>
    <w:sdtContent>
      <w:p w14:paraId="068D610E" w14:textId="414B8DC5" w:rsidR="00910252" w:rsidRDefault="00910252">
        <w:pPr>
          <w:pStyle w:val="Footer"/>
          <w:jc w:val="center"/>
        </w:pPr>
        <w:r>
          <w:fldChar w:fldCharType="begin"/>
        </w:r>
        <w:r>
          <w:instrText xml:space="preserve"> PAGE   \* MERGEFORMAT </w:instrText>
        </w:r>
        <w:r>
          <w:fldChar w:fldCharType="separate"/>
        </w:r>
        <w:r w:rsidR="007947FF">
          <w:rPr>
            <w:noProof/>
          </w:rPr>
          <w:t>1</w:t>
        </w:r>
        <w:r>
          <w:rPr>
            <w:noProof/>
          </w:rPr>
          <w:fldChar w:fldCharType="end"/>
        </w:r>
      </w:p>
    </w:sdtContent>
  </w:sdt>
  <w:p w14:paraId="78D10BE2" w14:textId="77777777" w:rsidR="00910252" w:rsidRDefault="0091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B87C" w14:textId="77777777" w:rsidR="006751BA" w:rsidRDefault="006751BA" w:rsidP="00910252">
      <w:r>
        <w:separator/>
      </w:r>
    </w:p>
  </w:footnote>
  <w:footnote w:type="continuationSeparator" w:id="0">
    <w:p w14:paraId="719C6D93" w14:textId="77777777" w:rsidR="006751BA" w:rsidRDefault="006751BA"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3120" w14:textId="6AF4185B" w:rsidR="000E3745" w:rsidRDefault="000E3745">
    <w:pPr>
      <w:pStyle w:val="Header"/>
    </w:pPr>
    <w:r>
      <w:t>RE</w:t>
    </w:r>
    <w:r w:rsidR="00C606A4">
      <w:t>S</w:t>
    </w:r>
    <w:r w:rsidR="00977517">
      <w:t>E</w:t>
    </w:r>
    <w:r>
      <w:t>A</w:t>
    </w:r>
    <w:r w:rsidR="007E1661">
      <w:t xml:space="preserve"> State Plan</w:t>
    </w:r>
  </w:p>
  <w:p w14:paraId="3D36637B" w14:textId="501494B9" w:rsidR="000E3745" w:rsidRDefault="00BA6EFF">
    <w:pPr>
      <w:pStyle w:val="Header"/>
      <w:rPr>
        <w:color w:val="000000" w:themeColor="text1"/>
      </w:rPr>
    </w:pPr>
    <w:r>
      <w:t>OMB Control #</w:t>
    </w:r>
    <w:r w:rsidR="006F5E2B">
      <w:t>1205-0538</w:t>
    </w:r>
  </w:p>
  <w:p w14:paraId="0EC57B12" w14:textId="07634E97" w:rsidR="003B2820" w:rsidRDefault="00C31033">
    <w:pPr>
      <w:pStyle w:val="Header"/>
    </w:pPr>
    <w:r>
      <w:rPr>
        <w:color w:val="000000" w:themeColor="text1"/>
      </w:rPr>
      <w:t xml:space="preserve">Expiration Date: </w:t>
    </w:r>
    <w:r w:rsidR="006F5E2B">
      <w:rPr>
        <w:color w:val="000000" w:themeColor="text1"/>
      </w:rPr>
      <w:t>October</w:t>
    </w:r>
    <w:r>
      <w:rPr>
        <w:color w:val="000000" w:themeColor="text1"/>
      </w:rPr>
      <w:t xml:space="preserve"> 31,</w:t>
    </w:r>
    <w:r w:rsidR="003B2820">
      <w:rPr>
        <w:color w:val="000000" w:themeColor="text1"/>
      </w:rPr>
      <w:t xml:space="preserve"> 20</w:t>
    </w:r>
    <w:r w:rsidR="00BA177C">
      <w:rPr>
        <w:color w:val="000000" w:themeColor="text1"/>
      </w:rPr>
      <w:t>22</w:t>
    </w:r>
  </w:p>
  <w:p w14:paraId="6A932AC4" w14:textId="7E2268B7" w:rsidR="000E3745" w:rsidRDefault="000E3745">
    <w:pPr>
      <w:pStyle w:val="Header"/>
    </w:pPr>
  </w:p>
  <w:p w14:paraId="2ADC8D2D" w14:textId="77777777" w:rsidR="00904938" w:rsidRDefault="00904938" w:rsidP="00D45FEA">
    <w:pPr>
      <w:pStyle w:val="Header"/>
      <w:tabs>
        <w:tab w:val="clear" w:pos="468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89216DB"/>
    <w:multiLevelType w:val="hybridMultilevel"/>
    <w:tmpl w:val="FC9C99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E5AF0"/>
    <w:multiLevelType w:val="hybridMultilevel"/>
    <w:tmpl w:val="C1AA140E"/>
    <w:lvl w:ilvl="0" w:tplc="EBF224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A8F14C1"/>
    <w:multiLevelType w:val="hybridMultilevel"/>
    <w:tmpl w:val="30A4829C"/>
    <w:lvl w:ilvl="0" w:tplc="1396D66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08791">
    <w:abstractNumId w:val="7"/>
  </w:num>
  <w:num w:numId="2" w16cid:durableId="68507234">
    <w:abstractNumId w:val="6"/>
  </w:num>
  <w:num w:numId="3" w16cid:durableId="1985693384">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4" w16cid:durableId="1868441708">
    <w:abstractNumId w:val="4"/>
  </w:num>
  <w:num w:numId="5" w16cid:durableId="894120168">
    <w:abstractNumId w:val="5"/>
  </w:num>
  <w:num w:numId="6" w16cid:durableId="1883470472">
    <w:abstractNumId w:val="1"/>
  </w:num>
  <w:num w:numId="7" w16cid:durableId="141123704">
    <w:abstractNumId w:val="3"/>
  </w:num>
  <w:num w:numId="8" w16cid:durableId="1641687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047CF"/>
    <w:rsid w:val="000166A6"/>
    <w:rsid w:val="00020FDA"/>
    <w:rsid w:val="00026992"/>
    <w:rsid w:val="000269A1"/>
    <w:rsid w:val="00027B24"/>
    <w:rsid w:val="00030FA0"/>
    <w:rsid w:val="00043139"/>
    <w:rsid w:val="000471CF"/>
    <w:rsid w:val="00060218"/>
    <w:rsid w:val="00060EDE"/>
    <w:rsid w:val="00066E20"/>
    <w:rsid w:val="00075F41"/>
    <w:rsid w:val="00090D3D"/>
    <w:rsid w:val="00093546"/>
    <w:rsid w:val="0009666D"/>
    <w:rsid w:val="00097FA7"/>
    <w:rsid w:val="000D6C76"/>
    <w:rsid w:val="000E3745"/>
    <w:rsid w:val="00102509"/>
    <w:rsid w:val="001056E2"/>
    <w:rsid w:val="00107F6D"/>
    <w:rsid w:val="001142BB"/>
    <w:rsid w:val="001309B6"/>
    <w:rsid w:val="001321A2"/>
    <w:rsid w:val="0014585F"/>
    <w:rsid w:val="00150AF4"/>
    <w:rsid w:val="001A06A0"/>
    <w:rsid w:val="001A7B43"/>
    <w:rsid w:val="001B5B96"/>
    <w:rsid w:val="001C050B"/>
    <w:rsid w:val="001C1A99"/>
    <w:rsid w:val="001C4886"/>
    <w:rsid w:val="001C54B8"/>
    <w:rsid w:val="001C795C"/>
    <w:rsid w:val="001E64D3"/>
    <w:rsid w:val="001E721D"/>
    <w:rsid w:val="001E7356"/>
    <w:rsid w:val="00202310"/>
    <w:rsid w:val="00216406"/>
    <w:rsid w:val="002221A7"/>
    <w:rsid w:val="002241C1"/>
    <w:rsid w:val="00257E6C"/>
    <w:rsid w:val="0029478C"/>
    <w:rsid w:val="002A0B75"/>
    <w:rsid w:val="002B1434"/>
    <w:rsid w:val="002D0159"/>
    <w:rsid w:val="002E4278"/>
    <w:rsid w:val="00305638"/>
    <w:rsid w:val="00321961"/>
    <w:rsid w:val="003354B6"/>
    <w:rsid w:val="00344D3F"/>
    <w:rsid w:val="00351DE2"/>
    <w:rsid w:val="003566A3"/>
    <w:rsid w:val="00356E4D"/>
    <w:rsid w:val="0036510B"/>
    <w:rsid w:val="003669DA"/>
    <w:rsid w:val="00385CF6"/>
    <w:rsid w:val="00395674"/>
    <w:rsid w:val="003A230C"/>
    <w:rsid w:val="003B2820"/>
    <w:rsid w:val="003B5F43"/>
    <w:rsid w:val="003C0D9B"/>
    <w:rsid w:val="003E2542"/>
    <w:rsid w:val="003E3A0A"/>
    <w:rsid w:val="003F2DD4"/>
    <w:rsid w:val="003F4C38"/>
    <w:rsid w:val="004016A5"/>
    <w:rsid w:val="00410E26"/>
    <w:rsid w:val="00417973"/>
    <w:rsid w:val="004204FF"/>
    <w:rsid w:val="00422A1F"/>
    <w:rsid w:val="0047765E"/>
    <w:rsid w:val="00490E61"/>
    <w:rsid w:val="00494508"/>
    <w:rsid w:val="004A1161"/>
    <w:rsid w:val="004B2311"/>
    <w:rsid w:val="004B577C"/>
    <w:rsid w:val="004B774D"/>
    <w:rsid w:val="005203F5"/>
    <w:rsid w:val="0052176B"/>
    <w:rsid w:val="0056193B"/>
    <w:rsid w:val="00574452"/>
    <w:rsid w:val="005749F8"/>
    <w:rsid w:val="00581C6C"/>
    <w:rsid w:val="005C08EE"/>
    <w:rsid w:val="005D6760"/>
    <w:rsid w:val="00621E60"/>
    <w:rsid w:val="00625CEB"/>
    <w:rsid w:val="00626A15"/>
    <w:rsid w:val="0063777A"/>
    <w:rsid w:val="00646300"/>
    <w:rsid w:val="0066182C"/>
    <w:rsid w:val="00665427"/>
    <w:rsid w:val="00667ACD"/>
    <w:rsid w:val="006705E4"/>
    <w:rsid w:val="006751BA"/>
    <w:rsid w:val="00683648"/>
    <w:rsid w:val="00687C85"/>
    <w:rsid w:val="00691D14"/>
    <w:rsid w:val="0069256F"/>
    <w:rsid w:val="006925B4"/>
    <w:rsid w:val="00695963"/>
    <w:rsid w:val="006A5484"/>
    <w:rsid w:val="006C133A"/>
    <w:rsid w:val="006D5C13"/>
    <w:rsid w:val="006E58F6"/>
    <w:rsid w:val="006F2FBC"/>
    <w:rsid w:val="006F5E2B"/>
    <w:rsid w:val="006F7BD6"/>
    <w:rsid w:val="00706756"/>
    <w:rsid w:val="00713BA3"/>
    <w:rsid w:val="0073362D"/>
    <w:rsid w:val="00742205"/>
    <w:rsid w:val="007536D1"/>
    <w:rsid w:val="007929A3"/>
    <w:rsid w:val="007947FF"/>
    <w:rsid w:val="007C0800"/>
    <w:rsid w:val="007D3097"/>
    <w:rsid w:val="007D4793"/>
    <w:rsid w:val="007E1523"/>
    <w:rsid w:val="007E1661"/>
    <w:rsid w:val="007E4EB8"/>
    <w:rsid w:val="007F12A0"/>
    <w:rsid w:val="00805D71"/>
    <w:rsid w:val="00813738"/>
    <w:rsid w:val="00826D4E"/>
    <w:rsid w:val="00840E28"/>
    <w:rsid w:val="0084734F"/>
    <w:rsid w:val="008539E0"/>
    <w:rsid w:val="00880EA7"/>
    <w:rsid w:val="0089139A"/>
    <w:rsid w:val="008A07F2"/>
    <w:rsid w:val="008B27F3"/>
    <w:rsid w:val="008B5815"/>
    <w:rsid w:val="008C7474"/>
    <w:rsid w:val="008D40E8"/>
    <w:rsid w:val="008F0EB3"/>
    <w:rsid w:val="008F4D44"/>
    <w:rsid w:val="008F72E1"/>
    <w:rsid w:val="00904938"/>
    <w:rsid w:val="00910252"/>
    <w:rsid w:val="00927DD9"/>
    <w:rsid w:val="00953421"/>
    <w:rsid w:val="009539B2"/>
    <w:rsid w:val="00973CD5"/>
    <w:rsid w:val="00977517"/>
    <w:rsid w:val="00996590"/>
    <w:rsid w:val="009A4440"/>
    <w:rsid w:val="009B10CA"/>
    <w:rsid w:val="009C4B25"/>
    <w:rsid w:val="009D1106"/>
    <w:rsid w:val="009D2A30"/>
    <w:rsid w:val="009E30B9"/>
    <w:rsid w:val="009E37D3"/>
    <w:rsid w:val="00A171C6"/>
    <w:rsid w:val="00A246E9"/>
    <w:rsid w:val="00A62A3D"/>
    <w:rsid w:val="00A64B66"/>
    <w:rsid w:val="00A705A4"/>
    <w:rsid w:val="00AA7469"/>
    <w:rsid w:val="00AC1096"/>
    <w:rsid w:val="00AC2A1B"/>
    <w:rsid w:val="00AE3625"/>
    <w:rsid w:val="00B0760B"/>
    <w:rsid w:val="00B10FD7"/>
    <w:rsid w:val="00B14B39"/>
    <w:rsid w:val="00B15FD2"/>
    <w:rsid w:val="00B41367"/>
    <w:rsid w:val="00B454AE"/>
    <w:rsid w:val="00B74CD8"/>
    <w:rsid w:val="00B86094"/>
    <w:rsid w:val="00B860D3"/>
    <w:rsid w:val="00B878D6"/>
    <w:rsid w:val="00BA177C"/>
    <w:rsid w:val="00BA193A"/>
    <w:rsid w:val="00BA6848"/>
    <w:rsid w:val="00BA6EFF"/>
    <w:rsid w:val="00BC21B5"/>
    <w:rsid w:val="00BE382D"/>
    <w:rsid w:val="00BE38F5"/>
    <w:rsid w:val="00C239F6"/>
    <w:rsid w:val="00C2549F"/>
    <w:rsid w:val="00C271F0"/>
    <w:rsid w:val="00C30A42"/>
    <w:rsid w:val="00C31033"/>
    <w:rsid w:val="00C44181"/>
    <w:rsid w:val="00C45047"/>
    <w:rsid w:val="00C52860"/>
    <w:rsid w:val="00C52BA5"/>
    <w:rsid w:val="00C606A4"/>
    <w:rsid w:val="00CA5FDB"/>
    <w:rsid w:val="00CC0996"/>
    <w:rsid w:val="00CD0FA9"/>
    <w:rsid w:val="00CE6A0C"/>
    <w:rsid w:val="00CF5465"/>
    <w:rsid w:val="00D045ED"/>
    <w:rsid w:val="00D116CE"/>
    <w:rsid w:val="00D315C5"/>
    <w:rsid w:val="00D3235C"/>
    <w:rsid w:val="00D3545C"/>
    <w:rsid w:val="00D448DD"/>
    <w:rsid w:val="00D45FEA"/>
    <w:rsid w:val="00D51CBD"/>
    <w:rsid w:val="00D56C56"/>
    <w:rsid w:val="00D84EEC"/>
    <w:rsid w:val="00DA5B59"/>
    <w:rsid w:val="00DC0492"/>
    <w:rsid w:val="00DC4994"/>
    <w:rsid w:val="00DC5B18"/>
    <w:rsid w:val="00E00344"/>
    <w:rsid w:val="00E157EF"/>
    <w:rsid w:val="00E335D2"/>
    <w:rsid w:val="00E401E0"/>
    <w:rsid w:val="00E43CD6"/>
    <w:rsid w:val="00E5276F"/>
    <w:rsid w:val="00E9356B"/>
    <w:rsid w:val="00E94A92"/>
    <w:rsid w:val="00EA78D2"/>
    <w:rsid w:val="00EC3414"/>
    <w:rsid w:val="00ED6DBD"/>
    <w:rsid w:val="00F25EFF"/>
    <w:rsid w:val="00F44D0F"/>
    <w:rsid w:val="00F52F68"/>
    <w:rsid w:val="00F6464E"/>
    <w:rsid w:val="00F64D2A"/>
    <w:rsid w:val="00F86AA9"/>
    <w:rsid w:val="00FB17B9"/>
    <w:rsid w:val="00FB33E8"/>
    <w:rsid w:val="00FC3522"/>
    <w:rsid w:val="00FC47AC"/>
    <w:rsid w:val="00FC4D02"/>
    <w:rsid w:val="00FC508D"/>
    <w:rsid w:val="00FC6929"/>
    <w:rsid w:val="00FE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8B98"/>
  <w15:docId w15:val="{4896CB25-6C29-41C4-AD96-1559F3A0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1106"/>
    <w:pPr>
      <w:keepNext/>
      <w:widowControl w:val="0"/>
      <w:autoSpaceDE w:val="0"/>
      <w:autoSpaceDN w:val="0"/>
      <w:adjustRightInd w:val="0"/>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customStyle="1" w:styleId="volume">
    <w:name w:val="volume"/>
    <w:basedOn w:val="DefaultParagraphFont"/>
    <w:rsid w:val="00D3235C"/>
  </w:style>
  <w:style w:type="character" w:customStyle="1" w:styleId="page">
    <w:name w:val="page"/>
    <w:basedOn w:val="DefaultParagraphFont"/>
    <w:rsid w:val="00D3235C"/>
  </w:style>
  <w:style w:type="paragraph" w:styleId="BalloonText">
    <w:name w:val="Balloon Text"/>
    <w:basedOn w:val="Normal"/>
    <w:link w:val="BalloonTextChar"/>
    <w:uiPriority w:val="99"/>
    <w:semiHidden/>
    <w:unhideWhenUsed/>
    <w:rsid w:val="00B15FD2"/>
    <w:rPr>
      <w:rFonts w:ascii="Tahoma" w:hAnsi="Tahoma" w:cs="Tahoma"/>
      <w:sz w:val="16"/>
      <w:szCs w:val="16"/>
    </w:rPr>
  </w:style>
  <w:style w:type="character" w:customStyle="1" w:styleId="BalloonTextChar">
    <w:name w:val="Balloon Text Char"/>
    <w:basedOn w:val="DefaultParagraphFont"/>
    <w:link w:val="BalloonText"/>
    <w:uiPriority w:val="99"/>
    <w:semiHidden/>
    <w:rsid w:val="00B15FD2"/>
    <w:rPr>
      <w:rFonts w:ascii="Tahoma" w:eastAsia="Times New Roman" w:hAnsi="Tahoma" w:cs="Tahoma"/>
      <w:sz w:val="16"/>
      <w:szCs w:val="16"/>
    </w:rPr>
  </w:style>
  <w:style w:type="character" w:styleId="Hyperlink">
    <w:name w:val="Hyperlink"/>
    <w:basedOn w:val="DefaultParagraphFont"/>
    <w:unhideWhenUsed/>
    <w:rsid w:val="0073362D"/>
    <w:rPr>
      <w:color w:val="0000FF" w:themeColor="hyperlink"/>
      <w:u w:val="single"/>
    </w:rPr>
  </w:style>
  <w:style w:type="character" w:styleId="CommentReference">
    <w:name w:val="annotation reference"/>
    <w:basedOn w:val="DefaultParagraphFont"/>
    <w:uiPriority w:val="99"/>
    <w:semiHidden/>
    <w:unhideWhenUsed/>
    <w:rsid w:val="00C606A4"/>
    <w:rPr>
      <w:sz w:val="16"/>
      <w:szCs w:val="16"/>
    </w:rPr>
  </w:style>
  <w:style w:type="paragraph" w:styleId="CommentText">
    <w:name w:val="annotation text"/>
    <w:basedOn w:val="Normal"/>
    <w:link w:val="CommentTextChar"/>
    <w:uiPriority w:val="99"/>
    <w:unhideWhenUsed/>
    <w:rsid w:val="00C606A4"/>
    <w:rPr>
      <w:sz w:val="20"/>
      <w:szCs w:val="20"/>
    </w:rPr>
  </w:style>
  <w:style w:type="character" w:customStyle="1" w:styleId="CommentTextChar">
    <w:name w:val="Comment Text Char"/>
    <w:basedOn w:val="DefaultParagraphFont"/>
    <w:link w:val="CommentText"/>
    <w:uiPriority w:val="99"/>
    <w:rsid w:val="00C606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6A4"/>
    <w:rPr>
      <w:b/>
      <w:bCs/>
    </w:rPr>
  </w:style>
  <w:style w:type="character" w:customStyle="1" w:styleId="CommentSubjectChar">
    <w:name w:val="Comment Subject Char"/>
    <w:basedOn w:val="CommentTextChar"/>
    <w:link w:val="CommentSubject"/>
    <w:uiPriority w:val="99"/>
    <w:semiHidden/>
    <w:rsid w:val="00C606A4"/>
    <w:rPr>
      <w:rFonts w:ascii="Times New Roman" w:eastAsia="Times New Roman" w:hAnsi="Times New Roman" w:cs="Times New Roman"/>
      <w:b/>
      <w:bCs/>
      <w:sz w:val="20"/>
      <w:szCs w:val="20"/>
    </w:rPr>
  </w:style>
  <w:style w:type="paragraph" w:styleId="Revision">
    <w:name w:val="Revision"/>
    <w:hidden/>
    <w:uiPriority w:val="99"/>
    <w:semiHidden/>
    <w:rsid w:val="006E58F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106"/>
    <w:rPr>
      <w:rFonts w:ascii="Calibri Light" w:eastAsia="Times New Roman" w:hAnsi="Calibri Light" w:cs="Times New Roman"/>
      <w:b/>
      <w:bCs/>
      <w:kern w:val="32"/>
      <w:sz w:val="32"/>
      <w:szCs w:val="32"/>
    </w:rPr>
  </w:style>
  <w:style w:type="character" w:styleId="FootnoteReference">
    <w:name w:val="footnote reference"/>
    <w:semiHidden/>
    <w:rsid w:val="009D1106"/>
  </w:style>
  <w:style w:type="paragraph" w:styleId="FootnoteText">
    <w:name w:val="footnote text"/>
    <w:basedOn w:val="Normal"/>
    <w:link w:val="FootnoteTextChar"/>
    <w:rsid w:val="009D1106"/>
    <w:pPr>
      <w:tabs>
        <w:tab w:val="left" w:pos="360"/>
      </w:tabs>
      <w:ind w:left="360" w:hanging="360"/>
    </w:pPr>
    <w:rPr>
      <w:sz w:val="20"/>
      <w:szCs w:val="20"/>
    </w:rPr>
  </w:style>
  <w:style w:type="character" w:customStyle="1" w:styleId="FootnoteTextChar">
    <w:name w:val="Footnote Text Char"/>
    <w:basedOn w:val="DefaultParagraphFont"/>
    <w:link w:val="FootnoteText"/>
    <w:rsid w:val="009D110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47AC"/>
    <w:rPr>
      <w:color w:val="800080" w:themeColor="followedHyperlink"/>
      <w:u w:val="single"/>
    </w:rPr>
  </w:style>
  <w:style w:type="paragraph" w:customStyle="1" w:styleId="Level1">
    <w:name w:val="Level 1"/>
    <w:basedOn w:val="Normal"/>
    <w:rsid w:val="00E335D2"/>
    <w:pPr>
      <w:widowControl w:val="0"/>
      <w:autoSpaceDE w:val="0"/>
      <w:autoSpaceDN w:val="0"/>
      <w:adjustRightInd w:val="0"/>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307289">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A4A48-8A21-480E-ABDA-CB22F946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Blumenthal, Mara - OASAM OCIO</cp:lastModifiedBy>
  <cp:revision>3</cp:revision>
  <cp:lastPrinted>2015-08-04T19:41:00Z</cp:lastPrinted>
  <dcterms:created xsi:type="dcterms:W3CDTF">2022-08-30T14:27:00Z</dcterms:created>
  <dcterms:modified xsi:type="dcterms:W3CDTF">2022-08-30T14:28:00Z</dcterms:modified>
</cp:coreProperties>
</file>