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97D" w:rsidP="003F697D" w:rsidRDefault="003F697D" w14:paraId="1C517874" w14:textId="24574D87">
      <w:pPr>
        <w:pStyle w:val="Default"/>
        <w:jc w:val="center"/>
        <w:rPr>
          <w:rFonts w:eastAsia="Calibri"/>
          <w:b/>
          <w:bCs/>
          <w:color w:val="333333"/>
          <w:shd w:val="clear" w:color="auto" w:fill="FFFFFF"/>
        </w:rPr>
      </w:pPr>
      <w:r>
        <w:rPr>
          <w:rFonts w:eastAsia="Calibri"/>
          <w:b/>
          <w:bCs/>
          <w:color w:val="333333"/>
          <w:shd w:val="clear" w:color="auto" w:fill="FFFFFF"/>
        </w:rPr>
        <w:t>Non-Substantive Change Request</w:t>
      </w:r>
    </w:p>
    <w:p w:rsidR="003F697D" w:rsidP="003F697D" w:rsidRDefault="003F697D" w14:paraId="4445EA4B" w14:textId="50F74EDD">
      <w:pPr>
        <w:pStyle w:val="Default"/>
        <w:jc w:val="center"/>
        <w:rPr>
          <w:rFonts w:eastAsia="Calibri"/>
          <w:b/>
          <w:bCs/>
          <w:color w:val="333333"/>
          <w:shd w:val="clear" w:color="auto" w:fill="FFFFFF"/>
        </w:rPr>
      </w:pPr>
      <w:r>
        <w:rPr>
          <w:rFonts w:eastAsia="Calibri"/>
          <w:b/>
          <w:bCs/>
          <w:color w:val="333333"/>
          <w:shd w:val="clear" w:color="auto" w:fill="FFFFFF"/>
        </w:rPr>
        <w:t>Control No. 1405-0250</w:t>
      </w:r>
    </w:p>
    <w:p w:rsidRPr="003F697D" w:rsidR="003F697D" w:rsidP="003F697D" w:rsidRDefault="003F697D" w14:paraId="3A9946EF" w14:textId="78E86D11">
      <w:pPr>
        <w:pStyle w:val="Default"/>
        <w:jc w:val="center"/>
        <w:rPr>
          <w:rFonts w:eastAsia="Calibri"/>
          <w:b/>
          <w:bCs/>
          <w:color w:val="333333"/>
          <w:shd w:val="clear" w:color="auto" w:fill="FFFFFF"/>
        </w:rPr>
      </w:pPr>
      <w:r>
        <w:rPr>
          <w:rFonts w:eastAsia="Calibri"/>
          <w:b/>
          <w:bCs/>
          <w:color w:val="333333"/>
          <w:shd w:val="clear" w:color="auto" w:fill="FFFFFF"/>
        </w:rPr>
        <w:t>DS-4316</w:t>
      </w:r>
    </w:p>
    <w:p w:rsidR="003F697D" w:rsidP="003F697D" w:rsidRDefault="003F697D" w14:paraId="5699CE3E" w14:textId="77777777">
      <w:pPr>
        <w:pStyle w:val="Default"/>
        <w:spacing w:line="480" w:lineRule="auto"/>
        <w:rPr>
          <w:rFonts w:eastAsia="Calibri"/>
          <w:color w:val="333333"/>
          <w:shd w:val="clear" w:color="auto" w:fill="FFFFFF"/>
        </w:rPr>
      </w:pPr>
    </w:p>
    <w:p w:rsidR="003F697D" w:rsidP="003F697D" w:rsidRDefault="003F697D" w14:paraId="3AAB52F0" w14:textId="0F41C419">
      <w:pPr>
        <w:pStyle w:val="Default"/>
        <w:spacing w:line="480" w:lineRule="auto"/>
        <w:ind w:firstLine="720"/>
        <w:rPr>
          <w:rFonts w:eastAsia="Calibri"/>
          <w:color w:val="333333"/>
          <w:shd w:val="clear" w:color="auto" w:fill="FFFFFF"/>
        </w:rPr>
      </w:pPr>
      <w:r>
        <w:rPr>
          <w:rFonts w:eastAsia="Calibri"/>
          <w:color w:val="333333"/>
          <w:shd w:val="clear" w:color="auto" w:fill="FFFFFF"/>
        </w:rPr>
        <w:t>The Department of State is requesting approval to amend the DS-4316, to add another category of physician that may evaluate the patient and complete the form.  The Department is amending the interim final rule that it published June 30, 2022 at 87 FR 38981, to provide for this change.  Specifically, the Department is providing that either physicians currently certified by the American Board of Psychiatry and Neurology (APBN) or the American Board of Physical Medicine and Rehabilitation (ABPMR) may assess an individual’s qualifying injury to the brain and complete the DS-4316, “Eligibility Questionnaire for HAVANA Act Payments”.  The DS-4316 will also be modified to reflect this regulatory change.</w:t>
      </w:r>
    </w:p>
    <w:p w:rsidR="003F697D" w:rsidP="003F697D" w:rsidRDefault="003F697D" w14:paraId="5999A571" w14:textId="7E32A8E9">
      <w:pPr>
        <w:pStyle w:val="Default"/>
        <w:spacing w:line="480" w:lineRule="auto"/>
        <w:rPr>
          <w:rFonts w:eastAsia="Calibri"/>
          <w:color w:val="333333"/>
          <w:shd w:val="clear" w:color="auto" w:fill="FFFFFF"/>
        </w:rPr>
      </w:pPr>
      <w:r>
        <w:rPr>
          <w:rFonts w:eastAsia="Calibri"/>
          <w:color w:val="333333"/>
          <w:shd w:val="clear" w:color="auto" w:fill="FFFFFF"/>
        </w:rPr>
        <w:tab/>
        <w:t xml:space="preserve">The Department is requesting this change both in response to public comments advocating for this addition and additional corroborative information from medical providers.  The Department has consulted with officials at several prominent medical centers.  Based on those inquiries, it appears that the majority of patients who have reported anomalous health incidents were seen by either a neurologist certified by the ABPN or by a physician certified by the ABPMR.  The Department believes that it would be in the best interest of the public and affected community if, on the effective date of the IFR, Part 135 of 22 CFR and the DS-4316 provide that patients could be assessed by physicians with either a current ABPN or current ABPMR certification. </w:t>
      </w:r>
    </w:p>
    <w:p w:rsidR="003F697D" w:rsidP="003F697D" w:rsidRDefault="003F697D" w14:paraId="7886EF3F" w14:textId="543EA5FE">
      <w:pPr>
        <w:pStyle w:val="Default"/>
        <w:spacing w:line="480" w:lineRule="auto"/>
        <w:rPr>
          <w:rFonts w:eastAsia="Calibri"/>
          <w:color w:val="333333"/>
          <w:shd w:val="clear" w:color="auto" w:fill="FFFFFF"/>
        </w:rPr>
      </w:pPr>
      <w:r>
        <w:rPr>
          <w:rFonts w:eastAsia="Calibri"/>
          <w:color w:val="333333"/>
          <w:shd w:val="clear" w:color="auto" w:fill="FFFFFF"/>
        </w:rPr>
        <w:tab/>
        <w:t>The Department does not believe the number of respondents will change as a result of this change.</w:t>
      </w:r>
    </w:p>
    <w:p w:rsidR="00D25E86" w:rsidRDefault="00D25E86" w14:paraId="701A8BC1" w14:textId="77777777"/>
    <w:sectPr w:rsidR="00D25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E429" w14:textId="77777777" w:rsidR="003F697D" w:rsidRDefault="003F697D" w:rsidP="003F697D">
      <w:pPr>
        <w:spacing w:after="0" w:line="240" w:lineRule="auto"/>
      </w:pPr>
      <w:r>
        <w:separator/>
      </w:r>
    </w:p>
  </w:endnote>
  <w:endnote w:type="continuationSeparator" w:id="0">
    <w:p w14:paraId="27622934" w14:textId="77777777" w:rsidR="003F697D" w:rsidRDefault="003F697D" w:rsidP="003F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2534" w14:textId="77777777" w:rsidR="003F697D" w:rsidRDefault="003F697D" w:rsidP="003F697D">
      <w:pPr>
        <w:spacing w:after="0" w:line="240" w:lineRule="auto"/>
      </w:pPr>
      <w:r>
        <w:separator/>
      </w:r>
    </w:p>
  </w:footnote>
  <w:footnote w:type="continuationSeparator" w:id="0">
    <w:p w14:paraId="22B92BD9" w14:textId="77777777" w:rsidR="003F697D" w:rsidRDefault="003F697D" w:rsidP="003F6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7D"/>
    <w:rsid w:val="00151B69"/>
    <w:rsid w:val="003F697D"/>
    <w:rsid w:val="0067123B"/>
    <w:rsid w:val="00697B96"/>
    <w:rsid w:val="00D2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F652"/>
  <w15:chartTrackingRefBased/>
  <w15:docId w15:val="{BAEBC7F8-4D32-4495-A8FF-18AF87D2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9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4</DocSecurity>
  <Lines>11</Lines>
  <Paragraphs>3</Paragraphs>
  <ScaleCrop>false</ScaleCrop>
  <Company>Department of State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Kottmyer, Alice M</dc:creator>
  <cp:keywords/>
  <dc:description/>
  <cp:lastModifiedBy>Kottmyer, Alice M</cp:lastModifiedBy>
  <cp:revision>2</cp:revision>
  <dcterms:created xsi:type="dcterms:W3CDTF">2022-08-08T21:16:00Z</dcterms:created>
  <dcterms:modified xsi:type="dcterms:W3CDTF">2022-08-08T21:16:00Z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2022-07-29T14:24:37Z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a2d33a20-f254-4775-b233-463effea43e6</vt:lpwstr>
  </property>
  <property fmtid="{D5CDD505-2E9C-101B-9397-08002B2CF9AE}" pid="8" name="MSIP_Label_1665d9ee-429a-4d5f-97cc-cfb56e044a6e_ContentBits">
    <vt:lpwstr>0</vt:lpwstr>
  </property>
</Properties>
</file>