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F76" w:rsidRDefault="00BA43FC" w14:paraId="5DFA1827" w14:textId="77777777">
      <w:pPr>
        <w:pStyle w:val="Title"/>
      </w:pPr>
      <w:r>
        <w:t>OMB</w:t>
      </w:r>
      <w:r>
        <w:rPr>
          <w:spacing w:val="-14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1505-0271 Expiration Date: 4/30/2025</w:t>
      </w:r>
    </w:p>
    <w:p w:rsidR="002A2F76" w:rsidRDefault="002A2F76" w14:paraId="5DFA1828" w14:textId="77777777">
      <w:pPr>
        <w:pStyle w:val="BodyText"/>
        <w:rPr>
          <w:rFonts w:ascii="Times New Roman"/>
          <w:sz w:val="24"/>
        </w:rPr>
      </w:pPr>
    </w:p>
    <w:p w:rsidR="002A2F76" w:rsidRDefault="002A2F76" w14:paraId="5DFA1829" w14:textId="77777777">
      <w:pPr>
        <w:pStyle w:val="BodyText"/>
        <w:spacing w:before="8"/>
        <w:rPr>
          <w:rFonts w:ascii="Times New Roman"/>
          <w:sz w:val="22"/>
        </w:rPr>
      </w:pPr>
    </w:p>
    <w:p w:rsidR="002A2F76" w:rsidRDefault="00BA43FC" w14:paraId="5DFA182A" w14:textId="77777777">
      <w:pPr>
        <w:pStyle w:val="Heading1"/>
        <w:ind w:left="1962" w:right="1921"/>
        <w:jc w:val="center"/>
      </w:pPr>
      <w:r>
        <w:t>Coronavirus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rPr>
          <w:spacing w:val="-2"/>
        </w:rPr>
        <w:t>Funds</w:t>
      </w:r>
    </w:p>
    <w:p w:rsidR="002A2F76" w:rsidRDefault="00BA43FC" w14:paraId="5DFA182B" w14:textId="77777777">
      <w:pPr>
        <w:spacing w:before="20" w:line="259" w:lineRule="auto"/>
        <w:ind w:left="402" w:right="359"/>
        <w:jc w:val="center"/>
        <w:rPr>
          <w:b/>
          <w:sz w:val="21"/>
        </w:rPr>
      </w:pPr>
      <w:r>
        <w:rPr>
          <w:b/>
          <w:sz w:val="21"/>
        </w:rPr>
        <w:t>Request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Extension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(First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30-Day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Extension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Distribution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Funds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to </w:t>
      </w:r>
      <w:proofErr w:type="spellStart"/>
      <w:r>
        <w:rPr>
          <w:b/>
          <w:sz w:val="21"/>
        </w:rPr>
        <w:t>Nonentitlement</w:t>
      </w:r>
      <w:proofErr w:type="spellEnd"/>
      <w:r>
        <w:rPr>
          <w:b/>
          <w:sz w:val="21"/>
        </w:rPr>
        <w:t xml:space="preserve"> Units of Local Government)</w:t>
      </w:r>
    </w:p>
    <w:p w:rsidR="002A2F76" w:rsidRDefault="00BA43FC" w14:paraId="5DFA182C" w14:textId="77777777">
      <w:pPr>
        <w:spacing w:before="161"/>
        <w:ind w:left="1943" w:right="1921"/>
        <w:jc w:val="center"/>
        <w:rPr>
          <w:i/>
          <w:sz w:val="21"/>
        </w:rPr>
      </w:pPr>
      <w:r>
        <w:rPr>
          <w:i/>
          <w:sz w:val="21"/>
        </w:rPr>
        <w:t xml:space="preserve">Updated June </w:t>
      </w:r>
      <w:r>
        <w:rPr>
          <w:i/>
          <w:spacing w:val="-4"/>
          <w:sz w:val="21"/>
        </w:rPr>
        <w:t>2022</w:t>
      </w:r>
    </w:p>
    <w:p w:rsidR="002A2F76" w:rsidRDefault="00BA43FC" w14:paraId="5DFA182D" w14:textId="77777777">
      <w:pPr>
        <w:pStyle w:val="BodyText"/>
        <w:spacing w:before="178"/>
        <w:ind w:left="120" w:right="111"/>
      </w:pPr>
      <w:r>
        <w:t>The Coronavirus State and Local Fiscal Recovery Funds (SLFRF) Program, established by Sections 602 and 603 of the Social Security Act, as added by section 9901 of the American Rescue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(ARPA),</w:t>
      </w:r>
      <w:r>
        <w:rPr>
          <w:spacing w:val="-3"/>
        </w:rPr>
        <w:t xml:space="preserve"> </w:t>
      </w:r>
      <w:r>
        <w:t>authorizes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Treasury</w:t>
      </w:r>
      <w:r>
        <w:rPr>
          <w:spacing w:val="-5"/>
        </w:rPr>
        <w:t xml:space="preserve"> </w:t>
      </w:r>
      <w:r>
        <w:t>(Treasury)</w:t>
      </w:r>
      <w:r>
        <w:rPr>
          <w:spacing w:val="-4"/>
        </w:rPr>
        <w:t xml:space="preserve"> </w:t>
      </w:r>
      <w:r>
        <w:t xml:space="preserve">to make payments to states for distribution to their </w:t>
      </w:r>
      <w:proofErr w:type="spellStart"/>
      <w:r>
        <w:t>nonentitlement</w:t>
      </w:r>
      <w:proofErr w:type="spellEnd"/>
      <w:r>
        <w:t xml:space="preserve"> units of local government (NEUs). Section 603(b)(2)(C)(</w:t>
      </w:r>
      <w:proofErr w:type="spellStart"/>
      <w:r>
        <w:t>i</w:t>
      </w:r>
      <w:proofErr w:type="spellEnd"/>
      <w:r>
        <w:t>) of the Act states that “[n]</w:t>
      </w:r>
      <w:proofErr w:type="spellStart"/>
      <w:r>
        <w:t>ot</w:t>
      </w:r>
      <w:proofErr w:type="spellEnd"/>
      <w:r>
        <w:t xml:space="preserve"> later than 30 days after a State</w:t>
      </w:r>
    </w:p>
    <w:p w:rsidR="002A2F76" w:rsidRDefault="00BA43FC" w14:paraId="5DFA182E" w14:textId="77777777">
      <w:pPr>
        <w:pStyle w:val="BodyText"/>
        <w:ind w:left="120" w:right="154"/>
      </w:pPr>
      <w:r>
        <w:t>receives a payment,” the state “shall distribute” funds to each NEU in the state. Section 603(b)(2)(C)(ii)(I)</w:t>
      </w:r>
      <w:r>
        <w:rPr>
          <w:spacing w:val="-3"/>
        </w:rPr>
        <w:t xml:space="preserve"> </w:t>
      </w:r>
      <w:r>
        <w:t>directs</w:t>
      </w:r>
      <w:r>
        <w:rPr>
          <w:spacing w:val="-3"/>
        </w:rPr>
        <w:t xml:space="preserve"> </w:t>
      </w:r>
      <w:r>
        <w:t>Treasury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30-day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certifies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“excessive administrative burden” in writing before the end of the 30-day distribution period.</w:t>
      </w:r>
    </w:p>
    <w:p w:rsidR="002A2F76" w:rsidRDefault="002A2F76" w14:paraId="5DFA182F" w14:textId="77777777">
      <w:pPr>
        <w:pStyle w:val="BodyText"/>
        <w:spacing w:before="11"/>
        <w:rPr>
          <w:sz w:val="20"/>
        </w:rPr>
      </w:pPr>
    </w:p>
    <w:p w:rsidR="002A2F76" w:rsidRDefault="00BA43FC" w14:paraId="5DFA1830" w14:textId="77777777">
      <w:pPr>
        <w:pStyle w:val="BodyText"/>
        <w:spacing w:before="1"/>
        <w:ind w:left="120" w:right="111"/>
      </w:pP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30-day</w:t>
      </w:r>
      <w:r>
        <w:rPr>
          <w:spacing w:val="-4"/>
        </w:rPr>
        <w:t xml:space="preserve"> </w:t>
      </w:r>
      <w:r>
        <w:t>extension,</w:t>
      </w:r>
      <w:r>
        <w:rPr>
          <w:spacing w:val="-3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return to Treasury by emailing or replying to </w:t>
      </w:r>
      <w:hyperlink r:id="rId9">
        <w:r>
          <w:rPr>
            <w:color w:val="0562C1"/>
            <w:u w:val="single" w:color="0562C1"/>
          </w:rPr>
          <w:t>SLFRF@treasury.gov</w:t>
        </w:r>
        <w:r>
          <w:rPr>
            <w:color w:val="0562C1"/>
          </w:rPr>
          <w:t xml:space="preserve"> </w:t>
        </w:r>
      </w:hyperlink>
      <w:r>
        <w:t xml:space="preserve">with the subject line “NEU Distribution - Extension Form” before the end of the 30-day distribution period. Treasury will grant all timely and complete requests for the first 30-day extension, as provided for in the </w:t>
      </w:r>
      <w:r>
        <w:rPr>
          <w:spacing w:val="-2"/>
        </w:rPr>
        <w:t>statute.</w:t>
      </w:r>
    </w:p>
    <w:p w:rsidR="002A2F76" w:rsidRDefault="002A2F76" w14:paraId="5DFA1831" w14:textId="77777777">
      <w:pPr>
        <w:pStyle w:val="BodyText"/>
        <w:spacing w:before="1"/>
      </w:pPr>
    </w:p>
    <w:p w:rsidR="002A2F76" w:rsidRDefault="00BA43FC" w14:paraId="5DFA1832" w14:textId="77777777">
      <w:pPr>
        <w:pStyle w:val="Heading1"/>
        <w:spacing w:before="1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Extension</w:t>
      </w:r>
    </w:p>
    <w:p w:rsidR="002A2F76" w:rsidRDefault="002A2F76" w14:paraId="5DFA1833" w14:textId="77777777">
      <w:pPr>
        <w:pStyle w:val="BodyText"/>
        <w:spacing w:before="9"/>
        <w:rPr>
          <w:b/>
          <w:sz w:val="20"/>
        </w:rPr>
      </w:pPr>
    </w:p>
    <w:p w:rsidR="002A2F76" w:rsidRDefault="00BA43FC" w14:paraId="5DFA1834" w14:textId="77777777">
      <w:pPr>
        <w:pStyle w:val="BodyText"/>
        <w:tabs>
          <w:tab w:val="left" w:pos="2482"/>
        </w:tabs>
        <w:spacing w:before="1"/>
        <w:ind w:left="119" w:right="154"/>
      </w:pPr>
      <w:r>
        <w:rPr>
          <w:u w:val="single"/>
        </w:rPr>
        <w:tab/>
      </w:r>
      <w:r>
        <w:t>(Name of State) hereby certifies that it would constitute an excessive administrative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SLFRF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NEUs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30-day distribution period as outlined in Section 603(b)(2)(C)(</w:t>
      </w:r>
      <w:proofErr w:type="spellStart"/>
      <w:r>
        <w:t>i</w:t>
      </w:r>
      <w:proofErr w:type="spellEnd"/>
      <w:r>
        <w:t xml:space="preserve">), and requests, pursuant to Section 603(b)(2)(C)(ii)(I), an extension for an additional 30 days to distribute funding to its </w:t>
      </w:r>
      <w:r>
        <w:rPr>
          <w:spacing w:val="-2"/>
        </w:rPr>
        <w:t>NEUs.</w:t>
      </w:r>
    </w:p>
    <w:p w:rsidR="002A2F76" w:rsidRDefault="002A2F76" w14:paraId="5DFA1835" w14:textId="77777777">
      <w:pPr>
        <w:pStyle w:val="BodyText"/>
        <w:spacing w:before="1"/>
      </w:pPr>
    </w:p>
    <w:p w:rsidR="002A2F76" w:rsidRDefault="00BA43FC" w14:paraId="5DFA1836" w14:textId="77777777">
      <w:pPr>
        <w:pStyle w:val="BodyText"/>
        <w:ind w:left="119" w:right="111"/>
      </w:pP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30-day</w:t>
      </w:r>
      <w:r>
        <w:rPr>
          <w:spacing w:val="-4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 603(b)(2)(C)(</w:t>
      </w:r>
      <w:proofErr w:type="spellStart"/>
      <w:r>
        <w:t>i</w:t>
      </w:r>
      <w:proofErr w:type="spellEnd"/>
      <w:r>
        <w:t>), the state acknowledges that Treasury will assume that the state receives its NEU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603(b)(2)(B)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“invoice</w:t>
      </w:r>
      <w:r>
        <w:rPr>
          <w:spacing w:val="-1"/>
        </w:rPr>
        <w:t xml:space="preserve"> </w:t>
      </w:r>
      <w:r>
        <w:t>date,”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 xml:space="preserve">is the date on which Treasury initiates the payment to the state. This date can be found on Treasury’s </w:t>
      </w:r>
      <w:hyperlink r:id="rId10">
        <w:r>
          <w:rPr>
            <w:color w:val="0562C1"/>
            <w:u w:val="single" w:color="0562C1"/>
          </w:rPr>
          <w:t>website for the SLFRF program</w:t>
        </w:r>
        <w:r>
          <w:t xml:space="preserve">. </w:t>
        </w:r>
      </w:hyperlink>
      <w:r>
        <w:t>This first extension will add 30 additional days to the initial 30-day distribution period for states to distribute funding to their NEUs.</w:t>
      </w:r>
    </w:p>
    <w:p w:rsidR="002A2F76" w:rsidRDefault="002A2F76" w14:paraId="5DFA1837" w14:textId="77777777">
      <w:pPr>
        <w:pStyle w:val="BodyText"/>
      </w:pPr>
    </w:p>
    <w:p w:rsidR="002A2F76" w:rsidRDefault="00BA43FC" w14:paraId="5DFA1838" w14:textId="77777777">
      <w:pPr>
        <w:pStyle w:val="Heading1"/>
      </w:pPr>
      <w:r>
        <w:t>Part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Distributions</w:t>
      </w:r>
    </w:p>
    <w:p w:rsidR="002A2F76" w:rsidRDefault="002A2F76" w14:paraId="5DFA1839" w14:textId="77777777">
      <w:pPr>
        <w:pStyle w:val="BodyText"/>
        <w:spacing w:before="11"/>
        <w:rPr>
          <w:b/>
          <w:sz w:val="20"/>
        </w:rPr>
      </w:pPr>
    </w:p>
    <w:p w:rsidR="002A2F76" w:rsidRDefault="00BA43FC" w14:paraId="5DFA183A" w14:textId="77777777">
      <w:pPr>
        <w:ind w:left="120" w:right="111"/>
        <w:rPr>
          <w:i/>
          <w:sz w:val="21"/>
        </w:rPr>
      </w:pP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date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request,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state</w:t>
      </w:r>
      <w:r>
        <w:rPr>
          <w:spacing w:val="-2"/>
          <w:sz w:val="21"/>
        </w:rPr>
        <w:t xml:space="preserve"> </w:t>
      </w:r>
      <w:r>
        <w:rPr>
          <w:sz w:val="21"/>
        </w:rPr>
        <w:t>has</w:t>
      </w:r>
      <w:r>
        <w:rPr>
          <w:spacing w:val="-2"/>
          <w:sz w:val="21"/>
        </w:rPr>
        <w:t xml:space="preserve"> </w:t>
      </w:r>
      <w:r>
        <w:rPr>
          <w:sz w:val="21"/>
        </w:rPr>
        <w:t>completed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following.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Please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check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apply and fill in blanks where applicable.</w:t>
      </w:r>
    </w:p>
    <w:p w:rsidR="002A2F76" w:rsidRDefault="002A2F76" w14:paraId="5DFA183B" w14:textId="77777777">
      <w:pPr>
        <w:pStyle w:val="BodyText"/>
        <w:spacing w:before="6"/>
        <w:rPr>
          <w:i/>
        </w:rPr>
      </w:pPr>
    </w:p>
    <w:p w:rsidR="002A2F76" w:rsidRDefault="00BA43FC" w14:paraId="5DFA183C" w14:textId="77777777">
      <w:pPr>
        <w:pStyle w:val="ListParagraph"/>
        <w:numPr>
          <w:ilvl w:val="0"/>
          <w:numId w:val="1"/>
        </w:numPr>
        <w:tabs>
          <w:tab w:val="left" w:pos="1110"/>
        </w:tabs>
        <w:spacing w:line="235" w:lineRule="auto"/>
        <w:ind w:right="2193"/>
        <w:rPr>
          <w:i/>
          <w:sz w:val="21"/>
        </w:rPr>
      </w:pPr>
      <w:r>
        <w:rPr>
          <w:color w:val="3B4044"/>
          <w:sz w:val="21"/>
        </w:rPr>
        <w:t>Determined the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>eligibility of and allocated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>funds to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 xml:space="preserve">NEUs. </w:t>
      </w:r>
      <w:r>
        <w:rPr>
          <w:i/>
          <w:color w:val="3B4044"/>
          <w:sz w:val="21"/>
        </w:rPr>
        <w:t>Note: States determined the eligibility and</w:t>
      </w:r>
      <w:r>
        <w:rPr>
          <w:i/>
          <w:color w:val="3B4044"/>
          <w:spacing w:val="-1"/>
          <w:sz w:val="21"/>
        </w:rPr>
        <w:t xml:space="preserve"> </w:t>
      </w:r>
      <w:r>
        <w:rPr>
          <w:i/>
          <w:color w:val="3B4044"/>
          <w:sz w:val="21"/>
        </w:rPr>
        <w:t>allocations</w:t>
      </w:r>
      <w:r>
        <w:rPr>
          <w:i/>
          <w:color w:val="3B4044"/>
          <w:spacing w:val="-1"/>
          <w:sz w:val="21"/>
        </w:rPr>
        <w:t xml:space="preserve"> </w:t>
      </w:r>
      <w:r>
        <w:rPr>
          <w:i/>
          <w:color w:val="3B4044"/>
          <w:sz w:val="21"/>
        </w:rPr>
        <w:t>of NEUs during the</w:t>
      </w:r>
      <w:r>
        <w:rPr>
          <w:i/>
          <w:color w:val="3B4044"/>
          <w:spacing w:val="-4"/>
          <w:sz w:val="21"/>
        </w:rPr>
        <w:t xml:space="preserve"> </w:t>
      </w:r>
      <w:r>
        <w:rPr>
          <w:i/>
          <w:color w:val="3B4044"/>
          <w:sz w:val="21"/>
        </w:rPr>
        <w:t>first</w:t>
      </w:r>
      <w:r>
        <w:rPr>
          <w:i/>
          <w:color w:val="3B4044"/>
          <w:spacing w:val="-5"/>
          <w:sz w:val="21"/>
        </w:rPr>
        <w:t xml:space="preserve"> </w:t>
      </w:r>
      <w:r>
        <w:rPr>
          <w:i/>
          <w:color w:val="3B4044"/>
          <w:sz w:val="21"/>
        </w:rPr>
        <w:t>tranche</w:t>
      </w:r>
      <w:r>
        <w:rPr>
          <w:i/>
          <w:color w:val="3B4044"/>
          <w:spacing w:val="-4"/>
          <w:sz w:val="21"/>
        </w:rPr>
        <w:t xml:space="preserve"> </w:t>
      </w:r>
      <w:r>
        <w:rPr>
          <w:i/>
          <w:color w:val="3B4044"/>
          <w:sz w:val="21"/>
        </w:rPr>
        <w:t>distribution</w:t>
      </w:r>
      <w:r>
        <w:rPr>
          <w:i/>
          <w:color w:val="3B4044"/>
          <w:spacing w:val="-5"/>
          <w:sz w:val="21"/>
        </w:rPr>
        <w:t xml:space="preserve"> </w:t>
      </w:r>
      <w:r>
        <w:rPr>
          <w:i/>
          <w:color w:val="3B4044"/>
          <w:sz w:val="21"/>
        </w:rPr>
        <w:t>process.</w:t>
      </w:r>
      <w:r>
        <w:rPr>
          <w:i/>
          <w:color w:val="3B4044"/>
          <w:spacing w:val="-5"/>
          <w:sz w:val="21"/>
        </w:rPr>
        <w:t xml:space="preserve"> </w:t>
      </w:r>
      <w:r>
        <w:rPr>
          <w:i/>
          <w:color w:val="3B4044"/>
          <w:sz w:val="21"/>
        </w:rPr>
        <w:t>Please</w:t>
      </w:r>
      <w:r>
        <w:rPr>
          <w:i/>
          <w:color w:val="3B4044"/>
          <w:spacing w:val="-4"/>
          <w:sz w:val="21"/>
        </w:rPr>
        <w:t xml:space="preserve"> </w:t>
      </w:r>
      <w:r>
        <w:rPr>
          <w:i/>
          <w:color w:val="3B4044"/>
          <w:sz w:val="21"/>
        </w:rPr>
        <w:t>note</w:t>
      </w:r>
      <w:r>
        <w:rPr>
          <w:i/>
          <w:color w:val="3B4044"/>
          <w:spacing w:val="-5"/>
          <w:sz w:val="21"/>
        </w:rPr>
        <w:t xml:space="preserve"> </w:t>
      </w:r>
      <w:r>
        <w:rPr>
          <w:i/>
          <w:color w:val="3B4044"/>
          <w:sz w:val="21"/>
        </w:rPr>
        <w:t>that</w:t>
      </w:r>
      <w:r>
        <w:rPr>
          <w:i/>
          <w:color w:val="3B4044"/>
          <w:spacing w:val="-4"/>
          <w:sz w:val="21"/>
        </w:rPr>
        <w:t xml:space="preserve"> </w:t>
      </w:r>
      <w:r>
        <w:rPr>
          <w:i/>
          <w:color w:val="3B4044"/>
          <w:sz w:val="21"/>
        </w:rPr>
        <w:t>only</w:t>
      </w:r>
      <w:r>
        <w:rPr>
          <w:i/>
          <w:color w:val="3B4044"/>
          <w:spacing w:val="-5"/>
          <w:sz w:val="21"/>
        </w:rPr>
        <w:t xml:space="preserve"> </w:t>
      </w:r>
      <w:r>
        <w:rPr>
          <w:i/>
          <w:color w:val="3B4044"/>
          <w:sz w:val="21"/>
        </w:rPr>
        <w:t>NEUs that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were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responsive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during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the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first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tranche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distribution</w:t>
      </w:r>
      <w:r>
        <w:rPr>
          <w:i/>
          <w:color w:val="3B4044"/>
          <w:spacing w:val="-3"/>
          <w:sz w:val="21"/>
        </w:rPr>
        <w:t xml:space="preserve"> </w:t>
      </w:r>
      <w:r>
        <w:rPr>
          <w:i/>
          <w:color w:val="3B4044"/>
          <w:sz w:val="21"/>
        </w:rPr>
        <w:t>process are eligible for a second tranche payment.</w:t>
      </w:r>
    </w:p>
    <w:p w:rsidR="002A2F76" w:rsidRDefault="00BA43FC" w14:paraId="5DFA183D" w14:textId="77777777">
      <w:pPr>
        <w:pStyle w:val="ListParagraph"/>
        <w:numPr>
          <w:ilvl w:val="0"/>
          <w:numId w:val="1"/>
        </w:numPr>
        <w:tabs>
          <w:tab w:val="left" w:pos="1110"/>
        </w:tabs>
        <w:spacing w:before="23"/>
        <w:ind w:hanging="270"/>
        <w:rPr>
          <w:sz w:val="21"/>
        </w:rPr>
      </w:pPr>
      <w:r>
        <w:rPr>
          <w:color w:val="3B4044"/>
          <w:sz w:val="21"/>
        </w:rPr>
        <w:t>Begun</w:t>
      </w:r>
      <w:r>
        <w:rPr>
          <w:color w:val="3B4044"/>
          <w:spacing w:val="-6"/>
          <w:sz w:val="21"/>
        </w:rPr>
        <w:t xml:space="preserve"> </w:t>
      </w:r>
      <w:r>
        <w:rPr>
          <w:color w:val="3B4044"/>
          <w:sz w:val="21"/>
        </w:rPr>
        <w:t>accepting</w:t>
      </w:r>
      <w:r>
        <w:rPr>
          <w:color w:val="3B4044"/>
          <w:spacing w:val="-5"/>
          <w:sz w:val="21"/>
        </w:rPr>
        <w:t xml:space="preserve"> </w:t>
      </w:r>
      <w:r>
        <w:rPr>
          <w:color w:val="3B4044"/>
          <w:sz w:val="21"/>
        </w:rPr>
        <w:t>and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processing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requests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for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payment</w:t>
      </w:r>
      <w:r>
        <w:rPr>
          <w:color w:val="3B4044"/>
          <w:spacing w:val="-5"/>
          <w:sz w:val="21"/>
        </w:rPr>
        <w:t xml:space="preserve"> </w:t>
      </w:r>
      <w:r>
        <w:rPr>
          <w:color w:val="3B4044"/>
          <w:sz w:val="21"/>
        </w:rPr>
        <w:t>from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pacing w:val="-4"/>
          <w:sz w:val="21"/>
        </w:rPr>
        <w:t>NEUs</w:t>
      </w:r>
    </w:p>
    <w:p w:rsidR="002A2F76" w:rsidRDefault="00BA43FC" w14:paraId="5DFA183E" w14:textId="77777777">
      <w:pPr>
        <w:pStyle w:val="ListParagraph"/>
        <w:numPr>
          <w:ilvl w:val="0"/>
          <w:numId w:val="1"/>
        </w:numPr>
        <w:tabs>
          <w:tab w:val="left" w:pos="1110"/>
          <w:tab w:val="left" w:pos="4852"/>
          <w:tab w:val="left" w:pos="6672"/>
        </w:tabs>
        <w:spacing w:before="4"/>
        <w:ind w:hanging="270"/>
        <w:rPr>
          <w:sz w:val="21"/>
        </w:rPr>
      </w:pPr>
      <w:r>
        <w:rPr>
          <w:color w:val="3B4044"/>
          <w:sz w:val="21"/>
        </w:rPr>
        <w:t xml:space="preserve">Distributed payments to </w:t>
      </w:r>
      <w:r>
        <w:rPr>
          <w:color w:val="3B4044"/>
          <w:sz w:val="21"/>
          <w:u w:val="single" w:color="3A3F43"/>
        </w:rPr>
        <w:tab/>
      </w:r>
      <w:r>
        <w:rPr>
          <w:color w:val="3B4044"/>
          <w:sz w:val="21"/>
        </w:rPr>
        <w:t xml:space="preserve">out of </w:t>
      </w:r>
      <w:r>
        <w:rPr>
          <w:color w:val="3B4044"/>
          <w:sz w:val="21"/>
          <w:u w:val="single" w:color="3A3F43"/>
        </w:rPr>
        <w:tab/>
      </w:r>
      <w:r>
        <w:rPr>
          <w:color w:val="3B4044"/>
          <w:spacing w:val="-4"/>
          <w:sz w:val="21"/>
        </w:rPr>
        <w:t>NEUs</w:t>
      </w:r>
    </w:p>
    <w:p w:rsidR="002A2F76" w:rsidRDefault="002A2F76" w14:paraId="5DFA183F" w14:textId="77777777">
      <w:pPr>
        <w:jc w:val="both"/>
        <w:rPr>
          <w:sz w:val="21"/>
        </w:rPr>
        <w:sectPr w:rsidR="002A2F76">
          <w:type w:val="continuous"/>
          <w:pgSz w:w="12240" w:h="15840"/>
          <w:pgMar w:top="640" w:right="1360" w:bottom="280" w:left="1320" w:header="720" w:footer="720" w:gutter="0"/>
          <w:cols w:space="720"/>
        </w:sectPr>
      </w:pPr>
    </w:p>
    <w:p w:rsidR="002A2F76" w:rsidRDefault="00BA43FC" w14:paraId="5DFA1840" w14:textId="77777777">
      <w:pPr>
        <w:pStyle w:val="BodyText"/>
        <w:spacing w:before="102" w:line="211" w:lineRule="auto"/>
        <w:ind w:left="127" w:right="5748"/>
      </w:pPr>
      <w:r>
        <w:rPr>
          <w:color w:val="3B4044"/>
        </w:rPr>
        <w:lastRenderedPageBreak/>
        <w:t>OMB</w:t>
      </w:r>
      <w:r>
        <w:rPr>
          <w:color w:val="3B4044"/>
          <w:spacing w:val="-15"/>
        </w:rPr>
        <w:t xml:space="preserve"> </w:t>
      </w:r>
      <w:r>
        <w:rPr>
          <w:color w:val="3B4044"/>
        </w:rPr>
        <w:t>Approved</w:t>
      </w:r>
      <w:r>
        <w:rPr>
          <w:color w:val="3B4044"/>
          <w:spacing w:val="-15"/>
        </w:rPr>
        <w:t xml:space="preserve"> </w:t>
      </w:r>
      <w:r>
        <w:rPr>
          <w:color w:val="3B4044"/>
        </w:rPr>
        <w:t>No.</w:t>
      </w:r>
      <w:r>
        <w:rPr>
          <w:color w:val="3B4044"/>
          <w:spacing w:val="-14"/>
        </w:rPr>
        <w:t xml:space="preserve"> </w:t>
      </w:r>
      <w:r>
        <w:rPr>
          <w:color w:val="3B4044"/>
        </w:rPr>
        <w:t>1505-02</w:t>
      </w:r>
      <w:r>
        <w:rPr>
          <w:rFonts w:ascii="Palatino Linotype"/>
          <w:color w:val="3B4044"/>
        </w:rPr>
        <w:t xml:space="preserve">71 </w:t>
      </w:r>
      <w:r>
        <w:rPr>
          <w:color w:val="3B4044"/>
        </w:rPr>
        <w:t>Expiration Date: 4/30/2025</w:t>
      </w:r>
    </w:p>
    <w:p w:rsidR="002A2F76" w:rsidRDefault="002A2F76" w14:paraId="5DFA1841" w14:textId="77777777">
      <w:pPr>
        <w:pStyle w:val="BodyText"/>
        <w:spacing w:before="3"/>
      </w:pPr>
    </w:p>
    <w:p w:rsidR="002A2F76" w:rsidRDefault="00BA43FC" w14:paraId="5DFA1842" w14:textId="77777777">
      <w:pPr>
        <w:pStyle w:val="Heading1"/>
        <w:spacing w:before="1"/>
        <w:ind w:left="127"/>
      </w:pPr>
      <w:r>
        <w:rPr>
          <w:color w:val="3B4044"/>
        </w:rPr>
        <w:t>Part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2:</w:t>
      </w:r>
      <w:r>
        <w:rPr>
          <w:color w:val="3B4044"/>
          <w:spacing w:val="-1"/>
        </w:rPr>
        <w:t xml:space="preserve"> </w:t>
      </w:r>
      <w:r>
        <w:rPr>
          <w:color w:val="3B4044"/>
        </w:rPr>
        <w:t>Reporting Update</w:t>
      </w:r>
      <w:r>
        <w:rPr>
          <w:color w:val="3B4044"/>
          <w:spacing w:val="-1"/>
        </w:rPr>
        <w:t xml:space="preserve"> </w:t>
      </w:r>
      <w:r>
        <w:rPr>
          <w:color w:val="3B4044"/>
        </w:rPr>
        <w:t xml:space="preserve">on </w:t>
      </w:r>
      <w:r>
        <w:rPr>
          <w:color w:val="3B4044"/>
          <w:spacing w:val="-2"/>
        </w:rPr>
        <w:t>Distributions</w:t>
      </w:r>
    </w:p>
    <w:p w:rsidR="002A2F76" w:rsidRDefault="002A2F76" w14:paraId="5DFA1843" w14:textId="77777777">
      <w:pPr>
        <w:pStyle w:val="BodyText"/>
        <w:spacing w:before="11"/>
        <w:rPr>
          <w:b/>
          <w:sz w:val="20"/>
        </w:rPr>
      </w:pPr>
    </w:p>
    <w:p w:rsidR="002A2F76" w:rsidRDefault="00BA43FC" w14:paraId="5DFA1844" w14:textId="1341E0A5">
      <w:pPr>
        <w:pStyle w:val="BodyText"/>
        <w:ind w:left="127" w:right="154"/>
      </w:pPr>
      <w:r>
        <w:rPr>
          <w:color w:val="3B4044"/>
        </w:rPr>
        <w:t>Treasury requests information on whether the state is complying with Treasury’s reporting guidance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on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NEU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distributions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as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detailed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in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the</w:t>
      </w:r>
      <w:r>
        <w:rPr>
          <w:color w:val="3B4044"/>
          <w:spacing w:val="-4"/>
        </w:rPr>
        <w:t xml:space="preserve"> </w:t>
      </w:r>
      <w:hyperlink w:history="1" r:id="rId11">
        <w:r w:rsidRPr="00110DBE">
          <w:rPr>
            <w:rStyle w:val="Hyperlink"/>
          </w:rPr>
          <w:t>NEU</w:t>
        </w:r>
        <w:r w:rsidRPr="00110DBE">
          <w:rPr>
            <w:rStyle w:val="Hyperlink"/>
            <w:spacing w:val="-3"/>
          </w:rPr>
          <w:t xml:space="preserve"> </w:t>
        </w:r>
        <w:r w:rsidRPr="00110DBE">
          <w:rPr>
            <w:rStyle w:val="Hyperlink"/>
          </w:rPr>
          <w:t>and</w:t>
        </w:r>
        <w:r w:rsidRPr="00110DBE">
          <w:rPr>
            <w:rStyle w:val="Hyperlink"/>
            <w:spacing w:val="-4"/>
          </w:rPr>
          <w:t xml:space="preserve"> </w:t>
        </w:r>
        <w:r w:rsidRPr="00110DBE">
          <w:rPr>
            <w:rStyle w:val="Hyperlink"/>
          </w:rPr>
          <w:t>non-UGLG</w:t>
        </w:r>
        <w:r w:rsidRPr="00110DBE">
          <w:rPr>
            <w:rStyle w:val="Hyperlink"/>
            <w:spacing w:val="-3"/>
          </w:rPr>
          <w:t xml:space="preserve"> </w:t>
        </w:r>
        <w:r w:rsidRPr="00110DBE">
          <w:rPr>
            <w:rStyle w:val="Hyperlink"/>
          </w:rPr>
          <w:t>Distribution</w:t>
        </w:r>
        <w:r w:rsidRPr="00110DBE">
          <w:rPr>
            <w:rStyle w:val="Hyperlink"/>
            <w:spacing w:val="-3"/>
          </w:rPr>
          <w:t xml:space="preserve"> </w:t>
        </w:r>
        <w:r w:rsidRPr="00110DBE">
          <w:rPr>
            <w:rStyle w:val="Hyperlink"/>
          </w:rPr>
          <w:t>Template user guide</w:t>
        </w:r>
      </w:hyperlink>
      <w:r>
        <w:rPr>
          <w:color w:val="3B4044"/>
        </w:rPr>
        <w:t>.</w:t>
      </w:r>
    </w:p>
    <w:p w:rsidR="002A2F76" w:rsidRDefault="002A2F76" w14:paraId="5DFA1845" w14:textId="77777777">
      <w:pPr>
        <w:pStyle w:val="BodyText"/>
        <w:spacing w:before="6"/>
        <w:rPr>
          <w:sz w:val="19"/>
        </w:rPr>
      </w:pPr>
    </w:p>
    <w:p w:rsidR="002A2F76" w:rsidRDefault="00BA43FC" w14:paraId="5DFA1846" w14:textId="77777777">
      <w:pPr>
        <w:spacing w:before="1"/>
        <w:ind w:left="110" w:right="314"/>
        <w:rPr>
          <w:i/>
          <w:sz w:val="21"/>
        </w:rPr>
      </w:pPr>
      <w:r>
        <w:rPr>
          <w:color w:val="3B4044"/>
          <w:sz w:val="21"/>
        </w:rPr>
        <w:t>According to the user guide, states should send updated templates detailing its distributions to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eligible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NEUs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to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Treasury</w:t>
      </w:r>
      <w:r>
        <w:rPr>
          <w:color w:val="3B4044"/>
          <w:spacing w:val="-5"/>
          <w:sz w:val="21"/>
        </w:rPr>
        <w:t xml:space="preserve"> </w:t>
      </w:r>
      <w:r>
        <w:rPr>
          <w:color w:val="3B4044"/>
          <w:sz w:val="21"/>
        </w:rPr>
        <w:t>every</w:t>
      </w:r>
      <w:r>
        <w:rPr>
          <w:color w:val="3B4044"/>
          <w:spacing w:val="-5"/>
          <w:sz w:val="21"/>
        </w:rPr>
        <w:t xml:space="preserve"> </w:t>
      </w:r>
      <w:r>
        <w:rPr>
          <w:color w:val="3B4044"/>
          <w:sz w:val="21"/>
        </w:rPr>
        <w:t>month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until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all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distributions</w:t>
      </w:r>
      <w:r>
        <w:rPr>
          <w:color w:val="3B4044"/>
          <w:spacing w:val="-4"/>
          <w:sz w:val="21"/>
        </w:rPr>
        <w:t xml:space="preserve"> </w:t>
      </w:r>
      <w:r>
        <w:rPr>
          <w:color w:val="3B4044"/>
          <w:sz w:val="21"/>
        </w:rPr>
        <w:t>have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been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made.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Each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 xml:space="preserve">report should cover all distributions for the second tranche payment. </w:t>
      </w:r>
      <w:r>
        <w:rPr>
          <w:i/>
          <w:color w:val="3B4044"/>
          <w:sz w:val="21"/>
        </w:rPr>
        <w:t xml:space="preserve">Please check the box below to indicate whether the state has been substantially compliant with the monthly reporting </w:t>
      </w:r>
      <w:r>
        <w:rPr>
          <w:i/>
          <w:color w:val="3B4044"/>
          <w:spacing w:val="-2"/>
          <w:sz w:val="21"/>
        </w:rPr>
        <w:t>requirement.</w:t>
      </w:r>
    </w:p>
    <w:p w:rsidR="002A2F76" w:rsidRDefault="00BA43FC" w14:paraId="5DFA1847" w14:textId="77777777">
      <w:pPr>
        <w:pStyle w:val="ListParagraph"/>
        <w:numPr>
          <w:ilvl w:val="0"/>
          <w:numId w:val="1"/>
        </w:numPr>
        <w:tabs>
          <w:tab w:val="left" w:pos="1110"/>
        </w:tabs>
        <w:spacing w:before="128"/>
        <w:ind w:hanging="270"/>
        <w:jc w:val="left"/>
        <w:rPr>
          <w:sz w:val="21"/>
        </w:rPr>
      </w:pPr>
      <w:r>
        <w:rPr>
          <w:color w:val="3B4044"/>
          <w:sz w:val="21"/>
        </w:rPr>
        <w:t>Yes,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the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state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is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in</w:t>
      </w:r>
      <w:r>
        <w:rPr>
          <w:color w:val="3B4044"/>
          <w:spacing w:val="-2"/>
          <w:sz w:val="21"/>
        </w:rPr>
        <w:t xml:space="preserve"> </w:t>
      </w:r>
      <w:r>
        <w:rPr>
          <w:color w:val="3B4044"/>
          <w:sz w:val="21"/>
        </w:rPr>
        <w:t>substantial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pacing w:val="-2"/>
          <w:sz w:val="21"/>
        </w:rPr>
        <w:t>compliance</w:t>
      </w:r>
    </w:p>
    <w:p w:rsidR="002A2F76" w:rsidRDefault="00BA43FC" w14:paraId="5DFA1848" w14:textId="77777777">
      <w:pPr>
        <w:pStyle w:val="ListParagraph"/>
        <w:numPr>
          <w:ilvl w:val="0"/>
          <w:numId w:val="1"/>
        </w:numPr>
        <w:tabs>
          <w:tab w:val="left" w:pos="1110"/>
        </w:tabs>
        <w:spacing w:before="3"/>
        <w:ind w:hanging="270"/>
        <w:jc w:val="left"/>
        <w:rPr>
          <w:sz w:val="21"/>
        </w:rPr>
      </w:pPr>
      <w:r>
        <w:rPr>
          <w:color w:val="3B4044"/>
          <w:sz w:val="21"/>
        </w:rPr>
        <w:t>No,</w:t>
      </w:r>
      <w:r>
        <w:rPr>
          <w:color w:val="3B4044"/>
          <w:spacing w:val="-2"/>
          <w:sz w:val="21"/>
        </w:rPr>
        <w:t xml:space="preserve"> </w:t>
      </w:r>
      <w:r>
        <w:rPr>
          <w:color w:val="3B4044"/>
          <w:sz w:val="21"/>
        </w:rPr>
        <w:t>the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>state</w:t>
      </w:r>
      <w:r>
        <w:rPr>
          <w:color w:val="3B4044"/>
          <w:spacing w:val="-2"/>
          <w:sz w:val="21"/>
        </w:rPr>
        <w:t xml:space="preserve"> </w:t>
      </w:r>
      <w:r>
        <w:rPr>
          <w:color w:val="3B4044"/>
          <w:sz w:val="21"/>
        </w:rPr>
        <w:t>is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>not</w:t>
      </w:r>
      <w:r>
        <w:rPr>
          <w:color w:val="3B4044"/>
          <w:spacing w:val="-3"/>
          <w:sz w:val="21"/>
        </w:rPr>
        <w:t xml:space="preserve"> </w:t>
      </w:r>
      <w:r>
        <w:rPr>
          <w:color w:val="3B4044"/>
          <w:sz w:val="21"/>
        </w:rPr>
        <w:t>in</w:t>
      </w:r>
      <w:r>
        <w:rPr>
          <w:color w:val="3B4044"/>
          <w:spacing w:val="-1"/>
          <w:sz w:val="21"/>
        </w:rPr>
        <w:t xml:space="preserve"> </w:t>
      </w:r>
      <w:r>
        <w:rPr>
          <w:color w:val="3B4044"/>
          <w:sz w:val="21"/>
        </w:rPr>
        <w:t xml:space="preserve">substantial </w:t>
      </w:r>
      <w:r>
        <w:rPr>
          <w:color w:val="3B4044"/>
          <w:spacing w:val="-2"/>
          <w:sz w:val="21"/>
        </w:rPr>
        <w:t>compliance</w:t>
      </w:r>
    </w:p>
    <w:p w:rsidR="002A2F76" w:rsidRDefault="002A2F76" w14:paraId="5DFA1849" w14:textId="77777777">
      <w:pPr>
        <w:pStyle w:val="BodyText"/>
        <w:spacing w:before="9"/>
        <w:rPr>
          <w:sz w:val="12"/>
        </w:rPr>
      </w:pPr>
    </w:p>
    <w:p w:rsidR="002A2F76" w:rsidRDefault="00BA43FC" w14:paraId="5DFA184A" w14:textId="77777777">
      <w:pPr>
        <w:pStyle w:val="BodyText"/>
        <w:spacing w:before="100"/>
        <w:ind w:left="120" w:right="111" w:hanging="1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above 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correct.</w:t>
      </w:r>
    </w:p>
    <w:p w:rsidR="002A2F76" w:rsidRDefault="002A2F76" w14:paraId="5DFA184B" w14:textId="77777777">
      <w:pPr>
        <w:pStyle w:val="BodyText"/>
        <w:rPr>
          <w:sz w:val="20"/>
        </w:rPr>
      </w:pPr>
    </w:p>
    <w:p w:rsidR="002A2F76" w:rsidRDefault="002A2F76" w14:paraId="5DFA184C" w14:textId="77777777">
      <w:pPr>
        <w:pStyle w:val="BodyText"/>
        <w:rPr>
          <w:sz w:val="20"/>
        </w:rPr>
      </w:pPr>
    </w:p>
    <w:p w:rsidR="002A2F76" w:rsidRDefault="00110DBE" w14:paraId="5DFA184D" w14:textId="77777777">
      <w:pPr>
        <w:pStyle w:val="BodyText"/>
        <w:spacing w:before="1"/>
        <w:rPr>
          <w:sz w:val="19"/>
        </w:rPr>
      </w:pPr>
      <w:r>
        <w:pict w14:anchorId="5DFA1859">
          <v:shape id="docshape1" style="position:absolute;margin-left:1in;margin-top:12.7pt;width:183.7pt;height:.1pt;z-index:-251658752;mso-wrap-distance-left:0;mso-wrap-distance-right:0;mso-position-horizontal-relative:page" coordsize="3674,0" coordorigin="1440,254" o:spid="_x0000_s1026" filled="f" strokeweight=".18522mm" path="m1440,254r3674,e">
            <v:path arrowok="t"/>
            <w10:wrap type="topAndBottom" anchorx="page"/>
          </v:shape>
        </w:pict>
      </w:r>
    </w:p>
    <w:p w:rsidR="002A2F76" w:rsidRDefault="00BA43FC" w14:paraId="5DFA184E" w14:textId="77777777">
      <w:pPr>
        <w:pStyle w:val="BodyText"/>
        <w:spacing w:before="21"/>
        <w:ind w:left="11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State</w:t>
      </w:r>
    </w:p>
    <w:p w:rsidR="002A2F76" w:rsidRDefault="002A2F76" w14:paraId="5DFA184F" w14:textId="77777777">
      <w:pPr>
        <w:pStyle w:val="BodyText"/>
        <w:spacing w:before="11"/>
        <w:rPr>
          <w:sz w:val="20"/>
        </w:rPr>
      </w:pPr>
    </w:p>
    <w:p w:rsidR="002A2F76" w:rsidRDefault="00BA43FC" w14:paraId="5DFA1850" w14:textId="77777777">
      <w:pPr>
        <w:pStyle w:val="BodyText"/>
        <w:tabs>
          <w:tab w:val="left" w:pos="7278"/>
        </w:tabs>
        <w:ind w:left="119"/>
      </w:pPr>
      <w:r>
        <w:t xml:space="preserve">Print Name of Authorized Representative: </w:t>
      </w:r>
      <w:r>
        <w:rPr>
          <w:u w:val="single"/>
        </w:rPr>
        <w:tab/>
      </w:r>
    </w:p>
    <w:p w:rsidR="002A2F76" w:rsidRDefault="002A2F76" w14:paraId="5DFA1851" w14:textId="77777777">
      <w:pPr>
        <w:pStyle w:val="BodyText"/>
        <w:spacing w:before="8"/>
        <w:rPr>
          <w:sz w:val="12"/>
        </w:rPr>
      </w:pPr>
    </w:p>
    <w:p w:rsidR="002A2F76" w:rsidRDefault="00BA43FC" w14:paraId="5DFA1852" w14:textId="77777777">
      <w:pPr>
        <w:pStyle w:val="BodyText"/>
        <w:tabs>
          <w:tab w:val="left" w:pos="7218"/>
        </w:tabs>
        <w:spacing w:before="100"/>
        <w:ind w:left="120"/>
      </w:pPr>
      <w:r>
        <w:t xml:space="preserve">Title of Authorized Representative: </w:t>
      </w:r>
      <w:r>
        <w:rPr>
          <w:u w:val="single"/>
        </w:rPr>
        <w:tab/>
      </w:r>
    </w:p>
    <w:p w:rsidR="002A2F76" w:rsidRDefault="002A2F76" w14:paraId="5DFA1853" w14:textId="77777777">
      <w:pPr>
        <w:pStyle w:val="BodyText"/>
        <w:spacing w:before="9"/>
        <w:rPr>
          <w:sz w:val="12"/>
        </w:rPr>
      </w:pPr>
    </w:p>
    <w:p w:rsidR="002A2F76" w:rsidRDefault="00BA43FC" w14:paraId="5DFA1854" w14:textId="77777777">
      <w:pPr>
        <w:pStyle w:val="BodyText"/>
        <w:tabs>
          <w:tab w:val="left" w:pos="4324"/>
        </w:tabs>
        <w:spacing w:before="100"/>
        <w:ind w:left="119"/>
      </w:pPr>
      <w:r>
        <w:t xml:space="preserve">Date: </w:t>
      </w:r>
      <w:r>
        <w:rPr>
          <w:u w:val="single"/>
        </w:rPr>
        <w:tab/>
      </w:r>
    </w:p>
    <w:p w:rsidR="002A2F76" w:rsidRDefault="002A2F76" w14:paraId="5DFA1855" w14:textId="77777777">
      <w:pPr>
        <w:pStyle w:val="BodyText"/>
        <w:spacing w:before="9"/>
        <w:rPr>
          <w:sz w:val="12"/>
        </w:rPr>
      </w:pPr>
    </w:p>
    <w:p w:rsidR="002A2F76" w:rsidRDefault="00BA43FC" w14:paraId="5DFA1856" w14:textId="77777777">
      <w:pPr>
        <w:pStyle w:val="BodyText"/>
        <w:spacing w:before="100" w:line="252" w:lineRule="exact"/>
        <w:ind w:left="120"/>
      </w:pPr>
      <w: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rPr>
          <w:spacing w:val="-2"/>
        </w:rPr>
        <w:t>NOTICE</w:t>
      </w:r>
    </w:p>
    <w:p w:rsidR="002A2F76" w:rsidRDefault="00BA43FC" w14:paraId="5DFA1857" w14:textId="77777777">
      <w:pPr>
        <w:pStyle w:val="BodyText"/>
        <w:ind w:left="119" w:right="111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support. The estimated burden associated with this collection of information is 1 hour per response.</w:t>
      </w:r>
    </w:p>
    <w:p w:rsidR="002A2F76" w:rsidRDefault="00BA43FC" w14:paraId="5DFA1858" w14:textId="77777777">
      <w:pPr>
        <w:pStyle w:val="BodyText"/>
        <w:ind w:left="119" w:right="154"/>
      </w:pPr>
      <w:r>
        <w:t>Comments concerning the accuracy of this burden estimate and suggestions for reducing this burden should be directed to the Office of Privacy, Transparency and Records, Department of the</w:t>
      </w:r>
      <w:r>
        <w:rPr>
          <w:spacing w:val="-2"/>
        </w:rPr>
        <w:t xml:space="preserve"> </w:t>
      </w:r>
      <w:r>
        <w:t>Treasury,</w:t>
      </w:r>
      <w:r>
        <w:rPr>
          <w:spacing w:val="-2"/>
        </w:rPr>
        <w:t xml:space="preserve"> </w:t>
      </w:r>
      <w:r>
        <w:t>1500</w:t>
      </w:r>
      <w:r>
        <w:rPr>
          <w:spacing w:val="-3"/>
        </w:rPr>
        <w:t xml:space="preserve"> </w:t>
      </w:r>
      <w:r>
        <w:t>Pennsylvania</w:t>
      </w:r>
      <w:r>
        <w:rPr>
          <w:spacing w:val="-3"/>
        </w:rPr>
        <w:t xml:space="preserve"> </w:t>
      </w:r>
      <w:r>
        <w:t>Ave.,</w:t>
      </w:r>
      <w:r>
        <w:rPr>
          <w:spacing w:val="-2"/>
        </w:rPr>
        <w:t xml:space="preserve"> </w:t>
      </w:r>
      <w:r>
        <w:t>N.W.,</w:t>
      </w:r>
      <w:r>
        <w:rPr>
          <w:spacing w:val="-2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D.C.</w:t>
      </w:r>
      <w:r>
        <w:rPr>
          <w:spacing w:val="-2"/>
        </w:rPr>
        <w:t xml:space="preserve"> </w:t>
      </w:r>
      <w:r>
        <w:t>20220.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address.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 to, a collection of information unless it displays a valid control number assigned by OMB.</w:t>
      </w:r>
    </w:p>
    <w:sectPr w:rsidR="002A2F76">
      <w:pgSz w:w="12240" w:h="15840"/>
      <w:pgMar w:top="32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C1060"/>
    <w:multiLevelType w:val="hybridMultilevel"/>
    <w:tmpl w:val="C7968236"/>
    <w:lvl w:ilvl="0" w:tplc="EE561028">
      <w:numFmt w:val="bullet"/>
      <w:lvlText w:val="☐"/>
      <w:lvlJc w:val="left"/>
      <w:pPr>
        <w:ind w:left="1109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color w:val="3B4044"/>
        <w:w w:val="100"/>
        <w:sz w:val="21"/>
        <w:szCs w:val="21"/>
        <w:lang w:val="en-US" w:eastAsia="en-US" w:bidi="ar-SA"/>
      </w:rPr>
    </w:lvl>
    <w:lvl w:ilvl="1" w:tplc="22AEC7DC">
      <w:numFmt w:val="bullet"/>
      <w:lvlText w:val="•"/>
      <w:lvlJc w:val="left"/>
      <w:pPr>
        <w:ind w:left="1946" w:hanging="269"/>
      </w:pPr>
      <w:rPr>
        <w:rFonts w:hint="default"/>
        <w:lang w:val="en-US" w:eastAsia="en-US" w:bidi="ar-SA"/>
      </w:rPr>
    </w:lvl>
    <w:lvl w:ilvl="2" w:tplc="BB342CD4">
      <w:numFmt w:val="bullet"/>
      <w:lvlText w:val="•"/>
      <w:lvlJc w:val="left"/>
      <w:pPr>
        <w:ind w:left="2792" w:hanging="269"/>
      </w:pPr>
      <w:rPr>
        <w:rFonts w:hint="default"/>
        <w:lang w:val="en-US" w:eastAsia="en-US" w:bidi="ar-SA"/>
      </w:rPr>
    </w:lvl>
    <w:lvl w:ilvl="3" w:tplc="110C48B2">
      <w:numFmt w:val="bullet"/>
      <w:lvlText w:val="•"/>
      <w:lvlJc w:val="left"/>
      <w:pPr>
        <w:ind w:left="3638" w:hanging="269"/>
      </w:pPr>
      <w:rPr>
        <w:rFonts w:hint="default"/>
        <w:lang w:val="en-US" w:eastAsia="en-US" w:bidi="ar-SA"/>
      </w:rPr>
    </w:lvl>
    <w:lvl w:ilvl="4" w:tplc="681A2A60">
      <w:numFmt w:val="bullet"/>
      <w:lvlText w:val="•"/>
      <w:lvlJc w:val="left"/>
      <w:pPr>
        <w:ind w:left="4484" w:hanging="269"/>
      </w:pPr>
      <w:rPr>
        <w:rFonts w:hint="default"/>
        <w:lang w:val="en-US" w:eastAsia="en-US" w:bidi="ar-SA"/>
      </w:rPr>
    </w:lvl>
    <w:lvl w:ilvl="5" w:tplc="2BCA6AC0">
      <w:numFmt w:val="bullet"/>
      <w:lvlText w:val="•"/>
      <w:lvlJc w:val="left"/>
      <w:pPr>
        <w:ind w:left="5330" w:hanging="269"/>
      </w:pPr>
      <w:rPr>
        <w:rFonts w:hint="default"/>
        <w:lang w:val="en-US" w:eastAsia="en-US" w:bidi="ar-SA"/>
      </w:rPr>
    </w:lvl>
    <w:lvl w:ilvl="6" w:tplc="E64ED544">
      <w:numFmt w:val="bullet"/>
      <w:lvlText w:val="•"/>
      <w:lvlJc w:val="left"/>
      <w:pPr>
        <w:ind w:left="6176" w:hanging="269"/>
      </w:pPr>
      <w:rPr>
        <w:rFonts w:hint="default"/>
        <w:lang w:val="en-US" w:eastAsia="en-US" w:bidi="ar-SA"/>
      </w:rPr>
    </w:lvl>
    <w:lvl w:ilvl="7" w:tplc="0B1A5334">
      <w:numFmt w:val="bullet"/>
      <w:lvlText w:val="•"/>
      <w:lvlJc w:val="left"/>
      <w:pPr>
        <w:ind w:left="7022" w:hanging="269"/>
      </w:pPr>
      <w:rPr>
        <w:rFonts w:hint="default"/>
        <w:lang w:val="en-US" w:eastAsia="en-US" w:bidi="ar-SA"/>
      </w:rPr>
    </w:lvl>
    <w:lvl w:ilvl="8" w:tplc="7D80125C">
      <w:numFmt w:val="bullet"/>
      <w:lvlText w:val="•"/>
      <w:lvlJc w:val="left"/>
      <w:pPr>
        <w:ind w:left="7868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F76"/>
    <w:rsid w:val="00110DBE"/>
    <w:rsid w:val="002A2F76"/>
    <w:rsid w:val="00B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FA1827"/>
  <w15:docId w15:val="{39592927-73EE-4E73-B317-392B5224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0"/>
      <w:ind w:left="120" w:right="57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109" w:hanging="2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4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FC"/>
    <w:rPr>
      <w:rFonts w:ascii="Century Schoolbook" w:eastAsia="Century Schoolbook" w:hAnsi="Century Schoolbook" w:cs="Century School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FC"/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0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me.treasury.gov/system/files/136/SLFRF_Recipient-Reporting-User-Guide-NEU_Non-UGLG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home.treasury.gov/policy-issues/coronavirus/assistance-for-state-local-and-tribal-governments/state-and-local-fiscal-recovery-fund/non-entitlement-uni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LFRP@treasur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334F8331864289C339BC271DB812" ma:contentTypeVersion="2" ma:contentTypeDescription="Create a new document." ma:contentTypeScope="" ma:versionID="8c4b55f928091e0f7115458da4601d07">
  <xsd:schema xmlns:xsd="http://www.w3.org/2001/XMLSchema" xmlns:xs="http://www.w3.org/2001/XMLSchema" xmlns:p="http://schemas.microsoft.com/office/2006/metadata/properties" xmlns:ns2="f70e41de-0fe8-47d8-bae5-96f488b1d7ac" xmlns:ns3="478b807d-6a4d-4e8c-be22-08dab40d7d86" xmlns:ns4="354ab5d5-3917-4d2c-a72e-c43f200ca589" targetNamespace="http://schemas.microsoft.com/office/2006/metadata/properties" ma:root="true" ma:fieldsID="bbd9df379e86a1d9edb75a4ff672fbb3" ns2:_="" ns3:_="" ns4:_="">
    <xsd:import namespace="f70e41de-0fe8-47d8-bae5-96f488b1d7ac"/>
    <xsd:import namespace="478b807d-6a4d-4e8c-be22-08dab40d7d86"/>
    <xsd:import namespace="354ab5d5-3917-4d2c-a72e-c43f200ca589"/>
    <xsd:element name="properties">
      <xsd:complexType>
        <xsd:sequence>
          <xsd:element name="documentManagement">
            <xsd:complexType>
              <xsd:all>
                <xsd:element ref="ns2:ARP_x0020_Program" minOccurs="0"/>
                <xsd:element ref="ns3:To_x0020_Review" minOccurs="0"/>
                <xsd:element ref="ns3:Reviewed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2" nillable="true" ma:displayName="ARP Program" ma:default="State and Local Recovery Fund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807d-6a4d-4e8c-be22-08dab40d7d86" elementFormDefault="qualified">
    <xsd:import namespace="http://schemas.microsoft.com/office/2006/documentManagement/types"/>
    <xsd:import namespace="http://schemas.microsoft.com/office/infopath/2007/PartnerControls"/>
    <xsd:element name="To_x0020_Review" ma:index="3" nillable="true" ma:displayName="Groups to Review" ma:default="OGC" ma:internalName="To_x0020_Review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GC"/>
                    <xsd:enumeration value="LA"/>
                    <xsd:enumeration value="PA"/>
                  </xsd:restriction>
                </xsd:simpleType>
              </xsd:element>
            </xsd:sequence>
          </xsd:extension>
        </xsd:complexContent>
      </xsd:complexType>
    </xsd:element>
    <xsd:element name="Reviewed" ma:index="4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478b807d-6a4d-4e8c-be22-08dab40d7d86">No</Reviewed>
    <To_x0020_Review xmlns="478b807d-6a4d-4e8c-be22-08dab40d7d86">
      <Value>OGC</Value>
    </To_x0020_Review>
    <ARP_x0020_Program xmlns="f70e41de-0fe8-47d8-bae5-96f488b1d7ac">State and Local Recovery Fund</ARP_x0020_Program>
  </documentManagement>
</p:properties>
</file>

<file path=customXml/itemProps1.xml><?xml version="1.0" encoding="utf-8"?>
<ds:datastoreItem xmlns:ds="http://schemas.openxmlformats.org/officeDocument/2006/customXml" ds:itemID="{644DE8FD-1F8B-4369-B6BE-F6DB8985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e41de-0fe8-47d8-bae5-96f488b1d7ac"/>
    <ds:schemaRef ds:uri="478b807d-6a4d-4e8c-be22-08dab40d7d86"/>
    <ds:schemaRef ds:uri="354ab5d5-3917-4d2c-a72e-c43f200c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E2448-1500-4F52-A7E4-05C7654F28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2FD6A3-346C-411E-9FB7-0D6FFC0D3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5D6AE-D57E-4507-AB02-24934AB31677}">
  <ds:schemaRefs>
    <ds:schemaRef ds:uri="f70e41de-0fe8-47d8-bae5-96f488b1d7ac"/>
    <ds:schemaRef ds:uri="http://www.w3.org/XML/1998/namespace"/>
    <ds:schemaRef ds:uri="http://schemas.microsoft.com/office/infopath/2007/PartnerControls"/>
    <ds:schemaRef ds:uri="http://purl.org/dc/terms/"/>
    <ds:schemaRef ds:uri="354ab5d5-3917-4d2c-a72e-c43f200ca58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78b807d-6a4d-4e8c-be22-08dab40d7d8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State and Local Fiscal Recovery Funds Request for Extension Form (First 30-Day Extension for Distribution of Funds to Nonentitlement Units of Local Government)</dc:title>
  <cp:lastModifiedBy>North, Jennifer</cp:lastModifiedBy>
  <cp:revision>3</cp:revision>
  <dcterms:created xsi:type="dcterms:W3CDTF">2022-06-03T13:55:00Z</dcterms:created>
  <dcterms:modified xsi:type="dcterms:W3CDTF">2022-06-06T17:40:00Z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2022-06-03T00:00:00Z</vt:filetime>
  </property>
  <property fmtid="{D5CDD505-2E9C-101B-9397-08002B2CF9AE}" pid="4" name="ContentTypeId">
    <vt:lpwstr>0x010100EF4B334F8331864289C339BC271DB812</vt:lpwstr>
  </property>
</Properties>
</file>