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416" w:rsidP="7A891D6D" w:rsidRDefault="7A891D6D" w14:paraId="7091E8B8" w14:textId="77777777">
      <w:pPr>
        <w:pStyle w:val="Header"/>
        <w:spacing w:before="120"/>
        <w:jc w:val="center"/>
        <w:rPr>
          <w:color w:val="000000" w:themeColor="text1"/>
          <w:sz w:val="4"/>
          <w:szCs w:val="4"/>
        </w:rPr>
      </w:pPr>
      <w:r w:rsidRPr="7A891D6D">
        <w:rPr>
          <w:rFonts w:ascii="Arial" w:hAnsi="Arial" w:cs="Arial"/>
          <w:b/>
          <w:bCs/>
          <w:color w:val="008000"/>
          <w:sz w:val="22"/>
          <w:szCs w:val="22"/>
        </w:rPr>
        <w:t>DEPARTMENT OF THE TREASURY</w:t>
      </w:r>
    </w:p>
    <w:p w:rsidR="00263416" w:rsidP="7A891D6D" w:rsidRDefault="7A891D6D" w14:paraId="2899C5B1" w14:textId="77777777">
      <w:pPr>
        <w:pStyle w:val="Header"/>
        <w:spacing w:before="120"/>
        <w:rPr>
          <w:rFonts w:ascii="Arial" w:hAnsi="Arial" w:cs="Arial"/>
          <w:b/>
          <w:bCs/>
          <w:color w:val="008000"/>
          <w:sz w:val="16"/>
          <w:szCs w:val="16"/>
        </w:rPr>
      </w:pPr>
      <w:r w:rsidRPr="7A891D6D">
        <w:rPr>
          <w:color w:val="000000" w:themeColor="text1"/>
        </w:rPr>
        <w:t xml:space="preserve">                                                              </w:t>
      </w:r>
      <w:r w:rsidRPr="7A891D6D">
        <w:rPr>
          <w:rFonts w:ascii="Arial" w:hAnsi="Arial" w:cs="Arial"/>
          <w:b/>
          <w:bCs/>
          <w:color w:val="008000"/>
          <w:sz w:val="16"/>
          <w:szCs w:val="16"/>
        </w:rPr>
        <w:t>WASHINGTON, D.C.  20220</w:t>
      </w:r>
    </w:p>
    <w:p w:rsidR="00263416" w:rsidP="00263416" w:rsidRDefault="00263416" w14:paraId="2E41F20A" w14:textId="77777777">
      <w:pPr>
        <w:spacing w:before="120"/>
        <w:jc w:val="center"/>
        <w:rPr>
          <w:rFonts w:ascii="Arial" w:hAnsi="Arial" w:cs="Arial"/>
          <w:b/>
          <w:bCs/>
          <w:snapToGrid w:val="0"/>
          <w:color w:val="008000"/>
          <w:sz w:val="16"/>
          <w:szCs w:val="16"/>
        </w:rPr>
      </w:pPr>
    </w:p>
    <w:p w:rsidR="00263416" w:rsidP="7A891D6D" w:rsidRDefault="00263416" w14:paraId="32EF4233" w14:textId="77777777">
      <w:pPr>
        <w:spacing w:before="120"/>
        <w:jc w:val="center"/>
        <w:rPr>
          <w:b/>
          <w:bCs/>
        </w:rPr>
      </w:pPr>
      <w:r>
        <w:rPr>
          <w:noProof/>
        </w:rPr>
        <w:drawing>
          <wp:anchor distT="0" distB="0" distL="114300" distR="114300" simplePos="0" relativeHeight="251659264" behindDoc="0" locked="0" layoutInCell="0" allowOverlap="1" wp14:editId="4B8FAB9C" wp14:anchorId="47B6D17E">
            <wp:simplePos x="0" y="0"/>
            <wp:positionH relativeFrom="page">
              <wp:posOffset>731520</wp:posOffset>
            </wp:positionH>
            <wp:positionV relativeFrom="page">
              <wp:posOffset>457200</wp:posOffset>
            </wp:positionV>
            <wp:extent cx="809625" cy="6858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09625" cy="685800"/>
                    </a:xfrm>
                    <a:prstGeom prst="rect">
                      <a:avLst/>
                    </a:prstGeom>
                    <a:noFill/>
                  </pic:spPr>
                </pic:pic>
              </a:graphicData>
            </a:graphic>
          </wp:anchor>
        </w:drawing>
      </w:r>
      <w:r w:rsidRPr="000D3FE5">
        <w:rPr>
          <w:b/>
          <w:bCs/>
        </w:rPr>
        <w:t>ACTION MEMORANDUM</w:t>
      </w:r>
    </w:p>
    <w:p w:rsidRPr="000D3FE5" w:rsidR="00263416" w:rsidP="00263416" w:rsidRDefault="00263416" w14:paraId="1FCB6CD4" w14:textId="77777777">
      <w:pPr>
        <w:jc w:val="center"/>
        <w:rPr>
          <w:b/>
          <w:bCs/>
        </w:rPr>
      </w:pPr>
    </w:p>
    <w:p w:rsidRPr="000D3FE5" w:rsidR="00263416" w:rsidP="00263416" w:rsidRDefault="00263416" w14:paraId="5A1AD3BC" w14:textId="11B6FB3A">
      <w:pPr>
        <w:spacing w:before="120"/>
      </w:pPr>
      <w:r w:rsidRPr="000D3FE5">
        <w:rPr>
          <w:b/>
          <w:bCs/>
        </w:rPr>
        <w:t xml:space="preserve">Date: </w:t>
      </w:r>
      <w:r w:rsidRPr="000D3FE5">
        <w:rPr>
          <w:b/>
          <w:bCs/>
        </w:rPr>
        <w:tab/>
      </w:r>
      <w:r w:rsidR="00890387">
        <w:rPr>
          <w:b/>
          <w:bCs/>
        </w:rPr>
        <w:tab/>
      </w:r>
      <w:r w:rsidR="00EA246B">
        <w:t>August</w:t>
      </w:r>
      <w:r w:rsidR="00890387">
        <w:t xml:space="preserve"> </w:t>
      </w:r>
      <w:r w:rsidRPr="00EA246B" w:rsidR="00EA246B">
        <w:rPr>
          <w:highlight w:val="yellow"/>
        </w:rPr>
        <w:t>__</w:t>
      </w:r>
      <w:r w:rsidR="004A0A78">
        <w:t>,</w:t>
      </w:r>
      <w:r w:rsidR="00890387">
        <w:t xml:space="preserve"> 2022</w:t>
      </w:r>
    </w:p>
    <w:p w:rsidRPr="000D3FE5" w:rsidR="00263416" w:rsidP="00263416" w:rsidRDefault="00263416" w14:paraId="5239C184" w14:textId="78FF61B0">
      <w:pPr>
        <w:spacing w:before="120"/>
      </w:pPr>
      <w:r w:rsidRPr="000D3FE5">
        <w:rPr>
          <w:b/>
          <w:bCs/>
        </w:rPr>
        <w:t>From:</w:t>
      </w:r>
      <w:r w:rsidRPr="000D3FE5">
        <w:rPr>
          <w:b/>
          <w:bCs/>
        </w:rPr>
        <w:tab/>
      </w:r>
      <w:r w:rsidR="00890387">
        <w:rPr>
          <w:b/>
          <w:bCs/>
        </w:rPr>
        <w:tab/>
      </w:r>
      <w:r w:rsidR="002F320C">
        <w:t>Verónica R. Soto, ERA Program Director</w:t>
      </w:r>
    </w:p>
    <w:p w:rsidR="00890387" w:rsidP="00263416" w:rsidRDefault="00263416" w14:paraId="1CC3CF6F" w14:textId="107796B4">
      <w:pPr>
        <w:spacing w:before="120"/>
      </w:pPr>
      <w:r w:rsidRPr="000D3FE5">
        <w:rPr>
          <w:b/>
          <w:bCs/>
        </w:rPr>
        <w:t xml:space="preserve">To:  </w:t>
      </w:r>
      <w:r w:rsidRPr="000D3FE5">
        <w:rPr>
          <w:b/>
          <w:bCs/>
        </w:rPr>
        <w:tab/>
      </w:r>
      <w:r w:rsidR="00890387">
        <w:rPr>
          <w:b/>
          <w:bCs/>
        </w:rPr>
        <w:tab/>
      </w:r>
      <w:r w:rsidRPr="00890387" w:rsidR="00890387">
        <w:t>J</w:t>
      </w:r>
      <w:r w:rsidR="00890387">
        <w:t xml:space="preserve">essica Milano, Chief Program Officer </w:t>
      </w:r>
    </w:p>
    <w:p w:rsidRPr="000D3FE5" w:rsidR="00263416" w:rsidP="7A891D6D" w:rsidRDefault="00263416" w14:paraId="00DDD69E" w14:textId="236E40A9">
      <w:pPr>
        <w:spacing w:before="120"/>
        <w:ind w:left="1440" w:hanging="1440"/>
        <w:rPr>
          <w:b/>
          <w:bCs/>
        </w:rPr>
      </w:pPr>
      <w:r w:rsidRPr="000D3FE5">
        <w:rPr>
          <w:b/>
          <w:bCs/>
        </w:rPr>
        <w:t xml:space="preserve">CC:  </w:t>
      </w:r>
      <w:r w:rsidRPr="000D3FE5">
        <w:rPr>
          <w:b/>
          <w:bCs/>
        </w:rPr>
        <w:tab/>
      </w:r>
      <w:r w:rsidR="00890387">
        <w:t>Vikram Viswanathan, Senior Advisor;</w:t>
      </w:r>
      <w:r w:rsidR="00637C38">
        <w:t xml:space="preserve"> Policy Advisor; </w:t>
      </w:r>
      <w:r w:rsidR="002F320C">
        <w:t>Jeff Schroeder, Policy Advisor</w:t>
      </w:r>
    </w:p>
    <w:p w:rsidR="005F4980" w:rsidP="005F4980" w:rsidRDefault="00263416" w14:paraId="542955CC" w14:textId="7243F2F6">
      <w:pPr>
        <w:spacing w:before="120"/>
        <w:ind w:left="1440" w:hanging="1440"/>
      </w:pPr>
      <w:r w:rsidRPr="000D3FE5">
        <w:rPr>
          <w:b/>
          <w:bCs/>
        </w:rPr>
        <w:t xml:space="preserve">Subject:  </w:t>
      </w:r>
      <w:r w:rsidR="00890387">
        <w:rPr>
          <w:b/>
          <w:bCs/>
        </w:rPr>
        <w:tab/>
      </w:r>
      <w:r w:rsidRPr="000D3FE5">
        <w:t>Emergency Rental Assistance (ERA) –</w:t>
      </w:r>
      <w:r w:rsidR="00C372F9">
        <w:t xml:space="preserve"> </w:t>
      </w:r>
      <w:r w:rsidR="005F4980">
        <w:t>Notice and Letter Template Regarding ERA1 Administrative Expenses</w:t>
      </w:r>
      <w:r w:rsidR="00A3243E">
        <w:t xml:space="preserve"> </w:t>
      </w:r>
    </w:p>
    <w:p w:rsidR="005F4980" w:rsidP="005F4980" w:rsidRDefault="005F4980" w14:paraId="33CCAB66" w14:textId="77777777">
      <w:pPr>
        <w:spacing w:before="120"/>
        <w:ind w:left="1440" w:hanging="1440"/>
      </w:pPr>
    </w:p>
    <w:p w:rsidR="00233AE1" w:rsidP="7A891D6D" w:rsidRDefault="00EB28D8" w14:paraId="6BB7EE1B" w14:textId="3101B354">
      <w:pPr>
        <w:spacing w:before="120" w:after="100" w:afterAutospacing="1"/>
      </w:pPr>
      <w:r>
        <w:t>T</w:t>
      </w:r>
      <w:r w:rsidR="00520BDC">
        <w:t>he Consolidated Appropriations Act, 2021</w:t>
      </w:r>
      <w:r w:rsidR="00EA38BB">
        <w:t>,</w:t>
      </w:r>
      <w:r>
        <w:t xml:space="preserve"> </w:t>
      </w:r>
      <w:r w:rsidR="00F928B9">
        <w:t>permits</w:t>
      </w:r>
      <w:r>
        <w:t xml:space="preserve"> Grantees </w:t>
      </w:r>
      <w:r w:rsidR="00233AE1">
        <w:t xml:space="preserve">to </w:t>
      </w:r>
      <w:r w:rsidR="00217DB0">
        <w:t xml:space="preserve">spend </w:t>
      </w:r>
      <w:r>
        <w:t>up to 10 percent of their initial ERA1 allocations on administrative costs</w:t>
      </w:r>
      <w:r w:rsidR="00233AE1">
        <w:t xml:space="preserve"> attributable to providing rental assistance and housing stability services</w:t>
      </w:r>
      <w:r>
        <w:t xml:space="preserve">.  Treasury’s ERA1 Reallocation Guidance (Guidance) specifies </w:t>
      </w:r>
      <w:r w:rsidR="00233AE1">
        <w:t xml:space="preserve">that </w:t>
      </w:r>
      <w:r w:rsidR="00217DB0">
        <w:rPr>
          <w:rFonts w:eastAsia="Times New Roman"/>
        </w:rPr>
        <w:t xml:space="preserve">a Grantee that has obligated less than 30% of its initial allocation by September 30, </w:t>
      </w:r>
      <w:proofErr w:type="gramStart"/>
      <w:r w:rsidR="00217DB0">
        <w:rPr>
          <w:rFonts w:eastAsia="Times New Roman"/>
        </w:rPr>
        <w:t>2022</w:t>
      </w:r>
      <w:proofErr w:type="gramEnd"/>
      <w:r w:rsidR="00217DB0">
        <w:rPr>
          <w:rFonts w:eastAsia="Times New Roman"/>
        </w:rPr>
        <w:t xml:space="preserve"> may spend up to 10% of its initial allocation on administrative costs </w:t>
      </w:r>
      <w:r w:rsidRPr="00217DB0" w:rsidR="00217DB0">
        <w:rPr>
          <w:rFonts w:eastAsia="Times New Roman"/>
        </w:rPr>
        <w:t>only if</w:t>
      </w:r>
      <w:r w:rsidR="00217DB0">
        <w:rPr>
          <w:rFonts w:eastAsia="Times New Roman"/>
        </w:rPr>
        <w:t xml:space="preserve"> it can demonstrate that those costs are related to the delivery of the ERA1 program. Otherwise, the Grantee’s administrative expenses must </w:t>
      </w:r>
      <w:r w:rsidR="00217DB0">
        <w:t xml:space="preserve">total 10% or less of its ERA1 allocation </w:t>
      </w:r>
      <w:r w:rsidRPr="0067207B" w:rsidR="00217DB0">
        <w:rPr>
          <w:i/>
          <w:iCs/>
        </w:rPr>
        <w:t>after</w:t>
      </w:r>
      <w:r w:rsidRPr="0067207B" w:rsidR="00217DB0">
        <w:t xml:space="preserve"> deducting amounts recaptured or reallocated as excess funds</w:t>
      </w:r>
      <w:r w:rsidR="00233AE1">
        <w:t xml:space="preserve">. </w:t>
      </w:r>
    </w:p>
    <w:p w:rsidR="00F928B9" w:rsidP="7A891D6D" w:rsidRDefault="00F928B9" w14:paraId="4A15FB8E" w14:textId="196E75BA">
      <w:pPr>
        <w:spacing w:before="120" w:after="100" w:afterAutospacing="1"/>
      </w:pPr>
      <w:r>
        <w:t xml:space="preserve">Staff </w:t>
      </w:r>
      <w:r w:rsidR="00422686">
        <w:t xml:space="preserve">propose </w:t>
      </w:r>
      <w:r w:rsidR="00E60CFA">
        <w:t>the release of a notice and letter template intended to create</w:t>
      </w:r>
      <w:r>
        <w:t xml:space="preserve"> a uniform</w:t>
      </w:r>
      <w:r w:rsidR="00685C1C">
        <w:t xml:space="preserve"> p</w:t>
      </w:r>
      <w:r>
        <w:t>rocess by which Grantees</w:t>
      </w:r>
      <w:r w:rsidR="004E3859">
        <w:t xml:space="preserve"> </w:t>
      </w:r>
      <w:r w:rsidR="00217DB0">
        <w:t>that obligate less than 30% of their initial ERA1</w:t>
      </w:r>
      <w:r w:rsidR="004E3859">
        <w:t xml:space="preserve"> </w:t>
      </w:r>
      <w:r w:rsidR="00217DB0">
        <w:t xml:space="preserve">allocations for the purposes identified above </w:t>
      </w:r>
      <w:r>
        <w:t xml:space="preserve">may seek determinations from Treasury </w:t>
      </w:r>
      <w:r w:rsidR="00422686">
        <w:t>that their</w:t>
      </w:r>
      <w:r>
        <w:t xml:space="preserve"> </w:t>
      </w:r>
      <w:r w:rsidR="00422686">
        <w:t xml:space="preserve">administrative </w:t>
      </w:r>
      <w:r w:rsidR="00217DB0">
        <w:t xml:space="preserve">expenses </w:t>
      </w:r>
      <w:r w:rsidR="00422686">
        <w:t xml:space="preserve">are related to program delivery for the purposes of the Guidance. </w:t>
      </w:r>
      <w:r w:rsidR="00E60CFA">
        <w:t xml:space="preserve"> We expect that these documents</w:t>
      </w:r>
      <w:r w:rsidR="00422686">
        <w:t xml:space="preserve"> will</w:t>
      </w:r>
      <w:r w:rsidR="00E60CFA">
        <w:t xml:space="preserve"> </w:t>
      </w:r>
      <w:r w:rsidR="00422686">
        <w:t xml:space="preserve">assist Grantees in providing Treasury </w:t>
      </w:r>
      <w:r w:rsidR="004C11BF">
        <w:t xml:space="preserve">with </w:t>
      </w:r>
      <w:r w:rsidR="00422686">
        <w:t>key information</w:t>
      </w:r>
      <w:r w:rsidR="00685C1C">
        <w:t xml:space="preserve"> </w:t>
      </w:r>
      <w:r w:rsidR="00E60CFA">
        <w:t xml:space="preserve">regarding their administrative costs </w:t>
      </w:r>
      <w:r w:rsidR="00685C1C">
        <w:t>in a consistent, standardized format</w:t>
      </w:r>
      <w:r w:rsidR="004C11BF">
        <w:t>.</w:t>
      </w:r>
      <w:r w:rsidR="00E60CFA">
        <w:t xml:space="preserve"> </w:t>
      </w:r>
      <w:r w:rsidR="004C11BF">
        <w:t xml:space="preserve"> They will </w:t>
      </w:r>
      <w:r w:rsidR="00E60CFA">
        <w:t xml:space="preserve">thereby </w:t>
      </w:r>
      <w:r w:rsidR="004C11BF">
        <w:t>allow</w:t>
      </w:r>
      <w:r w:rsidR="00E60CFA">
        <w:t xml:space="preserve"> Treasury to provide </w:t>
      </w:r>
      <w:r w:rsidR="004C11BF">
        <w:t xml:space="preserve">efficient </w:t>
      </w:r>
      <w:r w:rsidR="00E60CFA">
        <w:t xml:space="preserve">determinations as to whether a Grantee’s administrative expenses </w:t>
      </w:r>
      <w:r w:rsidR="009614D6">
        <w:t>were related to the</w:t>
      </w:r>
      <w:r w:rsidR="00E60CFA">
        <w:t xml:space="preserve"> ERA</w:t>
      </w:r>
      <w:r w:rsidR="009614D6">
        <w:t>1</w:t>
      </w:r>
      <w:r w:rsidR="00E60CFA">
        <w:t xml:space="preserve"> program for the purposes of the Guidance.  </w:t>
      </w:r>
    </w:p>
    <w:p w:rsidR="005F4980" w:rsidP="005F4980" w:rsidRDefault="005F4980" w14:paraId="26FCB2D9" w14:textId="77777777">
      <w:pPr>
        <w:spacing w:before="120" w:after="100" w:afterAutospacing="1"/>
        <w:rPr>
          <w:b/>
          <w:bCs/>
        </w:rPr>
      </w:pPr>
      <w:r w:rsidRPr="7A891D6D">
        <w:rPr>
          <w:b/>
          <w:bCs/>
        </w:rPr>
        <w:t>RECOMMENDATION</w:t>
      </w:r>
    </w:p>
    <w:p w:rsidRPr="00520382" w:rsidR="005F4980" w:rsidP="004C11BF" w:rsidRDefault="005F4980" w14:paraId="3033C27C" w14:textId="1D8E59F9">
      <w:pPr>
        <w:pStyle w:val="ListParagraph"/>
        <w:numPr>
          <w:ilvl w:val="0"/>
          <w:numId w:val="25"/>
        </w:numPr>
        <w:spacing w:before="120" w:after="100" w:afterAutospacing="1" w:line="240" w:lineRule="auto"/>
        <w:rPr>
          <w:rFonts w:ascii="Times New Roman" w:hAnsi="Times New Roman"/>
          <w:sz w:val="24"/>
          <w:szCs w:val="24"/>
        </w:rPr>
      </w:pPr>
      <w:r w:rsidRPr="00520382">
        <w:rPr>
          <w:rFonts w:ascii="Times New Roman" w:hAnsi="Times New Roman"/>
          <w:sz w:val="24"/>
          <w:szCs w:val="24"/>
        </w:rPr>
        <w:t xml:space="preserve">That you approve </w:t>
      </w:r>
      <w:r>
        <w:rPr>
          <w:rFonts w:ascii="Times New Roman" w:hAnsi="Times New Roman"/>
          <w:sz w:val="24"/>
          <w:szCs w:val="24"/>
        </w:rPr>
        <w:t xml:space="preserve">releasing the enclosed notice and letter template regarding ERA1 administrative costs. </w:t>
      </w:r>
    </w:p>
    <w:p w:rsidR="005F4980" w:rsidP="005F4980" w:rsidRDefault="005F4980" w14:paraId="4CB8E5E3" w14:textId="77777777">
      <w:pPr>
        <w:ind w:left="360"/>
      </w:pPr>
      <w:r w:rsidRPr="00D64794">
        <w:t xml:space="preserve">_________ Approve </w:t>
      </w:r>
      <w:r w:rsidRPr="00D64794">
        <w:tab/>
      </w:r>
      <w:r w:rsidRPr="00D64794">
        <w:tab/>
        <w:t xml:space="preserve">_________ Disapprove   </w:t>
      </w:r>
      <w:r w:rsidRPr="00D64794">
        <w:tab/>
        <w:t>_________ Let’s Discuss</w:t>
      </w:r>
    </w:p>
    <w:p w:rsidRPr="00C8779C" w:rsidR="00C8779C" w:rsidP="00C8779C" w:rsidRDefault="00C8779C" w14:paraId="600E0AC6" w14:textId="77777777">
      <w:pPr>
        <w:ind w:left="360"/>
      </w:pPr>
    </w:p>
    <w:p w:rsidR="00B916E2" w:rsidP="00C8779C" w:rsidRDefault="143460C6" w14:paraId="798631A2" w14:textId="546376EF">
      <w:pPr>
        <w:keepNext/>
        <w:spacing w:before="120" w:after="100" w:afterAutospacing="1"/>
        <w:rPr>
          <w:b/>
          <w:bCs/>
        </w:rPr>
      </w:pPr>
      <w:r w:rsidRPr="143460C6">
        <w:rPr>
          <w:b/>
          <w:bCs/>
        </w:rPr>
        <w:lastRenderedPageBreak/>
        <w:t>BACKGROUND</w:t>
      </w:r>
    </w:p>
    <w:p w:rsidR="00857890" w:rsidP="00CB2BA6" w:rsidRDefault="005F4980" w14:paraId="1D485902" w14:textId="4F3730D5">
      <w:pPr>
        <w:spacing w:before="120" w:after="100" w:afterAutospacing="1"/>
      </w:pPr>
      <w:r>
        <w:t xml:space="preserve">The Consolidated Appropriations Act, 2021, permits </w:t>
      </w:r>
      <w:r w:rsidR="009614D6">
        <w:t xml:space="preserve">each ERA1 </w:t>
      </w:r>
      <w:r>
        <w:t xml:space="preserve">Grantee to expend up to 10 percent of </w:t>
      </w:r>
      <w:r w:rsidR="009614D6">
        <w:t>the amount paid to it on</w:t>
      </w:r>
      <w:r>
        <w:t xml:space="preserve"> administrative costs attributable to providing rental assistance and housing stability services.</w:t>
      </w:r>
      <w:r w:rsidR="00857890">
        <w:t xml:space="preserve">  </w:t>
      </w:r>
    </w:p>
    <w:p w:rsidR="00334CEB" w:rsidP="00CB2BA6" w:rsidRDefault="00502B57" w14:paraId="3942D666" w14:textId="678A4919">
      <w:pPr>
        <w:spacing w:before="120" w:after="100" w:afterAutospacing="1"/>
      </w:pPr>
      <w:r>
        <w:t>Section V. of the Guidance</w:t>
      </w:r>
      <w:r w:rsidR="00334CEB">
        <w:t xml:space="preserve"> describes Treasury’s approach to this provision of the statute </w:t>
      </w:r>
      <w:r w:rsidR="00E60CFA">
        <w:t>in instances where</w:t>
      </w:r>
      <w:r w:rsidR="00334CEB">
        <w:t xml:space="preserve"> a Grantee’s allocation has been reduced by recapture or reallocation.  It states that</w:t>
      </w:r>
      <w:r w:rsidR="004C11BF">
        <w:t xml:space="preserve"> a</w:t>
      </w:r>
      <w:r w:rsidR="00334CEB">
        <w:t xml:space="preserve"> Grantee </w:t>
      </w:r>
      <w:r w:rsidR="004C11BF">
        <w:t xml:space="preserve">with a reduced allocation </w:t>
      </w:r>
      <w:r w:rsidR="00334CEB">
        <w:t>may expend up to 10 percent of its initial allocation on administrative costs only if it obligates at least 30 percent of its initial allocation on the provision of financial assistance and housing stability services to eligible households by September 30, 2022.  If a Grantee has not met the 30 percent obligation threshold, Treasury will presume that the Grantee’s administrative expenses were not attributable to such service</w:t>
      </w:r>
      <w:r w:rsidR="00E60CFA">
        <w:t>s</w:t>
      </w:r>
      <w:r w:rsidR="00334CEB">
        <w:t>—and therefore were not permissible uses of ERA1 funds—to the extent that the administrative expenses exceed 1</w:t>
      </w:r>
      <w:r w:rsidR="004C11BF">
        <w:t>0 percent</w:t>
      </w:r>
      <w:r w:rsidR="00334CEB">
        <w:t xml:space="preserve"> of the Grantee’s allocation, after deducting amounts recaptured or reallocated as excess funds.</w:t>
      </w:r>
    </w:p>
    <w:p w:rsidR="00334CEB" w:rsidP="00CB2BA6" w:rsidRDefault="004C11BF" w14:paraId="073DA3B9" w14:textId="135929C2">
      <w:pPr>
        <w:spacing w:before="120" w:after="100" w:afterAutospacing="1"/>
      </w:pPr>
      <w:r>
        <w:t>However, th</w:t>
      </w:r>
      <w:r w:rsidR="0087767C">
        <w:t xml:space="preserve">e Guidance </w:t>
      </w:r>
      <w:r>
        <w:t xml:space="preserve">also </w:t>
      </w:r>
      <w:r w:rsidR="0087767C">
        <w:t>allows Grantees to</w:t>
      </w:r>
      <w:r w:rsidR="00334CEB">
        <w:t xml:space="preserve"> rebut this presumption by demonstrating that </w:t>
      </w:r>
      <w:r w:rsidR="009614D6">
        <w:t xml:space="preserve">their </w:t>
      </w:r>
      <w:r w:rsidR="00334CEB">
        <w:t>administrative costs</w:t>
      </w:r>
      <w:r w:rsidR="0087767C">
        <w:t xml:space="preserve"> </w:t>
      </w:r>
      <w:r w:rsidR="009614D6">
        <w:t>we</w:t>
      </w:r>
      <w:r w:rsidR="0087767C">
        <w:t xml:space="preserve">re related to delivery of the ERA program.  This provision creates an allowance for instances where </w:t>
      </w:r>
      <w:r w:rsidR="00857890">
        <w:t>a low cost of local housing, limited</w:t>
      </w:r>
      <w:r w:rsidR="00502B57">
        <w:t xml:space="preserve"> program</w:t>
      </w:r>
      <w:r w:rsidR="00857890">
        <w:t xml:space="preserve"> demand, or other factors may cause a Grantee to obligate less than 30 percent of its initial allocation</w:t>
      </w:r>
      <w:r w:rsidR="008E190E">
        <w:t xml:space="preserve"> </w:t>
      </w:r>
      <w:r w:rsidR="00502B57">
        <w:t>in the manner</w:t>
      </w:r>
      <w:r w:rsidR="008E190E">
        <w:t xml:space="preserve"> described in the Guidance, even if </w:t>
      </w:r>
      <w:r w:rsidR="0087767C">
        <w:t>the Grantee</w:t>
      </w:r>
      <w:r w:rsidR="008E190E">
        <w:t xml:space="preserve"> has </w:t>
      </w:r>
      <w:r w:rsidR="0087767C">
        <w:t>expended</w:t>
      </w:r>
      <w:r w:rsidR="008E190E">
        <w:t xml:space="preserve"> up to 10 percent of its initial allocation on </w:t>
      </w:r>
      <w:r>
        <w:t>program-related</w:t>
      </w:r>
      <w:r w:rsidR="008E190E">
        <w:t xml:space="preserve"> administrative costs.</w:t>
      </w:r>
    </w:p>
    <w:p w:rsidR="0087767C" w:rsidP="0087767C" w:rsidRDefault="00502B57" w14:paraId="6A8BD875" w14:textId="1D97C5FC">
      <w:pPr>
        <w:tabs>
          <w:tab w:val="left" w:pos="5453"/>
        </w:tabs>
        <w:spacing w:before="120" w:after="100" w:afterAutospacing="1"/>
      </w:pPr>
      <w:r>
        <w:t xml:space="preserve">In two previous instances, Treasury has </w:t>
      </w:r>
      <w:r w:rsidR="009614D6">
        <w:t xml:space="preserve">issued </w:t>
      </w:r>
      <w:r w:rsidR="0087767C">
        <w:t xml:space="preserve">determinations that a Grantee’s administrative costs </w:t>
      </w:r>
      <w:r w:rsidR="004C11BF">
        <w:t>were</w:t>
      </w:r>
      <w:r w:rsidR="0087767C">
        <w:t xml:space="preserve"> related to delivery of the ERA1 program</w:t>
      </w:r>
      <w:r w:rsidR="009614D6">
        <w:t xml:space="preserve"> pursuant to </w:t>
      </w:r>
      <w:r w:rsidR="00280937">
        <w:t>s</w:t>
      </w:r>
      <w:r w:rsidR="009614D6">
        <w:t>ection V. of the Guidance</w:t>
      </w:r>
      <w:r w:rsidR="0087767C">
        <w:t>: in January 2022</w:t>
      </w:r>
      <w:r w:rsidR="00E60CFA">
        <w:t xml:space="preserve">, for </w:t>
      </w:r>
      <w:r w:rsidR="0087767C">
        <w:t>North Dakota, and in March 2022</w:t>
      </w:r>
      <w:r w:rsidR="00E60CFA">
        <w:t xml:space="preserve">, for </w:t>
      </w:r>
      <w:r w:rsidR="0087767C">
        <w:t>Wyoming.  In both instances, the Grantees provided</w:t>
      </w:r>
      <w:r w:rsidR="00E60CFA">
        <w:t xml:space="preserve"> </w:t>
      </w:r>
      <w:r w:rsidR="0087767C">
        <w:t xml:space="preserve">(1) a narrative description of the major categories of their claimed administrative costs that discussed how those costs furthered the ERA1 program; and (2) a short financial statement summarizing </w:t>
      </w:r>
      <w:r w:rsidR="00E60CFA">
        <w:t>the Grantee’s</w:t>
      </w:r>
      <w:r w:rsidR="0087767C">
        <w:t xml:space="preserve"> administrative costs.</w:t>
      </w:r>
      <w:r w:rsidR="00E60CFA">
        <w:t xml:space="preserve">  </w:t>
      </w:r>
      <w:r w:rsidR="00463D48">
        <w:t>Staff reviewed these submissions, and</w:t>
      </w:r>
      <w:r w:rsidR="009614D6">
        <w:t xml:space="preserve"> </w:t>
      </w:r>
      <w:r w:rsidR="00463D48">
        <w:t xml:space="preserve">Treasury issued letters to </w:t>
      </w:r>
      <w:r w:rsidR="009614D6">
        <w:t xml:space="preserve">each </w:t>
      </w:r>
      <w:r w:rsidR="00463D48">
        <w:t xml:space="preserve">Grantee rendering a determination that </w:t>
      </w:r>
      <w:r w:rsidR="009614D6">
        <w:t xml:space="preserve">its </w:t>
      </w:r>
      <w:r w:rsidR="00463D48">
        <w:t xml:space="preserve">administrative costs were related to program delivery. </w:t>
      </w:r>
    </w:p>
    <w:p w:rsidR="008D25DD" w:rsidP="0087767C" w:rsidRDefault="00513BC7" w14:paraId="33908D2E" w14:textId="723C2D86">
      <w:pPr>
        <w:tabs>
          <w:tab w:val="left" w:pos="5453"/>
        </w:tabs>
        <w:spacing w:before="120" w:after="100" w:afterAutospacing="1"/>
      </w:pPr>
      <w:r>
        <w:t xml:space="preserve">Staff anticipate that, as the ERA1 program concludes, additional Grantees with low </w:t>
      </w:r>
      <w:r w:rsidR="00280937">
        <w:t xml:space="preserve">obligation </w:t>
      </w:r>
      <w:r>
        <w:t xml:space="preserve">levels will seek Treasury’s </w:t>
      </w:r>
      <w:r w:rsidR="00280937">
        <w:t xml:space="preserve">determination regarding the permissibility of </w:t>
      </w:r>
      <w:r>
        <w:t>their administrative costs.</w:t>
      </w:r>
      <w:r w:rsidR="008D25DD">
        <w:t xml:space="preserve">  We believe it is therefore advisable to </w:t>
      </w:r>
      <w:r w:rsidR="00280937">
        <w:t xml:space="preserve">create </w:t>
      </w:r>
      <w:r w:rsidR="008D25DD">
        <w:t>a</w:t>
      </w:r>
      <w:r w:rsidR="00280937">
        <w:t>n</w:t>
      </w:r>
      <w:r w:rsidR="008D25DD">
        <w:t xml:space="preserve"> efficient process for considering </w:t>
      </w:r>
      <w:r w:rsidR="004C11BF">
        <w:t>such requests from Grantees</w:t>
      </w:r>
      <w:r w:rsidR="00280937">
        <w:t xml:space="preserve"> that aligns with Treasury’s earlier review of </w:t>
      </w:r>
      <w:r w:rsidR="008D25DD">
        <w:t>Wyoming and North Dakota’s administrative cost</w:t>
      </w:r>
      <w:r w:rsidR="004C11BF">
        <w:t>s</w:t>
      </w:r>
      <w:r w:rsidR="008D25DD">
        <w:t xml:space="preserve">. </w:t>
      </w:r>
    </w:p>
    <w:p w:rsidR="00CE6B76" w:rsidP="0087767C" w:rsidRDefault="00513BC7" w14:paraId="0CB9F1A2" w14:textId="67BC2BA1">
      <w:pPr>
        <w:tabs>
          <w:tab w:val="left" w:pos="5453"/>
        </w:tabs>
        <w:spacing w:before="120" w:after="100" w:afterAutospacing="1"/>
      </w:pPr>
      <w:r>
        <w:t xml:space="preserve">Staff </w:t>
      </w:r>
      <w:r w:rsidR="008D25DD">
        <w:t>thus</w:t>
      </w:r>
      <w:r>
        <w:t xml:space="preserve"> recommend releasing the enclosed notice and letter template. </w:t>
      </w:r>
      <w:r w:rsidR="004C11BF">
        <w:t xml:space="preserve"> </w:t>
      </w:r>
      <w:r>
        <w:t xml:space="preserve">The notice </w:t>
      </w:r>
      <w:r w:rsidR="00280937">
        <w:t>instructs</w:t>
      </w:r>
      <w:r>
        <w:t xml:space="preserve"> Grantees</w:t>
      </w:r>
      <w:r w:rsidR="00280937">
        <w:t xml:space="preserve"> seeking a determination under section V.</w:t>
      </w:r>
      <w:r>
        <w:t xml:space="preserve"> </w:t>
      </w:r>
      <w:r w:rsidR="00280937">
        <w:t xml:space="preserve">of the Guidance to </w:t>
      </w:r>
      <w:r>
        <w:t xml:space="preserve">provide Treasury with </w:t>
      </w:r>
      <w:r w:rsidR="00CE6B76">
        <w:t xml:space="preserve">a short financial statement summarizing their administrative </w:t>
      </w:r>
      <w:proofErr w:type="gramStart"/>
      <w:r w:rsidR="00CE6B76">
        <w:t>costs, and</w:t>
      </w:r>
      <w:proofErr w:type="gramEnd"/>
      <w:r w:rsidR="005430A3">
        <w:t xml:space="preserve"> </w:t>
      </w:r>
      <w:r w:rsidR="008D25DD">
        <w:t>provide</w:t>
      </w:r>
      <w:r w:rsidR="00CE6B76">
        <w:t xml:space="preserve"> a narrative description</w:t>
      </w:r>
      <w:r w:rsidR="005430A3">
        <w:t xml:space="preserve"> in a letter</w:t>
      </w:r>
      <w:r w:rsidR="00CE6B76">
        <w:t xml:space="preserve"> of their claimed administrative costs that discusses how those costs furthered the ERA program.  Staff believe that these documents will be sufficient to determine whether a Grantee’s administrative costs are related to ERA</w:t>
      </w:r>
      <w:r w:rsidR="00280937">
        <w:t>1</w:t>
      </w:r>
      <w:r w:rsidR="00CE6B76">
        <w:t xml:space="preserve"> program delivery for the purposes of section V. of the Guidance.  We also note that these are the same documents Treasury </w:t>
      </w:r>
      <w:r w:rsidR="00CE6B76">
        <w:lastRenderedPageBreak/>
        <w:t>reviewed from North Dakota and Wyoming, so considering these documents from future applicants will promote consistency</w:t>
      </w:r>
      <w:r w:rsidR="00280937">
        <w:t xml:space="preserve"> in Treasury’s implementation of its ERA1 Guidance</w:t>
      </w:r>
      <w:r w:rsidR="00CE6B76">
        <w:t>.</w:t>
      </w:r>
    </w:p>
    <w:p w:rsidR="005F4980" w:rsidP="00A26608" w:rsidRDefault="00A26608" w14:paraId="320203E0" w14:textId="6C59CC8F">
      <w:pPr>
        <w:tabs>
          <w:tab w:val="left" w:pos="5453"/>
        </w:tabs>
        <w:spacing w:before="120" w:after="100" w:afterAutospacing="1"/>
      </w:pPr>
      <w:r>
        <w:t xml:space="preserve">As Grantees provide submissions regarding their administrative costs to Treasury pursuant to the notice, staff </w:t>
      </w:r>
      <w:r w:rsidR="00280937">
        <w:t>will</w:t>
      </w:r>
      <w:r>
        <w:t xml:space="preserve"> review their </w:t>
      </w:r>
      <w:r w:rsidR="00E60CFA">
        <w:t>materials</w:t>
      </w:r>
      <w:r w:rsidR="004C11BF">
        <w:t xml:space="preserve">. We may then </w:t>
      </w:r>
      <w:r w:rsidR="00E60CFA">
        <w:t xml:space="preserve">make recommendations, where appropriate, that you </w:t>
      </w:r>
      <w:r w:rsidR="008D25DD">
        <w:t>determine</w:t>
      </w:r>
      <w:r w:rsidR="00E60CFA">
        <w:t xml:space="preserve"> their administrative costs </w:t>
      </w:r>
      <w:r w:rsidR="00280937">
        <w:t>are</w:t>
      </w:r>
      <w:r w:rsidR="00E60CFA">
        <w:t xml:space="preserve"> related to program delivery for the purposes of the Guidance. </w:t>
      </w:r>
    </w:p>
    <w:p w:rsidR="005F4980" w:rsidP="00CB2BA6" w:rsidRDefault="005F4980" w14:paraId="5C9C3E45" w14:textId="77777777">
      <w:pPr>
        <w:spacing w:before="120" w:after="100" w:afterAutospacing="1"/>
      </w:pPr>
    </w:p>
    <w:tbl>
      <w:tblPr>
        <w:tblStyle w:val="TableGridLight"/>
        <w:tblpPr w:leftFromText="180" w:rightFromText="180" w:vertAnchor="text" w:horzAnchor="margin" w:tblpY="-164"/>
        <w:tblW w:w="0" w:type="auto"/>
        <w:tblLook w:val="04A0" w:firstRow="1" w:lastRow="0" w:firstColumn="1" w:lastColumn="0" w:noHBand="0" w:noVBand="1"/>
      </w:tblPr>
      <w:tblGrid>
        <w:gridCol w:w="1867"/>
        <w:gridCol w:w="1800"/>
        <w:gridCol w:w="3510"/>
        <w:gridCol w:w="2065"/>
      </w:tblGrid>
      <w:tr w:rsidRPr="003D5D52" w:rsidR="006D172F" w:rsidTr="7A891D6D" w14:paraId="69E37512" w14:textId="77777777">
        <w:tc>
          <w:tcPr>
            <w:tcW w:w="1867" w:type="dxa"/>
          </w:tcPr>
          <w:p w:rsidRPr="00DD1694" w:rsidR="006D172F" w:rsidP="7A891D6D" w:rsidRDefault="7A891D6D" w14:paraId="5F74030A" w14:textId="77777777">
            <w:pPr>
              <w:autoSpaceDE w:val="0"/>
              <w:autoSpaceDN w:val="0"/>
              <w:adjustRightInd w:val="0"/>
              <w:spacing w:after="240"/>
              <w:ind w:right="180"/>
              <w:jc w:val="right"/>
              <w:rPr>
                <w:b/>
                <w:bCs/>
                <w:color w:val="000000" w:themeColor="text1"/>
              </w:rPr>
            </w:pPr>
            <w:r w:rsidRPr="7A891D6D">
              <w:rPr>
                <w:b/>
                <w:bCs/>
                <w:color w:val="000000" w:themeColor="text1"/>
              </w:rPr>
              <w:t>Subject:</w:t>
            </w:r>
          </w:p>
        </w:tc>
        <w:tc>
          <w:tcPr>
            <w:tcW w:w="7375" w:type="dxa"/>
            <w:gridSpan w:val="3"/>
          </w:tcPr>
          <w:p w:rsidRPr="006D172F" w:rsidR="006D172F" w:rsidP="7A891D6D" w:rsidRDefault="00C5208D" w14:paraId="00A58B73" w14:textId="01405C89">
            <w:pPr>
              <w:autoSpaceDE w:val="0"/>
              <w:autoSpaceDN w:val="0"/>
              <w:adjustRightInd w:val="0"/>
              <w:spacing w:after="240"/>
              <w:ind w:right="180"/>
              <w:rPr>
                <w:b/>
                <w:bCs/>
                <w:color w:val="000000" w:themeColor="text1"/>
              </w:rPr>
            </w:pPr>
            <w:r>
              <w:t>Notice and Letter Template Regarding ERA1 Administrative Expenses</w:t>
            </w:r>
          </w:p>
        </w:tc>
      </w:tr>
      <w:tr w:rsidRPr="00DD1694" w:rsidR="006D172F" w:rsidTr="7A891D6D" w14:paraId="10047AB1" w14:textId="77777777">
        <w:tc>
          <w:tcPr>
            <w:tcW w:w="1867" w:type="dxa"/>
          </w:tcPr>
          <w:p w:rsidRPr="00DD1694" w:rsidR="006D172F" w:rsidP="7A891D6D" w:rsidRDefault="7A891D6D" w14:paraId="560F1984" w14:textId="77777777">
            <w:pPr>
              <w:autoSpaceDE w:val="0"/>
              <w:autoSpaceDN w:val="0"/>
              <w:adjustRightInd w:val="0"/>
              <w:spacing w:after="240"/>
              <w:ind w:right="180"/>
              <w:jc w:val="right"/>
              <w:rPr>
                <w:b/>
                <w:bCs/>
                <w:color w:val="000000" w:themeColor="text1"/>
              </w:rPr>
            </w:pPr>
            <w:r w:rsidRPr="7A891D6D">
              <w:rPr>
                <w:b/>
                <w:bCs/>
                <w:color w:val="000000" w:themeColor="text1"/>
              </w:rPr>
              <w:t>Drafted by:</w:t>
            </w:r>
          </w:p>
        </w:tc>
        <w:tc>
          <w:tcPr>
            <w:tcW w:w="1800" w:type="dxa"/>
          </w:tcPr>
          <w:p w:rsidRPr="00DD1694" w:rsidR="006D172F" w:rsidP="7A891D6D" w:rsidRDefault="7A891D6D" w14:paraId="1C52CA6D" w14:textId="77777777">
            <w:pPr>
              <w:autoSpaceDE w:val="0"/>
              <w:autoSpaceDN w:val="0"/>
              <w:adjustRightInd w:val="0"/>
              <w:spacing w:after="240"/>
              <w:ind w:right="180"/>
              <w:rPr>
                <w:color w:val="000000" w:themeColor="text1"/>
              </w:rPr>
            </w:pPr>
            <w:r w:rsidRPr="7A891D6D">
              <w:rPr>
                <w:color w:val="000000" w:themeColor="text1"/>
              </w:rPr>
              <w:t>ORP</w:t>
            </w:r>
          </w:p>
        </w:tc>
        <w:tc>
          <w:tcPr>
            <w:tcW w:w="3510" w:type="dxa"/>
          </w:tcPr>
          <w:p w:rsidR="006D172F" w:rsidP="7A891D6D" w:rsidRDefault="7A891D6D" w14:paraId="28C68F33" w14:textId="0D4724B1">
            <w:pPr>
              <w:autoSpaceDE w:val="0"/>
              <w:autoSpaceDN w:val="0"/>
              <w:adjustRightInd w:val="0"/>
              <w:spacing w:after="240"/>
              <w:ind w:right="180"/>
              <w:rPr>
                <w:color w:val="000000" w:themeColor="text1"/>
              </w:rPr>
            </w:pPr>
            <w:r w:rsidRPr="7A891D6D">
              <w:rPr>
                <w:color w:val="000000" w:themeColor="text1"/>
              </w:rPr>
              <w:t>Jeff Schroeder</w:t>
            </w:r>
            <w:proofErr w:type="gramStart"/>
            <w:r w:rsidR="00D057CB">
              <w:rPr>
                <w:color w:val="000000" w:themeColor="text1"/>
              </w:rPr>
              <w:t>/</w:t>
            </w:r>
            <w:r w:rsidRPr="7A891D6D" w:rsidR="00D057CB">
              <w:rPr>
                <w:color w:val="000000" w:themeColor="text1"/>
              </w:rPr>
              <w:t>(</w:t>
            </w:r>
            <w:proofErr w:type="gramEnd"/>
            <w:r w:rsidRPr="7A891D6D" w:rsidR="00D057CB">
              <w:rPr>
                <w:color w:val="000000" w:themeColor="text1"/>
              </w:rPr>
              <w:t>202) 993-0186</w:t>
            </w:r>
          </w:p>
          <w:p w:rsidRPr="00DD1694" w:rsidR="00637C38" w:rsidP="7A891D6D" w:rsidRDefault="00637C38" w14:paraId="2F2C7989" w14:textId="362D48B6">
            <w:pPr>
              <w:autoSpaceDE w:val="0"/>
              <w:autoSpaceDN w:val="0"/>
              <w:adjustRightInd w:val="0"/>
              <w:spacing w:after="240"/>
              <w:ind w:right="180"/>
              <w:rPr>
                <w:color w:val="000000" w:themeColor="text1"/>
              </w:rPr>
            </w:pPr>
          </w:p>
        </w:tc>
        <w:tc>
          <w:tcPr>
            <w:tcW w:w="2065" w:type="dxa"/>
          </w:tcPr>
          <w:p w:rsidRPr="00DD1694" w:rsidR="006D172F" w:rsidP="7A891D6D" w:rsidRDefault="00BA7E37" w14:paraId="583F509D" w14:textId="29DE5D3A">
            <w:pPr>
              <w:autoSpaceDE w:val="0"/>
              <w:autoSpaceDN w:val="0"/>
              <w:adjustRightInd w:val="0"/>
              <w:spacing w:after="240"/>
              <w:ind w:right="180"/>
              <w:rPr>
                <w:color w:val="000000" w:themeColor="text1"/>
              </w:rPr>
            </w:pPr>
            <w:r>
              <w:rPr>
                <w:color w:val="000000" w:themeColor="text1"/>
              </w:rPr>
              <w:t>8/2/2022</w:t>
            </w:r>
          </w:p>
        </w:tc>
      </w:tr>
      <w:tr w:rsidRPr="00DD1694" w:rsidR="006D172F" w:rsidTr="7A891D6D" w14:paraId="18F13120" w14:textId="77777777">
        <w:tc>
          <w:tcPr>
            <w:tcW w:w="1867" w:type="dxa"/>
          </w:tcPr>
          <w:p w:rsidRPr="00DD1694" w:rsidR="006D172F" w:rsidP="7A891D6D" w:rsidRDefault="7A891D6D" w14:paraId="16E3A21C" w14:textId="77777777">
            <w:pPr>
              <w:autoSpaceDE w:val="0"/>
              <w:autoSpaceDN w:val="0"/>
              <w:adjustRightInd w:val="0"/>
              <w:spacing w:after="240"/>
              <w:ind w:right="180"/>
              <w:jc w:val="right"/>
              <w:rPr>
                <w:b/>
                <w:bCs/>
                <w:color w:val="000000" w:themeColor="text1"/>
              </w:rPr>
            </w:pPr>
            <w:r w:rsidRPr="7A891D6D">
              <w:rPr>
                <w:b/>
                <w:bCs/>
                <w:color w:val="000000" w:themeColor="text1"/>
              </w:rPr>
              <w:t>Cleared by:</w:t>
            </w:r>
          </w:p>
        </w:tc>
        <w:tc>
          <w:tcPr>
            <w:tcW w:w="1800" w:type="dxa"/>
          </w:tcPr>
          <w:p w:rsidRPr="00DD1694" w:rsidR="006D172F" w:rsidP="7A891D6D" w:rsidRDefault="7A891D6D" w14:paraId="35CEBC6D" w14:textId="77777777">
            <w:pPr>
              <w:autoSpaceDE w:val="0"/>
              <w:autoSpaceDN w:val="0"/>
              <w:adjustRightInd w:val="0"/>
              <w:spacing w:after="240"/>
              <w:ind w:right="180"/>
              <w:rPr>
                <w:color w:val="000000" w:themeColor="text1"/>
              </w:rPr>
            </w:pPr>
            <w:r w:rsidRPr="7A891D6D">
              <w:rPr>
                <w:color w:val="000000" w:themeColor="text1"/>
              </w:rPr>
              <w:t>ERA Director</w:t>
            </w:r>
          </w:p>
        </w:tc>
        <w:tc>
          <w:tcPr>
            <w:tcW w:w="3510" w:type="dxa"/>
          </w:tcPr>
          <w:p w:rsidRPr="003D5D52" w:rsidR="006D172F" w:rsidP="7A891D6D" w:rsidRDefault="004E3859" w14:paraId="571F7A89" w14:textId="4C097AB7">
            <w:pPr>
              <w:autoSpaceDE w:val="0"/>
              <w:autoSpaceDN w:val="0"/>
              <w:adjustRightInd w:val="0"/>
              <w:spacing w:after="240"/>
              <w:ind w:right="180"/>
              <w:rPr>
                <w:color w:val="000000" w:themeColor="text1"/>
              </w:rPr>
            </w:pPr>
            <w:r w:rsidRPr="7A891D6D">
              <w:rPr>
                <w:color w:val="000000" w:themeColor="text1"/>
              </w:rPr>
              <w:t>Ver</w:t>
            </w:r>
            <w:r>
              <w:rPr>
                <w:color w:val="000000" w:themeColor="text1"/>
              </w:rPr>
              <w:t>ó</w:t>
            </w:r>
            <w:r w:rsidRPr="7A891D6D">
              <w:rPr>
                <w:color w:val="000000" w:themeColor="text1"/>
              </w:rPr>
              <w:t xml:space="preserve">nica </w:t>
            </w:r>
            <w:r>
              <w:rPr>
                <w:color w:val="000000" w:themeColor="text1"/>
              </w:rPr>
              <w:t xml:space="preserve">R. </w:t>
            </w:r>
            <w:r w:rsidRPr="7A891D6D" w:rsidR="7A891D6D">
              <w:rPr>
                <w:color w:val="000000" w:themeColor="text1"/>
              </w:rPr>
              <w:t>Soto</w:t>
            </w:r>
          </w:p>
        </w:tc>
        <w:tc>
          <w:tcPr>
            <w:tcW w:w="2065" w:type="dxa"/>
          </w:tcPr>
          <w:p w:rsidRPr="00DD1694" w:rsidR="006D172F" w:rsidP="7A891D6D" w:rsidRDefault="00637C38" w14:paraId="6DACCAE9" w14:textId="023E9FD1">
            <w:pPr>
              <w:autoSpaceDE w:val="0"/>
              <w:autoSpaceDN w:val="0"/>
              <w:adjustRightInd w:val="0"/>
              <w:spacing w:after="240"/>
              <w:ind w:right="180"/>
              <w:rPr>
                <w:color w:val="000000" w:themeColor="text1"/>
              </w:rPr>
            </w:pPr>
            <w:r>
              <w:rPr>
                <w:color w:val="000000" w:themeColor="text1"/>
              </w:rPr>
              <w:t>[DATE]</w:t>
            </w:r>
          </w:p>
        </w:tc>
      </w:tr>
      <w:tr w:rsidR="006D172F" w:rsidTr="7A891D6D" w14:paraId="608199E2" w14:textId="77777777">
        <w:tc>
          <w:tcPr>
            <w:tcW w:w="1867" w:type="dxa"/>
          </w:tcPr>
          <w:p w:rsidRPr="00DD1694" w:rsidR="006D172F" w:rsidP="006D172F" w:rsidRDefault="006D172F" w14:paraId="77F6626D" w14:textId="77777777">
            <w:pPr>
              <w:autoSpaceDE w:val="0"/>
              <w:autoSpaceDN w:val="0"/>
              <w:adjustRightInd w:val="0"/>
              <w:spacing w:after="240"/>
              <w:ind w:right="180"/>
              <w:rPr>
                <w:b/>
                <w:bCs/>
                <w:color w:val="000000"/>
              </w:rPr>
            </w:pPr>
          </w:p>
        </w:tc>
        <w:tc>
          <w:tcPr>
            <w:tcW w:w="1800" w:type="dxa"/>
          </w:tcPr>
          <w:p w:rsidR="006D172F" w:rsidP="7A891D6D" w:rsidRDefault="7A891D6D" w14:paraId="422AEC94" w14:textId="77777777">
            <w:pPr>
              <w:autoSpaceDE w:val="0"/>
              <w:autoSpaceDN w:val="0"/>
              <w:adjustRightInd w:val="0"/>
              <w:spacing w:after="240"/>
              <w:ind w:right="180"/>
              <w:rPr>
                <w:color w:val="000000" w:themeColor="text1"/>
              </w:rPr>
            </w:pPr>
            <w:r w:rsidRPr="7A891D6D">
              <w:rPr>
                <w:color w:val="000000" w:themeColor="text1"/>
              </w:rPr>
              <w:t>Housing Senior Advisor</w:t>
            </w:r>
          </w:p>
        </w:tc>
        <w:tc>
          <w:tcPr>
            <w:tcW w:w="3510" w:type="dxa"/>
          </w:tcPr>
          <w:p w:rsidR="006D172F" w:rsidP="7A891D6D" w:rsidRDefault="7A891D6D" w14:paraId="03C2C2B6" w14:textId="77777777">
            <w:pPr>
              <w:autoSpaceDE w:val="0"/>
              <w:autoSpaceDN w:val="0"/>
              <w:adjustRightInd w:val="0"/>
              <w:spacing w:after="240"/>
              <w:ind w:right="180"/>
              <w:rPr>
                <w:color w:val="000000" w:themeColor="text1"/>
              </w:rPr>
            </w:pPr>
            <w:r w:rsidRPr="7A891D6D">
              <w:rPr>
                <w:color w:val="000000" w:themeColor="text1"/>
              </w:rPr>
              <w:t>Vikram Viswanathan</w:t>
            </w:r>
          </w:p>
        </w:tc>
        <w:tc>
          <w:tcPr>
            <w:tcW w:w="2065" w:type="dxa"/>
          </w:tcPr>
          <w:p w:rsidR="006D172F" w:rsidP="7A891D6D" w:rsidRDefault="00637C38" w14:paraId="61B46488" w14:textId="7E9EEC3B">
            <w:pPr>
              <w:autoSpaceDE w:val="0"/>
              <w:autoSpaceDN w:val="0"/>
              <w:adjustRightInd w:val="0"/>
              <w:spacing w:after="240"/>
              <w:ind w:right="180"/>
              <w:rPr>
                <w:color w:val="000000" w:themeColor="text1"/>
              </w:rPr>
            </w:pPr>
            <w:r>
              <w:rPr>
                <w:color w:val="000000" w:themeColor="text1"/>
              </w:rPr>
              <w:t>[DATE]</w:t>
            </w:r>
          </w:p>
        </w:tc>
      </w:tr>
      <w:tr w:rsidR="006D172F" w:rsidTr="7A891D6D" w14:paraId="41A3378C" w14:textId="77777777">
        <w:tc>
          <w:tcPr>
            <w:tcW w:w="1867" w:type="dxa"/>
          </w:tcPr>
          <w:p w:rsidRPr="00DD1694" w:rsidR="006D172F" w:rsidP="006D172F" w:rsidRDefault="006D172F" w14:paraId="421ACB55" w14:textId="77777777">
            <w:pPr>
              <w:autoSpaceDE w:val="0"/>
              <w:autoSpaceDN w:val="0"/>
              <w:adjustRightInd w:val="0"/>
              <w:spacing w:after="240"/>
              <w:ind w:right="180"/>
              <w:rPr>
                <w:b/>
                <w:bCs/>
                <w:color w:val="000000"/>
              </w:rPr>
            </w:pPr>
          </w:p>
        </w:tc>
        <w:tc>
          <w:tcPr>
            <w:tcW w:w="1800" w:type="dxa"/>
          </w:tcPr>
          <w:p w:rsidR="006D172F" w:rsidP="7A891D6D" w:rsidRDefault="004A0A78" w14:paraId="18F749A8" w14:textId="2517D568">
            <w:pPr>
              <w:autoSpaceDE w:val="0"/>
              <w:autoSpaceDN w:val="0"/>
              <w:adjustRightInd w:val="0"/>
              <w:spacing w:after="240"/>
              <w:ind w:right="180"/>
              <w:rPr>
                <w:color w:val="000000" w:themeColor="text1"/>
              </w:rPr>
            </w:pPr>
            <w:r>
              <w:rPr>
                <w:color w:val="000000" w:themeColor="text1"/>
              </w:rPr>
              <w:t>O</w:t>
            </w:r>
            <w:r w:rsidRPr="7A891D6D" w:rsidR="7A891D6D">
              <w:rPr>
                <w:color w:val="000000" w:themeColor="text1"/>
              </w:rPr>
              <w:t>GC</w:t>
            </w:r>
          </w:p>
        </w:tc>
        <w:tc>
          <w:tcPr>
            <w:tcW w:w="3510" w:type="dxa"/>
          </w:tcPr>
          <w:p w:rsidR="006D172F" w:rsidP="7A891D6D" w:rsidRDefault="7A891D6D" w14:paraId="61D17A56" w14:textId="77777777">
            <w:pPr>
              <w:autoSpaceDE w:val="0"/>
              <w:autoSpaceDN w:val="0"/>
              <w:adjustRightInd w:val="0"/>
              <w:spacing w:after="240"/>
              <w:ind w:right="180"/>
              <w:rPr>
                <w:color w:val="000000" w:themeColor="text1"/>
              </w:rPr>
            </w:pPr>
            <w:r w:rsidRPr="7A891D6D">
              <w:rPr>
                <w:color w:val="000000" w:themeColor="text1"/>
              </w:rPr>
              <w:t>Devin Mauney</w:t>
            </w:r>
          </w:p>
        </w:tc>
        <w:tc>
          <w:tcPr>
            <w:tcW w:w="2065" w:type="dxa"/>
          </w:tcPr>
          <w:p w:rsidR="006D172F" w:rsidP="7A891D6D" w:rsidRDefault="00637C38" w14:paraId="3C4F19F2" w14:textId="48C513D3">
            <w:pPr>
              <w:autoSpaceDE w:val="0"/>
              <w:autoSpaceDN w:val="0"/>
              <w:adjustRightInd w:val="0"/>
              <w:spacing w:after="240"/>
              <w:ind w:right="180"/>
              <w:rPr>
                <w:color w:val="000000" w:themeColor="text1"/>
              </w:rPr>
            </w:pPr>
            <w:r>
              <w:rPr>
                <w:color w:val="000000" w:themeColor="text1"/>
              </w:rPr>
              <w:t>[DATE]</w:t>
            </w:r>
          </w:p>
        </w:tc>
      </w:tr>
    </w:tbl>
    <w:p w:rsidR="00FC4C07" w:rsidP="00CB2BA6" w:rsidRDefault="00FC4C07" w14:paraId="5B1E1A6C" w14:textId="2CE893F3">
      <w:pPr>
        <w:spacing w:before="120" w:after="100" w:afterAutospacing="1"/>
      </w:pPr>
    </w:p>
    <w:p w:rsidRPr="00CB2BA6" w:rsidR="00FC4C07" w:rsidP="00CB2BA6" w:rsidRDefault="00FC4C07" w14:paraId="2C04F6E6" w14:textId="77777777">
      <w:pPr>
        <w:spacing w:before="120" w:after="100" w:afterAutospacing="1"/>
      </w:pPr>
    </w:p>
    <w:sectPr w:rsidRPr="00CB2BA6" w:rsidR="00FC4C07" w:rsidSect="00D600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9CA4" w14:textId="77777777" w:rsidR="006478E5" w:rsidRDefault="006478E5" w:rsidP="00263416">
      <w:r>
        <w:separator/>
      </w:r>
    </w:p>
  </w:endnote>
  <w:endnote w:type="continuationSeparator" w:id="0">
    <w:p w14:paraId="77AEC731" w14:textId="77777777" w:rsidR="006478E5" w:rsidRDefault="006478E5" w:rsidP="0026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CE9D" w14:textId="7DE1A2E8" w:rsidR="00263416" w:rsidRPr="00890387" w:rsidRDefault="00C5208D" w:rsidP="7A891D6D">
    <w:pPr>
      <w:pStyle w:val="Footer"/>
      <w:jc w:val="right"/>
      <w:rPr>
        <w:rFonts w:ascii="Times New Roman" w:hAnsi="Times New Roman" w:cs="Times New Roman"/>
      </w:rPr>
    </w:pPr>
    <w:r>
      <w:rPr>
        <w:rFonts w:ascii="Times New Roman" w:hAnsi="Times New Roman" w:cs="Times New Roman"/>
      </w:rPr>
      <w:t xml:space="preserve"> DRAFT/PREDECISIONAL</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064063855"/>
        <w:docPartObj>
          <w:docPartGallery w:val="Page Numbers (Bottom of Page)"/>
          <w:docPartUnique/>
        </w:docPartObj>
      </w:sdtPr>
      <w:sdtEndPr>
        <w:rPr>
          <w:noProof/>
        </w:rPr>
      </w:sdtEndPr>
      <w:sdtContent>
        <w:r w:rsidR="00263416" w:rsidRPr="00890387">
          <w:rPr>
            <w:rFonts w:ascii="Times New Roman" w:hAnsi="Times New Roman" w:cs="Times New Roman"/>
          </w:rPr>
          <w:fldChar w:fldCharType="begin"/>
        </w:r>
        <w:r w:rsidR="00263416" w:rsidRPr="00890387">
          <w:rPr>
            <w:rFonts w:ascii="Times New Roman" w:hAnsi="Times New Roman" w:cs="Times New Roman"/>
          </w:rPr>
          <w:instrText xml:space="preserve"> PAGE   \* MERGEFORMAT </w:instrText>
        </w:r>
        <w:r w:rsidR="00263416" w:rsidRPr="00890387">
          <w:rPr>
            <w:rFonts w:ascii="Times New Roman" w:hAnsi="Times New Roman" w:cs="Times New Roman"/>
          </w:rPr>
          <w:fldChar w:fldCharType="separate"/>
        </w:r>
        <w:r w:rsidR="00263416" w:rsidRPr="00890387">
          <w:rPr>
            <w:rFonts w:ascii="Times New Roman" w:hAnsi="Times New Roman" w:cs="Times New Roman"/>
            <w:noProof/>
          </w:rPr>
          <w:t>2</w:t>
        </w:r>
        <w:r w:rsidR="00263416" w:rsidRPr="00890387">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E120" w14:textId="77777777" w:rsidR="006478E5" w:rsidRDefault="006478E5" w:rsidP="00263416">
      <w:r>
        <w:separator/>
      </w:r>
    </w:p>
  </w:footnote>
  <w:footnote w:type="continuationSeparator" w:id="0">
    <w:p w14:paraId="097C1769" w14:textId="77777777" w:rsidR="006478E5" w:rsidRDefault="006478E5" w:rsidP="0026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A7A69"/>
    <w:multiLevelType w:val="hybridMultilevel"/>
    <w:tmpl w:val="551EE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DEB5B"/>
    <w:multiLevelType w:val="hybridMultilevel"/>
    <w:tmpl w:val="4EA593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BB35E8"/>
    <w:multiLevelType w:val="hybridMultilevel"/>
    <w:tmpl w:val="67B855C6"/>
    <w:lvl w:ilvl="0" w:tplc="FB56DA4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A191E"/>
    <w:multiLevelType w:val="hybridMultilevel"/>
    <w:tmpl w:val="7B54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44C47"/>
    <w:multiLevelType w:val="hybridMultilevel"/>
    <w:tmpl w:val="557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1DF"/>
    <w:multiLevelType w:val="hybridMultilevel"/>
    <w:tmpl w:val="8284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F88DD"/>
    <w:multiLevelType w:val="hybridMultilevel"/>
    <w:tmpl w:val="11BA3C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C2700B"/>
    <w:multiLevelType w:val="hybridMultilevel"/>
    <w:tmpl w:val="41E21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E5F3D"/>
    <w:multiLevelType w:val="hybridMultilevel"/>
    <w:tmpl w:val="37B67D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B77467"/>
    <w:multiLevelType w:val="hybridMultilevel"/>
    <w:tmpl w:val="C19E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776BB"/>
    <w:multiLevelType w:val="hybridMultilevel"/>
    <w:tmpl w:val="888258CA"/>
    <w:lvl w:ilvl="0" w:tplc="0409000F">
      <w:start w:val="1"/>
      <w:numFmt w:val="decimal"/>
      <w:lvlText w:val="%1."/>
      <w:lvlJc w:val="left"/>
      <w:pPr>
        <w:ind w:left="720" w:hanging="360"/>
      </w:pPr>
    </w:lvl>
    <w:lvl w:ilvl="1" w:tplc="CCAC916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E7B57"/>
    <w:multiLevelType w:val="hybridMultilevel"/>
    <w:tmpl w:val="3A4CC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75C87"/>
    <w:multiLevelType w:val="hybridMultilevel"/>
    <w:tmpl w:val="D8C2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B2E62"/>
    <w:multiLevelType w:val="hybridMultilevel"/>
    <w:tmpl w:val="5C30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F5B1D"/>
    <w:multiLevelType w:val="hybridMultilevel"/>
    <w:tmpl w:val="80A604DA"/>
    <w:lvl w:ilvl="0" w:tplc="04090019">
      <w:start w:val="1"/>
      <w:numFmt w:val="lowerLetter"/>
      <w:lvlText w:val="%1."/>
      <w:lvlJc w:val="left"/>
      <w:pPr>
        <w:ind w:left="720" w:hanging="360"/>
      </w:pPr>
    </w:lvl>
    <w:lvl w:ilvl="1" w:tplc="CCAC916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E68"/>
    <w:multiLevelType w:val="hybridMultilevel"/>
    <w:tmpl w:val="7BD2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E71E2"/>
    <w:multiLevelType w:val="hybridMultilevel"/>
    <w:tmpl w:val="64E88C40"/>
    <w:lvl w:ilvl="0" w:tplc="9DAC39C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8DB91"/>
    <w:multiLevelType w:val="hybridMultilevel"/>
    <w:tmpl w:val="DDA389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E846877"/>
    <w:multiLevelType w:val="hybridMultilevel"/>
    <w:tmpl w:val="FA0896DE"/>
    <w:lvl w:ilvl="0" w:tplc="8638954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3269A1"/>
    <w:multiLevelType w:val="hybridMultilevel"/>
    <w:tmpl w:val="28300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25810"/>
    <w:multiLevelType w:val="hybridMultilevel"/>
    <w:tmpl w:val="48F66C32"/>
    <w:lvl w:ilvl="0" w:tplc="FB56DA4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D51DF"/>
    <w:multiLevelType w:val="hybridMultilevel"/>
    <w:tmpl w:val="36A4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96C9C"/>
    <w:multiLevelType w:val="hybridMultilevel"/>
    <w:tmpl w:val="F39C54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9D8392A"/>
    <w:multiLevelType w:val="hybridMultilevel"/>
    <w:tmpl w:val="CA7ECB98"/>
    <w:lvl w:ilvl="0" w:tplc="0409000F">
      <w:start w:val="1"/>
      <w:numFmt w:val="decimal"/>
      <w:lvlText w:val="%1."/>
      <w:lvlJc w:val="left"/>
      <w:pPr>
        <w:ind w:left="720" w:hanging="360"/>
      </w:pPr>
    </w:lvl>
    <w:lvl w:ilvl="1" w:tplc="9DAC39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5A0ABD"/>
    <w:multiLevelType w:val="hybridMultilevel"/>
    <w:tmpl w:val="EC422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5"/>
  </w:num>
  <w:num w:numId="4">
    <w:abstractNumId w:val="10"/>
  </w:num>
  <w:num w:numId="5">
    <w:abstractNumId w:val="23"/>
  </w:num>
  <w:num w:numId="6">
    <w:abstractNumId w:val="16"/>
  </w:num>
  <w:num w:numId="7">
    <w:abstractNumId w:val="14"/>
  </w:num>
  <w:num w:numId="8">
    <w:abstractNumId w:val="22"/>
  </w:num>
  <w:num w:numId="9">
    <w:abstractNumId w:val="21"/>
  </w:num>
  <w:num w:numId="10">
    <w:abstractNumId w:val="19"/>
  </w:num>
  <w:num w:numId="11">
    <w:abstractNumId w:val="3"/>
  </w:num>
  <w:num w:numId="12">
    <w:abstractNumId w:val="13"/>
  </w:num>
  <w:num w:numId="13">
    <w:abstractNumId w:val="1"/>
  </w:num>
  <w:num w:numId="14">
    <w:abstractNumId w:val="6"/>
  </w:num>
  <w:num w:numId="15">
    <w:abstractNumId w:val="17"/>
  </w:num>
  <w:num w:numId="16">
    <w:abstractNumId w:val="8"/>
  </w:num>
  <w:num w:numId="17">
    <w:abstractNumId w:val="0"/>
  </w:num>
  <w:num w:numId="18">
    <w:abstractNumId w:val="2"/>
  </w:num>
  <w:num w:numId="19">
    <w:abstractNumId w:val="18"/>
  </w:num>
  <w:num w:numId="20">
    <w:abstractNumId w:val="20"/>
  </w:num>
  <w:num w:numId="21">
    <w:abstractNumId w:val="15"/>
  </w:num>
  <w:num w:numId="22">
    <w:abstractNumId w:val="9"/>
  </w:num>
  <w:num w:numId="23">
    <w:abstractNumId w:val="4"/>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16"/>
    <w:rsid w:val="00003515"/>
    <w:rsid w:val="00007518"/>
    <w:rsid w:val="00033613"/>
    <w:rsid w:val="000363A5"/>
    <w:rsid w:val="00043DEF"/>
    <w:rsid w:val="000732B6"/>
    <w:rsid w:val="000903FA"/>
    <w:rsid w:val="000D1790"/>
    <w:rsid w:val="00111A54"/>
    <w:rsid w:val="00166CC4"/>
    <w:rsid w:val="00195F70"/>
    <w:rsid w:val="001A4A20"/>
    <w:rsid w:val="001B30EB"/>
    <w:rsid w:val="001C520E"/>
    <w:rsid w:val="001E4EA6"/>
    <w:rsid w:val="00217DB0"/>
    <w:rsid w:val="0022668A"/>
    <w:rsid w:val="0022740F"/>
    <w:rsid w:val="00233AE1"/>
    <w:rsid w:val="00250D83"/>
    <w:rsid w:val="00263416"/>
    <w:rsid w:val="00280937"/>
    <w:rsid w:val="002B026B"/>
    <w:rsid w:val="002D3979"/>
    <w:rsid w:val="002F320C"/>
    <w:rsid w:val="00334CEB"/>
    <w:rsid w:val="003548C3"/>
    <w:rsid w:val="00356269"/>
    <w:rsid w:val="003620BB"/>
    <w:rsid w:val="003642E5"/>
    <w:rsid w:val="00385259"/>
    <w:rsid w:val="003B65A8"/>
    <w:rsid w:val="00404932"/>
    <w:rsid w:val="00416357"/>
    <w:rsid w:val="00422686"/>
    <w:rsid w:val="00434B42"/>
    <w:rsid w:val="00454BFF"/>
    <w:rsid w:val="00455B17"/>
    <w:rsid w:val="00463D48"/>
    <w:rsid w:val="004A0A78"/>
    <w:rsid w:val="004B1EBE"/>
    <w:rsid w:val="004B6EEF"/>
    <w:rsid w:val="004C0EC8"/>
    <w:rsid w:val="004C11BF"/>
    <w:rsid w:val="004C3754"/>
    <w:rsid w:val="004D2173"/>
    <w:rsid w:val="004D733A"/>
    <w:rsid w:val="004E3859"/>
    <w:rsid w:val="004E43F6"/>
    <w:rsid w:val="004F1982"/>
    <w:rsid w:val="004F3FF9"/>
    <w:rsid w:val="005001B3"/>
    <w:rsid w:val="00502B57"/>
    <w:rsid w:val="00513BC7"/>
    <w:rsid w:val="00513D78"/>
    <w:rsid w:val="00520382"/>
    <w:rsid w:val="00520BDC"/>
    <w:rsid w:val="005430A3"/>
    <w:rsid w:val="00550E86"/>
    <w:rsid w:val="00552E5A"/>
    <w:rsid w:val="00567C34"/>
    <w:rsid w:val="005B0A5B"/>
    <w:rsid w:val="005D178C"/>
    <w:rsid w:val="005E0725"/>
    <w:rsid w:val="005F4980"/>
    <w:rsid w:val="005F7E87"/>
    <w:rsid w:val="006063D0"/>
    <w:rsid w:val="00620064"/>
    <w:rsid w:val="00623E57"/>
    <w:rsid w:val="00637C38"/>
    <w:rsid w:val="00642D71"/>
    <w:rsid w:val="006478E5"/>
    <w:rsid w:val="0067207B"/>
    <w:rsid w:val="00685C1C"/>
    <w:rsid w:val="00695BE1"/>
    <w:rsid w:val="006A6D3B"/>
    <w:rsid w:val="006D172F"/>
    <w:rsid w:val="00712FED"/>
    <w:rsid w:val="007168C2"/>
    <w:rsid w:val="007222BC"/>
    <w:rsid w:val="00740E7B"/>
    <w:rsid w:val="00751FCB"/>
    <w:rsid w:val="00772ACF"/>
    <w:rsid w:val="00774A9D"/>
    <w:rsid w:val="007B012C"/>
    <w:rsid w:val="007E4521"/>
    <w:rsid w:val="007F1341"/>
    <w:rsid w:val="007F6B68"/>
    <w:rsid w:val="008104B9"/>
    <w:rsid w:val="00814DC4"/>
    <w:rsid w:val="008203BC"/>
    <w:rsid w:val="00835DE4"/>
    <w:rsid w:val="00857890"/>
    <w:rsid w:val="0087767C"/>
    <w:rsid w:val="00890387"/>
    <w:rsid w:val="008B1B02"/>
    <w:rsid w:val="008C0016"/>
    <w:rsid w:val="008D1F0C"/>
    <w:rsid w:val="008D25DD"/>
    <w:rsid w:val="008D6E98"/>
    <w:rsid w:val="008E190E"/>
    <w:rsid w:val="008F3D00"/>
    <w:rsid w:val="009074A0"/>
    <w:rsid w:val="009124EE"/>
    <w:rsid w:val="0092406E"/>
    <w:rsid w:val="00940075"/>
    <w:rsid w:val="00956BED"/>
    <w:rsid w:val="009614D6"/>
    <w:rsid w:val="0096196C"/>
    <w:rsid w:val="0096794A"/>
    <w:rsid w:val="009721D6"/>
    <w:rsid w:val="009A3B9B"/>
    <w:rsid w:val="00A01BD4"/>
    <w:rsid w:val="00A047D0"/>
    <w:rsid w:val="00A076B5"/>
    <w:rsid w:val="00A120F6"/>
    <w:rsid w:val="00A26608"/>
    <w:rsid w:val="00A3243E"/>
    <w:rsid w:val="00A71876"/>
    <w:rsid w:val="00A92C34"/>
    <w:rsid w:val="00AA4A62"/>
    <w:rsid w:val="00AD12AD"/>
    <w:rsid w:val="00AE4152"/>
    <w:rsid w:val="00AF1AFD"/>
    <w:rsid w:val="00B35802"/>
    <w:rsid w:val="00B56777"/>
    <w:rsid w:val="00B9122A"/>
    <w:rsid w:val="00B916E2"/>
    <w:rsid w:val="00B91790"/>
    <w:rsid w:val="00BA1253"/>
    <w:rsid w:val="00BA7E37"/>
    <w:rsid w:val="00BB57AF"/>
    <w:rsid w:val="00C13B81"/>
    <w:rsid w:val="00C372F9"/>
    <w:rsid w:val="00C5208D"/>
    <w:rsid w:val="00C8779C"/>
    <w:rsid w:val="00CB2674"/>
    <w:rsid w:val="00CB2BA6"/>
    <w:rsid w:val="00CD26A0"/>
    <w:rsid w:val="00CE6B76"/>
    <w:rsid w:val="00D057CB"/>
    <w:rsid w:val="00D308DE"/>
    <w:rsid w:val="00D33D0F"/>
    <w:rsid w:val="00D36D73"/>
    <w:rsid w:val="00DB59D3"/>
    <w:rsid w:val="00DC2C58"/>
    <w:rsid w:val="00DC39CF"/>
    <w:rsid w:val="00E60CFA"/>
    <w:rsid w:val="00E616C9"/>
    <w:rsid w:val="00EA246B"/>
    <w:rsid w:val="00EA38BB"/>
    <w:rsid w:val="00EB28D8"/>
    <w:rsid w:val="00EC0549"/>
    <w:rsid w:val="00EF17EC"/>
    <w:rsid w:val="00F21222"/>
    <w:rsid w:val="00F555C8"/>
    <w:rsid w:val="00F55C99"/>
    <w:rsid w:val="00F56AC9"/>
    <w:rsid w:val="00F77F69"/>
    <w:rsid w:val="00F840B9"/>
    <w:rsid w:val="00F928B9"/>
    <w:rsid w:val="00FB2C19"/>
    <w:rsid w:val="00FC4C07"/>
    <w:rsid w:val="00FE0A30"/>
    <w:rsid w:val="00FE4D25"/>
    <w:rsid w:val="143460C6"/>
    <w:rsid w:val="7A89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C874"/>
  <w15:chartTrackingRefBased/>
  <w15:docId w15:val="{91D33DCD-2921-47FD-A4C4-299DA161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1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416"/>
  </w:style>
  <w:style w:type="character" w:customStyle="1" w:styleId="HeaderChar">
    <w:name w:val="Header Char"/>
    <w:basedOn w:val="DefaultParagraphFont"/>
    <w:link w:val="Header"/>
    <w:uiPriority w:val="99"/>
    <w:rsid w:val="00263416"/>
    <w:rPr>
      <w:rFonts w:ascii="Times New Roman" w:eastAsia="Calibri" w:hAnsi="Times New Roman" w:cs="Times New Roman"/>
      <w:sz w:val="24"/>
      <w:szCs w:val="24"/>
    </w:rPr>
  </w:style>
  <w:style w:type="paragraph" w:styleId="ListParagraph">
    <w:name w:val="List Paragraph"/>
    <w:basedOn w:val="Normal"/>
    <w:uiPriority w:val="34"/>
    <w:qFormat/>
    <w:rsid w:val="00263416"/>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263416"/>
    <w:rPr>
      <w:rFonts w:ascii="Tahoma" w:hAnsi="Tahoma" w:cs="Tahoma"/>
      <w:sz w:val="16"/>
      <w:szCs w:val="16"/>
    </w:rPr>
  </w:style>
  <w:style w:type="character" w:customStyle="1" w:styleId="BalloonTextChar">
    <w:name w:val="Balloon Text Char"/>
    <w:basedOn w:val="DefaultParagraphFont"/>
    <w:link w:val="BalloonText"/>
    <w:uiPriority w:val="99"/>
    <w:semiHidden/>
    <w:rsid w:val="00263416"/>
    <w:rPr>
      <w:rFonts w:ascii="Tahoma" w:eastAsia="Calibri" w:hAnsi="Tahoma" w:cs="Tahoma"/>
      <w:sz w:val="16"/>
      <w:szCs w:val="16"/>
    </w:rPr>
  </w:style>
  <w:style w:type="paragraph" w:styleId="BodyText">
    <w:name w:val="Body Text"/>
    <w:link w:val="BodyTextChar"/>
    <w:rsid w:val="00263416"/>
    <w:pPr>
      <w:spacing w:after="120" w:line="240" w:lineRule="auto"/>
    </w:pPr>
    <w:rPr>
      <w:rFonts w:ascii="ITCCentury Book" w:eastAsia="Times New Roman" w:hAnsi="ITCCentury Book" w:cs="Times New Roman"/>
      <w:color w:val="000000"/>
      <w:sz w:val="24"/>
      <w:szCs w:val="24"/>
    </w:rPr>
  </w:style>
  <w:style w:type="character" w:customStyle="1" w:styleId="BodyTextChar">
    <w:name w:val="Body Text Char"/>
    <w:basedOn w:val="DefaultParagraphFont"/>
    <w:link w:val="BodyText"/>
    <w:rsid w:val="00263416"/>
    <w:rPr>
      <w:rFonts w:ascii="ITCCentury Book" w:eastAsia="Times New Roman" w:hAnsi="ITCCentury Book" w:cs="Times New Roman"/>
      <w:color w:val="000000"/>
      <w:sz w:val="24"/>
      <w:szCs w:val="24"/>
    </w:rPr>
  </w:style>
  <w:style w:type="character" w:styleId="FootnoteReference">
    <w:name w:val="footnote reference"/>
    <w:uiPriority w:val="99"/>
    <w:rsid w:val="00263416"/>
    <w:rPr>
      <w:vertAlign w:val="superscript"/>
    </w:rPr>
  </w:style>
  <w:style w:type="paragraph" w:styleId="FootnoteText">
    <w:name w:val="footnote text"/>
    <w:basedOn w:val="Normal"/>
    <w:link w:val="FootnoteTextChar"/>
    <w:uiPriority w:val="99"/>
    <w:rsid w:val="00263416"/>
    <w:rPr>
      <w:rFonts w:ascii="ITCCentury Book" w:eastAsia="Times New Roman" w:hAnsi="ITCCentury Book"/>
      <w:color w:val="000000"/>
      <w:sz w:val="20"/>
      <w:szCs w:val="20"/>
    </w:rPr>
  </w:style>
  <w:style w:type="character" w:customStyle="1" w:styleId="FootnoteTextChar">
    <w:name w:val="Footnote Text Char"/>
    <w:basedOn w:val="DefaultParagraphFont"/>
    <w:link w:val="FootnoteText"/>
    <w:uiPriority w:val="99"/>
    <w:rsid w:val="00263416"/>
    <w:rPr>
      <w:rFonts w:ascii="ITCCentury Book" w:eastAsia="Times New Roman" w:hAnsi="ITCCentury Book" w:cs="Times New Roman"/>
      <w:color w:val="000000"/>
      <w:sz w:val="20"/>
      <w:szCs w:val="20"/>
    </w:rPr>
  </w:style>
  <w:style w:type="character" w:styleId="CommentReference">
    <w:name w:val="annotation reference"/>
    <w:basedOn w:val="DefaultParagraphFont"/>
    <w:uiPriority w:val="99"/>
    <w:semiHidden/>
    <w:unhideWhenUsed/>
    <w:rsid w:val="00263416"/>
    <w:rPr>
      <w:sz w:val="16"/>
      <w:szCs w:val="16"/>
    </w:rPr>
  </w:style>
  <w:style w:type="paragraph" w:styleId="CommentText">
    <w:name w:val="annotation text"/>
    <w:basedOn w:val="Normal"/>
    <w:link w:val="CommentTextChar"/>
    <w:uiPriority w:val="99"/>
    <w:semiHidden/>
    <w:unhideWhenUsed/>
    <w:rsid w:val="00263416"/>
    <w:rPr>
      <w:sz w:val="20"/>
      <w:szCs w:val="20"/>
    </w:rPr>
  </w:style>
  <w:style w:type="character" w:customStyle="1" w:styleId="CommentTextChar">
    <w:name w:val="Comment Text Char"/>
    <w:basedOn w:val="DefaultParagraphFont"/>
    <w:link w:val="CommentText"/>
    <w:uiPriority w:val="99"/>
    <w:semiHidden/>
    <w:rsid w:val="0026341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416"/>
    <w:rPr>
      <w:b/>
      <w:bCs/>
    </w:rPr>
  </w:style>
  <w:style w:type="character" w:customStyle="1" w:styleId="CommentSubjectChar">
    <w:name w:val="Comment Subject Char"/>
    <w:basedOn w:val="CommentTextChar"/>
    <w:link w:val="CommentSubject"/>
    <w:uiPriority w:val="99"/>
    <w:semiHidden/>
    <w:rsid w:val="00263416"/>
    <w:rPr>
      <w:rFonts w:ascii="Times New Roman" w:eastAsia="Calibri" w:hAnsi="Times New Roman" w:cs="Times New Roman"/>
      <w:b/>
      <w:bCs/>
      <w:sz w:val="20"/>
      <w:szCs w:val="20"/>
    </w:rPr>
  </w:style>
  <w:style w:type="character" w:styleId="Hyperlink">
    <w:name w:val="Hyperlink"/>
    <w:basedOn w:val="DefaultParagraphFont"/>
    <w:uiPriority w:val="99"/>
    <w:unhideWhenUsed/>
    <w:rsid w:val="00263416"/>
    <w:rPr>
      <w:color w:val="0563C1" w:themeColor="hyperlink"/>
      <w:u w:val="single"/>
    </w:rPr>
  </w:style>
  <w:style w:type="paragraph" w:styleId="NoSpacing">
    <w:name w:val="No Spacing"/>
    <w:uiPriority w:val="1"/>
    <w:qFormat/>
    <w:rsid w:val="00263416"/>
    <w:pPr>
      <w:spacing w:after="0" w:line="240" w:lineRule="auto"/>
    </w:pPr>
  </w:style>
  <w:style w:type="table" w:styleId="TableGrid">
    <w:name w:val="Table Grid"/>
    <w:basedOn w:val="TableNormal"/>
    <w:uiPriority w:val="39"/>
    <w:rsid w:val="0026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41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6341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63416"/>
  </w:style>
  <w:style w:type="table" w:styleId="TableGridLight">
    <w:name w:val="Grid Table Light"/>
    <w:basedOn w:val="TableNormal"/>
    <w:uiPriority w:val="40"/>
    <w:rsid w:val="00FC4C07"/>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C082A329A3743A7F6E53F16800C0F" ma:contentTypeVersion="4" ma:contentTypeDescription="Create a new document." ma:contentTypeScope="" ma:versionID="a787a8e6b8176740b54e76919ed432c9">
  <xsd:schema xmlns:xsd="http://www.w3.org/2001/XMLSchema" xmlns:xs="http://www.w3.org/2001/XMLSchema" xmlns:p="http://schemas.microsoft.com/office/2006/metadata/properties" xmlns:ns2="0e5b8332-022d-4157-bc60-59319d22368c" xmlns:ns3="91882c98-ad7c-457b-bb99-16138be0c2aa" targetNamespace="http://schemas.microsoft.com/office/2006/metadata/properties" ma:root="true" ma:fieldsID="12b5404ab4790f40b4437d37e5c2dd0b" ns2:_="" ns3:_="">
    <xsd:import namespace="0e5b8332-022d-4157-bc60-59319d22368c"/>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b8332-022d-4157-bc60-59319d22368c"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0e5b8332-022d-4157-bc60-59319d22368c">Draft</Category>
    <CaseID xmlns="0e5b8332-022d-4157-bc60-59319d22368c">20227-ORP-6020</CaseID>
    <DocID xmlns="0e5b8332-022d-4157-bc60-59319d22368c">1a9fb796-3b48-46c3-b2d7-336557291a7e</DocID>
  </documentManagement>
</p:properties>
</file>

<file path=customXml/itemProps1.xml><?xml version="1.0" encoding="utf-8"?>
<ds:datastoreItem xmlns:ds="http://schemas.openxmlformats.org/officeDocument/2006/customXml" ds:itemID="{69C22562-8EC7-4CBC-BC40-7944AEEE44F0}">
  <ds:schemaRefs>
    <ds:schemaRef ds:uri="http://schemas.microsoft.com/sharepoint/v3/contenttype/forms"/>
  </ds:schemaRefs>
</ds:datastoreItem>
</file>

<file path=customXml/itemProps2.xml><?xml version="1.0" encoding="utf-8"?>
<ds:datastoreItem xmlns:ds="http://schemas.openxmlformats.org/officeDocument/2006/customXml" ds:itemID="{1E5EA40F-39B3-4B90-9DC6-DFDD41F7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b8332-022d-4157-bc60-59319d22368c"/>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4A1F7-A254-4325-A11B-08648B71C902}">
  <ds:schemaRefs>
    <ds:schemaRef ds:uri="http://schemas.openxmlformats.org/officeDocument/2006/bibliography"/>
  </ds:schemaRefs>
</ds:datastoreItem>
</file>

<file path=customXml/itemProps4.xml><?xml version="1.0" encoding="utf-8"?>
<ds:datastoreItem xmlns:ds="http://schemas.openxmlformats.org/officeDocument/2006/customXml" ds:itemID="{B3E32C53-A1EE-43CF-AE6B-1EE3FD474054}">
  <ds:schemaRefs>
    <ds:schemaRef ds:uri="http://schemas.microsoft.com/office/2006/metadata/properties"/>
    <ds:schemaRef ds:uri="http://schemas.microsoft.com/office/infopath/2007/PartnerControls"/>
    <ds:schemaRef ds:uri="0e5b8332-022d-4157-bc60-59319d2236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Jeffrey</dc:creator>
  <cp:keywords/>
  <dc:description/>
  <cp:lastModifiedBy>Jeffrey Schroeder</cp:lastModifiedBy>
  <cp:revision>3</cp:revision>
  <cp:lastPrinted>2022-07-07T22:09:00Z</cp:lastPrinted>
  <dcterms:created xsi:type="dcterms:W3CDTF">2022-08-08T20:16:00Z</dcterms:created>
  <dcterms:modified xsi:type="dcterms:W3CDTF">2022-08-08T20:16:00Z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0x01010071EC082A329A3743A7F6E53F16800C0F</vt:lpwstr>
  </property>
</Properties>
</file>