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153B9" w:rsidRDefault="003153B9" w14:paraId="19B05A84" w14:textId="196F3A5F">
      <w:pPr>
        <w:pStyle w:val="BodyText"/>
        <w:spacing w:before="3"/>
        <w:rPr>
          <w:sz w:val="16"/>
        </w:rPr>
      </w:pPr>
    </w:p>
    <w:p w:rsidR="003153B9" w:rsidRDefault="00B33726" w14:paraId="1D8D41A9" w14:textId="3BF3F79E">
      <w:pPr>
        <w:spacing w:before="94"/>
        <w:ind w:left="3424" w:right="3053" w:hanging="231"/>
        <w:rPr>
          <w:rFonts w:ascii="Arial"/>
          <w:b/>
          <w:sz w:val="20"/>
        </w:rPr>
      </w:pPr>
      <w:r>
        <w:rPr>
          <w:noProof/>
        </w:rPr>
        <w:drawing>
          <wp:anchor distT="0" distB="0" distL="0" distR="0" simplePos="0" relativeHeight="15728640" behindDoc="0" locked="0" layoutInCell="1" allowOverlap="1" wp14:editId="0DF797C2" wp14:anchorId="36FAF20C">
            <wp:simplePos x="0" y="0"/>
            <wp:positionH relativeFrom="page">
              <wp:posOffset>869950</wp:posOffset>
            </wp:positionH>
            <wp:positionV relativeFrom="paragraph">
              <wp:posOffset>-121794</wp:posOffset>
            </wp:positionV>
            <wp:extent cx="690697" cy="685800"/>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690697" cy="685800"/>
                    </a:xfrm>
                    <a:prstGeom prst="rect">
                      <a:avLst/>
                    </a:prstGeom>
                  </pic:spPr>
                </pic:pic>
              </a:graphicData>
            </a:graphic>
            <wp14:sizeRelH relativeFrom="margin">
              <wp14:pctWidth>0</wp14:pctWidth>
            </wp14:sizeRelH>
            <wp14:sizeRelV relativeFrom="margin">
              <wp14:pctHeight>0</wp14:pctHeight>
            </wp14:sizeRelV>
          </wp:anchor>
        </w:drawing>
      </w:r>
      <w:r>
        <w:rPr>
          <w:rFonts w:ascii="Arial"/>
          <w:b/>
          <w:color w:val="008000"/>
          <w:sz w:val="20"/>
        </w:rPr>
        <w:t>DEPARTMENT OF THE TREASURY</w:t>
      </w:r>
      <w:r>
        <w:rPr>
          <w:rFonts w:ascii="Arial"/>
          <w:b/>
          <w:color w:val="008000"/>
          <w:spacing w:val="-53"/>
          <w:sz w:val="20"/>
        </w:rPr>
        <w:t xml:space="preserve"> </w:t>
      </w:r>
      <w:r>
        <w:rPr>
          <w:rFonts w:ascii="Arial"/>
          <w:b/>
          <w:color w:val="008000"/>
          <w:sz w:val="20"/>
        </w:rPr>
        <w:t>WASHINGTON,</w:t>
      </w:r>
      <w:r>
        <w:rPr>
          <w:rFonts w:ascii="Arial"/>
          <w:b/>
          <w:color w:val="008000"/>
          <w:spacing w:val="-2"/>
          <w:sz w:val="20"/>
        </w:rPr>
        <w:t xml:space="preserve"> </w:t>
      </w:r>
      <w:r>
        <w:rPr>
          <w:rFonts w:ascii="Arial"/>
          <w:b/>
          <w:color w:val="008000"/>
          <w:sz w:val="20"/>
        </w:rPr>
        <w:t>D.C.</w:t>
      </w:r>
      <w:r>
        <w:rPr>
          <w:rFonts w:ascii="Arial"/>
          <w:b/>
          <w:color w:val="008000"/>
          <w:spacing w:val="55"/>
          <w:sz w:val="20"/>
        </w:rPr>
        <w:t xml:space="preserve"> </w:t>
      </w:r>
      <w:r>
        <w:rPr>
          <w:rFonts w:ascii="Arial"/>
          <w:b/>
          <w:color w:val="008000"/>
          <w:sz w:val="20"/>
        </w:rPr>
        <w:t>20220</w:t>
      </w:r>
    </w:p>
    <w:p w:rsidR="003153B9" w:rsidRDefault="003153B9" w14:paraId="4F1CC3B7" w14:textId="77777777">
      <w:pPr>
        <w:pStyle w:val="BodyText"/>
        <w:rPr>
          <w:rFonts w:ascii="Arial"/>
          <w:b/>
          <w:sz w:val="20"/>
        </w:rPr>
      </w:pPr>
    </w:p>
    <w:p w:rsidR="003153B9" w:rsidRDefault="003153B9" w14:paraId="4040CD22" w14:textId="77777777">
      <w:pPr>
        <w:pStyle w:val="BodyText"/>
        <w:spacing w:before="1"/>
        <w:rPr>
          <w:rFonts w:ascii="Arial"/>
          <w:b/>
          <w:sz w:val="28"/>
        </w:rPr>
      </w:pPr>
    </w:p>
    <w:p w:rsidR="003153B9" w:rsidP="0010361A" w:rsidRDefault="00B33726" w14:paraId="110A5C95" w14:textId="1957D845">
      <w:pPr>
        <w:pStyle w:val="BodyText"/>
        <w:tabs>
          <w:tab w:val="left" w:pos="1620"/>
        </w:tabs>
        <w:spacing w:before="90"/>
        <w:ind w:left="1440" w:hanging="1260"/>
      </w:pPr>
      <w:r>
        <w:rPr>
          <w:b/>
        </w:rPr>
        <w:t>TO:</w:t>
      </w:r>
      <w:r>
        <w:rPr>
          <w:b/>
        </w:rPr>
        <w:tab/>
      </w:r>
      <w:r w:rsidR="0010361A">
        <w:t>Dominic J. Mancini, Deputy Administrator, Office of Information and Regulatory Affairs</w:t>
      </w:r>
    </w:p>
    <w:p w:rsidR="003153B9" w:rsidRDefault="003153B9" w14:paraId="558E81B1" w14:textId="77777777">
      <w:pPr>
        <w:pStyle w:val="BodyText"/>
      </w:pPr>
    </w:p>
    <w:p w:rsidR="003153B9" w:rsidRDefault="00B33726" w14:paraId="57123AAB" w14:textId="77777777">
      <w:pPr>
        <w:pStyle w:val="BodyText"/>
        <w:tabs>
          <w:tab w:val="left" w:pos="1620"/>
        </w:tabs>
        <w:ind w:left="180"/>
      </w:pPr>
      <w:r>
        <w:rPr>
          <w:b/>
        </w:rPr>
        <w:t>FROM:</w:t>
      </w:r>
      <w:r>
        <w:rPr>
          <w:b/>
        </w:rPr>
        <w:tab/>
      </w:r>
      <w:r>
        <w:t>Ryan</w:t>
      </w:r>
      <w:r>
        <w:rPr>
          <w:spacing w:val="-1"/>
        </w:rPr>
        <w:t xml:space="preserve"> </w:t>
      </w:r>
      <w:r>
        <w:t>Law,</w:t>
      </w:r>
      <w:r>
        <w:rPr>
          <w:spacing w:val="-1"/>
        </w:rPr>
        <w:t xml:space="preserve"> </w:t>
      </w:r>
      <w:r>
        <w:t>Deputy Assistant</w:t>
      </w:r>
      <w:r>
        <w:rPr>
          <w:spacing w:val="-1"/>
        </w:rPr>
        <w:t xml:space="preserve"> </w:t>
      </w:r>
      <w:r>
        <w:t>Secretary for</w:t>
      </w:r>
      <w:r>
        <w:rPr>
          <w:spacing w:val="-1"/>
        </w:rPr>
        <w:t xml:space="preserve"> </w:t>
      </w:r>
      <w:r>
        <w:t>Privacy, Transparency,</w:t>
      </w:r>
      <w:r>
        <w:rPr>
          <w:spacing w:val="-1"/>
        </w:rPr>
        <w:t xml:space="preserve"> </w:t>
      </w:r>
      <w:r>
        <w:t>and Records</w:t>
      </w:r>
    </w:p>
    <w:p w:rsidR="003153B9" w:rsidRDefault="003153B9" w14:paraId="71618404" w14:textId="77777777">
      <w:pPr>
        <w:pStyle w:val="BodyText"/>
      </w:pPr>
    </w:p>
    <w:p w:rsidRPr="00986172" w:rsidR="003153B9" w:rsidRDefault="00B33726" w14:paraId="45127BBF" w14:textId="1FC3D6D2">
      <w:pPr>
        <w:pStyle w:val="BodyText"/>
        <w:tabs>
          <w:tab w:val="left" w:pos="1620"/>
        </w:tabs>
        <w:ind w:left="1620" w:right="460" w:hanging="1441"/>
      </w:pPr>
      <w:r>
        <w:rPr>
          <w:b/>
        </w:rPr>
        <w:t>SUBJECT:</w:t>
      </w:r>
      <w:r>
        <w:rPr>
          <w:b/>
        </w:rPr>
        <w:tab/>
      </w:r>
      <w:r>
        <w:t>Justification for Emergency Processing:</w:t>
      </w:r>
      <w:r>
        <w:rPr>
          <w:spacing w:val="1"/>
        </w:rPr>
        <w:t xml:space="preserve"> </w:t>
      </w:r>
      <w:r w:rsidRPr="00986172">
        <w:t>Emergency Rental Assistance (ERA)</w:t>
      </w:r>
      <w:r w:rsidRPr="00986172">
        <w:rPr>
          <w:spacing w:val="-58"/>
        </w:rPr>
        <w:t xml:space="preserve"> </w:t>
      </w:r>
      <w:r w:rsidR="00AC1F60">
        <w:t xml:space="preserve">Administrative Costs </w:t>
      </w:r>
      <w:r w:rsidR="00362E0A">
        <w:t>Form</w:t>
      </w:r>
    </w:p>
    <w:p w:rsidR="003153B9" w:rsidRDefault="003153B9" w14:paraId="7122369C" w14:textId="77777777">
      <w:pPr>
        <w:pStyle w:val="BodyText"/>
      </w:pPr>
    </w:p>
    <w:p w:rsidR="003153B9" w:rsidRDefault="00B33726" w14:paraId="4895F1E9" w14:textId="3714E69E">
      <w:pPr>
        <w:pStyle w:val="BodyText"/>
        <w:ind w:left="180" w:right="272"/>
      </w:pPr>
      <w:r>
        <w:t>Pursuant</w:t>
      </w:r>
      <w:r>
        <w:rPr>
          <w:spacing w:val="-1"/>
        </w:rPr>
        <w:t xml:space="preserve"> </w:t>
      </w:r>
      <w:r>
        <w:t>to</w:t>
      </w:r>
      <w:r>
        <w:rPr>
          <w:spacing w:val="-2"/>
        </w:rPr>
        <w:t xml:space="preserve"> </w:t>
      </w:r>
      <w:r>
        <w:t>the</w:t>
      </w:r>
      <w:r>
        <w:rPr>
          <w:spacing w:val="-1"/>
        </w:rPr>
        <w:t xml:space="preserve"> </w:t>
      </w:r>
      <w:r>
        <w:t>Office of</w:t>
      </w:r>
      <w:r>
        <w:rPr>
          <w:spacing w:val="-2"/>
        </w:rPr>
        <w:t xml:space="preserve"> </w:t>
      </w:r>
      <w:r>
        <w:t>Management and</w:t>
      </w:r>
      <w:r>
        <w:rPr>
          <w:spacing w:val="-1"/>
        </w:rPr>
        <w:t xml:space="preserve"> </w:t>
      </w:r>
      <w:r>
        <w:t>Budget (OMB) procedures</w:t>
      </w:r>
      <w:r>
        <w:rPr>
          <w:spacing w:val="-2"/>
        </w:rPr>
        <w:t xml:space="preserve"> </w:t>
      </w:r>
      <w:r>
        <w:t>established</w:t>
      </w:r>
      <w:r>
        <w:rPr>
          <w:spacing w:val="-1"/>
        </w:rPr>
        <w:t xml:space="preserve"> </w:t>
      </w:r>
      <w:r>
        <w:t>at</w:t>
      </w:r>
      <w:r>
        <w:rPr>
          <w:spacing w:val="2"/>
        </w:rPr>
        <w:t xml:space="preserve"> </w:t>
      </w:r>
      <w:r>
        <w:t>5</w:t>
      </w:r>
      <w:r>
        <w:rPr>
          <w:spacing w:val="-2"/>
        </w:rPr>
        <w:t xml:space="preserve"> </w:t>
      </w:r>
      <w:r>
        <w:t>C.F.R.</w:t>
      </w:r>
      <w:r>
        <w:rPr>
          <w:spacing w:val="-1"/>
        </w:rPr>
        <w:t xml:space="preserve"> </w:t>
      </w:r>
      <w:r>
        <w:t>§</w:t>
      </w:r>
      <w:r w:rsidR="00362E0A">
        <w:rPr>
          <w:spacing w:val="-57"/>
        </w:rPr>
        <w:t> </w:t>
      </w:r>
      <w:r>
        <w:t>1320.13, the Department of the Treasury (Treasury) requests emergency processing for an</w:t>
      </w:r>
      <w:r>
        <w:rPr>
          <w:spacing w:val="1"/>
        </w:rPr>
        <w:t xml:space="preserve"> </w:t>
      </w:r>
      <w:r w:rsidRPr="00986172">
        <w:t>Emergency</w:t>
      </w:r>
      <w:r w:rsidRPr="00986172">
        <w:rPr>
          <w:spacing w:val="-2"/>
        </w:rPr>
        <w:t xml:space="preserve"> </w:t>
      </w:r>
      <w:r w:rsidRPr="00986172">
        <w:t>Rental Assistance</w:t>
      </w:r>
      <w:r>
        <w:rPr>
          <w:spacing w:val="2"/>
        </w:rPr>
        <w:t xml:space="preserve"> </w:t>
      </w:r>
      <w:r>
        <w:t>program information collection request.</w:t>
      </w:r>
    </w:p>
    <w:p w:rsidR="003153B9" w:rsidRDefault="003153B9" w14:paraId="3B6E5F92" w14:textId="77777777">
      <w:pPr>
        <w:pStyle w:val="BodyText"/>
      </w:pPr>
    </w:p>
    <w:p w:rsidRPr="00986172" w:rsidR="003153B9" w:rsidRDefault="00B33726" w14:paraId="14553B69" w14:textId="77777777">
      <w:pPr>
        <w:pStyle w:val="BodyText"/>
        <w:ind w:left="180" w:right="272"/>
      </w:pPr>
      <w:r w:rsidRPr="00986172">
        <w:t>On</w:t>
      </w:r>
      <w:r w:rsidRPr="00986172">
        <w:rPr>
          <w:spacing w:val="-3"/>
        </w:rPr>
        <w:t xml:space="preserve"> </w:t>
      </w:r>
      <w:r w:rsidRPr="00986172">
        <w:t>December</w:t>
      </w:r>
      <w:r w:rsidRPr="00986172">
        <w:rPr>
          <w:spacing w:val="-1"/>
        </w:rPr>
        <w:t xml:space="preserve"> </w:t>
      </w:r>
      <w:r w:rsidRPr="00986172">
        <w:t>27,</w:t>
      </w:r>
      <w:r w:rsidRPr="00986172">
        <w:rPr>
          <w:spacing w:val="-2"/>
        </w:rPr>
        <w:t xml:space="preserve"> </w:t>
      </w:r>
      <w:r w:rsidRPr="00986172">
        <w:t>2020,</w:t>
      </w:r>
      <w:r w:rsidRPr="00986172">
        <w:rPr>
          <w:spacing w:val="-3"/>
        </w:rPr>
        <w:t xml:space="preserve"> </w:t>
      </w:r>
      <w:r w:rsidRPr="00986172">
        <w:t>the</w:t>
      </w:r>
      <w:r w:rsidRPr="00986172">
        <w:rPr>
          <w:spacing w:val="-1"/>
        </w:rPr>
        <w:t xml:space="preserve"> </w:t>
      </w:r>
      <w:r w:rsidRPr="00986172">
        <w:t>President</w:t>
      </w:r>
      <w:r w:rsidRPr="00986172">
        <w:rPr>
          <w:spacing w:val="-2"/>
        </w:rPr>
        <w:t xml:space="preserve"> </w:t>
      </w:r>
      <w:r w:rsidRPr="00986172">
        <w:t>signed</w:t>
      </w:r>
      <w:r w:rsidRPr="00986172">
        <w:rPr>
          <w:spacing w:val="-2"/>
        </w:rPr>
        <w:t xml:space="preserve"> </w:t>
      </w:r>
      <w:r w:rsidRPr="00986172">
        <w:t>the</w:t>
      </w:r>
      <w:r w:rsidRPr="00986172">
        <w:rPr>
          <w:spacing w:val="-1"/>
        </w:rPr>
        <w:t xml:space="preserve"> </w:t>
      </w:r>
      <w:r w:rsidRPr="00986172">
        <w:t>Consolidated</w:t>
      </w:r>
      <w:r w:rsidRPr="00986172">
        <w:rPr>
          <w:spacing w:val="-2"/>
        </w:rPr>
        <w:t xml:space="preserve"> </w:t>
      </w:r>
      <w:r w:rsidRPr="00986172">
        <w:t>Appropriations</w:t>
      </w:r>
      <w:r w:rsidRPr="00986172">
        <w:rPr>
          <w:spacing w:val="-1"/>
        </w:rPr>
        <w:t xml:space="preserve"> </w:t>
      </w:r>
      <w:r w:rsidRPr="00986172">
        <w:t>Act,</w:t>
      </w:r>
      <w:r w:rsidRPr="00986172">
        <w:rPr>
          <w:spacing w:val="-2"/>
        </w:rPr>
        <w:t xml:space="preserve"> </w:t>
      </w:r>
      <w:r w:rsidRPr="00986172">
        <w:t>2021</w:t>
      </w:r>
      <w:r w:rsidRPr="00986172">
        <w:rPr>
          <w:spacing w:val="-1"/>
        </w:rPr>
        <w:t xml:space="preserve"> </w:t>
      </w:r>
      <w:r w:rsidRPr="00986172">
        <w:t>(the</w:t>
      </w:r>
      <w:r w:rsidRPr="00986172">
        <w:rPr>
          <w:spacing w:val="-57"/>
        </w:rPr>
        <w:t xml:space="preserve"> </w:t>
      </w:r>
      <w:r w:rsidRPr="00986172">
        <w:t>“Act”).</w:t>
      </w:r>
      <w:r w:rsidRPr="00986172">
        <w:rPr>
          <w:spacing w:val="1"/>
        </w:rPr>
        <w:t xml:space="preserve"> </w:t>
      </w:r>
      <w:r w:rsidRPr="00986172">
        <w:t>Division N, Title V, Section 501(a)(1) of the Act provides $25 billion for the U.S.</w:t>
      </w:r>
      <w:r w:rsidRPr="00986172">
        <w:rPr>
          <w:spacing w:val="1"/>
        </w:rPr>
        <w:t xml:space="preserve"> </w:t>
      </w:r>
      <w:r w:rsidRPr="00986172">
        <w:t>Department of the Treasury (Treasury) to make payments to States (defined to include the</w:t>
      </w:r>
      <w:r w:rsidRPr="00986172">
        <w:rPr>
          <w:spacing w:val="1"/>
        </w:rPr>
        <w:t xml:space="preserve"> </w:t>
      </w:r>
      <w:r w:rsidRPr="00986172">
        <w:t>District</w:t>
      </w:r>
      <w:r w:rsidRPr="00986172">
        <w:rPr>
          <w:spacing w:val="-1"/>
        </w:rPr>
        <w:t xml:space="preserve"> </w:t>
      </w:r>
      <w:r w:rsidRPr="00986172">
        <w:t>of</w:t>
      </w:r>
      <w:r w:rsidRPr="00986172">
        <w:rPr>
          <w:spacing w:val="-1"/>
        </w:rPr>
        <w:t xml:space="preserve"> </w:t>
      </w:r>
      <w:r w:rsidRPr="00986172">
        <w:t>Columbia), U.S.</w:t>
      </w:r>
      <w:r w:rsidRPr="00986172">
        <w:rPr>
          <w:spacing w:val="-1"/>
        </w:rPr>
        <w:t xml:space="preserve"> </w:t>
      </w:r>
      <w:r w:rsidRPr="00986172">
        <w:t>Territories (Puerto</w:t>
      </w:r>
      <w:r w:rsidRPr="00986172">
        <w:rPr>
          <w:spacing w:val="-1"/>
        </w:rPr>
        <w:t xml:space="preserve"> </w:t>
      </w:r>
      <w:r w:rsidRPr="00986172">
        <w:t>Rico,</w:t>
      </w:r>
      <w:r w:rsidRPr="00986172">
        <w:rPr>
          <w:spacing w:val="-1"/>
        </w:rPr>
        <w:t xml:space="preserve"> </w:t>
      </w:r>
      <w:r w:rsidRPr="00986172">
        <w:t>U.S. Virgin</w:t>
      </w:r>
      <w:r w:rsidRPr="00986172">
        <w:rPr>
          <w:spacing w:val="-1"/>
        </w:rPr>
        <w:t xml:space="preserve"> </w:t>
      </w:r>
      <w:r w:rsidRPr="00986172">
        <w:t>Islands,</w:t>
      </w:r>
      <w:r w:rsidRPr="00986172">
        <w:rPr>
          <w:spacing w:val="-2"/>
        </w:rPr>
        <w:t xml:space="preserve"> </w:t>
      </w:r>
      <w:r w:rsidRPr="00986172">
        <w:t>Guam,</w:t>
      </w:r>
      <w:r w:rsidRPr="00986172">
        <w:rPr>
          <w:spacing w:val="-1"/>
        </w:rPr>
        <w:t xml:space="preserve"> </w:t>
      </w:r>
      <w:r w:rsidRPr="00986172">
        <w:t>Northern</w:t>
      </w:r>
    </w:p>
    <w:p w:rsidR="003153B9" w:rsidRDefault="00B33726" w14:paraId="24D4D6AE" w14:textId="2BEAA932">
      <w:pPr>
        <w:pStyle w:val="BodyText"/>
        <w:spacing w:before="1"/>
        <w:ind w:left="180" w:right="275"/>
      </w:pPr>
      <w:r w:rsidRPr="00986172">
        <w:t>Mariana Islands, and American Samoa), Indian tribes or tribally designated housing entities, as</w:t>
      </w:r>
      <w:r w:rsidRPr="00986172">
        <w:rPr>
          <w:spacing w:val="-58"/>
        </w:rPr>
        <w:t xml:space="preserve"> </w:t>
      </w:r>
      <w:r w:rsidRPr="00986172">
        <w:t>applicable, the Department of Hawaiian Homelands, and certain local governments with more</w:t>
      </w:r>
      <w:r w:rsidRPr="00986172">
        <w:rPr>
          <w:spacing w:val="1"/>
        </w:rPr>
        <w:t xml:space="preserve"> </w:t>
      </w:r>
      <w:r w:rsidRPr="00986172">
        <w:t>than 200,000 residents (collectively the “eligible grantees”) to provide financial assistance and</w:t>
      </w:r>
      <w:r w:rsidRPr="00986172">
        <w:rPr>
          <w:spacing w:val="-57"/>
        </w:rPr>
        <w:t xml:space="preserve"> </w:t>
      </w:r>
      <w:r w:rsidRPr="00986172">
        <w:t>housing</w:t>
      </w:r>
      <w:r w:rsidRPr="00986172">
        <w:rPr>
          <w:spacing w:val="-1"/>
        </w:rPr>
        <w:t xml:space="preserve"> </w:t>
      </w:r>
      <w:r w:rsidRPr="00986172">
        <w:t>stability services</w:t>
      </w:r>
      <w:r w:rsidRPr="00986172">
        <w:rPr>
          <w:spacing w:val="-1"/>
        </w:rPr>
        <w:t xml:space="preserve"> </w:t>
      </w:r>
      <w:r w:rsidRPr="00986172">
        <w:t>to eligible households.</w:t>
      </w:r>
    </w:p>
    <w:p w:rsidR="00986172" w:rsidRDefault="00986172" w14:paraId="6469BAC1" w14:textId="1779C672">
      <w:pPr>
        <w:pStyle w:val="BodyText"/>
        <w:spacing w:before="1"/>
        <w:ind w:left="180" w:right="275"/>
      </w:pPr>
    </w:p>
    <w:p w:rsidR="00B934B0" w:rsidP="00967121" w:rsidRDefault="00986172" w14:paraId="35827A37" w14:textId="4083BE4D">
      <w:pPr>
        <w:pStyle w:val="BodyText"/>
        <w:spacing w:before="1"/>
        <w:ind w:left="180" w:right="275"/>
      </w:pPr>
      <w:r>
        <w:t xml:space="preserve">Treasury </w:t>
      </w:r>
      <w:r w:rsidR="00370B2B">
        <w:t>seeks</w:t>
      </w:r>
      <w:r>
        <w:t xml:space="preserve"> approval </w:t>
      </w:r>
      <w:r w:rsidR="0025361A">
        <w:t xml:space="preserve">for </w:t>
      </w:r>
      <w:r w:rsidR="007D4216">
        <w:t xml:space="preserve">a form </w:t>
      </w:r>
      <w:r w:rsidR="00AC1F60">
        <w:t xml:space="preserve">required to implement Section 501(c)(5) of the Act, which mandates that </w:t>
      </w:r>
      <w:r w:rsidR="00362E0A">
        <w:t xml:space="preserve">each eligible </w:t>
      </w:r>
      <w:r w:rsidR="00AC1F60">
        <w:t xml:space="preserve">grantee spend no more than 10 percent of </w:t>
      </w:r>
      <w:r w:rsidR="00362E0A">
        <w:t>the amount paid to the grantee</w:t>
      </w:r>
      <w:r w:rsidR="00370B2B">
        <w:t xml:space="preserve"> </w:t>
      </w:r>
      <w:r w:rsidR="00AC1F60">
        <w:t>on administrative costs</w:t>
      </w:r>
      <w:r w:rsidR="00B934B0">
        <w:t xml:space="preserve">.  Treasury’s ERA1 </w:t>
      </w:r>
      <w:r w:rsidR="000F49D2">
        <w:t>R</w:t>
      </w:r>
      <w:r w:rsidR="00B934B0">
        <w:t xml:space="preserve">eallocation </w:t>
      </w:r>
      <w:r w:rsidR="000F49D2">
        <w:t>G</w:t>
      </w:r>
      <w:r w:rsidR="00B934B0">
        <w:t xml:space="preserve">uidance </w:t>
      </w:r>
      <w:r w:rsidR="000F49D2">
        <w:t xml:space="preserve">(Guidance) </w:t>
      </w:r>
      <w:r w:rsidR="00B934B0">
        <w:t xml:space="preserve">provides that a grantee may generally spend up to 10 percent of its initial ERA1 allocation guidance for administrative expenses only if the grantee obligates at least 30 percent of its initial allocation for the provision of financial assistance and housing stability services on behalf of eligible households by September 30, 2022.  </w:t>
      </w:r>
      <w:r w:rsidR="00492C0A">
        <w:t>T</w:t>
      </w:r>
      <w:r w:rsidR="00B934B0">
        <w:t xml:space="preserve">he </w:t>
      </w:r>
      <w:r w:rsidR="000F49D2">
        <w:t>G</w:t>
      </w:r>
      <w:r w:rsidR="00B934B0">
        <w:t xml:space="preserve">uidance </w:t>
      </w:r>
      <w:r w:rsidR="00492C0A">
        <w:t xml:space="preserve">also </w:t>
      </w:r>
      <w:r w:rsidR="00B934B0">
        <w:t>provides that a grantee that has obligated less than 30% of its initial allocation</w:t>
      </w:r>
      <w:r w:rsidR="000F49D2">
        <w:t xml:space="preserve"> on these purposes</w:t>
      </w:r>
      <w:r w:rsidR="00B934B0">
        <w:t xml:space="preserve"> by September 30, </w:t>
      </w:r>
      <w:proofErr w:type="gramStart"/>
      <w:r w:rsidR="00B934B0">
        <w:t>2022</w:t>
      </w:r>
      <w:proofErr w:type="gramEnd"/>
      <w:r w:rsidR="00B934B0">
        <w:t xml:space="preserve"> may spend up to 10% of its initial allocation on administrative costs, but only if it can demonstrate that those costs are related to the delivery of the ERA1 program. </w:t>
      </w:r>
    </w:p>
    <w:p w:rsidR="00B934B0" w:rsidP="00967121" w:rsidRDefault="00B934B0" w14:paraId="6E4B0B69" w14:textId="77777777">
      <w:pPr>
        <w:pStyle w:val="BodyText"/>
        <w:spacing w:before="1"/>
        <w:ind w:left="180" w:right="275"/>
      </w:pPr>
    </w:p>
    <w:p w:rsidR="0025361A" w:rsidP="00967121" w:rsidRDefault="00B934B0" w14:paraId="17B03FFD" w14:textId="6691AE37">
      <w:pPr>
        <w:pStyle w:val="BodyText"/>
        <w:spacing w:before="1"/>
        <w:ind w:left="180" w:right="275"/>
      </w:pPr>
      <w:r>
        <w:t xml:space="preserve">To implement this provision of the </w:t>
      </w:r>
      <w:r w:rsidR="000F49D2">
        <w:t>G</w:t>
      </w:r>
      <w:r>
        <w:t xml:space="preserve">uidance, Treasury has developed an application through which grantees obligating less than 30% of their initial allocations by September 30, </w:t>
      </w:r>
      <w:proofErr w:type="gramStart"/>
      <w:r>
        <w:t>2022</w:t>
      </w:r>
      <w:proofErr w:type="gramEnd"/>
      <w:r>
        <w:t xml:space="preserve"> may </w:t>
      </w:r>
      <w:r w:rsidR="002329F7">
        <w:t xml:space="preserve">demonstrate </w:t>
      </w:r>
      <w:r>
        <w:t xml:space="preserve">that their administrative costs are related to ERA1 program delivery.  The application process asks grantees to submit both a template letter and a short financial report regarding their </w:t>
      </w:r>
      <w:r w:rsidR="000F49D2">
        <w:t xml:space="preserve">ERA1 </w:t>
      </w:r>
      <w:r>
        <w:t>administrative costs.</w:t>
      </w:r>
      <w:r w:rsidR="00884DBD">
        <w:t xml:space="preserve">  Treasury will then </w:t>
      </w:r>
      <w:r w:rsidR="00370B2B">
        <w:t>consider these applications and provide grantees direction on the treatment of their administrative costs under the Guidance.</w:t>
      </w:r>
      <w:r w:rsidR="00884DBD">
        <w:t xml:space="preserve"> </w:t>
      </w:r>
    </w:p>
    <w:p w:rsidR="0010361A" w:rsidP="0010361A" w:rsidRDefault="0010361A" w14:paraId="1474BFEA" w14:textId="7B78884E">
      <w:pPr>
        <w:pStyle w:val="BodyText"/>
        <w:spacing w:before="1"/>
        <w:ind w:right="275"/>
      </w:pPr>
    </w:p>
    <w:p w:rsidR="007D3580" w:rsidP="007D3580" w:rsidRDefault="007D3580" w14:paraId="2BE13B29" w14:textId="77777777">
      <w:pPr>
        <w:pStyle w:val="BodyText"/>
        <w:spacing w:before="1"/>
        <w:ind w:left="180" w:right="275"/>
      </w:pPr>
      <w:r>
        <w:t xml:space="preserve">Under the Act, the deadline for grantees to obligate funds from their initial ERA1 allocations is September 30, 2022, and reallocated funds must be obligated by December 29, 2022.  </w:t>
      </w:r>
      <w:r w:rsidRPr="00492C0A">
        <w:t xml:space="preserve">After </w:t>
      </w:r>
      <w:r w:rsidRPr="00492C0A">
        <w:lastRenderedPageBreak/>
        <w:t>these deadlines, grantees will close</w:t>
      </w:r>
      <w:r>
        <w:t xml:space="preserve"> </w:t>
      </w:r>
      <w:r w:rsidRPr="00492C0A">
        <w:t xml:space="preserve">out their ERA1 programs as required by the Uniform Guidance, 2. C.F.R. </w:t>
      </w:r>
      <w:r>
        <w:t xml:space="preserve">Part </w:t>
      </w:r>
      <w:r w:rsidRPr="00492C0A">
        <w:t>200, and they must resolve the treatment of their administrative costs under the Guidance as part of this process.</w:t>
      </w:r>
      <w:r>
        <w:t xml:space="preserve"> </w:t>
      </w:r>
    </w:p>
    <w:p w:rsidR="007D3580" w:rsidP="007D3580" w:rsidRDefault="007D3580" w14:paraId="02550C0E" w14:textId="77777777">
      <w:pPr>
        <w:pStyle w:val="BodyText"/>
        <w:spacing w:before="1"/>
        <w:ind w:left="180" w:right="275"/>
      </w:pPr>
    </w:p>
    <w:p w:rsidR="0010361A" w:rsidP="00BC20C4" w:rsidRDefault="007D3580" w14:paraId="5A122114" w14:textId="0C776F0F">
      <w:pPr>
        <w:pStyle w:val="BodyText"/>
        <w:spacing w:before="1"/>
        <w:ind w:left="180" w:right="275"/>
      </w:pPr>
      <w:r>
        <w:t>Treasury has</w:t>
      </w:r>
      <w:r w:rsidR="0010361A">
        <w:t xml:space="preserve"> developed the </w:t>
      </w:r>
      <w:r>
        <w:t>data collection now because, as grantees have begun to conclude their ERA1 programs, Treasury has observed growing interest in applying the administrative costs provision of the Guidance.  The proposed form is an effort to respond to recent grantee concerns and provide additional clarity on the administrative costs rule.  Given that grantees are encountering this provision of the Guidance for the first time, Treasury was not able to anticipate earlier in the year the degree to which a standardized collection would support grantees</w:t>
      </w:r>
      <w:r w:rsidR="00DB2999">
        <w:t xml:space="preserve"> and facilitate program administration.</w:t>
      </w:r>
    </w:p>
    <w:p w:rsidR="0010361A" w:rsidP="0010361A" w:rsidRDefault="0010361A" w14:paraId="7A828014" w14:textId="77777777">
      <w:pPr>
        <w:pStyle w:val="BodyText"/>
        <w:spacing w:before="1"/>
        <w:ind w:right="275"/>
      </w:pPr>
    </w:p>
    <w:p w:rsidRPr="0007561A" w:rsidR="00370B2B" w:rsidP="00370B2B" w:rsidRDefault="00D84A63" w14:paraId="4D5DEF2A" w14:textId="0C6B8AE9">
      <w:pPr>
        <w:pStyle w:val="BodyText"/>
        <w:spacing w:before="1"/>
        <w:ind w:left="180" w:right="275"/>
      </w:pPr>
      <w:proofErr w:type="gramStart"/>
      <w:r>
        <w:t>In light of</w:t>
      </w:r>
      <w:proofErr w:type="gramEnd"/>
      <w:r>
        <w:t xml:space="preserve"> grantees’ upcoming closeout </w:t>
      </w:r>
      <w:r w:rsidR="00576CC0">
        <w:t>processes</w:t>
      </w:r>
      <w:r>
        <w:t>,</w:t>
      </w:r>
      <w:r w:rsidR="00884DBD">
        <w:t xml:space="preserve"> it is imperative that Treasury’s administrative</w:t>
      </w:r>
      <w:r w:rsidR="00B776D1">
        <w:t>-</w:t>
      </w:r>
      <w:r w:rsidR="00884DBD">
        <w:t xml:space="preserve">costs application be </w:t>
      </w:r>
      <w:r w:rsidR="00370B2B">
        <w:t xml:space="preserve">made available to grantees as soon as possible.  Treasury </w:t>
      </w:r>
      <w:r w:rsidR="00492C0A">
        <w:t>therefore</w:t>
      </w:r>
      <w:r w:rsidR="00370B2B">
        <w:t xml:space="preserve"> requests emergency processing and approval </w:t>
      </w:r>
      <w:r w:rsidRPr="001C23C0" w:rsidR="00370B2B">
        <w:t xml:space="preserve">prior to August 31, </w:t>
      </w:r>
      <w:proofErr w:type="gramStart"/>
      <w:r w:rsidRPr="001C23C0" w:rsidR="00370B2B">
        <w:t>2022</w:t>
      </w:r>
      <w:proofErr w:type="gramEnd"/>
      <w:r w:rsidRPr="001C23C0" w:rsidR="00370B2B">
        <w:t xml:space="preserve"> so that grantees may have time to submit applications regarding</w:t>
      </w:r>
      <w:r w:rsidR="00370B2B">
        <w:t xml:space="preserve"> their ERA1 administrative costs, and so that Treasury may have time to consider those applications prior to the closeout period.  </w:t>
      </w:r>
      <w:r w:rsidRPr="007227C7" w:rsidR="00370B2B">
        <w:t>Given the</w:t>
      </w:r>
      <w:r w:rsidRPr="007227C7" w:rsidR="00370B2B">
        <w:rPr>
          <w:spacing w:val="1"/>
        </w:rPr>
        <w:t xml:space="preserve"> </w:t>
      </w:r>
      <w:r w:rsidRPr="007227C7" w:rsidR="00370B2B">
        <w:t>inability</w:t>
      </w:r>
      <w:r w:rsidRPr="007227C7" w:rsidR="00370B2B">
        <w:rPr>
          <w:spacing w:val="-2"/>
        </w:rPr>
        <w:t xml:space="preserve"> </w:t>
      </w:r>
      <w:r w:rsidRPr="007227C7" w:rsidR="00370B2B">
        <w:t>to seek</w:t>
      </w:r>
      <w:r w:rsidRPr="007227C7" w:rsidR="00370B2B">
        <w:rPr>
          <w:spacing w:val="-1"/>
        </w:rPr>
        <w:t xml:space="preserve"> </w:t>
      </w:r>
      <w:r w:rsidRPr="007227C7" w:rsidR="00370B2B">
        <w:t>public comment</w:t>
      </w:r>
      <w:r w:rsidRPr="007227C7" w:rsidR="00370B2B">
        <w:rPr>
          <w:spacing w:val="-1"/>
        </w:rPr>
        <w:t xml:space="preserve"> </w:t>
      </w:r>
      <w:r w:rsidRPr="007227C7" w:rsidR="00370B2B">
        <w:t>during</w:t>
      </w:r>
      <w:r w:rsidRPr="007227C7" w:rsidR="00370B2B">
        <w:rPr>
          <w:spacing w:val="-1"/>
        </w:rPr>
        <w:t xml:space="preserve"> </w:t>
      </w:r>
      <w:r w:rsidRPr="007227C7" w:rsidR="00370B2B">
        <w:t>such a</w:t>
      </w:r>
      <w:r w:rsidRPr="007227C7" w:rsidR="00370B2B">
        <w:rPr>
          <w:spacing w:val="-1"/>
        </w:rPr>
        <w:t xml:space="preserve"> </w:t>
      </w:r>
      <w:r w:rsidRPr="007227C7" w:rsidR="00370B2B">
        <w:t>short timeframe,</w:t>
      </w:r>
      <w:r w:rsidRPr="007227C7" w:rsidR="00370B2B">
        <w:rPr>
          <w:spacing w:val="-1"/>
        </w:rPr>
        <w:t xml:space="preserve"> </w:t>
      </w:r>
      <w:r w:rsidRPr="007227C7" w:rsidR="00370B2B">
        <w:t>Treasury requests</w:t>
      </w:r>
      <w:r w:rsidRPr="007227C7" w:rsidR="00370B2B">
        <w:rPr>
          <w:spacing w:val="-1"/>
        </w:rPr>
        <w:t xml:space="preserve"> </w:t>
      </w:r>
      <w:r w:rsidRPr="007227C7" w:rsidR="00370B2B">
        <w:t>a</w:t>
      </w:r>
      <w:r w:rsidRPr="007227C7" w:rsidR="00370B2B">
        <w:rPr>
          <w:spacing w:val="-2"/>
        </w:rPr>
        <w:t xml:space="preserve"> </w:t>
      </w:r>
      <w:r w:rsidRPr="007227C7" w:rsidR="00370B2B">
        <w:t>waiver</w:t>
      </w:r>
      <w:r w:rsidRPr="007227C7" w:rsidR="00370B2B">
        <w:rPr>
          <w:spacing w:val="-1"/>
        </w:rPr>
        <w:t xml:space="preserve"> </w:t>
      </w:r>
      <w:r w:rsidR="00492C0A">
        <w:rPr>
          <w:spacing w:val="-1"/>
        </w:rPr>
        <w:t>from the</w:t>
      </w:r>
      <w:r w:rsidRPr="007227C7" w:rsidR="00370B2B">
        <w:rPr>
          <w:spacing w:val="-1"/>
        </w:rPr>
        <w:t xml:space="preserve"> </w:t>
      </w:r>
      <w:r w:rsidRPr="007227C7" w:rsidR="00370B2B">
        <w:t>requirement to publish</w:t>
      </w:r>
      <w:r w:rsidRPr="007227C7" w:rsidR="00370B2B">
        <w:rPr>
          <w:spacing w:val="-1"/>
        </w:rPr>
        <w:t xml:space="preserve"> </w:t>
      </w:r>
      <w:r w:rsidRPr="007227C7" w:rsidR="00370B2B">
        <w:t>notice</w:t>
      </w:r>
      <w:r w:rsidRPr="007227C7" w:rsidR="00370B2B">
        <w:rPr>
          <w:spacing w:val="-1"/>
        </w:rPr>
        <w:t xml:space="preserve"> </w:t>
      </w:r>
      <w:r w:rsidRPr="007227C7" w:rsidR="00370B2B">
        <w:t>in the Federal</w:t>
      </w:r>
      <w:r w:rsidRPr="007227C7" w:rsidR="00370B2B">
        <w:rPr>
          <w:spacing w:val="-1"/>
        </w:rPr>
        <w:t xml:space="preserve"> </w:t>
      </w:r>
      <w:r w:rsidRPr="007227C7" w:rsidR="00370B2B">
        <w:t>Register seeking public comment.</w:t>
      </w:r>
    </w:p>
    <w:p w:rsidR="000F49D2" w:rsidP="00967121" w:rsidRDefault="000F49D2" w14:paraId="10D00E56" w14:textId="27ACF208">
      <w:pPr>
        <w:pStyle w:val="BodyText"/>
        <w:spacing w:before="1"/>
        <w:ind w:left="180" w:right="275"/>
      </w:pPr>
    </w:p>
    <w:p w:rsidRPr="0007561A" w:rsidR="003153B9" w:rsidP="0007561A" w:rsidRDefault="003153B9" w14:paraId="2476DA8B" w14:textId="30CDD33B">
      <w:pPr>
        <w:pStyle w:val="BodyText"/>
        <w:spacing w:before="1"/>
        <w:ind w:left="180" w:right="275"/>
      </w:pPr>
    </w:p>
    <w:sectPr w:rsidRPr="0007561A" w:rsidR="003153B9" w:rsidSect="00370B2B">
      <w:type w:val="continuous"/>
      <w:pgSz w:w="12240" w:h="15840"/>
      <w:pgMar w:top="1440" w:right="1382" w:bottom="1440" w:left="12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4E24C" w14:textId="77777777" w:rsidR="001C23C0" w:rsidRDefault="001C23C0" w:rsidP="001C23C0">
      <w:r>
        <w:separator/>
      </w:r>
    </w:p>
  </w:endnote>
  <w:endnote w:type="continuationSeparator" w:id="0">
    <w:p w14:paraId="4E0D0239" w14:textId="77777777" w:rsidR="001C23C0" w:rsidRDefault="001C23C0" w:rsidP="001C2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3D8A95" w14:textId="77777777" w:rsidR="001C23C0" w:rsidRDefault="001C23C0" w:rsidP="001C23C0">
      <w:r>
        <w:separator/>
      </w:r>
    </w:p>
  </w:footnote>
  <w:footnote w:type="continuationSeparator" w:id="0">
    <w:p w14:paraId="377EE649" w14:textId="77777777" w:rsidR="001C23C0" w:rsidRDefault="001C23C0" w:rsidP="001C23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EC2895"/>
    <w:multiLevelType w:val="hybridMultilevel"/>
    <w:tmpl w:val="1D48928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3B9"/>
    <w:rsid w:val="00017820"/>
    <w:rsid w:val="000445C0"/>
    <w:rsid w:val="0007561A"/>
    <w:rsid w:val="000B5AA5"/>
    <w:rsid w:val="000C3373"/>
    <w:rsid w:val="000F49D2"/>
    <w:rsid w:val="0010361A"/>
    <w:rsid w:val="001C23C0"/>
    <w:rsid w:val="001F3369"/>
    <w:rsid w:val="00204BC8"/>
    <w:rsid w:val="002253FA"/>
    <w:rsid w:val="002329F7"/>
    <w:rsid w:val="0025361A"/>
    <w:rsid w:val="003153B9"/>
    <w:rsid w:val="00362E0A"/>
    <w:rsid w:val="00370B2B"/>
    <w:rsid w:val="003F76C1"/>
    <w:rsid w:val="00492C0A"/>
    <w:rsid w:val="004C0F6E"/>
    <w:rsid w:val="004D19C8"/>
    <w:rsid w:val="005350FB"/>
    <w:rsid w:val="0056088A"/>
    <w:rsid w:val="00560F15"/>
    <w:rsid w:val="00576CC0"/>
    <w:rsid w:val="005B3069"/>
    <w:rsid w:val="005E0C05"/>
    <w:rsid w:val="00716A62"/>
    <w:rsid w:val="007227C7"/>
    <w:rsid w:val="007A691F"/>
    <w:rsid w:val="007C0C17"/>
    <w:rsid w:val="007D3580"/>
    <w:rsid w:val="007D4216"/>
    <w:rsid w:val="00876813"/>
    <w:rsid w:val="00884DBD"/>
    <w:rsid w:val="00905F98"/>
    <w:rsid w:val="00967121"/>
    <w:rsid w:val="00986172"/>
    <w:rsid w:val="00AB4266"/>
    <w:rsid w:val="00AC1F60"/>
    <w:rsid w:val="00B33726"/>
    <w:rsid w:val="00B776D1"/>
    <w:rsid w:val="00B934B0"/>
    <w:rsid w:val="00BC20C4"/>
    <w:rsid w:val="00D2720D"/>
    <w:rsid w:val="00D84A63"/>
    <w:rsid w:val="00D97932"/>
    <w:rsid w:val="00DA75E7"/>
    <w:rsid w:val="00DB2999"/>
    <w:rsid w:val="00F03FBC"/>
    <w:rsid w:val="00F504E5"/>
    <w:rsid w:val="00F67B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779E9"/>
  <w15:docId w15:val="{F51067AD-F0AC-4566-9060-1A515B819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876813"/>
    <w:rPr>
      <w:sz w:val="16"/>
      <w:szCs w:val="16"/>
    </w:rPr>
  </w:style>
  <w:style w:type="paragraph" w:styleId="CommentText">
    <w:name w:val="annotation text"/>
    <w:basedOn w:val="Normal"/>
    <w:link w:val="CommentTextChar"/>
    <w:semiHidden/>
    <w:unhideWhenUsed/>
    <w:rsid w:val="00876813"/>
    <w:rPr>
      <w:sz w:val="20"/>
      <w:szCs w:val="20"/>
    </w:rPr>
  </w:style>
  <w:style w:type="character" w:customStyle="1" w:styleId="CommentTextChar">
    <w:name w:val="Comment Text Char"/>
    <w:basedOn w:val="DefaultParagraphFont"/>
    <w:link w:val="CommentText"/>
    <w:semiHidden/>
    <w:rsid w:val="0087681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76813"/>
    <w:rPr>
      <w:b/>
      <w:bCs/>
    </w:rPr>
  </w:style>
  <w:style w:type="character" w:customStyle="1" w:styleId="CommentSubjectChar">
    <w:name w:val="Comment Subject Char"/>
    <w:basedOn w:val="CommentTextChar"/>
    <w:link w:val="CommentSubject"/>
    <w:uiPriority w:val="99"/>
    <w:semiHidden/>
    <w:rsid w:val="00876813"/>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876813"/>
    <w:rPr>
      <w:color w:val="0000FF" w:themeColor="hyperlink"/>
      <w:u w:val="single"/>
    </w:rPr>
  </w:style>
  <w:style w:type="character" w:styleId="FollowedHyperlink">
    <w:name w:val="FollowedHyperlink"/>
    <w:basedOn w:val="DefaultParagraphFont"/>
    <w:uiPriority w:val="99"/>
    <w:semiHidden/>
    <w:unhideWhenUsed/>
    <w:rsid w:val="00F67B37"/>
    <w:rPr>
      <w:color w:val="800080" w:themeColor="followedHyperlink"/>
      <w:u w:val="single"/>
    </w:rPr>
  </w:style>
  <w:style w:type="character" w:styleId="UnresolvedMention">
    <w:name w:val="Unresolved Mention"/>
    <w:basedOn w:val="DefaultParagraphFont"/>
    <w:uiPriority w:val="99"/>
    <w:semiHidden/>
    <w:unhideWhenUsed/>
    <w:rsid w:val="007A691F"/>
    <w:rPr>
      <w:color w:val="605E5C"/>
      <w:shd w:val="clear" w:color="auto" w:fill="E1DFDD"/>
    </w:rPr>
  </w:style>
  <w:style w:type="paragraph" w:styleId="Header">
    <w:name w:val="header"/>
    <w:basedOn w:val="Normal"/>
    <w:link w:val="HeaderChar"/>
    <w:uiPriority w:val="99"/>
    <w:unhideWhenUsed/>
    <w:rsid w:val="001C23C0"/>
    <w:pPr>
      <w:tabs>
        <w:tab w:val="center" w:pos="4680"/>
        <w:tab w:val="right" w:pos="9360"/>
      </w:tabs>
    </w:pPr>
  </w:style>
  <w:style w:type="character" w:customStyle="1" w:styleId="HeaderChar">
    <w:name w:val="Header Char"/>
    <w:basedOn w:val="DefaultParagraphFont"/>
    <w:link w:val="Header"/>
    <w:uiPriority w:val="99"/>
    <w:rsid w:val="001C23C0"/>
    <w:rPr>
      <w:rFonts w:ascii="Times New Roman" w:eastAsia="Times New Roman" w:hAnsi="Times New Roman" w:cs="Times New Roman"/>
    </w:rPr>
  </w:style>
  <w:style w:type="paragraph" w:styleId="Footer">
    <w:name w:val="footer"/>
    <w:basedOn w:val="Normal"/>
    <w:link w:val="FooterChar"/>
    <w:uiPriority w:val="99"/>
    <w:unhideWhenUsed/>
    <w:rsid w:val="001C23C0"/>
    <w:pPr>
      <w:tabs>
        <w:tab w:val="center" w:pos="4680"/>
        <w:tab w:val="right" w:pos="9360"/>
      </w:tabs>
    </w:pPr>
  </w:style>
  <w:style w:type="character" w:customStyle="1" w:styleId="FooterChar">
    <w:name w:val="Footer Char"/>
    <w:basedOn w:val="DefaultParagraphFont"/>
    <w:link w:val="Footer"/>
    <w:uiPriority w:val="99"/>
    <w:rsid w:val="001C23C0"/>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64715">
      <w:bodyDiv w:val="1"/>
      <w:marLeft w:val="0"/>
      <w:marRight w:val="0"/>
      <w:marTop w:val="0"/>
      <w:marBottom w:val="0"/>
      <w:divBdr>
        <w:top w:val="none" w:sz="0" w:space="0" w:color="auto"/>
        <w:left w:val="none" w:sz="0" w:space="0" w:color="auto"/>
        <w:bottom w:val="none" w:sz="0" w:space="0" w:color="auto"/>
        <w:right w:val="none" w:sz="0" w:space="0" w:color="auto"/>
      </w:divBdr>
    </w:div>
    <w:div w:id="1216234203">
      <w:bodyDiv w:val="1"/>
      <w:marLeft w:val="0"/>
      <w:marRight w:val="0"/>
      <w:marTop w:val="0"/>
      <w:marBottom w:val="0"/>
      <w:divBdr>
        <w:top w:val="none" w:sz="0" w:space="0" w:color="auto"/>
        <w:left w:val="none" w:sz="0" w:space="0" w:color="auto"/>
        <w:bottom w:val="none" w:sz="0" w:space="0" w:color="auto"/>
        <w:right w:val="none" w:sz="0" w:space="0" w:color="auto"/>
      </w:divBdr>
    </w:div>
    <w:div w:id="13137508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9B5679-00DE-4BD2-AE2D-0F6444E76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659</Words>
  <Characters>3760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Keyser, Raymond (Detailee)</dc:creator>
  <cp:lastModifiedBy>Schroeder, Jeffrey</cp:lastModifiedBy>
  <cp:revision>2</cp:revision>
  <dcterms:created xsi:type="dcterms:W3CDTF">2022-08-10T16:41:00Z</dcterms:created>
  <dcterms:modified xsi:type="dcterms:W3CDTF">2022-08-10T16:41:00Z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2021-03-15T00:00:00Z</vt:filetime>
  </property>
  <property fmtid="{D5CDD505-2E9C-101B-9397-08002B2CF9AE}" pid="3" name="LastSaved">
    <vt:filetime>2021-09-28T00:00:00Z</vt:filetime>
  </property>
</Properties>
</file>