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24E9E" w:rsidP="00524E9E" w:rsidRDefault="00524E9E" w14:paraId="7D674FAC" w14:textId="77777777">
      <w:pPr>
        <w:jc w:val="center"/>
        <w:rPr>
          <w:rFonts w:ascii="Times New Roman" w:hAnsi="Times New Roman"/>
          <w:b/>
        </w:rPr>
      </w:pPr>
      <w:r>
        <w:rPr>
          <w:rFonts w:ascii="Times New Roman" w:hAnsi="Times New Roman"/>
          <w:b/>
        </w:rPr>
        <w:t xml:space="preserve">Application for Premium Processing Service </w:t>
      </w:r>
    </w:p>
    <w:p w:rsidR="00524E9E" w:rsidP="00524E9E" w:rsidRDefault="00524E9E" w14:paraId="7F686A8C" w14:textId="77777777">
      <w:pPr>
        <w:jc w:val="center"/>
        <w:rPr>
          <w:rFonts w:ascii="Times New Roman" w:hAnsi="Times New Roman"/>
          <w:b/>
          <w:bCs/>
        </w:rPr>
      </w:pPr>
      <w:r>
        <w:rPr>
          <w:rFonts w:ascii="Times New Roman" w:hAnsi="Times New Roman"/>
          <w:b/>
          <w:bCs/>
        </w:rPr>
        <w:t>OMB Control No.: 1615-0048</w:t>
      </w:r>
    </w:p>
    <w:p w:rsidR="00524E9E" w:rsidP="00524E9E" w:rsidRDefault="00524E9E" w14:paraId="63CC80CE" w14:textId="77777777">
      <w:pPr>
        <w:jc w:val="center"/>
        <w:rPr>
          <w:rFonts w:ascii="Times New Roman" w:hAnsi="Times New Roman"/>
          <w:b/>
          <w:bCs/>
        </w:rPr>
      </w:pPr>
      <w:r>
        <w:rPr>
          <w:rFonts w:ascii="Times New Roman" w:hAnsi="Times New Roman"/>
          <w:b/>
          <w:bCs/>
        </w:rPr>
        <w:t>COLLECTION INSTRUMENT(S): Form I-907</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24E9E" w:rsidP="00524E9E" w:rsidRDefault="00065B31" w14:paraId="74687AFE" w14:textId="5BA25DA0">
      <w:pPr>
        <w:tabs>
          <w:tab w:val="left" w:pos="-1440"/>
        </w:tabs>
        <w:ind w:left="720"/>
        <w:rPr>
          <w:rFonts w:ascii="Times New Roman" w:hAnsi="Times New Roman"/>
        </w:rPr>
      </w:pPr>
      <w:r>
        <w:rPr>
          <w:rFonts w:ascii="Times New Roman" w:hAnsi="Times New Roman"/>
        </w:rPr>
        <w:t>S</w:t>
      </w:r>
      <w:r w:rsidR="00524E9E">
        <w:rPr>
          <w:rFonts w:ascii="Times New Roman" w:hAnsi="Times New Roman"/>
        </w:rPr>
        <w:t>ection 286(u) of the Immigration and Nationality Act (Act)</w:t>
      </w:r>
      <w:r>
        <w:rPr>
          <w:rFonts w:ascii="Times New Roman" w:hAnsi="Times New Roman"/>
        </w:rPr>
        <w:t xml:space="preserve"> allows</w:t>
      </w:r>
      <w:r w:rsidR="00524E9E">
        <w:rPr>
          <w:rFonts w:ascii="Times New Roman" w:hAnsi="Times New Roman"/>
        </w:rPr>
        <w:t xml:space="preserve"> USCIS </w:t>
      </w:r>
      <w:r>
        <w:rPr>
          <w:rFonts w:ascii="Times New Roman" w:hAnsi="Times New Roman"/>
        </w:rPr>
        <w:t xml:space="preserve">to </w:t>
      </w:r>
      <w:r w:rsidR="00524E9E">
        <w:rPr>
          <w:rFonts w:ascii="Times New Roman" w:hAnsi="Times New Roman"/>
        </w:rPr>
        <w:t xml:space="preserve">can collect a “premium processing” fee to process certain employment-based requests within </w:t>
      </w:r>
      <w:r>
        <w:rPr>
          <w:rFonts w:ascii="Times New Roman" w:hAnsi="Times New Roman"/>
        </w:rPr>
        <w:t>an expedited timeframe</w:t>
      </w:r>
      <w:r w:rsidR="00524E9E">
        <w:rPr>
          <w:rFonts w:ascii="Times New Roman" w:hAnsi="Times New Roman"/>
        </w:rPr>
        <w:t>. USCIS collects the premium processing fee in addition to the regular filing fee it collects to process th</w:t>
      </w:r>
      <w:r>
        <w:rPr>
          <w:rFonts w:ascii="Times New Roman" w:hAnsi="Times New Roman"/>
        </w:rPr>
        <w:t>ose immigration benefit requests designated for premium processing by law and regulation</w:t>
      </w:r>
      <w:r w:rsidR="00524E9E">
        <w:rPr>
          <w:rFonts w:ascii="Times New Roman" w:hAnsi="Times New Roman"/>
        </w:rPr>
        <w:t xml:space="preserve">.  This information collection is necessary to ensure that </w:t>
      </w:r>
      <w:r>
        <w:rPr>
          <w:rFonts w:ascii="Times New Roman" w:hAnsi="Times New Roman"/>
        </w:rPr>
        <w:t xml:space="preserve">requestors of premium processing for those immigration benefit requests designated for premium processing </w:t>
      </w:r>
      <w:r w:rsidR="00524E9E">
        <w:rPr>
          <w:rFonts w:ascii="Times New Roman" w:hAnsi="Times New Roman"/>
        </w:rPr>
        <w:t xml:space="preserve">can request premium processing in accordance with the Act.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24E9E" w:rsidP="00524E9E" w:rsidRDefault="00524E9E" w14:paraId="6A41FD1C" w14:textId="7EEEA0C8">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w:t>
      </w:r>
      <w:r w:rsidR="00065B31">
        <w:rPr>
          <w:rFonts w:ascii="Times New Roman" w:hAnsi="Times New Roman"/>
        </w:rPr>
        <w:t xml:space="preserve"> for premium processing</w:t>
      </w:r>
      <w:r>
        <w:rPr>
          <w:rFonts w:ascii="Times New Roman" w:hAnsi="Times New Roman"/>
        </w:rPr>
        <w:t xml:space="preserve"> is provided by the </w:t>
      </w:r>
      <w:r w:rsidR="00065B31">
        <w:rPr>
          <w:rFonts w:ascii="Times New Roman" w:hAnsi="Times New Roman"/>
        </w:rPr>
        <w:t>requestor</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F4F45" w:rsidR="00524E9E" w:rsidP="00524E9E" w:rsidRDefault="00524E9E" w14:paraId="5E8B09FC" w14:textId="29903BB7">
      <w:pPr>
        <w:tabs>
          <w:tab w:val="left" w:pos="-1440"/>
        </w:tabs>
        <w:ind w:left="720"/>
        <w:rPr>
          <w:rFonts w:ascii="Times New Roman" w:hAnsi="Times New Roman"/>
          <w:color w:val="FF0000"/>
        </w:rPr>
      </w:pPr>
      <w:r w:rsidRPr="006F4F45">
        <w:rPr>
          <w:rFonts w:ascii="Times New Roman" w:hAnsi="Times New Roman" w:eastAsiaTheme="minorEastAsia"/>
        </w:rPr>
        <w:t xml:space="preserve">The use of this form provides the most efficient means for collecting and processing the required data.  Form I-907 is </w:t>
      </w:r>
      <w:r w:rsidRPr="006F4F45">
        <w:rPr>
          <w:rFonts w:ascii="Times New Roman" w:hAnsi="Times New Roman"/>
        </w:rPr>
        <w:t xml:space="preserve">available </w:t>
      </w:r>
      <w:r w:rsidR="006F4F45">
        <w:rPr>
          <w:rFonts w:ascii="Times New Roman" w:hAnsi="Times New Roman"/>
        </w:rPr>
        <w:t>on the uscis.gov website. It can be completed electronically, but must be printed, signed, and mailed to USCIS.</w:t>
      </w:r>
      <w:r w:rsidRPr="006F4F45">
        <w:rPr>
          <w:rFonts w:ascii="Times New Roman" w:hAnsi="Times New Roman"/>
          <w:color w:val="FF0000"/>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524E9E" w:rsidP="00524E9E" w:rsidRDefault="00524E9E" w14:paraId="4B541955" w14:textId="77777777">
      <w:pPr>
        <w:tabs>
          <w:tab w:val="left" w:pos="1065"/>
        </w:tabs>
        <w:autoSpaceDE/>
        <w:adjustRightInd/>
        <w:ind w:left="720"/>
        <w:rPr>
          <w:rFonts w:ascii="Times New Roman" w:hAnsi="Times New Roman"/>
          <w:color w:val="FF0000"/>
        </w:rPr>
      </w:pPr>
      <w:r>
        <w:rPr>
          <w:rFonts w:ascii="Times New Roman" w:hAnsi="Times New Roman"/>
          <w:szCs w:val="22"/>
        </w:rPr>
        <w:lastRenderedPageBreak/>
        <w:t>A review of the USCIS Forms Inventory Report revealed no duplication of effort, and there is no other similar information currently available that can be used for this purpose. 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524E9E" w:rsidP="00524E9E" w:rsidRDefault="00524E9E" w14:paraId="73D95F1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524E9E" w:rsidP="00524E9E" w:rsidRDefault="00524E9E" w14:paraId="7A241D3C"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6F537C" w:rsidP="006D39AE" w:rsidRDefault="006F537C" w14:paraId="3B229BB7" w14:textId="7A8A0F62">
      <w:pPr>
        <w:ind w:left="720"/>
        <w:rPr>
          <w:rFonts w:ascii="Times New Roman" w:hAnsi="Times New Roman"/>
        </w:rPr>
      </w:pPr>
      <w:r w:rsidRPr="00E07F7C">
        <w:rPr>
          <w:rFonts w:ascii="Times New Roman" w:hAnsi="Times New Roman"/>
        </w:rPr>
        <w:t xml:space="preserve">On </w:t>
      </w:r>
      <w:r>
        <w:rPr>
          <w:rFonts w:ascii="Times New Roman" w:hAnsi="Times New Roman"/>
        </w:rPr>
        <w:t>March 30</w:t>
      </w:r>
      <w:r w:rsidRPr="00E07F7C">
        <w:rPr>
          <w:rFonts w:ascii="Times New Roman" w:hAnsi="Times New Roman"/>
        </w:rPr>
        <w:t>, 20</w:t>
      </w:r>
      <w:r>
        <w:rPr>
          <w:rFonts w:ascii="Times New Roman" w:hAnsi="Times New Roman"/>
        </w:rPr>
        <w:t>22,</w:t>
      </w:r>
      <w:r w:rsidRPr="00E07F7C">
        <w:rPr>
          <w:rFonts w:ascii="Times New Roman" w:hAnsi="Times New Roman"/>
        </w:rPr>
        <w:t xml:space="preserve"> USCIS published a 60-day notice in the Federal Register at 8</w:t>
      </w:r>
      <w:r>
        <w:rPr>
          <w:rFonts w:ascii="Times New Roman" w:hAnsi="Times New Roman"/>
        </w:rPr>
        <w:t>7</w:t>
      </w:r>
      <w:r w:rsidRPr="00E07F7C">
        <w:rPr>
          <w:rFonts w:ascii="Times New Roman" w:hAnsi="Times New Roman"/>
        </w:rPr>
        <w:t xml:space="preserve"> FR</w:t>
      </w:r>
      <w:r>
        <w:rPr>
          <w:rFonts w:ascii="Times New Roman" w:hAnsi="Times New Roman"/>
        </w:rPr>
        <w:t xml:space="preserve"> 1822</w:t>
      </w:r>
      <w:r w:rsidR="001D6CE7">
        <w:rPr>
          <w:rFonts w:ascii="Times New Roman" w:hAnsi="Times New Roman"/>
        </w:rPr>
        <w:t xml:space="preserve">7. </w:t>
      </w:r>
      <w:r w:rsidRPr="001D6CE7" w:rsidR="001D6CE7">
        <w:rPr>
          <w:rFonts w:ascii="Times New Roman" w:hAnsi="Times New Roman"/>
        </w:rPr>
        <w:t xml:space="preserve">This revision action being submitted in connection with the Implementation of the Emergency Stopgap USCIS Stabilization Act (RIN 1615-AC73) Final Rule, </w:t>
      </w:r>
      <w:proofErr w:type="gramStart"/>
      <w:r w:rsidRPr="001D6CE7" w:rsidR="001D6CE7">
        <w:rPr>
          <w:rFonts w:ascii="Times New Roman" w:hAnsi="Times New Roman"/>
        </w:rPr>
        <w:t>which</w:t>
      </w:r>
      <w:proofErr w:type="gramEnd"/>
      <w:r w:rsidRPr="001D6CE7" w:rsidR="001D6CE7">
        <w:rPr>
          <w:rFonts w:ascii="Times New Roman" w:hAnsi="Times New Roman"/>
        </w:rPr>
        <w:t xml:space="preserve"> published in the Federal Register on March 30, 2022, at 87 FR 18227</w:t>
      </w:r>
      <w:r w:rsidRPr="00E07F7C">
        <w:rPr>
          <w:rFonts w:ascii="Times New Roman" w:hAnsi="Times New Roman"/>
        </w:rPr>
        <w:t>.</w:t>
      </w:r>
      <w:r>
        <w:rPr>
          <w:rFonts w:ascii="Times New Roman" w:hAnsi="Times New Roman"/>
        </w:rPr>
        <w:t xml:space="preserve"> </w:t>
      </w:r>
      <w:r w:rsidR="00065B31">
        <w:rPr>
          <w:rFonts w:ascii="Times New Roman" w:hAnsi="Times New Roman"/>
        </w:rPr>
        <w:t>P</w:t>
      </w:r>
      <w:r w:rsidRPr="006F537C">
        <w:rPr>
          <w:rFonts w:ascii="Times New Roman" w:hAnsi="Times New Roman"/>
        </w:rPr>
        <w:t xml:space="preserve">er the instructions in the rule, Implementation of the Emergency Stopgap USCIS Stabilization Act, DHS </w:t>
      </w:r>
      <w:r w:rsidR="00065B31">
        <w:rPr>
          <w:rFonts w:ascii="Times New Roman" w:hAnsi="Times New Roman"/>
        </w:rPr>
        <w:t xml:space="preserve">instructed the public that it would only be accepting </w:t>
      </w:r>
      <w:r w:rsidRPr="006F537C">
        <w:rPr>
          <w:rFonts w:ascii="Times New Roman" w:hAnsi="Times New Roman"/>
        </w:rPr>
        <w:t>comments on the revised information collection</w:t>
      </w:r>
      <w:r>
        <w:rPr>
          <w:rFonts w:ascii="Times New Roman" w:hAnsi="Times New Roman"/>
        </w:rPr>
        <w:t xml:space="preserve"> </w:t>
      </w:r>
      <w:r w:rsidRPr="006F537C">
        <w:rPr>
          <w:rFonts w:ascii="Times New Roman" w:hAnsi="Times New Roman"/>
        </w:rPr>
        <w:t xml:space="preserve">described in the Paperwork Reduction Act </w:t>
      </w:r>
      <w:r w:rsidRPr="006F537C" w:rsidR="00F53396">
        <w:rPr>
          <w:rFonts w:ascii="Times New Roman" w:hAnsi="Times New Roman"/>
        </w:rPr>
        <w:t>Section</w:t>
      </w:r>
      <w:r w:rsidR="00F53396">
        <w:rPr>
          <w:rFonts w:ascii="Times New Roman" w:hAnsi="Times New Roman"/>
        </w:rPr>
        <w:t xml:space="preserve"> J</w:t>
      </w:r>
      <w:r w:rsidR="00096F1D">
        <w:rPr>
          <w:rFonts w:ascii="Times New Roman" w:hAnsi="Times New Roman"/>
        </w:rPr>
        <w:t xml:space="preserve">. </w:t>
      </w:r>
      <w:r w:rsidRPr="006F537C">
        <w:rPr>
          <w:rFonts w:ascii="Times New Roman" w:hAnsi="Times New Roman"/>
        </w:rPr>
        <w:t xml:space="preserve"> </w:t>
      </w:r>
      <w:r w:rsidRPr="00E07F7C" w:rsidR="00096F1D">
        <w:rPr>
          <w:rFonts w:ascii="Times New Roman" w:hAnsi="Times New Roman"/>
        </w:rPr>
        <w:t xml:space="preserve">USCIS </w:t>
      </w:r>
      <w:r w:rsidR="00096F1D">
        <w:rPr>
          <w:rFonts w:ascii="Times New Roman" w:hAnsi="Times New Roman"/>
        </w:rPr>
        <w:t>received eight comments after publishing that notice, however</w:t>
      </w:r>
      <w:r w:rsidR="00F53396">
        <w:rPr>
          <w:rFonts w:ascii="Times New Roman" w:hAnsi="Times New Roman"/>
        </w:rPr>
        <w:t>,</w:t>
      </w:r>
      <w:r w:rsidR="00096F1D">
        <w:rPr>
          <w:rFonts w:ascii="Times New Roman" w:hAnsi="Times New Roman"/>
        </w:rPr>
        <w:t xml:space="preserve"> none of t</w:t>
      </w:r>
      <w:r w:rsidRPr="006F537C">
        <w:rPr>
          <w:rFonts w:ascii="Times New Roman" w:hAnsi="Times New Roman"/>
        </w:rPr>
        <w:t>h</w:t>
      </w:r>
      <w:r>
        <w:rPr>
          <w:rFonts w:ascii="Times New Roman" w:hAnsi="Times New Roman"/>
        </w:rPr>
        <w:t>e</w:t>
      </w:r>
      <w:r w:rsidRPr="006F537C">
        <w:rPr>
          <w:rFonts w:ascii="Times New Roman" w:hAnsi="Times New Roman"/>
        </w:rPr>
        <w:t xml:space="preserve"> comment</w:t>
      </w:r>
      <w:r>
        <w:rPr>
          <w:rFonts w:ascii="Times New Roman" w:hAnsi="Times New Roman"/>
        </w:rPr>
        <w:t>s</w:t>
      </w:r>
      <w:r w:rsidRPr="006F537C">
        <w:rPr>
          <w:rFonts w:ascii="Times New Roman" w:hAnsi="Times New Roman"/>
        </w:rPr>
        <w:t xml:space="preserve"> address</w:t>
      </w:r>
      <w:r w:rsidR="00096F1D">
        <w:rPr>
          <w:rFonts w:ascii="Times New Roman" w:hAnsi="Times New Roman"/>
        </w:rPr>
        <w:t>ed</w:t>
      </w:r>
      <w:r>
        <w:rPr>
          <w:rFonts w:ascii="Times New Roman" w:hAnsi="Times New Roman"/>
        </w:rPr>
        <w:t xml:space="preserve"> the I-907 </w:t>
      </w:r>
      <w:r w:rsidRPr="006F537C">
        <w:rPr>
          <w:rFonts w:ascii="Times New Roman" w:hAnsi="Times New Roman"/>
        </w:rPr>
        <w:t>revision described in the rule</w:t>
      </w:r>
      <w:r>
        <w:rPr>
          <w:rFonts w:ascii="Times New Roman" w:hAnsi="Times New Roman"/>
        </w:rPr>
        <w:t xml:space="preserve">. </w:t>
      </w:r>
      <w:r w:rsidRPr="001078B2">
        <w:rPr>
          <w:rFonts w:ascii="Times New Roman" w:hAnsi="Times New Roman"/>
        </w:rPr>
        <w:t xml:space="preserve">USCIS did not make any changes to the information collection </w:t>
      </w:r>
      <w:proofErr w:type="gramStart"/>
      <w:r w:rsidRPr="001078B2">
        <w:rPr>
          <w:rFonts w:ascii="Times New Roman" w:hAnsi="Times New Roman"/>
        </w:rPr>
        <w:t>as a result of</w:t>
      </w:r>
      <w:proofErr w:type="gramEnd"/>
      <w:r w:rsidRPr="001078B2">
        <w:rPr>
          <w:rFonts w:ascii="Times New Roman" w:hAnsi="Times New Roman"/>
        </w:rPr>
        <w:t xml:space="preserve"> the comments.</w:t>
      </w:r>
    </w:p>
    <w:p w:rsidR="006F537C" w:rsidP="006D39AE" w:rsidRDefault="006F537C" w14:paraId="5D8BDFD6" w14:textId="77777777">
      <w:pPr>
        <w:tabs>
          <w:tab w:val="left" w:pos="-1440"/>
        </w:tabs>
        <w:rPr>
          <w:rFonts w:ascii="Times New Roman" w:hAnsi="Times New Roman"/>
        </w:rPr>
      </w:pPr>
    </w:p>
    <w:p w:rsidR="006F537C" w:rsidP="006F537C" w:rsidRDefault="006F537C" w14:paraId="5A170236" w14:textId="402DE3D4">
      <w:pPr>
        <w:tabs>
          <w:tab w:val="left" w:pos="-1440"/>
        </w:tabs>
        <w:ind w:left="720"/>
        <w:rPr>
          <w:rFonts w:ascii="Times New Roman" w:hAnsi="Times New Roman"/>
        </w:rPr>
      </w:pPr>
      <w:r w:rsidRPr="00F77A1E">
        <w:rPr>
          <w:rFonts w:ascii="Times New Roman" w:hAnsi="Times New Roman"/>
        </w:rPr>
        <w:t>On</w:t>
      </w:r>
      <w:r>
        <w:rPr>
          <w:rFonts w:ascii="Times New Roman" w:hAnsi="Times New Roman"/>
        </w:rPr>
        <w:t xml:space="preserve"> June</w:t>
      </w:r>
      <w:r w:rsidR="00326131">
        <w:rPr>
          <w:rFonts w:ascii="Times New Roman" w:hAnsi="Times New Roman"/>
        </w:rPr>
        <w:t xml:space="preserve"> 15</w:t>
      </w:r>
      <w:r w:rsidRPr="00F77A1E">
        <w:rPr>
          <w:rFonts w:ascii="Times New Roman" w:hAnsi="Times New Roman"/>
        </w:rPr>
        <w:t>, 20</w:t>
      </w:r>
      <w:r>
        <w:rPr>
          <w:rFonts w:ascii="Times New Roman" w:hAnsi="Times New Roman"/>
        </w:rPr>
        <w:t>22</w:t>
      </w:r>
      <w:r w:rsidRPr="00F77A1E">
        <w:rPr>
          <w:rFonts w:ascii="Times New Roman" w:hAnsi="Times New Roman"/>
        </w:rPr>
        <w:t>, USCIS published a 30-day notice in the Federal Register at 8</w:t>
      </w:r>
      <w:r>
        <w:rPr>
          <w:rFonts w:ascii="Times New Roman" w:hAnsi="Times New Roman"/>
        </w:rPr>
        <w:t>7</w:t>
      </w:r>
      <w:r w:rsidRPr="00F77A1E">
        <w:rPr>
          <w:rFonts w:ascii="Times New Roman" w:hAnsi="Times New Roman"/>
        </w:rPr>
        <w:t xml:space="preserve"> FR</w:t>
      </w:r>
      <w:r w:rsidR="00326131">
        <w:rPr>
          <w:rFonts w:ascii="Times New Roman" w:hAnsi="Times New Roman"/>
        </w:rPr>
        <w:t xml:space="preserve"> 36141</w:t>
      </w:r>
      <w:r w:rsidRPr="00F77A1E">
        <w:rPr>
          <w:rFonts w:ascii="Times New Roman" w:hAnsi="Times New Roman"/>
        </w:rPr>
        <w:t>. USCIS did</w:t>
      </w:r>
      <w:r>
        <w:rPr>
          <w:rFonts w:ascii="Times New Roman" w:hAnsi="Times New Roman"/>
        </w:rPr>
        <w:t xml:space="preserve"> receive</w:t>
      </w:r>
      <w:r w:rsidR="00326131">
        <w:rPr>
          <w:rFonts w:ascii="Times New Roman" w:hAnsi="Times New Roman"/>
        </w:rPr>
        <w:t xml:space="preserve"> one</w:t>
      </w:r>
      <w:r>
        <w:rPr>
          <w:rFonts w:ascii="Times New Roman" w:hAnsi="Times New Roman"/>
        </w:rPr>
        <w:t xml:space="preserve"> comment in connection with this notice</w:t>
      </w:r>
      <w:r w:rsidRPr="00F77A1E">
        <w:rPr>
          <w:rFonts w:ascii="Times New Roman" w:hAnsi="Times New Roman"/>
        </w:rPr>
        <w:t>.</w:t>
      </w:r>
      <w:r>
        <w:rPr>
          <w:rFonts w:ascii="Times New Roman" w:hAnsi="Times New Roman"/>
        </w:rPr>
        <w:t xml:space="preserve"> </w:t>
      </w:r>
      <w:r w:rsidRPr="001078B2">
        <w:rPr>
          <w:rFonts w:ascii="Times New Roman" w:hAnsi="Times New Roman"/>
        </w:rPr>
        <w:t xml:space="preserve">USCIS did not make any changes to the information collection </w:t>
      </w:r>
      <w:proofErr w:type="gramStart"/>
      <w:r w:rsidRPr="001078B2">
        <w:rPr>
          <w:rFonts w:ascii="Times New Roman" w:hAnsi="Times New Roman"/>
        </w:rPr>
        <w:t>as a result of</w:t>
      </w:r>
      <w:proofErr w:type="gramEnd"/>
      <w:r w:rsidRPr="001078B2">
        <w:rPr>
          <w:rFonts w:ascii="Times New Roman" w:hAnsi="Times New Roman"/>
        </w:rPr>
        <w:t xml:space="preserve"> th</w:t>
      </w:r>
      <w:r w:rsidR="00326131">
        <w:rPr>
          <w:rFonts w:ascii="Times New Roman" w:hAnsi="Times New Roman"/>
        </w:rPr>
        <w:t xml:space="preserve">is comment, but a response is provided below. </w:t>
      </w:r>
    </w:p>
    <w:p w:rsidR="00326131" w:rsidP="00326131" w:rsidRDefault="00326131" w14:paraId="646FF818" w14:textId="368D9653">
      <w:pPr>
        <w:tabs>
          <w:tab w:val="left" w:pos="-1440"/>
        </w:tabs>
        <w:rPr>
          <w:rFonts w:ascii="Times New Roman" w:hAnsi="Times New Roman"/>
        </w:rPr>
      </w:pPr>
    </w:p>
    <w:p w:rsidR="00326131" w:rsidP="00326131" w:rsidRDefault="00326131" w14:paraId="70CCB8C7" w14:textId="639549C6">
      <w:pPr>
        <w:tabs>
          <w:tab w:val="left" w:pos="-1440"/>
        </w:tabs>
        <w:ind w:left="1440"/>
        <w:rPr>
          <w:rFonts w:ascii="Times New Roman" w:hAnsi="Times New Roman"/>
        </w:rPr>
      </w:pPr>
      <w:r w:rsidRPr="00326131">
        <w:rPr>
          <w:rFonts w:ascii="Times New Roman" w:hAnsi="Times New Roman"/>
          <w:b/>
          <w:bCs/>
        </w:rPr>
        <w:t xml:space="preserve">Public Comment by Anthony </w:t>
      </w:r>
      <w:proofErr w:type="spellStart"/>
      <w:r w:rsidRPr="00326131">
        <w:rPr>
          <w:rFonts w:ascii="Times New Roman" w:hAnsi="Times New Roman"/>
          <w:b/>
          <w:bCs/>
        </w:rPr>
        <w:t>Pawelski</w:t>
      </w:r>
      <w:proofErr w:type="spellEnd"/>
      <w:r>
        <w:rPr>
          <w:rFonts w:ascii="Times New Roman" w:hAnsi="Times New Roman"/>
        </w:rPr>
        <w:t xml:space="preserve">: </w:t>
      </w:r>
      <w:r w:rsidRPr="00326131">
        <w:rPr>
          <w:rFonts w:ascii="Times New Roman" w:hAnsi="Times New Roman"/>
        </w:rPr>
        <w:t xml:space="preserve">By way of introduction, I am an immigration attorney and have represented recording artists, athletes, universities, academic medical centers, multi-national companies, and start-up business </w:t>
      </w:r>
      <w:r w:rsidRPr="00326131">
        <w:rPr>
          <w:rFonts w:ascii="Times New Roman" w:hAnsi="Times New Roman"/>
        </w:rPr>
        <w:lastRenderedPageBreak/>
        <w:t xml:space="preserve">ventures. I currently work at Mass General Brigham where I provide visa services in-house, am an ECFMG TPL, </w:t>
      </w:r>
      <w:proofErr w:type="gramStart"/>
      <w:r w:rsidRPr="00326131">
        <w:rPr>
          <w:rFonts w:ascii="Times New Roman" w:hAnsi="Times New Roman"/>
        </w:rPr>
        <w:t>and also</w:t>
      </w:r>
      <w:proofErr w:type="gramEnd"/>
      <w:r w:rsidRPr="00326131">
        <w:rPr>
          <w:rFonts w:ascii="Times New Roman" w:hAnsi="Times New Roman"/>
        </w:rPr>
        <w:t xml:space="preserve"> ARO for our J-1 program. I will keep my comment brief.</w:t>
      </w:r>
      <w:r w:rsidRPr="00326131">
        <w:rPr>
          <w:rFonts w:ascii="Times New Roman" w:hAnsi="Times New Roman"/>
        </w:rPr>
        <w:br/>
        <w:t xml:space="preserve">1. A decade </w:t>
      </w:r>
      <w:proofErr w:type="gramStart"/>
      <w:r w:rsidRPr="00326131">
        <w:rPr>
          <w:rFonts w:ascii="Times New Roman" w:hAnsi="Times New Roman"/>
        </w:rPr>
        <w:t>ago</w:t>
      </w:r>
      <w:proofErr w:type="gramEnd"/>
      <w:r w:rsidRPr="00326131">
        <w:rPr>
          <w:rFonts w:ascii="Times New Roman" w:hAnsi="Times New Roman"/>
        </w:rPr>
        <w:t xml:space="preserve"> the form was 2 pages. Reduce form length - the bulk of the data is on the I-129 or I-140.</w:t>
      </w:r>
      <w:r w:rsidRPr="00326131">
        <w:rPr>
          <w:rFonts w:ascii="Times New Roman" w:hAnsi="Times New Roman"/>
        </w:rPr>
        <w:br/>
        <w:t>2. Reduce duplicate fields.</w:t>
      </w:r>
      <w:r w:rsidRPr="00326131">
        <w:rPr>
          <w:rFonts w:ascii="Times New Roman" w:hAnsi="Times New Roman"/>
        </w:rPr>
        <w:br/>
        <w:t xml:space="preserve">3. Consider building the </w:t>
      </w:r>
      <w:proofErr w:type="spellStart"/>
      <w:r w:rsidRPr="00326131">
        <w:rPr>
          <w:rFonts w:ascii="Times New Roman" w:hAnsi="Times New Roman"/>
        </w:rPr>
        <w:t>the</w:t>
      </w:r>
      <w:proofErr w:type="spellEnd"/>
      <w:r w:rsidRPr="00326131">
        <w:rPr>
          <w:rFonts w:ascii="Times New Roman" w:hAnsi="Times New Roman"/>
        </w:rPr>
        <w:t xml:space="preserve"> I-907 request into existing forms. For example, the I-129 is built for different fee collections.</w:t>
      </w:r>
      <w:r w:rsidRPr="00326131">
        <w:rPr>
          <w:rFonts w:ascii="Times New Roman" w:hAnsi="Times New Roman"/>
        </w:rPr>
        <w:br/>
        <w:t>4. Minimize non-essential form updates to avoid unneeded software delays with immigration software that generates forms.</w:t>
      </w:r>
    </w:p>
    <w:p w:rsidR="00326131" w:rsidP="00326131" w:rsidRDefault="00326131" w14:paraId="158B9482" w14:textId="26CCFEB1">
      <w:pPr>
        <w:tabs>
          <w:tab w:val="left" w:pos="-1440"/>
        </w:tabs>
        <w:ind w:left="1440"/>
        <w:rPr>
          <w:rFonts w:ascii="Times New Roman" w:hAnsi="Times New Roman"/>
        </w:rPr>
      </w:pPr>
    </w:p>
    <w:p w:rsidR="00D75CCA" w:rsidP="00AC1755" w:rsidRDefault="00326131" w14:paraId="0A5CD381" w14:textId="03529B20">
      <w:pPr>
        <w:tabs>
          <w:tab w:val="left" w:pos="-1440"/>
        </w:tabs>
        <w:ind w:left="1440"/>
        <w:rPr>
          <w:rFonts w:ascii="Times New Roman" w:hAnsi="Times New Roman"/>
        </w:rPr>
      </w:pPr>
      <w:r w:rsidRPr="00326131">
        <w:rPr>
          <w:rFonts w:ascii="Times New Roman" w:hAnsi="Times New Roman"/>
          <w:b/>
          <w:bCs/>
        </w:rPr>
        <w:t>USCIS Response:</w:t>
      </w:r>
      <w:r>
        <w:rPr>
          <w:rFonts w:ascii="Times New Roman" w:hAnsi="Times New Roman"/>
        </w:rPr>
        <w:t xml:space="preserve"> </w:t>
      </w:r>
      <w:r w:rsidRPr="00326131">
        <w:rPr>
          <w:rFonts w:ascii="Times New Roman" w:hAnsi="Times New Roman"/>
        </w:rPr>
        <w:t>Thank you for providing suggestions to improve the Form I-907. USCIS may take these suggestions into consideration during a future revision action.</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524E9E" w:rsidP="00524E9E" w:rsidRDefault="00524E9E" w14:paraId="43E91A8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24E9E" w:rsidP="00524E9E" w:rsidRDefault="00524E9E" w14:paraId="60AA89D9" w14:textId="77777777">
      <w:pPr>
        <w:tabs>
          <w:tab w:val="left" w:pos="-1440"/>
        </w:tabs>
        <w:ind w:left="720"/>
        <w:rPr>
          <w:rFonts w:ascii="Times New Roman" w:hAnsi="Times New Roman"/>
        </w:rPr>
      </w:pPr>
    </w:p>
    <w:p w:rsidR="00524E9E" w:rsidP="00524E9E" w:rsidRDefault="00524E9E" w14:paraId="0977328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24E9E" w:rsidP="00524E9E" w:rsidRDefault="00524E9E" w14:paraId="3CD9758D"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 and,</w:t>
      </w:r>
    </w:p>
    <w:p w:rsidR="00524E9E" w:rsidP="00524E9E" w:rsidRDefault="00524E9E" w14:paraId="7D7F7145"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524E9E" w:rsidP="00524E9E" w:rsidRDefault="00524E9E" w14:paraId="1D29561C" w14:textId="77777777">
      <w:pPr>
        <w:tabs>
          <w:tab w:val="left" w:pos="-1440"/>
        </w:tabs>
        <w:ind w:left="720"/>
        <w:rPr>
          <w:rFonts w:ascii="Times New Roman" w:hAnsi="Times New Roman"/>
        </w:rPr>
      </w:pPr>
    </w:p>
    <w:p w:rsidR="00524E9E" w:rsidP="00524E9E" w:rsidRDefault="00524E9E" w14:paraId="55D9355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24E9E" w:rsidP="00524E9E" w:rsidRDefault="00524E9E" w14:paraId="08DFCA7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proofErr w:type="gramStart"/>
      <w:r>
        <w:rPr>
          <w:rFonts w:ascii="Times New Roman" w:hAnsi="Times New Roman"/>
        </w:rPr>
        <w:t>43556;</w:t>
      </w:r>
      <w:proofErr w:type="gramEnd"/>
      <w:r>
        <w:rPr>
          <w:rFonts w:ascii="Times New Roman" w:hAnsi="Times New Roman"/>
        </w:rPr>
        <w:t xml:space="preserve">  </w:t>
      </w:r>
    </w:p>
    <w:p w:rsidR="00524E9E" w:rsidP="00524E9E" w:rsidRDefault="00524E9E" w14:paraId="0C66B6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w:t>
      </w:r>
      <w:proofErr w:type="gramStart"/>
      <w:r>
        <w:rPr>
          <w:rFonts w:ascii="Times New Roman" w:hAnsi="Times New Roman"/>
        </w:rPr>
        <w:t>2016</w:t>
      </w:r>
      <w:proofErr w:type="gramEnd"/>
      <w:r>
        <w:rPr>
          <w:rFonts w:ascii="Times New Roman" w:hAnsi="Times New Roman"/>
        </w:rPr>
        <w:t xml:space="preserve"> 81 FR 72069; and, </w:t>
      </w:r>
    </w:p>
    <w:p w:rsidRPr="00524E9E" w:rsidR="00EC5F60" w:rsidP="00524E9E" w:rsidRDefault="00524E9E" w14:paraId="5E3A935B" w14:textId="7BCF7714">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lastRenderedPageBreak/>
        <w:t>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524E9E" w:rsidP="00524E9E" w:rsidRDefault="00524E9E" w14:paraId="21F07712" w14:textId="77777777">
      <w:pPr>
        <w:tabs>
          <w:tab w:val="left" w:pos="-1440"/>
        </w:tabs>
        <w:ind w:left="720"/>
        <w:rPr>
          <w:rFonts w:ascii="Times New Roman" w:hAnsi="Times New Roman"/>
        </w:rPr>
      </w:pPr>
      <w:r>
        <w:rPr>
          <w:rFonts w:ascii="Times New Roman" w:hAnsi="Times New Roman"/>
        </w:rPr>
        <w:t>There are no questions of a sensitive nature asked.</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036" w:type="dxa"/>
        <w:tblInd w:w="93" w:type="dxa"/>
        <w:tblLook w:val="04A0" w:firstRow="1" w:lastRow="0" w:firstColumn="1" w:lastColumn="0" w:noHBand="0" w:noVBand="1"/>
      </w:tblPr>
      <w:tblGrid>
        <w:gridCol w:w="1272"/>
        <w:gridCol w:w="1161"/>
        <w:gridCol w:w="1239"/>
        <w:gridCol w:w="1180"/>
        <w:gridCol w:w="1061"/>
        <w:gridCol w:w="983"/>
        <w:gridCol w:w="960"/>
        <w:gridCol w:w="960"/>
        <w:gridCol w:w="1220"/>
      </w:tblGrid>
      <w:tr w:rsidRPr="00E77B24" w:rsidR="00E77B24" w:rsidTr="004360B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4360B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4360BC" w:rsidTr="004360B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60BC" w:rsidP="004360BC" w:rsidRDefault="004360BC" w14:paraId="0DEAD39A" w14:textId="31FA91E9">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161" w:type="dxa"/>
            <w:tcBorders>
              <w:top w:val="nil"/>
              <w:left w:val="nil"/>
              <w:bottom w:val="single" w:color="auto" w:sz="8" w:space="0"/>
              <w:right w:val="single" w:color="auto" w:sz="8" w:space="0"/>
            </w:tcBorders>
            <w:shd w:val="clear" w:color="auto" w:fill="auto"/>
            <w:vAlign w:val="center"/>
            <w:hideMark/>
          </w:tcPr>
          <w:p w:rsidRPr="00E77B24" w:rsidR="004360BC" w:rsidP="004360BC" w:rsidRDefault="004360BC" w14:paraId="04C4837B" w14:textId="78C29D1A">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p>
        </w:tc>
        <w:tc>
          <w:tcPr>
            <w:tcW w:w="1239"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01F4B292" w14:textId="03D9ED4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8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237336F3" w14:textId="0A6C5CD5">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160FCCB1" w14:textId="6DEB38D0">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772C668F" w14:textId="44C75D29">
            <w:pPr>
              <w:widowControl/>
              <w:autoSpaceDE/>
              <w:autoSpaceDN/>
              <w:adjustRightInd/>
              <w:jc w:val="center"/>
              <w:rPr>
                <w:rFonts w:ascii="Times New Roman" w:hAnsi="Times New Roman"/>
                <w:sz w:val="20"/>
                <w:szCs w:val="20"/>
              </w:rPr>
            </w:pPr>
            <w:r w:rsidRPr="006F4F45">
              <w:rPr>
                <w:rFonts w:ascii="Times New Roman" w:hAnsi="Times New Roman"/>
                <w:sz w:val="20"/>
                <w:szCs w:val="20"/>
              </w:rPr>
              <w:t>0.58</w:t>
            </w: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7D6767FE" w14:textId="54BDD6EF">
            <w:pPr>
              <w:widowControl/>
              <w:autoSpaceDE/>
              <w:autoSpaceDN/>
              <w:adjustRightInd/>
              <w:jc w:val="center"/>
              <w:rPr>
                <w:rFonts w:ascii="Times New Roman" w:hAnsi="Times New Roman"/>
                <w:sz w:val="20"/>
                <w:szCs w:val="20"/>
              </w:rPr>
            </w:pPr>
            <w:r w:rsidRPr="006F4F45">
              <w:rPr>
                <w:rFonts w:ascii="Times New Roman" w:hAnsi="Times New Roman"/>
                <w:sz w:val="20"/>
                <w:szCs w:val="20"/>
              </w:rPr>
              <w:t>473,148</w:t>
            </w: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030D78C8" w14:textId="127F2C60">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36DF4DB9" w14:textId="39AFB428">
            <w:pPr>
              <w:widowControl/>
              <w:autoSpaceDE/>
              <w:autoSpaceDN/>
              <w:adjustRightInd/>
              <w:jc w:val="center"/>
              <w:rPr>
                <w:rFonts w:ascii="Times New Roman" w:hAnsi="Times New Roman"/>
                <w:sz w:val="20"/>
                <w:szCs w:val="20"/>
              </w:rPr>
            </w:pPr>
            <w:r w:rsidRPr="006F4F45">
              <w:rPr>
                <w:rFonts w:ascii="Times New Roman" w:hAnsi="Times New Roman"/>
                <w:sz w:val="20"/>
                <w:szCs w:val="20"/>
              </w:rPr>
              <w:t>$18,698,822</w:t>
            </w:r>
          </w:p>
        </w:tc>
      </w:tr>
      <w:tr w:rsidRPr="00E77B24" w:rsidR="004360BC" w:rsidTr="004360B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60BC" w:rsidP="004360BC" w:rsidRDefault="004360BC" w14:paraId="63012E93" w14:textId="6ABCA6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color="auto" w:sz="8" w:space="0"/>
              <w:right w:val="single" w:color="auto" w:sz="8" w:space="0"/>
            </w:tcBorders>
            <w:shd w:val="clear" w:color="000000" w:fill="000000"/>
            <w:vAlign w:val="center"/>
            <w:hideMark/>
          </w:tcPr>
          <w:p w:rsidRPr="00E77B24" w:rsidR="004360BC" w:rsidP="004360BC" w:rsidRDefault="004360BC" w14:paraId="3F64B284" w14:textId="6253ED6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5214820" w14:textId="5B329A40">
            <w:pPr>
              <w:widowControl/>
              <w:autoSpaceDE/>
              <w:autoSpaceDN/>
              <w:adjustRightInd/>
              <w:jc w:val="center"/>
              <w:rPr>
                <w:rFonts w:ascii="Times New Roman" w:hAnsi="Times New Roman"/>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38D8A2C1" w14:textId="3F546C9B">
            <w:pPr>
              <w:widowControl/>
              <w:autoSpaceDE/>
              <w:autoSpaceDN/>
              <w:adjustRightInd/>
              <w:jc w:val="center"/>
              <w:rPr>
                <w:rFonts w:ascii="Times New Roman" w:hAnsi="Times New Roman"/>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69E8A99E" w14:textId="130A382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DBFF4A2" w14:textId="24D74A9B">
            <w:pPr>
              <w:widowControl/>
              <w:autoSpaceDE/>
              <w:autoSpaceDN/>
              <w:adjustRightInd/>
              <w:jc w:val="center"/>
              <w:rPr>
                <w:rFonts w:ascii="Times New Roman" w:hAnsi="Times New Roman"/>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6818A358" w14:textId="140D966C">
            <w:pPr>
              <w:widowControl/>
              <w:autoSpaceDE/>
              <w:autoSpaceDN/>
              <w:adjustRightInd/>
              <w:jc w:val="center"/>
              <w:rPr>
                <w:rFonts w:ascii="Times New Roman" w:hAnsi="Times New Roman"/>
                <w:sz w:val="20"/>
                <w:szCs w:val="20"/>
              </w:rPr>
            </w:pPr>
            <w:r w:rsidRPr="006F4F45">
              <w:rPr>
                <w:rFonts w:ascii="Times New Roman" w:hAnsi="Times New Roman"/>
                <w:sz w:val="20"/>
                <w:szCs w:val="20"/>
              </w:rPr>
              <w:t>473,148</w:t>
            </w:r>
          </w:p>
        </w:tc>
        <w:tc>
          <w:tcPr>
            <w:tcW w:w="960" w:type="dxa"/>
            <w:tcBorders>
              <w:top w:val="nil"/>
              <w:left w:val="nil"/>
              <w:bottom w:val="single" w:color="auto" w:sz="8" w:space="0"/>
              <w:right w:val="single" w:color="auto" w:sz="8" w:space="0"/>
            </w:tcBorders>
            <w:shd w:val="clear" w:color="000000" w:fill="000000"/>
            <w:vAlign w:val="center"/>
            <w:hideMark/>
          </w:tcPr>
          <w:p w:rsidRPr="006F4F45" w:rsidR="004360BC" w:rsidP="004360BC" w:rsidRDefault="004360BC" w14:paraId="143F6587" w14:textId="7255DD0B">
            <w:pPr>
              <w:widowControl/>
              <w:autoSpaceDE/>
              <w:autoSpaceDN/>
              <w:adjustRightInd/>
              <w:jc w:val="center"/>
              <w:rPr>
                <w:rFonts w:ascii="Times New Roman" w:hAnsi="Times New Roman"/>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6F4F45" w:rsidR="004360BC" w:rsidP="004360BC" w:rsidRDefault="004360BC" w14:paraId="5F269780" w14:textId="308D7932">
            <w:pPr>
              <w:widowControl/>
              <w:autoSpaceDE/>
              <w:autoSpaceDN/>
              <w:adjustRightInd/>
              <w:jc w:val="center"/>
              <w:rPr>
                <w:rFonts w:ascii="Times New Roman" w:hAnsi="Times New Roman"/>
                <w:sz w:val="20"/>
                <w:szCs w:val="20"/>
              </w:rPr>
            </w:pPr>
            <w:r w:rsidRPr="006F4F45">
              <w:rPr>
                <w:rFonts w:ascii="Times New Roman" w:hAnsi="Times New Roman"/>
                <w:sz w:val="20"/>
                <w:szCs w:val="20"/>
              </w:rPr>
              <w:t>$18,698,822</w:t>
            </w:r>
          </w:p>
        </w:tc>
      </w:tr>
    </w:tbl>
    <w:p w:rsidR="009556EE" w:rsidP="00B635A9" w:rsidRDefault="009556EE" w14:paraId="3447BB81" w14:textId="77777777">
      <w:pPr>
        <w:ind w:left="720"/>
        <w:jc w:val="both"/>
        <w:rPr>
          <w:i/>
          <w:iCs/>
          <w:sz w:val="20"/>
          <w:szCs w:val="20"/>
        </w:rPr>
      </w:pPr>
    </w:p>
    <w:p w:rsidRPr="00524E9E" w:rsidR="00B635A9" w:rsidP="00B635A9" w:rsidRDefault="00B635A9" w14:paraId="3EF108CC" w14:textId="7C93A6E7">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sidR="00847763">
        <w:rPr>
          <w:rFonts w:ascii="Times New Roman" w:hAnsi="Times New Roman"/>
          <w:i/>
          <w:iCs/>
          <w:sz w:val="20"/>
          <w:szCs w:val="20"/>
        </w:rPr>
        <w:t>All Occupation</w:t>
      </w:r>
      <w:r w:rsidR="00524E9E">
        <w:rPr>
          <w:rFonts w:ascii="Times New Roman" w:hAnsi="Times New Roman"/>
          <w:i/>
          <w:iCs/>
          <w:sz w:val="20"/>
          <w:szCs w:val="20"/>
        </w:rPr>
        <w:t>s</w:t>
      </w:r>
      <w:r w:rsidRPr="00524E9E">
        <w:rPr>
          <w:rFonts w:ascii="Times New Roman" w:hAnsi="Times New Roman"/>
          <w:i/>
          <w:iCs/>
          <w:sz w:val="20"/>
          <w:szCs w:val="20"/>
        </w:rPr>
        <w:t xml:space="preserve"> of $</w:t>
      </w:r>
      <w:r w:rsidRPr="00524E9E" w:rsidR="00F424E7">
        <w:rPr>
          <w:rFonts w:ascii="Times New Roman" w:hAnsi="Times New Roman"/>
          <w:i/>
          <w:iCs/>
          <w:sz w:val="20"/>
          <w:szCs w:val="20"/>
        </w:rPr>
        <w:t>2</w:t>
      </w:r>
      <w:r w:rsidRPr="00524E9E" w:rsidR="00C425CE">
        <w:rPr>
          <w:rFonts w:ascii="Times New Roman" w:hAnsi="Times New Roman"/>
          <w:i/>
          <w:iCs/>
          <w:sz w:val="20"/>
          <w:szCs w:val="20"/>
        </w:rPr>
        <w:t>7.07</w:t>
      </w:r>
      <w:r w:rsidRPr="00524E9E" w:rsidR="00847763">
        <w:rPr>
          <w:rFonts w:ascii="Times New Roman" w:hAnsi="Times New Roman"/>
          <w:i/>
          <w:iCs/>
          <w:sz w:val="20"/>
          <w:szCs w:val="20"/>
        </w:rPr>
        <w:t xml:space="preserve"> </w:t>
      </w:r>
      <w:r w:rsidRPr="00524E9E">
        <w:rPr>
          <w:rFonts w:ascii="Times New Roman" w:hAnsi="Times New Roman"/>
          <w:i/>
          <w:iCs/>
          <w:sz w:val="20"/>
          <w:szCs w:val="20"/>
        </w:rPr>
        <w:t>times the wage rate benefit multiplier of 1.4</w:t>
      </w:r>
      <w:r w:rsidRPr="00524E9E" w:rsidR="00F424E7">
        <w:rPr>
          <w:rFonts w:ascii="Times New Roman" w:hAnsi="Times New Roman"/>
          <w:i/>
          <w:iCs/>
          <w:sz w:val="20"/>
          <w:szCs w:val="20"/>
        </w:rPr>
        <w:t>6</w:t>
      </w:r>
      <w:r w:rsidRPr="00524E9E">
        <w:rPr>
          <w:rFonts w:ascii="Times New Roman" w:hAnsi="Times New Roman"/>
          <w:i/>
          <w:iCs/>
          <w:sz w:val="20"/>
          <w:szCs w:val="20"/>
        </w:rPr>
        <w:t xml:space="preserve"> (to account for benefits</w:t>
      </w:r>
      <w:r w:rsidRPr="00524E9E" w:rsidR="00B31EBB">
        <w:rPr>
          <w:rFonts w:ascii="Times New Roman" w:hAnsi="Times New Roman"/>
          <w:i/>
          <w:iCs/>
          <w:sz w:val="20"/>
          <w:szCs w:val="20"/>
        </w:rPr>
        <w:t xml:space="preserve"> provided</w:t>
      </w:r>
      <w:r w:rsidRPr="00524E9E">
        <w:rPr>
          <w:rFonts w:ascii="Times New Roman" w:hAnsi="Times New Roman"/>
          <w:i/>
          <w:iCs/>
          <w:sz w:val="20"/>
          <w:szCs w:val="20"/>
        </w:rPr>
        <w:t>) equaling $</w:t>
      </w:r>
      <w:r w:rsidRPr="00524E9E" w:rsidR="00F424E7">
        <w:rPr>
          <w:rFonts w:ascii="Times New Roman" w:hAnsi="Times New Roman"/>
          <w:i/>
          <w:iCs/>
          <w:sz w:val="20"/>
          <w:szCs w:val="20"/>
        </w:rPr>
        <w:t>3</w:t>
      </w:r>
      <w:r w:rsidRPr="00524E9E" w:rsidR="00C425CE">
        <w:rPr>
          <w:rFonts w:ascii="Times New Roman" w:hAnsi="Times New Roman"/>
          <w:i/>
          <w:iCs/>
          <w:sz w:val="20"/>
          <w:szCs w:val="20"/>
        </w:rPr>
        <w:t>9.52</w:t>
      </w:r>
      <w:r w:rsidRPr="00524E9E" w:rsidR="008A42B6">
        <w:rPr>
          <w:rFonts w:ascii="Times New Roman" w:hAnsi="Times New Roman"/>
          <w:i/>
          <w:iCs/>
          <w:sz w:val="20"/>
          <w:szCs w:val="20"/>
        </w:rPr>
        <w:t xml:space="preserve">. </w:t>
      </w:r>
      <w:r w:rsidRPr="00524E9E">
        <w:rPr>
          <w:rFonts w:ascii="Times New Roman" w:hAnsi="Times New Roman"/>
          <w:i/>
          <w:iCs/>
          <w:sz w:val="20"/>
          <w:szCs w:val="20"/>
        </w:rPr>
        <w:t xml:space="preserve">The selection of “All Occupations” was chosen </w:t>
      </w:r>
      <w:r w:rsidRPr="00524E9E" w:rsidR="00ED4E0C">
        <w:rPr>
          <w:rFonts w:ascii="Times New Roman" w:hAnsi="Times New Roman"/>
          <w:i/>
          <w:iCs/>
          <w:sz w:val="20"/>
          <w:szCs w:val="20"/>
        </w:rPr>
        <w:t>because</w:t>
      </w:r>
      <w:r w:rsidRPr="00524E9E">
        <w:rPr>
          <w:rFonts w:ascii="Times New Roman" w:hAnsi="Times New Roman"/>
          <w:i/>
          <w:iCs/>
          <w:sz w:val="20"/>
          <w:szCs w:val="20"/>
        </w:rPr>
        <w:t xml:space="preserve"> respondents </w:t>
      </w:r>
      <w:r w:rsidRPr="00524E9E" w:rsidR="00ED4E0C">
        <w:rPr>
          <w:rFonts w:ascii="Times New Roman" w:hAnsi="Times New Roman"/>
          <w:i/>
          <w:iCs/>
          <w:sz w:val="20"/>
          <w:szCs w:val="20"/>
        </w:rPr>
        <w:t>to</w:t>
      </w:r>
      <w:r w:rsidRPr="00524E9E">
        <w:rPr>
          <w:rFonts w:ascii="Times New Roman" w:hAnsi="Times New Roman"/>
          <w:i/>
          <w:iCs/>
          <w:sz w:val="20"/>
          <w:szCs w:val="20"/>
        </w:rPr>
        <w:t xml:space="preserve"> this collection could be exp</w:t>
      </w:r>
      <w:r w:rsidRPr="00524E9E" w:rsidR="00E15619">
        <w:rPr>
          <w:rFonts w:ascii="Times New Roman" w:hAnsi="Times New Roman"/>
          <w:i/>
          <w:iCs/>
          <w:sz w:val="20"/>
          <w:szCs w:val="20"/>
        </w:rPr>
        <w:t>ected from any occupation.</w:t>
      </w:r>
    </w:p>
    <w:bookmarkEnd w:id="0"/>
    <w:p w:rsidRPr="00524E9E"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lastRenderedPageBreak/>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524E9E" w:rsidP="00524E9E" w:rsidRDefault="00524E9E" w14:paraId="7537EF26" w14:textId="26D3032A">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For informational purposes only, the filing fee for Form I-907 </w:t>
      </w:r>
      <w:r w:rsidR="004360BC">
        <w:rPr>
          <w:rFonts w:ascii="Times New Roman" w:hAnsi="Times New Roman"/>
        </w:rPr>
        <w:t>depends on the Form type and eligibility category for which premium processing service is being requested.</w:t>
      </w:r>
    </w:p>
    <w:p w:rsidR="004360BC" w:rsidP="00524E9E" w:rsidRDefault="004360BC" w14:paraId="082D343C" w14:textId="77777777">
      <w:pPr>
        <w:tabs>
          <w:tab w:val="left" w:pos="-1440"/>
        </w:tabs>
        <w:ind w:left="720"/>
        <w:rPr>
          <w:rFonts w:ascii="Times New Roman" w:hAnsi="Times New Roman"/>
        </w:rPr>
      </w:pPr>
    </w:p>
    <w:p w:rsidRPr="004360BC" w:rsidR="00524E9E" w:rsidP="00524E9E" w:rsidRDefault="00524E9E" w14:paraId="7DDE8228" w14:textId="0B690EE0">
      <w:pPr>
        <w:tabs>
          <w:tab w:val="left" w:pos="-1440"/>
        </w:tabs>
        <w:ind w:left="720"/>
        <w:rPr>
          <w:rFonts w:ascii="Times New Roman" w:hAnsi="Times New Roman"/>
        </w:rPr>
      </w:pPr>
      <w:r>
        <w:rPr>
          <w:rFonts w:ascii="Times New Roman" w:hAnsi="Times New Roman"/>
        </w:rPr>
        <w:t xml:space="preserve">USCIS estimates that respondents will incur an estimated cost of $3.75 average postage cost to each respondent to submit the completed package to USCIS. The postage cost to mail a completed package </w:t>
      </w:r>
      <w:r w:rsidR="004360BC">
        <w:rPr>
          <w:rFonts w:ascii="Times New Roman" w:hAnsi="Times New Roman"/>
        </w:rPr>
        <w:t xml:space="preserve">is calculated as: </w:t>
      </w:r>
      <w:r>
        <w:rPr>
          <w:rFonts w:ascii="Times New Roman" w:hAnsi="Times New Roman"/>
        </w:rPr>
        <w:t>(</w:t>
      </w:r>
      <w:r w:rsidR="004360BC">
        <w:rPr>
          <w:rFonts w:ascii="Times New Roman" w:hAnsi="Times New Roman"/>
        </w:rPr>
        <w:t>815,773</w:t>
      </w:r>
      <w:r>
        <w:rPr>
          <w:rFonts w:ascii="Times New Roman" w:hAnsi="Times New Roman"/>
        </w:rPr>
        <w:t xml:space="preserve"> x $3.75 average postag</w:t>
      </w:r>
      <w:r w:rsidRPr="004360BC">
        <w:rPr>
          <w:rFonts w:ascii="Times New Roman" w:hAnsi="Times New Roman"/>
        </w:rPr>
        <w:t xml:space="preserve">e) = </w:t>
      </w:r>
      <w:r w:rsidRPr="004360BC" w:rsidR="004360BC">
        <w:rPr>
          <w:rFonts w:ascii="Times New Roman" w:hAnsi="Times New Roman"/>
        </w:rPr>
        <w:t>$3,059,149.</w:t>
      </w:r>
      <w:r w:rsidRPr="004360BC">
        <w:rPr>
          <w:rFonts w:ascii="Times New Roman" w:hAnsi="Times New Roman"/>
        </w:rPr>
        <w:t xml:space="preserve">   </w:t>
      </w:r>
    </w:p>
    <w:p w:rsidR="00524E9E" w:rsidP="00524E9E" w:rsidRDefault="00524E9E" w14:paraId="5C343463" w14:textId="77777777">
      <w:pPr>
        <w:tabs>
          <w:tab w:val="left" w:pos="-1440"/>
        </w:tabs>
        <w:ind w:left="720"/>
        <w:rPr>
          <w:rFonts w:ascii="Times New Roman" w:hAnsi="Times New Roman"/>
        </w:rPr>
      </w:pPr>
      <w:r>
        <w:rPr>
          <w:rFonts w:ascii="Times New Roman" w:hAnsi="Times New Roman"/>
        </w:rPr>
        <w:tab/>
        <w:t xml:space="preserve"> </w:t>
      </w:r>
    </w:p>
    <w:p w:rsidR="00524E9E" w:rsidP="00524E9E" w:rsidRDefault="00524E9E" w14:paraId="59CA9D8B" w14:textId="7A252115">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w:t>
      </w:r>
      <w:r>
        <w:rPr>
          <w:rFonts w:ascii="Times New Roman" w:hAnsi="Times New Roman"/>
        </w:rPr>
        <w:lastRenderedPageBreak/>
        <w:t xml:space="preserve">information collection may vary widely, from as little as $20 to $1,000 per respondent.  USCIS estimates that the average cost for these activities is $490 and that approximately 50 percent of the total respondent population may incur this cost. The estimated out of pocket cost to respondents is </w:t>
      </w:r>
      <w:r w:rsidR="004360BC">
        <w:rPr>
          <w:rFonts w:ascii="Times New Roman" w:hAnsi="Times New Roman"/>
        </w:rPr>
        <w:t>815,773</w:t>
      </w:r>
      <w:r>
        <w:rPr>
          <w:rFonts w:ascii="Times New Roman" w:hAnsi="Times New Roman"/>
        </w:rPr>
        <w:t xml:space="preserve"> respondents multiplied by 50 percent of the </w:t>
      </w:r>
      <w:r w:rsidR="004360BC">
        <w:rPr>
          <w:rFonts w:ascii="Times New Roman" w:hAnsi="Times New Roman"/>
        </w:rPr>
        <w:t xml:space="preserve">respondent </w:t>
      </w:r>
      <w:r>
        <w:rPr>
          <w:rFonts w:ascii="Times New Roman" w:hAnsi="Times New Roman"/>
        </w:rPr>
        <w:t xml:space="preserve">population multiplied by the average cost per response of $490, which equals </w:t>
      </w:r>
      <w:r w:rsidRPr="004360BC" w:rsidR="004360BC">
        <w:rPr>
          <w:rFonts w:ascii="Times New Roman" w:hAnsi="Times New Roman"/>
        </w:rPr>
        <w:t>$199,864,385</w:t>
      </w:r>
      <w:r>
        <w:rPr>
          <w:rFonts w:ascii="Times New Roman" w:hAnsi="Times New Roman"/>
        </w:rPr>
        <w:t>.</w:t>
      </w:r>
    </w:p>
    <w:p w:rsidR="00524E9E" w:rsidP="00524E9E" w:rsidRDefault="00524E9E" w14:paraId="4D0AC6B2" w14:textId="77777777">
      <w:pPr>
        <w:tabs>
          <w:tab w:val="left" w:pos="-1440"/>
        </w:tabs>
        <w:ind w:left="720"/>
        <w:rPr>
          <w:rFonts w:ascii="Times New Roman" w:hAnsi="Times New Roman"/>
        </w:rPr>
      </w:pPr>
    </w:p>
    <w:p w:rsidRPr="004360BC" w:rsidR="00524E9E" w:rsidP="00524E9E" w:rsidRDefault="00524E9E" w14:paraId="31757567" w14:textId="78656B15">
      <w:pPr>
        <w:tabs>
          <w:tab w:val="left" w:pos="-1440"/>
        </w:tabs>
        <w:ind w:left="720"/>
        <w:rPr>
          <w:rFonts w:ascii="Times New Roman" w:hAnsi="Times New Roman"/>
        </w:rPr>
      </w:pPr>
      <w:r>
        <w:rPr>
          <w:rFonts w:ascii="Times New Roman" w:hAnsi="Times New Roman"/>
        </w:rPr>
        <w:t>The total cost to the respondent</w:t>
      </w:r>
      <w:r w:rsidR="004360BC">
        <w:rPr>
          <w:rFonts w:ascii="Times New Roman" w:hAnsi="Times New Roman"/>
        </w:rPr>
        <w:t xml:space="preserve"> population</w:t>
      </w:r>
      <w:r>
        <w:rPr>
          <w:rFonts w:ascii="Times New Roman" w:hAnsi="Times New Roman"/>
        </w:rPr>
        <w:t xml:space="preserve"> is the postage cost (</w:t>
      </w:r>
      <w:r w:rsidRPr="004360BC" w:rsidR="004360BC">
        <w:rPr>
          <w:rFonts w:ascii="Times New Roman" w:hAnsi="Times New Roman"/>
        </w:rPr>
        <w:t>$3,059,149</w:t>
      </w:r>
      <w:r>
        <w:rPr>
          <w:rFonts w:ascii="Times New Roman" w:hAnsi="Times New Roman"/>
        </w:rPr>
        <w:t xml:space="preserve">) </w:t>
      </w:r>
      <w:r w:rsidR="004360BC">
        <w:rPr>
          <w:rFonts w:ascii="Times New Roman" w:hAnsi="Times New Roman"/>
        </w:rPr>
        <w:t xml:space="preserve">added to </w:t>
      </w:r>
      <w:r>
        <w:rPr>
          <w:rFonts w:ascii="Times New Roman" w:hAnsi="Times New Roman"/>
        </w:rPr>
        <w:t>the other out-of-pocket costs (</w:t>
      </w:r>
      <w:r w:rsidRPr="004360BC" w:rsidR="004360BC">
        <w:rPr>
          <w:rFonts w:ascii="Times New Roman" w:hAnsi="Times New Roman"/>
        </w:rPr>
        <w:t>$199,864,385</w:t>
      </w:r>
      <w:r>
        <w:rPr>
          <w:rFonts w:ascii="Times New Roman" w:hAnsi="Times New Roman"/>
        </w:rPr>
        <w:t>)</w:t>
      </w:r>
      <w:r w:rsidR="004360BC">
        <w:rPr>
          <w:rFonts w:ascii="Times New Roman" w:hAnsi="Times New Roman"/>
        </w:rPr>
        <w:t>, which equals</w:t>
      </w:r>
      <w:r>
        <w:rPr>
          <w:rFonts w:ascii="Times New Roman" w:hAnsi="Times New Roman"/>
        </w:rPr>
        <w:t xml:space="preserve"> </w:t>
      </w:r>
      <w:r w:rsidRPr="004360BC" w:rsidR="004360BC">
        <w:rPr>
          <w:rFonts w:ascii="Times New Roman" w:hAnsi="Times New Roman"/>
          <w:b/>
        </w:rPr>
        <w:t>$202,923,534</w:t>
      </w:r>
      <w:r>
        <w:rPr>
          <w:rFonts w:ascii="Times New Roman" w:hAnsi="Times New Roman"/>
        </w:rPr>
        <w:t>.</w:t>
      </w:r>
      <w:r w:rsidR="004360BC">
        <w:rPr>
          <w:rFonts w:ascii="Times New Roman" w:hAnsi="Times New Roman"/>
        </w:rPr>
        <w:t xml:space="preserve"> The average cost per respondent is $249.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24E9E" w:rsidP="00524E9E" w:rsidRDefault="00524E9E" w14:paraId="7535C93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524E9E" w:rsidP="00524E9E" w:rsidRDefault="00524E9E" w14:paraId="2B75CEC7" w14:textId="77777777">
      <w:pPr>
        <w:tabs>
          <w:tab w:val="left" w:pos="-1440"/>
        </w:tabs>
        <w:ind w:left="720"/>
        <w:rPr>
          <w:rFonts w:ascii="Times New Roman" w:hAnsi="Times New Roman"/>
        </w:rPr>
      </w:pPr>
    </w:p>
    <w:p w:rsidR="001E6948" w:rsidP="00524E9E" w:rsidRDefault="00524E9E" w14:paraId="77CE3579" w14:textId="0B72422A">
      <w:pPr>
        <w:tabs>
          <w:tab w:val="left" w:pos="-1440"/>
        </w:tabs>
        <w:ind w:left="720"/>
        <w:rPr>
          <w:rFonts w:ascii="Times New Roman" w:hAnsi="Times New Roman"/>
        </w:rPr>
      </w:pPr>
      <w:r>
        <w:rPr>
          <w:rFonts w:ascii="Times New Roman" w:hAnsi="Times New Roman"/>
        </w:rPr>
        <w:t xml:space="preserve">The estimated cost of the program to the Government is calculated by </w:t>
      </w:r>
      <w:r w:rsidR="001E6948">
        <w:rPr>
          <w:rFonts w:ascii="Times New Roman" w:hAnsi="Times New Roman"/>
        </w:rPr>
        <w:t xml:space="preserve">multiplying the </w:t>
      </w:r>
      <w:r>
        <w:rPr>
          <w:rFonts w:ascii="Times New Roman" w:hAnsi="Times New Roman"/>
        </w:rPr>
        <w:t>estimated number of respondents</w:t>
      </w:r>
      <w:r w:rsidR="001E6948">
        <w:rPr>
          <w:rFonts w:ascii="Times New Roman" w:hAnsi="Times New Roman"/>
        </w:rPr>
        <w:t xml:space="preserve"> by the filing fee. The filing fee for Form I-907 varies depending on the Form type and, in some cases, on the eligibility category for which premium processing is being requested. The total cost to the Federal government is </w:t>
      </w:r>
      <w:r w:rsidRPr="001E6948" w:rsidR="001E6948">
        <w:rPr>
          <w:rFonts w:ascii="Times New Roman" w:hAnsi="Times New Roman"/>
          <w:b/>
          <w:bCs/>
          <w:color w:val="000000"/>
        </w:rPr>
        <w:t>$1,635,840,250</w:t>
      </w:r>
      <w:r w:rsidR="001E6948">
        <w:rPr>
          <w:rFonts w:ascii="Times New Roman" w:hAnsi="Times New Roman"/>
          <w:color w:val="000000"/>
        </w:rPr>
        <w:t>, as detailed in the following table:</w:t>
      </w:r>
    </w:p>
    <w:p w:rsidR="001E6948" w:rsidP="00524E9E" w:rsidRDefault="001E6948" w14:paraId="58EF507B" w14:textId="77777777">
      <w:pPr>
        <w:tabs>
          <w:tab w:val="left" w:pos="-1440"/>
        </w:tabs>
        <w:ind w:left="720"/>
        <w:rPr>
          <w:rFonts w:ascii="Times New Roman" w:hAnsi="Times New Roman"/>
        </w:rPr>
      </w:pPr>
    </w:p>
    <w:tbl>
      <w:tblPr>
        <w:tblW w:w="7980" w:type="dxa"/>
        <w:tblInd w:w="692" w:type="dxa"/>
        <w:tblLook w:val="04A0" w:firstRow="1" w:lastRow="0" w:firstColumn="1" w:lastColumn="0" w:noHBand="0" w:noVBand="1"/>
      </w:tblPr>
      <w:tblGrid>
        <w:gridCol w:w="2220"/>
        <w:gridCol w:w="1680"/>
        <w:gridCol w:w="1960"/>
        <w:gridCol w:w="2120"/>
      </w:tblGrid>
      <w:tr w:rsidRPr="001E6948" w:rsidR="001E6948" w:rsidTr="001E6948" w14:paraId="0812809C" w14:textId="77777777">
        <w:trPr>
          <w:trHeight w:val="563"/>
        </w:trPr>
        <w:tc>
          <w:tcPr>
            <w:tcW w:w="22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1E6948" w:rsidP="001E6948" w:rsidRDefault="001E6948" w14:paraId="0D18DE3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Pr="001E6948" w:rsidR="001E6948" w:rsidP="001E6948" w:rsidRDefault="001E6948" w14:paraId="7335CA1E" w14:textId="767F4F79">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7197C706"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66BB2132" w14:textId="2BF17E79">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E6948" w:rsidR="001E6948" w:rsidP="001E6948" w:rsidRDefault="001E6948" w14:paraId="68FB344E" w14:textId="1A8BC45B">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rsidRPr="001E6948" w:rsidR="001E6948" w:rsidTr="001E6948" w14:paraId="4E78E082"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48DCA635" w14:textId="488B126F">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53E1084F" w14:textId="1A4F026B">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7B089C5B" w14:textId="641C9165">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12F4BB9" w14:textId="3702B751">
            <w:pPr>
              <w:widowControl/>
              <w:autoSpaceDE/>
              <w:autoSpaceDN/>
              <w:adjustRightInd/>
              <w:jc w:val="right"/>
              <w:rPr>
                <w:rFonts w:ascii="Times New Roman" w:hAnsi="Times New Roman"/>
                <w:color w:val="000000"/>
              </w:rPr>
            </w:pPr>
            <w:r w:rsidRPr="001E6948">
              <w:rPr>
                <w:rFonts w:ascii="Times New Roman" w:hAnsi="Times New Roman"/>
                <w:color w:val="000000"/>
              </w:rPr>
              <w:t>$14,302,500</w:t>
            </w:r>
          </w:p>
        </w:tc>
      </w:tr>
      <w:tr w:rsidRPr="001E6948" w:rsidR="001E6948" w:rsidTr="001E6948" w14:paraId="35305968"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4961BD8B" w14:textId="7E3F804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5B16905" w14:textId="65292C89">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4216BCDB" w14:textId="779E70A3">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7D5807CE" w14:textId="14541A7F">
            <w:pPr>
              <w:widowControl/>
              <w:autoSpaceDE/>
              <w:autoSpaceDN/>
              <w:adjustRightInd/>
              <w:jc w:val="right"/>
              <w:rPr>
                <w:rFonts w:ascii="Times New Roman" w:hAnsi="Times New Roman"/>
                <w:color w:val="000000"/>
              </w:rPr>
            </w:pPr>
            <w:r w:rsidRPr="001E6948">
              <w:rPr>
                <w:rFonts w:ascii="Times New Roman" w:hAnsi="Times New Roman"/>
                <w:color w:val="000000"/>
              </w:rPr>
              <w:t>$694,672,500</w:t>
            </w:r>
          </w:p>
        </w:tc>
      </w:tr>
      <w:tr w:rsidRPr="001E6948" w:rsidR="001E6948" w:rsidTr="001E6948" w14:paraId="0550485A"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373062AD" w14:textId="277F967F">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56465E37" w14:textId="64BD5110">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49935E0" w14:textId="4DDBC53A">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4B4C0AB" w14:textId="032A29ED">
            <w:pPr>
              <w:widowControl/>
              <w:autoSpaceDE/>
              <w:autoSpaceDN/>
              <w:adjustRightInd/>
              <w:jc w:val="right"/>
              <w:rPr>
                <w:rFonts w:ascii="Times New Roman" w:hAnsi="Times New Roman"/>
                <w:color w:val="000000"/>
              </w:rPr>
            </w:pPr>
            <w:r w:rsidRPr="001E6948">
              <w:rPr>
                <w:rFonts w:ascii="Times New Roman" w:hAnsi="Times New Roman"/>
                <w:color w:val="000000"/>
              </w:rPr>
              <w:t>$289,882,500</w:t>
            </w:r>
          </w:p>
        </w:tc>
      </w:tr>
      <w:tr w:rsidRPr="001E6948" w:rsidR="001E6948" w:rsidTr="001E6948" w14:paraId="7B2A2939"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0E49AF13" w14:textId="1A50E341">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3BCE2932" w14:textId="2C2AF38E">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6F0F2CF7" w14:textId="06CE583F">
            <w:pPr>
              <w:widowControl/>
              <w:autoSpaceDE/>
              <w:autoSpaceDN/>
              <w:adjustRightInd/>
              <w:jc w:val="right"/>
              <w:rPr>
                <w:rFonts w:ascii="Times New Roman" w:hAnsi="Times New Roman"/>
                <w:color w:val="000000"/>
              </w:rPr>
            </w:pPr>
            <w:r w:rsidRPr="001E6948">
              <w:rPr>
                <w:rFonts w:ascii="Times New Roman" w:hAnsi="Times New Roman"/>
                <w:color w:val="000000"/>
              </w:rPr>
              <w:t>$1,750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22B7AB0F" w14:textId="351C0B34">
            <w:pPr>
              <w:widowControl/>
              <w:autoSpaceDE/>
              <w:autoSpaceDN/>
              <w:adjustRightInd/>
              <w:jc w:val="right"/>
              <w:rPr>
                <w:rFonts w:ascii="Times New Roman" w:hAnsi="Times New Roman"/>
                <w:color w:val="000000"/>
              </w:rPr>
            </w:pPr>
            <w:r w:rsidRPr="001E6948">
              <w:rPr>
                <w:rFonts w:ascii="Times New Roman" w:hAnsi="Times New Roman"/>
                <w:color w:val="000000"/>
              </w:rPr>
              <w:t>$128,511,250</w:t>
            </w:r>
          </w:p>
        </w:tc>
      </w:tr>
      <w:tr w:rsidRPr="001E6948" w:rsidR="001E6948" w:rsidTr="001E6948" w14:paraId="1A76AD74" w14:textId="77777777">
        <w:trPr>
          <w:trHeight w:val="310"/>
        </w:trPr>
        <w:tc>
          <w:tcPr>
            <w:tcW w:w="2220" w:type="dxa"/>
            <w:tcBorders>
              <w:top w:val="nil"/>
              <w:left w:val="single" w:color="auto" w:sz="4" w:space="0"/>
              <w:bottom w:val="single" w:color="auto" w:sz="4" w:space="0"/>
              <w:right w:val="single" w:color="auto" w:sz="4" w:space="0"/>
            </w:tcBorders>
            <w:shd w:val="clear" w:color="auto" w:fill="auto"/>
            <w:noWrap/>
            <w:vAlign w:val="bottom"/>
          </w:tcPr>
          <w:p w:rsidRPr="001E6948" w:rsidR="001E6948" w:rsidP="001E6948" w:rsidRDefault="001E6948" w14:paraId="1B7C7A8D" w14:textId="0FE6AB13">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11763D08" w14:textId="1F3DC1EF">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00100C2A" w14:textId="1F45B2FC">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color="auto" w:sz="4" w:space="0"/>
              <w:right w:val="single" w:color="auto" w:sz="4" w:space="0"/>
            </w:tcBorders>
            <w:shd w:val="clear" w:color="auto" w:fill="auto"/>
            <w:noWrap/>
            <w:vAlign w:val="bottom"/>
          </w:tcPr>
          <w:p w:rsidRPr="001E6948" w:rsidR="001E6948" w:rsidP="001E6948" w:rsidRDefault="001E6948" w14:paraId="1C163186" w14:textId="4FF03A1F">
            <w:pPr>
              <w:widowControl/>
              <w:autoSpaceDE/>
              <w:autoSpaceDN/>
              <w:adjustRightInd/>
              <w:jc w:val="right"/>
              <w:rPr>
                <w:rFonts w:ascii="Times New Roman" w:hAnsi="Times New Roman"/>
                <w:color w:val="000000"/>
              </w:rPr>
            </w:pPr>
            <w:r w:rsidRPr="001E6948">
              <w:rPr>
                <w:rFonts w:ascii="Times New Roman" w:hAnsi="Times New Roman"/>
                <w:color w:val="000000"/>
              </w:rPr>
              <w:t>$508,471,500</w:t>
            </w:r>
          </w:p>
        </w:tc>
      </w:tr>
      <w:tr w:rsidRPr="001E6948" w:rsidR="001E6948" w:rsidTr="00EB5571" w14:paraId="0B4EF620" w14:textId="77777777">
        <w:trPr>
          <w:trHeight w:val="310"/>
        </w:trPr>
        <w:tc>
          <w:tcPr>
            <w:tcW w:w="2220" w:type="dxa"/>
            <w:tcBorders>
              <w:top w:val="single" w:color="auto" w:sz="12" w:space="0"/>
              <w:left w:val="single" w:color="auto" w:sz="4" w:space="0"/>
              <w:bottom w:val="single" w:color="auto" w:sz="4" w:space="0"/>
              <w:right w:val="single" w:color="auto" w:sz="4" w:space="0"/>
            </w:tcBorders>
            <w:shd w:val="clear" w:color="auto" w:fill="auto"/>
            <w:noWrap/>
            <w:vAlign w:val="bottom"/>
            <w:hideMark/>
          </w:tcPr>
          <w:p w:rsidRPr="001E6948" w:rsidR="001E6948" w:rsidP="001E6948" w:rsidRDefault="001E6948" w14:paraId="55E8FF40" w14:textId="715E79F4">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6695185C" w14:textId="507984A5">
            <w:pPr>
              <w:widowControl/>
              <w:autoSpaceDE/>
              <w:autoSpaceDN/>
              <w:adjustRightInd/>
              <w:jc w:val="right"/>
              <w:rPr>
                <w:rFonts w:ascii="Times New Roman" w:hAnsi="Times New Roman"/>
                <w:color w:val="000000"/>
              </w:rPr>
            </w:pPr>
          </w:p>
        </w:tc>
        <w:tc>
          <w:tcPr>
            <w:tcW w:w="196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00D460A9" w14:textId="60E28348">
            <w:pPr>
              <w:widowControl/>
              <w:autoSpaceDE/>
              <w:autoSpaceDN/>
              <w:adjustRightInd/>
              <w:jc w:val="right"/>
              <w:rPr>
                <w:rFonts w:ascii="Times New Roman" w:hAnsi="Times New Roman"/>
                <w:color w:val="000000"/>
              </w:rPr>
            </w:pPr>
          </w:p>
        </w:tc>
        <w:tc>
          <w:tcPr>
            <w:tcW w:w="2120" w:type="dxa"/>
            <w:tcBorders>
              <w:top w:val="single" w:color="auto" w:sz="12" w:space="0"/>
              <w:left w:val="nil"/>
              <w:bottom w:val="single" w:color="auto" w:sz="4" w:space="0"/>
              <w:right w:val="single" w:color="auto" w:sz="4" w:space="0"/>
            </w:tcBorders>
            <w:shd w:val="clear" w:color="auto" w:fill="auto"/>
            <w:noWrap/>
            <w:vAlign w:val="bottom"/>
            <w:hideMark/>
          </w:tcPr>
          <w:p w:rsidRPr="001E6948" w:rsidR="001E6948" w:rsidP="001E6948" w:rsidRDefault="001E6948" w14:paraId="2DBB739C" w14:textId="03A6FF78">
            <w:pPr>
              <w:widowControl/>
              <w:autoSpaceDE/>
              <w:autoSpaceDN/>
              <w:adjustRightInd/>
              <w:jc w:val="right"/>
              <w:rPr>
                <w:rFonts w:ascii="Times New Roman" w:hAnsi="Times New Roman"/>
                <w:b/>
                <w:bCs/>
                <w:color w:val="000000"/>
              </w:rPr>
            </w:pPr>
            <w:r w:rsidRPr="001E6948">
              <w:rPr>
                <w:rFonts w:ascii="Times New Roman" w:hAnsi="Times New Roman"/>
                <w:b/>
                <w:bCs/>
                <w:color w:val="000000"/>
              </w:rPr>
              <w:t>$1,635,840,250</w:t>
            </w:r>
          </w:p>
        </w:tc>
      </w:tr>
    </w:tbl>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C6F0F" w:rsidP="00EA0A73" w:rsidRDefault="00DC6F0F" w14:paraId="1CF6C466" w14:textId="77777777">
      <w:pPr>
        <w:tabs>
          <w:tab w:val="left" w:pos="-1440"/>
        </w:tabs>
        <w:rPr>
          <w:rFonts w:ascii="Times New Roman" w:hAnsi="Times New Roman"/>
        </w:rPr>
      </w:pPr>
      <w:bookmarkStart w:name="_Hlk89956302" w:id="1"/>
    </w:p>
    <w:p w:rsidR="00EA0A73" w:rsidP="00EA0A73" w:rsidRDefault="00DC6F0F" w14:paraId="6F75177F" w14:textId="60C0EC02">
      <w:pPr>
        <w:tabs>
          <w:tab w:val="left" w:pos="-1440"/>
        </w:tabs>
        <w:ind w:left="720"/>
        <w:rPr>
          <w:rFonts w:ascii="Times New Roman" w:hAnsi="Times New Roman"/>
        </w:rPr>
      </w:pPr>
      <w:bookmarkStart w:name="_Hlk105055704" w:id="2"/>
      <w:r w:rsidRPr="00DC6F0F">
        <w:rPr>
          <w:rFonts w:ascii="Times New Roman" w:hAnsi="Times New Roman"/>
        </w:rPr>
        <w:t xml:space="preserve">This </w:t>
      </w:r>
      <w:r w:rsidR="001D6CE7">
        <w:rPr>
          <w:rFonts w:ascii="Times New Roman" w:hAnsi="Times New Roman"/>
        </w:rPr>
        <w:t>revision</w:t>
      </w:r>
      <w:r w:rsidRPr="00DC6F0F">
        <w:rPr>
          <w:rFonts w:ascii="Times New Roman" w:hAnsi="Times New Roman"/>
        </w:rPr>
        <w:t xml:space="preserve"> action</w:t>
      </w:r>
      <w:r w:rsidR="005260A7">
        <w:rPr>
          <w:rFonts w:ascii="Times New Roman" w:hAnsi="Times New Roman"/>
        </w:rPr>
        <w:t xml:space="preserve"> is</w:t>
      </w:r>
      <w:r w:rsidR="00EA0A73">
        <w:rPr>
          <w:rFonts w:ascii="Times New Roman" w:hAnsi="Times New Roman"/>
        </w:rPr>
        <w:t xml:space="preserve"> being submitted in </w:t>
      </w:r>
      <w:r w:rsidRPr="00DC6F0F">
        <w:rPr>
          <w:rFonts w:ascii="Times New Roman" w:hAnsi="Times New Roman"/>
        </w:rPr>
        <w:t>connection with the Implementation of the Emergency Stopgap USCIS Stabilization Act (RIN 1615-AC73) Final Rule</w:t>
      </w:r>
      <w:r w:rsidR="00EA0A73">
        <w:rPr>
          <w:rFonts w:ascii="Times New Roman" w:hAnsi="Times New Roman"/>
        </w:rPr>
        <w:t xml:space="preserve">, </w:t>
      </w:r>
      <w:proofErr w:type="gramStart"/>
      <w:r w:rsidR="00EA0A73">
        <w:rPr>
          <w:rFonts w:ascii="Times New Roman" w:hAnsi="Times New Roman"/>
        </w:rPr>
        <w:t>which</w:t>
      </w:r>
      <w:proofErr w:type="gramEnd"/>
      <w:r w:rsidR="00EA0A73">
        <w:rPr>
          <w:rFonts w:ascii="Times New Roman" w:hAnsi="Times New Roman"/>
        </w:rPr>
        <w:t xml:space="preserve"> published in the Federal Register on March 30, 2022, at 87 FR </w:t>
      </w:r>
      <w:r w:rsidRPr="006A0405" w:rsidR="00EA0A73">
        <w:rPr>
          <w:rFonts w:ascii="Times New Roman" w:hAnsi="Times New Roman"/>
        </w:rPr>
        <w:t>18227</w:t>
      </w:r>
      <w:bookmarkEnd w:id="2"/>
      <w:r w:rsidR="00EA0A73">
        <w:rPr>
          <w:rFonts w:ascii="Times New Roman" w:hAnsi="Times New Roman"/>
        </w:rPr>
        <w:t xml:space="preserve">. This rule </w:t>
      </w:r>
      <w:r w:rsidR="005260A7">
        <w:rPr>
          <w:rFonts w:ascii="Times New Roman" w:hAnsi="Times New Roman"/>
        </w:rPr>
        <w:t xml:space="preserve">increased the eligible immigration benefit requests eligible for premium processing by </w:t>
      </w:r>
      <w:r w:rsidR="00EA0A73">
        <w:rPr>
          <w:rFonts w:ascii="Times New Roman" w:hAnsi="Times New Roman"/>
        </w:rPr>
        <w:t>designat</w:t>
      </w:r>
      <w:r w:rsidR="005260A7">
        <w:rPr>
          <w:rFonts w:ascii="Times New Roman" w:hAnsi="Times New Roman"/>
        </w:rPr>
        <w:t>ing</w:t>
      </w:r>
      <w:r w:rsidR="00EA0A73">
        <w:rPr>
          <w:rFonts w:ascii="Times New Roman" w:hAnsi="Times New Roman"/>
        </w:rPr>
        <w:t xml:space="preserve"> Form I-539 and Form I-765 for premium processing service, which resulted in an increase in the estimated respondent population for Form I-907. When USCIS makes Form I-539 and Form I-765 available for premium processing service, those applicants will make their requests using Form I-907.</w:t>
      </w:r>
    </w:p>
    <w:p w:rsidR="00EA0A73" w:rsidP="00EA0A73" w:rsidRDefault="00EA0A73" w14:paraId="7A135254" w14:textId="77777777">
      <w:pPr>
        <w:tabs>
          <w:tab w:val="left" w:pos="-1440"/>
        </w:tabs>
        <w:ind w:left="720"/>
        <w:rPr>
          <w:rFonts w:ascii="Times New Roman" w:hAnsi="Times New Roman"/>
        </w:rPr>
      </w:pPr>
    </w:p>
    <w:p w:rsidR="00EA0A73" w:rsidP="00EA0A73" w:rsidRDefault="00EA0A73" w14:paraId="524A4FA2" w14:textId="6030B915">
      <w:pPr>
        <w:tabs>
          <w:tab w:val="left" w:pos="-1440"/>
        </w:tabs>
        <w:ind w:left="720"/>
        <w:rPr>
          <w:rFonts w:ascii="Times New Roman" w:hAnsi="Times New Roman"/>
        </w:rPr>
      </w:pPr>
      <w:r>
        <w:rPr>
          <w:rFonts w:ascii="Times New Roman" w:hAnsi="Times New Roman"/>
        </w:rPr>
        <w:t xml:space="preserve">USCIS made changes to the Form I-907 Instructions to reflect the designation of additional </w:t>
      </w:r>
      <w:r w:rsidR="005260A7">
        <w:rPr>
          <w:rFonts w:ascii="Times New Roman" w:hAnsi="Times New Roman"/>
        </w:rPr>
        <w:t xml:space="preserve">immigration benefit requests </w:t>
      </w:r>
      <w:r>
        <w:rPr>
          <w:rFonts w:ascii="Times New Roman" w:hAnsi="Times New Roman"/>
        </w:rPr>
        <w:t>eligible for premium processing service, provide clear information about actions USCIS may take when a request is filed, and lay out the new processing times and fees. The full scope of edits is available in the Table of Changes document</w:t>
      </w:r>
      <w:r w:rsidR="009813C2">
        <w:rPr>
          <w:rFonts w:ascii="Times New Roman" w:hAnsi="Times New Roman"/>
        </w:rPr>
        <w:t>s</w:t>
      </w:r>
      <w:r>
        <w:rPr>
          <w:rFonts w:ascii="Times New Roman" w:hAnsi="Times New Roman"/>
        </w:rPr>
        <w:t xml:space="preserve"> submitted with this information collection request.</w:t>
      </w:r>
    </w:p>
    <w:bookmarkEnd w:id="1"/>
    <w:p w:rsidRPr="00914A5D" w:rsidR="006F091A" w:rsidP="00EA0A73" w:rsidRDefault="006F091A" w14:paraId="1E538794" w14:textId="77777777">
      <w:pPr>
        <w:tabs>
          <w:tab w:val="left" w:pos="-144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765B0" w:rsidTr="009B464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04D276B2" w14:textId="67F2F8DF">
            <w:pPr>
              <w:widowControl/>
              <w:autoSpaceDE/>
              <w:autoSpaceDN/>
              <w:adjustRightInd/>
              <w:jc w:val="center"/>
              <w:rPr>
                <w:rFonts w:ascii="Times New Roman" w:hAnsi="Times New Roman"/>
                <w:color w:val="000000"/>
              </w:rPr>
            </w:pPr>
            <w:r w:rsidRPr="00A765B0">
              <w:rPr>
                <w:rFonts w:ascii="Times New Roman" w:hAnsi="Times New Roman"/>
                <w:color w:val="000000"/>
              </w:rPr>
              <w:t>I-907</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920505A" w14:textId="6072430C">
            <w:pPr>
              <w:widowControl/>
              <w:autoSpaceDE/>
              <w:autoSpaceDN/>
              <w:adjustRightInd/>
              <w:jc w:val="center"/>
              <w:rPr>
                <w:rFonts w:ascii="Times New Roman" w:hAnsi="Times New Roman"/>
                <w:color w:val="000000"/>
              </w:rPr>
            </w:pPr>
            <w:r w:rsidRPr="00A765B0">
              <w:rPr>
                <w:rFonts w:ascii="Times New Roman" w:hAnsi="Times New Roman"/>
                <w:color w:val="000000"/>
              </w:rPr>
              <w:t>185,195</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07B73D54" w14:textId="2F1E54DB">
            <w:pPr>
              <w:widowControl/>
              <w:autoSpaceDE/>
              <w:autoSpaceDN/>
              <w:adjustRightInd/>
              <w:jc w:val="center"/>
              <w:rPr>
                <w:rFonts w:ascii="Times New Roman" w:hAnsi="Times New Roman"/>
                <w:color w:val="000000"/>
              </w:rPr>
            </w:pPr>
            <w:r w:rsidRPr="00A765B0">
              <w:rPr>
                <w:rFonts w:ascii="Times New Roman" w:hAnsi="Times New Roman"/>
                <w:color w:val="000000"/>
              </w:rPr>
              <w:t>473,148</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BB86E93" w14:textId="4D6E15D1">
            <w:pPr>
              <w:widowControl/>
              <w:autoSpaceDE/>
              <w:autoSpaceDN/>
              <w:adjustRightInd/>
              <w:jc w:val="center"/>
              <w:rPr>
                <w:rFonts w:ascii="Times New Roman" w:hAnsi="Times New Roman"/>
                <w:color w:val="000000"/>
              </w:rPr>
            </w:pPr>
            <w:r w:rsidRPr="00A765B0">
              <w:rPr>
                <w:rFonts w:ascii="Times New Roman" w:hAnsi="Times New Roman"/>
                <w:color w:val="000000"/>
              </w:rPr>
              <w:t>287,954</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67616E99" w14:textId="77777777">
            <w:pPr>
              <w:widowControl/>
              <w:autoSpaceDE/>
              <w:autoSpaceDN/>
              <w:adjustRightInd/>
              <w:jc w:val="center"/>
              <w:rPr>
                <w:rFonts w:ascii="Times New Roman" w:hAnsi="Times New Roman"/>
                <w:color w:val="000000"/>
              </w:rPr>
            </w:pPr>
          </w:p>
        </w:tc>
      </w:tr>
      <w:tr w:rsidRPr="00920D27" w:rsidR="00A765B0" w:rsidTr="009B464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11E51958" w14:textId="4630B9BC">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D0A10F3" w14:textId="2C37B970">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185,195</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2638F4CC" w14:textId="3D8B249D">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473,148</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72140AA0" w14:textId="421A2DD8">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287,954</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A765B0" w:rsidR="001A595D" w:rsidP="00914A5D" w:rsidRDefault="00A765B0" w14:paraId="420EC6B5" w14:textId="28F3CAA2">
      <w:pPr>
        <w:tabs>
          <w:tab w:val="left" w:pos="-1440"/>
        </w:tabs>
        <w:ind w:left="720"/>
        <w:rPr>
          <w:rFonts w:ascii="Times New Roman" w:hAnsi="Times New Roman"/>
        </w:rPr>
      </w:pPr>
      <w:r>
        <w:rPr>
          <w:rFonts w:ascii="Times New Roman" w:hAnsi="Times New Roman"/>
        </w:rPr>
        <w:t>USCIS is reporting an increase in the estimated annual hour burden to respondents for this collection of information as a program change. The rule increases the estimated number of respondents for Form I-907</w:t>
      </w:r>
      <w:r w:rsidR="00096B94">
        <w:rPr>
          <w:rFonts w:ascii="Times New Roman" w:hAnsi="Times New Roman"/>
        </w:rPr>
        <w:t>, which results in an increase in the estimated annual hour burden. There is no change to the</w:t>
      </w:r>
      <w:r w:rsidRPr="00096B94" w:rsidR="00096B94">
        <w:rPr>
          <w:rFonts w:ascii="Times New Roman" w:hAnsi="Times New Roman"/>
        </w:rPr>
        <w:t xml:space="preserve"> </w:t>
      </w:r>
      <w:r w:rsidR="00096B94">
        <w:rPr>
          <w:rFonts w:ascii="Times New Roman" w:hAnsi="Times New Roman"/>
        </w:rPr>
        <w:t>estimated hour burden</w:t>
      </w:r>
      <w:r w:rsidRPr="00096B94" w:rsidR="00096B94">
        <w:rPr>
          <w:rFonts w:ascii="Times New Roman" w:hAnsi="Times New Roman"/>
        </w:rPr>
        <w:t xml:space="preserve"> </w:t>
      </w:r>
      <w:r w:rsidR="00096B94">
        <w:rPr>
          <w:rFonts w:ascii="Times New Roman" w:hAnsi="Times New Roman"/>
        </w:rPr>
        <w:t>per response.</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416"/>
        <w:gridCol w:w="1536"/>
        <w:gridCol w:w="1536"/>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w:t>
            </w:r>
            <w:proofErr w:type="gramStart"/>
            <w:r>
              <w:rPr>
                <w:rFonts w:ascii="Times New Roman" w:hAnsi="Times New Roman"/>
                <w:b/>
                <w:bCs/>
                <w:color w:val="000000"/>
              </w:rPr>
              <w:t>in</w:t>
            </w:r>
            <w:proofErr w:type="gramEnd"/>
            <w:r>
              <w:rPr>
                <w:rFonts w:ascii="Times New Roman" w:hAnsi="Times New Roman"/>
                <w:b/>
                <w:bCs/>
                <w:color w:val="000000"/>
              </w:rPr>
              <w:t xml:space="preserve">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765B0" w:rsidTr="004646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3AADA981" w14:textId="660A4B7F">
            <w:pPr>
              <w:widowControl/>
              <w:autoSpaceDE/>
              <w:autoSpaceDN/>
              <w:adjustRightInd/>
              <w:jc w:val="center"/>
              <w:rPr>
                <w:rFonts w:ascii="Times New Roman" w:hAnsi="Times New Roman"/>
                <w:color w:val="000000"/>
              </w:rPr>
            </w:pPr>
            <w:r w:rsidRPr="00A765B0">
              <w:rPr>
                <w:rFonts w:ascii="Times New Roman" w:hAnsi="Times New Roman"/>
                <w:color w:val="000000"/>
              </w:rPr>
              <w:t>I-907</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334C92E1" w14:textId="5E50409A">
            <w:pPr>
              <w:widowControl/>
              <w:autoSpaceDE/>
              <w:autoSpaceDN/>
              <w:adjustRightInd/>
              <w:jc w:val="center"/>
              <w:rPr>
                <w:rFonts w:ascii="Times New Roman" w:hAnsi="Times New Roman"/>
                <w:color w:val="000000"/>
              </w:rPr>
            </w:pPr>
            <w:r w:rsidRPr="00A765B0">
              <w:rPr>
                <w:rFonts w:ascii="Times New Roman" w:hAnsi="Times New Roman"/>
                <w:color w:val="000000"/>
              </w:rPr>
              <w:t>$79,426,124</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1BAB937D" w14:textId="5B294CDA">
            <w:pPr>
              <w:widowControl/>
              <w:autoSpaceDE/>
              <w:autoSpaceDN/>
              <w:adjustRightInd/>
              <w:jc w:val="center"/>
              <w:rPr>
                <w:rFonts w:ascii="Times New Roman" w:hAnsi="Times New Roman"/>
                <w:color w:val="000000"/>
              </w:rPr>
            </w:pPr>
            <w:r w:rsidRPr="00A765B0">
              <w:rPr>
                <w:rFonts w:ascii="Times New Roman" w:hAnsi="Times New Roman"/>
                <w:color w:val="000000"/>
              </w:rPr>
              <w:t>$202,923,534</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2045DC68" w14:textId="010F05BF">
            <w:pPr>
              <w:widowControl/>
              <w:autoSpaceDE/>
              <w:autoSpaceDN/>
              <w:adjustRightInd/>
              <w:jc w:val="center"/>
              <w:rPr>
                <w:rFonts w:ascii="Times New Roman" w:hAnsi="Times New Roman"/>
                <w:color w:val="000000"/>
              </w:rPr>
            </w:pPr>
            <w:r w:rsidRPr="00A765B0">
              <w:rPr>
                <w:rFonts w:ascii="Times New Roman" w:hAnsi="Times New Roman"/>
                <w:color w:val="000000"/>
              </w:rPr>
              <w:t>$123,497,410</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13AC02AD" w14:textId="77777777">
            <w:pPr>
              <w:widowControl/>
              <w:autoSpaceDE/>
              <w:autoSpaceDN/>
              <w:adjustRightInd/>
              <w:jc w:val="center"/>
              <w:rPr>
                <w:rFonts w:ascii="Times New Roman" w:hAnsi="Times New Roman"/>
                <w:color w:val="000000"/>
              </w:rPr>
            </w:pPr>
          </w:p>
        </w:tc>
      </w:tr>
      <w:tr w:rsidRPr="00920D27" w:rsidR="00A765B0" w:rsidTr="004646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A765B0" w:rsidR="00A765B0" w:rsidP="00A765B0" w:rsidRDefault="00A765B0" w14:paraId="60A3F86F" w14:textId="42C73C39">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0D7E9ECE" w14:textId="6A9B63F5">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$79,426,124</w:t>
            </w:r>
          </w:p>
        </w:tc>
        <w:tc>
          <w:tcPr>
            <w:tcW w:w="1136"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4D9F0E91" w14:textId="23F914DD">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$202,923,534</w:t>
            </w:r>
          </w:p>
        </w:tc>
        <w:tc>
          <w:tcPr>
            <w:tcW w:w="1282" w:type="dxa"/>
            <w:tcBorders>
              <w:top w:val="nil"/>
              <w:left w:val="nil"/>
              <w:bottom w:val="single" w:color="auto" w:sz="8" w:space="0"/>
              <w:right w:val="single" w:color="auto" w:sz="8" w:space="0"/>
            </w:tcBorders>
            <w:shd w:val="clear" w:color="auto" w:fill="auto"/>
            <w:vAlign w:val="bottom"/>
            <w:hideMark/>
          </w:tcPr>
          <w:p w:rsidRPr="00A765B0" w:rsidR="00A765B0" w:rsidP="00A765B0" w:rsidRDefault="00A765B0" w14:paraId="69FEA053" w14:textId="57435ED6">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$123,497,410</w:t>
            </w: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A765B0" w:rsidP="00A765B0" w:rsidRDefault="00A765B0"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096B94" w:rsidR="005B6129" w:rsidP="005B6129" w:rsidRDefault="00096B94" w14:paraId="76BD35EE" w14:textId="517DEEC4">
      <w:pPr>
        <w:tabs>
          <w:tab w:val="left" w:pos="-1440"/>
        </w:tabs>
        <w:ind w:left="720"/>
        <w:rPr>
          <w:rFonts w:ascii="Times New Roman" w:hAnsi="Times New Roman"/>
        </w:rPr>
      </w:pPr>
      <w:r>
        <w:rPr>
          <w:rFonts w:ascii="Times New Roman" w:hAnsi="Times New Roman"/>
        </w:rPr>
        <w:t>USCIS is reporting an increase in the estimated annual cost burden to respondents for this collection of information as a program change. The rule increases the estimated number of respondents for Form I-907, which results in an increase in the estimated annual cost burden. There is no change in the estimated average cost burden per response.</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8B3F" w14:textId="77777777" w:rsidR="000B6DCD" w:rsidRDefault="000B6DCD">
      <w:r>
        <w:separator/>
      </w:r>
    </w:p>
  </w:endnote>
  <w:endnote w:type="continuationSeparator" w:id="0">
    <w:p w14:paraId="0A629B6C" w14:textId="77777777" w:rsidR="000B6DCD" w:rsidRDefault="000B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EE9E" w14:textId="77777777" w:rsidR="000B6DCD" w:rsidRDefault="000B6DCD">
      <w:r>
        <w:separator/>
      </w:r>
    </w:p>
  </w:footnote>
  <w:footnote w:type="continuationSeparator" w:id="0">
    <w:p w14:paraId="236D658F" w14:textId="77777777" w:rsidR="000B6DCD" w:rsidRDefault="000B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5B31"/>
    <w:rsid w:val="000712DA"/>
    <w:rsid w:val="00080CE0"/>
    <w:rsid w:val="00093DB1"/>
    <w:rsid w:val="00096B94"/>
    <w:rsid w:val="00096F1D"/>
    <w:rsid w:val="000A42FA"/>
    <w:rsid w:val="000B00D2"/>
    <w:rsid w:val="000B6DCD"/>
    <w:rsid w:val="000C3216"/>
    <w:rsid w:val="000D6A0C"/>
    <w:rsid w:val="000F1A9A"/>
    <w:rsid w:val="0010769F"/>
    <w:rsid w:val="001415B0"/>
    <w:rsid w:val="0019320E"/>
    <w:rsid w:val="001A595D"/>
    <w:rsid w:val="001A6D21"/>
    <w:rsid w:val="001D6CE7"/>
    <w:rsid w:val="001E6948"/>
    <w:rsid w:val="001F67BB"/>
    <w:rsid w:val="0020110E"/>
    <w:rsid w:val="00215244"/>
    <w:rsid w:val="0029577A"/>
    <w:rsid w:val="002A4A73"/>
    <w:rsid w:val="002B6812"/>
    <w:rsid w:val="002C3934"/>
    <w:rsid w:val="002E199D"/>
    <w:rsid w:val="002E7594"/>
    <w:rsid w:val="00326131"/>
    <w:rsid w:val="003338D4"/>
    <w:rsid w:val="003821FB"/>
    <w:rsid w:val="0039427E"/>
    <w:rsid w:val="003A0F52"/>
    <w:rsid w:val="004360BC"/>
    <w:rsid w:val="00494557"/>
    <w:rsid w:val="004F08DD"/>
    <w:rsid w:val="004F3779"/>
    <w:rsid w:val="00524E9E"/>
    <w:rsid w:val="00525E40"/>
    <w:rsid w:val="005260A7"/>
    <w:rsid w:val="005423DD"/>
    <w:rsid w:val="0054585A"/>
    <w:rsid w:val="005543AD"/>
    <w:rsid w:val="00590B61"/>
    <w:rsid w:val="005B6129"/>
    <w:rsid w:val="005C3DD7"/>
    <w:rsid w:val="00603702"/>
    <w:rsid w:val="006049A7"/>
    <w:rsid w:val="00630F62"/>
    <w:rsid w:val="0063778A"/>
    <w:rsid w:val="00662686"/>
    <w:rsid w:val="00663D52"/>
    <w:rsid w:val="006A0405"/>
    <w:rsid w:val="006A0CC6"/>
    <w:rsid w:val="006B0B31"/>
    <w:rsid w:val="006B38F6"/>
    <w:rsid w:val="006C79B6"/>
    <w:rsid w:val="006D39AE"/>
    <w:rsid w:val="006E606E"/>
    <w:rsid w:val="006F083F"/>
    <w:rsid w:val="006F091A"/>
    <w:rsid w:val="006F4F45"/>
    <w:rsid w:val="006F537C"/>
    <w:rsid w:val="00701FE9"/>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5398F"/>
    <w:rsid w:val="00863610"/>
    <w:rsid w:val="008A42B6"/>
    <w:rsid w:val="008A4764"/>
    <w:rsid w:val="008D0F4C"/>
    <w:rsid w:val="008D7291"/>
    <w:rsid w:val="008F233F"/>
    <w:rsid w:val="008F74F4"/>
    <w:rsid w:val="009147A2"/>
    <w:rsid w:val="00914A5D"/>
    <w:rsid w:val="00921351"/>
    <w:rsid w:val="00944A8A"/>
    <w:rsid w:val="009556EE"/>
    <w:rsid w:val="00974223"/>
    <w:rsid w:val="009813C2"/>
    <w:rsid w:val="009D1DF6"/>
    <w:rsid w:val="009D3B71"/>
    <w:rsid w:val="009D5D2B"/>
    <w:rsid w:val="009F15D0"/>
    <w:rsid w:val="00A05B27"/>
    <w:rsid w:val="00A3466A"/>
    <w:rsid w:val="00A447D7"/>
    <w:rsid w:val="00A5237F"/>
    <w:rsid w:val="00A56B2D"/>
    <w:rsid w:val="00A765B0"/>
    <w:rsid w:val="00A847D1"/>
    <w:rsid w:val="00AC1755"/>
    <w:rsid w:val="00AF45F2"/>
    <w:rsid w:val="00B0571D"/>
    <w:rsid w:val="00B1471A"/>
    <w:rsid w:val="00B27061"/>
    <w:rsid w:val="00B31EBB"/>
    <w:rsid w:val="00B635A9"/>
    <w:rsid w:val="00B7349D"/>
    <w:rsid w:val="00B84471"/>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75CCA"/>
    <w:rsid w:val="00D80E94"/>
    <w:rsid w:val="00DA2D6B"/>
    <w:rsid w:val="00DB3C83"/>
    <w:rsid w:val="00DC6F0F"/>
    <w:rsid w:val="00DE08FF"/>
    <w:rsid w:val="00E15619"/>
    <w:rsid w:val="00E61E1B"/>
    <w:rsid w:val="00E77B24"/>
    <w:rsid w:val="00E85D6D"/>
    <w:rsid w:val="00E91139"/>
    <w:rsid w:val="00EA0A73"/>
    <w:rsid w:val="00EA1FB2"/>
    <w:rsid w:val="00EC3504"/>
    <w:rsid w:val="00EC5F60"/>
    <w:rsid w:val="00ED4E0C"/>
    <w:rsid w:val="00ED7F08"/>
    <w:rsid w:val="00F424E7"/>
    <w:rsid w:val="00F53396"/>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655">
      <w:bodyDiv w:val="1"/>
      <w:marLeft w:val="0"/>
      <w:marRight w:val="0"/>
      <w:marTop w:val="0"/>
      <w:marBottom w:val="0"/>
      <w:divBdr>
        <w:top w:val="none" w:sz="0" w:space="0" w:color="auto"/>
        <w:left w:val="none" w:sz="0" w:space="0" w:color="auto"/>
        <w:bottom w:val="none" w:sz="0" w:space="0" w:color="auto"/>
        <w:right w:val="none" w:sz="0" w:space="0" w:color="auto"/>
      </w:divBdr>
    </w:div>
    <w:div w:id="315652535">
      <w:bodyDiv w:val="1"/>
      <w:marLeft w:val="0"/>
      <w:marRight w:val="0"/>
      <w:marTop w:val="0"/>
      <w:marBottom w:val="0"/>
      <w:divBdr>
        <w:top w:val="none" w:sz="0" w:space="0" w:color="auto"/>
        <w:left w:val="none" w:sz="0" w:space="0" w:color="auto"/>
        <w:bottom w:val="none" w:sz="0" w:space="0" w:color="auto"/>
        <w:right w:val="none" w:sz="0" w:space="0" w:color="auto"/>
      </w:divBdr>
    </w:div>
    <w:div w:id="40757896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24909101">
      <w:bodyDiv w:val="1"/>
      <w:marLeft w:val="0"/>
      <w:marRight w:val="0"/>
      <w:marTop w:val="0"/>
      <w:marBottom w:val="0"/>
      <w:divBdr>
        <w:top w:val="none" w:sz="0" w:space="0" w:color="auto"/>
        <w:left w:val="none" w:sz="0" w:space="0" w:color="auto"/>
        <w:bottom w:val="none" w:sz="0" w:space="0" w:color="auto"/>
        <w:right w:val="none" w:sz="0" w:space="0" w:color="auto"/>
      </w:divBdr>
    </w:div>
    <w:div w:id="68767646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10067924">
      <w:bodyDiv w:val="1"/>
      <w:marLeft w:val="0"/>
      <w:marRight w:val="0"/>
      <w:marTop w:val="0"/>
      <w:marBottom w:val="0"/>
      <w:divBdr>
        <w:top w:val="none" w:sz="0" w:space="0" w:color="auto"/>
        <w:left w:val="none" w:sz="0" w:space="0" w:color="auto"/>
        <w:bottom w:val="none" w:sz="0" w:space="0" w:color="auto"/>
        <w:right w:val="none" w:sz="0" w:space="0" w:color="auto"/>
      </w:divBdr>
    </w:div>
    <w:div w:id="111155657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8756591">
      <w:bodyDiv w:val="1"/>
      <w:marLeft w:val="0"/>
      <w:marRight w:val="0"/>
      <w:marTop w:val="0"/>
      <w:marBottom w:val="0"/>
      <w:divBdr>
        <w:top w:val="none" w:sz="0" w:space="0" w:color="auto"/>
        <w:left w:val="none" w:sz="0" w:space="0" w:color="auto"/>
        <w:bottom w:val="none" w:sz="0" w:space="0" w:color="auto"/>
        <w:right w:val="none" w:sz="0" w:space="0" w:color="auto"/>
      </w:divBdr>
    </w:div>
    <w:div w:id="1358316375">
      <w:bodyDiv w:val="1"/>
      <w:marLeft w:val="0"/>
      <w:marRight w:val="0"/>
      <w:marTop w:val="0"/>
      <w:marBottom w:val="0"/>
      <w:divBdr>
        <w:top w:val="none" w:sz="0" w:space="0" w:color="auto"/>
        <w:left w:val="none" w:sz="0" w:space="0" w:color="auto"/>
        <w:bottom w:val="none" w:sz="0" w:space="0" w:color="auto"/>
        <w:right w:val="none" w:sz="0" w:space="0" w:color="auto"/>
      </w:divBdr>
    </w:div>
    <w:div w:id="1374883242">
      <w:bodyDiv w:val="1"/>
      <w:marLeft w:val="0"/>
      <w:marRight w:val="0"/>
      <w:marTop w:val="0"/>
      <w:marBottom w:val="0"/>
      <w:divBdr>
        <w:top w:val="none" w:sz="0" w:space="0" w:color="auto"/>
        <w:left w:val="none" w:sz="0" w:space="0" w:color="auto"/>
        <w:bottom w:val="none" w:sz="0" w:space="0" w:color="auto"/>
        <w:right w:val="none" w:sz="0" w:space="0" w:color="auto"/>
      </w:divBdr>
    </w:div>
    <w:div w:id="1457330775">
      <w:bodyDiv w:val="1"/>
      <w:marLeft w:val="0"/>
      <w:marRight w:val="0"/>
      <w:marTop w:val="0"/>
      <w:marBottom w:val="0"/>
      <w:divBdr>
        <w:top w:val="none" w:sz="0" w:space="0" w:color="auto"/>
        <w:left w:val="none" w:sz="0" w:space="0" w:color="auto"/>
        <w:bottom w:val="none" w:sz="0" w:space="0" w:color="auto"/>
        <w:right w:val="none" w:sz="0" w:space="0" w:color="auto"/>
      </w:divBdr>
    </w:div>
    <w:div w:id="1567643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63647027">
      <w:bodyDiv w:val="1"/>
      <w:marLeft w:val="0"/>
      <w:marRight w:val="0"/>
      <w:marTop w:val="0"/>
      <w:marBottom w:val="0"/>
      <w:divBdr>
        <w:top w:val="none" w:sz="0" w:space="0" w:color="auto"/>
        <w:left w:val="none" w:sz="0" w:space="0" w:color="auto"/>
        <w:bottom w:val="none" w:sz="0" w:space="0" w:color="auto"/>
        <w:right w:val="none" w:sz="0" w:space="0" w:color="auto"/>
      </w:divBdr>
    </w:div>
    <w:div w:id="1770586676">
      <w:bodyDiv w:val="1"/>
      <w:marLeft w:val="0"/>
      <w:marRight w:val="0"/>
      <w:marTop w:val="0"/>
      <w:marBottom w:val="0"/>
      <w:divBdr>
        <w:top w:val="none" w:sz="0" w:space="0" w:color="auto"/>
        <w:left w:val="none" w:sz="0" w:space="0" w:color="auto"/>
        <w:bottom w:val="none" w:sz="0" w:space="0" w:color="auto"/>
        <w:right w:val="none" w:sz="0" w:space="0" w:color="auto"/>
      </w:divBdr>
    </w:div>
    <w:div w:id="177983706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25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3683ba9b271b1798a45c6d15d1b9175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116d6d44bb25144fc13210eb22125ca8"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bf094c2b-8036-49e0-a2b2-a973ea273ca5"/>
    <ds:schemaRef ds:uri="http://www.w3.org/XML/1998/namespace"/>
    <ds:schemaRef ds:uri="http://schemas.openxmlformats.org/package/2006/metadata/core-properties"/>
    <ds:schemaRef ds:uri="2589310c-5316-40b3-b68d-4735ac72f265"/>
    <ds:schemaRef ds:uri="http://schemas.microsoft.com/office/2006/metadata/properties"/>
  </ds:schemaRefs>
</ds:datastoreItem>
</file>

<file path=customXml/itemProps2.xml><?xml version="1.0" encoding="utf-8"?>
<ds:datastoreItem xmlns:ds="http://schemas.openxmlformats.org/officeDocument/2006/customXml" ds:itemID="{7D4D6A9C-FBD7-4B0D-B2A8-E9292710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3086</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20650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27</cp:revision>
  <cp:lastPrinted>2010-05-14T16:20:00Z</cp:lastPrinted>
  <dcterms:created xsi:type="dcterms:W3CDTF">2021-04-15T20:09:00Z</dcterms:created>
  <dcterms:modified xsi:type="dcterms:W3CDTF">2022-08-16T21:46:00Z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