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1DE5" w:rsidR="009857BB" w:rsidP="009857BB" w:rsidRDefault="009857BB" w14:paraId="32E45ADA" w14:textId="77777777">
      <w:pPr>
        <w:tabs>
          <w:tab w:val="left" w:pos="810"/>
        </w:tabs>
        <w:suppressAutoHyphens/>
        <w:spacing w:after="0" w:line="240" w:lineRule="auto"/>
        <w:rPr>
          <w:rFonts w:cs="Calibri"/>
          <w:iCs/>
          <w:sz w:val="24"/>
          <w:szCs w:val="24"/>
        </w:rPr>
      </w:pPr>
      <w:r w:rsidRPr="00CF1DE5">
        <w:rPr>
          <w:rFonts w:cs="Calibri"/>
          <w:iCs/>
          <w:sz w:val="24"/>
          <w:szCs w:val="24"/>
        </w:rPr>
        <w:t xml:space="preserve">The Department of Education (the Department) requests extension of this information collection regarding Institutional Eligibility regulations in §600.9 – State Authorization.  These regulations were a result of negotiated rulemaking in early 2019 and </w:t>
      </w:r>
      <w:proofErr w:type="gramStart"/>
      <w:r w:rsidRPr="00CF1DE5">
        <w:rPr>
          <w:rFonts w:cs="Calibri"/>
          <w:iCs/>
          <w:sz w:val="24"/>
          <w:szCs w:val="24"/>
        </w:rPr>
        <w:t>the  requirements</w:t>
      </w:r>
      <w:proofErr w:type="gramEnd"/>
      <w:r w:rsidRPr="00CF1DE5">
        <w:rPr>
          <w:rFonts w:cs="Calibri"/>
          <w:iCs/>
          <w:sz w:val="24"/>
          <w:szCs w:val="24"/>
        </w:rPr>
        <w:t xml:space="preserve"> to these regulations have not changed.</w:t>
      </w:r>
    </w:p>
    <w:p w:rsidRPr="00CF1DE5" w:rsidR="009857BB" w:rsidP="009857BB" w:rsidRDefault="009857BB" w14:paraId="7D7E3E13" w14:textId="77777777">
      <w:pPr>
        <w:tabs>
          <w:tab w:val="left" w:pos="810"/>
        </w:tabs>
        <w:suppressAutoHyphens/>
        <w:spacing w:after="0" w:line="240" w:lineRule="auto"/>
        <w:rPr>
          <w:rFonts w:cs="Calibri"/>
          <w:iCs/>
          <w:sz w:val="24"/>
          <w:szCs w:val="24"/>
        </w:rPr>
      </w:pPr>
    </w:p>
    <w:p w:rsidRPr="00CF1DE5" w:rsidR="009857BB" w:rsidP="009857BB" w:rsidRDefault="009857BB" w14:paraId="6F2059C8" w14:textId="77777777">
      <w:pPr>
        <w:tabs>
          <w:tab w:val="left" w:pos="810"/>
        </w:tabs>
        <w:suppressAutoHyphens/>
        <w:spacing w:after="0" w:line="240" w:lineRule="auto"/>
        <w:rPr>
          <w:rFonts w:cs="Calibri"/>
          <w:iCs/>
          <w:sz w:val="24"/>
          <w:szCs w:val="24"/>
        </w:rPr>
      </w:pPr>
      <w:r w:rsidRPr="00CF1DE5">
        <w:rPr>
          <w:rFonts w:cs="Calibri"/>
          <w:iCs/>
          <w:sz w:val="24"/>
          <w:szCs w:val="24"/>
        </w:rPr>
        <w:t>The regulations in §</w:t>
      </w:r>
      <w:hyperlink w:history="1" r:id="rId6">
        <w:r w:rsidRPr="00CF1DE5">
          <w:rPr>
            <w:rStyle w:val="Hyperlink"/>
            <w:rFonts w:cs="Calibri"/>
            <w:iCs/>
            <w:sz w:val="24"/>
            <w:szCs w:val="24"/>
          </w:rPr>
          <w:t>600.9(c)(2)(i)</w:t>
        </w:r>
      </w:hyperlink>
      <w:r w:rsidRPr="00CF1DE5">
        <w:rPr>
          <w:rFonts w:cs="Calibri"/>
          <w:iCs/>
          <w:sz w:val="24"/>
          <w:szCs w:val="24"/>
        </w:rPr>
        <w:t xml:space="preserve"> require an institution to determine in which State a student is located while enrolled in a distance education or correspondence course when the institution participates in a State authorization reciprocity agreement under which it is covered in accordance with the institution’s policies and procedures.  The updates to the policies and procedures are not reported to the Department nor is there a specified format for such information.  </w:t>
      </w:r>
    </w:p>
    <w:p w:rsidRPr="00CF1DE5" w:rsidR="009857BB" w:rsidP="009857BB" w:rsidRDefault="009857BB" w14:paraId="472149AA" w14:textId="77777777">
      <w:pPr>
        <w:tabs>
          <w:tab w:val="left" w:pos="810"/>
        </w:tabs>
        <w:suppressAutoHyphens/>
        <w:spacing w:after="0" w:line="240" w:lineRule="auto"/>
        <w:rPr>
          <w:rFonts w:cs="Calibri"/>
          <w:iCs/>
          <w:sz w:val="24"/>
          <w:szCs w:val="24"/>
        </w:rPr>
      </w:pPr>
    </w:p>
    <w:p w:rsidRPr="00CF1DE5" w:rsidR="009857BB" w:rsidP="009857BB" w:rsidRDefault="009857BB" w14:paraId="6313C9E9" w14:textId="77777777">
      <w:pPr>
        <w:tabs>
          <w:tab w:val="left" w:pos="810"/>
        </w:tabs>
        <w:suppressAutoHyphens/>
        <w:spacing w:after="0" w:line="240" w:lineRule="auto"/>
        <w:rPr>
          <w:rFonts w:cs="Calibri"/>
          <w:iCs/>
          <w:sz w:val="24"/>
          <w:szCs w:val="24"/>
        </w:rPr>
      </w:pPr>
      <w:r w:rsidRPr="00CF1DE5">
        <w:rPr>
          <w:rFonts w:cs="Calibri"/>
          <w:iCs/>
          <w:sz w:val="24"/>
          <w:szCs w:val="24"/>
        </w:rPr>
        <w:t>The regulations in §</w:t>
      </w:r>
      <w:hyperlink w:history="1" r:id="rId7">
        <w:r w:rsidRPr="00CF1DE5">
          <w:rPr>
            <w:rStyle w:val="Hyperlink"/>
            <w:rFonts w:cs="Calibri"/>
            <w:iCs/>
            <w:sz w:val="24"/>
            <w:szCs w:val="24"/>
          </w:rPr>
          <w:t>600.9(c)(2)(ii)</w:t>
        </w:r>
      </w:hyperlink>
      <w:r w:rsidRPr="00CF1DE5">
        <w:rPr>
          <w:rFonts w:cs="Calibri"/>
          <w:iCs/>
          <w:sz w:val="24"/>
          <w:szCs w:val="24"/>
        </w:rPr>
        <w:t xml:space="preserve"> require an institution, upon request from the Secretary, provide the written documentation of its determination of a student’s location, including the basis for such determination.  There is no specific form or format for the institutions to provide this information to the Department upon request.  It is anticipated that an institution would provide the pertinent portions of the policy and procedures manual to respond to such a request from the Department, but it may provide the requested information in another method.</w:t>
      </w:r>
    </w:p>
    <w:p w:rsidRPr="00CF1DE5" w:rsidR="009857BB" w:rsidP="009857BB" w:rsidRDefault="009857BB" w14:paraId="0935D09B" w14:textId="77777777">
      <w:pPr>
        <w:tabs>
          <w:tab w:val="left" w:pos="-720"/>
        </w:tabs>
        <w:suppressAutoHyphens/>
        <w:spacing w:after="0" w:line="240" w:lineRule="auto"/>
        <w:rPr>
          <w:rFonts w:ascii="Times New Roman" w:hAnsi="Times New Roman"/>
          <w:sz w:val="24"/>
          <w:szCs w:val="24"/>
        </w:rPr>
      </w:pPr>
    </w:p>
    <w:p w:rsidRPr="00CF1DE5" w:rsidR="009857BB" w:rsidP="009857BB" w:rsidRDefault="009857BB" w14:paraId="70907F6E" w14:textId="77777777">
      <w:pPr>
        <w:tabs>
          <w:tab w:val="left" w:pos="-720"/>
        </w:tabs>
        <w:suppressAutoHyphens/>
        <w:spacing w:after="0" w:line="240" w:lineRule="auto"/>
        <w:rPr>
          <w:rFonts w:eastAsia="Times New Roman" w:cs="Calibri"/>
          <w:iCs/>
          <w:sz w:val="24"/>
          <w:szCs w:val="24"/>
        </w:rPr>
      </w:pPr>
      <w:r w:rsidRPr="00CF1DE5">
        <w:rPr>
          <w:rFonts w:eastAsia="Times New Roman" w:cs="Calibri"/>
          <w:iCs/>
          <w:sz w:val="24"/>
          <w:szCs w:val="24"/>
        </w:rPr>
        <w:t xml:space="preserve">For the regulations in §600.9(c)(2)(i), we estimate that, on average, an </w:t>
      </w:r>
      <w:proofErr w:type="gramStart"/>
      <w:r w:rsidRPr="00CF1DE5">
        <w:rPr>
          <w:rFonts w:eastAsia="Times New Roman" w:cs="Calibri"/>
          <w:iCs/>
          <w:sz w:val="24"/>
          <w:szCs w:val="24"/>
        </w:rPr>
        <w:t>institutions</w:t>
      </w:r>
      <w:proofErr w:type="gramEnd"/>
      <w:r w:rsidRPr="00CF1DE5">
        <w:rPr>
          <w:rFonts w:eastAsia="Times New Roman" w:cs="Calibri"/>
          <w:iCs/>
          <w:sz w:val="24"/>
          <w:szCs w:val="24"/>
        </w:rPr>
        <w:t xml:space="preserve"> will need 30 minutes to update its policies and procedures manual to ensure consistent location determinations for distance education and correspondence course students.  </w:t>
      </w:r>
    </w:p>
    <w:p w:rsidRPr="00CF1DE5" w:rsidR="009857BB" w:rsidP="009857BB" w:rsidRDefault="009857BB" w14:paraId="727596D8" w14:textId="77777777">
      <w:pPr>
        <w:tabs>
          <w:tab w:val="left" w:pos="-720"/>
        </w:tabs>
        <w:suppressAutoHyphens/>
        <w:spacing w:after="0" w:line="240" w:lineRule="auto"/>
        <w:ind w:left="720"/>
        <w:rPr>
          <w:rFonts w:eastAsia="Times New Roman" w:cs="Calibri"/>
          <w:iCs/>
          <w:sz w:val="24"/>
          <w:szCs w:val="24"/>
        </w:rPr>
      </w:pPr>
    </w:p>
    <w:p w:rsidRPr="00CF1DE5" w:rsidR="009857BB" w:rsidP="009857BB" w:rsidRDefault="009857BB" w14:paraId="2428CE49" w14:textId="77777777">
      <w:pPr>
        <w:spacing w:after="0" w:line="240" w:lineRule="auto"/>
        <w:rPr>
          <w:rFonts w:eastAsia="Times New Roman" w:cs="Calibri"/>
          <w:iCs/>
          <w:sz w:val="24"/>
          <w:szCs w:val="24"/>
          <w:u w:val="single"/>
        </w:rPr>
      </w:pPr>
      <w:r w:rsidRPr="00CF1DE5">
        <w:rPr>
          <w:rFonts w:eastAsia="Times New Roman" w:cs="Calibri"/>
          <w:iCs/>
          <w:sz w:val="24"/>
          <w:szCs w:val="24"/>
          <w:u w:val="single"/>
        </w:rPr>
        <w:t>Affected entity</w:t>
      </w:r>
      <w:r w:rsidRPr="00CF1DE5">
        <w:rPr>
          <w:rFonts w:eastAsia="Times New Roman" w:cs="Calibri"/>
          <w:iCs/>
          <w:sz w:val="24"/>
          <w:szCs w:val="24"/>
          <w:u w:val="single"/>
        </w:rPr>
        <w:tab/>
      </w:r>
      <w:r w:rsidRPr="00CF1DE5">
        <w:rPr>
          <w:rFonts w:eastAsia="Times New Roman" w:cs="Calibri"/>
          <w:iCs/>
          <w:sz w:val="24"/>
          <w:szCs w:val="24"/>
          <w:u w:val="single"/>
        </w:rPr>
        <w:tab/>
        <w:t># of Respondents</w:t>
      </w:r>
      <w:r w:rsidRPr="00CF1DE5">
        <w:rPr>
          <w:rFonts w:eastAsia="Times New Roman" w:cs="Calibri"/>
          <w:iCs/>
          <w:sz w:val="24"/>
          <w:szCs w:val="24"/>
          <w:u w:val="single"/>
        </w:rPr>
        <w:tab/>
        <w:t># of Responses</w:t>
      </w:r>
      <w:r w:rsidRPr="00CF1DE5">
        <w:rPr>
          <w:rFonts w:eastAsia="Times New Roman" w:cs="Calibri"/>
          <w:iCs/>
          <w:sz w:val="24"/>
          <w:szCs w:val="24"/>
          <w:u w:val="single"/>
        </w:rPr>
        <w:tab/>
      </w:r>
      <w:r w:rsidRPr="00CF1DE5">
        <w:rPr>
          <w:rFonts w:eastAsia="Times New Roman" w:cs="Calibri"/>
          <w:iCs/>
          <w:sz w:val="24"/>
          <w:szCs w:val="24"/>
          <w:u w:val="single"/>
        </w:rPr>
        <w:tab/>
        <w:t>Hrs/Response</w:t>
      </w:r>
      <w:proofErr w:type="gramStart"/>
      <w:r w:rsidRPr="00CF1DE5">
        <w:rPr>
          <w:rFonts w:eastAsia="Times New Roman" w:cs="Calibri"/>
          <w:iCs/>
          <w:sz w:val="24"/>
          <w:szCs w:val="24"/>
          <w:u w:val="single"/>
        </w:rPr>
        <w:tab/>
        <w:t xml:space="preserve">  Total</w:t>
      </w:r>
      <w:proofErr w:type="gramEnd"/>
      <w:r w:rsidRPr="00CF1DE5">
        <w:rPr>
          <w:rFonts w:eastAsia="Times New Roman" w:cs="Calibri"/>
          <w:iCs/>
          <w:sz w:val="24"/>
          <w:szCs w:val="24"/>
          <w:u w:val="single"/>
        </w:rPr>
        <w:t xml:space="preserve"> Burden</w:t>
      </w:r>
    </w:p>
    <w:p w:rsidRPr="00CF1DE5" w:rsidR="009857BB" w:rsidP="009857BB" w:rsidRDefault="009857BB" w14:paraId="4C7E9D10" w14:textId="77777777">
      <w:pPr>
        <w:spacing w:after="0" w:line="240" w:lineRule="auto"/>
        <w:rPr>
          <w:rFonts w:eastAsia="Times New Roman" w:cs="Calibri"/>
          <w:iCs/>
          <w:sz w:val="24"/>
          <w:szCs w:val="24"/>
        </w:rPr>
      </w:pPr>
      <w:r w:rsidRPr="00CF1DE5">
        <w:rPr>
          <w:rFonts w:eastAsia="Times New Roman" w:cs="Calibri"/>
          <w:iCs/>
          <w:sz w:val="24"/>
          <w:szCs w:val="24"/>
        </w:rPr>
        <w:t>Private Institutions</w:t>
      </w:r>
      <w:r w:rsidRPr="00CF1DE5">
        <w:rPr>
          <w:rFonts w:eastAsia="Times New Roman" w:cs="Calibri"/>
          <w:iCs/>
          <w:sz w:val="24"/>
          <w:szCs w:val="24"/>
        </w:rPr>
        <w:tab/>
      </w:r>
      <w:r w:rsidRPr="00CF1DE5">
        <w:rPr>
          <w:rFonts w:eastAsia="Times New Roman" w:cs="Calibri"/>
          <w:iCs/>
          <w:sz w:val="24"/>
          <w:szCs w:val="24"/>
        </w:rPr>
        <w:tab/>
        <w:t>1,676</w:t>
      </w:r>
      <w:r w:rsidRPr="00CF1DE5">
        <w:rPr>
          <w:rFonts w:eastAsia="Times New Roman" w:cs="Calibri"/>
          <w:iCs/>
          <w:sz w:val="24"/>
          <w:szCs w:val="24"/>
        </w:rPr>
        <w:tab/>
      </w:r>
      <w:r w:rsidRPr="00CF1DE5">
        <w:rPr>
          <w:rFonts w:eastAsia="Times New Roman" w:cs="Calibri"/>
          <w:iCs/>
          <w:sz w:val="24"/>
          <w:szCs w:val="24"/>
        </w:rPr>
        <w:tab/>
      </w:r>
      <w:r w:rsidRPr="00CF1DE5">
        <w:rPr>
          <w:rFonts w:eastAsia="Times New Roman" w:cs="Calibri"/>
          <w:iCs/>
          <w:sz w:val="24"/>
          <w:szCs w:val="24"/>
        </w:rPr>
        <w:tab/>
        <w:t>1,676</w:t>
      </w:r>
      <w:r w:rsidRPr="00CF1DE5">
        <w:rPr>
          <w:rFonts w:eastAsia="Times New Roman" w:cs="Calibri"/>
          <w:iCs/>
          <w:sz w:val="24"/>
          <w:szCs w:val="24"/>
        </w:rPr>
        <w:tab/>
      </w:r>
      <w:r w:rsidRPr="00CF1DE5">
        <w:rPr>
          <w:rFonts w:eastAsia="Times New Roman" w:cs="Calibri"/>
          <w:iCs/>
          <w:sz w:val="24"/>
          <w:szCs w:val="24"/>
        </w:rPr>
        <w:tab/>
        <w:t xml:space="preserve">     X .5 hours</w:t>
      </w:r>
      <w:r w:rsidRPr="00CF1DE5">
        <w:rPr>
          <w:rFonts w:eastAsia="Times New Roman" w:cs="Calibri"/>
          <w:iCs/>
          <w:sz w:val="24"/>
          <w:szCs w:val="24"/>
        </w:rPr>
        <w:tab/>
        <w:t xml:space="preserve">      838 hours</w:t>
      </w:r>
    </w:p>
    <w:p w:rsidRPr="00CF1DE5" w:rsidR="009857BB" w:rsidP="009857BB" w:rsidRDefault="009857BB" w14:paraId="305C40C9" w14:textId="77777777">
      <w:pPr>
        <w:spacing w:after="0" w:line="240" w:lineRule="auto"/>
        <w:rPr>
          <w:rFonts w:eastAsia="Times New Roman" w:cs="Calibri"/>
          <w:iCs/>
          <w:sz w:val="24"/>
          <w:szCs w:val="24"/>
        </w:rPr>
      </w:pPr>
    </w:p>
    <w:p w:rsidRPr="00CF1DE5" w:rsidR="009857BB" w:rsidP="009857BB" w:rsidRDefault="009857BB" w14:paraId="5E2E2DEB" w14:textId="77777777">
      <w:pPr>
        <w:tabs>
          <w:tab w:val="left" w:pos="-720"/>
        </w:tabs>
        <w:suppressAutoHyphens/>
        <w:spacing w:after="0" w:line="240" w:lineRule="auto"/>
        <w:rPr>
          <w:rFonts w:eastAsia="Times New Roman" w:cs="Calibri"/>
          <w:iCs/>
          <w:sz w:val="24"/>
          <w:szCs w:val="24"/>
        </w:rPr>
      </w:pPr>
      <w:r w:rsidRPr="00CF1DE5">
        <w:rPr>
          <w:rFonts w:eastAsia="Times New Roman" w:cs="Calibri"/>
          <w:iCs/>
          <w:sz w:val="24"/>
          <w:szCs w:val="24"/>
        </w:rPr>
        <w:t xml:space="preserve">For the regulations in §600.9(c)(2)(ii), we estimate that, on average, an </w:t>
      </w:r>
      <w:proofErr w:type="gramStart"/>
      <w:r w:rsidRPr="00CF1DE5">
        <w:rPr>
          <w:rFonts w:eastAsia="Times New Roman" w:cs="Calibri"/>
          <w:iCs/>
          <w:sz w:val="24"/>
          <w:szCs w:val="24"/>
        </w:rPr>
        <w:t>institutions</w:t>
      </w:r>
      <w:proofErr w:type="gramEnd"/>
      <w:r w:rsidRPr="00CF1DE5">
        <w:rPr>
          <w:rFonts w:eastAsia="Times New Roman" w:cs="Calibri"/>
          <w:iCs/>
          <w:sz w:val="24"/>
          <w:szCs w:val="24"/>
        </w:rPr>
        <w:t xml:space="preserve"> will need 30 minutes to provide the Secretary, upon request, with written documentation from its policies and procedures manual of its method of determination of a student’s location, including the basis for such determination.  We estimate that no more than five percent of institutions will be required to provide written documentation to the Secretary regarding the basis for the institutions’ determination of a </w:t>
      </w:r>
      <w:proofErr w:type="gramStart"/>
      <w:r w:rsidRPr="00CF1DE5">
        <w:rPr>
          <w:rFonts w:eastAsia="Times New Roman" w:cs="Calibri"/>
          <w:iCs/>
          <w:sz w:val="24"/>
          <w:szCs w:val="24"/>
        </w:rPr>
        <w:t>State</w:t>
      </w:r>
      <w:proofErr w:type="gramEnd"/>
      <w:r w:rsidRPr="00CF1DE5">
        <w:rPr>
          <w:rFonts w:eastAsia="Times New Roman" w:cs="Calibri"/>
          <w:iCs/>
          <w:sz w:val="24"/>
          <w:szCs w:val="24"/>
        </w:rPr>
        <w:t xml:space="preserve"> location.</w:t>
      </w:r>
    </w:p>
    <w:p w:rsidRPr="00CF1DE5" w:rsidR="009857BB" w:rsidP="009857BB" w:rsidRDefault="009857BB" w14:paraId="2CA4747A" w14:textId="77777777">
      <w:pPr>
        <w:tabs>
          <w:tab w:val="left" w:pos="-720"/>
        </w:tabs>
        <w:suppressAutoHyphens/>
        <w:spacing w:after="0" w:line="240" w:lineRule="auto"/>
        <w:ind w:left="720"/>
        <w:rPr>
          <w:rFonts w:eastAsia="Times New Roman" w:cs="Calibri"/>
          <w:iCs/>
          <w:sz w:val="24"/>
          <w:szCs w:val="24"/>
        </w:rPr>
      </w:pPr>
    </w:p>
    <w:p w:rsidRPr="00CF1DE5" w:rsidR="009857BB" w:rsidP="009857BB" w:rsidRDefault="009857BB" w14:paraId="3C153992" w14:textId="77777777">
      <w:pPr>
        <w:spacing w:after="0" w:line="240" w:lineRule="auto"/>
        <w:rPr>
          <w:rFonts w:eastAsia="Times New Roman" w:cs="Calibri"/>
          <w:iCs/>
          <w:sz w:val="24"/>
          <w:szCs w:val="24"/>
          <w:u w:val="single"/>
        </w:rPr>
      </w:pPr>
      <w:r w:rsidRPr="00CF1DE5">
        <w:rPr>
          <w:rFonts w:eastAsia="Times New Roman" w:cs="Calibri"/>
          <w:iCs/>
          <w:sz w:val="24"/>
          <w:szCs w:val="24"/>
          <w:u w:val="single"/>
        </w:rPr>
        <w:t>Affected entity</w:t>
      </w:r>
      <w:r w:rsidRPr="00CF1DE5">
        <w:rPr>
          <w:rFonts w:eastAsia="Times New Roman" w:cs="Calibri"/>
          <w:iCs/>
          <w:sz w:val="24"/>
          <w:szCs w:val="24"/>
          <w:u w:val="single"/>
        </w:rPr>
        <w:tab/>
      </w:r>
      <w:r w:rsidRPr="00CF1DE5">
        <w:rPr>
          <w:rFonts w:eastAsia="Times New Roman" w:cs="Calibri"/>
          <w:iCs/>
          <w:sz w:val="24"/>
          <w:szCs w:val="24"/>
          <w:u w:val="single"/>
        </w:rPr>
        <w:tab/>
        <w:t># of Respondents</w:t>
      </w:r>
      <w:r w:rsidRPr="00CF1DE5">
        <w:rPr>
          <w:rFonts w:eastAsia="Times New Roman" w:cs="Calibri"/>
          <w:iCs/>
          <w:sz w:val="24"/>
          <w:szCs w:val="24"/>
          <w:u w:val="single"/>
        </w:rPr>
        <w:tab/>
        <w:t># of Responses</w:t>
      </w:r>
      <w:r w:rsidRPr="00CF1DE5">
        <w:rPr>
          <w:rFonts w:eastAsia="Times New Roman" w:cs="Calibri"/>
          <w:iCs/>
          <w:sz w:val="24"/>
          <w:szCs w:val="24"/>
          <w:u w:val="single"/>
        </w:rPr>
        <w:tab/>
      </w:r>
      <w:r w:rsidRPr="00CF1DE5">
        <w:rPr>
          <w:rFonts w:eastAsia="Times New Roman" w:cs="Calibri"/>
          <w:iCs/>
          <w:sz w:val="24"/>
          <w:szCs w:val="24"/>
          <w:u w:val="single"/>
        </w:rPr>
        <w:tab/>
        <w:t>Hrs/Response</w:t>
      </w:r>
      <w:proofErr w:type="gramStart"/>
      <w:r w:rsidRPr="00CF1DE5">
        <w:rPr>
          <w:rFonts w:eastAsia="Times New Roman" w:cs="Calibri"/>
          <w:iCs/>
          <w:sz w:val="24"/>
          <w:szCs w:val="24"/>
          <w:u w:val="single"/>
        </w:rPr>
        <w:tab/>
        <w:t xml:space="preserve">  Total</w:t>
      </w:r>
      <w:proofErr w:type="gramEnd"/>
      <w:r w:rsidRPr="00CF1DE5">
        <w:rPr>
          <w:rFonts w:eastAsia="Times New Roman" w:cs="Calibri"/>
          <w:iCs/>
          <w:sz w:val="24"/>
          <w:szCs w:val="24"/>
          <w:u w:val="single"/>
        </w:rPr>
        <w:t xml:space="preserve"> Burden</w:t>
      </w:r>
    </w:p>
    <w:p w:rsidRPr="00CF1DE5" w:rsidR="009857BB" w:rsidP="009857BB" w:rsidRDefault="009857BB" w14:paraId="154E7A4C" w14:textId="77777777">
      <w:pPr>
        <w:spacing w:after="0" w:line="240" w:lineRule="auto"/>
        <w:rPr>
          <w:rFonts w:eastAsia="Times New Roman" w:cs="Calibri"/>
          <w:iCs/>
          <w:sz w:val="24"/>
          <w:szCs w:val="24"/>
        </w:rPr>
      </w:pPr>
      <w:r w:rsidRPr="00CF1DE5">
        <w:rPr>
          <w:rFonts w:eastAsia="Times New Roman" w:cs="Calibri"/>
          <w:iCs/>
          <w:sz w:val="24"/>
          <w:szCs w:val="24"/>
        </w:rPr>
        <w:t>Private Institutions</w:t>
      </w:r>
      <w:r w:rsidRPr="00CF1DE5">
        <w:rPr>
          <w:rFonts w:eastAsia="Times New Roman" w:cs="Calibri"/>
          <w:iCs/>
          <w:sz w:val="24"/>
          <w:szCs w:val="24"/>
        </w:rPr>
        <w:tab/>
      </w:r>
      <w:r w:rsidRPr="00CF1DE5">
        <w:rPr>
          <w:rFonts w:eastAsia="Times New Roman" w:cs="Calibri"/>
          <w:iCs/>
          <w:sz w:val="24"/>
          <w:szCs w:val="24"/>
        </w:rPr>
        <w:tab/>
        <w:t>1,676 x5%</w:t>
      </w:r>
      <w:r w:rsidRPr="00CF1DE5">
        <w:rPr>
          <w:rFonts w:eastAsia="Times New Roman" w:cs="Calibri"/>
          <w:iCs/>
          <w:sz w:val="24"/>
          <w:szCs w:val="24"/>
        </w:rPr>
        <w:tab/>
      </w:r>
      <w:r w:rsidRPr="00CF1DE5">
        <w:rPr>
          <w:rFonts w:eastAsia="Times New Roman" w:cs="Calibri"/>
          <w:iCs/>
          <w:sz w:val="24"/>
          <w:szCs w:val="24"/>
        </w:rPr>
        <w:tab/>
        <w:t xml:space="preserve"> 84</w:t>
      </w:r>
      <w:r w:rsidRPr="00CF1DE5">
        <w:rPr>
          <w:rFonts w:eastAsia="Times New Roman" w:cs="Calibri"/>
          <w:iCs/>
          <w:sz w:val="24"/>
          <w:szCs w:val="24"/>
        </w:rPr>
        <w:tab/>
      </w:r>
      <w:r w:rsidRPr="00CF1DE5">
        <w:rPr>
          <w:rFonts w:eastAsia="Times New Roman" w:cs="Calibri"/>
          <w:iCs/>
          <w:sz w:val="24"/>
          <w:szCs w:val="24"/>
        </w:rPr>
        <w:tab/>
        <w:t xml:space="preserve">     X .5 hours</w:t>
      </w:r>
      <w:r w:rsidRPr="00CF1DE5">
        <w:rPr>
          <w:rFonts w:eastAsia="Times New Roman" w:cs="Calibri"/>
          <w:iCs/>
          <w:sz w:val="24"/>
          <w:szCs w:val="24"/>
        </w:rPr>
        <w:tab/>
        <w:t xml:space="preserve">      42 hours</w:t>
      </w:r>
    </w:p>
    <w:p w:rsidR="009857BB" w:rsidP="009857BB" w:rsidRDefault="009857BB" w14:paraId="7EB66A6E" w14:textId="77777777">
      <w:pPr>
        <w:spacing w:after="0" w:line="240" w:lineRule="auto"/>
        <w:rPr>
          <w:rFonts w:cs="Calibri"/>
          <w:iCs/>
          <w:szCs w:val="24"/>
        </w:rPr>
      </w:pPr>
      <w:bookmarkStart w:name="_Hlk110238973" w:id="0"/>
    </w:p>
    <w:p w:rsidRPr="00454E3A" w:rsidR="009857BB" w:rsidP="009857BB" w:rsidRDefault="009857BB" w14:paraId="371E0056" w14:textId="77777777">
      <w:pPr>
        <w:spacing w:after="0" w:line="240" w:lineRule="auto"/>
        <w:rPr>
          <w:rFonts w:cs="Calibri"/>
          <w:iCs/>
          <w:szCs w:val="24"/>
        </w:rPr>
      </w:pPr>
      <w:r w:rsidRPr="00454E3A">
        <w:rPr>
          <w:rFonts w:cs="Calibri"/>
          <w:iCs/>
          <w:szCs w:val="24"/>
        </w:rPr>
        <w:t>*The universe of respondents count is not summed to avoid a duplicate count of respondents.</w:t>
      </w:r>
    </w:p>
    <w:bookmarkEnd w:id="0"/>
    <w:p w:rsidRPr="00454E3A" w:rsidR="00E535FF" w:rsidP="009857BB" w:rsidRDefault="00E535FF" w14:paraId="14FFBF2F" w14:textId="77777777">
      <w:pPr>
        <w:pStyle w:val="NoSpacing"/>
        <w:rPr>
          <w:rFonts w:cs="Calibri"/>
          <w:sz w:val="24"/>
          <w:szCs w:val="24"/>
        </w:rPr>
      </w:pPr>
    </w:p>
    <w:p w:rsidRPr="00454E3A" w:rsidR="00E535FF" w:rsidP="009857BB" w:rsidRDefault="00E535FF" w14:paraId="32561CAE" w14:textId="77777777">
      <w:pPr>
        <w:pStyle w:val="NoSpacing"/>
        <w:rPr>
          <w:rFonts w:cs="Calibri"/>
          <w:sz w:val="24"/>
          <w:szCs w:val="24"/>
        </w:rPr>
      </w:pPr>
      <w:r w:rsidRPr="00454E3A">
        <w:rPr>
          <w:rFonts w:cs="Calibri"/>
          <w:sz w:val="24"/>
          <w:szCs w:val="24"/>
        </w:rPr>
        <w:t>TOTALS</w:t>
      </w:r>
    </w:p>
    <w:p w:rsidRPr="00454E3A" w:rsidR="00E535FF" w:rsidP="009857BB" w:rsidRDefault="00E535FF" w14:paraId="2C97184D" w14:textId="77777777">
      <w:pPr>
        <w:pStyle w:val="NoSpacing"/>
        <w:rPr>
          <w:rFonts w:cs="Calibri"/>
          <w:sz w:val="24"/>
          <w:szCs w:val="24"/>
        </w:rPr>
      </w:pPr>
      <w:r w:rsidRPr="00454E3A">
        <w:rPr>
          <w:rFonts w:cs="Calibri"/>
          <w:sz w:val="24"/>
          <w:szCs w:val="24"/>
        </w:rPr>
        <w:tab/>
      </w:r>
      <w:r w:rsidRPr="009857BB" w:rsidR="009857BB">
        <w:rPr>
          <w:rFonts w:cs="Calibri"/>
          <w:sz w:val="24"/>
          <w:szCs w:val="24"/>
        </w:rPr>
        <w:t>Respondents</w:t>
      </w:r>
      <w:r w:rsidRPr="00454E3A">
        <w:rPr>
          <w:rFonts w:cs="Calibri"/>
          <w:sz w:val="24"/>
          <w:szCs w:val="24"/>
        </w:rPr>
        <w:tab/>
      </w:r>
      <w:r w:rsidRPr="00454E3A" w:rsidR="00FE3CAC">
        <w:rPr>
          <w:rFonts w:cs="Calibri"/>
          <w:sz w:val="24"/>
          <w:szCs w:val="24"/>
        </w:rPr>
        <w:t>1,</w:t>
      </w:r>
      <w:r w:rsidRPr="00454E3A" w:rsidR="009857BB">
        <w:rPr>
          <w:rFonts w:cs="Calibri"/>
          <w:sz w:val="24"/>
          <w:szCs w:val="24"/>
        </w:rPr>
        <w:t>676</w:t>
      </w:r>
    </w:p>
    <w:p w:rsidRPr="00454E3A" w:rsidR="00E535FF" w:rsidP="009857BB" w:rsidRDefault="00E535FF" w14:paraId="3B8C1AB0" w14:textId="77777777">
      <w:pPr>
        <w:pStyle w:val="NoSpacing"/>
        <w:rPr>
          <w:rFonts w:cs="Calibri"/>
          <w:sz w:val="24"/>
          <w:szCs w:val="24"/>
        </w:rPr>
      </w:pPr>
      <w:r w:rsidRPr="00454E3A">
        <w:rPr>
          <w:rFonts w:cs="Calibri"/>
          <w:sz w:val="24"/>
          <w:szCs w:val="24"/>
        </w:rPr>
        <w:tab/>
      </w:r>
      <w:r w:rsidRPr="009857BB" w:rsidR="009857BB">
        <w:rPr>
          <w:rFonts w:cs="Calibri"/>
          <w:sz w:val="24"/>
          <w:szCs w:val="24"/>
        </w:rPr>
        <w:t>Responses</w:t>
      </w:r>
      <w:r w:rsidRPr="00454E3A">
        <w:rPr>
          <w:rFonts w:cs="Calibri"/>
          <w:sz w:val="24"/>
          <w:szCs w:val="24"/>
        </w:rPr>
        <w:tab/>
      </w:r>
      <w:r w:rsidRPr="00454E3A" w:rsidR="00FE3CAC">
        <w:rPr>
          <w:rFonts w:cs="Calibri"/>
          <w:sz w:val="24"/>
          <w:szCs w:val="24"/>
        </w:rPr>
        <w:t>1,7</w:t>
      </w:r>
      <w:r w:rsidRPr="00454E3A" w:rsidR="009857BB">
        <w:rPr>
          <w:rFonts w:cs="Calibri"/>
          <w:sz w:val="24"/>
          <w:szCs w:val="24"/>
        </w:rPr>
        <w:t>60</w:t>
      </w:r>
    </w:p>
    <w:p w:rsidRPr="00454E3A" w:rsidR="00E535FF" w:rsidP="009857BB" w:rsidRDefault="00E535FF" w14:paraId="08E8AE2E" w14:textId="77777777">
      <w:pPr>
        <w:pStyle w:val="NoSpacing"/>
        <w:rPr>
          <w:rFonts w:cs="Calibri"/>
          <w:sz w:val="24"/>
          <w:szCs w:val="24"/>
        </w:rPr>
      </w:pPr>
      <w:r w:rsidRPr="00454E3A">
        <w:rPr>
          <w:rFonts w:cs="Calibri"/>
          <w:sz w:val="24"/>
          <w:szCs w:val="24"/>
        </w:rPr>
        <w:tab/>
        <w:t>Burden Hours</w:t>
      </w:r>
      <w:r w:rsidRPr="00454E3A">
        <w:rPr>
          <w:rFonts w:cs="Calibri"/>
          <w:sz w:val="24"/>
          <w:szCs w:val="24"/>
        </w:rPr>
        <w:tab/>
      </w:r>
      <w:r w:rsidRPr="00454E3A" w:rsidR="00FE3CAC">
        <w:rPr>
          <w:rFonts w:cs="Calibri"/>
          <w:sz w:val="24"/>
          <w:szCs w:val="24"/>
        </w:rPr>
        <w:t xml:space="preserve">   8</w:t>
      </w:r>
      <w:r w:rsidRPr="00454E3A" w:rsidR="00C928E3">
        <w:rPr>
          <w:rFonts w:cs="Calibri"/>
          <w:sz w:val="24"/>
          <w:szCs w:val="24"/>
        </w:rPr>
        <w:t>8</w:t>
      </w:r>
      <w:r w:rsidRPr="00454E3A" w:rsidR="009857BB">
        <w:rPr>
          <w:rFonts w:cs="Calibri"/>
          <w:sz w:val="24"/>
          <w:szCs w:val="24"/>
        </w:rPr>
        <w:t>0</w:t>
      </w:r>
    </w:p>
    <w:sectPr w:rsidRPr="00454E3A" w:rsidR="00E535FF" w:rsidSect="009857BB">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7D3E" w14:textId="77777777" w:rsidR="00454E3A" w:rsidRDefault="00454E3A" w:rsidP="00C50755">
      <w:pPr>
        <w:spacing w:after="0" w:line="240" w:lineRule="auto"/>
      </w:pPr>
      <w:r>
        <w:separator/>
      </w:r>
    </w:p>
  </w:endnote>
  <w:endnote w:type="continuationSeparator" w:id="0">
    <w:p w14:paraId="067E4B46" w14:textId="77777777" w:rsidR="00454E3A" w:rsidRDefault="00454E3A"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BED3" w14:textId="77777777" w:rsidR="00454E3A" w:rsidRDefault="00454E3A" w:rsidP="00C50755">
      <w:pPr>
        <w:spacing w:after="0" w:line="240" w:lineRule="auto"/>
      </w:pPr>
      <w:r>
        <w:separator/>
      </w:r>
    </w:p>
  </w:footnote>
  <w:footnote w:type="continuationSeparator" w:id="0">
    <w:p w14:paraId="1B7B14FA" w14:textId="77777777" w:rsidR="00454E3A" w:rsidRDefault="00454E3A"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EC0F" w14:textId="77777777" w:rsidR="00C50755" w:rsidRPr="00454E3A" w:rsidRDefault="00E535FF" w:rsidP="00E535FF">
    <w:pPr>
      <w:spacing w:after="0" w:line="240" w:lineRule="auto"/>
      <w:rPr>
        <w:rFonts w:cs="Calibri"/>
        <w:sz w:val="20"/>
        <w:szCs w:val="20"/>
      </w:rPr>
    </w:pPr>
    <w:r w:rsidRPr="00454E3A">
      <w:rPr>
        <w:rFonts w:cs="Calibri"/>
        <w:sz w:val="20"/>
        <w:szCs w:val="20"/>
      </w:rPr>
      <w:t>1</w:t>
    </w:r>
    <w:r w:rsidR="00C50755" w:rsidRPr="00454E3A">
      <w:rPr>
        <w:rFonts w:cs="Calibri"/>
        <w:sz w:val="20"/>
        <w:szCs w:val="20"/>
      </w:rPr>
      <w:t>845-</w:t>
    </w:r>
    <w:r w:rsidR="0082134B" w:rsidRPr="00454E3A">
      <w:rPr>
        <w:rFonts w:cs="Calibri"/>
        <w:sz w:val="20"/>
        <w:szCs w:val="20"/>
      </w:rPr>
      <w:t>0144</w:t>
    </w:r>
    <w:r w:rsidR="00C50755" w:rsidRPr="00454E3A">
      <w:rPr>
        <w:rFonts w:cs="Calibri"/>
        <w:sz w:val="20"/>
        <w:szCs w:val="20"/>
      </w:rPr>
      <w:t xml:space="preserve"> – Affected Public </w:t>
    </w:r>
    <w:r w:rsidR="00CC2AA3" w:rsidRPr="00454E3A">
      <w:rPr>
        <w:rFonts w:cs="Calibri"/>
        <w:sz w:val="20"/>
        <w:szCs w:val="20"/>
      </w:rPr>
      <w:t>–</w:t>
    </w:r>
    <w:r w:rsidR="00E837DE" w:rsidRPr="00454E3A">
      <w:rPr>
        <w:rFonts w:cs="Calibri"/>
        <w:sz w:val="20"/>
        <w:szCs w:val="20"/>
      </w:rPr>
      <w:t xml:space="preserve"> Private</w:t>
    </w:r>
    <w:r w:rsidR="00CC2AA3" w:rsidRPr="00454E3A">
      <w:rPr>
        <w:rFonts w:cs="Calibri"/>
        <w:sz w:val="20"/>
        <w:szCs w:val="20"/>
      </w:rPr>
      <w:t xml:space="preserve"> Institutions</w:t>
    </w:r>
    <w:r w:rsidR="00C50755" w:rsidRPr="00454E3A">
      <w:rPr>
        <w:rFonts w:cs="Calibri"/>
        <w:sz w:val="20"/>
        <w:szCs w:val="20"/>
      </w:rPr>
      <w:t xml:space="preserve"> </w:t>
    </w:r>
    <w:r w:rsidR="00C50755" w:rsidRPr="00454E3A">
      <w:rPr>
        <w:rFonts w:cs="Calibri"/>
        <w:sz w:val="20"/>
        <w:szCs w:val="20"/>
      </w:rPr>
      <w:tab/>
    </w:r>
    <w:r w:rsidRPr="00454E3A">
      <w:rPr>
        <w:rFonts w:cs="Calibri"/>
        <w:sz w:val="20"/>
        <w:szCs w:val="20"/>
      </w:rPr>
      <w:tab/>
    </w:r>
    <w:r w:rsidRPr="00454E3A">
      <w:rPr>
        <w:rFonts w:cs="Calibri"/>
        <w:sz w:val="20"/>
        <w:szCs w:val="20"/>
      </w:rPr>
      <w:tab/>
    </w:r>
    <w:r w:rsidRPr="00454E3A">
      <w:rPr>
        <w:rFonts w:cs="Calibri"/>
        <w:sz w:val="20"/>
        <w:szCs w:val="20"/>
      </w:rPr>
      <w:tab/>
    </w:r>
    <w:r w:rsidR="0082134B" w:rsidRPr="00454E3A">
      <w:rPr>
        <w:rFonts w:cs="Calibri"/>
        <w:sz w:val="20"/>
        <w:szCs w:val="20"/>
      </w:rPr>
      <w:tab/>
    </w:r>
    <w:r w:rsidR="00FE3CAC" w:rsidRPr="00454E3A">
      <w:rPr>
        <w:rFonts w:cs="Calibri"/>
        <w:sz w:val="20"/>
        <w:szCs w:val="20"/>
      </w:rPr>
      <w:tab/>
    </w:r>
    <w:r w:rsidR="009857BB" w:rsidRPr="00454E3A">
      <w:rPr>
        <w:rFonts w:cs="Calibri"/>
        <w:sz w:val="20"/>
        <w:szCs w:val="20"/>
      </w:rPr>
      <w:t>8/1/2022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71B0"/>
    <w:rsid w:val="00037CDF"/>
    <w:rsid w:val="000E5548"/>
    <w:rsid w:val="001D6E61"/>
    <w:rsid w:val="0021469F"/>
    <w:rsid w:val="002D31AB"/>
    <w:rsid w:val="00362E95"/>
    <w:rsid w:val="00454E3A"/>
    <w:rsid w:val="004712C9"/>
    <w:rsid w:val="00482525"/>
    <w:rsid w:val="004A52F6"/>
    <w:rsid w:val="00557675"/>
    <w:rsid w:val="005A108B"/>
    <w:rsid w:val="005C45FF"/>
    <w:rsid w:val="006F031D"/>
    <w:rsid w:val="0075352A"/>
    <w:rsid w:val="007769D5"/>
    <w:rsid w:val="007B30C9"/>
    <w:rsid w:val="007D48CE"/>
    <w:rsid w:val="007F312F"/>
    <w:rsid w:val="0082134B"/>
    <w:rsid w:val="00931A82"/>
    <w:rsid w:val="00980C7B"/>
    <w:rsid w:val="009857BB"/>
    <w:rsid w:val="00985F43"/>
    <w:rsid w:val="009D3795"/>
    <w:rsid w:val="00AE1FF3"/>
    <w:rsid w:val="00B01EDE"/>
    <w:rsid w:val="00B16783"/>
    <w:rsid w:val="00B36517"/>
    <w:rsid w:val="00B73430"/>
    <w:rsid w:val="00C16D6A"/>
    <w:rsid w:val="00C50755"/>
    <w:rsid w:val="00C928E3"/>
    <w:rsid w:val="00CC2AA3"/>
    <w:rsid w:val="00DB6AEA"/>
    <w:rsid w:val="00DD0706"/>
    <w:rsid w:val="00DE7C89"/>
    <w:rsid w:val="00E535FF"/>
    <w:rsid w:val="00E837DE"/>
    <w:rsid w:val="00F3334E"/>
    <w:rsid w:val="00F927E5"/>
    <w:rsid w:val="00FA4C63"/>
    <w:rsid w:val="00FE3CAC"/>
    <w:rsid w:val="00F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C1DA909"/>
  <w15:chartTrackingRefBased/>
  <w15:docId w15:val="{D10FB7BE-A5CC-4144-BCAE-42590156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 w:type="paragraph" w:styleId="Revision">
    <w:name w:val="Revision"/>
    <w:hidden/>
    <w:uiPriority w:val="99"/>
    <w:semiHidden/>
    <w:rsid w:val="009857BB"/>
    <w:rPr>
      <w:sz w:val="22"/>
      <w:szCs w:val="22"/>
    </w:rPr>
  </w:style>
  <w:style w:type="character" w:styleId="Hyperlink">
    <w:name w:val="Hyperlink"/>
    <w:uiPriority w:val="99"/>
    <w:rsid w:val="009857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6759">
      <w:bodyDiv w:val="1"/>
      <w:marLeft w:val="0"/>
      <w:marRight w:val="0"/>
      <w:marTop w:val="0"/>
      <w:marBottom w:val="0"/>
      <w:divBdr>
        <w:top w:val="none" w:sz="0" w:space="0" w:color="auto"/>
        <w:left w:val="none" w:sz="0" w:space="0" w:color="auto"/>
        <w:bottom w:val="none" w:sz="0" w:space="0" w:color="auto"/>
        <w:right w:val="none" w:sz="0" w:space="0" w:color="auto"/>
      </w:divBdr>
    </w:div>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cfr.gov/current/title-34/subtitle-B/chapter-VI/part-600/subpart-A/section-6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34/subtitle-B/chapter-VI/part-600/subpart-A/section-60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2793</CharactersWithSpaces>
  <SharedDoc>false</SharedDoc>
  <HLinks>
    <vt:vector size="12" baseType="variant">
      <vt:variant>
        <vt:i4>4194384</vt:i4>
      </vt:variant>
      <vt:variant>
        <vt:i4>3</vt:i4>
      </vt:variant>
      <vt:variant>
        <vt:i4>0</vt:i4>
      </vt:variant>
      <vt:variant>
        <vt:i4>5</vt:i4>
      </vt:variant>
      <vt:variant>
        <vt:lpwstr>https://www.ecfr.gov/current/title-34/subtitle-B/chapter-VI/part-600/subpart-A/section-600.9</vt:lpwstr>
      </vt:variant>
      <vt:variant>
        <vt:lpwstr/>
      </vt:variant>
      <vt:variant>
        <vt:i4>4194384</vt:i4>
      </vt:variant>
      <vt:variant>
        <vt:i4>0</vt:i4>
      </vt:variant>
      <vt:variant>
        <vt:i4>0</vt:i4>
      </vt:variant>
      <vt:variant>
        <vt:i4>5</vt:i4>
      </vt:variant>
      <vt:variant>
        <vt:lpwstr>https://www.ecfr.gov/current/title-34/subtitle-B/chapter-VI/part-600/subpart-A/section-600.9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2022-08-01T19:09:00Z</dcterms:created>
  <dcterms:modified xsi:type="dcterms:W3CDTF">2022-08-01T19:09:00Z</dcterms:modified>
</cp:coreProperties>
</file>