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16C61" w:rsidR="00E81D01" w:rsidP="00E81D01" w:rsidRDefault="00C61E11" w14:paraId="24B68A7F" w14:textId="5A45CE6B">
      <w:pPr>
        <w:jc w:val="center"/>
        <w:rPr>
          <w:b/>
          <w:caps/>
          <w:sz w:val="22"/>
          <w:szCs w:val="22"/>
        </w:rPr>
      </w:pPr>
      <w:r w:rsidRPr="00D16C61">
        <w:rPr>
          <w:b/>
          <w:caps/>
          <w:sz w:val="22"/>
          <w:szCs w:val="22"/>
        </w:rPr>
        <w:t xml:space="preserve">Statement </w:t>
      </w:r>
      <w:r w:rsidRPr="00D16C61" w:rsidR="00DF4928">
        <w:rPr>
          <w:b/>
          <w:caps/>
          <w:sz w:val="22"/>
          <w:szCs w:val="22"/>
        </w:rPr>
        <w:t xml:space="preserve">SUPPORTING THE </w:t>
      </w:r>
    </w:p>
    <w:p w:rsidRPr="00586F1B" w:rsidR="00C61E11" w:rsidP="00D1202B" w:rsidRDefault="00DF4928" w14:paraId="2C141C34" w14:textId="7596A799">
      <w:pPr>
        <w:jc w:val="center"/>
        <w:rPr>
          <w:b/>
          <w:caps/>
          <w:sz w:val="22"/>
          <w:szCs w:val="22"/>
          <w:highlight w:val="yellow"/>
        </w:rPr>
      </w:pPr>
      <w:r w:rsidRPr="00D16C61">
        <w:rPr>
          <w:b/>
          <w:caps/>
          <w:sz w:val="22"/>
          <w:szCs w:val="22"/>
        </w:rPr>
        <w:t xml:space="preserve">INFORMATION REQUEST FOR THE </w:t>
      </w:r>
      <w:r w:rsidRPr="00D16C61" w:rsidR="00787DE4">
        <w:rPr>
          <w:b/>
          <w:caps/>
          <w:sz w:val="22"/>
          <w:szCs w:val="22"/>
        </w:rPr>
        <w:t>Accidental</w:t>
      </w:r>
      <w:r w:rsidRPr="00787DE4" w:rsidR="00787DE4">
        <w:rPr>
          <w:b/>
          <w:caps/>
          <w:sz w:val="22"/>
          <w:szCs w:val="22"/>
        </w:rPr>
        <w:t xml:space="preserve"> Release Prevention Requirements: Risk Management Programs Under the Clean Air Act; Safer Communities by Chemical Accident Prevention</w:t>
      </w:r>
    </w:p>
    <w:p w:rsidRPr="00662C2E" w:rsidR="003D3547" w:rsidP="00D1202B" w:rsidRDefault="003D3547" w14:paraId="5BD7AE01" w14:textId="7C3B4782">
      <w:pPr>
        <w:jc w:val="center"/>
        <w:rPr>
          <w:b/>
          <w:caps/>
          <w:sz w:val="22"/>
          <w:szCs w:val="22"/>
        </w:rPr>
      </w:pPr>
    </w:p>
    <w:p w:rsidRPr="00662C2E" w:rsidR="003D3547" w:rsidP="00D1202B" w:rsidRDefault="003D3547" w14:paraId="09333CB1" w14:textId="77777777">
      <w:pPr>
        <w:jc w:val="center"/>
        <w:rPr>
          <w:b/>
          <w:caps/>
          <w:sz w:val="22"/>
          <w:szCs w:val="22"/>
        </w:rPr>
      </w:pPr>
    </w:p>
    <w:p w:rsidRPr="00662C2E" w:rsidR="00C61E11" w:rsidP="00C40162" w:rsidRDefault="00C61E11" w14:paraId="07E1F0CA" w14:textId="77777777">
      <w:pPr>
        <w:tabs>
          <w:tab w:val="left" w:pos="720"/>
          <w:tab w:val="left" w:pos="1440"/>
          <w:tab w:val="left" w:pos="2160"/>
          <w:tab w:val="left" w:pos="2880"/>
          <w:tab w:val="left" w:pos="3600"/>
          <w:tab w:val="left" w:pos="4320"/>
          <w:tab w:val="left" w:pos="5040"/>
          <w:tab w:val="left" w:pos="5760"/>
          <w:tab w:val="left" w:pos="6480"/>
          <w:tab w:val="right" w:pos="7203"/>
        </w:tabs>
        <w:spacing w:after="120"/>
        <w:ind w:left="720" w:hanging="720"/>
        <w:rPr>
          <w:sz w:val="22"/>
          <w:szCs w:val="22"/>
        </w:rPr>
      </w:pPr>
      <w:r w:rsidRPr="00662C2E">
        <w:rPr>
          <w:b/>
          <w:bCs/>
          <w:sz w:val="22"/>
          <w:szCs w:val="22"/>
        </w:rPr>
        <w:t>1.</w:t>
      </w:r>
      <w:r w:rsidRPr="00662C2E">
        <w:rPr>
          <w:b/>
          <w:bCs/>
          <w:sz w:val="22"/>
          <w:szCs w:val="22"/>
        </w:rPr>
        <w:tab/>
        <w:t>IDENTIFICATION OF THE INFORMATION COLLECTION</w:t>
      </w:r>
    </w:p>
    <w:p w:rsidRPr="00662C2E" w:rsidR="00C61E11" w:rsidP="00C40162" w:rsidRDefault="00C61E11" w14:paraId="679A03D4"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662C2E">
        <w:rPr>
          <w:b/>
          <w:bCs/>
          <w:sz w:val="22"/>
          <w:szCs w:val="22"/>
        </w:rPr>
        <w:t>1(a)</w:t>
      </w:r>
      <w:r w:rsidRPr="00662C2E">
        <w:rPr>
          <w:b/>
          <w:bCs/>
          <w:sz w:val="22"/>
          <w:szCs w:val="22"/>
        </w:rPr>
        <w:tab/>
        <w:t xml:space="preserve">Title of the Information Collection Request </w:t>
      </w:r>
    </w:p>
    <w:p w:rsidRPr="00C962E6" w:rsidR="00C61E11" w:rsidP="004A4D6F" w:rsidRDefault="004A4D6F" w14:paraId="63C0D24F" w14:textId="696B7A10">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bookmarkStart w:name="_Hlk8806289" w:id="0"/>
      <w:r>
        <w:rPr>
          <w:sz w:val="22"/>
          <w:szCs w:val="22"/>
        </w:rPr>
        <w:tab/>
      </w:r>
      <w:r w:rsidRPr="00167961" w:rsidR="00167961">
        <w:rPr>
          <w:sz w:val="22"/>
          <w:szCs w:val="22"/>
        </w:rPr>
        <w:t>Accidental Release Prevention Requirements: Risk Management Programs Under the Clean Air Act; Safer Communities by Chemical Accident Prevention</w:t>
      </w:r>
      <w:bookmarkEnd w:id="0"/>
      <w:r w:rsidR="00B2225C">
        <w:rPr>
          <w:sz w:val="22"/>
          <w:szCs w:val="22"/>
        </w:rPr>
        <w:t>,</w:t>
      </w:r>
      <w:r w:rsidRPr="00167961" w:rsidR="00E319FF">
        <w:rPr>
          <w:sz w:val="22"/>
          <w:szCs w:val="22"/>
        </w:rPr>
        <w:t xml:space="preserve"> EPA ICR N</w:t>
      </w:r>
      <w:r w:rsidR="00C962E6">
        <w:rPr>
          <w:sz w:val="22"/>
          <w:szCs w:val="22"/>
        </w:rPr>
        <w:t>o. 2725.01</w:t>
      </w:r>
      <w:r w:rsidRPr="00C962E6" w:rsidR="00E319FF">
        <w:rPr>
          <w:rStyle w:val="eop"/>
          <w:color w:val="000000"/>
          <w:sz w:val="22"/>
          <w:szCs w:val="22"/>
          <w:shd w:val="clear" w:color="auto" w:fill="FFFFFF"/>
        </w:rPr>
        <w:t>, OMB Control</w:t>
      </w:r>
      <w:r w:rsidRPr="00167961" w:rsidR="00E319FF">
        <w:rPr>
          <w:rStyle w:val="eop"/>
          <w:color w:val="000000"/>
          <w:sz w:val="22"/>
          <w:szCs w:val="22"/>
          <w:shd w:val="clear" w:color="auto" w:fill="FFFFFF"/>
        </w:rPr>
        <w:t xml:space="preserve"> N</w:t>
      </w:r>
      <w:r w:rsidR="00C962E6">
        <w:rPr>
          <w:rStyle w:val="eop"/>
          <w:color w:val="000000"/>
          <w:sz w:val="22"/>
          <w:szCs w:val="22"/>
          <w:shd w:val="clear" w:color="auto" w:fill="FFFFFF"/>
        </w:rPr>
        <w:t>o.</w:t>
      </w:r>
      <w:r w:rsidRPr="00167961" w:rsidR="00075ABF">
        <w:rPr>
          <w:rStyle w:val="eop"/>
          <w:color w:val="000000"/>
          <w:sz w:val="22"/>
          <w:szCs w:val="22"/>
          <w:shd w:val="clear" w:color="auto" w:fill="FFFFFF"/>
        </w:rPr>
        <w:t xml:space="preserve"> </w:t>
      </w:r>
      <w:r w:rsidRPr="00C962E6" w:rsidR="00075ABF">
        <w:rPr>
          <w:sz w:val="22"/>
          <w:szCs w:val="22"/>
        </w:rPr>
        <w:t>2050-</w:t>
      </w:r>
      <w:r w:rsidRPr="006F62B5" w:rsidR="00B2225C">
        <w:rPr>
          <w:sz w:val="22"/>
          <w:szCs w:val="22"/>
        </w:rPr>
        <w:t>NEW</w:t>
      </w:r>
      <w:r w:rsidRPr="006F62B5" w:rsidR="00391A8C">
        <w:rPr>
          <w:sz w:val="22"/>
          <w:szCs w:val="22"/>
        </w:rPr>
        <w:t>.</w:t>
      </w:r>
    </w:p>
    <w:p w:rsidRPr="00462679" w:rsidR="00C61E11" w:rsidP="00C40162" w:rsidRDefault="00C61E11" w14:paraId="7A9C7B4C"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462679">
        <w:rPr>
          <w:b/>
          <w:bCs/>
          <w:sz w:val="22"/>
          <w:szCs w:val="22"/>
        </w:rPr>
        <w:t xml:space="preserve">1(b) </w:t>
      </w:r>
      <w:r w:rsidRPr="00462679">
        <w:rPr>
          <w:b/>
          <w:bCs/>
          <w:sz w:val="22"/>
          <w:szCs w:val="22"/>
        </w:rPr>
        <w:tab/>
        <w:t>Short Characterization</w:t>
      </w:r>
    </w:p>
    <w:p w:rsidRPr="00586F1B" w:rsidR="00BC06FE" w:rsidP="00FA4DAB" w:rsidRDefault="00C61E11" w14:paraId="6FA14234" w14:textId="15868A65">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highlight w:val="yellow"/>
        </w:rPr>
      </w:pPr>
      <w:bookmarkStart w:name="_Hlk13844121" w:id="1"/>
      <w:r w:rsidRPr="00462679">
        <w:rPr>
          <w:sz w:val="22"/>
          <w:szCs w:val="22"/>
        </w:rPr>
        <w:t>This information collection request (ICR)</w:t>
      </w:r>
      <w:r w:rsidR="00FA4DAB">
        <w:rPr>
          <w:sz w:val="22"/>
          <w:szCs w:val="22"/>
        </w:rPr>
        <w:t xml:space="preserve"> </w:t>
      </w:r>
      <w:r w:rsidRPr="00FA4DAB" w:rsidR="00FA4DAB">
        <w:rPr>
          <w:sz w:val="22"/>
          <w:szCs w:val="22"/>
        </w:rPr>
        <w:t>accounts for requirements in the Accidental Release Prevention Requirements: Risk Management Programs Under th</w:t>
      </w:r>
      <w:r w:rsidR="009A5A87">
        <w:rPr>
          <w:sz w:val="22"/>
          <w:szCs w:val="22"/>
        </w:rPr>
        <w:t>e</w:t>
      </w:r>
      <w:r w:rsidRPr="00FA4DAB" w:rsidR="00FA4DAB">
        <w:rPr>
          <w:sz w:val="22"/>
          <w:szCs w:val="22"/>
        </w:rPr>
        <w:t xml:space="preserve"> Clean Air Act; Safer Communities by Chemical Accident Prevention proposed rule. </w:t>
      </w:r>
      <w:r w:rsidRPr="009C6838" w:rsidR="00FA4DAB">
        <w:rPr>
          <w:sz w:val="22"/>
          <w:szCs w:val="22"/>
        </w:rPr>
        <w:t>The proposed revisions seek to improve chemical process safety, assist in planning, preparedness, and responding to RMP accidents, and improve public awareness of chemical hazards at regulated sources. To accomplish this, these proposed provisions include several change</w:t>
      </w:r>
      <w:r w:rsidR="00FA4DAB">
        <w:rPr>
          <w:sz w:val="22"/>
          <w:szCs w:val="22"/>
        </w:rPr>
        <w:t>s to</w:t>
      </w:r>
      <w:r w:rsidRPr="00FA4DAB" w:rsidR="006E1175">
        <w:rPr>
          <w:sz w:val="22"/>
          <w:szCs w:val="22"/>
        </w:rPr>
        <w:t xml:space="preserve"> the accident prevention</w:t>
      </w:r>
      <w:r w:rsidRPr="006E1175" w:rsidR="006E1175">
        <w:rPr>
          <w:sz w:val="22"/>
          <w:szCs w:val="22"/>
        </w:rPr>
        <w:t xml:space="preserve"> program requirements, enhancements to the emergency preparedness requirements, increased public availability of chemical hazard information, and several other changes to certain regulatory definitions or points of clarification. </w:t>
      </w:r>
    </w:p>
    <w:p w:rsidRPr="00586F1B" w:rsidR="003D3547" w:rsidP="003D3547" w:rsidRDefault="003D3547" w14:paraId="1D88E294" w14:textId="77777777">
      <w:pPr>
        <w:widowControl/>
        <w:rPr>
          <w:sz w:val="22"/>
          <w:szCs w:val="22"/>
          <w:highlight w:val="yellow"/>
        </w:rPr>
      </w:pPr>
    </w:p>
    <w:bookmarkEnd w:id="1"/>
    <w:p w:rsidRPr="00E42B17" w:rsidR="003B4DF7" w:rsidP="00141673" w:rsidRDefault="003B4DF7" w14:paraId="09E95F5E" w14:textId="74F95910">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240"/>
        <w:ind w:firstLine="720"/>
        <w:rPr>
          <w:sz w:val="22"/>
          <w:szCs w:val="22"/>
        </w:rPr>
      </w:pPr>
      <w:r w:rsidRPr="00E42B17">
        <w:rPr>
          <w:sz w:val="22"/>
          <w:szCs w:val="22"/>
        </w:rPr>
        <w:t xml:space="preserve">This ICR estimates burden for existing and new sources that are required to comply with </w:t>
      </w:r>
      <w:r w:rsidR="009A5A87">
        <w:rPr>
          <w:sz w:val="22"/>
          <w:szCs w:val="22"/>
        </w:rPr>
        <w:t xml:space="preserve">the </w:t>
      </w:r>
      <w:r w:rsidR="00FA4DAB">
        <w:rPr>
          <w:sz w:val="22"/>
          <w:szCs w:val="22"/>
        </w:rPr>
        <w:t xml:space="preserve">proposed </w:t>
      </w:r>
      <w:r w:rsidRPr="00E42B17">
        <w:rPr>
          <w:sz w:val="22"/>
          <w:szCs w:val="22"/>
        </w:rPr>
        <w:t xml:space="preserve">RMP </w:t>
      </w:r>
      <w:r w:rsidR="00FA4DAB">
        <w:rPr>
          <w:sz w:val="22"/>
          <w:szCs w:val="22"/>
        </w:rPr>
        <w:t>revisions</w:t>
      </w:r>
      <w:r w:rsidRPr="00E42B17">
        <w:rPr>
          <w:sz w:val="22"/>
          <w:szCs w:val="22"/>
        </w:rPr>
        <w:t xml:space="preserve">. </w:t>
      </w:r>
    </w:p>
    <w:p w:rsidRPr="005F27B8" w:rsidR="00C61E11" w:rsidP="008B549D" w:rsidRDefault="00C61E11" w14:paraId="4FD45D77" w14:textId="7BEA67D1">
      <w:pPr>
        <w:tabs>
          <w:tab w:val="left" w:pos="720"/>
          <w:tab w:val="left" w:pos="1440"/>
          <w:tab w:val="left" w:pos="2160"/>
          <w:tab w:val="left" w:pos="2880"/>
          <w:tab w:val="left" w:pos="3600"/>
          <w:tab w:val="left" w:pos="4320"/>
          <w:tab w:val="left" w:pos="5040"/>
          <w:tab w:val="left" w:pos="5760"/>
          <w:tab w:val="left" w:pos="6480"/>
          <w:tab w:val="left" w:pos="7200"/>
          <w:tab w:val="left" w:pos="7922"/>
        </w:tabs>
        <w:rPr>
          <w:b/>
          <w:sz w:val="22"/>
          <w:szCs w:val="22"/>
        </w:rPr>
      </w:pPr>
      <w:r w:rsidRPr="005F27B8">
        <w:rPr>
          <w:b/>
          <w:sz w:val="22"/>
          <w:szCs w:val="22"/>
        </w:rPr>
        <w:t>2.</w:t>
      </w:r>
      <w:r w:rsidRPr="005F27B8">
        <w:rPr>
          <w:b/>
          <w:sz w:val="22"/>
          <w:szCs w:val="22"/>
        </w:rPr>
        <w:tab/>
        <w:t>NEED FOR AND USE OF THE COLLECTION</w:t>
      </w:r>
    </w:p>
    <w:p w:rsidRPr="005F27B8" w:rsidR="008B549D" w:rsidP="008B549D" w:rsidRDefault="008B549D" w14:paraId="6A9DC2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b/>
          <w:sz w:val="22"/>
          <w:szCs w:val="22"/>
        </w:rPr>
      </w:pPr>
    </w:p>
    <w:p w:rsidRPr="005F27B8" w:rsidR="00C61E11" w:rsidP="008B549D" w:rsidRDefault="00C61E11" w14:paraId="5ECB62BB" w14:textId="57DB5BD6">
      <w:pPr>
        <w:tabs>
          <w:tab w:val="left" w:pos="720"/>
          <w:tab w:val="left" w:pos="1440"/>
          <w:tab w:val="left" w:pos="2160"/>
          <w:tab w:val="left" w:pos="2880"/>
          <w:tab w:val="left" w:pos="3600"/>
          <w:tab w:val="left" w:pos="4320"/>
          <w:tab w:val="left" w:pos="5040"/>
          <w:tab w:val="left" w:pos="5760"/>
          <w:tab w:val="left" w:pos="6480"/>
          <w:tab w:val="left" w:pos="7200"/>
          <w:tab w:val="left" w:pos="7922"/>
        </w:tabs>
        <w:rPr>
          <w:b/>
          <w:sz w:val="22"/>
          <w:szCs w:val="22"/>
        </w:rPr>
      </w:pPr>
      <w:r w:rsidRPr="005F27B8">
        <w:rPr>
          <w:b/>
          <w:sz w:val="22"/>
          <w:szCs w:val="22"/>
        </w:rPr>
        <w:t>2(a)</w:t>
      </w:r>
      <w:r w:rsidRPr="005F27B8">
        <w:rPr>
          <w:b/>
          <w:sz w:val="22"/>
          <w:szCs w:val="22"/>
        </w:rPr>
        <w:tab/>
        <w:t>Need/Authority for the Collection</w:t>
      </w:r>
    </w:p>
    <w:p w:rsidRPr="00586F1B" w:rsidR="008B549D" w:rsidP="008B549D" w:rsidRDefault="008B549D" w14:paraId="155F166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b/>
          <w:sz w:val="22"/>
          <w:szCs w:val="22"/>
          <w:highlight w:val="yellow"/>
        </w:rPr>
      </w:pPr>
    </w:p>
    <w:p w:rsidR="001539AB" w:rsidP="001539AB" w:rsidRDefault="001539AB" w14:paraId="4AAB43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b/>
          <w:iCs/>
          <w:sz w:val="22"/>
          <w:szCs w:val="22"/>
          <w:u w:val="single"/>
        </w:rPr>
      </w:pPr>
      <w:r w:rsidRPr="00937964">
        <w:rPr>
          <w:b/>
          <w:iCs/>
          <w:sz w:val="22"/>
          <w:szCs w:val="22"/>
          <w:u w:val="single"/>
        </w:rPr>
        <w:t>Risk Management Plans</w:t>
      </w:r>
    </w:p>
    <w:p w:rsidR="001539AB" w:rsidP="001539AB" w:rsidRDefault="001539AB" w14:paraId="274941B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b/>
          <w:iCs/>
          <w:sz w:val="22"/>
          <w:szCs w:val="22"/>
          <w:u w:val="single"/>
        </w:rPr>
      </w:pPr>
    </w:p>
    <w:p w:rsidR="00C962E6" w:rsidP="00C962E6" w:rsidRDefault="001539AB" w14:paraId="06520E7F" w14:textId="37567398">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Pr>
          <w:sz w:val="22"/>
          <w:szCs w:val="22"/>
        </w:rPr>
        <w:tab/>
      </w:r>
      <w:r w:rsidRPr="009C6838" w:rsidR="00C962E6">
        <w:rPr>
          <w:sz w:val="22"/>
          <w:szCs w:val="28"/>
        </w:rPr>
        <w:t>The</w:t>
      </w:r>
      <w:r w:rsidR="00C962E6">
        <w:rPr>
          <w:sz w:val="22"/>
          <w:szCs w:val="28"/>
        </w:rPr>
        <w:t xml:space="preserve"> proposed</w:t>
      </w:r>
      <w:r w:rsidRPr="009C6838" w:rsidR="00C962E6">
        <w:rPr>
          <w:sz w:val="22"/>
          <w:szCs w:val="28"/>
        </w:rPr>
        <w:t xml:space="preserve"> </w:t>
      </w:r>
      <w:r w:rsidR="00C962E6">
        <w:rPr>
          <w:sz w:val="22"/>
          <w:szCs w:val="28"/>
        </w:rPr>
        <w:t xml:space="preserve">changes </w:t>
      </w:r>
      <w:r w:rsidRPr="009C6838" w:rsidR="00C962E6">
        <w:rPr>
          <w:sz w:val="22"/>
          <w:szCs w:val="28"/>
        </w:rPr>
        <w:t xml:space="preserve">to the current RMP rule </w:t>
      </w:r>
      <w:r w:rsidR="00C962E6">
        <w:rPr>
          <w:sz w:val="22"/>
          <w:szCs w:val="28"/>
        </w:rPr>
        <w:t xml:space="preserve">would </w:t>
      </w:r>
      <w:r w:rsidRPr="009C6838" w:rsidR="00C962E6">
        <w:rPr>
          <w:sz w:val="22"/>
          <w:szCs w:val="28"/>
        </w:rPr>
        <w:t xml:space="preserve">improve safety at facilities that use and distribute hazardous chemicals. EPA believes that the RMP regulations have been effective in preventing and mitigating chemical accidents in the United States and that the proposed revisions, by giving special consideration to concerns about climate change and environmental justice and building on lessons learned from the current regulatory program, </w:t>
      </w:r>
      <w:r w:rsidRPr="009C6838" w:rsidDel="002C0B55" w:rsidR="00C962E6">
        <w:rPr>
          <w:sz w:val="22"/>
          <w:szCs w:val="28"/>
        </w:rPr>
        <w:t>could</w:t>
      </w:r>
      <w:r w:rsidRPr="009C6838" w:rsidR="00C962E6">
        <w:rPr>
          <w:sz w:val="22"/>
          <w:szCs w:val="28"/>
        </w:rPr>
        <w:t xml:space="preserve"> further protect human health and the environment from chemical hazards through advancement of process safety. These revisions are informed by EPA’s review of the current RMP rule and information EPA gathered from public listening sessions held in June and July 2021</w:t>
      </w:r>
      <w:r w:rsidR="00C962E6">
        <w:rPr>
          <w:sz w:val="22"/>
          <w:szCs w:val="28"/>
        </w:rPr>
        <w:t>.</w:t>
      </w:r>
      <w:r w:rsidRPr="00C13271" w:rsidR="00C962E6">
        <w:rPr>
          <w:sz w:val="24"/>
        </w:rPr>
        <w:tab/>
      </w:r>
    </w:p>
    <w:p w:rsidR="00C962E6" w:rsidP="00C962E6" w:rsidRDefault="00C962E6" w14:paraId="1502E3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Pr="00C962E6" w:rsidR="00C962E6" w:rsidP="00C962E6" w:rsidRDefault="00C962E6" w14:paraId="122D053E" w14:textId="01955D3D">
      <w:pPr>
        <w:numPr>
          <w:ilvl w:val="12"/>
          <w:numId w:val="0"/>
        </w:numPr>
        <w:rPr>
          <w:sz w:val="22"/>
          <w:szCs w:val="22"/>
        </w:rPr>
      </w:pPr>
      <w:r>
        <w:rPr>
          <w:sz w:val="22"/>
          <w:szCs w:val="22"/>
        </w:rPr>
        <w:tab/>
      </w:r>
      <w:r w:rsidRPr="00C962E6">
        <w:rPr>
          <w:sz w:val="22"/>
          <w:szCs w:val="22"/>
        </w:rPr>
        <w:t xml:space="preserve">The statutory authority for this action is provided by section 112(r) of the </w:t>
      </w:r>
      <w:r w:rsidR="00BF518D">
        <w:rPr>
          <w:sz w:val="22"/>
          <w:szCs w:val="22"/>
        </w:rPr>
        <w:t>Clean Air Act (</w:t>
      </w:r>
      <w:r w:rsidRPr="00C962E6">
        <w:rPr>
          <w:sz w:val="22"/>
          <w:szCs w:val="22"/>
        </w:rPr>
        <w:t>CAA</w:t>
      </w:r>
      <w:r w:rsidR="00BF518D">
        <w:rPr>
          <w:sz w:val="22"/>
          <w:szCs w:val="22"/>
        </w:rPr>
        <w:t>)</w:t>
      </w:r>
      <w:r w:rsidRPr="00C962E6">
        <w:rPr>
          <w:sz w:val="22"/>
          <w:szCs w:val="22"/>
        </w:rPr>
        <w:t xml:space="preserve"> as amended (42 U.S.C. § 7412(r)). Each modification of the RMP rule that EPA proposes in this document is based on EPA’s rulemaking authority under CAA section 112(r)(7) (42 U.S.C. § 7412(r)(7)). When promulgating rules under CAA section 112(r)(7)(A) and (B), EPA must follow the procedures for rulemaking set out in CAA section 307(d) (see CAA sections 112(r)(7)(E) and 307(d)(1)(C)). Among other things, CAA section 307(d) sets out requirements for the content of proposed and final rules, the docket for each rulemaking, opportunities for oral testimony on proposed rulemakings, the length of time for comments, and judicial review. The agencies implementing the Risk Management Program rule use RMPs to evaluate compliance with the Chemical Accident Prevention Provisions in 40 CFR part 68 and to identify sources for inspection that may pose significant risks to the community. Citizens may use the </w:t>
      </w:r>
      <w:r w:rsidRPr="00C962E6">
        <w:rPr>
          <w:sz w:val="22"/>
          <w:szCs w:val="22"/>
        </w:rPr>
        <w:lastRenderedPageBreak/>
        <w:t>information to assess and address chemical hazards in their communities and to respond appropriately in the event of a release of a regulated substance.</w:t>
      </w:r>
    </w:p>
    <w:p w:rsidRPr="007F7266" w:rsidR="008C271F" w:rsidP="008C271F" w:rsidRDefault="00356557" w14:paraId="0957AF05" w14:textId="7FA054F3">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Pr>
          <w:sz w:val="22"/>
          <w:szCs w:val="28"/>
        </w:rPr>
        <w:tab/>
      </w:r>
    </w:p>
    <w:p w:rsidRPr="007F7266" w:rsidR="00C61E11" w:rsidP="00575402" w:rsidRDefault="00C61E11" w14:paraId="076499EC" w14:textId="564D41AE">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rPr>
      </w:pPr>
      <w:r w:rsidRPr="007F7266">
        <w:rPr>
          <w:b/>
          <w:bCs/>
          <w:sz w:val="22"/>
          <w:szCs w:val="22"/>
        </w:rPr>
        <w:t>2(b)</w:t>
      </w:r>
      <w:r w:rsidRPr="007F7266">
        <w:rPr>
          <w:b/>
          <w:bCs/>
          <w:sz w:val="22"/>
          <w:szCs w:val="22"/>
        </w:rPr>
        <w:tab/>
        <w:t>Use/Users of the Data</w:t>
      </w:r>
    </w:p>
    <w:p w:rsidR="00F4215E" w:rsidP="00F4215E" w:rsidRDefault="00F4215E" w14:paraId="2CCACD91" w14:textId="57202A4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sidRPr="007F7266">
        <w:rPr>
          <w:sz w:val="22"/>
          <w:szCs w:val="22"/>
        </w:rPr>
        <w:tab/>
      </w:r>
    </w:p>
    <w:p w:rsidR="007F7266" w:rsidP="007F7266" w:rsidRDefault="007F7266" w14:paraId="7FBDCCF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u w:val="single"/>
        </w:rPr>
      </w:pPr>
      <w:r w:rsidRPr="00937964">
        <w:rPr>
          <w:b/>
          <w:bCs/>
          <w:sz w:val="22"/>
          <w:szCs w:val="22"/>
          <w:u w:val="single"/>
        </w:rPr>
        <w:t>Risk Management Plans</w:t>
      </w:r>
    </w:p>
    <w:p w:rsidRPr="00937964" w:rsidR="007F7266" w:rsidP="007F7266" w:rsidRDefault="007F7266" w14:paraId="2F6E32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u w:val="single"/>
        </w:rPr>
      </w:pPr>
    </w:p>
    <w:p w:rsidR="007F7266" w:rsidP="007F7266" w:rsidRDefault="007F7266" w14:paraId="3184AC72" w14:textId="3F4B5123">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Pr>
          <w:sz w:val="22"/>
          <w:szCs w:val="22"/>
        </w:rPr>
        <w:tab/>
      </w:r>
      <w:r w:rsidRPr="00C40162">
        <w:rPr>
          <w:sz w:val="22"/>
          <w:szCs w:val="22"/>
        </w:rPr>
        <w:t xml:space="preserve">The information collected in the </w:t>
      </w:r>
      <w:r w:rsidR="00693966">
        <w:rPr>
          <w:sz w:val="22"/>
          <w:szCs w:val="22"/>
        </w:rPr>
        <w:t>risk management plans (</w:t>
      </w:r>
      <w:r w:rsidRPr="00C40162">
        <w:rPr>
          <w:sz w:val="22"/>
          <w:szCs w:val="22"/>
        </w:rPr>
        <w:t>RMP</w:t>
      </w:r>
      <w:r w:rsidR="00693966">
        <w:rPr>
          <w:sz w:val="22"/>
          <w:szCs w:val="22"/>
        </w:rPr>
        <w:t>s)</w:t>
      </w:r>
      <w:r w:rsidRPr="00C40162">
        <w:rPr>
          <w:sz w:val="22"/>
          <w:szCs w:val="22"/>
        </w:rPr>
        <w:t xml:space="preserve"> is critical for assisting government agencies in assessing the quality and thoroughness of a source’s hazard assessment, prevention program, and emergency response program. The information also </w:t>
      </w:r>
      <w:r>
        <w:rPr>
          <w:sz w:val="22"/>
          <w:szCs w:val="22"/>
        </w:rPr>
        <w:t>is</w:t>
      </w:r>
      <w:r w:rsidRPr="00C40162">
        <w:rPr>
          <w:sz w:val="22"/>
          <w:szCs w:val="22"/>
        </w:rPr>
        <w:t xml:space="preserve"> used by </w:t>
      </w:r>
      <w:r>
        <w:rPr>
          <w:sz w:val="22"/>
          <w:szCs w:val="22"/>
        </w:rPr>
        <w:t>State</w:t>
      </w:r>
      <w:r w:rsidRPr="00C40162">
        <w:rPr>
          <w:sz w:val="22"/>
          <w:szCs w:val="22"/>
        </w:rPr>
        <w:t xml:space="preserve"> and local emergency planners to prepare or modify community response plans, identify hazards to the community and provide a basis for working with sources to prevent accidents. </w:t>
      </w:r>
      <w:r w:rsidRPr="00F558FE">
        <w:rPr>
          <w:sz w:val="22"/>
          <w:szCs w:val="22"/>
        </w:rPr>
        <w:t>The public uses the info</w:t>
      </w:r>
      <w:r w:rsidRPr="00D0493E">
        <w:rPr>
          <w:sz w:val="22"/>
          <w:szCs w:val="22"/>
        </w:rPr>
        <w:t>rmation to understand the risks posed by accidental releases and to respond to warnings and advice should a release occur.</w:t>
      </w:r>
    </w:p>
    <w:p w:rsidRPr="00D0493E" w:rsidR="007F7266" w:rsidP="007F7266" w:rsidRDefault="007F7266" w14:paraId="49D8503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7F7266" w:rsidP="007F7266" w:rsidRDefault="007F7266" w14:paraId="0A89BCFA" w14:textId="47747572">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u w:val="single"/>
        </w:rPr>
      </w:pPr>
      <w:r w:rsidRPr="00937964">
        <w:rPr>
          <w:b/>
          <w:bCs/>
          <w:sz w:val="22"/>
          <w:szCs w:val="22"/>
          <w:u w:val="single"/>
        </w:rPr>
        <w:t>Risk Management Program</w:t>
      </w:r>
      <w:r w:rsidR="00693966">
        <w:rPr>
          <w:b/>
          <w:bCs/>
          <w:sz w:val="22"/>
          <w:szCs w:val="22"/>
          <w:u w:val="single"/>
        </w:rPr>
        <w:t>s</w:t>
      </w:r>
    </w:p>
    <w:p w:rsidR="007F7266" w:rsidP="007F7266" w:rsidRDefault="007F7266" w14:paraId="61236D6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u w:val="single"/>
        </w:rPr>
      </w:pPr>
    </w:p>
    <w:p w:rsidRPr="007F7266" w:rsidR="007F7266" w:rsidP="007F7266" w:rsidRDefault="007F7266" w14:paraId="080290CE" w14:textId="78CE037E">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Pr>
          <w:sz w:val="22"/>
          <w:szCs w:val="22"/>
        </w:rPr>
        <w:tab/>
      </w:r>
      <w:r w:rsidRPr="00C40162">
        <w:rPr>
          <w:sz w:val="22"/>
          <w:szCs w:val="22"/>
        </w:rPr>
        <w:t>Documentation of the implementation of risk management programs is necessary to assist government agencies in determining whether a source has complied with the regulations.</w:t>
      </w:r>
      <w:r>
        <w:rPr>
          <w:sz w:val="22"/>
          <w:szCs w:val="22"/>
        </w:rPr>
        <w:t xml:space="preserve"> </w:t>
      </w:r>
      <w:r w:rsidRPr="005200BE">
        <w:rPr>
          <w:sz w:val="22"/>
          <w:szCs w:val="22"/>
        </w:rPr>
        <w:t xml:space="preserve">In some cases (e.g., safety information and operating procedures), the documentation is a critical requirement of the rule and provides the basis for other rule elements. </w:t>
      </w:r>
      <w:r w:rsidRPr="00F558FE">
        <w:rPr>
          <w:sz w:val="22"/>
          <w:szCs w:val="22"/>
        </w:rPr>
        <w:t>The documentation also</w:t>
      </w:r>
      <w:r>
        <w:rPr>
          <w:sz w:val="22"/>
          <w:szCs w:val="22"/>
        </w:rPr>
        <w:t xml:space="preserve"> is</w:t>
      </w:r>
      <w:r w:rsidRPr="00F558FE">
        <w:rPr>
          <w:sz w:val="22"/>
          <w:szCs w:val="22"/>
        </w:rPr>
        <w:t xml:space="preserve"> important to provide a basis for the facility’s ability to ensure implementation (e.g., tra</w:t>
      </w:r>
      <w:r>
        <w:rPr>
          <w:sz w:val="22"/>
          <w:szCs w:val="22"/>
        </w:rPr>
        <w:t>i</w:t>
      </w:r>
      <w:r w:rsidRPr="00F558FE">
        <w:rPr>
          <w:sz w:val="22"/>
          <w:szCs w:val="22"/>
        </w:rPr>
        <w:t>ning and maintenance records), to audit compli</w:t>
      </w:r>
      <w:r w:rsidRPr="00D0493E">
        <w:rPr>
          <w:sz w:val="22"/>
          <w:szCs w:val="22"/>
        </w:rPr>
        <w:t>ance, and to review past activities. Furthermore, records of past analyses can limit the burden of updates by reducing the need to repeat analyses for elements that are unchanged since the previous review</w:t>
      </w:r>
      <w:r>
        <w:rPr>
          <w:sz w:val="22"/>
          <w:szCs w:val="22"/>
        </w:rPr>
        <w:t>.</w:t>
      </w:r>
    </w:p>
    <w:p w:rsidRPr="00586F1B" w:rsidR="00A37CF8" w:rsidP="009C6838" w:rsidRDefault="0087198C" w14:paraId="7B0916F4" w14:textId="01802A19">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highlight w:val="yellow"/>
          <w:u w:val="single"/>
        </w:rPr>
      </w:pPr>
      <w:r>
        <w:rPr>
          <w:sz w:val="22"/>
          <w:szCs w:val="22"/>
        </w:rPr>
        <w:tab/>
      </w:r>
    </w:p>
    <w:p w:rsidRPr="00F4215E" w:rsidR="00C61E11" w:rsidP="00575402" w:rsidRDefault="00C61E11" w14:paraId="25105E26" w14:textId="18FEC737">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rPr>
      </w:pPr>
      <w:r w:rsidRPr="00F4215E">
        <w:rPr>
          <w:b/>
          <w:bCs/>
          <w:sz w:val="22"/>
          <w:szCs w:val="22"/>
        </w:rPr>
        <w:t>3.</w:t>
      </w:r>
      <w:r w:rsidRPr="00F4215E">
        <w:rPr>
          <w:b/>
          <w:bCs/>
          <w:sz w:val="22"/>
          <w:szCs w:val="22"/>
        </w:rPr>
        <w:tab/>
        <w:t>NONDUPLICATION, CONSULTATIONS, AND OTHER COLLECTION CRITERIA</w:t>
      </w:r>
    </w:p>
    <w:p w:rsidRPr="00F4215E" w:rsidR="00575402" w:rsidP="00575402" w:rsidRDefault="00575402" w14:paraId="012D51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99563A" w:rsidP="00575402" w:rsidRDefault="00C61E11" w14:paraId="28BEC161" w14:textId="061E168D">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sidRPr="00F4215E">
        <w:rPr>
          <w:b/>
          <w:bCs/>
          <w:sz w:val="22"/>
          <w:szCs w:val="22"/>
        </w:rPr>
        <w:t>3(a)</w:t>
      </w:r>
      <w:r w:rsidRPr="00F4215E">
        <w:rPr>
          <w:b/>
          <w:bCs/>
          <w:sz w:val="22"/>
          <w:szCs w:val="22"/>
        </w:rPr>
        <w:tab/>
        <w:t>Nonduplication</w:t>
      </w:r>
      <w:r w:rsidRPr="00F4215E" w:rsidR="00D0493E">
        <w:rPr>
          <w:sz w:val="22"/>
          <w:szCs w:val="22"/>
        </w:rPr>
        <w:t xml:space="preserve"> </w:t>
      </w:r>
    </w:p>
    <w:p w:rsidR="00DC1F31" w:rsidP="00575402" w:rsidRDefault="00DC1F31" w14:paraId="1C5C17C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themeColor="text1"/>
        </w:rPr>
      </w:pPr>
    </w:p>
    <w:p w:rsidRPr="003F3C29" w:rsidR="00DC1F31" w:rsidP="003F3C29" w:rsidRDefault="00DC1F31" w14:paraId="4B53E1AF" w14:textId="13E8CC8D">
      <w:pPr>
        <w:ind w:firstLine="360"/>
        <w:rPr>
          <w:sz w:val="22"/>
          <w:szCs w:val="22"/>
        </w:rPr>
      </w:pPr>
      <w:r>
        <w:rPr>
          <w:color w:val="000000" w:themeColor="text1"/>
        </w:rPr>
        <w:tab/>
      </w:r>
      <w:r w:rsidRPr="003F3C29" w:rsidR="003F3C29">
        <w:rPr>
          <w:sz w:val="22"/>
          <w:szCs w:val="22"/>
        </w:rPr>
        <w:t xml:space="preserve">In the United States, the Emergency Planning and Community Right to Know Act (EPCRA) was enacted in 1986 to promote community emergency planning and preparedness and provide local responders and the public with information about the chemical hazards in their community (42 U.S.C. 11002 et seq.). In 1990, sections 112(r) and 304 of the CAA were enacted to help prevent severe chemical facility accidents. Section 304 required the Occupational Safety &amp; Health Administration (OSHA) to publish a chemical process safety standard (Process Safety Management, or PSM standard) to prevent accidental releases of chemicals that could pose a threat to employees. </w:t>
      </w:r>
      <w:r w:rsidRPr="003F3C29" w:rsidR="001A559F">
        <w:rPr>
          <w:sz w:val="22"/>
          <w:szCs w:val="22"/>
        </w:rPr>
        <w:t xml:space="preserve">Section 112(r) required the Environmental Protection Agency (EPA) to publish Accidental Release Prevention Program regulations to prevent chemical releases or minimize their consequences if they occur. </w:t>
      </w:r>
      <w:r w:rsidRPr="003F3C29" w:rsidR="002276CF">
        <w:rPr>
          <w:sz w:val="22"/>
          <w:szCs w:val="22"/>
        </w:rPr>
        <w:t xml:space="preserve">CAA </w:t>
      </w:r>
      <w:r w:rsidRPr="003F3C29">
        <w:rPr>
          <w:color w:val="000000" w:themeColor="text1"/>
          <w:sz w:val="22"/>
          <w:szCs w:val="22"/>
        </w:rPr>
        <w:t>section 112(r) requires the owner or operator of an affected facility to develop and file a Risk Management Plan with EPA, the U.S. Chemical Safety Board (CSB) (also established under the section), the State, and local response agencies. OSHA adopted its PSM standard (codified at 29 CFR 1910.119) in 1992 (57 FR 6403, Feb. 24, 1992).</w:t>
      </w:r>
      <w:r w:rsidR="00BA15FB">
        <w:rPr>
          <w:color w:val="000000" w:themeColor="text1"/>
          <w:sz w:val="22"/>
          <w:szCs w:val="22"/>
        </w:rPr>
        <w:t xml:space="preserve"> </w:t>
      </w:r>
      <w:r w:rsidRPr="00C40162" w:rsidR="00BA15FB">
        <w:rPr>
          <w:sz w:val="22"/>
          <w:szCs w:val="22"/>
        </w:rPr>
        <w:t xml:space="preserve">However, not all the information in the RMP registration section, and almost none of the information in the prevention program and hazard assessment sections of the RMP, is submitted to EPA under other regulations. </w:t>
      </w:r>
      <w:r w:rsidRPr="00F558FE" w:rsidR="00BA15FB">
        <w:rPr>
          <w:sz w:val="22"/>
          <w:szCs w:val="22"/>
        </w:rPr>
        <w:t xml:space="preserve">The </w:t>
      </w:r>
      <w:smartTag w:uri="urn:schemas-microsoft-com:office:smarttags" w:element="stockticker">
        <w:r w:rsidR="00BA15FB" w:rsidRPr="00F558FE">
          <w:rPr>
            <w:sz w:val="22"/>
            <w:szCs w:val="22"/>
          </w:rPr>
          <w:t>EPC</w:t>
        </w:r>
      </w:smartTag>
      <w:r w:rsidRPr="00F558FE" w:rsidR="00BA15FB">
        <w:rPr>
          <w:sz w:val="22"/>
          <w:szCs w:val="22"/>
        </w:rPr>
        <w:t xml:space="preserve">RA </w:t>
      </w:r>
      <w:r w:rsidR="00BA15FB">
        <w:rPr>
          <w:sz w:val="22"/>
          <w:szCs w:val="22"/>
        </w:rPr>
        <w:t xml:space="preserve">section </w:t>
      </w:r>
      <w:r w:rsidRPr="00F558FE" w:rsidR="00BA15FB">
        <w:rPr>
          <w:sz w:val="22"/>
          <w:szCs w:val="22"/>
        </w:rPr>
        <w:t>312</w:t>
      </w:r>
      <w:r w:rsidRPr="00D0493E" w:rsidR="00BA15FB">
        <w:rPr>
          <w:sz w:val="22"/>
          <w:szCs w:val="22"/>
        </w:rPr>
        <w:t xml:space="preserve"> </w:t>
      </w:r>
      <w:r w:rsidRPr="005200BE" w:rsidR="00BA15FB">
        <w:rPr>
          <w:sz w:val="22"/>
          <w:szCs w:val="22"/>
        </w:rPr>
        <w:t xml:space="preserve">Tier II forms, which also include some information similar to that in the RMP registration form, are submitted only to </w:t>
      </w:r>
      <w:r w:rsidR="00BA15FB">
        <w:rPr>
          <w:sz w:val="22"/>
          <w:szCs w:val="22"/>
        </w:rPr>
        <w:t>State</w:t>
      </w:r>
      <w:r w:rsidRPr="005200BE" w:rsidR="00BA15FB">
        <w:rPr>
          <w:sz w:val="22"/>
          <w:szCs w:val="22"/>
        </w:rPr>
        <w:t>s and local planning authorities, not to EPA.</w:t>
      </w:r>
    </w:p>
    <w:p w:rsidRPr="00F4215E" w:rsidR="00575402" w:rsidP="00575402" w:rsidRDefault="00575402" w14:paraId="294A37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Pr="00C92504" w:rsidR="00C61E11" w:rsidP="00575402" w:rsidRDefault="00C61E11" w14:paraId="7D1D63A2" w14:textId="630FE9CF">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rPr>
      </w:pPr>
      <w:r w:rsidRPr="00C92504">
        <w:rPr>
          <w:b/>
          <w:bCs/>
          <w:sz w:val="22"/>
          <w:szCs w:val="22"/>
        </w:rPr>
        <w:t>3(b)</w:t>
      </w:r>
      <w:r w:rsidRPr="00C92504">
        <w:rPr>
          <w:b/>
          <w:bCs/>
          <w:sz w:val="22"/>
          <w:szCs w:val="22"/>
        </w:rPr>
        <w:tab/>
        <w:t>Public Notice</w:t>
      </w:r>
    </w:p>
    <w:p w:rsidRPr="00C92504" w:rsidR="00575402" w:rsidP="00575402" w:rsidRDefault="00575402" w14:paraId="37C7871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rPr>
      </w:pPr>
    </w:p>
    <w:p w:rsidRPr="00BA15FB" w:rsidR="00C61E11" w:rsidP="00575402" w:rsidRDefault="00C61E11" w14:paraId="4808F664" w14:textId="00898D63">
      <w:pPr>
        <w:tabs>
          <w:tab w:val="left" w:pos="720"/>
          <w:tab w:val="left" w:pos="1440"/>
          <w:tab w:val="left" w:pos="2160"/>
          <w:tab w:val="left" w:pos="2880"/>
          <w:tab w:val="left" w:pos="3600"/>
          <w:tab w:val="left" w:pos="4320"/>
          <w:tab w:val="left" w:pos="5040"/>
          <w:tab w:val="left" w:pos="5760"/>
          <w:tab w:val="left" w:pos="6480"/>
          <w:tab w:val="left" w:pos="7200"/>
          <w:tab w:val="left" w:pos="7922"/>
        </w:tabs>
        <w:ind w:left="90" w:hanging="90"/>
        <w:rPr>
          <w:sz w:val="22"/>
          <w:szCs w:val="22"/>
        </w:rPr>
      </w:pPr>
      <w:r w:rsidRPr="00C92504">
        <w:rPr>
          <w:sz w:val="22"/>
          <w:szCs w:val="22"/>
        </w:rPr>
        <w:tab/>
      </w:r>
      <w:r w:rsidRPr="00C92504">
        <w:rPr>
          <w:sz w:val="22"/>
          <w:szCs w:val="22"/>
        </w:rPr>
        <w:tab/>
      </w:r>
      <w:bookmarkStart w:name="_Hlk112661160" w:id="2"/>
      <w:r w:rsidRPr="00C92504">
        <w:rPr>
          <w:sz w:val="22"/>
          <w:szCs w:val="22"/>
        </w:rPr>
        <w:t xml:space="preserve">In compliance with the Paperwork Reduction Act (44 U.S.C. 3501 et seq.), the Agency </w:t>
      </w:r>
      <w:r w:rsidR="00377F7F">
        <w:rPr>
          <w:sz w:val="22"/>
          <w:szCs w:val="22"/>
        </w:rPr>
        <w:t xml:space="preserve">will </w:t>
      </w:r>
      <w:r w:rsidRPr="00C92504">
        <w:rPr>
          <w:sz w:val="22"/>
          <w:szCs w:val="22"/>
        </w:rPr>
        <w:t>notif</w:t>
      </w:r>
      <w:r w:rsidR="00377F7F">
        <w:rPr>
          <w:sz w:val="22"/>
          <w:szCs w:val="22"/>
        </w:rPr>
        <w:t>y</w:t>
      </w:r>
      <w:r w:rsidRPr="00C92504">
        <w:rPr>
          <w:sz w:val="22"/>
          <w:szCs w:val="22"/>
        </w:rPr>
        <w:t xml:space="preserve"> </w:t>
      </w:r>
      <w:r w:rsidRPr="00C92504">
        <w:rPr>
          <w:sz w:val="22"/>
          <w:szCs w:val="22"/>
        </w:rPr>
        <w:lastRenderedPageBreak/>
        <w:t>the public of the</w:t>
      </w:r>
      <w:r w:rsidR="00BA15FB">
        <w:rPr>
          <w:sz w:val="22"/>
          <w:szCs w:val="22"/>
        </w:rPr>
        <w:t xml:space="preserve"> proposed</w:t>
      </w:r>
      <w:r w:rsidRPr="00C92504">
        <w:rPr>
          <w:sz w:val="22"/>
          <w:szCs w:val="22"/>
        </w:rPr>
        <w:t xml:space="preserve"> ICR through publication of a Federal Register </w:t>
      </w:r>
      <w:r w:rsidRPr="00C962E6">
        <w:rPr>
          <w:sz w:val="22"/>
          <w:szCs w:val="22"/>
        </w:rPr>
        <w:t>notice</w:t>
      </w:r>
      <w:bookmarkStart w:name="_Hlk112661099" w:id="3"/>
      <w:bookmarkStart w:name="_Hlk112662702" w:id="4"/>
      <w:r w:rsidR="00377F7F">
        <w:rPr>
          <w:sz w:val="22"/>
          <w:szCs w:val="22"/>
        </w:rPr>
        <w:t xml:space="preserve">. </w:t>
      </w:r>
      <w:r w:rsidRPr="003218BB" w:rsidR="00680F56">
        <w:rPr>
          <w:sz w:val="24"/>
        </w:rPr>
        <w:t xml:space="preserve">EPA </w:t>
      </w:r>
      <w:r w:rsidRPr="003218BB" w:rsidR="00C962E6">
        <w:rPr>
          <w:sz w:val="24"/>
        </w:rPr>
        <w:t xml:space="preserve">will address </w:t>
      </w:r>
      <w:bookmarkEnd w:id="3"/>
      <w:r w:rsidRPr="003218BB" w:rsidR="00C962E6">
        <w:rPr>
          <w:sz w:val="24"/>
        </w:rPr>
        <w:t>any comme</w:t>
      </w:r>
      <w:r w:rsidR="00C962E6">
        <w:rPr>
          <w:sz w:val="22"/>
          <w:szCs w:val="22"/>
        </w:rPr>
        <w:t xml:space="preserve">nts it receives </w:t>
      </w:r>
      <w:r w:rsidRPr="00C962E6" w:rsidR="00AC594A">
        <w:rPr>
          <w:sz w:val="22"/>
          <w:szCs w:val="22"/>
        </w:rPr>
        <w:t>i</w:t>
      </w:r>
      <w:r w:rsidRPr="00C962E6" w:rsidR="00D27815">
        <w:rPr>
          <w:sz w:val="22"/>
          <w:szCs w:val="22"/>
        </w:rPr>
        <w:t>n response to the Federal Register notice</w:t>
      </w:r>
      <w:bookmarkEnd w:id="2"/>
      <w:r w:rsidRPr="00C962E6" w:rsidR="00D27815">
        <w:rPr>
          <w:sz w:val="22"/>
          <w:szCs w:val="22"/>
        </w:rPr>
        <w:t>.</w:t>
      </w:r>
      <w:r w:rsidRPr="00BA15FB" w:rsidR="00A03D17">
        <w:rPr>
          <w:sz w:val="22"/>
          <w:szCs w:val="22"/>
        </w:rPr>
        <w:t xml:space="preserve"> </w:t>
      </w:r>
      <w:bookmarkEnd w:id="4"/>
    </w:p>
    <w:p w:rsidRPr="00BA15FB" w:rsidR="00575402" w:rsidP="00575402" w:rsidRDefault="00575402" w14:paraId="0A79CB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ind w:left="90" w:hanging="90"/>
        <w:rPr>
          <w:sz w:val="22"/>
          <w:szCs w:val="22"/>
        </w:rPr>
      </w:pPr>
    </w:p>
    <w:p w:rsidRPr="009C6838" w:rsidR="00C61E11" w:rsidP="00575402" w:rsidRDefault="00C61E11" w14:paraId="4E0B16BD" w14:textId="73A715E1">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ind w:left="720" w:hanging="720"/>
        <w:rPr>
          <w:b/>
          <w:bCs/>
          <w:sz w:val="22"/>
          <w:szCs w:val="22"/>
        </w:rPr>
      </w:pPr>
      <w:r w:rsidRPr="009C6838">
        <w:rPr>
          <w:b/>
          <w:bCs/>
          <w:sz w:val="22"/>
          <w:szCs w:val="22"/>
        </w:rPr>
        <w:t>3(c)</w:t>
      </w:r>
      <w:r w:rsidRPr="009C6838">
        <w:rPr>
          <w:b/>
          <w:bCs/>
          <w:sz w:val="22"/>
          <w:szCs w:val="22"/>
        </w:rPr>
        <w:tab/>
        <w:t>Consultations</w:t>
      </w:r>
    </w:p>
    <w:p w:rsidR="00BA15FB" w:rsidP="00575402" w:rsidRDefault="00BA15FB" w14:paraId="6BFF58B7" w14:textId="03CBE3F1">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ind w:left="720" w:hanging="720"/>
        <w:rPr>
          <w:b/>
          <w:bCs/>
          <w:sz w:val="22"/>
          <w:szCs w:val="22"/>
          <w:highlight w:val="yellow"/>
        </w:rPr>
      </w:pPr>
    </w:p>
    <w:p w:rsidRPr="005C1E92" w:rsidR="00E84131" w:rsidP="00A10087" w:rsidRDefault="00BA15FB" w14:paraId="19C49DA4" w14:textId="64FBF21F">
      <w:pPr>
        <w:pStyle w:val="BodyText"/>
        <w:spacing w:line="240" w:lineRule="auto"/>
      </w:pPr>
      <w:r w:rsidRPr="00BA15FB">
        <w:rPr>
          <w:sz w:val="22"/>
          <w:szCs w:val="28"/>
        </w:rPr>
        <w:t xml:space="preserve">Under 5 CFR 1320.8(d)(1), OMB requires agencies to consult with potential ICR respondents and data users about specific aspects of the ICRs before submitting an original or renewal ICR to OMB for review and approval. </w:t>
      </w:r>
      <w:r w:rsidRPr="005C1E92" w:rsidR="00E84131">
        <w:t>EPA held virtual pub</w:t>
      </w:r>
      <w:r w:rsidR="00E84131">
        <w:t xml:space="preserve">lic </w:t>
      </w:r>
      <w:r w:rsidRPr="005C1E92" w:rsidR="00E84131">
        <w:t>listening sessions on June 16 and July 8, 2021, and had an open docket for public comment (86 FR 28828</w:t>
      </w:r>
      <w:r w:rsidR="00E84131">
        <w:t>; May 28, 2021</w:t>
      </w:r>
      <w:r w:rsidRPr="005C1E92" w:rsidR="00E84131">
        <w:t xml:space="preserve">). In the request for public comment, the Agency asked for information on the adequacy of revisions to the RMP regulations completed since 2017, incorporating consideration of climate change risks and impacts into the regulations and expanding the application of </w:t>
      </w:r>
      <w:r w:rsidR="002F7482">
        <w:t>environmental justice</w:t>
      </w:r>
      <w:r w:rsidRPr="005C1E92" w:rsidR="00E84131">
        <w:t xml:space="preserve">. EPA received a total of 27,828 public comments in response to the request for comments. This includes 27,720 received </w:t>
      </w:r>
      <w:r w:rsidR="00E84131">
        <w:t xml:space="preserve">at </w:t>
      </w:r>
      <w:r w:rsidRPr="005C1E92" w:rsidR="00E84131">
        <w:t>regulations.gov</w:t>
      </w:r>
      <w:r w:rsidR="00E84131">
        <w:t>,</w:t>
      </w:r>
      <w:r w:rsidRPr="005C1E92" w:rsidR="00A10087">
        <w:t xml:space="preserve"> </w:t>
      </w:r>
      <w:r w:rsidRPr="005C1E92" w:rsidR="00E84131">
        <w:t>35 provided during the listening session on June 16, 2021</w:t>
      </w:r>
      <w:r w:rsidR="00E84131">
        <w:t>,</w:t>
      </w:r>
      <w:r w:rsidRPr="005C1E92" w:rsidR="00E84131">
        <w:t xml:space="preserve"> and 73 provided during the listening session on July 8, 2021</w:t>
      </w:r>
      <w:r w:rsidR="00E84131">
        <w:t>.</w:t>
      </w:r>
      <w:r w:rsidRPr="005C1E92" w:rsidR="00A10087">
        <w:t xml:space="preserve"> </w:t>
      </w:r>
      <w:r w:rsidRPr="005C1E92" w:rsidR="00E84131">
        <w:t>Most of the comments received in the docket were copies of form letters related to four different form letter campaigns. The remaining comments included 302 submissions containing unique content. Of the 302 unique submissions, a total of 163 were deemed to be substantive (</w:t>
      </w:r>
      <w:r w:rsidRPr="005C1E92" w:rsidR="00E84131">
        <w:rPr>
          <w:i/>
          <w:iCs/>
        </w:rPr>
        <w:t>i.e.,</w:t>
      </w:r>
      <w:r w:rsidRPr="005C1E92" w:rsidR="00E84131">
        <w:t xml:space="preserve"> the commenters presented both a position and a reasoned argument in support of the position). Information collected through these comments ha</w:t>
      </w:r>
      <w:r w:rsidR="00E84131">
        <w:t>s</w:t>
      </w:r>
      <w:r w:rsidRPr="005C1E92" w:rsidR="00E84131">
        <w:t xml:space="preserve"> informed th</w:t>
      </w:r>
      <w:r w:rsidR="00A10087">
        <w:t>is proposed information collection.</w:t>
      </w:r>
    </w:p>
    <w:p w:rsidRPr="00BA15FB" w:rsidR="00575402" w:rsidP="00575402" w:rsidRDefault="00575402" w14:paraId="2653AD9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bCs/>
          <w:sz w:val="24"/>
          <w:highlight w:val="yellow"/>
        </w:rPr>
      </w:pPr>
    </w:p>
    <w:p w:rsidRPr="009C6838" w:rsidR="00C61E11" w:rsidP="00575402" w:rsidRDefault="00C61E11" w14:paraId="5CAEB0C5" w14:textId="73368078">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rPr>
      </w:pPr>
      <w:r w:rsidRPr="009C6838">
        <w:rPr>
          <w:b/>
          <w:bCs/>
          <w:sz w:val="22"/>
          <w:szCs w:val="22"/>
        </w:rPr>
        <w:t xml:space="preserve">3(d) </w:t>
      </w:r>
      <w:r w:rsidRPr="009C6838">
        <w:rPr>
          <w:b/>
          <w:bCs/>
          <w:sz w:val="22"/>
          <w:szCs w:val="22"/>
        </w:rPr>
        <w:tab/>
        <w:t>Effects of Less Frequent Collection</w:t>
      </w:r>
    </w:p>
    <w:p w:rsidRPr="009C6838" w:rsidR="00732FD7" w:rsidP="00575402" w:rsidRDefault="00732FD7" w14:paraId="1ECC2DDB" w14:textId="408C806D">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sidRPr="009C6838">
        <w:rPr>
          <w:sz w:val="22"/>
          <w:szCs w:val="22"/>
        </w:rPr>
        <w:t xml:space="preserve"> </w:t>
      </w:r>
    </w:p>
    <w:p w:rsidRPr="002037E0" w:rsidR="00575402" w:rsidP="00575402" w:rsidRDefault="002037E0" w14:paraId="5206A259" w14:textId="2115400F">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sidRPr="009C6838">
        <w:rPr>
          <w:b/>
          <w:bCs/>
          <w:sz w:val="22"/>
          <w:szCs w:val="22"/>
        </w:rPr>
        <w:tab/>
      </w:r>
      <w:r w:rsidRPr="002037E0">
        <w:rPr>
          <w:sz w:val="22"/>
          <w:szCs w:val="22"/>
        </w:rPr>
        <w:t>Sources are required to comply with RMP requirements, included those proposed herein if ultimately promulgated. Less frequent collection than that specified in the rule may result in outdated emergency response contact information, personnel unacquainted with emergency response requirements, and poor response capability at the time of an accidental release.</w:t>
      </w:r>
    </w:p>
    <w:p w:rsidRPr="009C6838" w:rsidR="002037E0" w:rsidP="00575402" w:rsidRDefault="002037E0" w14:paraId="474734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rPr>
      </w:pPr>
    </w:p>
    <w:p w:rsidRPr="002037E0" w:rsidR="00C61E11" w:rsidP="00C40162" w:rsidRDefault="00C61E11" w14:paraId="597A7EE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rPr>
          <w:sz w:val="22"/>
          <w:szCs w:val="22"/>
        </w:rPr>
      </w:pPr>
      <w:r w:rsidRPr="009C6838">
        <w:rPr>
          <w:b/>
          <w:bCs/>
          <w:sz w:val="22"/>
          <w:szCs w:val="22"/>
        </w:rPr>
        <w:t>3(e)</w:t>
      </w:r>
      <w:r w:rsidRPr="009C6838">
        <w:rPr>
          <w:b/>
          <w:bCs/>
          <w:sz w:val="22"/>
          <w:szCs w:val="22"/>
        </w:rPr>
        <w:tab/>
      </w:r>
      <w:r w:rsidRPr="002037E0">
        <w:rPr>
          <w:b/>
          <w:bCs/>
          <w:sz w:val="22"/>
          <w:szCs w:val="22"/>
        </w:rPr>
        <w:t>General Guidelines</w:t>
      </w:r>
    </w:p>
    <w:p w:rsidR="00316BAF" w:rsidP="00575402" w:rsidRDefault="002037E0" w14:paraId="15C535A2" w14:textId="327AA0B2">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smartTag w:uri="urn:schemas-microsoft-com:office:smarttags" w:element="stockticker">
        <w:r w:rsidRPr="00C40162">
          <w:rPr>
            <w:sz w:val="22"/>
            <w:szCs w:val="22"/>
          </w:rPr>
          <w:t>CAA</w:t>
        </w:r>
      </w:smartTag>
      <w:r w:rsidRPr="00C40162">
        <w:rPr>
          <w:sz w:val="22"/>
          <w:szCs w:val="22"/>
        </w:rPr>
        <w:t xml:space="preserve"> </w:t>
      </w:r>
      <w:r>
        <w:rPr>
          <w:sz w:val="22"/>
          <w:szCs w:val="22"/>
        </w:rPr>
        <w:t xml:space="preserve">section </w:t>
      </w:r>
      <w:r w:rsidRPr="00C40162">
        <w:rPr>
          <w:sz w:val="22"/>
          <w:szCs w:val="22"/>
        </w:rPr>
        <w:t xml:space="preserve">112(r)(7)(B)(iii) requires that sources update their RMPs periodically. To maintain consistency with OSHA PSM requirements, EPA’s implementing rule requires sources to update </w:t>
      </w:r>
      <w:r>
        <w:rPr>
          <w:sz w:val="22"/>
          <w:szCs w:val="22"/>
        </w:rPr>
        <w:t>process hazard analyses (</w:t>
      </w:r>
      <w:r w:rsidRPr="00C40162">
        <w:rPr>
          <w:sz w:val="22"/>
          <w:szCs w:val="22"/>
        </w:rPr>
        <w:t>PHAs</w:t>
      </w:r>
      <w:r>
        <w:rPr>
          <w:sz w:val="22"/>
          <w:szCs w:val="22"/>
        </w:rPr>
        <w:t>)</w:t>
      </w:r>
      <w:r w:rsidRPr="00C40162">
        <w:rPr>
          <w:sz w:val="22"/>
          <w:szCs w:val="22"/>
        </w:rPr>
        <w:t xml:space="preserve"> and hazard assessments every five years. Thus, sources are required to maintain such documentation for five years (and in the case of the PHA, for the life of the covered process), which is greater than the three years specified in OMB’s general guidelines</w:t>
      </w:r>
      <w:r>
        <w:rPr>
          <w:sz w:val="22"/>
          <w:szCs w:val="22"/>
        </w:rPr>
        <w:t xml:space="preserve">. </w:t>
      </w:r>
    </w:p>
    <w:p w:rsidRPr="00586F1B" w:rsidR="00575402" w:rsidP="00575402" w:rsidRDefault="00575402" w14:paraId="0340B7B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b/>
          <w:bCs/>
          <w:sz w:val="22"/>
          <w:szCs w:val="22"/>
          <w:highlight w:val="yellow"/>
        </w:rPr>
      </w:pPr>
    </w:p>
    <w:p w:rsidRPr="00D1487F" w:rsidR="00C61E11" w:rsidP="00575402" w:rsidRDefault="00C61E11" w14:paraId="22F4167B" w14:textId="64D5B895">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rPr>
      </w:pPr>
      <w:r w:rsidRPr="00D1487F">
        <w:rPr>
          <w:b/>
          <w:bCs/>
          <w:sz w:val="22"/>
          <w:szCs w:val="22"/>
        </w:rPr>
        <w:t>3(f)</w:t>
      </w:r>
      <w:r w:rsidRPr="00D1487F">
        <w:rPr>
          <w:b/>
          <w:bCs/>
          <w:sz w:val="22"/>
          <w:szCs w:val="22"/>
        </w:rPr>
        <w:tab/>
        <w:t>Confidentiality and Sensitive Questions</w:t>
      </w:r>
    </w:p>
    <w:p w:rsidRPr="00D1487F" w:rsidR="00575402" w:rsidP="00575402" w:rsidRDefault="00575402" w14:paraId="76170DAF" w14:textId="77777777">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rPr>
          <w:b/>
          <w:sz w:val="22"/>
          <w:szCs w:val="22"/>
        </w:rPr>
      </w:pPr>
    </w:p>
    <w:p w:rsidRPr="00D1487F" w:rsidR="00C61E11" w:rsidP="00BC05FF" w:rsidRDefault="008F05CA" w14:paraId="2714B6C1" w14:textId="6D74F672">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2"/>
        </w:tabs>
        <w:contextualSpacing w:val="0"/>
        <w:rPr>
          <w:sz w:val="22"/>
          <w:szCs w:val="22"/>
        </w:rPr>
      </w:pPr>
      <w:r w:rsidRPr="00D1487F">
        <w:rPr>
          <w:b/>
          <w:bCs/>
          <w:sz w:val="22"/>
          <w:szCs w:val="22"/>
        </w:rPr>
        <w:t>Conf</w:t>
      </w:r>
      <w:r w:rsidRPr="00D1487F" w:rsidR="00C615C9">
        <w:rPr>
          <w:b/>
          <w:bCs/>
          <w:sz w:val="22"/>
          <w:szCs w:val="22"/>
        </w:rPr>
        <w:t xml:space="preserve">identiality </w:t>
      </w:r>
    </w:p>
    <w:p w:rsidRPr="00D1487F" w:rsidR="00575402" w:rsidP="00575402" w:rsidRDefault="00575402" w14:paraId="3B1F67A1"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2"/>
        </w:tabs>
        <w:ind w:left="1080"/>
        <w:contextualSpacing w:val="0"/>
        <w:rPr>
          <w:sz w:val="22"/>
          <w:szCs w:val="22"/>
        </w:rPr>
      </w:pPr>
    </w:p>
    <w:p w:rsidRPr="00D1487F" w:rsidR="00C615C9" w:rsidP="00575402" w:rsidRDefault="00C61E11" w14:paraId="1EB2EE22" w14:textId="24774F72">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r w:rsidRPr="00D1487F">
        <w:rPr>
          <w:sz w:val="22"/>
          <w:szCs w:val="22"/>
        </w:rPr>
        <w:t>Certain elements mandated in the regulation for the RMP may require the submittal of data viewed as proprietary, trade secret, or confidential</w:t>
      </w:r>
      <w:r w:rsidRPr="00D1487F" w:rsidR="005E3D60">
        <w:rPr>
          <w:sz w:val="22"/>
          <w:szCs w:val="22"/>
        </w:rPr>
        <w:t xml:space="preserve"> (e.g., confidential business information, or CBI).</w:t>
      </w:r>
      <w:r w:rsidR="00F2714A">
        <w:rPr>
          <w:sz w:val="22"/>
          <w:szCs w:val="22"/>
        </w:rPr>
        <w:t xml:space="preserve"> </w:t>
      </w:r>
      <w:r w:rsidRPr="00D1487F">
        <w:rPr>
          <w:sz w:val="22"/>
          <w:szCs w:val="22"/>
        </w:rPr>
        <w:t>EPA has adopted procedures for sources to claim certain information as</w:t>
      </w:r>
      <w:r w:rsidRPr="00D1487F" w:rsidR="005E3D60">
        <w:rPr>
          <w:sz w:val="22"/>
          <w:szCs w:val="22"/>
        </w:rPr>
        <w:t xml:space="preserve"> CBI</w:t>
      </w:r>
      <w:r w:rsidRPr="00D1487F">
        <w:rPr>
          <w:sz w:val="22"/>
          <w:szCs w:val="22"/>
        </w:rPr>
        <w:t>.</w:t>
      </w:r>
    </w:p>
    <w:p w:rsidRPr="00D1487F" w:rsidR="00575402" w:rsidP="00575402" w:rsidRDefault="00575402" w14:paraId="66C4AB4B"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p>
    <w:p w:rsidRPr="00D1487F" w:rsidR="00C615C9" w:rsidP="00BC05FF" w:rsidRDefault="00C615C9" w14:paraId="5EC6A7D8" w14:textId="21EC3723">
      <w:pPr>
        <w:pStyle w:val="ListParagraph"/>
        <w:keepNext/>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right" w:pos="7922"/>
        </w:tabs>
        <w:contextualSpacing w:val="0"/>
        <w:rPr>
          <w:b/>
          <w:bCs/>
          <w:sz w:val="22"/>
          <w:szCs w:val="22"/>
        </w:rPr>
      </w:pPr>
      <w:r w:rsidRPr="00D1487F">
        <w:rPr>
          <w:b/>
          <w:bCs/>
          <w:sz w:val="22"/>
          <w:szCs w:val="22"/>
        </w:rPr>
        <w:t>Sensitive Questions</w:t>
      </w:r>
    </w:p>
    <w:p w:rsidRPr="00D1487F" w:rsidR="00575402" w:rsidP="00575402" w:rsidRDefault="00575402" w14:paraId="7E0BF9DA" w14:textId="77777777">
      <w:pPr>
        <w:pStyle w:val="ListParagraph"/>
        <w:keepNext/>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ind w:left="1080"/>
        <w:contextualSpacing w:val="0"/>
        <w:rPr>
          <w:b/>
          <w:bCs/>
          <w:sz w:val="22"/>
          <w:szCs w:val="22"/>
        </w:rPr>
      </w:pPr>
    </w:p>
    <w:p w:rsidRPr="00D1487F" w:rsidR="00B522CA" w:rsidP="00575402" w:rsidRDefault="00C61E11" w14:paraId="74966264" w14:textId="7C098AE0">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r w:rsidRPr="00D1487F">
        <w:rPr>
          <w:sz w:val="22"/>
          <w:szCs w:val="22"/>
        </w:rPr>
        <w:t>No questions of a sensitive nature are included in any of the information collection requirements</w:t>
      </w:r>
      <w:r w:rsidRPr="00D1487F" w:rsidR="00EE4192">
        <w:rPr>
          <w:sz w:val="22"/>
          <w:szCs w:val="22"/>
        </w:rPr>
        <w:t xml:space="preserve"> covered in this </w:t>
      </w:r>
      <w:r w:rsidRPr="00D1487F" w:rsidR="00F47E96">
        <w:rPr>
          <w:sz w:val="22"/>
          <w:szCs w:val="22"/>
        </w:rPr>
        <w:t>ICR</w:t>
      </w:r>
      <w:r w:rsidRPr="00D1487F">
        <w:rPr>
          <w:sz w:val="22"/>
          <w:szCs w:val="22"/>
        </w:rPr>
        <w:t>. The information collection requested</w:t>
      </w:r>
      <w:r w:rsidRPr="00D1487F" w:rsidDel="00BD792E">
        <w:rPr>
          <w:sz w:val="22"/>
          <w:szCs w:val="22"/>
        </w:rPr>
        <w:t xml:space="preserve"> </w:t>
      </w:r>
      <w:r w:rsidRPr="00D1487F">
        <w:rPr>
          <w:sz w:val="22"/>
          <w:szCs w:val="22"/>
        </w:rPr>
        <w:t>complies with the Privacy Act of 1974 and OMB Circular A</w:t>
      </w:r>
      <w:r w:rsidRPr="00D1487F">
        <w:rPr>
          <w:b/>
          <w:bCs/>
          <w:sz w:val="22"/>
          <w:szCs w:val="22"/>
        </w:rPr>
        <w:t>-</w:t>
      </w:r>
      <w:r w:rsidRPr="00D1487F">
        <w:rPr>
          <w:sz w:val="22"/>
          <w:szCs w:val="22"/>
        </w:rPr>
        <w:t>108.</w:t>
      </w:r>
    </w:p>
    <w:p w:rsidRPr="00586F1B" w:rsidR="00575402" w:rsidP="00575402" w:rsidRDefault="00575402" w14:paraId="5459DCF1"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highlight w:val="yellow"/>
        </w:rPr>
      </w:pPr>
    </w:p>
    <w:p w:rsidRPr="00623D47" w:rsidR="00C61E11" w:rsidP="00575402" w:rsidRDefault="00C61E11" w14:paraId="3640054B" w14:textId="167DF7B3">
      <w:pPr>
        <w:tabs>
          <w:tab w:val="left" w:pos="720"/>
          <w:tab w:val="left" w:pos="1440"/>
          <w:tab w:val="left" w:pos="2160"/>
          <w:tab w:val="left" w:pos="2880"/>
          <w:tab w:val="left" w:pos="3600"/>
          <w:tab w:val="left" w:pos="4320"/>
          <w:tab w:val="left" w:pos="5040"/>
          <w:tab w:val="left" w:pos="5760"/>
          <w:tab w:val="left" w:pos="6480"/>
          <w:tab w:val="left" w:pos="7200"/>
          <w:tab w:val="right" w:pos="7922"/>
        </w:tabs>
        <w:rPr>
          <w:b/>
          <w:bCs/>
          <w:sz w:val="22"/>
          <w:szCs w:val="22"/>
        </w:rPr>
      </w:pPr>
      <w:r w:rsidRPr="00623D47">
        <w:rPr>
          <w:b/>
          <w:bCs/>
          <w:sz w:val="22"/>
          <w:szCs w:val="22"/>
        </w:rPr>
        <w:t>4.</w:t>
      </w:r>
      <w:r w:rsidRPr="00623D47">
        <w:rPr>
          <w:b/>
          <w:bCs/>
          <w:sz w:val="22"/>
          <w:szCs w:val="22"/>
        </w:rPr>
        <w:tab/>
        <w:t xml:space="preserve">THE </w:t>
      </w:r>
      <w:smartTag w:uri="urn:schemas-microsoft-com:office:smarttags" w:element="stockticker">
        <w:r w:rsidRPr="00623D47">
          <w:rPr>
            <w:b/>
            <w:bCs/>
            <w:sz w:val="22"/>
            <w:szCs w:val="22"/>
          </w:rPr>
          <w:t>RESP</w:t>
        </w:r>
      </w:smartTag>
      <w:r w:rsidRPr="00623D47">
        <w:rPr>
          <w:b/>
          <w:bCs/>
          <w:sz w:val="22"/>
          <w:szCs w:val="22"/>
        </w:rPr>
        <w:t>O</w:t>
      </w:r>
      <w:smartTag w:uri="urn:schemas-microsoft-com:office:smarttags" w:element="stockticker">
        <w:r w:rsidRPr="00623D47">
          <w:rPr>
            <w:b/>
            <w:bCs/>
            <w:sz w:val="22"/>
            <w:szCs w:val="22"/>
          </w:rPr>
          <w:t>NDE</w:t>
        </w:r>
      </w:smartTag>
      <w:r w:rsidRPr="00623D47">
        <w:rPr>
          <w:b/>
          <w:bCs/>
          <w:sz w:val="22"/>
          <w:szCs w:val="22"/>
        </w:rPr>
        <w:t>NTS AND THE INFORMATION REQUESTED</w:t>
      </w:r>
    </w:p>
    <w:p w:rsidRPr="00623D47" w:rsidR="00575402" w:rsidP="00575402" w:rsidRDefault="00575402" w14:paraId="799441F3"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rsidRPr="00623D47" w:rsidR="00C61E11" w:rsidP="00575402" w:rsidRDefault="00C61E11" w14:paraId="1D380547" w14:textId="6428B93B">
      <w:pPr>
        <w:tabs>
          <w:tab w:val="left" w:pos="720"/>
          <w:tab w:val="left" w:pos="1440"/>
          <w:tab w:val="left" w:pos="2160"/>
          <w:tab w:val="left" w:pos="2880"/>
          <w:tab w:val="left" w:pos="3600"/>
          <w:tab w:val="left" w:pos="4320"/>
          <w:tab w:val="left" w:pos="5040"/>
          <w:tab w:val="left" w:pos="5760"/>
          <w:tab w:val="left" w:pos="6480"/>
          <w:tab w:val="left" w:pos="7200"/>
          <w:tab w:val="right" w:pos="7922"/>
        </w:tabs>
        <w:rPr>
          <w:b/>
          <w:bCs/>
          <w:sz w:val="22"/>
          <w:szCs w:val="22"/>
        </w:rPr>
      </w:pPr>
      <w:r w:rsidRPr="00623D47">
        <w:rPr>
          <w:b/>
          <w:bCs/>
          <w:sz w:val="22"/>
          <w:szCs w:val="22"/>
        </w:rPr>
        <w:t>4(a)</w:t>
      </w:r>
      <w:r w:rsidRPr="00623D47">
        <w:rPr>
          <w:b/>
          <w:bCs/>
          <w:sz w:val="22"/>
          <w:szCs w:val="22"/>
        </w:rPr>
        <w:tab/>
        <w:t>Respondents</w:t>
      </w:r>
      <w:r w:rsidRPr="00623D47" w:rsidDel="00C615C9" w:rsidR="00C615C9">
        <w:rPr>
          <w:b/>
          <w:bCs/>
          <w:sz w:val="22"/>
          <w:szCs w:val="22"/>
        </w:rPr>
        <w:t xml:space="preserve"> </w:t>
      </w:r>
    </w:p>
    <w:p w:rsidRPr="00623D47" w:rsidR="00575402" w:rsidP="00575402" w:rsidRDefault="00575402" w14:paraId="397DB381"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rsidRPr="00623D47" w:rsidR="001244D6" w:rsidP="00575402" w:rsidRDefault="00C61E11" w14:paraId="512EFFE6" w14:textId="11A86F23">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sidRPr="00623D47">
        <w:rPr>
          <w:sz w:val="22"/>
          <w:szCs w:val="22"/>
        </w:rPr>
        <w:tab/>
      </w:r>
      <w:r w:rsidRPr="00623D47" w:rsidR="00350024">
        <w:rPr>
          <w:sz w:val="22"/>
          <w:szCs w:val="22"/>
        </w:rPr>
        <w:t>The</w:t>
      </w:r>
      <w:r w:rsidRPr="00623D47">
        <w:rPr>
          <w:sz w:val="22"/>
          <w:szCs w:val="22"/>
        </w:rPr>
        <w:t xml:space="preserve"> total number of respondents for this ICR</w:t>
      </w:r>
      <w:r w:rsidRPr="00623D47" w:rsidR="00DE4AB5">
        <w:rPr>
          <w:sz w:val="22"/>
          <w:szCs w:val="22"/>
        </w:rPr>
        <w:t xml:space="preserve"> renewal</w:t>
      </w:r>
      <w:r w:rsidRPr="00623D47">
        <w:rPr>
          <w:sz w:val="22"/>
          <w:szCs w:val="22"/>
        </w:rPr>
        <w:t xml:space="preserve"> period </w:t>
      </w:r>
      <w:r w:rsidRPr="007028C8">
        <w:rPr>
          <w:sz w:val="22"/>
          <w:szCs w:val="22"/>
        </w:rPr>
        <w:t xml:space="preserve">is </w:t>
      </w:r>
      <w:r w:rsidRPr="007028C8" w:rsidR="00436D64">
        <w:rPr>
          <w:sz w:val="22"/>
          <w:szCs w:val="22"/>
        </w:rPr>
        <w:t>14,</w:t>
      </w:r>
      <w:r w:rsidRPr="007028C8" w:rsidR="00817DD3">
        <w:rPr>
          <w:sz w:val="22"/>
          <w:szCs w:val="22"/>
        </w:rPr>
        <w:t>226</w:t>
      </w:r>
      <w:r w:rsidRPr="007028C8" w:rsidR="00C85C85">
        <w:rPr>
          <w:sz w:val="22"/>
          <w:szCs w:val="22"/>
        </w:rPr>
        <w:t xml:space="preserve"> (</w:t>
      </w:r>
      <w:r w:rsidRPr="007028C8" w:rsidR="00C82E3A">
        <w:rPr>
          <w:sz w:val="22"/>
          <w:szCs w:val="22"/>
        </w:rPr>
        <w:t xml:space="preserve">i.e., </w:t>
      </w:r>
      <w:r w:rsidRPr="007028C8" w:rsidR="007028C8">
        <w:rPr>
          <w:sz w:val="22"/>
          <w:szCs w:val="22"/>
        </w:rPr>
        <w:t xml:space="preserve">11,740 </w:t>
      </w:r>
      <w:r w:rsidRPr="007028C8" w:rsidR="00C82E3A">
        <w:rPr>
          <w:sz w:val="22"/>
          <w:szCs w:val="22"/>
        </w:rPr>
        <w:t>sources</w:t>
      </w:r>
      <w:r w:rsidRPr="007028C8" w:rsidR="00E60604">
        <w:rPr>
          <w:sz w:val="22"/>
          <w:szCs w:val="22"/>
        </w:rPr>
        <w:t xml:space="preserve"> + </w:t>
      </w:r>
      <w:r w:rsidRPr="007028C8" w:rsidR="00795053">
        <w:rPr>
          <w:sz w:val="22"/>
          <w:szCs w:val="22"/>
        </w:rPr>
        <w:t>1</w:t>
      </w:r>
      <w:r w:rsidRPr="007028C8" w:rsidR="003815A8">
        <w:rPr>
          <w:sz w:val="22"/>
          <w:szCs w:val="22"/>
        </w:rPr>
        <w:t>3</w:t>
      </w:r>
      <w:r w:rsidRPr="007028C8" w:rsidR="00795053">
        <w:rPr>
          <w:sz w:val="22"/>
          <w:szCs w:val="22"/>
        </w:rPr>
        <w:t xml:space="preserve"> </w:t>
      </w:r>
      <w:r w:rsidRPr="007028C8" w:rsidR="001511EE">
        <w:rPr>
          <w:sz w:val="22"/>
          <w:szCs w:val="22"/>
        </w:rPr>
        <w:t>S</w:t>
      </w:r>
      <w:r w:rsidRPr="007028C8" w:rsidR="00795053">
        <w:rPr>
          <w:sz w:val="22"/>
          <w:szCs w:val="22"/>
        </w:rPr>
        <w:t xml:space="preserve">tate/local agencies + </w:t>
      </w:r>
      <w:r w:rsidRPr="007028C8" w:rsidR="00577E0B">
        <w:rPr>
          <w:sz w:val="22"/>
          <w:szCs w:val="22"/>
        </w:rPr>
        <w:t>2,4</w:t>
      </w:r>
      <w:r w:rsidRPr="007028C8" w:rsidR="00BE6F2C">
        <w:rPr>
          <w:sz w:val="22"/>
          <w:szCs w:val="22"/>
        </w:rPr>
        <w:t xml:space="preserve">73 </w:t>
      </w:r>
      <w:r w:rsidRPr="007028C8" w:rsidR="000E6BDE">
        <w:rPr>
          <w:sz w:val="22"/>
          <w:szCs w:val="22"/>
        </w:rPr>
        <w:t>Local Emergency Planning Committees (LEPCs)).</w:t>
      </w:r>
      <w:r w:rsidRPr="00623D47">
        <w:rPr>
          <w:sz w:val="22"/>
          <w:szCs w:val="22"/>
        </w:rPr>
        <w:t xml:space="preserve"> </w:t>
      </w:r>
      <w:r w:rsidRPr="00623D47" w:rsidR="00873394">
        <w:rPr>
          <w:sz w:val="22"/>
          <w:szCs w:val="22"/>
        </w:rPr>
        <w:t xml:space="preserve">A more detailed discussion of the respondent universe for this ICR period is provided in </w:t>
      </w:r>
      <w:r w:rsidRPr="00623D47" w:rsidR="00DE4AB5">
        <w:rPr>
          <w:sz w:val="22"/>
          <w:szCs w:val="22"/>
        </w:rPr>
        <w:t>s</w:t>
      </w:r>
      <w:r w:rsidRPr="00623D47" w:rsidR="00873394">
        <w:rPr>
          <w:sz w:val="22"/>
          <w:szCs w:val="22"/>
        </w:rPr>
        <w:t>ection 6(d).</w:t>
      </w:r>
    </w:p>
    <w:p w:rsidRPr="00623D47" w:rsidR="00575402" w:rsidP="00575402" w:rsidRDefault="00575402" w14:paraId="6A3A858B"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2"/>
        </w:tabs>
        <w:rPr>
          <w:b/>
          <w:bCs/>
          <w:sz w:val="22"/>
          <w:szCs w:val="22"/>
          <w:u w:val="single"/>
        </w:rPr>
      </w:pPr>
    </w:p>
    <w:p w:rsidRPr="00296A64" w:rsidR="00C61E11" w:rsidP="00575402" w:rsidRDefault="00C61E11" w14:paraId="2ABD5581" w14:textId="3607A456">
      <w:pPr>
        <w:tabs>
          <w:tab w:val="left" w:pos="720"/>
          <w:tab w:val="left" w:pos="1440"/>
          <w:tab w:val="left" w:pos="2160"/>
          <w:tab w:val="left" w:pos="2880"/>
          <w:tab w:val="left" w:pos="3600"/>
          <w:tab w:val="left" w:pos="4320"/>
          <w:tab w:val="left" w:pos="5040"/>
          <w:tab w:val="left" w:pos="5760"/>
          <w:tab w:val="left" w:pos="6480"/>
          <w:tab w:val="left" w:pos="7200"/>
          <w:tab w:val="right" w:pos="7922"/>
        </w:tabs>
        <w:rPr>
          <w:b/>
          <w:bCs/>
          <w:sz w:val="22"/>
          <w:szCs w:val="22"/>
        </w:rPr>
      </w:pPr>
      <w:r w:rsidRPr="00296A64">
        <w:rPr>
          <w:b/>
          <w:bCs/>
          <w:sz w:val="22"/>
          <w:szCs w:val="22"/>
        </w:rPr>
        <w:t>4(b)</w:t>
      </w:r>
      <w:r w:rsidRPr="00296A64">
        <w:rPr>
          <w:b/>
          <w:bCs/>
          <w:sz w:val="22"/>
          <w:szCs w:val="22"/>
        </w:rPr>
        <w:tab/>
        <w:t>Information Requested</w:t>
      </w:r>
    </w:p>
    <w:p w:rsidRPr="00586F1B" w:rsidR="00575402" w:rsidP="00575402" w:rsidRDefault="00575402" w14:paraId="5E383E93"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2"/>
        </w:tabs>
        <w:rPr>
          <w:b/>
          <w:bCs/>
          <w:sz w:val="22"/>
          <w:szCs w:val="22"/>
          <w:highlight w:val="yellow"/>
        </w:rPr>
      </w:pPr>
    </w:p>
    <w:p w:rsidR="00F364E6" w:rsidP="0095205C" w:rsidRDefault="00081B51" w14:paraId="45201EB3" w14:textId="1B9CA887">
      <w:pPr>
        <w:pStyle w:val="Default"/>
        <w:ind w:firstLine="360"/>
        <w:rPr>
          <w:rFonts w:ascii="Times New Roman" w:hAnsi="Times New Roman" w:cs="Times New Roman"/>
          <w:sz w:val="22"/>
          <w:szCs w:val="22"/>
        </w:rPr>
      </w:pPr>
      <w:r w:rsidRPr="00081B51">
        <w:rPr>
          <w:rFonts w:ascii="Times New Roman" w:hAnsi="Times New Roman" w:cs="Times New Roman"/>
          <w:sz w:val="22"/>
          <w:szCs w:val="22"/>
        </w:rPr>
        <w:t xml:space="preserve">Data requirements and respondent activities vary by program level. Program 1 requires the smallest amount of </w:t>
      </w:r>
      <w:r w:rsidRPr="0044594A">
        <w:rPr>
          <w:rFonts w:ascii="Times New Roman" w:hAnsi="Times New Roman" w:cs="Times New Roman"/>
          <w:sz w:val="22"/>
          <w:szCs w:val="22"/>
        </w:rPr>
        <w:t>data and respondent time, while Program 3 requires the most.</w:t>
      </w:r>
      <w:r w:rsidR="00475CAC">
        <w:rPr>
          <w:rFonts w:ascii="Times New Roman" w:hAnsi="Times New Roman" w:cs="Times New Roman"/>
          <w:sz w:val="22"/>
          <w:szCs w:val="22"/>
        </w:rPr>
        <w:t xml:space="preserve"> </w:t>
      </w:r>
      <w:r w:rsidRPr="00DF200B" w:rsidR="00DF200B">
        <w:rPr>
          <w:rFonts w:ascii="Times New Roman" w:hAnsi="Times New Roman" w:cs="Times New Roman"/>
          <w:sz w:val="22"/>
          <w:szCs w:val="22"/>
        </w:rPr>
        <w:t xml:space="preserve">Sources with Program 3 processes are those that do not meet Program 1 but are subject to OSHA’s PSM Standard, or those in any of the ten </w:t>
      </w:r>
      <w:r w:rsidR="00D06E2B">
        <w:rPr>
          <w:rFonts w:ascii="Times New Roman" w:hAnsi="Times New Roman" w:cs="Times New Roman"/>
          <w:sz w:val="22"/>
          <w:szCs w:val="22"/>
        </w:rPr>
        <w:t>North American Industry Classification System (</w:t>
      </w:r>
      <w:r w:rsidRPr="00DF200B" w:rsidR="00DF200B">
        <w:rPr>
          <w:rFonts w:ascii="Times New Roman" w:hAnsi="Times New Roman" w:cs="Times New Roman"/>
          <w:sz w:val="22"/>
          <w:szCs w:val="22"/>
        </w:rPr>
        <w:t>NAICS</w:t>
      </w:r>
      <w:r w:rsidR="00D06E2B">
        <w:rPr>
          <w:rFonts w:ascii="Times New Roman" w:hAnsi="Times New Roman" w:cs="Times New Roman"/>
          <w:sz w:val="22"/>
          <w:szCs w:val="22"/>
        </w:rPr>
        <w:t>)</w:t>
      </w:r>
      <w:r w:rsidRPr="00DF200B" w:rsidR="00DF200B">
        <w:rPr>
          <w:rFonts w:ascii="Times New Roman" w:hAnsi="Times New Roman" w:cs="Times New Roman"/>
          <w:sz w:val="22"/>
          <w:szCs w:val="22"/>
        </w:rPr>
        <w:t xml:space="preserve"> codes listed in 40 CFR 68.10(d)(1). Program 2 processes are those that do not meet Program 1 or 3 eligibility requirements. </w:t>
      </w:r>
    </w:p>
    <w:p w:rsidR="00F364E6" w:rsidP="0095205C" w:rsidRDefault="00F364E6" w14:paraId="39270FB6" w14:textId="77777777">
      <w:pPr>
        <w:pStyle w:val="Default"/>
        <w:ind w:firstLine="360"/>
        <w:rPr>
          <w:rFonts w:ascii="Times New Roman" w:hAnsi="Times New Roman" w:cs="Times New Roman"/>
          <w:sz w:val="22"/>
          <w:szCs w:val="22"/>
        </w:rPr>
      </w:pPr>
    </w:p>
    <w:p w:rsidRPr="008B3CD6" w:rsidR="00AF6E39" w:rsidP="00BC05FF" w:rsidRDefault="00AF6E39" w14:paraId="4AEEB5FA" w14:textId="02A36AC9">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right" w:pos="7922"/>
        </w:tabs>
        <w:rPr>
          <w:b/>
          <w:bCs/>
          <w:iCs/>
          <w:sz w:val="22"/>
          <w:szCs w:val="22"/>
        </w:rPr>
      </w:pPr>
      <w:r w:rsidRPr="008B3CD6">
        <w:rPr>
          <w:b/>
          <w:bCs/>
          <w:iCs/>
          <w:sz w:val="22"/>
          <w:szCs w:val="22"/>
        </w:rPr>
        <w:t>Data Items</w:t>
      </w:r>
    </w:p>
    <w:p w:rsidRPr="008B3CD6" w:rsidR="00575402" w:rsidP="00575402" w:rsidRDefault="00575402" w14:paraId="5244522C"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right" w:pos="7922"/>
        </w:tabs>
        <w:ind w:left="1080"/>
        <w:rPr>
          <w:b/>
          <w:bCs/>
          <w:iCs/>
          <w:sz w:val="22"/>
          <w:szCs w:val="22"/>
        </w:rPr>
      </w:pPr>
    </w:p>
    <w:p w:rsidR="008B3CD6" w:rsidP="008B3CD6" w:rsidRDefault="008B3CD6" w14:paraId="7676A24D" w14:textId="2EBAC906">
      <w:pPr>
        <w:rPr>
          <w:b/>
          <w:bCs/>
          <w:iCs/>
          <w:sz w:val="22"/>
          <w:szCs w:val="22"/>
          <w:u w:val="single"/>
        </w:rPr>
      </w:pPr>
      <w:r w:rsidRPr="005876D4">
        <w:rPr>
          <w:b/>
          <w:bCs/>
          <w:iCs/>
          <w:sz w:val="22"/>
          <w:szCs w:val="22"/>
          <w:u w:val="single"/>
        </w:rPr>
        <w:t>New Prevention Program Provisions</w:t>
      </w:r>
    </w:p>
    <w:p w:rsidRPr="005876D4" w:rsidR="00752622" w:rsidP="008B3CD6" w:rsidRDefault="00752622" w14:paraId="4EBEC8B1" w14:textId="77777777">
      <w:pPr>
        <w:rPr>
          <w:b/>
          <w:bCs/>
          <w:iCs/>
          <w:sz w:val="22"/>
          <w:szCs w:val="22"/>
          <w:u w:val="single"/>
        </w:rPr>
      </w:pPr>
    </w:p>
    <w:p w:rsidRPr="00D3520E" w:rsidR="008B3CD6" w:rsidP="008B3CD6" w:rsidRDefault="008B3CD6" w14:paraId="403D6719" w14:textId="1B48A36A">
      <w:pPr>
        <w:rPr>
          <w:i/>
          <w:sz w:val="22"/>
          <w:szCs w:val="22"/>
        </w:rPr>
      </w:pPr>
      <w:r w:rsidRPr="0044594A">
        <w:rPr>
          <w:i/>
          <w:sz w:val="22"/>
          <w:szCs w:val="22"/>
        </w:rPr>
        <w:t xml:space="preserve">Safer Technology and Alternatives Analysis </w:t>
      </w:r>
      <w:r w:rsidRPr="00D3520E">
        <w:rPr>
          <w:i/>
          <w:sz w:val="22"/>
          <w:szCs w:val="22"/>
        </w:rPr>
        <w:t>(STAA</w:t>
      </w:r>
      <w:r w:rsidRPr="00D3520E" w:rsidR="00752622">
        <w:rPr>
          <w:i/>
          <w:sz w:val="22"/>
          <w:szCs w:val="22"/>
        </w:rPr>
        <w:t>)</w:t>
      </w:r>
    </w:p>
    <w:p w:rsidRPr="008B3CD6" w:rsidR="008B3CD6" w:rsidP="008B3CD6" w:rsidRDefault="008B3CD6" w14:paraId="0EA8FF21" w14:textId="2A8D56A3">
      <w:pPr>
        <w:pStyle w:val="Default"/>
        <w:ind w:firstLine="720"/>
        <w:rPr>
          <w:rFonts w:ascii="Times New Roman" w:hAnsi="Times New Roman" w:cs="Times New Roman"/>
          <w:sz w:val="22"/>
          <w:szCs w:val="22"/>
        </w:rPr>
      </w:pPr>
      <w:r w:rsidRPr="008B3CD6">
        <w:rPr>
          <w:rFonts w:ascii="Times New Roman" w:hAnsi="Times New Roman" w:cs="Times New Roman"/>
          <w:sz w:val="22"/>
          <w:szCs w:val="22"/>
        </w:rPr>
        <w:t>Under the proposed rule, facilities with Program 3 processes in NAICS code 324 and 325, located within one mile of another facility with a process in NAICS code 324 or 325, would be required to conduct a STAA. Because EPA is proposing to require STAA only in industries with the most frequent and severe documented and continuing accidents, EPA expects the total burden of the STAA provision to be lower than the total burden that would have been imposed by the 2017 amendments rule’s proposed STAA provision, which applied more broadly.</w:t>
      </w:r>
    </w:p>
    <w:p w:rsidRPr="00586F1B" w:rsidR="00575402" w:rsidP="00575402" w:rsidRDefault="00575402" w14:paraId="16A57FC4" w14:textId="77777777">
      <w:pPr>
        <w:tabs>
          <w:tab w:val="left" w:pos="720"/>
          <w:tab w:val="left" w:pos="1440"/>
          <w:tab w:val="left" w:pos="2160"/>
          <w:tab w:val="left" w:pos="2880"/>
          <w:tab w:val="left" w:pos="3600"/>
          <w:tab w:val="left" w:pos="4320"/>
          <w:tab w:val="left" w:pos="5040"/>
          <w:tab w:val="left" w:pos="5760"/>
          <w:tab w:val="right" w:pos="6483"/>
        </w:tabs>
        <w:rPr>
          <w:sz w:val="22"/>
          <w:szCs w:val="22"/>
          <w:highlight w:val="yellow"/>
        </w:rPr>
      </w:pPr>
    </w:p>
    <w:p w:rsidRPr="00E373C2" w:rsidR="00E373C2" w:rsidP="00E373C2" w:rsidRDefault="00E373C2" w14:paraId="558F5F21" w14:textId="7F314BC8">
      <w:pPr>
        <w:tabs>
          <w:tab w:val="left" w:pos="720"/>
          <w:tab w:val="left" w:pos="1440"/>
          <w:tab w:val="left" w:pos="2160"/>
          <w:tab w:val="left" w:pos="2880"/>
          <w:tab w:val="left" w:pos="3600"/>
          <w:tab w:val="left" w:pos="4320"/>
          <w:tab w:val="left" w:pos="5040"/>
          <w:tab w:val="left" w:pos="5760"/>
          <w:tab w:val="right" w:pos="6483"/>
        </w:tabs>
        <w:rPr>
          <w:i/>
          <w:iCs/>
          <w:sz w:val="22"/>
          <w:szCs w:val="22"/>
        </w:rPr>
      </w:pPr>
      <w:r w:rsidRPr="00E373C2">
        <w:rPr>
          <w:i/>
          <w:iCs/>
          <w:sz w:val="22"/>
          <w:szCs w:val="22"/>
        </w:rPr>
        <w:t>Backup Power for Perimeter Monitors</w:t>
      </w:r>
    </w:p>
    <w:p w:rsidR="00E373C2" w:rsidP="00E373C2" w:rsidRDefault="00E373C2" w14:paraId="18F3BD03" w14:textId="168BA6B4">
      <w:pPr>
        <w:tabs>
          <w:tab w:val="left" w:pos="720"/>
          <w:tab w:val="left" w:pos="1440"/>
          <w:tab w:val="left" w:pos="2160"/>
          <w:tab w:val="left" w:pos="2880"/>
          <w:tab w:val="left" w:pos="3600"/>
          <w:tab w:val="left" w:pos="4320"/>
          <w:tab w:val="left" w:pos="5040"/>
          <w:tab w:val="left" w:pos="5760"/>
          <w:tab w:val="right" w:pos="6483"/>
        </w:tabs>
        <w:ind w:firstLine="720"/>
        <w:rPr>
          <w:sz w:val="22"/>
          <w:szCs w:val="22"/>
          <w:highlight w:val="yellow"/>
        </w:rPr>
      </w:pPr>
      <w:r w:rsidRPr="00E373C2">
        <w:rPr>
          <w:sz w:val="22"/>
          <w:szCs w:val="22"/>
        </w:rPr>
        <w:t>The proposed rule would require perimeter monitoring equipment associated with prevention and detection of RMP-regulated substances to have standby or backup power.</w:t>
      </w:r>
      <w:r w:rsidRPr="00444B2A" w:rsidR="00444B2A">
        <w:t xml:space="preserve"> </w:t>
      </w:r>
      <w:r w:rsidRPr="00444B2A" w:rsidR="00444B2A">
        <w:rPr>
          <w:sz w:val="22"/>
          <w:szCs w:val="22"/>
        </w:rPr>
        <w:t>Currently</w:t>
      </w:r>
      <w:r w:rsidR="00752622">
        <w:rPr>
          <w:sz w:val="22"/>
          <w:szCs w:val="22"/>
        </w:rPr>
        <w:t>,</w:t>
      </w:r>
      <w:r w:rsidRPr="00444B2A" w:rsidR="00444B2A">
        <w:rPr>
          <w:sz w:val="22"/>
          <w:szCs w:val="22"/>
        </w:rPr>
        <w:t xml:space="preserve"> many facilities voluntarily have backup power installed for perimeter monitors. This proposed provision would require </w:t>
      </w:r>
      <w:r w:rsidR="00752622">
        <w:rPr>
          <w:sz w:val="22"/>
          <w:szCs w:val="22"/>
        </w:rPr>
        <w:t>backup power where perimeter monitors are already in place</w:t>
      </w:r>
      <w:r w:rsidRPr="00444B2A" w:rsidR="00444B2A">
        <w:rPr>
          <w:sz w:val="22"/>
          <w:szCs w:val="22"/>
        </w:rPr>
        <w:t>.</w:t>
      </w:r>
    </w:p>
    <w:p w:rsidRPr="00586F1B" w:rsidR="00575402" w:rsidP="00575402" w:rsidRDefault="00575402" w14:paraId="13E959A6" w14:textId="77777777">
      <w:pPr>
        <w:tabs>
          <w:tab w:val="left" w:pos="720"/>
          <w:tab w:val="left" w:pos="1440"/>
          <w:tab w:val="left" w:pos="2160"/>
          <w:tab w:val="left" w:pos="2880"/>
          <w:tab w:val="left" w:pos="3600"/>
          <w:tab w:val="left" w:pos="4320"/>
          <w:tab w:val="left" w:pos="5040"/>
          <w:tab w:val="left" w:pos="5760"/>
          <w:tab w:val="right" w:pos="6483"/>
        </w:tabs>
        <w:ind w:firstLine="720"/>
        <w:rPr>
          <w:sz w:val="22"/>
          <w:szCs w:val="22"/>
          <w:highlight w:val="yellow"/>
        </w:rPr>
      </w:pPr>
    </w:p>
    <w:p w:rsidR="009A65E5" w:rsidP="00575402" w:rsidRDefault="009A65E5" w14:paraId="55EF0E56" w14:textId="068706EF">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r w:rsidRPr="005876D4">
        <w:rPr>
          <w:b/>
          <w:bCs/>
          <w:sz w:val="22"/>
          <w:szCs w:val="22"/>
          <w:u w:val="single"/>
        </w:rPr>
        <w:t xml:space="preserve">Emergency Response Activities </w:t>
      </w:r>
    </w:p>
    <w:p w:rsidRPr="005876D4" w:rsidR="00752622" w:rsidP="00575402" w:rsidRDefault="00752622" w14:paraId="0521B381"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p>
    <w:p w:rsidRPr="003942D2" w:rsidR="00E41BC3" w:rsidP="00E41BC3" w:rsidRDefault="00E41BC3" w14:paraId="6E965060" w14:textId="77777777">
      <w:pPr>
        <w:rPr>
          <w:bCs/>
          <w:i/>
          <w:iCs/>
          <w:sz w:val="22"/>
          <w:szCs w:val="22"/>
        </w:rPr>
      </w:pPr>
      <w:r w:rsidRPr="003942D2">
        <w:rPr>
          <w:bCs/>
          <w:i/>
          <w:iCs/>
          <w:sz w:val="22"/>
          <w:szCs w:val="22"/>
        </w:rPr>
        <w:t>Community Notification of RMP Accidents</w:t>
      </w:r>
    </w:p>
    <w:p w:rsidR="00E41BC3" w:rsidP="00296A64" w:rsidRDefault="00E41BC3" w14:paraId="71DE0C99" w14:textId="38E3C60B">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3942D2">
        <w:rPr>
          <w:sz w:val="22"/>
          <w:szCs w:val="22"/>
        </w:rPr>
        <w:tab/>
        <w:t>The proposed rule would require all facilities with Program 2 or 3 processes to provide accidental release notification and data to local responders and ensure that a community notification system is in place</w:t>
      </w:r>
      <w:r w:rsidRPr="003942D2">
        <w:rPr>
          <w:bCs/>
          <w:sz w:val="22"/>
          <w:szCs w:val="22"/>
        </w:rPr>
        <w:t>.</w:t>
      </w:r>
      <w:r w:rsidRPr="003942D2" w:rsidR="003942D2">
        <w:rPr>
          <w:sz w:val="22"/>
          <w:szCs w:val="22"/>
        </w:rPr>
        <w:t xml:space="preserve"> EPA assumes all facilities with Program 2 or 3 processes will have to take some additional steps to coordinate with local responders to ensure a process is in place to transfer accidental release notification and data to local responders and ensure the ability to use a community notification system.</w:t>
      </w:r>
    </w:p>
    <w:p w:rsidR="001D4D60" w:rsidP="00E41BC3" w:rsidRDefault="001D4D60" w14:paraId="24E9D8F1" w14:textId="3A3449C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1D4D60" w:rsidP="001D4D60" w:rsidRDefault="001D4D60" w14:paraId="10C53148" w14:textId="78F00392">
      <w:pPr>
        <w:rPr>
          <w:b/>
          <w:bCs/>
          <w:iCs/>
          <w:sz w:val="22"/>
          <w:szCs w:val="28"/>
          <w:u w:val="single"/>
        </w:rPr>
      </w:pPr>
      <w:r w:rsidRPr="001D4D60">
        <w:rPr>
          <w:b/>
          <w:bCs/>
          <w:iCs/>
          <w:sz w:val="22"/>
          <w:szCs w:val="28"/>
          <w:u w:val="single"/>
        </w:rPr>
        <w:t>Information Availability</w:t>
      </w:r>
    </w:p>
    <w:p w:rsidRPr="001D4D60" w:rsidR="00752622" w:rsidP="001D4D60" w:rsidRDefault="00752622" w14:paraId="2AC60295" w14:textId="77777777">
      <w:pPr>
        <w:rPr>
          <w:b/>
          <w:bCs/>
          <w:iCs/>
          <w:sz w:val="22"/>
          <w:szCs w:val="28"/>
          <w:u w:val="single"/>
        </w:rPr>
      </w:pPr>
    </w:p>
    <w:p w:rsidRPr="001D4D60" w:rsidR="001D4D60" w:rsidP="001D4D60" w:rsidRDefault="001D4D60" w14:paraId="780042C4" w14:textId="58260D03">
      <w:pPr>
        <w:rPr>
          <w:i/>
          <w:sz w:val="22"/>
          <w:szCs w:val="28"/>
        </w:rPr>
      </w:pPr>
      <w:r w:rsidRPr="001D4D60">
        <w:rPr>
          <w:i/>
          <w:sz w:val="22"/>
          <w:szCs w:val="28"/>
        </w:rPr>
        <w:t>Information Availability</w:t>
      </w:r>
    </w:p>
    <w:p w:rsidRPr="001D4D60" w:rsidR="001D4D60" w:rsidP="001D4D60" w:rsidRDefault="001D4D60" w14:paraId="3D0E3F1B" w14:textId="7572B571">
      <w:pPr>
        <w:ind w:firstLine="360"/>
        <w:rPr>
          <w:sz w:val="22"/>
          <w:szCs w:val="28"/>
        </w:rPr>
      </w:pPr>
      <w:r w:rsidRPr="001D4D60">
        <w:rPr>
          <w:sz w:val="22"/>
          <w:szCs w:val="28"/>
        </w:rPr>
        <w:tab/>
        <w:t>The proposed rule would require all facilities to disclose certain chemical hazard information to the public residing within 6 miles</w:t>
      </w:r>
      <w:r w:rsidR="00752622">
        <w:rPr>
          <w:sz w:val="22"/>
          <w:szCs w:val="28"/>
        </w:rPr>
        <w:t xml:space="preserve"> </w:t>
      </w:r>
      <w:r w:rsidRPr="001D4D60">
        <w:rPr>
          <w:sz w:val="22"/>
          <w:szCs w:val="28"/>
        </w:rPr>
        <w:t>of the facility in the language requested by the requester.</w:t>
      </w:r>
      <w:r w:rsidRPr="001D4D60" w:rsidR="00752622">
        <w:rPr>
          <w:sz w:val="22"/>
          <w:szCs w:val="28"/>
        </w:rPr>
        <w:t xml:space="preserve"> </w:t>
      </w:r>
      <w:r w:rsidRPr="001D4D60">
        <w:rPr>
          <w:sz w:val="22"/>
          <w:szCs w:val="28"/>
        </w:rPr>
        <w:t xml:space="preserve">These are new information availability requirements, not currently required. The facility or its parent company, if applicable, </w:t>
      </w:r>
      <w:r w:rsidR="00752622">
        <w:rPr>
          <w:sz w:val="22"/>
          <w:szCs w:val="28"/>
        </w:rPr>
        <w:t xml:space="preserve">also </w:t>
      </w:r>
      <w:r w:rsidRPr="001D4D60">
        <w:rPr>
          <w:sz w:val="22"/>
          <w:szCs w:val="28"/>
        </w:rPr>
        <w:t xml:space="preserve">would have to provide ongoing notification that the information is available upon request </w:t>
      </w:r>
      <w:r w:rsidRPr="001D4D60">
        <w:rPr>
          <w:sz w:val="22"/>
          <w:szCs w:val="28"/>
        </w:rPr>
        <w:lastRenderedPageBreak/>
        <w:t xml:space="preserve">for those members of the public. This could include a company website </w:t>
      </w:r>
      <w:r w:rsidR="00752622">
        <w:rPr>
          <w:sz w:val="22"/>
          <w:szCs w:val="28"/>
        </w:rPr>
        <w:t xml:space="preserve">stating </w:t>
      </w:r>
      <w:r w:rsidRPr="001D4D60">
        <w:rPr>
          <w:sz w:val="22"/>
          <w:szCs w:val="28"/>
        </w:rPr>
        <w:t xml:space="preserve">that information is available, providing notification at public libraries, in local papers, or via other means appropriate for particular communities and facilities. </w:t>
      </w:r>
    </w:p>
    <w:p w:rsidRPr="001D4D60" w:rsidR="001D4D60" w:rsidP="001D4D60" w:rsidRDefault="001D4D60" w14:paraId="6697C9D8" w14:textId="77777777">
      <w:pPr>
        <w:ind w:firstLine="720"/>
        <w:rPr>
          <w:sz w:val="22"/>
          <w:szCs w:val="28"/>
        </w:rPr>
      </w:pPr>
    </w:p>
    <w:p w:rsidRPr="001D4D60" w:rsidR="001D4D60" w:rsidP="001D4D60" w:rsidRDefault="001D4D60" w14:paraId="682757E8" w14:textId="77777777">
      <w:pPr>
        <w:rPr>
          <w:sz w:val="22"/>
          <w:szCs w:val="28"/>
        </w:rPr>
      </w:pPr>
      <w:r w:rsidRPr="001D4D60">
        <w:rPr>
          <w:sz w:val="22"/>
          <w:szCs w:val="28"/>
        </w:rPr>
        <w:tab/>
        <w:t>The information to be disclosed includes:</w:t>
      </w:r>
    </w:p>
    <w:p w:rsidRPr="001D4D60" w:rsidR="001D4D60" w:rsidP="001D4D60" w:rsidRDefault="001D4D60" w14:paraId="48644376" w14:textId="77777777">
      <w:pPr>
        <w:pStyle w:val="ListParagraph"/>
        <w:widowControl/>
        <w:numPr>
          <w:ilvl w:val="0"/>
          <w:numId w:val="23"/>
        </w:numPr>
        <w:adjustRightInd/>
        <w:contextualSpacing w:val="0"/>
        <w:rPr>
          <w:sz w:val="22"/>
          <w:szCs w:val="28"/>
        </w:rPr>
      </w:pPr>
      <w:r w:rsidRPr="001D4D60">
        <w:rPr>
          <w:sz w:val="22"/>
          <w:szCs w:val="28"/>
        </w:rPr>
        <w:t>Names of regulated substances at the facility</w:t>
      </w:r>
    </w:p>
    <w:p w:rsidRPr="001D4D60" w:rsidR="001D4D60" w:rsidP="001D4D60" w:rsidRDefault="001D4D60" w14:paraId="497CDA16" w14:textId="77777777">
      <w:pPr>
        <w:pStyle w:val="ListParagraph"/>
        <w:widowControl/>
        <w:numPr>
          <w:ilvl w:val="0"/>
          <w:numId w:val="23"/>
        </w:numPr>
        <w:adjustRightInd/>
        <w:contextualSpacing w:val="0"/>
        <w:rPr>
          <w:sz w:val="22"/>
          <w:szCs w:val="28"/>
        </w:rPr>
      </w:pPr>
      <w:r w:rsidRPr="001D4D60">
        <w:rPr>
          <w:sz w:val="22"/>
          <w:szCs w:val="28"/>
        </w:rPr>
        <w:t xml:space="preserve">Safety Data Sheets (SDS) </w:t>
      </w:r>
    </w:p>
    <w:p w:rsidRPr="001D4D60" w:rsidR="001D4D60" w:rsidP="001D4D60" w:rsidRDefault="001D4D60" w14:paraId="55C75E20" w14:textId="77777777">
      <w:pPr>
        <w:pStyle w:val="ListParagraph"/>
        <w:widowControl/>
        <w:numPr>
          <w:ilvl w:val="0"/>
          <w:numId w:val="23"/>
        </w:numPr>
        <w:adjustRightInd/>
        <w:contextualSpacing w:val="0"/>
        <w:rPr>
          <w:sz w:val="22"/>
          <w:szCs w:val="28"/>
        </w:rPr>
      </w:pPr>
      <w:r w:rsidRPr="001D4D60">
        <w:rPr>
          <w:sz w:val="22"/>
          <w:szCs w:val="28"/>
        </w:rPr>
        <w:t>Accident history information</w:t>
      </w:r>
    </w:p>
    <w:p w:rsidRPr="001D4D60" w:rsidR="001D4D60" w:rsidP="001D4D60" w:rsidRDefault="001D4D60" w14:paraId="5C72CD30" w14:textId="60788AD5">
      <w:pPr>
        <w:pStyle w:val="ListParagraph"/>
        <w:widowControl/>
        <w:numPr>
          <w:ilvl w:val="0"/>
          <w:numId w:val="23"/>
        </w:numPr>
        <w:adjustRightInd/>
        <w:contextualSpacing w:val="0"/>
        <w:rPr>
          <w:sz w:val="22"/>
          <w:szCs w:val="28"/>
        </w:rPr>
      </w:pPr>
      <w:r w:rsidRPr="001D4D60">
        <w:rPr>
          <w:sz w:val="22"/>
          <w:szCs w:val="28"/>
        </w:rPr>
        <w:t xml:space="preserve">Emergency response program </w:t>
      </w:r>
      <w:r w:rsidRPr="001D4D60" w:rsidR="00296A64">
        <w:rPr>
          <w:sz w:val="22"/>
          <w:szCs w:val="28"/>
        </w:rPr>
        <w:t>information</w:t>
      </w:r>
    </w:p>
    <w:p w:rsidR="001D4D60" w:rsidP="00752622" w:rsidRDefault="001D4D60" w14:paraId="66506196" w14:textId="46CE0EB3">
      <w:pPr>
        <w:pStyle w:val="ListParagraph"/>
        <w:widowControl/>
        <w:numPr>
          <w:ilvl w:val="0"/>
          <w:numId w:val="23"/>
        </w:numPr>
        <w:adjustRightInd/>
        <w:contextualSpacing w:val="0"/>
        <w:rPr>
          <w:sz w:val="22"/>
          <w:szCs w:val="28"/>
        </w:rPr>
      </w:pPr>
      <w:r w:rsidRPr="001D4D60">
        <w:rPr>
          <w:sz w:val="22"/>
          <w:szCs w:val="28"/>
        </w:rPr>
        <w:t>LEPC or local response agency contact information.</w:t>
      </w:r>
      <w:r w:rsidRPr="00752622">
        <w:rPr>
          <w:sz w:val="22"/>
          <w:szCs w:val="28"/>
        </w:rPr>
        <w:t xml:space="preserve"> </w:t>
      </w:r>
    </w:p>
    <w:p w:rsidRPr="00586F1B" w:rsidR="00575402" w:rsidP="00575402" w:rsidRDefault="00575402" w14:paraId="5FB98259"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highlight w:val="yellow"/>
          <w:u w:val="single"/>
        </w:rPr>
      </w:pPr>
    </w:p>
    <w:p w:rsidRPr="00A41195" w:rsidR="00C61E11" w:rsidP="00BC05FF" w:rsidRDefault="00AF6E39" w14:paraId="135083C2" w14:textId="468429E0">
      <w:pPr>
        <w:pStyle w:val="ListParagraph"/>
        <w:numPr>
          <w:ilvl w:val="0"/>
          <w:numId w:val="4"/>
        </w:numPr>
        <w:tabs>
          <w:tab w:val="left" w:pos="720"/>
          <w:tab w:val="left" w:pos="1440"/>
          <w:tab w:val="left" w:pos="2160"/>
          <w:tab w:val="left" w:pos="2880"/>
          <w:tab w:val="left" w:pos="3600"/>
          <w:tab w:val="left" w:pos="4320"/>
          <w:tab w:val="left" w:pos="5040"/>
          <w:tab w:val="left" w:pos="5850"/>
          <w:tab w:val="left" w:pos="6480"/>
          <w:tab w:val="left" w:pos="7200"/>
          <w:tab w:val="left" w:pos="7922"/>
        </w:tabs>
        <w:rPr>
          <w:b/>
          <w:sz w:val="22"/>
          <w:szCs w:val="22"/>
        </w:rPr>
      </w:pPr>
      <w:r w:rsidRPr="00A41195">
        <w:rPr>
          <w:b/>
          <w:bCs/>
          <w:sz w:val="22"/>
          <w:szCs w:val="22"/>
        </w:rPr>
        <w:t>Respondent Activities</w:t>
      </w:r>
    </w:p>
    <w:p w:rsidRPr="00A41195" w:rsidR="006B062F" w:rsidP="006B062F" w:rsidRDefault="006B062F" w14:paraId="57475CA7" w14:textId="77777777">
      <w:pPr>
        <w:pStyle w:val="ListParagraph"/>
        <w:tabs>
          <w:tab w:val="left" w:pos="720"/>
          <w:tab w:val="left" w:pos="1440"/>
          <w:tab w:val="left" w:pos="2160"/>
          <w:tab w:val="left" w:pos="2880"/>
          <w:tab w:val="left" w:pos="3600"/>
          <w:tab w:val="left" w:pos="4320"/>
          <w:tab w:val="left" w:pos="5040"/>
          <w:tab w:val="left" w:pos="5850"/>
          <w:tab w:val="left" w:pos="6480"/>
          <w:tab w:val="left" w:pos="7200"/>
          <w:tab w:val="left" w:pos="7922"/>
        </w:tabs>
        <w:ind w:left="1080"/>
        <w:rPr>
          <w:b/>
          <w:sz w:val="22"/>
          <w:szCs w:val="22"/>
        </w:rPr>
      </w:pPr>
    </w:p>
    <w:p w:rsidRPr="00A41195" w:rsidR="00C61E11" w:rsidP="006B062F" w:rsidRDefault="00C61E11" w14:paraId="60AC4BD1" w14:textId="67BA4A2F">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r w:rsidRPr="00A41195">
        <w:rPr>
          <w:b/>
          <w:bCs/>
          <w:sz w:val="22"/>
          <w:szCs w:val="22"/>
          <w:u w:val="single"/>
        </w:rPr>
        <w:t>Rule Familiarizatio</w:t>
      </w:r>
      <w:r w:rsidRPr="00A41195" w:rsidR="00B042F2">
        <w:rPr>
          <w:b/>
          <w:bCs/>
          <w:sz w:val="22"/>
          <w:szCs w:val="22"/>
          <w:u w:val="single"/>
        </w:rPr>
        <w:t>n</w:t>
      </w:r>
    </w:p>
    <w:p w:rsidRPr="00A41195" w:rsidR="006B062F" w:rsidP="006B062F" w:rsidRDefault="006B062F" w14:paraId="70BCCCE8"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6B062F" w:rsidP="006B062F" w:rsidRDefault="00DF6387" w14:paraId="297E9401" w14:textId="08B32D6E">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sidRPr="00DF6387">
        <w:rPr>
          <w:sz w:val="22"/>
          <w:szCs w:val="22"/>
        </w:rPr>
        <w:t>RMP facility staff will spend time to review the final rule and determine which provisions apply to their facility. Most of the proposed provisions revise current requirements rather than introducing completely new provisions. Many of the provisions are straightforward, e.g., those regarding Information Availability. Others apply only after an RMP-reportable accident, e.g., root cause analysis. Still others, such as the STAA, are expected to take time to understand -- however they apply to a limited number of facilities.</w:t>
      </w:r>
    </w:p>
    <w:p w:rsidRPr="00586F1B" w:rsidR="00DF6387" w:rsidP="006B062F" w:rsidRDefault="00DF6387" w14:paraId="5CE29C71"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highlight w:val="yellow"/>
        </w:rPr>
      </w:pPr>
    </w:p>
    <w:p w:rsidRPr="00586F1B" w:rsidR="00C61E11" w:rsidP="006B062F" w:rsidRDefault="00A014B7" w14:paraId="7F50BC0B" w14:textId="079A3AB8">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highlight w:val="yellow"/>
          <w:u w:val="single"/>
        </w:rPr>
      </w:pPr>
      <w:r w:rsidRPr="00A014B7">
        <w:rPr>
          <w:b/>
          <w:bCs/>
          <w:sz w:val="22"/>
          <w:szCs w:val="22"/>
          <w:u w:val="single"/>
        </w:rPr>
        <w:t>Prevention Program Provisions</w:t>
      </w:r>
    </w:p>
    <w:p w:rsidRPr="00586F1B" w:rsidR="006B062F" w:rsidP="006B062F" w:rsidRDefault="006B062F" w14:paraId="4F8AFB0A"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highlight w:val="yellow"/>
        </w:rPr>
      </w:pPr>
    </w:p>
    <w:p w:rsidR="00D1128D" w:rsidP="00D1128D" w:rsidRDefault="00D1128D" w14:paraId="7B56F0A5" w14:textId="3D6C4160">
      <w:pPr>
        <w:tabs>
          <w:tab w:val="left" w:pos="720"/>
          <w:tab w:val="left" w:pos="1440"/>
          <w:tab w:val="left" w:pos="2160"/>
          <w:tab w:val="left" w:pos="2880"/>
          <w:tab w:val="left" w:pos="3600"/>
          <w:tab w:val="left" w:pos="4320"/>
          <w:tab w:val="left" w:pos="5040"/>
          <w:tab w:val="left" w:pos="5850"/>
          <w:tab w:val="left" w:pos="6480"/>
          <w:tab w:val="left" w:pos="7200"/>
          <w:tab w:val="left" w:pos="7922"/>
        </w:tabs>
        <w:rPr>
          <w:i/>
          <w:iCs/>
          <w:sz w:val="22"/>
          <w:szCs w:val="22"/>
        </w:rPr>
      </w:pPr>
      <w:r w:rsidRPr="00D1128D">
        <w:rPr>
          <w:i/>
          <w:iCs/>
          <w:sz w:val="22"/>
          <w:szCs w:val="22"/>
        </w:rPr>
        <w:t>Safer Technology and Alternatives Analysis (STAA)</w:t>
      </w:r>
    </w:p>
    <w:p w:rsidR="005E2776" w:rsidP="006B062F" w:rsidRDefault="005E2776" w14:paraId="25BE2431" w14:textId="7D23B99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i/>
          <w:iCs/>
          <w:sz w:val="22"/>
          <w:szCs w:val="22"/>
        </w:rPr>
      </w:pPr>
      <w:r w:rsidRPr="005E2776">
        <w:rPr>
          <w:sz w:val="22"/>
          <w:szCs w:val="22"/>
        </w:rPr>
        <w:t>Facilities with Program 3 processes in NAICS code 324 and 325, located within one mile of another facility with a process in NAICS code 324 or 325, would be required to conduct a STAA.</w:t>
      </w:r>
      <w:r w:rsidRPr="00670B8E" w:rsidR="00670B8E">
        <w:t xml:space="preserve"> </w:t>
      </w:r>
      <w:r w:rsidR="00670B8E">
        <w:t xml:space="preserve"> </w:t>
      </w:r>
      <w:r w:rsidR="00670B8E">
        <w:rPr>
          <w:sz w:val="22"/>
          <w:szCs w:val="22"/>
        </w:rPr>
        <w:t>A</w:t>
      </w:r>
      <w:r w:rsidRPr="00670B8E" w:rsidR="00670B8E">
        <w:rPr>
          <w:sz w:val="22"/>
          <w:szCs w:val="22"/>
        </w:rPr>
        <w:t>ll facilities in NAICS 324 using hydrofluoric acid (HF) in an alkylation unit</w:t>
      </w:r>
      <w:r w:rsidR="00670B8E">
        <w:rPr>
          <w:sz w:val="22"/>
          <w:szCs w:val="22"/>
        </w:rPr>
        <w:t xml:space="preserve">, </w:t>
      </w:r>
      <w:r w:rsidRPr="00670B8E" w:rsidR="00670B8E">
        <w:rPr>
          <w:sz w:val="22"/>
          <w:szCs w:val="22"/>
        </w:rPr>
        <w:t>regardless of proximity to another NAICS 324- or 325-regulated facility</w:t>
      </w:r>
      <w:r w:rsidR="00670B8E">
        <w:rPr>
          <w:sz w:val="22"/>
          <w:szCs w:val="22"/>
        </w:rPr>
        <w:t>, would also be required to conduct a STAA</w:t>
      </w:r>
      <w:r w:rsidRPr="00670B8E" w:rsidR="00670B8E">
        <w:rPr>
          <w:sz w:val="22"/>
          <w:szCs w:val="22"/>
        </w:rPr>
        <w:t>.</w:t>
      </w:r>
      <w:r w:rsidRPr="00AD69DB" w:rsidR="00AD69DB">
        <w:t xml:space="preserve"> </w:t>
      </w:r>
      <w:r w:rsidRPr="00AD69DB" w:rsidR="00AD69DB">
        <w:rPr>
          <w:sz w:val="22"/>
          <w:szCs w:val="22"/>
        </w:rPr>
        <w:t>The STAA requirement includes two parts: the initial analysis to identify alternatives, and a practicability study to determine the costs and assess the reasonableness of implementing technology alternatives.</w:t>
      </w:r>
    </w:p>
    <w:p w:rsidR="005E2776" w:rsidP="006B062F" w:rsidRDefault="005E2776" w14:paraId="49F9974D" w14:textId="4EC10FB1">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i/>
          <w:iCs/>
          <w:sz w:val="22"/>
          <w:szCs w:val="22"/>
        </w:rPr>
      </w:pPr>
    </w:p>
    <w:p w:rsidRPr="00E56581" w:rsidR="00E56581" w:rsidP="00E56581" w:rsidRDefault="00E56581" w14:paraId="5D6CDA13"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i/>
          <w:iCs/>
          <w:sz w:val="22"/>
          <w:szCs w:val="22"/>
        </w:rPr>
      </w:pPr>
      <w:r w:rsidRPr="00E56581">
        <w:rPr>
          <w:i/>
          <w:iCs/>
          <w:sz w:val="22"/>
          <w:szCs w:val="22"/>
        </w:rPr>
        <w:t xml:space="preserve">Root Cause Analysis </w:t>
      </w:r>
    </w:p>
    <w:p w:rsidR="001D2A1B" w:rsidP="00E56581" w:rsidRDefault="00E56581" w14:paraId="30B65D37" w14:textId="31DAE355">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E56581">
        <w:rPr>
          <w:sz w:val="22"/>
          <w:szCs w:val="22"/>
        </w:rPr>
        <w:tab/>
      </w:r>
      <w:r>
        <w:rPr>
          <w:sz w:val="22"/>
          <w:szCs w:val="22"/>
        </w:rPr>
        <w:t>F</w:t>
      </w:r>
      <w:r w:rsidRPr="00E56581">
        <w:rPr>
          <w:sz w:val="22"/>
          <w:szCs w:val="22"/>
        </w:rPr>
        <w:t>acilities in Programs 2 and 3 that have had an RMP-reportable accident determine the underlying causes as part of their incident investigation. A root cause analysis is a structured process led by a person trained in the methodology. The time required may vary considerably based on the complexity of the processes involved.</w:t>
      </w:r>
    </w:p>
    <w:p w:rsidR="001D2A1B" w:rsidP="006B062F" w:rsidRDefault="001D2A1B" w14:paraId="3ED83434"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rsidRPr="00F34063" w:rsidR="00F34063" w:rsidP="00F34063" w:rsidRDefault="00F34063" w14:paraId="661FB90C"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i/>
          <w:iCs/>
          <w:sz w:val="22"/>
          <w:szCs w:val="22"/>
        </w:rPr>
      </w:pPr>
      <w:r w:rsidRPr="00F34063">
        <w:rPr>
          <w:i/>
          <w:iCs/>
          <w:sz w:val="22"/>
          <w:szCs w:val="22"/>
        </w:rPr>
        <w:t xml:space="preserve">Third-party Audits </w:t>
      </w:r>
    </w:p>
    <w:p w:rsidR="0078738E" w:rsidP="00F34063" w:rsidRDefault="00F34063" w14:paraId="4CAAE2E6" w14:textId="6089AE42">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F34063">
        <w:rPr>
          <w:sz w:val="22"/>
          <w:szCs w:val="22"/>
        </w:rPr>
        <w:tab/>
        <w:t>The current rule requires Program 2 and Program 3 facilities to conduct a compliance audit at least once every three years. The proposed rule would require Program 2 and Program 3 facilities that have had two RMP-reportable accidents within the past five years, or facilities with a Program 3 process in NAICS codes 324 or 325 within one mile of another facility with a process in NAICS codes 324 or 325, to contract with an independent third-party to conduct the next required audit.</w:t>
      </w:r>
    </w:p>
    <w:p w:rsidRPr="0078738E" w:rsidR="00C63299" w:rsidP="00F34063" w:rsidRDefault="00C63299" w14:paraId="1CEEFA69"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Pr="000E77D4" w:rsidR="000E77D4" w:rsidP="000E77D4" w:rsidRDefault="000E77D4" w14:paraId="7A86C9B7"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i/>
          <w:iCs/>
          <w:sz w:val="22"/>
          <w:szCs w:val="22"/>
        </w:rPr>
      </w:pPr>
      <w:r w:rsidRPr="000E77D4">
        <w:rPr>
          <w:i/>
          <w:iCs/>
          <w:sz w:val="22"/>
          <w:szCs w:val="22"/>
        </w:rPr>
        <w:t>Employee Participation Plan</w:t>
      </w:r>
    </w:p>
    <w:p w:rsidR="000E77D4" w:rsidP="000E77D4" w:rsidRDefault="000E77D4" w14:paraId="3E4A8185" w14:textId="694113DB">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0E77D4">
        <w:rPr>
          <w:i/>
          <w:iCs/>
          <w:sz w:val="22"/>
          <w:szCs w:val="22"/>
        </w:rPr>
        <w:tab/>
      </w:r>
      <w:r w:rsidRPr="000E77D4">
        <w:rPr>
          <w:sz w:val="22"/>
          <w:szCs w:val="22"/>
        </w:rPr>
        <w:t>The</w:t>
      </w:r>
      <w:r w:rsidRPr="00996096" w:rsidR="00996096">
        <w:t xml:space="preserve"> </w:t>
      </w:r>
      <w:r w:rsidRPr="00996096" w:rsidR="00996096">
        <w:rPr>
          <w:sz w:val="22"/>
          <w:szCs w:val="22"/>
        </w:rPr>
        <w:t>proposed rule would require that the</w:t>
      </w:r>
      <w:r>
        <w:rPr>
          <w:i/>
          <w:iCs/>
          <w:sz w:val="22"/>
          <w:szCs w:val="22"/>
        </w:rPr>
        <w:t xml:space="preserve"> </w:t>
      </w:r>
      <w:r w:rsidRPr="000E77D4">
        <w:rPr>
          <w:sz w:val="22"/>
          <w:szCs w:val="22"/>
        </w:rPr>
        <w:t>employee participation plan</w:t>
      </w:r>
      <w:r w:rsidR="00AE3C75">
        <w:rPr>
          <w:sz w:val="22"/>
          <w:szCs w:val="22"/>
        </w:rPr>
        <w:t xml:space="preserve"> </w:t>
      </w:r>
      <w:r w:rsidRPr="000E77D4">
        <w:rPr>
          <w:sz w:val="22"/>
          <w:szCs w:val="22"/>
        </w:rPr>
        <w:t>include and ensure effective methods are in place so that employees and their representatives have authority to refuse to perform a task when doing so could reasonably result in a catastrophic release and to recommend to the operator in charge of a unit that an operation or process be partially or completely shut down based on the potential for a catastrophic release.</w:t>
      </w:r>
    </w:p>
    <w:p w:rsidR="00F45483" w:rsidP="000E77D4" w:rsidRDefault="00F45483" w14:paraId="24819FC8" w14:textId="1BDB7A2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Pr="00F45483" w:rsidR="00F45483" w:rsidP="00F45483" w:rsidRDefault="00F45483" w14:paraId="1CF7B680" w14:textId="77777777">
      <w:pPr>
        <w:autoSpaceDE w:val="0"/>
        <w:autoSpaceDN w:val="0"/>
        <w:rPr>
          <w:i/>
          <w:color w:val="000000"/>
          <w:sz w:val="22"/>
          <w:szCs w:val="22"/>
        </w:rPr>
      </w:pPr>
      <w:r w:rsidRPr="00F45483">
        <w:rPr>
          <w:i/>
          <w:color w:val="000000"/>
          <w:sz w:val="22"/>
          <w:szCs w:val="22"/>
        </w:rPr>
        <w:t>Emergency Backup Power for Perimeter Monitors</w:t>
      </w:r>
    </w:p>
    <w:p w:rsidRPr="00F45483" w:rsidR="00F45483" w:rsidP="00F45483" w:rsidRDefault="00F45483" w14:paraId="66210512" w14:textId="6F680566">
      <w:pPr>
        <w:ind w:firstLine="360"/>
        <w:rPr>
          <w:color w:val="000000"/>
          <w:sz w:val="22"/>
          <w:szCs w:val="22"/>
        </w:rPr>
      </w:pPr>
      <w:r w:rsidRPr="00F45483">
        <w:rPr>
          <w:sz w:val="22"/>
          <w:szCs w:val="22"/>
        </w:rPr>
        <w:tab/>
        <w:t xml:space="preserve">EPA is proposing to require perimeter monitoring equipment associated with prevention and detection of accidental releases from RMP-regulated processes to have standby or backup power to ensure compliance with the intent of the rule. </w:t>
      </w:r>
      <w:r w:rsidRPr="00F45483">
        <w:rPr>
          <w:color w:val="000000"/>
          <w:sz w:val="22"/>
          <w:szCs w:val="22"/>
        </w:rPr>
        <w:t>Facilities with perimeter monitoring equipment that do not have backup power would need to acquire backup power. Many continuous emissions monitoring systems have low power requirements. EPA assumes that affected facilities will implement backup power using a small generator at a total cost of $1,000 for their monitoring equipment.</w:t>
      </w:r>
    </w:p>
    <w:p w:rsidRPr="000E77D4" w:rsidR="00F45483" w:rsidP="000E77D4" w:rsidRDefault="00F45483" w14:paraId="4DE9CA03"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highlight w:val="yellow"/>
        </w:rPr>
      </w:pPr>
    </w:p>
    <w:p w:rsidRPr="00586F1B" w:rsidR="00C61E11" w:rsidP="00DE4AB5" w:rsidRDefault="00C61E11" w14:paraId="203B918E" w14:textId="59B721F2">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highlight w:val="yellow"/>
        </w:rPr>
      </w:pPr>
      <w:r w:rsidRPr="0078738E">
        <w:rPr>
          <w:sz w:val="22"/>
          <w:szCs w:val="22"/>
        </w:rPr>
        <w:t xml:space="preserve">The burden estimates are presented in </w:t>
      </w:r>
      <w:r w:rsidRPr="0078738E" w:rsidR="00DE4AB5">
        <w:rPr>
          <w:sz w:val="22"/>
          <w:szCs w:val="22"/>
        </w:rPr>
        <w:t>s</w:t>
      </w:r>
      <w:r w:rsidRPr="0078738E">
        <w:rPr>
          <w:sz w:val="22"/>
          <w:szCs w:val="22"/>
        </w:rPr>
        <w:t>ection 6(a) of this ICR.</w:t>
      </w:r>
      <w:r w:rsidRPr="00586F1B">
        <w:rPr>
          <w:sz w:val="22"/>
          <w:szCs w:val="22"/>
          <w:highlight w:val="yellow"/>
        </w:rPr>
        <w:t xml:space="preserve"> </w:t>
      </w:r>
    </w:p>
    <w:p w:rsidRPr="00586F1B" w:rsidR="00DE4AB5" w:rsidP="00DE4AB5" w:rsidRDefault="00DE4AB5" w14:paraId="0548195B"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highlight w:val="yellow"/>
        </w:rPr>
      </w:pPr>
    </w:p>
    <w:p w:rsidRPr="001D2A1B" w:rsidR="009827F8" w:rsidP="00DE4AB5" w:rsidRDefault="001077C3" w14:paraId="04B367DD" w14:textId="68869F64">
      <w:pPr>
        <w:tabs>
          <w:tab w:val="left" w:pos="720"/>
          <w:tab w:val="left" w:pos="1440"/>
          <w:tab w:val="left" w:pos="2160"/>
          <w:tab w:val="left" w:pos="2880"/>
          <w:tab w:val="left" w:pos="3600"/>
          <w:tab w:val="left" w:pos="4320"/>
          <w:tab w:val="left" w:pos="5040"/>
          <w:tab w:val="left" w:pos="5850"/>
          <w:tab w:val="left" w:pos="6480"/>
          <w:tab w:val="left" w:pos="7200"/>
          <w:tab w:val="left" w:pos="7922"/>
        </w:tabs>
        <w:rPr>
          <w:b/>
          <w:sz w:val="22"/>
          <w:szCs w:val="22"/>
          <w:u w:val="single"/>
        </w:rPr>
      </w:pPr>
      <w:r w:rsidRPr="001D2A1B">
        <w:rPr>
          <w:b/>
          <w:sz w:val="22"/>
          <w:szCs w:val="22"/>
          <w:u w:val="single"/>
        </w:rPr>
        <w:t>Emergency Response Activities</w:t>
      </w:r>
    </w:p>
    <w:p w:rsidR="0073000A" w:rsidP="003E231F" w:rsidRDefault="0073000A" w14:paraId="0586E360" w14:textId="77777777">
      <w:pPr>
        <w:rPr>
          <w:bCs/>
          <w:i/>
          <w:iCs/>
          <w:sz w:val="22"/>
          <w:szCs w:val="22"/>
        </w:rPr>
      </w:pPr>
    </w:p>
    <w:p w:rsidRPr="003E231F" w:rsidR="003E231F" w:rsidP="003E231F" w:rsidRDefault="003E231F" w14:paraId="7512AA2B" w14:textId="39BC3D42">
      <w:pPr>
        <w:rPr>
          <w:bCs/>
          <w:i/>
          <w:iCs/>
          <w:sz w:val="22"/>
          <w:szCs w:val="22"/>
        </w:rPr>
      </w:pPr>
      <w:r w:rsidRPr="003E231F">
        <w:rPr>
          <w:bCs/>
          <w:i/>
          <w:iCs/>
          <w:sz w:val="22"/>
          <w:szCs w:val="22"/>
        </w:rPr>
        <w:t>Community Notification of RMP Accidents</w:t>
      </w:r>
    </w:p>
    <w:p w:rsidRPr="009D0B6E" w:rsidR="001D2A1B" w:rsidP="00F5497B" w:rsidRDefault="003E231F" w14:paraId="55308127" w14:textId="19FCBC3A">
      <w:pPr>
        <w:tabs>
          <w:tab w:val="left" w:pos="720"/>
          <w:tab w:val="left" w:pos="1440"/>
          <w:tab w:val="left" w:pos="2160"/>
          <w:tab w:val="left" w:pos="2880"/>
          <w:tab w:val="left" w:pos="3600"/>
          <w:tab w:val="left" w:pos="4320"/>
          <w:tab w:val="left" w:pos="5040"/>
          <w:tab w:val="left" w:pos="5850"/>
          <w:tab w:val="left" w:pos="6480"/>
          <w:tab w:val="left" w:pos="7200"/>
          <w:tab w:val="left" w:pos="7922"/>
        </w:tabs>
        <w:rPr>
          <w:i/>
          <w:sz w:val="22"/>
          <w:szCs w:val="22"/>
          <w:highlight w:val="green"/>
        </w:rPr>
      </w:pPr>
      <w:r w:rsidRPr="003E231F">
        <w:rPr>
          <w:sz w:val="22"/>
          <w:szCs w:val="22"/>
        </w:rPr>
        <w:tab/>
        <w:t xml:space="preserve">The proposed rule would require all facilities with Program 2 or 3 processes to provide accidental release notification and data to local responders and ensure that a </w:t>
      </w:r>
      <w:r w:rsidRPr="00442D28">
        <w:rPr>
          <w:sz w:val="22"/>
          <w:szCs w:val="22"/>
        </w:rPr>
        <w:t>community notification system is in place</w:t>
      </w:r>
      <w:r w:rsidRPr="00442D28">
        <w:rPr>
          <w:bCs/>
          <w:sz w:val="22"/>
          <w:szCs w:val="22"/>
        </w:rPr>
        <w:t>.</w:t>
      </w:r>
      <w:r w:rsidRPr="00442D28" w:rsidR="00442D28">
        <w:rPr>
          <w:bCs/>
          <w:sz w:val="22"/>
          <w:szCs w:val="22"/>
        </w:rPr>
        <w:t xml:space="preserve"> </w:t>
      </w:r>
      <w:r w:rsidRPr="00442D28" w:rsidR="00442D28">
        <w:rPr>
          <w:sz w:val="22"/>
          <w:szCs w:val="22"/>
        </w:rPr>
        <w:t>EPA assumes all facilities with Program 2 or 3 processes will have to take some additional steps to coordinate with local responders to ensure a process is in place to transfer accidental release notification and data to local responders and ensure the ability to use a community notification system.</w:t>
      </w:r>
      <w:r w:rsidRPr="00A54B30" w:rsidR="00A54B30">
        <w:rPr>
          <w:sz w:val="22"/>
          <w:szCs w:val="22"/>
        </w:rPr>
        <w:t xml:space="preserve"> The burden estimates for </w:t>
      </w:r>
      <w:r w:rsidR="00A54B30">
        <w:rPr>
          <w:sz w:val="22"/>
          <w:szCs w:val="22"/>
        </w:rPr>
        <w:t>c</w:t>
      </w:r>
      <w:r w:rsidRPr="00A54B30" w:rsidR="00A54B30">
        <w:rPr>
          <w:sz w:val="22"/>
          <w:szCs w:val="22"/>
        </w:rPr>
        <w:t xml:space="preserve">ommunity </w:t>
      </w:r>
      <w:r w:rsidR="00A54B30">
        <w:rPr>
          <w:sz w:val="22"/>
          <w:szCs w:val="22"/>
        </w:rPr>
        <w:t>n</w:t>
      </w:r>
      <w:r w:rsidRPr="00A54B30" w:rsidR="00A54B30">
        <w:rPr>
          <w:sz w:val="22"/>
          <w:szCs w:val="22"/>
        </w:rPr>
        <w:t xml:space="preserve">otification of RMP </w:t>
      </w:r>
      <w:r w:rsidR="00A54B30">
        <w:rPr>
          <w:sz w:val="22"/>
          <w:szCs w:val="22"/>
        </w:rPr>
        <w:t>a</w:t>
      </w:r>
      <w:r w:rsidRPr="00A54B30" w:rsidR="00A54B30">
        <w:rPr>
          <w:sz w:val="22"/>
          <w:szCs w:val="22"/>
        </w:rPr>
        <w:t>ccidents</w:t>
      </w:r>
      <w:r w:rsidR="00A54B30">
        <w:rPr>
          <w:sz w:val="22"/>
          <w:szCs w:val="22"/>
        </w:rPr>
        <w:t xml:space="preserve"> </w:t>
      </w:r>
      <w:r w:rsidRPr="00A54B30" w:rsidR="00A54B30">
        <w:rPr>
          <w:sz w:val="22"/>
          <w:szCs w:val="22"/>
        </w:rPr>
        <w:t>are presented in section 6(a) of this ICR.</w:t>
      </w:r>
    </w:p>
    <w:p w:rsidRPr="00586F1B" w:rsidR="009827F8" w:rsidP="009827F8" w:rsidRDefault="009827F8" w14:paraId="326FC385" w14:textId="77777777">
      <w:pPr>
        <w:tabs>
          <w:tab w:val="left" w:pos="720"/>
          <w:tab w:val="left" w:pos="1440"/>
          <w:tab w:val="left" w:pos="2160"/>
          <w:tab w:val="left" w:pos="2880"/>
          <w:tab w:val="left" w:pos="3600"/>
          <w:tab w:val="left" w:pos="4320"/>
          <w:tab w:val="left" w:pos="5040"/>
          <w:tab w:val="left" w:pos="5400"/>
          <w:tab w:val="left" w:pos="5850"/>
          <w:tab w:val="left" w:pos="6480"/>
          <w:tab w:val="left" w:pos="7200"/>
          <w:tab w:val="left" w:pos="7922"/>
        </w:tabs>
        <w:ind w:firstLine="720"/>
        <w:rPr>
          <w:bCs/>
          <w:sz w:val="22"/>
          <w:szCs w:val="22"/>
          <w:highlight w:val="yellow"/>
        </w:rPr>
      </w:pPr>
    </w:p>
    <w:p w:rsidRPr="00A54B30" w:rsidR="001077C3" w:rsidP="009827F8" w:rsidRDefault="001077C3" w14:paraId="6714BD24" w14:textId="4B0F6BE0">
      <w:pPr>
        <w:tabs>
          <w:tab w:val="left" w:pos="720"/>
          <w:tab w:val="left" w:pos="1440"/>
          <w:tab w:val="left" w:pos="2160"/>
          <w:tab w:val="left" w:pos="2880"/>
          <w:tab w:val="left" w:pos="3600"/>
          <w:tab w:val="left" w:pos="4320"/>
          <w:tab w:val="left" w:pos="5040"/>
          <w:tab w:val="left" w:pos="5850"/>
          <w:tab w:val="left" w:pos="6480"/>
          <w:tab w:val="left" w:pos="7200"/>
          <w:tab w:val="left" w:pos="7922"/>
        </w:tabs>
        <w:rPr>
          <w:b/>
          <w:sz w:val="22"/>
          <w:szCs w:val="22"/>
          <w:u w:val="single"/>
        </w:rPr>
      </w:pPr>
      <w:r w:rsidRPr="00A54B30">
        <w:rPr>
          <w:b/>
          <w:sz w:val="22"/>
          <w:szCs w:val="22"/>
          <w:u w:val="single"/>
        </w:rPr>
        <w:t xml:space="preserve">Information </w:t>
      </w:r>
      <w:r w:rsidRPr="00A54B30" w:rsidR="00C13B46">
        <w:rPr>
          <w:b/>
          <w:sz w:val="22"/>
          <w:szCs w:val="22"/>
          <w:u w:val="single"/>
        </w:rPr>
        <w:t>Availability</w:t>
      </w:r>
      <w:r w:rsidRPr="00A54B30">
        <w:rPr>
          <w:b/>
          <w:sz w:val="22"/>
          <w:szCs w:val="22"/>
          <w:u w:val="single"/>
        </w:rPr>
        <w:t xml:space="preserve"> </w:t>
      </w:r>
    </w:p>
    <w:p w:rsidRPr="00586F1B" w:rsidR="009827F8" w:rsidP="009827F8" w:rsidRDefault="009827F8" w14:paraId="6AE74FC8"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highlight w:val="yellow"/>
        </w:rPr>
      </w:pPr>
    </w:p>
    <w:p w:rsidRPr="00586F1B" w:rsidR="001B7FFB" w:rsidP="000216D6" w:rsidRDefault="000971D9" w14:paraId="261E9F9E" w14:textId="3E3A45EC">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highlight w:val="yellow"/>
        </w:rPr>
      </w:pPr>
      <w:r w:rsidRPr="000971D9">
        <w:rPr>
          <w:sz w:val="22"/>
          <w:szCs w:val="28"/>
        </w:rPr>
        <w:t>The proposed rule would require facilities to make certain information available upon request to community members living within 6 miles of a facility either through file sharing, providing information at a public library or other public offices, or providing it via e-mail or on the facility’s websi</w:t>
      </w:r>
      <w:r w:rsidRPr="00A54B30">
        <w:rPr>
          <w:sz w:val="22"/>
          <w:szCs w:val="28"/>
        </w:rPr>
        <w:t xml:space="preserve">te. </w:t>
      </w:r>
      <w:r w:rsidRPr="00A54B30" w:rsidR="001B7FFB">
        <w:rPr>
          <w:sz w:val="22"/>
          <w:szCs w:val="22"/>
        </w:rPr>
        <w:t xml:space="preserve">The burden estimates for </w:t>
      </w:r>
      <w:r w:rsidRPr="00A54B30" w:rsidR="00A54B30">
        <w:rPr>
          <w:sz w:val="22"/>
          <w:szCs w:val="22"/>
        </w:rPr>
        <w:t>information availability</w:t>
      </w:r>
      <w:r w:rsidRPr="00A54B30" w:rsidR="008E02E7">
        <w:rPr>
          <w:sz w:val="22"/>
          <w:szCs w:val="22"/>
        </w:rPr>
        <w:t xml:space="preserve"> are presented in </w:t>
      </w:r>
      <w:r w:rsidRPr="00A54B30" w:rsidR="005E3D60">
        <w:rPr>
          <w:sz w:val="22"/>
          <w:szCs w:val="22"/>
        </w:rPr>
        <w:t>s</w:t>
      </w:r>
      <w:r w:rsidRPr="00A54B30" w:rsidR="00D95810">
        <w:rPr>
          <w:sz w:val="22"/>
          <w:szCs w:val="22"/>
        </w:rPr>
        <w:t>ection 6(a) of this ICR.</w:t>
      </w:r>
    </w:p>
    <w:p w:rsidRPr="00586F1B" w:rsidR="009827F8" w:rsidP="009827F8" w:rsidRDefault="009827F8" w14:paraId="7EFA5A91"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highlight w:val="yellow"/>
        </w:rPr>
      </w:pPr>
    </w:p>
    <w:p w:rsidRPr="00586F1B" w:rsidR="009827F8" w:rsidP="009827F8" w:rsidRDefault="009827F8" w14:paraId="39C212D2"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highlight w:val="yellow"/>
        </w:rPr>
      </w:pPr>
    </w:p>
    <w:p w:rsidRPr="00E908C0" w:rsidR="00C61E11" w:rsidP="009827F8" w:rsidRDefault="00C61E11" w14:paraId="6837E250" w14:textId="6558E232">
      <w:pPr>
        <w:widowControl/>
        <w:adjustRightInd/>
        <w:spacing w:line="259" w:lineRule="auto"/>
        <w:rPr>
          <w:b/>
          <w:bCs/>
          <w:sz w:val="22"/>
          <w:szCs w:val="22"/>
        </w:rPr>
      </w:pPr>
      <w:r w:rsidRPr="00E908C0">
        <w:rPr>
          <w:b/>
          <w:bCs/>
          <w:sz w:val="22"/>
          <w:szCs w:val="22"/>
        </w:rPr>
        <w:t>5.</w:t>
      </w:r>
      <w:r w:rsidRPr="00E908C0" w:rsidR="005E3D60">
        <w:rPr>
          <w:b/>
          <w:bCs/>
          <w:sz w:val="22"/>
          <w:szCs w:val="22"/>
        </w:rPr>
        <w:t xml:space="preserve">      </w:t>
      </w:r>
      <w:r w:rsidRPr="00E908C0">
        <w:rPr>
          <w:b/>
          <w:bCs/>
          <w:sz w:val="22"/>
          <w:szCs w:val="22"/>
        </w:rPr>
        <w:t xml:space="preserve">THE </w:t>
      </w:r>
      <w:smartTag w:uri="urn:schemas-microsoft-com:office:smarttags" w:element="stockticker">
        <w:r w:rsidRPr="00E908C0">
          <w:rPr>
            <w:b/>
            <w:bCs/>
            <w:sz w:val="22"/>
            <w:szCs w:val="22"/>
          </w:rPr>
          <w:t>INFO</w:t>
        </w:r>
      </w:smartTag>
      <w:r w:rsidRPr="00E908C0">
        <w:rPr>
          <w:b/>
          <w:bCs/>
          <w:sz w:val="22"/>
          <w:szCs w:val="22"/>
        </w:rPr>
        <w:t xml:space="preserve">RMATION </w:t>
      </w:r>
      <w:smartTag w:uri="urn:schemas-microsoft-com:office:smarttags" w:element="stockticker">
        <w:r w:rsidRPr="00E908C0">
          <w:rPr>
            <w:b/>
            <w:bCs/>
            <w:sz w:val="22"/>
            <w:szCs w:val="22"/>
          </w:rPr>
          <w:t>COL</w:t>
        </w:r>
        <w:smartTag w:uri="urn:schemas-microsoft-com:office:smarttags" w:element="stockticker">
          <w:r w:rsidRPr="00E908C0">
            <w:rPr>
              <w:b/>
              <w:bCs/>
              <w:sz w:val="22"/>
              <w:szCs w:val="22"/>
            </w:rPr>
            <w:t>L</w:t>
          </w:r>
        </w:smartTag>
      </w:smartTag>
      <w:r w:rsidRPr="00E908C0">
        <w:rPr>
          <w:b/>
          <w:bCs/>
          <w:sz w:val="22"/>
          <w:szCs w:val="22"/>
        </w:rPr>
        <w:t>ECTED — AGENCY ACTIVITIES, COLLECTION METHODOLOGY, AND INFORMATION MANAGEMENT</w:t>
      </w:r>
    </w:p>
    <w:p w:rsidRPr="00E908C0" w:rsidR="009827F8" w:rsidP="009827F8" w:rsidRDefault="009827F8" w14:paraId="1DEA8530" w14:textId="77777777">
      <w:pPr>
        <w:widowControl/>
        <w:adjustRightInd/>
        <w:spacing w:line="259" w:lineRule="auto"/>
        <w:rPr>
          <w:sz w:val="22"/>
          <w:szCs w:val="22"/>
        </w:rPr>
      </w:pPr>
    </w:p>
    <w:p w:rsidRPr="00E908C0" w:rsidR="00C61E11" w:rsidP="009827F8" w:rsidRDefault="00C61E11" w14:paraId="5765D792" w14:textId="490440ED">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sidRPr="00E908C0">
        <w:rPr>
          <w:b/>
          <w:bCs/>
          <w:sz w:val="22"/>
          <w:szCs w:val="22"/>
        </w:rPr>
        <w:t>5(a)</w:t>
      </w:r>
      <w:r w:rsidRPr="00E908C0">
        <w:rPr>
          <w:b/>
          <w:bCs/>
          <w:sz w:val="22"/>
          <w:szCs w:val="22"/>
        </w:rPr>
        <w:tab/>
        <w:t>Federal, State, and Local Government Activities</w:t>
      </w:r>
    </w:p>
    <w:p w:rsidRPr="00E908C0" w:rsidR="009827F8" w:rsidP="009827F8" w:rsidRDefault="009827F8" w14:paraId="433BB0AB"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p>
    <w:p w:rsidRPr="00E908C0" w:rsidR="00C61E11" w:rsidP="009827F8" w:rsidRDefault="00C61E11" w14:paraId="57FBD4AF" w14:textId="63F57187">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r w:rsidRPr="00E908C0">
        <w:rPr>
          <w:b/>
          <w:bCs/>
          <w:sz w:val="22"/>
          <w:szCs w:val="22"/>
          <w:u w:val="single"/>
        </w:rPr>
        <w:t>Burden to State and Local Agencies and Others</w:t>
      </w:r>
    </w:p>
    <w:p w:rsidRPr="00586F1B" w:rsidR="009827F8" w:rsidP="009827F8" w:rsidRDefault="009827F8" w14:paraId="5A1126FA"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highlight w:val="yellow"/>
        </w:rPr>
      </w:pPr>
    </w:p>
    <w:p w:rsidRPr="00E908C0" w:rsidR="00E908C0" w:rsidP="00E908C0" w:rsidRDefault="00E908C0" w14:paraId="0CBFA205" w14:textId="77777777">
      <w:pPr>
        <w:ind w:firstLine="720"/>
        <w:rPr>
          <w:sz w:val="22"/>
          <w:szCs w:val="28"/>
        </w:rPr>
      </w:pPr>
      <w:r w:rsidRPr="00E908C0">
        <w:rPr>
          <w:sz w:val="22"/>
          <w:szCs w:val="28"/>
        </w:rPr>
        <w:t xml:space="preserve">The proposed rule would affect State and local government entities including entities that own RMP facilities, 2,473 LEPCs, and 13 States with delegated implementing agencies. The proposed rule would impose both direct and indirect costs. Direct costs are associated with activities required by RMP facilities owned by government entities. Indirect costs are associated with (1) RMP facilities owned by government entities, LEPCs, and State implementing agencies reviewing the proposed rule and (2) LEPCs coordinating with facilities regarding community notifications. </w:t>
      </w:r>
    </w:p>
    <w:p w:rsidR="00E908C0" w:rsidP="009827F8" w:rsidRDefault="00E908C0" w14:paraId="653D8712"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highlight w:val="yellow"/>
        </w:rPr>
      </w:pPr>
    </w:p>
    <w:p w:rsidRPr="007F03AD" w:rsidR="00C61E11" w:rsidP="009827F8" w:rsidRDefault="00C61E11" w14:paraId="4877701F" w14:textId="78E010DE">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b/>
          <w:bCs/>
          <w:color w:val="000000"/>
          <w:sz w:val="22"/>
          <w:szCs w:val="22"/>
          <w:u w:val="single"/>
        </w:rPr>
      </w:pPr>
      <w:r w:rsidRPr="0074445B">
        <w:rPr>
          <w:b/>
          <w:bCs/>
          <w:color w:val="000000"/>
          <w:sz w:val="22"/>
          <w:szCs w:val="22"/>
          <w:u w:val="single"/>
        </w:rPr>
        <w:t>Burden to the Federal Government</w:t>
      </w:r>
    </w:p>
    <w:p w:rsidRPr="007F03AD" w:rsidR="009827F8" w:rsidP="009827F8" w:rsidRDefault="009827F8" w14:paraId="46F401D2"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b/>
          <w:bCs/>
          <w:color w:val="000000"/>
          <w:sz w:val="22"/>
          <w:szCs w:val="22"/>
          <w:u w:val="single"/>
        </w:rPr>
      </w:pPr>
    </w:p>
    <w:p w:rsidRPr="007F03AD" w:rsidR="0020413E" w:rsidP="009827F8" w:rsidRDefault="00063C29" w14:paraId="4D306B18" w14:textId="68D1A150">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color w:val="000000"/>
          <w:sz w:val="22"/>
          <w:szCs w:val="22"/>
        </w:rPr>
      </w:pPr>
      <w:r w:rsidRPr="007F03AD">
        <w:rPr>
          <w:color w:val="000000"/>
          <w:sz w:val="22"/>
          <w:szCs w:val="22"/>
        </w:rPr>
        <w:tab/>
      </w:r>
      <w:r w:rsidRPr="007F03AD" w:rsidR="00C61E11">
        <w:rPr>
          <w:color w:val="000000"/>
          <w:sz w:val="22"/>
          <w:szCs w:val="22"/>
        </w:rPr>
        <w:t>The</w:t>
      </w:r>
      <w:r w:rsidRPr="007F03AD" w:rsidR="007F03AD">
        <w:rPr>
          <w:color w:val="000000"/>
          <w:sz w:val="22"/>
          <w:szCs w:val="22"/>
        </w:rPr>
        <w:t xml:space="preserve">re </w:t>
      </w:r>
      <w:r w:rsidR="00EC5947">
        <w:rPr>
          <w:color w:val="000000"/>
          <w:sz w:val="22"/>
          <w:szCs w:val="22"/>
        </w:rPr>
        <w:t>is</w:t>
      </w:r>
      <w:r w:rsidRPr="007F03AD" w:rsidR="007F03AD">
        <w:rPr>
          <w:color w:val="000000"/>
          <w:sz w:val="22"/>
          <w:szCs w:val="22"/>
        </w:rPr>
        <w:t xml:space="preserve"> no expected additional</w:t>
      </w:r>
      <w:r w:rsidRPr="007F03AD" w:rsidR="00C61E11">
        <w:rPr>
          <w:color w:val="000000"/>
          <w:sz w:val="22"/>
          <w:szCs w:val="22"/>
        </w:rPr>
        <w:t xml:space="preserve"> burden </w:t>
      </w:r>
      <w:r w:rsidR="00EC5947">
        <w:rPr>
          <w:color w:val="000000"/>
          <w:sz w:val="22"/>
          <w:szCs w:val="22"/>
        </w:rPr>
        <w:t>to</w:t>
      </w:r>
      <w:r w:rsidRPr="007F03AD" w:rsidR="007F03AD">
        <w:rPr>
          <w:color w:val="000000"/>
          <w:sz w:val="22"/>
          <w:szCs w:val="22"/>
        </w:rPr>
        <w:t xml:space="preserve"> the </w:t>
      </w:r>
      <w:r w:rsidRPr="007F03AD" w:rsidR="00C61E11">
        <w:rPr>
          <w:color w:val="000000"/>
          <w:sz w:val="22"/>
          <w:szCs w:val="22"/>
        </w:rPr>
        <w:t>Federal government</w:t>
      </w:r>
      <w:r w:rsidRPr="007F03AD" w:rsidR="007F03AD">
        <w:rPr>
          <w:color w:val="000000"/>
          <w:sz w:val="22"/>
          <w:szCs w:val="22"/>
        </w:rPr>
        <w:t>.</w:t>
      </w:r>
    </w:p>
    <w:p w:rsidRPr="002813F1" w:rsidR="00EF743F" w:rsidP="002813F1" w:rsidRDefault="00EF743F" w14:paraId="54114866" w14:textId="77777777">
      <w:pPr>
        <w:tabs>
          <w:tab w:val="left" w:pos="720"/>
          <w:tab w:val="left" w:pos="1440"/>
          <w:tab w:val="left" w:pos="2160"/>
          <w:tab w:val="left" w:pos="2880"/>
          <w:tab w:val="left" w:pos="3600"/>
          <w:tab w:val="left" w:pos="4320"/>
          <w:tab w:val="left" w:pos="5040"/>
          <w:tab w:val="left" w:pos="5850"/>
          <w:tab w:val="left" w:pos="6484"/>
        </w:tabs>
        <w:rPr>
          <w:sz w:val="22"/>
          <w:szCs w:val="22"/>
          <w:highlight w:val="yellow"/>
        </w:rPr>
      </w:pPr>
    </w:p>
    <w:p w:rsidRPr="00060A76" w:rsidR="00C61E11" w:rsidP="00EF743F" w:rsidRDefault="00C61E11" w14:paraId="3BD8755B" w14:textId="36134D38">
      <w:pPr>
        <w:keepNext/>
        <w:keepLines/>
        <w:tabs>
          <w:tab w:val="left" w:pos="720"/>
          <w:tab w:val="left" w:pos="1440"/>
          <w:tab w:val="left" w:pos="2160"/>
          <w:tab w:val="left" w:pos="2880"/>
          <w:tab w:val="left" w:pos="3600"/>
          <w:tab w:val="left" w:pos="4320"/>
          <w:tab w:val="left" w:pos="5040"/>
          <w:tab w:val="left" w:pos="5760"/>
          <w:tab w:val="left" w:pos="6480"/>
          <w:tab w:val="right" w:pos="7203"/>
        </w:tabs>
        <w:ind w:left="720" w:hanging="720"/>
        <w:rPr>
          <w:b/>
          <w:bCs/>
          <w:sz w:val="22"/>
          <w:szCs w:val="22"/>
        </w:rPr>
      </w:pPr>
      <w:r w:rsidRPr="00060A76">
        <w:rPr>
          <w:b/>
          <w:bCs/>
          <w:sz w:val="22"/>
          <w:szCs w:val="22"/>
        </w:rPr>
        <w:lastRenderedPageBreak/>
        <w:t>5(b)</w:t>
      </w:r>
      <w:r w:rsidRPr="00060A76">
        <w:rPr>
          <w:b/>
          <w:bCs/>
          <w:sz w:val="22"/>
          <w:szCs w:val="22"/>
        </w:rPr>
        <w:tab/>
        <w:t>Collection Methodology and Management</w:t>
      </w:r>
    </w:p>
    <w:p w:rsidRPr="00060A76" w:rsidR="00EF743F" w:rsidP="00EF743F" w:rsidRDefault="00EF743F" w14:paraId="1D8620DB" w14:textId="77777777">
      <w:pPr>
        <w:keepNext/>
        <w:keepLines/>
        <w:tabs>
          <w:tab w:val="left" w:pos="720"/>
          <w:tab w:val="left" w:pos="1440"/>
          <w:tab w:val="left" w:pos="2160"/>
          <w:tab w:val="left" w:pos="2880"/>
          <w:tab w:val="left" w:pos="3600"/>
          <w:tab w:val="left" w:pos="4320"/>
          <w:tab w:val="left" w:pos="5040"/>
          <w:tab w:val="left" w:pos="5760"/>
          <w:tab w:val="left" w:pos="6480"/>
          <w:tab w:val="right" w:pos="7203"/>
        </w:tabs>
        <w:ind w:left="720" w:hanging="720"/>
        <w:rPr>
          <w:sz w:val="22"/>
          <w:szCs w:val="22"/>
        </w:rPr>
      </w:pPr>
    </w:p>
    <w:p w:rsidRPr="00060A76" w:rsidR="001810BE" w:rsidP="00EF743F" w:rsidRDefault="001810BE" w14:paraId="1FFBFCC1" w14:textId="17C332A1">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r w:rsidRPr="00060A76">
        <w:rPr>
          <w:sz w:val="22"/>
          <w:szCs w:val="22"/>
        </w:rPr>
        <w:t xml:space="preserve">The information required by STAA will be collected in a STAA clearinghouse. </w:t>
      </w:r>
    </w:p>
    <w:p w:rsidRPr="00060A76" w:rsidR="001810BE" w:rsidP="00EF743F" w:rsidRDefault="001810BE" w14:paraId="3679F8B8"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p>
    <w:p w:rsidRPr="00060A76" w:rsidR="00C61E11" w:rsidP="00EF743F" w:rsidRDefault="00C61E11" w14:paraId="5CE250FB" w14:textId="2725B6BE">
      <w:pPr>
        <w:tabs>
          <w:tab w:val="left" w:pos="720"/>
          <w:tab w:val="left" w:pos="1440"/>
          <w:tab w:val="left" w:pos="2160"/>
          <w:tab w:val="left" w:pos="2880"/>
          <w:tab w:val="left" w:pos="3600"/>
          <w:tab w:val="left" w:pos="4320"/>
          <w:tab w:val="left" w:pos="5040"/>
          <w:tab w:val="left" w:pos="5760"/>
          <w:tab w:val="left" w:pos="6480"/>
          <w:tab w:val="left" w:pos="7200"/>
          <w:tab w:val="right" w:pos="7922"/>
        </w:tabs>
        <w:rPr>
          <w:b/>
          <w:bCs/>
          <w:sz w:val="22"/>
          <w:szCs w:val="22"/>
        </w:rPr>
      </w:pPr>
      <w:r w:rsidRPr="00060A76">
        <w:rPr>
          <w:b/>
          <w:bCs/>
          <w:sz w:val="22"/>
          <w:szCs w:val="22"/>
        </w:rPr>
        <w:t>5(c)</w:t>
      </w:r>
      <w:r w:rsidRPr="00060A76">
        <w:rPr>
          <w:b/>
          <w:bCs/>
          <w:sz w:val="22"/>
          <w:szCs w:val="22"/>
        </w:rPr>
        <w:tab/>
        <w:t>Small Entity Flexibility</w:t>
      </w:r>
    </w:p>
    <w:p w:rsidR="008C4348" w:rsidP="00EF743F" w:rsidRDefault="008C4348" w14:paraId="6CE05297" w14:textId="74CD5434">
      <w:pPr>
        <w:tabs>
          <w:tab w:val="left" w:pos="720"/>
          <w:tab w:val="left" w:pos="1440"/>
          <w:tab w:val="left" w:pos="2160"/>
          <w:tab w:val="left" w:pos="2880"/>
          <w:tab w:val="left" w:pos="3600"/>
          <w:tab w:val="left" w:pos="4320"/>
          <w:tab w:val="left" w:pos="5040"/>
          <w:tab w:val="left" w:pos="5760"/>
          <w:tab w:val="left" w:pos="6480"/>
          <w:tab w:val="left" w:pos="7200"/>
          <w:tab w:val="right" w:pos="7922"/>
        </w:tabs>
        <w:rPr>
          <w:b/>
          <w:bCs/>
          <w:sz w:val="22"/>
          <w:szCs w:val="22"/>
          <w:highlight w:val="yellow"/>
        </w:rPr>
      </w:pPr>
    </w:p>
    <w:p w:rsidRPr="008C4348" w:rsidR="008C4348" w:rsidP="00EF743F" w:rsidRDefault="008C4348" w14:paraId="042437B8" w14:textId="3084723E">
      <w:pPr>
        <w:tabs>
          <w:tab w:val="left" w:pos="720"/>
          <w:tab w:val="left" w:pos="1440"/>
          <w:tab w:val="left" w:pos="2160"/>
          <w:tab w:val="left" w:pos="2880"/>
          <w:tab w:val="left" w:pos="3600"/>
          <w:tab w:val="left" w:pos="4320"/>
          <w:tab w:val="left" w:pos="5040"/>
          <w:tab w:val="left" w:pos="5760"/>
          <w:tab w:val="left" w:pos="6480"/>
          <w:tab w:val="left" w:pos="7200"/>
          <w:tab w:val="right" w:pos="7922"/>
        </w:tabs>
        <w:rPr>
          <w:b/>
          <w:bCs/>
          <w:sz w:val="24"/>
          <w:highlight w:val="yellow"/>
        </w:rPr>
      </w:pPr>
      <w:r w:rsidRPr="008C4348">
        <w:rPr>
          <w:sz w:val="22"/>
          <w:szCs w:val="28"/>
        </w:rPr>
        <w:tab/>
      </w:r>
      <w:r w:rsidR="00C47E8C">
        <w:rPr>
          <w:sz w:val="22"/>
          <w:szCs w:val="28"/>
        </w:rPr>
        <w:t xml:space="preserve">For most small entities, </w:t>
      </w:r>
      <w:r w:rsidRPr="008C4348">
        <w:rPr>
          <w:sz w:val="22"/>
          <w:szCs w:val="28"/>
        </w:rPr>
        <w:t>EPA is not proposing</w:t>
      </w:r>
      <w:r w:rsidR="00C6739E">
        <w:rPr>
          <w:sz w:val="22"/>
          <w:szCs w:val="28"/>
        </w:rPr>
        <w:t xml:space="preserve"> additional</w:t>
      </w:r>
      <w:r w:rsidRPr="008C4348">
        <w:rPr>
          <w:sz w:val="22"/>
          <w:szCs w:val="28"/>
        </w:rPr>
        <w:t xml:space="preserve"> regulatory requirements</w:t>
      </w:r>
      <w:r w:rsidR="00C6739E">
        <w:rPr>
          <w:sz w:val="22"/>
          <w:szCs w:val="28"/>
        </w:rPr>
        <w:t xml:space="preserve"> beyond</w:t>
      </w:r>
      <w:r w:rsidRPr="008C4348">
        <w:rPr>
          <w:sz w:val="22"/>
          <w:szCs w:val="28"/>
        </w:rPr>
        <w:t xml:space="preserve"> what already exist in the RMP regulations</w:t>
      </w:r>
      <w:r w:rsidR="000E2CC8">
        <w:rPr>
          <w:sz w:val="22"/>
          <w:szCs w:val="28"/>
        </w:rPr>
        <w:t xml:space="preserve">. </w:t>
      </w:r>
      <w:r w:rsidRPr="008C4348">
        <w:rPr>
          <w:sz w:val="22"/>
          <w:szCs w:val="28"/>
        </w:rPr>
        <w:t>EPA is proposing adding regulatory text to emphasize that natural hazards and loss of power are among the hazards that must be addressed in hazard reviews and PHAs.</w:t>
      </w:r>
    </w:p>
    <w:p w:rsidRPr="00586F1B" w:rsidR="00EF743F" w:rsidP="00EF743F" w:rsidRDefault="00EF743F" w14:paraId="6940911B"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highlight w:val="yellow"/>
        </w:rPr>
      </w:pPr>
    </w:p>
    <w:p w:rsidRPr="009C6838" w:rsidR="00C61E11" w:rsidP="00EF743F" w:rsidRDefault="00C61E11" w14:paraId="508CA70B" w14:textId="6F3AEA40">
      <w:pPr>
        <w:tabs>
          <w:tab w:val="left" w:pos="720"/>
          <w:tab w:val="left" w:pos="1440"/>
          <w:tab w:val="left" w:pos="2160"/>
          <w:tab w:val="left" w:pos="2880"/>
          <w:tab w:val="left" w:pos="3600"/>
          <w:tab w:val="left" w:pos="4320"/>
          <w:tab w:val="left" w:pos="5040"/>
          <w:tab w:val="left" w:pos="5760"/>
          <w:tab w:val="left" w:pos="6480"/>
          <w:tab w:val="left" w:pos="7200"/>
          <w:tab w:val="right" w:pos="7922"/>
        </w:tabs>
        <w:rPr>
          <w:b/>
          <w:bCs/>
          <w:sz w:val="22"/>
          <w:szCs w:val="22"/>
        </w:rPr>
      </w:pPr>
      <w:r w:rsidRPr="009C6838">
        <w:rPr>
          <w:b/>
          <w:bCs/>
          <w:sz w:val="22"/>
          <w:szCs w:val="22"/>
        </w:rPr>
        <w:t>5(d)</w:t>
      </w:r>
      <w:r w:rsidRPr="009C6838">
        <w:rPr>
          <w:b/>
          <w:bCs/>
          <w:sz w:val="22"/>
          <w:szCs w:val="22"/>
        </w:rPr>
        <w:tab/>
        <w:t>Collection Schedule</w:t>
      </w:r>
    </w:p>
    <w:p w:rsidR="00EF743F" w:rsidP="00EF743F" w:rsidRDefault="00EF743F" w14:paraId="4239812D" w14:textId="3873F5E5">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highlight w:val="yellow"/>
        </w:rPr>
      </w:pPr>
    </w:p>
    <w:p w:rsidR="00057584" w:rsidP="00E12F21" w:rsidRDefault="002E4B33" w14:paraId="1DC44B51" w14:textId="641F8C56">
      <w:pPr>
        <w:tabs>
          <w:tab w:val="left" w:pos="720"/>
          <w:tab w:val="left" w:pos="1440"/>
          <w:tab w:val="left" w:pos="2160"/>
          <w:tab w:val="left" w:pos="2880"/>
          <w:tab w:val="left" w:pos="3600"/>
          <w:tab w:val="left" w:pos="4320"/>
          <w:tab w:val="left" w:pos="5040"/>
          <w:tab w:val="left" w:pos="5760"/>
          <w:tab w:val="left" w:pos="6480"/>
          <w:tab w:val="left" w:pos="7200"/>
          <w:tab w:val="right" w:pos="7922"/>
        </w:tabs>
      </w:pPr>
      <w:r w:rsidRPr="002E4B33">
        <w:rPr>
          <w:sz w:val="22"/>
          <w:szCs w:val="28"/>
        </w:rPr>
        <w:tab/>
        <w:t>For STAA, by 3 years after the effective date of the final rule, the owner or operator of a source with a regulated RMP process involving HF alkylation, or a source with a process in NAICS code 324 or 325, located within 1 mile of another NAICS code 324 or 325 RMP facility process, must have completed or updated their PHA to include a STAA.</w:t>
      </w:r>
      <w:r w:rsidRPr="00E12F21" w:rsidR="00E12F21">
        <w:t xml:space="preserve"> </w:t>
      </w:r>
    </w:p>
    <w:p w:rsidR="002813F1" w:rsidP="00E12F21" w:rsidRDefault="00057584" w14:paraId="29B22FC3"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2"/>
        </w:tabs>
      </w:pPr>
      <w:r>
        <w:tab/>
      </w:r>
    </w:p>
    <w:p w:rsidRPr="00E12F21" w:rsidR="00E12F21" w:rsidP="00E12F21" w:rsidRDefault="002813F1" w14:paraId="45195FE8" w14:textId="4C2D4A77">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8"/>
        </w:rPr>
      </w:pPr>
      <w:r>
        <w:tab/>
      </w:r>
      <w:r w:rsidRPr="00E12F21" w:rsidR="00E12F21">
        <w:rPr>
          <w:sz w:val="22"/>
          <w:szCs w:val="28"/>
        </w:rPr>
        <w:t xml:space="preserve">For incident investigation root cause analysis, the owner or operator of a source that experiences any RMP-reportable accident more than 3 years after the effective date of the rule must conduct a root cause analysis for their incident investigation of the accident. </w:t>
      </w:r>
    </w:p>
    <w:p w:rsidR="00C63299" w:rsidP="00E12F21" w:rsidRDefault="00C63299" w14:paraId="703A849A"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8"/>
        </w:rPr>
      </w:pPr>
    </w:p>
    <w:p w:rsidRPr="00E12F21" w:rsidR="00E12F21" w:rsidP="00E12F21" w:rsidRDefault="00C63299" w14:paraId="79812431" w14:textId="28F8AADA">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8"/>
        </w:rPr>
      </w:pPr>
      <w:r>
        <w:rPr>
          <w:sz w:val="22"/>
          <w:szCs w:val="28"/>
        </w:rPr>
        <w:tab/>
      </w:r>
      <w:r w:rsidRPr="00E12F21" w:rsidR="00E12F21">
        <w:rPr>
          <w:sz w:val="22"/>
          <w:szCs w:val="28"/>
        </w:rPr>
        <w:t xml:space="preserve">For third-party compliance audits, the owner or operator of a source where a second RMP-reportable accident occurs within 5 years—or of a source where one reportable accident in an RMP-regulated process in NAICS code 324 or 325, located within 1 mile of another source’s RMP-regulated NAICS code 324 or 325 process, occurs after 3 years of the effective date of the final rule—must obtain a third-party audit for their next required compliance audit. </w:t>
      </w:r>
    </w:p>
    <w:p w:rsidR="002813F1" w:rsidP="00E12F21" w:rsidRDefault="00E17800" w14:paraId="26DC163C"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8"/>
        </w:rPr>
      </w:pPr>
      <w:r>
        <w:rPr>
          <w:sz w:val="22"/>
          <w:szCs w:val="28"/>
        </w:rPr>
        <w:tab/>
      </w:r>
    </w:p>
    <w:p w:rsidRPr="00E12F21" w:rsidR="00E12F21" w:rsidP="00E12F21" w:rsidRDefault="002813F1" w14:paraId="6A565D04" w14:textId="05719204">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8"/>
        </w:rPr>
      </w:pPr>
      <w:r>
        <w:rPr>
          <w:sz w:val="22"/>
          <w:szCs w:val="28"/>
        </w:rPr>
        <w:tab/>
      </w:r>
      <w:r w:rsidRPr="00E12F21" w:rsidR="00E12F21">
        <w:rPr>
          <w:sz w:val="22"/>
          <w:szCs w:val="28"/>
        </w:rPr>
        <w:t xml:space="preserve">For employee participation, by 3 years after the effective date of the final rule, the owner or operator of a source must have updated or developed—and begun implementing—an employee participation plan that addresses employee consultation when resolving PHA, compliance audit, and incident investigation recommendations and decisions; stop work authorities; and RMP accident and non-compliance reporting. </w:t>
      </w:r>
    </w:p>
    <w:p w:rsidR="002813F1" w:rsidP="00E12F21" w:rsidRDefault="00E17800" w14:paraId="2A7F5A1D"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8"/>
        </w:rPr>
      </w:pPr>
      <w:r>
        <w:rPr>
          <w:sz w:val="22"/>
          <w:szCs w:val="28"/>
        </w:rPr>
        <w:tab/>
      </w:r>
    </w:p>
    <w:p w:rsidRPr="00E12F21" w:rsidR="00E12F21" w:rsidP="00E12F21" w:rsidRDefault="002813F1" w14:paraId="0E3B4DFB" w14:textId="2B9767CF">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8"/>
        </w:rPr>
      </w:pPr>
      <w:r>
        <w:rPr>
          <w:sz w:val="22"/>
          <w:szCs w:val="28"/>
        </w:rPr>
        <w:tab/>
      </w:r>
      <w:r w:rsidRPr="00E12F21" w:rsidR="00E12F21">
        <w:rPr>
          <w:sz w:val="22"/>
          <w:szCs w:val="28"/>
        </w:rPr>
        <w:t xml:space="preserve">For emergency response, by 3 years after the effective date of the final rule, the owner or operator of a non-responding source must have onsite documentation of emergency response public notification procedures. </w:t>
      </w:r>
      <w:r w:rsidR="00592E9C">
        <w:rPr>
          <w:sz w:val="22"/>
          <w:szCs w:val="28"/>
        </w:rPr>
        <w:t xml:space="preserve">Also, </w:t>
      </w:r>
      <w:r w:rsidRPr="00E12F21" w:rsidR="00E12F21">
        <w:rPr>
          <w:sz w:val="22"/>
          <w:szCs w:val="28"/>
        </w:rPr>
        <w:t xml:space="preserve">by 3 years after the effective date of the final rule, owners or operators of non-responding and responding sources must have the means to ensure that a community notification system is in place to warn the public of releases. </w:t>
      </w:r>
      <w:r w:rsidR="00592E9C">
        <w:rPr>
          <w:sz w:val="22"/>
          <w:szCs w:val="28"/>
        </w:rPr>
        <w:t>In addition,</w:t>
      </w:r>
      <w:r w:rsidRPr="00E12F21" w:rsidR="00E12F21">
        <w:rPr>
          <w:sz w:val="22"/>
          <w:szCs w:val="28"/>
        </w:rPr>
        <w:t xml:space="preserve"> </w:t>
      </w:r>
      <w:r w:rsidR="006B2D33">
        <w:rPr>
          <w:sz w:val="22"/>
          <w:szCs w:val="28"/>
        </w:rPr>
        <w:t xml:space="preserve">for </w:t>
      </w:r>
      <w:r w:rsidRPr="00E12F21" w:rsidR="00E12F21">
        <w:rPr>
          <w:sz w:val="22"/>
          <w:szCs w:val="28"/>
        </w:rPr>
        <w:t xml:space="preserve">any RMP-reportable accident occurring more than 3 years after the effective date of the final rule, sources must provide appropriate and timely data and information to local responders detailing their current understanding and best estimates of the nature of the release. </w:t>
      </w:r>
      <w:r w:rsidR="006B2D33">
        <w:rPr>
          <w:sz w:val="22"/>
          <w:szCs w:val="28"/>
        </w:rPr>
        <w:t xml:space="preserve">Finally, </w:t>
      </w:r>
      <w:r w:rsidRPr="00E12F21" w:rsidR="00E12F21">
        <w:rPr>
          <w:sz w:val="22"/>
          <w:szCs w:val="28"/>
        </w:rPr>
        <w:t xml:space="preserve">by 3 years after the effective date of the rule, emergency exercise evaluation reports must include documentation of specific exercise elements. </w:t>
      </w:r>
    </w:p>
    <w:p w:rsidR="002813F1" w:rsidP="00E12F21" w:rsidRDefault="00E17800" w14:paraId="60FB78D4"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8"/>
        </w:rPr>
      </w:pPr>
      <w:r>
        <w:rPr>
          <w:sz w:val="22"/>
          <w:szCs w:val="28"/>
        </w:rPr>
        <w:tab/>
      </w:r>
    </w:p>
    <w:p w:rsidRPr="002E4B33" w:rsidR="002E4B33" w:rsidP="00E12F21" w:rsidRDefault="002813F1" w14:paraId="53AD122E" w14:textId="2A57550D">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4"/>
          <w:highlight w:val="yellow"/>
        </w:rPr>
      </w:pPr>
      <w:r>
        <w:rPr>
          <w:sz w:val="22"/>
          <w:szCs w:val="28"/>
        </w:rPr>
        <w:tab/>
      </w:r>
      <w:r w:rsidRPr="00E12F21" w:rsidR="00E12F21">
        <w:rPr>
          <w:sz w:val="22"/>
          <w:szCs w:val="28"/>
        </w:rPr>
        <w:t>For information availability, this means that by 3 years after the effective date of the final rule, the owner or operator must make the required chemical hazard information available to the public upon request and provide notification to the public that the information is available.</w:t>
      </w:r>
    </w:p>
    <w:p w:rsidRPr="00586F1B" w:rsidR="00EF743F" w:rsidP="00EF743F" w:rsidRDefault="00EF743F" w14:paraId="4653FF0D"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highlight w:val="yellow"/>
        </w:rPr>
      </w:pPr>
    </w:p>
    <w:p w:rsidRPr="00E17800" w:rsidR="00C61E11" w:rsidP="00EF743F" w:rsidRDefault="00C61E11" w14:paraId="6B0F67A6" w14:textId="1F6C5F14">
      <w:pPr>
        <w:widowControl/>
        <w:adjustRightInd/>
        <w:spacing w:line="259" w:lineRule="auto"/>
        <w:rPr>
          <w:b/>
          <w:bCs/>
          <w:sz w:val="22"/>
          <w:szCs w:val="22"/>
        </w:rPr>
      </w:pPr>
      <w:r w:rsidRPr="00E17800">
        <w:rPr>
          <w:b/>
          <w:bCs/>
          <w:sz w:val="22"/>
          <w:szCs w:val="22"/>
        </w:rPr>
        <w:t>6.</w:t>
      </w:r>
      <w:r w:rsidRPr="00E17800">
        <w:rPr>
          <w:b/>
          <w:bCs/>
          <w:sz w:val="22"/>
          <w:szCs w:val="22"/>
        </w:rPr>
        <w:tab/>
        <w:t>ESTIMATING THE BURDEN AND COST OF THE COLLECTION</w:t>
      </w:r>
    </w:p>
    <w:p w:rsidRPr="00586F1B" w:rsidR="00EF743F" w:rsidP="00EF743F" w:rsidRDefault="00EF743F" w14:paraId="1B885570" w14:textId="77777777">
      <w:pPr>
        <w:widowControl/>
        <w:adjustRightInd/>
        <w:spacing w:line="259" w:lineRule="auto"/>
        <w:rPr>
          <w:sz w:val="22"/>
          <w:szCs w:val="22"/>
          <w:highlight w:val="yellow"/>
        </w:rPr>
      </w:pPr>
    </w:p>
    <w:p w:rsidRPr="00E17800" w:rsidR="005F27E4" w:rsidP="00EF743F" w:rsidRDefault="00C61E11" w14:paraId="22A02B94" w14:textId="584274FD">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b/>
          <w:bCs/>
          <w:sz w:val="22"/>
          <w:szCs w:val="22"/>
        </w:rPr>
      </w:pPr>
      <w:r w:rsidRPr="00E17800">
        <w:rPr>
          <w:b/>
          <w:bCs/>
          <w:sz w:val="22"/>
          <w:szCs w:val="22"/>
        </w:rPr>
        <w:t>6(a)</w:t>
      </w:r>
      <w:r w:rsidRPr="00E17800">
        <w:rPr>
          <w:b/>
          <w:bCs/>
          <w:sz w:val="22"/>
          <w:szCs w:val="22"/>
        </w:rPr>
        <w:tab/>
        <w:t>Respondent Burden</w:t>
      </w:r>
    </w:p>
    <w:p w:rsidRPr="00E17800" w:rsidR="00EF743F" w:rsidP="00EF743F" w:rsidRDefault="00EF743F" w14:paraId="088EFCCF"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b/>
          <w:bCs/>
          <w:sz w:val="22"/>
          <w:szCs w:val="22"/>
        </w:rPr>
      </w:pPr>
    </w:p>
    <w:p w:rsidRPr="00586F1B" w:rsidR="000A4830" w:rsidP="002813F1" w:rsidRDefault="00050709" w14:paraId="5D29E68A" w14:textId="4C689B6D">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highlight w:val="yellow"/>
        </w:rPr>
      </w:pPr>
      <w:r w:rsidRPr="00E17800">
        <w:rPr>
          <w:sz w:val="22"/>
          <w:szCs w:val="22"/>
        </w:rPr>
        <w:lastRenderedPageBreak/>
        <w:t xml:space="preserve">This section of the document presents the respondent burden for each </w:t>
      </w:r>
      <w:r w:rsidRPr="00E17800" w:rsidR="005F27E4">
        <w:rPr>
          <w:sz w:val="22"/>
          <w:szCs w:val="22"/>
        </w:rPr>
        <w:t xml:space="preserve">of the </w:t>
      </w:r>
      <w:r w:rsidRPr="00E17800">
        <w:rPr>
          <w:sz w:val="22"/>
          <w:szCs w:val="22"/>
        </w:rPr>
        <w:t>information collection activit</w:t>
      </w:r>
      <w:r w:rsidRPr="00E17800" w:rsidR="005F27E4">
        <w:rPr>
          <w:sz w:val="22"/>
          <w:szCs w:val="22"/>
        </w:rPr>
        <w:t xml:space="preserve">ies covered in the ICR. </w:t>
      </w:r>
      <w:r w:rsidRPr="00E17800" w:rsidDel="00E154D3" w:rsidR="0021573C">
        <w:rPr>
          <w:sz w:val="22"/>
          <w:szCs w:val="22"/>
        </w:rPr>
        <w:t xml:space="preserve">The </w:t>
      </w:r>
      <w:r w:rsidRPr="00E17800" w:rsidR="002E1FB8">
        <w:rPr>
          <w:sz w:val="22"/>
          <w:szCs w:val="22"/>
        </w:rPr>
        <w:t>source-level (</w:t>
      </w:r>
      <w:r w:rsidRPr="00E17800" w:rsidDel="00E154D3" w:rsidR="0021573C">
        <w:rPr>
          <w:sz w:val="22"/>
          <w:szCs w:val="22"/>
        </w:rPr>
        <w:t>unit</w:t>
      </w:r>
      <w:r w:rsidRPr="00E17800" w:rsidR="002E1FB8">
        <w:rPr>
          <w:sz w:val="22"/>
          <w:szCs w:val="22"/>
        </w:rPr>
        <w:t>)</w:t>
      </w:r>
      <w:r w:rsidRPr="00E17800" w:rsidDel="00E154D3" w:rsidR="0021573C">
        <w:rPr>
          <w:sz w:val="22"/>
          <w:szCs w:val="22"/>
        </w:rPr>
        <w:t xml:space="preserve"> burden applied to various types of sources and sectors is based on the size of the source and on the number and complexity of the processes at the sources in each sector. </w:t>
      </w:r>
    </w:p>
    <w:p w:rsidRPr="00586F1B" w:rsidR="00EF743F" w:rsidP="00EF743F" w:rsidRDefault="00EF743F" w14:paraId="42AB7DE6"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highlight w:val="yellow"/>
        </w:rPr>
      </w:pPr>
    </w:p>
    <w:p w:rsidR="00DA1560" w:rsidP="00DA1560" w:rsidRDefault="00DA1560" w14:paraId="1A71A11A" w14:textId="6C75F57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u w:val="single"/>
        </w:rPr>
      </w:pPr>
      <w:r w:rsidRPr="00126EA0">
        <w:rPr>
          <w:b/>
          <w:bCs/>
          <w:sz w:val="22"/>
          <w:szCs w:val="22"/>
          <w:u w:val="single"/>
        </w:rPr>
        <w:t>Familiarization</w:t>
      </w:r>
      <w:r w:rsidRPr="00126EA0">
        <w:rPr>
          <w:sz w:val="22"/>
          <w:szCs w:val="22"/>
          <w:u w:val="single"/>
        </w:rPr>
        <w:t xml:space="preserve"> </w:t>
      </w:r>
      <w:r w:rsidRPr="00126EA0">
        <w:rPr>
          <w:b/>
          <w:bCs/>
          <w:sz w:val="22"/>
          <w:szCs w:val="22"/>
          <w:u w:val="single"/>
        </w:rPr>
        <w:t>with the Regulations</w:t>
      </w:r>
      <w:r w:rsidRPr="00126EA0">
        <w:rPr>
          <w:sz w:val="22"/>
          <w:szCs w:val="22"/>
          <w:u w:val="single"/>
        </w:rPr>
        <w:t xml:space="preserve"> </w:t>
      </w:r>
    </w:p>
    <w:p w:rsidR="00D41E7C" w:rsidP="00DA1560" w:rsidRDefault="00D41E7C" w14:paraId="558DFBA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8"/>
        </w:rPr>
      </w:pPr>
      <w:r>
        <w:rPr>
          <w:sz w:val="22"/>
          <w:szCs w:val="28"/>
        </w:rPr>
        <w:tab/>
      </w:r>
    </w:p>
    <w:p w:rsidRPr="009C6838" w:rsidR="00D41E7C" w:rsidP="00DA1560" w:rsidRDefault="00D41E7C" w14:paraId="0456AD9A" w14:textId="635B552B">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8"/>
          <w:szCs w:val="28"/>
          <w:u w:val="single"/>
        </w:rPr>
      </w:pPr>
      <w:r>
        <w:rPr>
          <w:sz w:val="22"/>
          <w:szCs w:val="28"/>
        </w:rPr>
        <w:tab/>
      </w:r>
      <w:r w:rsidRPr="00D41E7C">
        <w:rPr>
          <w:sz w:val="22"/>
          <w:szCs w:val="28"/>
        </w:rPr>
        <w:t>EPA has adopted a methodology that assigns labor estimates based on facility types to reflect that certain facilities will have to dedicate more time to familiarize themselves with rule provisions that apply only to them.</w:t>
      </w:r>
      <w:r w:rsidR="001B14D4">
        <w:rPr>
          <w:sz w:val="22"/>
          <w:szCs w:val="28"/>
        </w:rPr>
        <w:t xml:space="preserve"> </w:t>
      </w:r>
      <w:r w:rsidRPr="009C6838" w:rsidR="001B14D4">
        <w:rPr>
          <w:sz w:val="22"/>
          <w:szCs w:val="28"/>
        </w:rPr>
        <w:t xml:space="preserve">EPA projects that the time facilities spend to review the final rule and determine which provisions apply will be consistent with the time they spent to review the 2017 amendments rule because the number and content of provisions are similar. EPA projects that all facilities with simple processes would need four hours to review the rule as would the few complex facilities in Program 1 and Program 2. Complex facilities in </w:t>
      </w:r>
      <w:r w:rsidRPr="009C6838" w:rsidR="001B14D4">
        <w:rPr>
          <w:color w:val="000000" w:themeColor="text1"/>
          <w:sz w:val="22"/>
          <w:szCs w:val="28"/>
        </w:rPr>
        <w:t>Program 3</w:t>
      </w:r>
      <w:r w:rsidRPr="009C6838" w:rsidR="001B14D4">
        <w:rPr>
          <w:sz w:val="22"/>
          <w:szCs w:val="28"/>
        </w:rPr>
        <w:t xml:space="preserve"> are projected to spend 292 hours reviewing the rule. LEPC’s are projected to spend five hours reviewing the rule. Delegated State and local implementing agencies are projected to spend four hours reviewing the rule</w:t>
      </w:r>
      <w:r w:rsidR="001B14D4">
        <w:rPr>
          <w:sz w:val="22"/>
          <w:szCs w:val="28"/>
        </w:rPr>
        <w:t>.</w:t>
      </w:r>
    </w:p>
    <w:p w:rsidRPr="00126EA0" w:rsidR="00DA1560" w:rsidP="00DA1560" w:rsidRDefault="00DA1560" w14:paraId="32769C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u w:val="single"/>
        </w:rPr>
      </w:pPr>
    </w:p>
    <w:p w:rsidR="00DA1560" w:rsidP="00DA1560" w:rsidRDefault="00DA1560" w14:paraId="143E23B6" w14:textId="6A763B93">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r w:rsidRPr="00F7037A">
        <w:rPr>
          <w:b/>
          <w:bCs/>
          <w:sz w:val="22"/>
          <w:szCs w:val="22"/>
          <w:u w:val="single"/>
        </w:rPr>
        <w:t>Prevention Program Rule Provisions</w:t>
      </w:r>
    </w:p>
    <w:p w:rsidRPr="00F7037A" w:rsidR="006B2D33" w:rsidP="00DA1560" w:rsidRDefault="006B2D33" w14:paraId="54D86C43"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p>
    <w:p w:rsidR="00DA1560" w:rsidP="00DA1560" w:rsidRDefault="00DA1560" w14:paraId="2EECB89D" w14:textId="0B52E92F">
      <w:pPr>
        <w:rPr>
          <w:bCs/>
          <w:i/>
          <w:iCs/>
          <w:sz w:val="22"/>
          <w:szCs w:val="28"/>
        </w:rPr>
      </w:pPr>
      <w:r w:rsidRPr="00875E5E">
        <w:rPr>
          <w:bCs/>
          <w:i/>
          <w:iCs/>
          <w:sz w:val="22"/>
          <w:szCs w:val="28"/>
        </w:rPr>
        <w:t>Safer Technology Alternatives Analysis (STAA)</w:t>
      </w:r>
    </w:p>
    <w:p w:rsidRPr="009C6838" w:rsidR="001B14D4" w:rsidP="002308F5" w:rsidRDefault="001B14D4" w14:paraId="21C9D01B" w14:textId="77777777">
      <w:pPr>
        <w:ind w:firstLine="720"/>
        <w:rPr>
          <w:sz w:val="22"/>
          <w:szCs w:val="28"/>
        </w:rPr>
      </w:pPr>
      <w:r w:rsidRPr="009C6838">
        <w:rPr>
          <w:sz w:val="22"/>
          <w:szCs w:val="28"/>
        </w:rPr>
        <w:t>An initial analysis and documentation is required of all facility processes. EPA believes that some facilities may already have conducted such analyses but has taken the conservative approach of assuming that all facilities subject to the STAA provision will conduct them for all processes as a result of the proposed rule. Following the initial analysis, EPA is proposing that a practicability assessment be conducted if the initial analysis determines the existence of inherently safer alternatives. EPA expects a practicability assessment to occur only when warranted by the outcome of an initial analysis. EPA also anticipates that some facilities will conduct practicability studies to address alternatives considered in multiple initial analyses. Consequently, some complex firms are assumed to conduct practicability studies that address up to 12 different alternatives. EPA is retaining the estimates of the hours required to conduct an initial analysis from the 2017 amendments rule RIA and updating the costs to 2020 dollars. For large complex facilities, EPA estimates that a total of 738 engineering hours will be required,</w:t>
      </w:r>
      <w:r w:rsidRPr="009C6838">
        <w:rPr>
          <w:sz w:val="22"/>
          <w:szCs w:val="28"/>
          <w:vertAlign w:val="superscript"/>
        </w:rPr>
        <w:footnoteReference w:id="2"/>
      </w:r>
      <w:r w:rsidRPr="009C6838">
        <w:rPr>
          <w:sz w:val="22"/>
          <w:szCs w:val="28"/>
        </w:rPr>
        <w:t xml:space="preserve"> for Small/Medium facilities, a total of 130 hours will be required (20 hours of management, 0.5 hours of corporate management, 3.5 hours of attorney time, 82.5 hours of engineering, and 23.5 hours of production staff support).</w:t>
      </w:r>
      <w:r w:rsidRPr="009C6838">
        <w:rPr>
          <w:rStyle w:val="FootnoteReference"/>
          <w:sz w:val="22"/>
          <w:szCs w:val="28"/>
        </w:rPr>
        <w:footnoteReference w:id="3"/>
      </w:r>
      <w:r w:rsidRPr="009C6838">
        <w:rPr>
          <w:sz w:val="22"/>
          <w:szCs w:val="28"/>
        </w:rPr>
        <w:t xml:space="preserve"> </w:t>
      </w:r>
    </w:p>
    <w:p w:rsidRPr="009C6838" w:rsidR="001B14D4" w:rsidP="002308F5" w:rsidRDefault="001B14D4" w14:paraId="0D178E29" w14:textId="77777777">
      <w:pPr>
        <w:ind w:firstLine="720"/>
        <w:rPr>
          <w:sz w:val="22"/>
          <w:szCs w:val="28"/>
        </w:rPr>
      </w:pPr>
    </w:p>
    <w:p w:rsidRPr="009C6838" w:rsidR="001B14D4" w:rsidP="001B14D4" w:rsidRDefault="001B14D4" w14:paraId="7DC03CBA" w14:textId="52CEA997">
      <w:pPr>
        <w:ind w:firstLine="720"/>
        <w:rPr>
          <w:sz w:val="22"/>
          <w:szCs w:val="28"/>
        </w:rPr>
      </w:pPr>
      <w:r w:rsidRPr="009C6838">
        <w:rPr>
          <w:sz w:val="22"/>
          <w:szCs w:val="28"/>
        </w:rPr>
        <w:t>The technical practicability assessment considers the extent of process redesign, its engineering implications, and possible costs. To estimate the cost of the practicability study, referred to in some literature and comments as a feasibility study, EPA maintains the approach developed for the amendments rule RIA. That approach is to identify “reference” STAA projects for the sectors affected by the provision, estimate costs of the reference projects, and apply a percentage to the project cost to calculate the practicability study cost.  EPA adopts the same 1.2 percent of project costs that was estimated for the amendments rule RIA.</w:t>
      </w:r>
      <w:r w:rsidRPr="009C6838">
        <w:rPr>
          <w:rStyle w:val="FootnoteReference"/>
          <w:sz w:val="22"/>
          <w:szCs w:val="28"/>
        </w:rPr>
        <w:t xml:space="preserve"> </w:t>
      </w:r>
      <w:r w:rsidRPr="009C6838">
        <w:rPr>
          <w:rStyle w:val="FootnoteReference"/>
          <w:sz w:val="22"/>
          <w:szCs w:val="28"/>
        </w:rPr>
        <w:footnoteReference w:id="4"/>
      </w:r>
      <w:r w:rsidRPr="009C6838" w:rsidR="00451AB6">
        <w:rPr>
          <w:sz w:val="22"/>
          <w:szCs w:val="28"/>
        </w:rPr>
        <w:t xml:space="preserve">. EPA then applies the 1.2 percentage estimate to project costs to </w:t>
      </w:r>
      <w:r w:rsidRPr="009C6838" w:rsidR="00451AB6">
        <w:rPr>
          <w:sz w:val="22"/>
          <w:szCs w:val="28"/>
        </w:rPr>
        <w:lastRenderedPageBreak/>
        <w:t>estimate the practicability study cost (see the Regulatory Impact Analysis for the proposed rule for additional detail; Section 4.4).</w:t>
      </w:r>
    </w:p>
    <w:p w:rsidRPr="009C6838" w:rsidR="00451AB6" w:rsidP="001B14D4" w:rsidRDefault="00451AB6" w14:paraId="60831F5B" w14:textId="1F7140B7">
      <w:pPr>
        <w:ind w:firstLine="720"/>
        <w:rPr>
          <w:sz w:val="22"/>
          <w:szCs w:val="28"/>
        </w:rPr>
      </w:pPr>
    </w:p>
    <w:p w:rsidRPr="009C6838" w:rsidR="00451AB6" w:rsidP="009C6838" w:rsidRDefault="00451AB6" w14:paraId="56CC66D9" w14:textId="11946B8D">
      <w:pPr>
        <w:ind w:firstLine="720"/>
        <w:rPr>
          <w:sz w:val="22"/>
          <w:szCs w:val="28"/>
        </w:rPr>
      </w:pPr>
      <w:r w:rsidRPr="009C6838">
        <w:rPr>
          <w:sz w:val="22"/>
          <w:szCs w:val="28"/>
        </w:rPr>
        <w:t>Exhibit 1 displays the hours and costs assumed for each task by labor category and type of facility, and the resulting per facility cost estimates.</w:t>
      </w:r>
    </w:p>
    <w:p w:rsidR="001B14D4" w:rsidP="002308F5" w:rsidRDefault="001B14D4" w14:paraId="78A0040C" w14:textId="4AEC6D35">
      <w:pPr>
        <w:ind w:firstLine="720"/>
      </w:pPr>
    </w:p>
    <w:p w:rsidRPr="00451AB6" w:rsidR="001B14D4" w:rsidP="0074445B" w:rsidRDefault="001B14D4" w14:paraId="5EBCDA40" w14:textId="49E00350">
      <w:pPr>
        <w:pStyle w:val="Caption"/>
        <w:keepNext/>
        <w:spacing w:after="0"/>
        <w:jc w:val="center"/>
        <w:rPr>
          <w:b/>
          <w:bCs/>
          <w:i w:val="0"/>
          <w:iCs w:val="0"/>
          <w:color w:val="auto"/>
          <w:sz w:val="22"/>
          <w:szCs w:val="22"/>
        </w:rPr>
      </w:pPr>
      <w:r w:rsidRPr="00451AB6">
        <w:rPr>
          <w:b/>
          <w:bCs/>
          <w:i w:val="0"/>
          <w:iCs w:val="0"/>
          <w:color w:val="auto"/>
          <w:sz w:val="22"/>
          <w:szCs w:val="22"/>
        </w:rPr>
        <w:t>Exhibit</w:t>
      </w:r>
      <w:r w:rsidRPr="009C6838">
        <w:rPr>
          <w:b/>
          <w:bCs/>
          <w:sz w:val="22"/>
          <w:szCs w:val="22"/>
        </w:rPr>
        <w:t xml:space="preserve"> </w:t>
      </w:r>
      <w:r w:rsidRPr="009C6838">
        <w:rPr>
          <w:b/>
          <w:bCs/>
          <w:i w:val="0"/>
          <w:iCs w:val="0"/>
          <w:sz w:val="22"/>
          <w:szCs w:val="22"/>
        </w:rPr>
        <w:t>1</w:t>
      </w:r>
      <w:r w:rsidRPr="00451AB6">
        <w:rPr>
          <w:b/>
          <w:bCs/>
          <w:i w:val="0"/>
          <w:iCs w:val="0"/>
          <w:color w:val="auto"/>
          <w:sz w:val="22"/>
          <w:szCs w:val="22"/>
        </w:rPr>
        <w:t>: Hourly Labor and Unit Costs for STAA (2020 dollars).</w:t>
      </w:r>
    </w:p>
    <w:tbl>
      <w:tblPr>
        <w:tblW w:w="85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26"/>
        <w:gridCol w:w="1169"/>
        <w:gridCol w:w="1170"/>
        <w:gridCol w:w="581"/>
        <w:gridCol w:w="589"/>
        <w:gridCol w:w="1080"/>
        <w:gridCol w:w="1163"/>
        <w:gridCol w:w="1261"/>
      </w:tblGrid>
      <w:tr w:rsidRPr="004D4B61" w:rsidR="001B14D4" w:rsidTr="00833C86" w14:paraId="1824DFD8" w14:textId="77777777">
        <w:trPr>
          <w:trHeight w:val="301"/>
          <w:jc w:val="center"/>
        </w:trPr>
        <w:tc>
          <w:tcPr>
            <w:tcW w:w="1526" w:type="dxa"/>
            <w:vMerge w:val="restart"/>
            <w:shd w:val="clear" w:color="auto" w:fill="D9D9D9" w:themeFill="background1" w:themeFillShade="D9"/>
            <w:vAlign w:val="center"/>
          </w:tcPr>
          <w:p w:rsidRPr="00835820" w:rsidR="001B14D4" w:rsidP="00833C86" w:rsidRDefault="001B14D4" w14:paraId="0E0DADBB" w14:textId="77777777">
            <w:pPr>
              <w:keepNext/>
              <w:keepLines/>
              <w:ind w:left="180"/>
              <w:jc w:val="center"/>
              <w:rPr>
                <w:b/>
                <w:szCs w:val="20"/>
              </w:rPr>
            </w:pPr>
            <w:r w:rsidRPr="00835820">
              <w:rPr>
                <w:b/>
                <w:szCs w:val="20"/>
              </w:rPr>
              <w:t>Sector</w:t>
            </w:r>
          </w:p>
        </w:tc>
        <w:tc>
          <w:tcPr>
            <w:tcW w:w="5752" w:type="dxa"/>
            <w:gridSpan w:val="6"/>
            <w:shd w:val="clear" w:color="auto" w:fill="D9D9D9" w:themeFill="background1" w:themeFillShade="D9"/>
            <w:vAlign w:val="center"/>
          </w:tcPr>
          <w:p w:rsidRPr="00835820" w:rsidR="001B14D4" w:rsidP="00833C86" w:rsidRDefault="001B14D4" w14:paraId="3DCEA8AA" w14:textId="77777777">
            <w:pPr>
              <w:keepNext/>
              <w:keepLines/>
              <w:ind w:left="2884" w:right="34" w:hanging="2777"/>
              <w:jc w:val="center"/>
              <w:rPr>
                <w:b/>
                <w:szCs w:val="20"/>
              </w:rPr>
            </w:pPr>
            <w:r w:rsidRPr="00835820">
              <w:rPr>
                <w:b/>
                <w:szCs w:val="20"/>
              </w:rPr>
              <w:t>Labor Hours</w:t>
            </w:r>
          </w:p>
        </w:tc>
        <w:tc>
          <w:tcPr>
            <w:tcW w:w="1261" w:type="dxa"/>
            <w:vMerge w:val="restart"/>
            <w:shd w:val="clear" w:color="auto" w:fill="D9D9D9" w:themeFill="background1" w:themeFillShade="D9"/>
            <w:vAlign w:val="center"/>
          </w:tcPr>
          <w:p w:rsidRPr="00835820" w:rsidR="001B14D4" w:rsidP="00833C86" w:rsidRDefault="001B14D4" w14:paraId="3C295168" w14:textId="77777777">
            <w:pPr>
              <w:keepNext/>
              <w:keepLines/>
              <w:ind w:left="304" w:right="152" w:hanging="118"/>
              <w:jc w:val="center"/>
              <w:rPr>
                <w:b/>
                <w:szCs w:val="20"/>
              </w:rPr>
            </w:pPr>
            <w:r w:rsidRPr="00835820">
              <w:rPr>
                <w:b/>
                <w:szCs w:val="20"/>
              </w:rPr>
              <w:t>Facility Cost</w:t>
            </w:r>
          </w:p>
        </w:tc>
      </w:tr>
      <w:tr w:rsidRPr="004D4B61" w:rsidR="001B14D4" w:rsidTr="00833C86" w14:paraId="47615D70" w14:textId="77777777">
        <w:trPr>
          <w:trHeight w:val="510"/>
          <w:jc w:val="center"/>
        </w:trPr>
        <w:tc>
          <w:tcPr>
            <w:tcW w:w="1526" w:type="dxa"/>
            <w:vMerge/>
            <w:tcBorders>
              <w:top w:val="nil"/>
            </w:tcBorders>
            <w:shd w:val="clear" w:color="auto" w:fill="D9D9D9"/>
            <w:vAlign w:val="center"/>
          </w:tcPr>
          <w:p w:rsidRPr="00835820" w:rsidR="001B14D4" w:rsidP="00833C86" w:rsidRDefault="001B14D4" w14:paraId="59AC2BDF" w14:textId="77777777">
            <w:pPr>
              <w:keepNext/>
              <w:keepLines/>
              <w:jc w:val="center"/>
              <w:rPr>
                <w:szCs w:val="20"/>
              </w:rPr>
            </w:pPr>
          </w:p>
        </w:tc>
        <w:tc>
          <w:tcPr>
            <w:tcW w:w="1169" w:type="dxa"/>
            <w:shd w:val="clear" w:color="auto" w:fill="D9D9D9"/>
            <w:vAlign w:val="center"/>
          </w:tcPr>
          <w:p w:rsidRPr="00835820" w:rsidR="001B14D4" w:rsidP="00833C86" w:rsidRDefault="001B14D4" w14:paraId="3D1BF203" w14:textId="77777777">
            <w:pPr>
              <w:keepNext/>
              <w:keepLines/>
              <w:ind w:left="127" w:right="119"/>
              <w:jc w:val="center"/>
              <w:rPr>
                <w:b/>
                <w:szCs w:val="20"/>
              </w:rPr>
            </w:pPr>
            <w:r w:rsidRPr="00835820">
              <w:rPr>
                <w:b/>
                <w:szCs w:val="20"/>
              </w:rPr>
              <w:t>Manager</w:t>
            </w:r>
          </w:p>
        </w:tc>
        <w:tc>
          <w:tcPr>
            <w:tcW w:w="1170" w:type="dxa"/>
            <w:shd w:val="clear" w:color="auto" w:fill="D9D9D9"/>
            <w:vAlign w:val="center"/>
          </w:tcPr>
          <w:p w:rsidRPr="00835820" w:rsidR="001B14D4" w:rsidP="00833C86" w:rsidRDefault="001B14D4" w14:paraId="74203B6C" w14:textId="77777777">
            <w:pPr>
              <w:keepNext/>
              <w:keepLines/>
              <w:ind w:left="120" w:right="116"/>
              <w:jc w:val="center"/>
              <w:rPr>
                <w:b/>
                <w:szCs w:val="20"/>
              </w:rPr>
            </w:pPr>
            <w:r w:rsidRPr="00835820">
              <w:rPr>
                <w:b/>
                <w:szCs w:val="20"/>
              </w:rPr>
              <w:t>Corporate</w:t>
            </w:r>
          </w:p>
          <w:p w:rsidRPr="00835820" w:rsidR="001B14D4" w:rsidP="00833C86" w:rsidRDefault="001B14D4" w14:paraId="13949260" w14:textId="77777777">
            <w:pPr>
              <w:keepNext/>
              <w:keepLines/>
              <w:ind w:left="120" w:right="112"/>
              <w:jc w:val="center"/>
              <w:rPr>
                <w:b/>
                <w:szCs w:val="20"/>
              </w:rPr>
            </w:pPr>
            <w:r w:rsidRPr="00835820">
              <w:rPr>
                <w:b/>
                <w:szCs w:val="20"/>
              </w:rPr>
              <w:t>Mgmt.</w:t>
            </w:r>
          </w:p>
        </w:tc>
        <w:tc>
          <w:tcPr>
            <w:tcW w:w="1170" w:type="dxa"/>
            <w:gridSpan w:val="2"/>
            <w:shd w:val="clear" w:color="auto" w:fill="D9D9D9"/>
            <w:vAlign w:val="center"/>
          </w:tcPr>
          <w:p w:rsidRPr="00835820" w:rsidR="001B14D4" w:rsidP="00833C86" w:rsidRDefault="001B14D4" w14:paraId="45C03555" w14:textId="77777777">
            <w:pPr>
              <w:keepNext/>
              <w:keepLines/>
              <w:ind w:left="1"/>
              <w:jc w:val="center"/>
              <w:rPr>
                <w:b/>
                <w:szCs w:val="20"/>
              </w:rPr>
            </w:pPr>
            <w:r w:rsidRPr="00835820">
              <w:rPr>
                <w:b/>
                <w:szCs w:val="20"/>
              </w:rPr>
              <w:t>Attorneys</w:t>
            </w:r>
          </w:p>
        </w:tc>
        <w:tc>
          <w:tcPr>
            <w:tcW w:w="1080" w:type="dxa"/>
            <w:shd w:val="clear" w:color="auto" w:fill="D9D9D9"/>
            <w:vAlign w:val="center"/>
          </w:tcPr>
          <w:p w:rsidRPr="00835820" w:rsidR="001B14D4" w:rsidP="00833C86" w:rsidRDefault="001B14D4" w14:paraId="79CACA27" w14:textId="77777777">
            <w:pPr>
              <w:keepNext/>
              <w:keepLines/>
              <w:ind w:left="100" w:right="79"/>
              <w:jc w:val="center"/>
              <w:rPr>
                <w:b/>
                <w:szCs w:val="20"/>
              </w:rPr>
            </w:pPr>
            <w:r w:rsidRPr="00835820">
              <w:rPr>
                <w:b/>
                <w:szCs w:val="20"/>
              </w:rPr>
              <w:t>Engineers</w:t>
            </w:r>
          </w:p>
        </w:tc>
        <w:tc>
          <w:tcPr>
            <w:tcW w:w="1163" w:type="dxa"/>
            <w:shd w:val="clear" w:color="auto" w:fill="D9D9D9"/>
            <w:vAlign w:val="center"/>
          </w:tcPr>
          <w:p w:rsidRPr="00835820" w:rsidR="001B14D4" w:rsidP="00833C86" w:rsidRDefault="001B14D4" w14:paraId="73BA36EC" w14:textId="77777777">
            <w:pPr>
              <w:keepNext/>
              <w:keepLines/>
              <w:ind w:left="97" w:right="76"/>
              <w:jc w:val="center"/>
              <w:rPr>
                <w:b/>
                <w:szCs w:val="20"/>
              </w:rPr>
            </w:pPr>
            <w:r w:rsidRPr="00835820">
              <w:rPr>
                <w:b/>
                <w:szCs w:val="20"/>
              </w:rPr>
              <w:t>Production</w:t>
            </w:r>
          </w:p>
        </w:tc>
        <w:tc>
          <w:tcPr>
            <w:tcW w:w="1261" w:type="dxa"/>
            <w:vMerge/>
            <w:shd w:val="clear" w:color="auto" w:fill="D9D9D9"/>
            <w:vAlign w:val="center"/>
          </w:tcPr>
          <w:p w:rsidRPr="00835820" w:rsidR="001B14D4" w:rsidP="00833C86" w:rsidRDefault="001B14D4" w14:paraId="49D9E635" w14:textId="77777777">
            <w:pPr>
              <w:keepNext/>
              <w:keepLines/>
              <w:jc w:val="center"/>
              <w:rPr>
                <w:szCs w:val="20"/>
              </w:rPr>
            </w:pPr>
          </w:p>
        </w:tc>
      </w:tr>
      <w:tr w:rsidRPr="004D4B61" w:rsidR="001B14D4" w:rsidTr="00833C86" w14:paraId="2CE63661" w14:textId="77777777">
        <w:trPr>
          <w:trHeight w:val="301"/>
          <w:jc w:val="center"/>
        </w:trPr>
        <w:tc>
          <w:tcPr>
            <w:tcW w:w="8539" w:type="dxa"/>
            <w:gridSpan w:val="8"/>
            <w:shd w:val="clear" w:color="auto" w:fill="F1F1F1"/>
            <w:vAlign w:val="center"/>
          </w:tcPr>
          <w:p w:rsidRPr="00835820" w:rsidR="001B14D4" w:rsidP="00833C86" w:rsidRDefault="001B14D4" w14:paraId="7D4A77E3" w14:textId="77777777">
            <w:pPr>
              <w:keepNext/>
              <w:keepLines/>
              <w:ind w:left="3708" w:right="84" w:hanging="3618"/>
              <w:jc w:val="center"/>
              <w:rPr>
                <w:b/>
                <w:szCs w:val="20"/>
              </w:rPr>
            </w:pPr>
            <w:r w:rsidRPr="00835820">
              <w:rPr>
                <w:b/>
                <w:szCs w:val="20"/>
              </w:rPr>
              <w:t>Initial Analysis</w:t>
            </w:r>
          </w:p>
        </w:tc>
      </w:tr>
      <w:tr w:rsidRPr="004D4B61" w:rsidR="001B14D4" w:rsidTr="00833C86" w14:paraId="41FCB430" w14:textId="77777777">
        <w:trPr>
          <w:trHeight w:val="146"/>
          <w:jc w:val="center"/>
        </w:trPr>
        <w:tc>
          <w:tcPr>
            <w:tcW w:w="1526" w:type="dxa"/>
            <w:vAlign w:val="center"/>
          </w:tcPr>
          <w:p w:rsidRPr="00835820" w:rsidR="001B14D4" w:rsidP="00833C86" w:rsidRDefault="001B14D4" w14:paraId="16C0E4E8" w14:textId="77777777">
            <w:pPr>
              <w:keepNext/>
              <w:keepLines/>
              <w:ind w:left="107"/>
              <w:rPr>
                <w:szCs w:val="20"/>
              </w:rPr>
            </w:pPr>
            <w:r w:rsidRPr="00835820">
              <w:rPr>
                <w:szCs w:val="20"/>
              </w:rPr>
              <w:t>Refineries</w:t>
            </w:r>
          </w:p>
        </w:tc>
        <w:tc>
          <w:tcPr>
            <w:tcW w:w="1169" w:type="dxa"/>
            <w:vAlign w:val="center"/>
          </w:tcPr>
          <w:p w:rsidRPr="00835820" w:rsidR="001B14D4" w:rsidP="00833C86" w:rsidRDefault="001B14D4" w14:paraId="011A5E91" w14:textId="77777777">
            <w:pPr>
              <w:keepNext/>
              <w:keepLines/>
              <w:jc w:val="center"/>
              <w:rPr>
                <w:szCs w:val="20"/>
              </w:rPr>
            </w:pPr>
            <w:r w:rsidRPr="00835820">
              <w:rPr>
                <w:szCs w:val="20"/>
              </w:rPr>
              <w:t>0</w:t>
            </w:r>
          </w:p>
        </w:tc>
        <w:tc>
          <w:tcPr>
            <w:tcW w:w="1170" w:type="dxa"/>
            <w:vAlign w:val="center"/>
          </w:tcPr>
          <w:p w:rsidRPr="00835820" w:rsidR="001B14D4" w:rsidP="00833C86" w:rsidRDefault="001B14D4" w14:paraId="6BAAA2AF" w14:textId="77777777">
            <w:pPr>
              <w:keepNext/>
              <w:keepLines/>
              <w:jc w:val="center"/>
              <w:rPr>
                <w:szCs w:val="20"/>
              </w:rPr>
            </w:pPr>
            <w:r w:rsidRPr="00835820">
              <w:rPr>
                <w:szCs w:val="20"/>
              </w:rPr>
              <w:t>0</w:t>
            </w:r>
          </w:p>
        </w:tc>
        <w:tc>
          <w:tcPr>
            <w:tcW w:w="1170" w:type="dxa"/>
            <w:gridSpan w:val="2"/>
            <w:vAlign w:val="center"/>
          </w:tcPr>
          <w:p w:rsidRPr="00835820" w:rsidR="001B14D4" w:rsidP="00833C86" w:rsidRDefault="001B14D4" w14:paraId="0C3014C1" w14:textId="77777777">
            <w:pPr>
              <w:keepNext/>
              <w:keepLines/>
              <w:ind w:left="16"/>
              <w:jc w:val="center"/>
              <w:rPr>
                <w:szCs w:val="20"/>
              </w:rPr>
            </w:pPr>
            <w:r w:rsidRPr="00835820">
              <w:rPr>
                <w:szCs w:val="20"/>
              </w:rPr>
              <w:t>0</w:t>
            </w:r>
          </w:p>
        </w:tc>
        <w:tc>
          <w:tcPr>
            <w:tcW w:w="1080" w:type="dxa"/>
            <w:vAlign w:val="center"/>
          </w:tcPr>
          <w:p w:rsidRPr="00835820" w:rsidR="001B14D4" w:rsidP="00833C86" w:rsidRDefault="001B14D4" w14:paraId="2B98F4D3" w14:textId="77777777">
            <w:pPr>
              <w:keepNext/>
              <w:keepLines/>
              <w:ind w:right="79"/>
              <w:jc w:val="center"/>
              <w:rPr>
                <w:szCs w:val="20"/>
              </w:rPr>
            </w:pPr>
            <w:r w:rsidRPr="00835820">
              <w:rPr>
                <w:szCs w:val="20"/>
              </w:rPr>
              <w:t>738</w:t>
            </w:r>
          </w:p>
        </w:tc>
        <w:tc>
          <w:tcPr>
            <w:tcW w:w="1163" w:type="dxa"/>
            <w:vAlign w:val="center"/>
          </w:tcPr>
          <w:p w:rsidRPr="00835820" w:rsidR="001B14D4" w:rsidP="00833C86" w:rsidRDefault="001B14D4" w14:paraId="25F50BC9" w14:textId="77777777">
            <w:pPr>
              <w:keepNext/>
              <w:keepLines/>
              <w:ind w:left="18"/>
              <w:jc w:val="center"/>
              <w:rPr>
                <w:szCs w:val="20"/>
              </w:rPr>
            </w:pPr>
            <w:r w:rsidRPr="00835820">
              <w:rPr>
                <w:szCs w:val="20"/>
              </w:rPr>
              <w:t>0</w:t>
            </w:r>
          </w:p>
        </w:tc>
        <w:tc>
          <w:tcPr>
            <w:tcW w:w="1261" w:type="dxa"/>
            <w:vAlign w:val="center"/>
          </w:tcPr>
          <w:p w:rsidRPr="00835820" w:rsidR="001B14D4" w:rsidP="00833C86" w:rsidRDefault="001B14D4" w14:paraId="44D1DC49" w14:textId="77777777">
            <w:pPr>
              <w:keepNext/>
              <w:keepLines/>
              <w:ind w:left="131" w:right="111"/>
              <w:jc w:val="center"/>
              <w:rPr>
                <w:szCs w:val="20"/>
              </w:rPr>
            </w:pPr>
            <w:r w:rsidRPr="00835820">
              <w:rPr>
                <w:color w:val="000000"/>
                <w:szCs w:val="20"/>
              </w:rPr>
              <w:t>$74,000</w:t>
            </w:r>
          </w:p>
        </w:tc>
      </w:tr>
      <w:tr w:rsidRPr="004D4B61" w:rsidR="001B14D4" w:rsidTr="00833C86" w14:paraId="6F4D0C25" w14:textId="77777777">
        <w:trPr>
          <w:trHeight w:val="272"/>
          <w:jc w:val="center"/>
        </w:trPr>
        <w:tc>
          <w:tcPr>
            <w:tcW w:w="1526" w:type="dxa"/>
            <w:vAlign w:val="center"/>
          </w:tcPr>
          <w:p w:rsidRPr="00835820" w:rsidR="001B14D4" w:rsidP="00833C86" w:rsidRDefault="001B14D4" w14:paraId="16995CD9" w14:textId="77777777">
            <w:pPr>
              <w:keepNext/>
              <w:keepLines/>
              <w:ind w:left="107"/>
              <w:rPr>
                <w:szCs w:val="20"/>
              </w:rPr>
            </w:pPr>
            <w:r w:rsidRPr="00835820">
              <w:rPr>
                <w:szCs w:val="20"/>
              </w:rPr>
              <w:t>Chemical Manufacturers</w:t>
            </w:r>
          </w:p>
        </w:tc>
        <w:tc>
          <w:tcPr>
            <w:tcW w:w="1169" w:type="dxa"/>
            <w:vAlign w:val="center"/>
          </w:tcPr>
          <w:p w:rsidRPr="00835820" w:rsidR="001B14D4" w:rsidP="00833C86" w:rsidRDefault="001B14D4" w14:paraId="148BA848" w14:textId="77777777">
            <w:pPr>
              <w:keepNext/>
              <w:keepLines/>
              <w:ind w:left="94" w:right="119"/>
              <w:jc w:val="center"/>
              <w:rPr>
                <w:szCs w:val="20"/>
              </w:rPr>
            </w:pPr>
            <w:r>
              <w:rPr>
                <w:szCs w:val="20"/>
              </w:rPr>
              <w:t xml:space="preserve"> </w:t>
            </w:r>
            <w:r w:rsidRPr="00835820">
              <w:rPr>
                <w:szCs w:val="20"/>
              </w:rPr>
              <w:t>20</w:t>
            </w:r>
          </w:p>
        </w:tc>
        <w:tc>
          <w:tcPr>
            <w:tcW w:w="1170" w:type="dxa"/>
            <w:vAlign w:val="center"/>
          </w:tcPr>
          <w:p w:rsidRPr="00835820" w:rsidR="001B14D4" w:rsidP="00833C86" w:rsidRDefault="001B14D4" w14:paraId="4CC39584" w14:textId="77777777">
            <w:pPr>
              <w:keepNext/>
              <w:keepLines/>
              <w:ind w:left="94" w:right="112"/>
              <w:jc w:val="center"/>
              <w:rPr>
                <w:szCs w:val="20"/>
              </w:rPr>
            </w:pPr>
            <w:r w:rsidRPr="00835820">
              <w:rPr>
                <w:szCs w:val="20"/>
              </w:rPr>
              <w:t>0.5</w:t>
            </w:r>
          </w:p>
        </w:tc>
        <w:tc>
          <w:tcPr>
            <w:tcW w:w="1170" w:type="dxa"/>
            <w:gridSpan w:val="2"/>
            <w:vAlign w:val="center"/>
          </w:tcPr>
          <w:p w:rsidRPr="00835820" w:rsidR="001B14D4" w:rsidP="00833C86" w:rsidRDefault="001B14D4" w14:paraId="064BCE1C" w14:textId="77777777">
            <w:pPr>
              <w:keepNext/>
              <w:keepLines/>
              <w:ind w:left="94" w:right="34"/>
              <w:jc w:val="center"/>
              <w:rPr>
                <w:szCs w:val="20"/>
              </w:rPr>
            </w:pPr>
            <w:r w:rsidRPr="00835820">
              <w:rPr>
                <w:szCs w:val="20"/>
              </w:rPr>
              <w:t>3.5</w:t>
            </w:r>
          </w:p>
        </w:tc>
        <w:tc>
          <w:tcPr>
            <w:tcW w:w="1080" w:type="dxa"/>
            <w:vAlign w:val="center"/>
          </w:tcPr>
          <w:p w:rsidRPr="00835820" w:rsidR="001B14D4" w:rsidP="00833C86" w:rsidRDefault="001B14D4" w14:paraId="252EC3E4" w14:textId="77777777">
            <w:pPr>
              <w:keepNext/>
              <w:keepLines/>
              <w:ind w:left="94" w:right="79"/>
              <w:jc w:val="center"/>
              <w:rPr>
                <w:szCs w:val="20"/>
              </w:rPr>
            </w:pPr>
            <w:r w:rsidRPr="00835820">
              <w:rPr>
                <w:szCs w:val="20"/>
              </w:rPr>
              <w:t>82.5</w:t>
            </w:r>
          </w:p>
        </w:tc>
        <w:tc>
          <w:tcPr>
            <w:tcW w:w="1163" w:type="dxa"/>
            <w:vAlign w:val="center"/>
          </w:tcPr>
          <w:p w:rsidRPr="00835820" w:rsidR="001B14D4" w:rsidP="00833C86" w:rsidRDefault="001B14D4" w14:paraId="0E1DD2C1" w14:textId="77777777">
            <w:pPr>
              <w:keepNext/>
              <w:keepLines/>
              <w:ind w:left="94" w:right="111"/>
              <w:jc w:val="center"/>
              <w:rPr>
                <w:szCs w:val="20"/>
              </w:rPr>
            </w:pPr>
            <w:r w:rsidRPr="00835820">
              <w:rPr>
                <w:szCs w:val="20"/>
              </w:rPr>
              <w:t>23.5</w:t>
            </w:r>
          </w:p>
        </w:tc>
        <w:tc>
          <w:tcPr>
            <w:tcW w:w="1261" w:type="dxa"/>
            <w:vAlign w:val="center"/>
          </w:tcPr>
          <w:p w:rsidRPr="00835820" w:rsidR="001B14D4" w:rsidP="00833C86" w:rsidRDefault="001B14D4" w14:paraId="292AF02F" w14:textId="77777777">
            <w:pPr>
              <w:keepNext/>
              <w:keepLines/>
              <w:ind w:left="94" w:right="111"/>
              <w:jc w:val="center"/>
              <w:rPr>
                <w:szCs w:val="20"/>
              </w:rPr>
            </w:pPr>
            <w:r w:rsidRPr="00835820">
              <w:rPr>
                <w:color w:val="000000"/>
                <w:szCs w:val="20"/>
              </w:rPr>
              <w:t>$13,000</w:t>
            </w:r>
          </w:p>
        </w:tc>
      </w:tr>
      <w:tr w:rsidRPr="004D4B61" w:rsidR="001B14D4" w:rsidTr="00833C86" w14:paraId="6E05AC64" w14:textId="77777777">
        <w:trPr>
          <w:trHeight w:val="299"/>
          <w:jc w:val="center"/>
        </w:trPr>
        <w:tc>
          <w:tcPr>
            <w:tcW w:w="4446" w:type="dxa"/>
            <w:gridSpan w:val="4"/>
            <w:shd w:val="clear" w:color="auto" w:fill="D9D9D9"/>
            <w:vAlign w:val="center"/>
          </w:tcPr>
          <w:p w:rsidRPr="00835820" w:rsidR="001B14D4" w:rsidP="00833C86" w:rsidRDefault="001B14D4" w14:paraId="79D7D5CF" w14:textId="77777777">
            <w:pPr>
              <w:keepNext/>
              <w:keepLines/>
              <w:ind w:left="2039" w:right="129" w:hanging="1949"/>
              <w:jc w:val="center"/>
              <w:rPr>
                <w:b/>
                <w:szCs w:val="20"/>
              </w:rPr>
            </w:pPr>
            <w:r w:rsidRPr="00835820">
              <w:rPr>
                <w:b/>
                <w:szCs w:val="20"/>
              </w:rPr>
              <w:t>Sector</w:t>
            </w:r>
          </w:p>
        </w:tc>
        <w:tc>
          <w:tcPr>
            <w:tcW w:w="4093" w:type="dxa"/>
            <w:gridSpan w:val="4"/>
            <w:shd w:val="clear" w:color="auto" w:fill="D9D9D9"/>
            <w:vAlign w:val="center"/>
          </w:tcPr>
          <w:p w:rsidRPr="00835820" w:rsidR="001B14D4" w:rsidP="00833C86" w:rsidRDefault="001B14D4" w14:paraId="68325577" w14:textId="77777777">
            <w:pPr>
              <w:keepNext/>
              <w:keepLines/>
              <w:ind w:left="89" w:right="87"/>
              <w:jc w:val="center"/>
              <w:rPr>
                <w:b/>
                <w:szCs w:val="20"/>
              </w:rPr>
            </w:pPr>
            <w:r w:rsidRPr="00835820">
              <w:rPr>
                <w:b/>
                <w:szCs w:val="20"/>
              </w:rPr>
              <w:t>Facility Cost</w:t>
            </w:r>
          </w:p>
        </w:tc>
      </w:tr>
      <w:tr w:rsidRPr="004D4B61" w:rsidR="001B14D4" w:rsidTr="00833C86" w14:paraId="7EF64FAC" w14:textId="77777777">
        <w:trPr>
          <w:trHeight w:val="299"/>
          <w:jc w:val="center"/>
        </w:trPr>
        <w:tc>
          <w:tcPr>
            <w:tcW w:w="8539" w:type="dxa"/>
            <w:gridSpan w:val="8"/>
            <w:shd w:val="clear" w:color="auto" w:fill="F1F1F1"/>
            <w:vAlign w:val="center"/>
          </w:tcPr>
          <w:p w:rsidRPr="00835820" w:rsidR="001B14D4" w:rsidP="00833C86" w:rsidRDefault="001B14D4" w14:paraId="6AB36353" w14:textId="77777777">
            <w:pPr>
              <w:keepNext/>
              <w:keepLines/>
              <w:ind w:left="8360" w:right="84" w:hanging="8270"/>
              <w:jc w:val="center"/>
              <w:rPr>
                <w:b/>
                <w:szCs w:val="20"/>
              </w:rPr>
            </w:pPr>
            <w:r w:rsidRPr="00835820">
              <w:rPr>
                <w:b/>
                <w:szCs w:val="20"/>
              </w:rPr>
              <w:t>Practicability Analysis</w:t>
            </w:r>
          </w:p>
        </w:tc>
      </w:tr>
      <w:tr w:rsidRPr="004D4B61" w:rsidR="001B14D4" w:rsidTr="00833C86" w14:paraId="3390180C" w14:textId="77777777">
        <w:trPr>
          <w:trHeight w:val="345"/>
          <w:jc w:val="center"/>
        </w:trPr>
        <w:tc>
          <w:tcPr>
            <w:tcW w:w="4446" w:type="dxa"/>
            <w:gridSpan w:val="4"/>
            <w:vAlign w:val="center"/>
          </w:tcPr>
          <w:p w:rsidRPr="00835820" w:rsidR="001B14D4" w:rsidP="00833C86" w:rsidRDefault="001B14D4" w14:paraId="4A5B8899" w14:textId="77777777">
            <w:pPr>
              <w:keepNext/>
              <w:keepLines/>
              <w:ind w:left="107"/>
              <w:jc w:val="center"/>
              <w:rPr>
                <w:szCs w:val="20"/>
              </w:rPr>
            </w:pPr>
            <w:r w:rsidRPr="00835820">
              <w:rPr>
                <w:szCs w:val="20"/>
              </w:rPr>
              <w:t>Refineries</w:t>
            </w:r>
          </w:p>
        </w:tc>
        <w:tc>
          <w:tcPr>
            <w:tcW w:w="4093" w:type="dxa"/>
            <w:gridSpan w:val="4"/>
            <w:vAlign w:val="center"/>
          </w:tcPr>
          <w:p w:rsidRPr="00835820" w:rsidR="001B14D4" w:rsidP="00833C86" w:rsidRDefault="001B14D4" w14:paraId="34942D06" w14:textId="77777777">
            <w:pPr>
              <w:keepNext/>
              <w:keepLines/>
              <w:ind w:left="1889" w:right="-6" w:hanging="1797"/>
              <w:jc w:val="center"/>
              <w:rPr>
                <w:szCs w:val="20"/>
              </w:rPr>
            </w:pPr>
            <w:r w:rsidRPr="00835820">
              <w:rPr>
                <w:szCs w:val="20"/>
              </w:rPr>
              <w:t>$2.5 million</w:t>
            </w:r>
          </w:p>
        </w:tc>
      </w:tr>
      <w:tr w:rsidRPr="004D4B61" w:rsidR="001B14D4" w:rsidTr="00833C86" w14:paraId="1BC88E10" w14:textId="77777777">
        <w:trPr>
          <w:trHeight w:val="343"/>
          <w:jc w:val="center"/>
        </w:trPr>
        <w:tc>
          <w:tcPr>
            <w:tcW w:w="4446" w:type="dxa"/>
            <w:gridSpan w:val="4"/>
            <w:vAlign w:val="center"/>
          </w:tcPr>
          <w:p w:rsidRPr="00835820" w:rsidR="001B14D4" w:rsidP="00833C86" w:rsidRDefault="001B14D4" w14:paraId="39F7482C" w14:textId="77777777">
            <w:pPr>
              <w:keepNext/>
              <w:keepLines/>
              <w:ind w:left="107"/>
              <w:jc w:val="center"/>
              <w:rPr>
                <w:szCs w:val="20"/>
              </w:rPr>
            </w:pPr>
            <w:r w:rsidRPr="00835820">
              <w:rPr>
                <w:szCs w:val="20"/>
              </w:rPr>
              <w:t>Chemical Manufacturers</w:t>
            </w:r>
          </w:p>
        </w:tc>
        <w:tc>
          <w:tcPr>
            <w:tcW w:w="4093" w:type="dxa"/>
            <w:gridSpan w:val="4"/>
            <w:vAlign w:val="center"/>
          </w:tcPr>
          <w:p w:rsidRPr="00835820" w:rsidR="001B14D4" w:rsidP="00833C86" w:rsidRDefault="001B14D4" w14:paraId="5E988238" w14:textId="77777777">
            <w:pPr>
              <w:keepNext/>
              <w:keepLines/>
              <w:ind w:left="1889" w:right="-6" w:hanging="1797"/>
              <w:jc w:val="center"/>
              <w:rPr>
                <w:szCs w:val="20"/>
              </w:rPr>
            </w:pPr>
            <w:r w:rsidRPr="00835820">
              <w:rPr>
                <w:szCs w:val="20"/>
              </w:rPr>
              <w:t>$30,000</w:t>
            </w:r>
          </w:p>
        </w:tc>
      </w:tr>
    </w:tbl>
    <w:p w:rsidR="001B14D4" w:rsidP="002308F5" w:rsidRDefault="001B14D4" w14:paraId="6B26764C" w14:textId="47FDA8B3">
      <w:pPr>
        <w:ind w:firstLine="720"/>
      </w:pPr>
    </w:p>
    <w:p w:rsidRPr="00686E8B" w:rsidR="00686E8B" w:rsidP="00686E8B" w:rsidRDefault="00686E8B" w14:paraId="4D4E1BB2" w14:textId="77777777">
      <w:pPr>
        <w:rPr>
          <w:bCs/>
          <w:i/>
          <w:iCs/>
          <w:sz w:val="24"/>
          <w:szCs w:val="32"/>
        </w:rPr>
      </w:pPr>
    </w:p>
    <w:p w:rsidR="00DA1560" w:rsidP="00DA1560" w:rsidRDefault="00DA1560" w14:paraId="4A731B0D" w14:textId="4F3E59CD">
      <w:pPr>
        <w:keepNext/>
        <w:keepLines/>
        <w:rPr>
          <w:bCs/>
          <w:i/>
          <w:iCs/>
          <w:sz w:val="22"/>
          <w:szCs w:val="28"/>
        </w:rPr>
      </w:pPr>
      <w:r w:rsidRPr="00875E5E">
        <w:rPr>
          <w:bCs/>
          <w:i/>
          <w:iCs/>
          <w:sz w:val="22"/>
          <w:szCs w:val="28"/>
        </w:rPr>
        <w:t>Root Cause Analysis</w:t>
      </w:r>
    </w:p>
    <w:p w:rsidRPr="002308F5" w:rsidR="00052DB4" w:rsidP="002308F5" w:rsidRDefault="00EF5371" w14:paraId="58AD2CF1" w14:textId="2A1A4391">
      <w:pPr>
        <w:ind w:firstLine="720"/>
        <w:rPr>
          <w:sz w:val="22"/>
          <w:szCs w:val="28"/>
        </w:rPr>
      </w:pPr>
      <w:r>
        <w:rPr>
          <w:sz w:val="22"/>
          <w:szCs w:val="28"/>
        </w:rPr>
        <w:t>F</w:t>
      </w:r>
      <w:r w:rsidRPr="002308F5" w:rsidR="00052DB4">
        <w:rPr>
          <w:sz w:val="22"/>
          <w:szCs w:val="28"/>
        </w:rPr>
        <w:t>acilities in Programs 2 and 3 th</w:t>
      </w:r>
      <w:r>
        <w:rPr>
          <w:sz w:val="22"/>
          <w:szCs w:val="28"/>
        </w:rPr>
        <w:t>a</w:t>
      </w:r>
      <w:r w:rsidRPr="002308F5" w:rsidR="00052DB4">
        <w:rPr>
          <w:sz w:val="22"/>
          <w:szCs w:val="28"/>
        </w:rPr>
        <w:t xml:space="preserve">t have had an RMP-reportable accident </w:t>
      </w:r>
      <w:r w:rsidR="008E0729">
        <w:rPr>
          <w:sz w:val="22"/>
          <w:szCs w:val="28"/>
        </w:rPr>
        <w:t xml:space="preserve">would be required to </w:t>
      </w:r>
      <w:r w:rsidRPr="002308F5" w:rsidR="00052DB4">
        <w:rPr>
          <w:sz w:val="22"/>
          <w:szCs w:val="28"/>
        </w:rPr>
        <w:t xml:space="preserve">determine the underlying causes as part of their incident investigation. A root cause analysis is a structured process led by a person trained in the methodology. The time required may vary considerably based on the complexity of the processes involved. </w:t>
      </w:r>
    </w:p>
    <w:p w:rsidRPr="002308F5" w:rsidR="000A0053" w:rsidP="000A0053" w:rsidRDefault="000A0053" w14:paraId="317A2E9C" w14:textId="77777777">
      <w:pPr>
        <w:keepNext/>
        <w:keepLines/>
        <w:ind w:firstLine="360"/>
        <w:rPr>
          <w:sz w:val="22"/>
          <w:szCs w:val="28"/>
        </w:rPr>
      </w:pPr>
    </w:p>
    <w:p w:rsidRPr="002308F5" w:rsidR="002308F5" w:rsidP="002308F5" w:rsidRDefault="000A0053" w14:paraId="65CEBF08" w14:textId="6BE8A2D3">
      <w:pPr>
        <w:ind w:firstLine="720"/>
        <w:rPr>
          <w:sz w:val="22"/>
          <w:szCs w:val="28"/>
        </w:rPr>
      </w:pPr>
      <w:r w:rsidRPr="002308F5">
        <w:rPr>
          <w:sz w:val="22"/>
          <w:szCs w:val="28"/>
        </w:rPr>
        <w:t>In the baseline, facilities are already required to conduct incident investigations.</w:t>
      </w:r>
      <w:r w:rsidRPr="002308F5" w:rsidR="002308F5">
        <w:rPr>
          <w:sz w:val="22"/>
          <w:szCs w:val="28"/>
        </w:rPr>
        <w:t xml:space="preserve"> Management time is expected to be devoted primarily to decisions concerning resolution of corrective actions arising from the investigation. EPA assumes that these activities would require roughly the same amount of time whether corrective actions relate to root causes or other contributing causes. For simple facilities</w:t>
      </w:r>
      <w:r w:rsidRPr="002308F5" w:rsidDel="00F55CD4" w:rsidR="002308F5">
        <w:rPr>
          <w:sz w:val="22"/>
          <w:szCs w:val="28"/>
        </w:rPr>
        <w:t xml:space="preserve">, </w:t>
      </w:r>
      <w:r w:rsidRPr="002308F5" w:rsidR="002308F5">
        <w:rPr>
          <w:sz w:val="22"/>
          <w:szCs w:val="28"/>
        </w:rPr>
        <w:t>EPA assumed that labor for root cause analyses would require management time and additional time evenly distributed between production staff and engineers. For complex facilities, in addition to facility management, EPA estimated that due to the facility’s size and complexity, attorney hours would be required, along with the acknowledgment of corporate management, requiring 0.5 hours of corporate manager time. EPA also estimated that multiple hours of engineering and production staff would be required to conduct the analysis.</w:t>
      </w:r>
    </w:p>
    <w:p w:rsidRPr="002308F5" w:rsidR="002308F5" w:rsidP="002308F5" w:rsidRDefault="002308F5" w14:paraId="478394C2" w14:textId="77777777">
      <w:pPr>
        <w:ind w:firstLine="360"/>
        <w:rPr>
          <w:sz w:val="22"/>
          <w:szCs w:val="28"/>
        </w:rPr>
      </w:pPr>
    </w:p>
    <w:p w:rsidRPr="002308F5" w:rsidR="00DA1560" w:rsidP="002308F5" w:rsidRDefault="002308F5" w14:paraId="2607EF08" w14:textId="1DEEC42D">
      <w:pPr>
        <w:keepNext/>
        <w:keepLines/>
        <w:ind w:firstLine="360"/>
        <w:rPr>
          <w:bCs/>
          <w:i/>
          <w:iCs/>
          <w:sz w:val="24"/>
          <w:szCs w:val="32"/>
        </w:rPr>
      </w:pPr>
      <w:r w:rsidRPr="002308F5">
        <w:rPr>
          <w:sz w:val="22"/>
          <w:szCs w:val="28"/>
        </w:rPr>
        <w:tab/>
        <w:t>Complex facilities are estimated to require 132.5 total hours (68 hours of management, 0.5 hours of corporate management, 6 hours of attorneys, 30 hours of engineers, and 28 hours of production staff) for a root cause analysis and simple facilities are estimated to require 14 total hours (6 hours of management, 4 hours of engineering, and 4 hours of production). These hour estimates apply to root cause analyses of RMP-reportable accidents and reflect the additional time required for root cause analyses over and above incident investigation.</w:t>
      </w:r>
    </w:p>
    <w:p w:rsidRPr="00875E5E" w:rsidR="00052DB4" w:rsidP="00DA1560" w:rsidRDefault="00052DB4" w14:paraId="584E8E12" w14:textId="77777777">
      <w:pPr>
        <w:keepNext/>
        <w:keepLines/>
        <w:rPr>
          <w:bCs/>
          <w:i/>
          <w:iCs/>
          <w:sz w:val="22"/>
          <w:szCs w:val="28"/>
        </w:rPr>
      </w:pPr>
    </w:p>
    <w:p w:rsidR="00DA1560" w:rsidP="00DA1560" w:rsidRDefault="00DA1560" w14:paraId="3CE1AE85" w14:textId="5623DBF2">
      <w:pPr>
        <w:rPr>
          <w:i/>
          <w:sz w:val="22"/>
          <w:szCs w:val="28"/>
        </w:rPr>
      </w:pPr>
      <w:r w:rsidRPr="00875E5E">
        <w:rPr>
          <w:i/>
          <w:iCs/>
          <w:sz w:val="22"/>
          <w:szCs w:val="28"/>
        </w:rPr>
        <w:t>T</w:t>
      </w:r>
      <w:r w:rsidRPr="00875E5E">
        <w:rPr>
          <w:i/>
          <w:sz w:val="22"/>
          <w:szCs w:val="28"/>
        </w:rPr>
        <w:t>hird-party Audits</w:t>
      </w:r>
    </w:p>
    <w:p w:rsidRPr="009C6838" w:rsidR="00451AB6" w:rsidP="00451AB6" w:rsidRDefault="008E0729" w14:paraId="566EB4A5" w14:textId="4BC19BC2">
      <w:pPr>
        <w:keepNext/>
        <w:autoSpaceDE w:val="0"/>
        <w:autoSpaceDN w:val="0"/>
        <w:ind w:firstLine="360"/>
        <w:rPr>
          <w:color w:val="000000"/>
          <w:sz w:val="22"/>
          <w:szCs w:val="28"/>
        </w:rPr>
      </w:pPr>
      <w:r>
        <w:rPr>
          <w:color w:val="000000"/>
          <w:sz w:val="22"/>
          <w:szCs w:val="28"/>
        </w:rPr>
        <w:tab/>
      </w:r>
      <w:r w:rsidRPr="004B7ED6" w:rsidR="004B7ED6">
        <w:rPr>
          <w:color w:val="000000"/>
          <w:sz w:val="22"/>
          <w:szCs w:val="28"/>
        </w:rPr>
        <w:t xml:space="preserve">The current rule requires </w:t>
      </w:r>
      <w:r w:rsidRPr="004B7ED6" w:rsidR="004B7ED6">
        <w:rPr>
          <w:sz w:val="22"/>
          <w:szCs w:val="28"/>
        </w:rPr>
        <w:t>Program 2</w:t>
      </w:r>
      <w:r w:rsidRPr="004B7ED6" w:rsidR="004B7ED6">
        <w:rPr>
          <w:color w:val="000000"/>
          <w:sz w:val="22"/>
          <w:szCs w:val="28"/>
        </w:rPr>
        <w:t xml:space="preserve"> and Program 3 facilities to conduct a compliance audit at least once every three years. The proposed rule would require </w:t>
      </w:r>
      <w:r w:rsidRPr="004B7ED6" w:rsidR="004B7ED6">
        <w:rPr>
          <w:sz w:val="22"/>
          <w:szCs w:val="28"/>
        </w:rPr>
        <w:t>Program 2</w:t>
      </w:r>
      <w:r w:rsidRPr="004B7ED6" w:rsidR="004B7ED6">
        <w:rPr>
          <w:color w:val="000000"/>
          <w:sz w:val="22"/>
          <w:szCs w:val="28"/>
        </w:rPr>
        <w:t xml:space="preserve"> and Program 3 facilities that have had two RMP-reportable accidents within the past five years, or facilities </w:t>
      </w:r>
      <w:r w:rsidRPr="004B7ED6" w:rsidR="004B7ED6">
        <w:rPr>
          <w:sz w:val="22"/>
          <w:szCs w:val="28"/>
        </w:rPr>
        <w:t>with a Program 3 process in NAICS codes 324 or 325</w:t>
      </w:r>
      <w:r w:rsidR="00E33FDF">
        <w:rPr>
          <w:sz w:val="22"/>
          <w:szCs w:val="28"/>
        </w:rPr>
        <w:t xml:space="preserve"> that have had one accident and are located</w:t>
      </w:r>
      <w:r w:rsidRPr="004B7ED6" w:rsidR="004B7ED6">
        <w:rPr>
          <w:sz w:val="22"/>
          <w:szCs w:val="28"/>
        </w:rPr>
        <w:t xml:space="preserve"> within one mile of another facility </w:t>
      </w:r>
      <w:r w:rsidRPr="004B7ED6" w:rsidR="004B7ED6">
        <w:rPr>
          <w:sz w:val="22"/>
          <w:szCs w:val="28"/>
        </w:rPr>
        <w:lastRenderedPageBreak/>
        <w:t>with a process in NAICS codes 324 or 325,</w:t>
      </w:r>
      <w:r w:rsidRPr="004B7ED6" w:rsidR="004B7ED6">
        <w:rPr>
          <w:color w:val="000000"/>
          <w:sz w:val="22"/>
          <w:szCs w:val="28"/>
        </w:rPr>
        <w:t xml:space="preserve"> to contract with an independent third-party to conduct the next required audit.</w:t>
      </w:r>
      <w:r w:rsidR="00451AB6">
        <w:rPr>
          <w:color w:val="000000"/>
          <w:sz w:val="22"/>
          <w:szCs w:val="28"/>
        </w:rPr>
        <w:t xml:space="preserve"> </w:t>
      </w:r>
      <w:r w:rsidRPr="009C6838" w:rsidR="00451AB6">
        <w:rPr>
          <w:color w:val="000000"/>
          <w:sz w:val="22"/>
          <w:szCs w:val="28"/>
        </w:rPr>
        <w:t xml:space="preserve">The amendments rule RIA estimated the cost of hiring a third-party to conduct an audit. The audit required under this proposed rule would have the same estimated cost, so the estimated costs </w:t>
      </w:r>
      <w:r w:rsidR="000B3414">
        <w:rPr>
          <w:color w:val="000000"/>
          <w:sz w:val="22"/>
          <w:szCs w:val="28"/>
        </w:rPr>
        <w:t>in the ICR are</w:t>
      </w:r>
      <w:r w:rsidRPr="009C6838" w:rsidR="00451AB6">
        <w:rPr>
          <w:color w:val="000000"/>
          <w:sz w:val="22"/>
          <w:szCs w:val="28"/>
        </w:rPr>
        <w:t xml:space="preserve"> based on the unit costs and labor hours estimated under the amendments rule, updated to 2020 dollars</w:t>
      </w:r>
      <w:r w:rsidR="00451AB6">
        <w:rPr>
          <w:color w:val="000000"/>
          <w:sz w:val="22"/>
          <w:szCs w:val="28"/>
        </w:rPr>
        <w:t xml:space="preserve"> (see Exhibit 2)</w:t>
      </w:r>
      <w:r w:rsidRPr="009C6838" w:rsidR="00451AB6">
        <w:rPr>
          <w:color w:val="000000"/>
          <w:sz w:val="22"/>
          <w:szCs w:val="28"/>
        </w:rPr>
        <w:t>.</w:t>
      </w:r>
      <w:r w:rsidRPr="009C6838" w:rsidR="00451AB6">
        <w:rPr>
          <w:color w:val="000000"/>
          <w:sz w:val="22"/>
          <w:szCs w:val="28"/>
          <w:vertAlign w:val="superscript"/>
        </w:rPr>
        <w:footnoteReference w:id="5"/>
      </w:r>
      <w:r w:rsidRPr="009C6838" w:rsidR="00451AB6">
        <w:rPr>
          <w:color w:val="000000"/>
          <w:sz w:val="22"/>
          <w:szCs w:val="28"/>
        </w:rPr>
        <w:t xml:space="preserve"> </w:t>
      </w:r>
    </w:p>
    <w:p w:rsidR="00451AB6" w:rsidP="00451AB6" w:rsidRDefault="00451AB6" w14:paraId="4B81B12A" w14:textId="77777777">
      <w:pPr>
        <w:keepNext/>
        <w:autoSpaceDE w:val="0"/>
        <w:autoSpaceDN w:val="0"/>
        <w:ind w:firstLine="360"/>
        <w:rPr>
          <w:color w:val="000000"/>
        </w:rPr>
      </w:pPr>
    </w:p>
    <w:p w:rsidRPr="00451AB6" w:rsidR="00451AB6" w:rsidP="0074445B" w:rsidRDefault="00451AB6" w14:paraId="02BEFCCC" w14:textId="1404A488">
      <w:pPr>
        <w:pStyle w:val="Caption"/>
        <w:spacing w:after="0"/>
        <w:jc w:val="center"/>
        <w:rPr>
          <w:b/>
          <w:bCs/>
          <w:i w:val="0"/>
          <w:iCs w:val="0"/>
          <w:color w:val="auto"/>
          <w:sz w:val="22"/>
          <w:szCs w:val="22"/>
        </w:rPr>
      </w:pPr>
      <w:r w:rsidRPr="00451AB6">
        <w:rPr>
          <w:b/>
          <w:bCs/>
          <w:i w:val="0"/>
          <w:iCs w:val="0"/>
          <w:color w:val="auto"/>
          <w:sz w:val="22"/>
          <w:szCs w:val="22"/>
        </w:rPr>
        <w:t>Exhibit 2: Hourly Labor and Unit Costs for Hiring Third-party Auditors (2020 dollars).</w:t>
      </w:r>
    </w:p>
    <w:tbl>
      <w:tblPr>
        <w:tblW w:w="9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40"/>
        <w:gridCol w:w="990"/>
        <w:gridCol w:w="1260"/>
        <w:gridCol w:w="1350"/>
        <w:gridCol w:w="1170"/>
        <w:gridCol w:w="1170"/>
        <w:gridCol w:w="1530"/>
      </w:tblGrid>
      <w:tr w:rsidRPr="004D4B61" w:rsidR="00451AB6" w:rsidTr="00833C86" w14:paraId="22D1E9C8" w14:textId="77777777">
        <w:trPr>
          <w:trHeight w:val="455"/>
          <w:tblHeader/>
        </w:trPr>
        <w:tc>
          <w:tcPr>
            <w:tcW w:w="2340" w:type="dxa"/>
            <w:shd w:val="clear" w:color="auto" w:fill="D9D9D9"/>
            <w:vAlign w:val="center"/>
          </w:tcPr>
          <w:p w:rsidRPr="00D7128A" w:rsidR="00451AB6" w:rsidP="00833C86" w:rsidRDefault="00451AB6" w14:paraId="73F4BF99" w14:textId="77777777">
            <w:pPr>
              <w:keepNext/>
              <w:jc w:val="center"/>
              <w:rPr>
                <w:b/>
                <w:szCs w:val="20"/>
              </w:rPr>
            </w:pPr>
            <w:r w:rsidRPr="00D7128A">
              <w:rPr>
                <w:b/>
                <w:szCs w:val="20"/>
              </w:rPr>
              <w:t>Facility Type</w:t>
            </w:r>
          </w:p>
        </w:tc>
        <w:tc>
          <w:tcPr>
            <w:tcW w:w="3600" w:type="dxa"/>
            <w:gridSpan w:val="3"/>
            <w:shd w:val="clear" w:color="auto" w:fill="D9D9D9"/>
            <w:vAlign w:val="center"/>
          </w:tcPr>
          <w:p w:rsidRPr="00D7128A" w:rsidR="00451AB6" w:rsidP="00833C86" w:rsidRDefault="00451AB6" w14:paraId="0F675835" w14:textId="77777777">
            <w:pPr>
              <w:keepNext/>
              <w:jc w:val="center"/>
              <w:rPr>
                <w:b/>
                <w:szCs w:val="20"/>
              </w:rPr>
            </w:pPr>
            <w:r w:rsidRPr="00D7128A">
              <w:rPr>
                <w:b/>
                <w:szCs w:val="20"/>
              </w:rPr>
              <w:t>Total Hours for Contracting Process</w:t>
            </w:r>
          </w:p>
        </w:tc>
        <w:tc>
          <w:tcPr>
            <w:tcW w:w="1170" w:type="dxa"/>
            <w:shd w:val="clear" w:color="auto" w:fill="D9D9D9"/>
            <w:vAlign w:val="center"/>
          </w:tcPr>
          <w:p w:rsidRPr="00D7128A" w:rsidR="00451AB6" w:rsidP="00833C86" w:rsidRDefault="00451AB6" w14:paraId="0AAFAAF8" w14:textId="77777777">
            <w:pPr>
              <w:keepNext/>
              <w:ind w:right="93"/>
              <w:jc w:val="center"/>
              <w:rPr>
                <w:b/>
                <w:szCs w:val="20"/>
              </w:rPr>
            </w:pPr>
            <w:r w:rsidRPr="00D7128A">
              <w:rPr>
                <w:b/>
                <w:szCs w:val="20"/>
              </w:rPr>
              <w:t>Facility Labor Cost</w:t>
            </w:r>
          </w:p>
        </w:tc>
        <w:tc>
          <w:tcPr>
            <w:tcW w:w="1170" w:type="dxa"/>
            <w:shd w:val="clear" w:color="auto" w:fill="D9D9D9"/>
            <w:vAlign w:val="center"/>
          </w:tcPr>
          <w:p w:rsidRPr="00D7128A" w:rsidR="00451AB6" w:rsidP="00833C86" w:rsidRDefault="00451AB6" w14:paraId="103EAB09" w14:textId="77777777">
            <w:pPr>
              <w:keepNext/>
              <w:ind w:right="81"/>
              <w:jc w:val="center"/>
              <w:rPr>
                <w:b/>
                <w:szCs w:val="20"/>
              </w:rPr>
            </w:pPr>
            <w:r w:rsidRPr="00D7128A">
              <w:rPr>
                <w:b/>
                <w:szCs w:val="20"/>
              </w:rPr>
              <w:t>Auditor Fee</w:t>
            </w:r>
          </w:p>
        </w:tc>
        <w:tc>
          <w:tcPr>
            <w:tcW w:w="1530" w:type="dxa"/>
            <w:shd w:val="clear" w:color="auto" w:fill="D9D9D9"/>
            <w:vAlign w:val="center"/>
          </w:tcPr>
          <w:p w:rsidRPr="00D7128A" w:rsidR="00451AB6" w:rsidP="00833C86" w:rsidRDefault="00451AB6" w14:paraId="4F3441EC" w14:textId="77777777">
            <w:pPr>
              <w:keepNext/>
              <w:ind w:right="91"/>
              <w:jc w:val="center"/>
              <w:rPr>
                <w:b/>
                <w:szCs w:val="20"/>
              </w:rPr>
            </w:pPr>
            <w:r w:rsidRPr="00D7128A">
              <w:rPr>
                <w:b/>
                <w:szCs w:val="20"/>
              </w:rPr>
              <w:t>Total Facility Cost</w:t>
            </w:r>
          </w:p>
        </w:tc>
      </w:tr>
      <w:tr w:rsidRPr="004D4B61" w:rsidR="00451AB6" w:rsidTr="00833C86" w14:paraId="624E1D1F" w14:textId="77777777">
        <w:trPr>
          <w:trHeight w:val="455"/>
          <w:tblHeader/>
        </w:trPr>
        <w:tc>
          <w:tcPr>
            <w:tcW w:w="2340" w:type="dxa"/>
            <w:tcBorders>
              <w:top w:val="nil"/>
            </w:tcBorders>
            <w:shd w:val="clear" w:color="auto" w:fill="D9D9D9"/>
            <w:vAlign w:val="center"/>
          </w:tcPr>
          <w:p w:rsidRPr="00D7128A" w:rsidR="00451AB6" w:rsidP="00833C86" w:rsidRDefault="00451AB6" w14:paraId="6A025879" w14:textId="77777777">
            <w:pPr>
              <w:jc w:val="center"/>
              <w:rPr>
                <w:szCs w:val="20"/>
              </w:rPr>
            </w:pPr>
          </w:p>
        </w:tc>
        <w:tc>
          <w:tcPr>
            <w:tcW w:w="990" w:type="dxa"/>
            <w:shd w:val="clear" w:color="auto" w:fill="D9D9D9"/>
            <w:vAlign w:val="center"/>
          </w:tcPr>
          <w:p w:rsidRPr="00D7128A" w:rsidR="00451AB6" w:rsidP="00833C86" w:rsidRDefault="00451AB6" w14:paraId="77090A59" w14:textId="77777777">
            <w:pPr>
              <w:jc w:val="center"/>
              <w:rPr>
                <w:b/>
                <w:szCs w:val="20"/>
              </w:rPr>
            </w:pPr>
          </w:p>
          <w:p w:rsidRPr="00D7128A" w:rsidR="00451AB6" w:rsidP="00833C86" w:rsidRDefault="00451AB6" w14:paraId="30DEE3DB" w14:textId="77777777">
            <w:pPr>
              <w:ind w:left="88" w:right="79"/>
              <w:jc w:val="center"/>
              <w:rPr>
                <w:b/>
                <w:szCs w:val="20"/>
              </w:rPr>
            </w:pPr>
            <w:proofErr w:type="spellStart"/>
            <w:r w:rsidRPr="00D7128A">
              <w:rPr>
                <w:b/>
                <w:szCs w:val="20"/>
              </w:rPr>
              <w:t>Mgm’t</w:t>
            </w:r>
            <w:proofErr w:type="spellEnd"/>
          </w:p>
        </w:tc>
        <w:tc>
          <w:tcPr>
            <w:tcW w:w="1260" w:type="dxa"/>
            <w:shd w:val="clear" w:color="auto" w:fill="D9D9D9"/>
            <w:vAlign w:val="center"/>
          </w:tcPr>
          <w:p w:rsidRPr="00D7128A" w:rsidR="00451AB6" w:rsidP="00833C86" w:rsidRDefault="00451AB6" w14:paraId="71D81535" w14:textId="77777777">
            <w:pPr>
              <w:jc w:val="center"/>
              <w:rPr>
                <w:b/>
                <w:szCs w:val="20"/>
              </w:rPr>
            </w:pPr>
          </w:p>
          <w:p w:rsidRPr="00D7128A" w:rsidR="00451AB6" w:rsidP="00833C86" w:rsidRDefault="00451AB6" w14:paraId="09B28B7E" w14:textId="77777777">
            <w:pPr>
              <w:ind w:left="89" w:right="148"/>
              <w:jc w:val="center"/>
              <w:rPr>
                <w:b/>
                <w:szCs w:val="20"/>
              </w:rPr>
            </w:pPr>
            <w:r w:rsidRPr="00D7128A">
              <w:rPr>
                <w:b/>
                <w:szCs w:val="20"/>
              </w:rPr>
              <w:t>Attorneys</w:t>
            </w:r>
          </w:p>
        </w:tc>
        <w:tc>
          <w:tcPr>
            <w:tcW w:w="1350" w:type="dxa"/>
            <w:shd w:val="clear" w:color="auto" w:fill="D9D9D9"/>
            <w:vAlign w:val="center"/>
          </w:tcPr>
          <w:p w:rsidRPr="00D7128A" w:rsidR="00451AB6" w:rsidP="00833C86" w:rsidRDefault="00451AB6" w14:paraId="219E105B" w14:textId="77777777">
            <w:pPr>
              <w:jc w:val="center"/>
              <w:rPr>
                <w:b/>
                <w:szCs w:val="20"/>
              </w:rPr>
            </w:pPr>
          </w:p>
          <w:p w:rsidRPr="00D7128A" w:rsidR="00451AB6" w:rsidP="00833C86" w:rsidRDefault="00451AB6" w14:paraId="47E633A6" w14:textId="77777777">
            <w:pPr>
              <w:ind w:left="107" w:right="83"/>
              <w:jc w:val="center"/>
              <w:rPr>
                <w:b/>
                <w:szCs w:val="20"/>
              </w:rPr>
            </w:pPr>
            <w:r w:rsidRPr="00D7128A">
              <w:rPr>
                <w:b/>
                <w:szCs w:val="20"/>
              </w:rPr>
              <w:t>Engineers</w:t>
            </w:r>
          </w:p>
        </w:tc>
        <w:tc>
          <w:tcPr>
            <w:tcW w:w="1170" w:type="dxa"/>
            <w:tcBorders>
              <w:top w:val="nil"/>
            </w:tcBorders>
            <w:shd w:val="clear" w:color="auto" w:fill="D9D9D9"/>
            <w:vAlign w:val="center"/>
          </w:tcPr>
          <w:p w:rsidRPr="00D7128A" w:rsidR="00451AB6" w:rsidP="00833C86" w:rsidRDefault="00451AB6" w14:paraId="655830CF" w14:textId="77777777">
            <w:pPr>
              <w:jc w:val="center"/>
              <w:rPr>
                <w:szCs w:val="20"/>
              </w:rPr>
            </w:pPr>
          </w:p>
        </w:tc>
        <w:tc>
          <w:tcPr>
            <w:tcW w:w="1170" w:type="dxa"/>
            <w:tcBorders>
              <w:top w:val="nil"/>
            </w:tcBorders>
            <w:shd w:val="clear" w:color="auto" w:fill="D9D9D9"/>
            <w:vAlign w:val="center"/>
          </w:tcPr>
          <w:p w:rsidRPr="00D7128A" w:rsidR="00451AB6" w:rsidP="00833C86" w:rsidRDefault="00451AB6" w14:paraId="0355564F" w14:textId="77777777">
            <w:pPr>
              <w:jc w:val="center"/>
              <w:rPr>
                <w:szCs w:val="20"/>
              </w:rPr>
            </w:pPr>
          </w:p>
        </w:tc>
        <w:tc>
          <w:tcPr>
            <w:tcW w:w="1530" w:type="dxa"/>
            <w:tcBorders>
              <w:top w:val="nil"/>
            </w:tcBorders>
            <w:shd w:val="clear" w:color="auto" w:fill="D9D9D9"/>
            <w:vAlign w:val="center"/>
          </w:tcPr>
          <w:p w:rsidRPr="00D7128A" w:rsidR="00451AB6" w:rsidP="00833C86" w:rsidRDefault="00451AB6" w14:paraId="7BDCD7C2" w14:textId="77777777">
            <w:pPr>
              <w:jc w:val="center"/>
              <w:rPr>
                <w:szCs w:val="20"/>
              </w:rPr>
            </w:pPr>
          </w:p>
        </w:tc>
      </w:tr>
      <w:tr w:rsidRPr="004D4B61" w:rsidR="00451AB6" w:rsidTr="00833C86" w14:paraId="6A3D5022" w14:textId="77777777">
        <w:trPr>
          <w:trHeight w:val="455"/>
        </w:trPr>
        <w:tc>
          <w:tcPr>
            <w:tcW w:w="2340" w:type="dxa"/>
            <w:vAlign w:val="center"/>
          </w:tcPr>
          <w:p w:rsidRPr="00D7128A" w:rsidR="00451AB6" w:rsidP="00833C86" w:rsidRDefault="00451AB6" w14:paraId="69C0118A" w14:textId="77777777">
            <w:pPr>
              <w:ind w:left="107"/>
              <w:rPr>
                <w:szCs w:val="20"/>
              </w:rPr>
            </w:pPr>
            <w:r w:rsidRPr="00D7128A">
              <w:rPr>
                <w:szCs w:val="20"/>
              </w:rPr>
              <w:t>Simple w/</w:t>
            </w:r>
          </w:p>
          <w:p w:rsidRPr="00D7128A" w:rsidR="00451AB6" w:rsidP="00833C86" w:rsidRDefault="00451AB6" w14:paraId="086DCED3" w14:textId="77777777">
            <w:pPr>
              <w:ind w:left="107"/>
              <w:rPr>
                <w:szCs w:val="20"/>
              </w:rPr>
            </w:pPr>
            <w:r w:rsidRPr="00D7128A">
              <w:rPr>
                <w:szCs w:val="20"/>
              </w:rPr>
              <w:t xml:space="preserve"> 0-19 FTEs</w:t>
            </w:r>
          </w:p>
        </w:tc>
        <w:tc>
          <w:tcPr>
            <w:tcW w:w="990" w:type="dxa"/>
            <w:vAlign w:val="center"/>
          </w:tcPr>
          <w:p w:rsidRPr="00D7128A" w:rsidR="00451AB6" w:rsidP="00833C86" w:rsidRDefault="00451AB6" w14:paraId="77A43982" w14:textId="77777777">
            <w:pPr>
              <w:ind w:right="78"/>
              <w:jc w:val="center"/>
              <w:rPr>
                <w:szCs w:val="20"/>
              </w:rPr>
            </w:pPr>
            <w:r w:rsidRPr="00D7128A">
              <w:rPr>
                <w:szCs w:val="20"/>
              </w:rPr>
              <w:t>64</w:t>
            </w:r>
          </w:p>
        </w:tc>
        <w:tc>
          <w:tcPr>
            <w:tcW w:w="1260" w:type="dxa"/>
            <w:vAlign w:val="center"/>
          </w:tcPr>
          <w:p w:rsidRPr="00D7128A" w:rsidR="00451AB6" w:rsidP="00833C86" w:rsidRDefault="00451AB6" w14:paraId="723F2DA7" w14:textId="77777777">
            <w:pPr>
              <w:jc w:val="center"/>
              <w:rPr>
                <w:szCs w:val="20"/>
              </w:rPr>
            </w:pPr>
            <w:r w:rsidRPr="00D7128A">
              <w:rPr>
                <w:szCs w:val="20"/>
              </w:rPr>
              <w:t>8</w:t>
            </w:r>
          </w:p>
        </w:tc>
        <w:tc>
          <w:tcPr>
            <w:tcW w:w="1350" w:type="dxa"/>
            <w:vAlign w:val="center"/>
          </w:tcPr>
          <w:p w:rsidRPr="00D7128A" w:rsidR="00451AB6" w:rsidP="00833C86" w:rsidRDefault="00451AB6" w14:paraId="7CC76290" w14:textId="77777777">
            <w:pPr>
              <w:jc w:val="center"/>
              <w:rPr>
                <w:szCs w:val="20"/>
              </w:rPr>
            </w:pPr>
            <w:r w:rsidRPr="00D7128A">
              <w:rPr>
                <w:szCs w:val="20"/>
              </w:rPr>
              <w:t>0</w:t>
            </w:r>
          </w:p>
        </w:tc>
        <w:tc>
          <w:tcPr>
            <w:tcW w:w="1170" w:type="dxa"/>
            <w:vAlign w:val="center"/>
          </w:tcPr>
          <w:p w:rsidRPr="00D7128A" w:rsidR="00451AB6" w:rsidP="00833C86" w:rsidRDefault="00451AB6" w14:paraId="081D3B1B" w14:textId="77777777">
            <w:pPr>
              <w:ind w:left="212" w:right="207"/>
              <w:jc w:val="center"/>
              <w:rPr>
                <w:szCs w:val="20"/>
              </w:rPr>
            </w:pPr>
            <w:r w:rsidRPr="00D7128A">
              <w:rPr>
                <w:color w:val="000000"/>
                <w:szCs w:val="20"/>
              </w:rPr>
              <w:t>$7,653</w:t>
            </w:r>
          </w:p>
        </w:tc>
        <w:tc>
          <w:tcPr>
            <w:tcW w:w="1170" w:type="dxa"/>
            <w:vAlign w:val="center"/>
          </w:tcPr>
          <w:p w:rsidRPr="00D7128A" w:rsidR="00451AB6" w:rsidP="00833C86" w:rsidRDefault="00451AB6" w14:paraId="647139F9" w14:textId="77777777">
            <w:pPr>
              <w:ind w:left="180" w:right="85"/>
              <w:jc w:val="center"/>
              <w:rPr>
                <w:szCs w:val="20"/>
              </w:rPr>
            </w:pPr>
            <w:r w:rsidRPr="00D7128A">
              <w:rPr>
                <w:color w:val="000000"/>
                <w:szCs w:val="20"/>
              </w:rPr>
              <w:t>$32,602</w:t>
            </w:r>
          </w:p>
        </w:tc>
        <w:tc>
          <w:tcPr>
            <w:tcW w:w="1530" w:type="dxa"/>
            <w:vAlign w:val="center"/>
          </w:tcPr>
          <w:p w:rsidRPr="00D7128A" w:rsidR="00451AB6" w:rsidP="00833C86" w:rsidRDefault="00451AB6" w14:paraId="66C9E404" w14:textId="77777777">
            <w:pPr>
              <w:ind w:left="270" w:right="268"/>
              <w:jc w:val="center"/>
              <w:rPr>
                <w:szCs w:val="20"/>
              </w:rPr>
            </w:pPr>
            <w:r w:rsidRPr="00D7128A">
              <w:rPr>
                <w:color w:val="000000"/>
                <w:szCs w:val="20"/>
              </w:rPr>
              <w:t>$40,255</w:t>
            </w:r>
          </w:p>
        </w:tc>
      </w:tr>
      <w:tr w:rsidRPr="004D4B61" w:rsidR="00451AB6" w:rsidTr="00833C86" w14:paraId="43F47235" w14:textId="77777777">
        <w:trPr>
          <w:trHeight w:val="457"/>
        </w:trPr>
        <w:tc>
          <w:tcPr>
            <w:tcW w:w="2340" w:type="dxa"/>
            <w:vAlign w:val="center"/>
          </w:tcPr>
          <w:p w:rsidRPr="00D7128A" w:rsidR="00451AB6" w:rsidP="00833C86" w:rsidRDefault="00451AB6" w14:paraId="4D380AA8" w14:textId="77777777">
            <w:pPr>
              <w:ind w:left="107"/>
              <w:rPr>
                <w:szCs w:val="20"/>
              </w:rPr>
            </w:pPr>
            <w:r w:rsidRPr="00D7128A">
              <w:rPr>
                <w:szCs w:val="20"/>
              </w:rPr>
              <w:t xml:space="preserve">Simple w/ </w:t>
            </w:r>
          </w:p>
          <w:p w:rsidRPr="00D7128A" w:rsidR="00451AB6" w:rsidP="00833C86" w:rsidRDefault="00451AB6" w14:paraId="79FDB4DB" w14:textId="77777777">
            <w:pPr>
              <w:ind w:left="107"/>
              <w:rPr>
                <w:szCs w:val="20"/>
              </w:rPr>
            </w:pPr>
            <w:r w:rsidRPr="00D7128A">
              <w:rPr>
                <w:szCs w:val="20"/>
              </w:rPr>
              <w:t>20-99 FTEs</w:t>
            </w:r>
          </w:p>
        </w:tc>
        <w:tc>
          <w:tcPr>
            <w:tcW w:w="990" w:type="dxa"/>
            <w:vAlign w:val="center"/>
          </w:tcPr>
          <w:p w:rsidRPr="00D7128A" w:rsidR="00451AB6" w:rsidP="00833C86" w:rsidRDefault="00451AB6" w14:paraId="15102FFF" w14:textId="77777777">
            <w:pPr>
              <w:ind w:right="78"/>
              <w:jc w:val="center"/>
              <w:rPr>
                <w:szCs w:val="20"/>
              </w:rPr>
            </w:pPr>
            <w:r w:rsidRPr="00D7128A">
              <w:rPr>
                <w:szCs w:val="20"/>
              </w:rPr>
              <w:t>88</w:t>
            </w:r>
          </w:p>
        </w:tc>
        <w:tc>
          <w:tcPr>
            <w:tcW w:w="1260" w:type="dxa"/>
            <w:vAlign w:val="center"/>
          </w:tcPr>
          <w:p w:rsidRPr="00D7128A" w:rsidR="00451AB6" w:rsidP="00833C86" w:rsidRDefault="00451AB6" w14:paraId="290DF59F" w14:textId="77777777">
            <w:pPr>
              <w:jc w:val="center"/>
              <w:rPr>
                <w:szCs w:val="20"/>
              </w:rPr>
            </w:pPr>
            <w:r w:rsidRPr="00D7128A">
              <w:rPr>
                <w:szCs w:val="20"/>
              </w:rPr>
              <w:t>8</w:t>
            </w:r>
          </w:p>
        </w:tc>
        <w:tc>
          <w:tcPr>
            <w:tcW w:w="1350" w:type="dxa"/>
            <w:vAlign w:val="center"/>
          </w:tcPr>
          <w:p w:rsidRPr="00D7128A" w:rsidR="00451AB6" w:rsidP="00833C86" w:rsidRDefault="00451AB6" w14:paraId="1794A024" w14:textId="77777777">
            <w:pPr>
              <w:jc w:val="center"/>
              <w:rPr>
                <w:szCs w:val="20"/>
              </w:rPr>
            </w:pPr>
            <w:r w:rsidRPr="00D7128A">
              <w:rPr>
                <w:szCs w:val="20"/>
              </w:rPr>
              <w:t>36</w:t>
            </w:r>
          </w:p>
        </w:tc>
        <w:tc>
          <w:tcPr>
            <w:tcW w:w="1170" w:type="dxa"/>
            <w:vAlign w:val="center"/>
          </w:tcPr>
          <w:p w:rsidRPr="00D7128A" w:rsidR="00451AB6" w:rsidP="00833C86" w:rsidRDefault="00451AB6" w14:paraId="3BD05494" w14:textId="77777777">
            <w:pPr>
              <w:ind w:left="212" w:right="207"/>
              <w:jc w:val="center"/>
              <w:rPr>
                <w:szCs w:val="20"/>
              </w:rPr>
            </w:pPr>
            <w:r w:rsidRPr="00D7128A">
              <w:rPr>
                <w:color w:val="000000"/>
                <w:szCs w:val="20"/>
              </w:rPr>
              <w:t>$12,622</w:t>
            </w:r>
          </w:p>
        </w:tc>
        <w:tc>
          <w:tcPr>
            <w:tcW w:w="1170" w:type="dxa"/>
            <w:vAlign w:val="center"/>
          </w:tcPr>
          <w:p w:rsidRPr="00D7128A" w:rsidR="00451AB6" w:rsidP="00833C86" w:rsidRDefault="00451AB6" w14:paraId="424980E4" w14:textId="77777777">
            <w:pPr>
              <w:ind w:left="180" w:right="85"/>
              <w:jc w:val="center"/>
              <w:rPr>
                <w:szCs w:val="20"/>
              </w:rPr>
            </w:pPr>
            <w:r w:rsidRPr="00D7128A">
              <w:rPr>
                <w:color w:val="000000"/>
                <w:szCs w:val="20"/>
              </w:rPr>
              <w:t>$32,602</w:t>
            </w:r>
          </w:p>
        </w:tc>
        <w:tc>
          <w:tcPr>
            <w:tcW w:w="1530" w:type="dxa"/>
            <w:vAlign w:val="center"/>
          </w:tcPr>
          <w:p w:rsidRPr="00D7128A" w:rsidR="00451AB6" w:rsidP="00833C86" w:rsidRDefault="00451AB6" w14:paraId="18E27D7A" w14:textId="77777777">
            <w:pPr>
              <w:ind w:left="270" w:right="268"/>
              <w:jc w:val="center"/>
              <w:rPr>
                <w:szCs w:val="20"/>
              </w:rPr>
            </w:pPr>
            <w:r w:rsidRPr="00D7128A">
              <w:rPr>
                <w:color w:val="000000"/>
                <w:szCs w:val="20"/>
              </w:rPr>
              <w:t>$45,224</w:t>
            </w:r>
          </w:p>
        </w:tc>
      </w:tr>
      <w:tr w:rsidRPr="004D4B61" w:rsidR="00451AB6" w:rsidTr="00833C86" w14:paraId="27AAF689" w14:textId="77777777">
        <w:trPr>
          <w:trHeight w:val="455"/>
        </w:trPr>
        <w:tc>
          <w:tcPr>
            <w:tcW w:w="2340" w:type="dxa"/>
            <w:vAlign w:val="center"/>
          </w:tcPr>
          <w:p w:rsidRPr="00D7128A" w:rsidR="00451AB6" w:rsidP="00833C86" w:rsidRDefault="00451AB6" w14:paraId="13CE40A3" w14:textId="77777777">
            <w:pPr>
              <w:ind w:left="107"/>
              <w:rPr>
                <w:szCs w:val="20"/>
              </w:rPr>
            </w:pPr>
            <w:r w:rsidRPr="00D7128A">
              <w:rPr>
                <w:szCs w:val="20"/>
              </w:rPr>
              <w:t>Simple w/ 100+ FTEs</w:t>
            </w:r>
          </w:p>
        </w:tc>
        <w:tc>
          <w:tcPr>
            <w:tcW w:w="990" w:type="dxa"/>
            <w:vAlign w:val="center"/>
          </w:tcPr>
          <w:p w:rsidRPr="00D7128A" w:rsidR="00451AB6" w:rsidP="00833C86" w:rsidRDefault="00451AB6" w14:paraId="6A925779" w14:textId="77777777">
            <w:pPr>
              <w:ind w:left="88" w:right="78"/>
              <w:jc w:val="center"/>
              <w:rPr>
                <w:szCs w:val="20"/>
              </w:rPr>
            </w:pPr>
            <w:r w:rsidRPr="00D7128A">
              <w:rPr>
                <w:szCs w:val="20"/>
              </w:rPr>
              <w:t>60</w:t>
            </w:r>
          </w:p>
        </w:tc>
        <w:tc>
          <w:tcPr>
            <w:tcW w:w="1260" w:type="dxa"/>
            <w:vAlign w:val="center"/>
          </w:tcPr>
          <w:p w:rsidRPr="00D7128A" w:rsidR="00451AB6" w:rsidP="00833C86" w:rsidRDefault="00451AB6" w14:paraId="0B32A7E2" w14:textId="77777777">
            <w:pPr>
              <w:ind w:left="8"/>
              <w:jc w:val="center"/>
              <w:rPr>
                <w:szCs w:val="20"/>
              </w:rPr>
            </w:pPr>
            <w:r w:rsidRPr="00D7128A">
              <w:rPr>
                <w:szCs w:val="20"/>
              </w:rPr>
              <w:t>8</w:t>
            </w:r>
          </w:p>
        </w:tc>
        <w:tc>
          <w:tcPr>
            <w:tcW w:w="1350" w:type="dxa"/>
            <w:vAlign w:val="center"/>
          </w:tcPr>
          <w:p w:rsidRPr="00D7128A" w:rsidR="00451AB6" w:rsidP="00833C86" w:rsidRDefault="00451AB6" w14:paraId="315F444C" w14:textId="77777777">
            <w:pPr>
              <w:ind w:left="423" w:right="415"/>
              <w:jc w:val="center"/>
              <w:rPr>
                <w:szCs w:val="20"/>
              </w:rPr>
            </w:pPr>
            <w:r w:rsidRPr="00D7128A">
              <w:rPr>
                <w:szCs w:val="20"/>
              </w:rPr>
              <w:t>112</w:t>
            </w:r>
          </w:p>
        </w:tc>
        <w:tc>
          <w:tcPr>
            <w:tcW w:w="1170" w:type="dxa"/>
            <w:vAlign w:val="center"/>
          </w:tcPr>
          <w:p w:rsidRPr="00D7128A" w:rsidR="00451AB6" w:rsidP="00833C86" w:rsidRDefault="00451AB6" w14:paraId="2ECBDE1E" w14:textId="77777777">
            <w:pPr>
              <w:ind w:left="212" w:right="207"/>
              <w:jc w:val="center"/>
              <w:rPr>
                <w:szCs w:val="20"/>
              </w:rPr>
            </w:pPr>
            <w:r w:rsidRPr="00D7128A">
              <w:rPr>
                <w:color w:val="000000"/>
                <w:szCs w:val="20"/>
              </w:rPr>
              <w:t>$15,004</w:t>
            </w:r>
          </w:p>
        </w:tc>
        <w:tc>
          <w:tcPr>
            <w:tcW w:w="1170" w:type="dxa"/>
            <w:vAlign w:val="center"/>
          </w:tcPr>
          <w:p w:rsidRPr="00D7128A" w:rsidR="00451AB6" w:rsidP="00833C86" w:rsidRDefault="00451AB6" w14:paraId="5E14FBD0" w14:textId="77777777">
            <w:pPr>
              <w:ind w:left="180" w:right="85"/>
              <w:jc w:val="center"/>
              <w:rPr>
                <w:szCs w:val="20"/>
              </w:rPr>
            </w:pPr>
            <w:r w:rsidRPr="00D7128A">
              <w:rPr>
                <w:color w:val="000000"/>
                <w:szCs w:val="20"/>
              </w:rPr>
              <w:t>$32,602</w:t>
            </w:r>
          </w:p>
        </w:tc>
        <w:tc>
          <w:tcPr>
            <w:tcW w:w="1530" w:type="dxa"/>
            <w:vAlign w:val="center"/>
          </w:tcPr>
          <w:p w:rsidRPr="00D7128A" w:rsidR="00451AB6" w:rsidP="00833C86" w:rsidRDefault="00451AB6" w14:paraId="660D4F60" w14:textId="77777777">
            <w:pPr>
              <w:ind w:left="270" w:right="268"/>
              <w:jc w:val="center"/>
              <w:rPr>
                <w:szCs w:val="20"/>
              </w:rPr>
            </w:pPr>
            <w:r w:rsidRPr="00D7128A">
              <w:rPr>
                <w:color w:val="000000"/>
                <w:szCs w:val="20"/>
              </w:rPr>
              <w:t>$47,606</w:t>
            </w:r>
          </w:p>
        </w:tc>
      </w:tr>
      <w:tr w:rsidRPr="004D4B61" w:rsidR="00451AB6" w:rsidTr="00833C86" w14:paraId="4A0B3E86" w14:textId="77777777">
        <w:trPr>
          <w:trHeight w:val="712"/>
        </w:trPr>
        <w:tc>
          <w:tcPr>
            <w:tcW w:w="2340" w:type="dxa"/>
            <w:vAlign w:val="center"/>
          </w:tcPr>
          <w:p w:rsidRPr="00D7128A" w:rsidR="00451AB6" w:rsidP="00833C86" w:rsidRDefault="00451AB6" w14:paraId="64C0A562" w14:textId="77777777">
            <w:pPr>
              <w:ind w:left="107" w:right="479"/>
              <w:rPr>
                <w:szCs w:val="20"/>
              </w:rPr>
            </w:pPr>
            <w:r w:rsidRPr="00D7128A">
              <w:rPr>
                <w:szCs w:val="20"/>
              </w:rPr>
              <w:t>Complex w/ 0-19 FTEs</w:t>
            </w:r>
          </w:p>
        </w:tc>
        <w:tc>
          <w:tcPr>
            <w:tcW w:w="990" w:type="dxa"/>
            <w:vAlign w:val="center"/>
          </w:tcPr>
          <w:p w:rsidRPr="00D7128A" w:rsidR="00451AB6" w:rsidP="00833C86" w:rsidRDefault="00451AB6" w14:paraId="4D95829B" w14:textId="77777777">
            <w:pPr>
              <w:ind w:left="88" w:right="78"/>
              <w:jc w:val="center"/>
              <w:rPr>
                <w:szCs w:val="20"/>
              </w:rPr>
            </w:pPr>
            <w:r w:rsidRPr="00D7128A">
              <w:rPr>
                <w:szCs w:val="20"/>
              </w:rPr>
              <w:t>64</w:t>
            </w:r>
          </w:p>
        </w:tc>
        <w:tc>
          <w:tcPr>
            <w:tcW w:w="1260" w:type="dxa"/>
            <w:vAlign w:val="center"/>
          </w:tcPr>
          <w:p w:rsidRPr="00D7128A" w:rsidR="00451AB6" w:rsidP="00833C86" w:rsidRDefault="00451AB6" w14:paraId="7BC0649F" w14:textId="77777777">
            <w:pPr>
              <w:ind w:left="8"/>
              <w:jc w:val="center"/>
              <w:rPr>
                <w:szCs w:val="20"/>
              </w:rPr>
            </w:pPr>
            <w:r w:rsidRPr="00D7128A">
              <w:rPr>
                <w:szCs w:val="20"/>
              </w:rPr>
              <w:t>8</w:t>
            </w:r>
          </w:p>
        </w:tc>
        <w:tc>
          <w:tcPr>
            <w:tcW w:w="1350" w:type="dxa"/>
            <w:vAlign w:val="center"/>
          </w:tcPr>
          <w:p w:rsidRPr="00D7128A" w:rsidR="00451AB6" w:rsidP="00833C86" w:rsidRDefault="00451AB6" w14:paraId="1EE132AE" w14:textId="77777777">
            <w:pPr>
              <w:ind w:left="11"/>
              <w:jc w:val="center"/>
              <w:rPr>
                <w:szCs w:val="20"/>
              </w:rPr>
            </w:pPr>
            <w:r w:rsidRPr="00D7128A">
              <w:rPr>
                <w:szCs w:val="20"/>
              </w:rPr>
              <w:t>0</w:t>
            </w:r>
          </w:p>
        </w:tc>
        <w:tc>
          <w:tcPr>
            <w:tcW w:w="1170" w:type="dxa"/>
            <w:vAlign w:val="center"/>
          </w:tcPr>
          <w:p w:rsidRPr="00D7128A" w:rsidR="00451AB6" w:rsidP="00833C86" w:rsidRDefault="00451AB6" w14:paraId="40620E0F" w14:textId="77777777">
            <w:pPr>
              <w:ind w:left="212" w:right="207"/>
              <w:jc w:val="center"/>
              <w:rPr>
                <w:szCs w:val="20"/>
              </w:rPr>
            </w:pPr>
            <w:r w:rsidRPr="00D7128A">
              <w:rPr>
                <w:color w:val="000000"/>
                <w:szCs w:val="20"/>
              </w:rPr>
              <w:t>$9,943</w:t>
            </w:r>
          </w:p>
        </w:tc>
        <w:tc>
          <w:tcPr>
            <w:tcW w:w="1170" w:type="dxa"/>
            <w:vAlign w:val="center"/>
          </w:tcPr>
          <w:p w:rsidRPr="00D7128A" w:rsidR="00451AB6" w:rsidP="00833C86" w:rsidRDefault="00451AB6" w14:paraId="0CC22EEB" w14:textId="77777777">
            <w:pPr>
              <w:ind w:right="85"/>
              <w:jc w:val="center"/>
              <w:rPr>
                <w:szCs w:val="20"/>
              </w:rPr>
            </w:pPr>
            <w:r w:rsidRPr="00D7128A">
              <w:rPr>
                <w:color w:val="000000"/>
                <w:szCs w:val="20"/>
              </w:rPr>
              <w:t>$86,939</w:t>
            </w:r>
          </w:p>
        </w:tc>
        <w:tc>
          <w:tcPr>
            <w:tcW w:w="1530" w:type="dxa"/>
            <w:vAlign w:val="center"/>
          </w:tcPr>
          <w:p w:rsidRPr="00D7128A" w:rsidR="00451AB6" w:rsidP="00833C86" w:rsidRDefault="00451AB6" w14:paraId="108E9C34" w14:textId="77777777">
            <w:pPr>
              <w:ind w:left="270" w:right="268"/>
              <w:jc w:val="center"/>
              <w:rPr>
                <w:szCs w:val="20"/>
              </w:rPr>
            </w:pPr>
            <w:r w:rsidRPr="00D7128A">
              <w:rPr>
                <w:color w:val="000000"/>
                <w:szCs w:val="20"/>
              </w:rPr>
              <w:t>$96,882</w:t>
            </w:r>
          </w:p>
        </w:tc>
      </w:tr>
      <w:tr w:rsidRPr="004D4B61" w:rsidR="00451AB6" w:rsidTr="00833C86" w14:paraId="211B3129" w14:textId="77777777">
        <w:trPr>
          <w:trHeight w:val="712"/>
        </w:trPr>
        <w:tc>
          <w:tcPr>
            <w:tcW w:w="2340" w:type="dxa"/>
            <w:vAlign w:val="center"/>
          </w:tcPr>
          <w:p w:rsidRPr="00D7128A" w:rsidR="00451AB6" w:rsidP="00833C86" w:rsidRDefault="00451AB6" w14:paraId="2C6A6708" w14:textId="77777777">
            <w:pPr>
              <w:ind w:left="107" w:right="373"/>
              <w:rPr>
                <w:szCs w:val="20"/>
              </w:rPr>
            </w:pPr>
            <w:r w:rsidRPr="00D7128A">
              <w:rPr>
                <w:szCs w:val="20"/>
              </w:rPr>
              <w:t>Complex w/ 20-99 FTEs</w:t>
            </w:r>
          </w:p>
        </w:tc>
        <w:tc>
          <w:tcPr>
            <w:tcW w:w="990" w:type="dxa"/>
            <w:vAlign w:val="center"/>
          </w:tcPr>
          <w:p w:rsidRPr="00D7128A" w:rsidR="00451AB6" w:rsidP="00833C86" w:rsidRDefault="00451AB6" w14:paraId="08FF7B45" w14:textId="77777777">
            <w:pPr>
              <w:ind w:left="88" w:right="78"/>
              <w:jc w:val="center"/>
              <w:rPr>
                <w:szCs w:val="20"/>
              </w:rPr>
            </w:pPr>
            <w:r w:rsidRPr="00D7128A">
              <w:rPr>
                <w:szCs w:val="20"/>
              </w:rPr>
              <w:t>88</w:t>
            </w:r>
          </w:p>
        </w:tc>
        <w:tc>
          <w:tcPr>
            <w:tcW w:w="1260" w:type="dxa"/>
            <w:vAlign w:val="center"/>
          </w:tcPr>
          <w:p w:rsidRPr="00D7128A" w:rsidR="00451AB6" w:rsidP="00833C86" w:rsidRDefault="00451AB6" w14:paraId="4C28C5FB" w14:textId="77777777">
            <w:pPr>
              <w:ind w:left="8"/>
              <w:jc w:val="center"/>
              <w:rPr>
                <w:szCs w:val="20"/>
              </w:rPr>
            </w:pPr>
            <w:r w:rsidRPr="00D7128A">
              <w:rPr>
                <w:szCs w:val="20"/>
              </w:rPr>
              <w:t>8</w:t>
            </w:r>
          </w:p>
        </w:tc>
        <w:tc>
          <w:tcPr>
            <w:tcW w:w="1350" w:type="dxa"/>
            <w:vAlign w:val="center"/>
          </w:tcPr>
          <w:p w:rsidRPr="00D7128A" w:rsidR="00451AB6" w:rsidP="00833C86" w:rsidRDefault="00451AB6" w14:paraId="534005B3" w14:textId="77777777">
            <w:pPr>
              <w:ind w:left="423" w:right="413"/>
              <w:jc w:val="center"/>
              <w:rPr>
                <w:szCs w:val="20"/>
              </w:rPr>
            </w:pPr>
            <w:r w:rsidRPr="00D7128A">
              <w:rPr>
                <w:szCs w:val="20"/>
              </w:rPr>
              <w:t>36</w:t>
            </w:r>
          </w:p>
        </w:tc>
        <w:tc>
          <w:tcPr>
            <w:tcW w:w="1170" w:type="dxa"/>
            <w:vAlign w:val="center"/>
          </w:tcPr>
          <w:p w:rsidRPr="00D7128A" w:rsidR="00451AB6" w:rsidP="00833C86" w:rsidRDefault="00451AB6" w14:paraId="5A2783DC" w14:textId="77777777">
            <w:pPr>
              <w:ind w:left="212" w:right="207"/>
              <w:jc w:val="center"/>
              <w:rPr>
                <w:szCs w:val="20"/>
              </w:rPr>
            </w:pPr>
            <w:r w:rsidRPr="00D7128A">
              <w:rPr>
                <w:color w:val="000000"/>
                <w:szCs w:val="20"/>
              </w:rPr>
              <w:t>$16,814</w:t>
            </w:r>
          </w:p>
        </w:tc>
        <w:tc>
          <w:tcPr>
            <w:tcW w:w="1170" w:type="dxa"/>
            <w:vAlign w:val="center"/>
          </w:tcPr>
          <w:p w:rsidRPr="00D7128A" w:rsidR="00451AB6" w:rsidP="00833C86" w:rsidRDefault="00451AB6" w14:paraId="38FA74FA" w14:textId="77777777">
            <w:pPr>
              <w:ind w:right="85"/>
              <w:jc w:val="center"/>
              <w:rPr>
                <w:szCs w:val="20"/>
              </w:rPr>
            </w:pPr>
            <w:r w:rsidRPr="00D7128A">
              <w:rPr>
                <w:color w:val="000000"/>
                <w:szCs w:val="20"/>
              </w:rPr>
              <w:t>$86,939</w:t>
            </w:r>
          </w:p>
        </w:tc>
        <w:tc>
          <w:tcPr>
            <w:tcW w:w="1530" w:type="dxa"/>
            <w:vAlign w:val="center"/>
          </w:tcPr>
          <w:p w:rsidRPr="00D7128A" w:rsidR="00451AB6" w:rsidP="00833C86" w:rsidRDefault="00451AB6" w14:paraId="7B665D6E" w14:textId="77777777">
            <w:pPr>
              <w:ind w:left="270" w:right="268"/>
              <w:jc w:val="center"/>
              <w:rPr>
                <w:szCs w:val="20"/>
              </w:rPr>
            </w:pPr>
            <w:r w:rsidRPr="00D7128A">
              <w:rPr>
                <w:color w:val="000000"/>
                <w:szCs w:val="20"/>
              </w:rPr>
              <w:t>$103,753</w:t>
            </w:r>
          </w:p>
        </w:tc>
      </w:tr>
      <w:tr w:rsidRPr="004D4B61" w:rsidR="00451AB6" w:rsidTr="00833C86" w14:paraId="7B4307D1" w14:textId="77777777">
        <w:trPr>
          <w:trHeight w:val="712"/>
        </w:trPr>
        <w:tc>
          <w:tcPr>
            <w:tcW w:w="2340" w:type="dxa"/>
            <w:vAlign w:val="center"/>
          </w:tcPr>
          <w:p w:rsidRPr="00D7128A" w:rsidR="00451AB6" w:rsidP="00833C86" w:rsidRDefault="00451AB6" w14:paraId="2B39B076" w14:textId="77777777">
            <w:pPr>
              <w:ind w:left="107" w:right="439"/>
              <w:rPr>
                <w:szCs w:val="20"/>
              </w:rPr>
            </w:pPr>
            <w:r w:rsidRPr="00D7128A">
              <w:rPr>
                <w:szCs w:val="20"/>
              </w:rPr>
              <w:t>Complex w/ 100+ FTEs</w:t>
            </w:r>
          </w:p>
        </w:tc>
        <w:tc>
          <w:tcPr>
            <w:tcW w:w="990" w:type="dxa"/>
            <w:vAlign w:val="center"/>
          </w:tcPr>
          <w:p w:rsidRPr="00D7128A" w:rsidR="00451AB6" w:rsidP="00833C86" w:rsidRDefault="00451AB6" w14:paraId="5F336C0B" w14:textId="77777777">
            <w:pPr>
              <w:ind w:left="88" w:right="78"/>
              <w:jc w:val="center"/>
              <w:rPr>
                <w:szCs w:val="20"/>
              </w:rPr>
            </w:pPr>
            <w:r w:rsidRPr="00D7128A">
              <w:rPr>
                <w:szCs w:val="20"/>
              </w:rPr>
              <w:t>60</w:t>
            </w:r>
          </w:p>
        </w:tc>
        <w:tc>
          <w:tcPr>
            <w:tcW w:w="1260" w:type="dxa"/>
            <w:vAlign w:val="center"/>
          </w:tcPr>
          <w:p w:rsidRPr="00D7128A" w:rsidR="00451AB6" w:rsidP="00833C86" w:rsidRDefault="00451AB6" w14:paraId="52C4BF48" w14:textId="77777777">
            <w:pPr>
              <w:ind w:left="8"/>
              <w:jc w:val="center"/>
              <w:rPr>
                <w:szCs w:val="20"/>
              </w:rPr>
            </w:pPr>
            <w:r w:rsidRPr="00D7128A">
              <w:rPr>
                <w:szCs w:val="20"/>
              </w:rPr>
              <w:t>8</w:t>
            </w:r>
          </w:p>
        </w:tc>
        <w:tc>
          <w:tcPr>
            <w:tcW w:w="1350" w:type="dxa"/>
            <w:vAlign w:val="center"/>
          </w:tcPr>
          <w:p w:rsidRPr="00D7128A" w:rsidR="00451AB6" w:rsidP="00833C86" w:rsidRDefault="00451AB6" w14:paraId="60EB0C77" w14:textId="77777777">
            <w:pPr>
              <w:ind w:left="423" w:right="415"/>
              <w:jc w:val="center"/>
              <w:rPr>
                <w:szCs w:val="20"/>
              </w:rPr>
            </w:pPr>
            <w:r w:rsidRPr="00D7128A">
              <w:rPr>
                <w:szCs w:val="20"/>
              </w:rPr>
              <w:t>112</w:t>
            </w:r>
          </w:p>
        </w:tc>
        <w:tc>
          <w:tcPr>
            <w:tcW w:w="1170" w:type="dxa"/>
            <w:vAlign w:val="center"/>
          </w:tcPr>
          <w:p w:rsidRPr="00D7128A" w:rsidR="00451AB6" w:rsidP="00833C86" w:rsidRDefault="00451AB6" w14:paraId="344A0CDE" w14:textId="77777777">
            <w:pPr>
              <w:ind w:left="212" w:right="207"/>
              <w:jc w:val="center"/>
              <w:rPr>
                <w:szCs w:val="20"/>
              </w:rPr>
            </w:pPr>
            <w:r w:rsidRPr="00D7128A">
              <w:rPr>
                <w:color w:val="000000"/>
                <w:szCs w:val="20"/>
              </w:rPr>
              <w:t>$20,648</w:t>
            </w:r>
          </w:p>
        </w:tc>
        <w:tc>
          <w:tcPr>
            <w:tcW w:w="1170" w:type="dxa"/>
            <w:vAlign w:val="center"/>
          </w:tcPr>
          <w:p w:rsidRPr="00D7128A" w:rsidR="00451AB6" w:rsidP="00833C86" w:rsidRDefault="00451AB6" w14:paraId="17DC801C" w14:textId="77777777">
            <w:pPr>
              <w:ind w:right="85"/>
              <w:jc w:val="center"/>
              <w:rPr>
                <w:szCs w:val="20"/>
              </w:rPr>
            </w:pPr>
            <w:r w:rsidRPr="00D7128A">
              <w:rPr>
                <w:color w:val="000000"/>
                <w:szCs w:val="20"/>
              </w:rPr>
              <w:t>$86,939</w:t>
            </w:r>
          </w:p>
        </w:tc>
        <w:tc>
          <w:tcPr>
            <w:tcW w:w="1530" w:type="dxa"/>
            <w:vAlign w:val="center"/>
          </w:tcPr>
          <w:p w:rsidRPr="00D7128A" w:rsidR="00451AB6" w:rsidP="00833C86" w:rsidRDefault="00451AB6" w14:paraId="012B7563" w14:textId="77777777">
            <w:pPr>
              <w:ind w:left="270" w:right="268"/>
              <w:jc w:val="center"/>
              <w:rPr>
                <w:szCs w:val="20"/>
              </w:rPr>
            </w:pPr>
            <w:r w:rsidRPr="00D7128A">
              <w:rPr>
                <w:color w:val="000000"/>
                <w:szCs w:val="20"/>
              </w:rPr>
              <w:t>$107,587</w:t>
            </w:r>
          </w:p>
        </w:tc>
      </w:tr>
      <w:tr w:rsidRPr="004D4B61" w:rsidR="00451AB6" w:rsidTr="00833C86" w14:paraId="05299A83" w14:textId="77777777">
        <w:trPr>
          <w:trHeight w:val="458"/>
        </w:trPr>
        <w:tc>
          <w:tcPr>
            <w:tcW w:w="2340" w:type="dxa"/>
            <w:vAlign w:val="center"/>
          </w:tcPr>
          <w:p w:rsidRPr="00D7128A" w:rsidR="00451AB6" w:rsidP="00833C86" w:rsidRDefault="00451AB6" w14:paraId="558FC740" w14:textId="77777777">
            <w:pPr>
              <w:ind w:left="107"/>
              <w:rPr>
                <w:szCs w:val="20"/>
              </w:rPr>
            </w:pPr>
            <w:r w:rsidRPr="00D7128A">
              <w:rPr>
                <w:szCs w:val="20"/>
              </w:rPr>
              <w:t>Small Government</w:t>
            </w:r>
          </w:p>
        </w:tc>
        <w:tc>
          <w:tcPr>
            <w:tcW w:w="990" w:type="dxa"/>
            <w:vAlign w:val="center"/>
          </w:tcPr>
          <w:p w:rsidRPr="00D7128A" w:rsidR="00451AB6" w:rsidP="00833C86" w:rsidRDefault="00451AB6" w14:paraId="07DBBE0A" w14:textId="77777777">
            <w:pPr>
              <w:ind w:left="88" w:right="78"/>
              <w:jc w:val="center"/>
              <w:rPr>
                <w:szCs w:val="20"/>
              </w:rPr>
            </w:pPr>
            <w:r w:rsidRPr="00D7128A">
              <w:rPr>
                <w:szCs w:val="20"/>
              </w:rPr>
              <w:t>60</w:t>
            </w:r>
          </w:p>
        </w:tc>
        <w:tc>
          <w:tcPr>
            <w:tcW w:w="1260" w:type="dxa"/>
            <w:vAlign w:val="center"/>
          </w:tcPr>
          <w:p w:rsidRPr="00D7128A" w:rsidR="00451AB6" w:rsidP="00833C86" w:rsidRDefault="00451AB6" w14:paraId="14164CAB" w14:textId="77777777">
            <w:pPr>
              <w:ind w:left="8"/>
              <w:jc w:val="center"/>
              <w:rPr>
                <w:szCs w:val="20"/>
              </w:rPr>
            </w:pPr>
            <w:r w:rsidRPr="00D7128A">
              <w:rPr>
                <w:szCs w:val="20"/>
              </w:rPr>
              <w:t>0</w:t>
            </w:r>
          </w:p>
        </w:tc>
        <w:tc>
          <w:tcPr>
            <w:tcW w:w="1350" w:type="dxa"/>
            <w:vAlign w:val="center"/>
          </w:tcPr>
          <w:p w:rsidRPr="00D7128A" w:rsidR="00451AB6" w:rsidP="00833C86" w:rsidRDefault="00451AB6" w14:paraId="3687F717" w14:textId="77777777">
            <w:pPr>
              <w:ind w:left="423" w:right="413"/>
              <w:jc w:val="center"/>
              <w:rPr>
                <w:szCs w:val="20"/>
              </w:rPr>
            </w:pPr>
            <w:r w:rsidRPr="00D7128A">
              <w:rPr>
                <w:szCs w:val="20"/>
              </w:rPr>
              <w:t>50</w:t>
            </w:r>
          </w:p>
        </w:tc>
        <w:tc>
          <w:tcPr>
            <w:tcW w:w="1170" w:type="dxa"/>
            <w:vAlign w:val="center"/>
          </w:tcPr>
          <w:p w:rsidRPr="00D7128A" w:rsidR="00451AB6" w:rsidP="00833C86" w:rsidRDefault="00451AB6" w14:paraId="191F0553" w14:textId="77777777">
            <w:pPr>
              <w:ind w:left="212" w:right="207"/>
              <w:jc w:val="center"/>
              <w:rPr>
                <w:szCs w:val="20"/>
              </w:rPr>
            </w:pPr>
            <w:r w:rsidRPr="00D7128A">
              <w:rPr>
                <w:color w:val="000000"/>
                <w:szCs w:val="20"/>
              </w:rPr>
              <w:t>$9,649</w:t>
            </w:r>
          </w:p>
        </w:tc>
        <w:tc>
          <w:tcPr>
            <w:tcW w:w="1170" w:type="dxa"/>
            <w:vAlign w:val="center"/>
          </w:tcPr>
          <w:p w:rsidRPr="00D7128A" w:rsidR="00451AB6" w:rsidP="00833C86" w:rsidRDefault="00451AB6" w14:paraId="561BFE11" w14:textId="77777777">
            <w:pPr>
              <w:ind w:left="180" w:right="85"/>
              <w:jc w:val="center"/>
              <w:rPr>
                <w:szCs w:val="20"/>
              </w:rPr>
            </w:pPr>
            <w:r w:rsidRPr="00D7128A">
              <w:rPr>
                <w:color w:val="000000"/>
                <w:szCs w:val="20"/>
              </w:rPr>
              <w:t>$32,602</w:t>
            </w:r>
          </w:p>
        </w:tc>
        <w:tc>
          <w:tcPr>
            <w:tcW w:w="1530" w:type="dxa"/>
            <w:vAlign w:val="center"/>
          </w:tcPr>
          <w:p w:rsidRPr="00D7128A" w:rsidR="00451AB6" w:rsidP="00833C86" w:rsidRDefault="00451AB6" w14:paraId="0AEEC5DE" w14:textId="77777777">
            <w:pPr>
              <w:ind w:left="270" w:right="268"/>
              <w:jc w:val="center"/>
              <w:rPr>
                <w:szCs w:val="20"/>
              </w:rPr>
            </w:pPr>
            <w:r w:rsidRPr="00D7128A">
              <w:rPr>
                <w:color w:val="000000"/>
                <w:szCs w:val="20"/>
              </w:rPr>
              <w:t>$42,252</w:t>
            </w:r>
          </w:p>
        </w:tc>
      </w:tr>
      <w:tr w:rsidRPr="004D4B61" w:rsidR="00451AB6" w:rsidTr="00833C86" w14:paraId="592D42A5" w14:textId="77777777">
        <w:trPr>
          <w:trHeight w:val="455"/>
        </w:trPr>
        <w:tc>
          <w:tcPr>
            <w:tcW w:w="2340" w:type="dxa"/>
            <w:vAlign w:val="center"/>
          </w:tcPr>
          <w:p w:rsidRPr="00D7128A" w:rsidR="00451AB6" w:rsidP="00833C86" w:rsidRDefault="00451AB6" w14:paraId="2819444C" w14:textId="77777777">
            <w:pPr>
              <w:ind w:left="107"/>
              <w:rPr>
                <w:szCs w:val="20"/>
              </w:rPr>
            </w:pPr>
            <w:r w:rsidRPr="00D7128A">
              <w:rPr>
                <w:szCs w:val="20"/>
              </w:rPr>
              <w:t>Large Government</w:t>
            </w:r>
          </w:p>
        </w:tc>
        <w:tc>
          <w:tcPr>
            <w:tcW w:w="990" w:type="dxa"/>
            <w:vAlign w:val="center"/>
          </w:tcPr>
          <w:p w:rsidRPr="00D7128A" w:rsidR="00451AB6" w:rsidP="00833C86" w:rsidRDefault="00451AB6" w14:paraId="6C5DCDA1" w14:textId="77777777">
            <w:pPr>
              <w:ind w:left="87" w:right="79"/>
              <w:jc w:val="center"/>
              <w:rPr>
                <w:szCs w:val="20"/>
              </w:rPr>
            </w:pPr>
            <w:r w:rsidRPr="00D7128A">
              <w:rPr>
                <w:szCs w:val="20"/>
              </w:rPr>
              <w:t>120</w:t>
            </w:r>
          </w:p>
        </w:tc>
        <w:tc>
          <w:tcPr>
            <w:tcW w:w="1260" w:type="dxa"/>
            <w:vAlign w:val="center"/>
          </w:tcPr>
          <w:p w:rsidRPr="00D7128A" w:rsidR="00451AB6" w:rsidP="00833C86" w:rsidRDefault="00451AB6" w14:paraId="65A69844" w14:textId="77777777">
            <w:pPr>
              <w:ind w:left="8"/>
              <w:jc w:val="center"/>
              <w:rPr>
                <w:szCs w:val="20"/>
              </w:rPr>
            </w:pPr>
            <w:r w:rsidRPr="00D7128A">
              <w:rPr>
                <w:szCs w:val="20"/>
              </w:rPr>
              <w:t>0</w:t>
            </w:r>
          </w:p>
        </w:tc>
        <w:tc>
          <w:tcPr>
            <w:tcW w:w="1350" w:type="dxa"/>
            <w:vAlign w:val="center"/>
          </w:tcPr>
          <w:p w:rsidRPr="00D7128A" w:rsidR="00451AB6" w:rsidP="00833C86" w:rsidRDefault="00451AB6" w14:paraId="432C4F6E" w14:textId="77777777">
            <w:pPr>
              <w:ind w:left="423" w:right="413"/>
              <w:jc w:val="center"/>
              <w:rPr>
                <w:szCs w:val="20"/>
              </w:rPr>
            </w:pPr>
            <w:r w:rsidRPr="00D7128A">
              <w:rPr>
                <w:szCs w:val="20"/>
              </w:rPr>
              <w:t>78</w:t>
            </w:r>
          </w:p>
        </w:tc>
        <w:tc>
          <w:tcPr>
            <w:tcW w:w="1170" w:type="dxa"/>
            <w:vAlign w:val="center"/>
          </w:tcPr>
          <w:p w:rsidRPr="00D7128A" w:rsidR="00451AB6" w:rsidP="00833C86" w:rsidRDefault="00451AB6" w14:paraId="15F009ED" w14:textId="77777777">
            <w:pPr>
              <w:ind w:left="212" w:right="207"/>
              <w:jc w:val="center"/>
              <w:rPr>
                <w:szCs w:val="20"/>
              </w:rPr>
            </w:pPr>
            <w:r w:rsidRPr="00D7128A">
              <w:rPr>
                <w:color w:val="000000"/>
                <w:szCs w:val="20"/>
              </w:rPr>
              <w:t>$24,109</w:t>
            </w:r>
          </w:p>
        </w:tc>
        <w:tc>
          <w:tcPr>
            <w:tcW w:w="1170" w:type="dxa"/>
            <w:vAlign w:val="center"/>
          </w:tcPr>
          <w:p w:rsidRPr="00D7128A" w:rsidR="00451AB6" w:rsidP="00833C86" w:rsidRDefault="00451AB6" w14:paraId="34B99035" w14:textId="77777777">
            <w:pPr>
              <w:ind w:left="180" w:right="85"/>
              <w:jc w:val="center"/>
              <w:rPr>
                <w:szCs w:val="20"/>
              </w:rPr>
            </w:pPr>
            <w:r w:rsidRPr="00D7128A">
              <w:rPr>
                <w:color w:val="000000"/>
                <w:szCs w:val="20"/>
              </w:rPr>
              <w:t>$86,939</w:t>
            </w:r>
          </w:p>
        </w:tc>
        <w:tc>
          <w:tcPr>
            <w:tcW w:w="1530" w:type="dxa"/>
            <w:vAlign w:val="center"/>
          </w:tcPr>
          <w:p w:rsidRPr="00D7128A" w:rsidR="00451AB6" w:rsidP="00833C86" w:rsidRDefault="00451AB6" w14:paraId="4DDE0331" w14:textId="77777777">
            <w:pPr>
              <w:ind w:left="270" w:right="268"/>
              <w:jc w:val="center"/>
              <w:rPr>
                <w:szCs w:val="20"/>
              </w:rPr>
            </w:pPr>
            <w:r w:rsidRPr="00D7128A">
              <w:rPr>
                <w:color w:val="000000"/>
                <w:szCs w:val="20"/>
              </w:rPr>
              <w:t>$111,048</w:t>
            </w:r>
          </w:p>
        </w:tc>
      </w:tr>
    </w:tbl>
    <w:p w:rsidRPr="004B7ED6" w:rsidR="004B7ED6" w:rsidP="004B7ED6" w:rsidRDefault="004B7ED6" w14:paraId="38B9B73E" w14:textId="7015044A">
      <w:pPr>
        <w:ind w:firstLine="720"/>
        <w:rPr>
          <w:i/>
          <w:sz w:val="24"/>
          <w:szCs w:val="32"/>
        </w:rPr>
      </w:pPr>
    </w:p>
    <w:p w:rsidRPr="00875E5E" w:rsidR="00DA1560" w:rsidP="00DA1560" w:rsidRDefault="00DA1560" w14:paraId="0AD3D56E" w14:textId="77777777">
      <w:pPr>
        <w:rPr>
          <w:i/>
          <w:sz w:val="22"/>
          <w:szCs w:val="28"/>
        </w:rPr>
      </w:pPr>
    </w:p>
    <w:p w:rsidR="00DA1560" w:rsidP="00DA1560" w:rsidRDefault="00DA1560" w14:paraId="38F0F444" w14:textId="7BAF850B">
      <w:pPr>
        <w:rPr>
          <w:bCs/>
          <w:i/>
          <w:iCs/>
          <w:sz w:val="22"/>
          <w:szCs w:val="28"/>
        </w:rPr>
      </w:pPr>
      <w:r w:rsidRPr="00875E5E">
        <w:rPr>
          <w:bCs/>
          <w:i/>
          <w:iCs/>
          <w:sz w:val="22"/>
          <w:szCs w:val="28"/>
        </w:rPr>
        <w:t>Employee Participation Plan</w:t>
      </w:r>
    </w:p>
    <w:p w:rsidRPr="009C6838" w:rsidR="00451AB6" w:rsidP="00451AB6" w:rsidRDefault="00E33338" w14:paraId="53670596" w14:textId="3F5D5268">
      <w:pPr>
        <w:ind w:firstLine="360"/>
        <w:rPr>
          <w:sz w:val="22"/>
          <w:szCs w:val="28"/>
        </w:rPr>
      </w:pPr>
      <w:r>
        <w:rPr>
          <w:sz w:val="22"/>
          <w:szCs w:val="28"/>
        </w:rPr>
        <w:tab/>
      </w:r>
      <w:r w:rsidRPr="009C6838" w:rsidR="00451AB6">
        <w:rPr>
          <w:sz w:val="22"/>
          <w:szCs w:val="28"/>
        </w:rPr>
        <w:t xml:space="preserve">Facilities with Program 2 processes </w:t>
      </w:r>
      <w:r w:rsidR="00CA447C">
        <w:rPr>
          <w:sz w:val="22"/>
          <w:szCs w:val="28"/>
        </w:rPr>
        <w:t xml:space="preserve">currently </w:t>
      </w:r>
      <w:r w:rsidRPr="009C6838" w:rsidR="00451AB6">
        <w:rPr>
          <w:sz w:val="22"/>
          <w:szCs w:val="28"/>
        </w:rPr>
        <w:t xml:space="preserve">are not required to have an employee participation plan. Therefore, they would need to develop an employee participation plan. Training employees on the employee participation plan or the updated plan is assumed to be covered by ongoing training related to the prevention program. Therefore, EPA estimates the cost for Program 2 facilities to develop a new employee participation plan and </w:t>
      </w:r>
      <w:r w:rsidRPr="009C6838" w:rsidR="00451AB6">
        <w:rPr>
          <w:color w:val="000000" w:themeColor="text1"/>
          <w:sz w:val="22"/>
          <w:szCs w:val="28"/>
        </w:rPr>
        <w:t>Program 3</w:t>
      </w:r>
      <w:r w:rsidRPr="009C6838" w:rsidR="00451AB6">
        <w:rPr>
          <w:sz w:val="22"/>
          <w:szCs w:val="28"/>
        </w:rPr>
        <w:t xml:space="preserve"> facilities to make minor adjustments to current employee participation plans.  </w:t>
      </w:r>
    </w:p>
    <w:p w:rsidRPr="009C6838" w:rsidR="00451AB6" w:rsidP="00451AB6" w:rsidRDefault="00451AB6" w14:paraId="324E3AFD" w14:textId="77777777">
      <w:pPr>
        <w:ind w:firstLine="360"/>
        <w:rPr>
          <w:sz w:val="22"/>
          <w:szCs w:val="28"/>
        </w:rPr>
      </w:pPr>
    </w:p>
    <w:p w:rsidRPr="008228D3" w:rsidR="00451AB6" w:rsidP="00451AB6" w:rsidRDefault="00451AB6" w14:paraId="0EC7F1D7" w14:textId="4BE0232C">
      <w:pPr>
        <w:ind w:firstLine="720"/>
        <w:rPr>
          <w:sz w:val="24"/>
        </w:rPr>
      </w:pPr>
      <w:r w:rsidRPr="009C6838">
        <w:rPr>
          <w:sz w:val="22"/>
          <w:szCs w:val="28"/>
        </w:rPr>
        <w:t xml:space="preserve">EPA assumes that the development of an employee participation plan for a facility with Program 2 processes is a comparable burden to that for developing an employee participation plan for a facility with Program 3 processes. The 1996 RMP RIA did not include costs for employee participation plans for facilities with Program 3 processes, based on the assumption that those costs were already adequately accounted for under the OSHA PSM program. EPA therefore relied on the 1992 OSHA PSM RIA as the basis for the costs for employee participation plans for facilities with Program 2 </w:t>
      </w:r>
      <w:r w:rsidRPr="008228D3">
        <w:rPr>
          <w:sz w:val="24"/>
        </w:rPr>
        <w:t xml:space="preserve">processes. </w:t>
      </w:r>
      <w:r w:rsidRPr="008228D3">
        <w:rPr>
          <w:rFonts w:eastAsia="Calibri"/>
          <w:kern w:val="24"/>
          <w:sz w:val="24"/>
        </w:rPr>
        <w:t>Facilities with Program 3 processes will need to update current employee participation plans. EPA assumes that this would be a minimal effort, and that regardless of facility complexity, 0.5 hours for an engineer and 0.5 hours for a production level staff would be required</w:t>
      </w:r>
      <w:r w:rsidRPr="008228D3">
        <w:rPr>
          <w:sz w:val="24"/>
        </w:rPr>
        <w:t xml:space="preserve"> (see Exhibit 3 and Exhibit </w:t>
      </w:r>
      <w:r w:rsidRPr="008228D3">
        <w:rPr>
          <w:sz w:val="24"/>
        </w:rPr>
        <w:lastRenderedPageBreak/>
        <w:t>4).</w:t>
      </w:r>
    </w:p>
    <w:p w:rsidR="00451AB6" w:rsidP="00451AB6" w:rsidRDefault="00451AB6" w14:paraId="70B219FC" w14:textId="6959B5A5">
      <w:pPr>
        <w:ind w:firstLine="720"/>
      </w:pPr>
    </w:p>
    <w:p w:rsidRPr="009C6838" w:rsidR="00451AB6" w:rsidP="0074445B" w:rsidRDefault="00451AB6" w14:paraId="6EA93093" w14:textId="12E76AE2">
      <w:pPr>
        <w:jc w:val="center"/>
        <w:rPr>
          <w:b/>
          <w:sz w:val="22"/>
          <w:szCs w:val="28"/>
        </w:rPr>
      </w:pPr>
      <w:r w:rsidRPr="009C6838">
        <w:rPr>
          <w:b/>
          <w:sz w:val="22"/>
          <w:szCs w:val="28"/>
        </w:rPr>
        <w:t xml:space="preserve">Exhibit 3: Hourly Labor and </w:t>
      </w:r>
      <w:bookmarkStart w:name="_Hlk98509348" w:id="5"/>
      <w:r w:rsidRPr="009C6838">
        <w:rPr>
          <w:b/>
          <w:sz w:val="22"/>
          <w:szCs w:val="28"/>
        </w:rPr>
        <w:t>Unit Costs for Employee Participation Plan Development</w:t>
      </w:r>
      <w:bookmarkEnd w:id="5"/>
      <w:r w:rsidRPr="009C6838">
        <w:rPr>
          <w:b/>
          <w:sz w:val="22"/>
          <w:szCs w:val="28"/>
        </w:rPr>
        <w:t xml:space="preserve">: </w:t>
      </w:r>
    </w:p>
    <w:p w:rsidRPr="009C6838" w:rsidR="00451AB6" w:rsidP="0074445B" w:rsidRDefault="00451AB6" w14:paraId="6BB97910" w14:textId="77777777">
      <w:pPr>
        <w:jc w:val="center"/>
        <w:rPr>
          <w:b/>
          <w:sz w:val="22"/>
          <w:szCs w:val="28"/>
        </w:rPr>
      </w:pPr>
      <w:r w:rsidRPr="009C6838">
        <w:rPr>
          <w:b/>
          <w:sz w:val="22"/>
          <w:szCs w:val="28"/>
        </w:rPr>
        <w:t>Facilities with Program 2 Processes (2020 dollars).</w:t>
      </w:r>
    </w:p>
    <w:tbl>
      <w:tblPr>
        <w:tblW w:w="3742" w:type="pct"/>
        <w:jc w:val="center"/>
        <w:tblLook w:val="04A0" w:firstRow="1" w:lastRow="0" w:firstColumn="1" w:lastColumn="0" w:noHBand="0" w:noVBand="1"/>
      </w:tblPr>
      <w:tblGrid>
        <w:gridCol w:w="2022"/>
        <w:gridCol w:w="935"/>
        <w:gridCol w:w="875"/>
        <w:gridCol w:w="732"/>
        <w:gridCol w:w="673"/>
        <w:gridCol w:w="787"/>
        <w:gridCol w:w="974"/>
      </w:tblGrid>
      <w:tr w:rsidRPr="004D4B61" w:rsidR="00451AB6" w:rsidTr="00833C86" w14:paraId="7FC0CEC0" w14:textId="77777777">
        <w:trPr>
          <w:trHeight w:val="641"/>
          <w:jc w:val="center"/>
        </w:trPr>
        <w:tc>
          <w:tcPr>
            <w:tcW w:w="144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835820" w:rsidR="00451AB6" w:rsidP="00833C86" w:rsidRDefault="00451AB6" w14:paraId="45665492" w14:textId="77777777">
            <w:pPr>
              <w:keepNext/>
              <w:jc w:val="center"/>
              <w:rPr>
                <w:b/>
                <w:color w:val="000000"/>
                <w:szCs w:val="20"/>
              </w:rPr>
            </w:pPr>
            <w:r w:rsidRPr="00835820">
              <w:rPr>
                <w:b/>
                <w:color w:val="000000"/>
                <w:szCs w:val="20"/>
              </w:rPr>
              <w:t>Facility Type</w:t>
            </w:r>
          </w:p>
        </w:tc>
        <w:tc>
          <w:tcPr>
            <w:tcW w:w="668" w:type="pct"/>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35820" w:rsidR="00451AB6" w:rsidP="00833C86" w:rsidRDefault="00451AB6" w14:paraId="01C74553" w14:textId="77777777">
            <w:pPr>
              <w:keepNext/>
              <w:jc w:val="center"/>
              <w:rPr>
                <w:b/>
                <w:color w:val="000000"/>
                <w:szCs w:val="20"/>
              </w:rPr>
            </w:pPr>
            <w:r w:rsidRPr="00835820">
              <w:rPr>
                <w:b/>
                <w:color w:val="000000"/>
                <w:szCs w:val="20"/>
              </w:rPr>
              <w:t>Mgr.</w:t>
            </w:r>
          </w:p>
        </w:tc>
        <w:tc>
          <w:tcPr>
            <w:tcW w:w="625" w:type="pct"/>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35820" w:rsidR="00451AB6" w:rsidP="00833C86" w:rsidRDefault="00451AB6" w14:paraId="54BB444A" w14:textId="77777777">
            <w:pPr>
              <w:keepNext/>
              <w:jc w:val="center"/>
              <w:rPr>
                <w:b/>
                <w:color w:val="000000"/>
                <w:szCs w:val="20"/>
              </w:rPr>
            </w:pPr>
            <w:r w:rsidRPr="00835820">
              <w:rPr>
                <w:b/>
                <w:color w:val="000000"/>
                <w:szCs w:val="20"/>
              </w:rPr>
              <w:t>Corp. Mgr.</w:t>
            </w:r>
          </w:p>
        </w:tc>
        <w:tc>
          <w:tcPr>
            <w:tcW w:w="523" w:type="pct"/>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35820" w:rsidR="00451AB6" w:rsidP="00833C86" w:rsidRDefault="00451AB6" w14:paraId="2F379B22" w14:textId="77777777">
            <w:pPr>
              <w:keepNext/>
              <w:jc w:val="center"/>
              <w:rPr>
                <w:b/>
                <w:color w:val="000000"/>
                <w:szCs w:val="20"/>
              </w:rPr>
            </w:pPr>
            <w:r w:rsidRPr="00835820">
              <w:rPr>
                <w:b/>
                <w:color w:val="000000"/>
                <w:szCs w:val="20"/>
              </w:rPr>
              <w:t>Atty.</w:t>
            </w:r>
          </w:p>
        </w:tc>
        <w:tc>
          <w:tcPr>
            <w:tcW w:w="481" w:type="pct"/>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35820" w:rsidR="00451AB6" w:rsidP="00833C86" w:rsidRDefault="00451AB6" w14:paraId="03474671" w14:textId="77777777">
            <w:pPr>
              <w:keepNext/>
              <w:jc w:val="center"/>
              <w:rPr>
                <w:b/>
                <w:color w:val="000000"/>
                <w:szCs w:val="20"/>
              </w:rPr>
            </w:pPr>
            <w:r w:rsidRPr="00835820">
              <w:rPr>
                <w:b/>
                <w:color w:val="000000"/>
                <w:szCs w:val="20"/>
              </w:rPr>
              <w:t>Eng.</w:t>
            </w:r>
          </w:p>
        </w:tc>
        <w:tc>
          <w:tcPr>
            <w:tcW w:w="562" w:type="pct"/>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35820" w:rsidR="00451AB6" w:rsidP="00833C86" w:rsidRDefault="00451AB6" w14:paraId="6065FD6B" w14:textId="77777777">
            <w:pPr>
              <w:keepNext/>
              <w:jc w:val="center"/>
              <w:rPr>
                <w:b/>
                <w:color w:val="000000"/>
                <w:szCs w:val="20"/>
              </w:rPr>
            </w:pPr>
            <w:r w:rsidRPr="00835820">
              <w:rPr>
                <w:b/>
                <w:color w:val="000000"/>
                <w:szCs w:val="20"/>
              </w:rPr>
              <w:t>Prod. Staff</w:t>
            </w:r>
          </w:p>
        </w:tc>
        <w:tc>
          <w:tcPr>
            <w:tcW w:w="696" w:type="pct"/>
            <w:tcBorders>
              <w:top w:val="single" w:color="auto" w:sz="4" w:space="0"/>
              <w:left w:val="nil"/>
              <w:bottom w:val="single" w:color="auto" w:sz="4" w:space="0"/>
              <w:right w:val="single" w:color="auto" w:sz="4" w:space="0"/>
            </w:tcBorders>
            <w:shd w:val="clear" w:color="auto" w:fill="D9D9D9" w:themeFill="background1" w:themeFillShade="D9"/>
            <w:vAlign w:val="center"/>
          </w:tcPr>
          <w:p w:rsidRPr="00835820" w:rsidR="00451AB6" w:rsidP="00833C86" w:rsidRDefault="00451AB6" w14:paraId="43B7DDB2" w14:textId="77777777">
            <w:pPr>
              <w:keepNext/>
              <w:jc w:val="center"/>
              <w:rPr>
                <w:b/>
                <w:color w:val="000000"/>
                <w:szCs w:val="20"/>
              </w:rPr>
            </w:pPr>
            <w:r w:rsidRPr="00835820">
              <w:rPr>
                <w:b/>
                <w:color w:val="000000"/>
                <w:szCs w:val="20"/>
              </w:rPr>
              <w:t>Facility Cost</w:t>
            </w:r>
          </w:p>
        </w:tc>
      </w:tr>
      <w:tr w:rsidRPr="004D4B61" w:rsidR="00451AB6" w:rsidTr="00833C86" w14:paraId="449A2293" w14:textId="77777777">
        <w:trPr>
          <w:trHeight w:val="317"/>
          <w:jc w:val="center"/>
        </w:trPr>
        <w:tc>
          <w:tcPr>
            <w:tcW w:w="1444" w:type="pct"/>
            <w:tcBorders>
              <w:top w:val="nil"/>
              <w:left w:val="single" w:color="auto" w:sz="4" w:space="0"/>
              <w:bottom w:val="single" w:color="auto" w:sz="4" w:space="0"/>
              <w:right w:val="single" w:color="auto" w:sz="4" w:space="0"/>
            </w:tcBorders>
            <w:shd w:val="clear" w:color="auto" w:fill="auto"/>
            <w:vAlign w:val="center"/>
            <w:hideMark/>
          </w:tcPr>
          <w:p w:rsidRPr="00835820" w:rsidR="00451AB6" w:rsidP="00833C86" w:rsidRDefault="00451AB6" w14:paraId="22C89AD5" w14:textId="77777777">
            <w:pPr>
              <w:keepNext/>
              <w:jc w:val="center"/>
              <w:rPr>
                <w:color w:val="000000"/>
                <w:szCs w:val="20"/>
              </w:rPr>
            </w:pPr>
            <w:r w:rsidRPr="00835820">
              <w:rPr>
                <w:color w:val="000000"/>
                <w:szCs w:val="20"/>
              </w:rPr>
              <w:t>Simple (&lt;20 FTE)</w:t>
            </w:r>
          </w:p>
        </w:tc>
        <w:tc>
          <w:tcPr>
            <w:tcW w:w="668" w:type="pct"/>
            <w:tcBorders>
              <w:top w:val="nil"/>
              <w:left w:val="nil"/>
              <w:bottom w:val="single" w:color="auto" w:sz="4" w:space="0"/>
              <w:right w:val="single" w:color="auto" w:sz="4" w:space="0"/>
            </w:tcBorders>
            <w:shd w:val="clear" w:color="auto" w:fill="auto"/>
            <w:noWrap/>
            <w:vAlign w:val="center"/>
          </w:tcPr>
          <w:p w:rsidRPr="00835820" w:rsidR="00451AB6" w:rsidP="00833C86" w:rsidRDefault="00451AB6" w14:paraId="04E89342" w14:textId="77777777">
            <w:pPr>
              <w:keepNext/>
              <w:jc w:val="center"/>
              <w:rPr>
                <w:color w:val="000000"/>
                <w:szCs w:val="20"/>
              </w:rPr>
            </w:pPr>
            <w:r w:rsidRPr="00835820">
              <w:rPr>
                <w:color w:val="000000"/>
                <w:szCs w:val="20"/>
              </w:rPr>
              <w:t>0</w:t>
            </w:r>
          </w:p>
        </w:tc>
        <w:tc>
          <w:tcPr>
            <w:tcW w:w="625" w:type="pct"/>
            <w:tcBorders>
              <w:top w:val="nil"/>
              <w:left w:val="nil"/>
              <w:bottom w:val="single" w:color="auto" w:sz="4" w:space="0"/>
              <w:right w:val="single" w:color="auto" w:sz="4" w:space="0"/>
            </w:tcBorders>
            <w:shd w:val="clear" w:color="auto" w:fill="auto"/>
            <w:noWrap/>
            <w:vAlign w:val="center"/>
            <w:hideMark/>
          </w:tcPr>
          <w:p w:rsidRPr="00835820" w:rsidR="00451AB6" w:rsidP="00833C86" w:rsidRDefault="00451AB6" w14:paraId="6965EF17" w14:textId="77777777">
            <w:pPr>
              <w:keepNext/>
              <w:jc w:val="center"/>
              <w:rPr>
                <w:color w:val="000000"/>
                <w:szCs w:val="20"/>
              </w:rPr>
            </w:pPr>
            <w:r w:rsidRPr="00835820">
              <w:rPr>
                <w:color w:val="000000"/>
                <w:szCs w:val="20"/>
              </w:rPr>
              <w:t>0</w:t>
            </w:r>
          </w:p>
        </w:tc>
        <w:tc>
          <w:tcPr>
            <w:tcW w:w="523" w:type="pct"/>
            <w:tcBorders>
              <w:top w:val="nil"/>
              <w:left w:val="nil"/>
              <w:bottom w:val="single" w:color="auto" w:sz="4" w:space="0"/>
              <w:right w:val="single" w:color="auto" w:sz="4" w:space="0"/>
            </w:tcBorders>
            <w:shd w:val="clear" w:color="auto" w:fill="auto"/>
            <w:noWrap/>
            <w:vAlign w:val="center"/>
            <w:hideMark/>
          </w:tcPr>
          <w:p w:rsidRPr="00835820" w:rsidR="00451AB6" w:rsidP="00833C86" w:rsidRDefault="00451AB6" w14:paraId="06923454" w14:textId="77777777">
            <w:pPr>
              <w:keepNext/>
              <w:jc w:val="center"/>
              <w:rPr>
                <w:color w:val="000000"/>
                <w:szCs w:val="20"/>
              </w:rPr>
            </w:pPr>
            <w:r w:rsidRPr="00835820">
              <w:rPr>
                <w:color w:val="000000"/>
                <w:szCs w:val="20"/>
              </w:rPr>
              <w:t>0</w:t>
            </w:r>
          </w:p>
        </w:tc>
        <w:tc>
          <w:tcPr>
            <w:tcW w:w="481" w:type="pct"/>
            <w:tcBorders>
              <w:top w:val="nil"/>
              <w:left w:val="nil"/>
              <w:bottom w:val="single" w:color="auto" w:sz="4" w:space="0"/>
              <w:right w:val="single" w:color="auto" w:sz="4" w:space="0"/>
            </w:tcBorders>
            <w:shd w:val="clear" w:color="auto" w:fill="auto"/>
            <w:noWrap/>
            <w:vAlign w:val="center"/>
            <w:hideMark/>
          </w:tcPr>
          <w:p w:rsidRPr="00835820" w:rsidR="00451AB6" w:rsidP="00833C86" w:rsidRDefault="00451AB6" w14:paraId="31EE2E5E" w14:textId="77777777">
            <w:pPr>
              <w:keepNext/>
              <w:jc w:val="center"/>
              <w:rPr>
                <w:color w:val="000000"/>
                <w:szCs w:val="20"/>
              </w:rPr>
            </w:pPr>
            <w:r w:rsidRPr="00835820">
              <w:rPr>
                <w:color w:val="000000"/>
                <w:szCs w:val="20"/>
              </w:rPr>
              <w:t>1</w:t>
            </w:r>
          </w:p>
        </w:tc>
        <w:tc>
          <w:tcPr>
            <w:tcW w:w="562" w:type="pct"/>
            <w:tcBorders>
              <w:top w:val="nil"/>
              <w:left w:val="nil"/>
              <w:bottom w:val="single" w:color="auto" w:sz="4" w:space="0"/>
              <w:right w:val="single" w:color="auto" w:sz="4" w:space="0"/>
            </w:tcBorders>
            <w:shd w:val="clear" w:color="auto" w:fill="auto"/>
            <w:noWrap/>
            <w:vAlign w:val="center"/>
            <w:hideMark/>
          </w:tcPr>
          <w:p w:rsidRPr="00835820" w:rsidR="00451AB6" w:rsidP="00833C86" w:rsidRDefault="00451AB6" w14:paraId="19759A4D" w14:textId="77777777">
            <w:pPr>
              <w:keepNext/>
              <w:jc w:val="center"/>
              <w:rPr>
                <w:color w:val="000000"/>
                <w:szCs w:val="20"/>
              </w:rPr>
            </w:pPr>
            <w:r w:rsidRPr="00835820">
              <w:rPr>
                <w:color w:val="000000"/>
                <w:szCs w:val="20"/>
              </w:rPr>
              <w:t>0.5</w:t>
            </w:r>
          </w:p>
        </w:tc>
        <w:tc>
          <w:tcPr>
            <w:tcW w:w="696" w:type="pct"/>
            <w:tcBorders>
              <w:top w:val="nil"/>
              <w:left w:val="nil"/>
              <w:bottom w:val="single" w:color="auto" w:sz="4" w:space="0"/>
              <w:right w:val="single" w:color="auto" w:sz="4" w:space="0"/>
            </w:tcBorders>
            <w:vAlign w:val="center"/>
          </w:tcPr>
          <w:p w:rsidRPr="00835820" w:rsidR="00451AB6" w:rsidP="00833C86" w:rsidRDefault="00451AB6" w14:paraId="4FAD40C2" w14:textId="77777777">
            <w:pPr>
              <w:keepNext/>
              <w:jc w:val="center"/>
              <w:rPr>
                <w:color w:val="000000"/>
                <w:szCs w:val="20"/>
                <w:highlight w:val="yellow"/>
              </w:rPr>
            </w:pPr>
            <w:r w:rsidRPr="00835820">
              <w:rPr>
                <w:color w:val="000000"/>
                <w:szCs w:val="20"/>
              </w:rPr>
              <w:t>$89</w:t>
            </w:r>
          </w:p>
        </w:tc>
      </w:tr>
      <w:tr w:rsidRPr="004D4B61" w:rsidR="00451AB6" w:rsidTr="00833C86" w14:paraId="006149A7" w14:textId="77777777">
        <w:trPr>
          <w:trHeight w:val="249"/>
          <w:jc w:val="center"/>
        </w:trPr>
        <w:tc>
          <w:tcPr>
            <w:tcW w:w="1444" w:type="pct"/>
            <w:tcBorders>
              <w:top w:val="nil"/>
              <w:left w:val="single" w:color="auto" w:sz="4" w:space="0"/>
              <w:bottom w:val="single" w:color="auto" w:sz="4" w:space="0"/>
              <w:right w:val="single" w:color="auto" w:sz="4" w:space="0"/>
            </w:tcBorders>
            <w:shd w:val="clear" w:color="auto" w:fill="auto"/>
            <w:vAlign w:val="center"/>
          </w:tcPr>
          <w:p w:rsidRPr="00835820" w:rsidR="00451AB6" w:rsidP="00833C86" w:rsidRDefault="00451AB6" w14:paraId="682D41E8" w14:textId="77777777">
            <w:pPr>
              <w:keepNext/>
              <w:jc w:val="center"/>
              <w:rPr>
                <w:color w:val="000000"/>
                <w:szCs w:val="20"/>
              </w:rPr>
            </w:pPr>
            <w:r w:rsidRPr="00835820">
              <w:rPr>
                <w:color w:val="000000"/>
                <w:szCs w:val="20"/>
              </w:rPr>
              <w:t>Simple (20+ FTE)</w:t>
            </w:r>
          </w:p>
        </w:tc>
        <w:tc>
          <w:tcPr>
            <w:tcW w:w="668" w:type="pct"/>
            <w:tcBorders>
              <w:top w:val="nil"/>
              <w:left w:val="nil"/>
              <w:bottom w:val="single" w:color="auto" w:sz="4" w:space="0"/>
              <w:right w:val="single" w:color="auto" w:sz="4" w:space="0"/>
            </w:tcBorders>
            <w:shd w:val="clear" w:color="auto" w:fill="auto"/>
            <w:noWrap/>
            <w:vAlign w:val="center"/>
          </w:tcPr>
          <w:p w:rsidRPr="00835820" w:rsidR="00451AB6" w:rsidP="00833C86" w:rsidRDefault="00451AB6" w14:paraId="2B465FB0" w14:textId="77777777">
            <w:pPr>
              <w:keepNext/>
              <w:jc w:val="center"/>
              <w:rPr>
                <w:color w:val="000000"/>
                <w:szCs w:val="20"/>
              </w:rPr>
            </w:pPr>
            <w:r w:rsidRPr="00835820">
              <w:rPr>
                <w:color w:val="000000"/>
                <w:szCs w:val="20"/>
              </w:rPr>
              <w:t>0</w:t>
            </w:r>
          </w:p>
        </w:tc>
        <w:tc>
          <w:tcPr>
            <w:tcW w:w="625" w:type="pct"/>
            <w:tcBorders>
              <w:top w:val="nil"/>
              <w:left w:val="nil"/>
              <w:bottom w:val="single" w:color="auto" w:sz="4" w:space="0"/>
              <w:right w:val="single" w:color="auto" w:sz="4" w:space="0"/>
            </w:tcBorders>
            <w:shd w:val="clear" w:color="auto" w:fill="auto"/>
            <w:noWrap/>
            <w:vAlign w:val="center"/>
          </w:tcPr>
          <w:p w:rsidRPr="00835820" w:rsidR="00451AB6" w:rsidP="00833C86" w:rsidRDefault="00451AB6" w14:paraId="45D1A6D3" w14:textId="77777777">
            <w:pPr>
              <w:keepNext/>
              <w:jc w:val="center"/>
              <w:rPr>
                <w:color w:val="000000"/>
                <w:szCs w:val="20"/>
              </w:rPr>
            </w:pPr>
            <w:r w:rsidRPr="00835820">
              <w:rPr>
                <w:color w:val="000000"/>
                <w:szCs w:val="20"/>
              </w:rPr>
              <w:t>0</w:t>
            </w:r>
          </w:p>
        </w:tc>
        <w:tc>
          <w:tcPr>
            <w:tcW w:w="523" w:type="pct"/>
            <w:tcBorders>
              <w:top w:val="nil"/>
              <w:left w:val="nil"/>
              <w:bottom w:val="single" w:color="auto" w:sz="4" w:space="0"/>
              <w:right w:val="single" w:color="auto" w:sz="4" w:space="0"/>
            </w:tcBorders>
            <w:shd w:val="clear" w:color="auto" w:fill="auto"/>
            <w:noWrap/>
            <w:vAlign w:val="center"/>
          </w:tcPr>
          <w:p w:rsidRPr="00835820" w:rsidR="00451AB6" w:rsidP="00833C86" w:rsidRDefault="00451AB6" w14:paraId="16F9B5DC" w14:textId="77777777">
            <w:pPr>
              <w:keepNext/>
              <w:jc w:val="center"/>
              <w:rPr>
                <w:color w:val="000000"/>
                <w:szCs w:val="20"/>
              </w:rPr>
            </w:pPr>
            <w:r w:rsidRPr="00835820">
              <w:rPr>
                <w:color w:val="000000"/>
                <w:szCs w:val="20"/>
              </w:rPr>
              <w:t>0</w:t>
            </w:r>
          </w:p>
        </w:tc>
        <w:tc>
          <w:tcPr>
            <w:tcW w:w="481" w:type="pct"/>
            <w:tcBorders>
              <w:top w:val="nil"/>
              <w:left w:val="nil"/>
              <w:bottom w:val="single" w:color="auto" w:sz="4" w:space="0"/>
              <w:right w:val="single" w:color="auto" w:sz="4" w:space="0"/>
            </w:tcBorders>
            <w:shd w:val="clear" w:color="auto" w:fill="auto"/>
            <w:noWrap/>
            <w:vAlign w:val="center"/>
          </w:tcPr>
          <w:p w:rsidRPr="00835820" w:rsidR="00451AB6" w:rsidP="00833C86" w:rsidRDefault="00451AB6" w14:paraId="04C27E29" w14:textId="77777777">
            <w:pPr>
              <w:keepNext/>
              <w:jc w:val="center"/>
              <w:rPr>
                <w:color w:val="000000"/>
                <w:szCs w:val="20"/>
              </w:rPr>
            </w:pPr>
            <w:r w:rsidRPr="00835820">
              <w:rPr>
                <w:color w:val="000000"/>
                <w:szCs w:val="20"/>
              </w:rPr>
              <w:t>3</w:t>
            </w:r>
          </w:p>
        </w:tc>
        <w:tc>
          <w:tcPr>
            <w:tcW w:w="562" w:type="pct"/>
            <w:tcBorders>
              <w:top w:val="nil"/>
              <w:left w:val="nil"/>
              <w:bottom w:val="single" w:color="auto" w:sz="4" w:space="0"/>
              <w:right w:val="single" w:color="auto" w:sz="4" w:space="0"/>
            </w:tcBorders>
            <w:shd w:val="clear" w:color="auto" w:fill="auto"/>
            <w:noWrap/>
            <w:vAlign w:val="center"/>
          </w:tcPr>
          <w:p w:rsidRPr="00835820" w:rsidR="00451AB6" w:rsidP="00833C86" w:rsidRDefault="00451AB6" w14:paraId="346E9814" w14:textId="77777777">
            <w:pPr>
              <w:keepNext/>
              <w:jc w:val="center"/>
              <w:rPr>
                <w:color w:val="000000"/>
                <w:szCs w:val="20"/>
              </w:rPr>
            </w:pPr>
            <w:r w:rsidRPr="00835820">
              <w:rPr>
                <w:color w:val="000000"/>
                <w:szCs w:val="20"/>
              </w:rPr>
              <w:t>0.5</w:t>
            </w:r>
          </w:p>
        </w:tc>
        <w:tc>
          <w:tcPr>
            <w:tcW w:w="696" w:type="pct"/>
            <w:tcBorders>
              <w:top w:val="nil"/>
              <w:left w:val="nil"/>
              <w:bottom w:val="single" w:color="auto" w:sz="4" w:space="0"/>
              <w:right w:val="single" w:color="auto" w:sz="4" w:space="0"/>
            </w:tcBorders>
            <w:vAlign w:val="center"/>
          </w:tcPr>
          <w:p w:rsidRPr="00835820" w:rsidR="00451AB6" w:rsidP="00833C86" w:rsidRDefault="00451AB6" w14:paraId="11CCFF0D" w14:textId="77777777">
            <w:pPr>
              <w:keepNext/>
              <w:jc w:val="center"/>
              <w:rPr>
                <w:color w:val="000000"/>
                <w:szCs w:val="20"/>
                <w:highlight w:val="yellow"/>
              </w:rPr>
            </w:pPr>
            <w:r w:rsidRPr="00835820">
              <w:rPr>
                <w:color w:val="000000"/>
                <w:szCs w:val="20"/>
              </w:rPr>
              <w:t>$228</w:t>
            </w:r>
          </w:p>
        </w:tc>
      </w:tr>
      <w:tr w:rsidRPr="004D4B61" w:rsidR="00451AB6" w:rsidTr="00833C86" w14:paraId="3F976653" w14:textId="77777777">
        <w:trPr>
          <w:trHeight w:val="249"/>
          <w:jc w:val="center"/>
        </w:trPr>
        <w:tc>
          <w:tcPr>
            <w:tcW w:w="1444" w:type="pct"/>
            <w:tcBorders>
              <w:top w:val="nil"/>
              <w:left w:val="single" w:color="auto" w:sz="4" w:space="0"/>
              <w:bottom w:val="single" w:color="auto" w:sz="4" w:space="0"/>
              <w:right w:val="single" w:color="auto" w:sz="4" w:space="0"/>
            </w:tcBorders>
            <w:shd w:val="clear" w:color="auto" w:fill="auto"/>
            <w:vAlign w:val="center"/>
          </w:tcPr>
          <w:p w:rsidRPr="00835820" w:rsidR="00451AB6" w:rsidP="00833C86" w:rsidRDefault="00451AB6" w14:paraId="2F533A6D" w14:textId="77777777">
            <w:pPr>
              <w:keepNext/>
              <w:jc w:val="center"/>
              <w:rPr>
                <w:color w:val="000000"/>
                <w:szCs w:val="20"/>
              </w:rPr>
            </w:pPr>
            <w:r w:rsidRPr="00835820">
              <w:rPr>
                <w:color w:val="000000"/>
                <w:szCs w:val="20"/>
              </w:rPr>
              <w:t>Complex (&lt;20 FTE)</w:t>
            </w:r>
          </w:p>
        </w:tc>
        <w:tc>
          <w:tcPr>
            <w:tcW w:w="668" w:type="pct"/>
            <w:tcBorders>
              <w:top w:val="nil"/>
              <w:left w:val="nil"/>
              <w:bottom w:val="single" w:color="auto" w:sz="4" w:space="0"/>
              <w:right w:val="single" w:color="auto" w:sz="4" w:space="0"/>
            </w:tcBorders>
            <w:shd w:val="clear" w:color="auto" w:fill="auto"/>
            <w:noWrap/>
            <w:vAlign w:val="center"/>
          </w:tcPr>
          <w:p w:rsidRPr="00835820" w:rsidR="00451AB6" w:rsidP="00833C86" w:rsidRDefault="00451AB6" w14:paraId="26F52844" w14:textId="77777777">
            <w:pPr>
              <w:keepNext/>
              <w:jc w:val="center"/>
              <w:rPr>
                <w:color w:val="000000"/>
                <w:szCs w:val="20"/>
              </w:rPr>
            </w:pPr>
            <w:r w:rsidRPr="00835820">
              <w:rPr>
                <w:color w:val="000000"/>
                <w:szCs w:val="20"/>
              </w:rPr>
              <w:t>0</w:t>
            </w:r>
          </w:p>
        </w:tc>
        <w:tc>
          <w:tcPr>
            <w:tcW w:w="625" w:type="pct"/>
            <w:tcBorders>
              <w:top w:val="nil"/>
              <w:left w:val="nil"/>
              <w:bottom w:val="single" w:color="auto" w:sz="4" w:space="0"/>
              <w:right w:val="single" w:color="auto" w:sz="4" w:space="0"/>
            </w:tcBorders>
            <w:shd w:val="clear" w:color="auto" w:fill="auto"/>
            <w:noWrap/>
            <w:vAlign w:val="center"/>
          </w:tcPr>
          <w:p w:rsidRPr="00835820" w:rsidR="00451AB6" w:rsidP="00833C86" w:rsidRDefault="00451AB6" w14:paraId="26167133" w14:textId="77777777">
            <w:pPr>
              <w:keepNext/>
              <w:jc w:val="center"/>
              <w:rPr>
                <w:color w:val="000000"/>
                <w:szCs w:val="20"/>
              </w:rPr>
            </w:pPr>
            <w:r w:rsidRPr="00835820">
              <w:rPr>
                <w:color w:val="000000"/>
                <w:szCs w:val="20"/>
              </w:rPr>
              <w:t>0</w:t>
            </w:r>
          </w:p>
        </w:tc>
        <w:tc>
          <w:tcPr>
            <w:tcW w:w="523" w:type="pct"/>
            <w:tcBorders>
              <w:top w:val="nil"/>
              <w:left w:val="nil"/>
              <w:bottom w:val="single" w:color="auto" w:sz="4" w:space="0"/>
              <w:right w:val="single" w:color="auto" w:sz="4" w:space="0"/>
            </w:tcBorders>
            <w:shd w:val="clear" w:color="auto" w:fill="auto"/>
            <w:noWrap/>
            <w:vAlign w:val="center"/>
          </w:tcPr>
          <w:p w:rsidRPr="00835820" w:rsidR="00451AB6" w:rsidP="00833C86" w:rsidRDefault="00451AB6" w14:paraId="460189B8" w14:textId="77777777">
            <w:pPr>
              <w:keepNext/>
              <w:jc w:val="center"/>
              <w:rPr>
                <w:color w:val="000000"/>
                <w:szCs w:val="20"/>
              </w:rPr>
            </w:pPr>
            <w:r w:rsidRPr="00835820">
              <w:rPr>
                <w:color w:val="000000"/>
                <w:szCs w:val="20"/>
              </w:rPr>
              <w:t>0</w:t>
            </w:r>
          </w:p>
        </w:tc>
        <w:tc>
          <w:tcPr>
            <w:tcW w:w="481" w:type="pct"/>
            <w:tcBorders>
              <w:top w:val="nil"/>
              <w:left w:val="nil"/>
              <w:bottom w:val="single" w:color="auto" w:sz="4" w:space="0"/>
              <w:right w:val="single" w:color="auto" w:sz="4" w:space="0"/>
            </w:tcBorders>
            <w:shd w:val="clear" w:color="auto" w:fill="auto"/>
            <w:noWrap/>
            <w:vAlign w:val="center"/>
          </w:tcPr>
          <w:p w:rsidRPr="00835820" w:rsidR="00451AB6" w:rsidP="00833C86" w:rsidRDefault="00451AB6" w14:paraId="440D29AA" w14:textId="77777777">
            <w:pPr>
              <w:keepNext/>
              <w:jc w:val="center"/>
              <w:rPr>
                <w:color w:val="000000"/>
                <w:szCs w:val="20"/>
              </w:rPr>
            </w:pPr>
            <w:r w:rsidRPr="00835820">
              <w:rPr>
                <w:color w:val="000000"/>
                <w:szCs w:val="20"/>
              </w:rPr>
              <w:t>1</w:t>
            </w:r>
          </w:p>
        </w:tc>
        <w:tc>
          <w:tcPr>
            <w:tcW w:w="562" w:type="pct"/>
            <w:tcBorders>
              <w:top w:val="nil"/>
              <w:left w:val="nil"/>
              <w:bottom w:val="single" w:color="auto" w:sz="4" w:space="0"/>
              <w:right w:val="single" w:color="auto" w:sz="4" w:space="0"/>
            </w:tcBorders>
            <w:shd w:val="clear" w:color="auto" w:fill="auto"/>
            <w:noWrap/>
            <w:vAlign w:val="center"/>
          </w:tcPr>
          <w:p w:rsidRPr="00835820" w:rsidR="00451AB6" w:rsidP="00833C86" w:rsidRDefault="00451AB6" w14:paraId="48044615" w14:textId="77777777">
            <w:pPr>
              <w:keepNext/>
              <w:jc w:val="center"/>
              <w:rPr>
                <w:color w:val="000000"/>
                <w:szCs w:val="20"/>
              </w:rPr>
            </w:pPr>
            <w:r w:rsidRPr="00835820">
              <w:rPr>
                <w:color w:val="000000"/>
                <w:szCs w:val="20"/>
              </w:rPr>
              <w:t>0.5</w:t>
            </w:r>
          </w:p>
        </w:tc>
        <w:tc>
          <w:tcPr>
            <w:tcW w:w="696" w:type="pct"/>
            <w:tcBorders>
              <w:top w:val="nil"/>
              <w:left w:val="nil"/>
              <w:bottom w:val="single" w:color="auto" w:sz="4" w:space="0"/>
              <w:right w:val="single" w:color="auto" w:sz="4" w:space="0"/>
            </w:tcBorders>
            <w:vAlign w:val="center"/>
          </w:tcPr>
          <w:p w:rsidRPr="00835820" w:rsidR="00451AB6" w:rsidP="00833C86" w:rsidRDefault="00451AB6" w14:paraId="67017FF9" w14:textId="77777777">
            <w:pPr>
              <w:keepNext/>
              <w:jc w:val="center"/>
              <w:rPr>
                <w:color w:val="000000"/>
                <w:szCs w:val="20"/>
                <w:highlight w:val="yellow"/>
              </w:rPr>
            </w:pPr>
            <w:r w:rsidRPr="00835820">
              <w:rPr>
                <w:color w:val="000000"/>
                <w:szCs w:val="20"/>
              </w:rPr>
              <w:t>$129</w:t>
            </w:r>
          </w:p>
        </w:tc>
      </w:tr>
      <w:tr w:rsidRPr="004D4B61" w:rsidR="00451AB6" w:rsidTr="00833C86" w14:paraId="0173E79C" w14:textId="77777777">
        <w:trPr>
          <w:trHeight w:val="253"/>
          <w:jc w:val="center"/>
        </w:trPr>
        <w:tc>
          <w:tcPr>
            <w:tcW w:w="1444" w:type="pct"/>
            <w:tcBorders>
              <w:top w:val="nil"/>
              <w:left w:val="single" w:color="auto" w:sz="4" w:space="0"/>
              <w:bottom w:val="single" w:color="auto" w:sz="4" w:space="0"/>
              <w:right w:val="single" w:color="auto" w:sz="4" w:space="0"/>
            </w:tcBorders>
            <w:shd w:val="clear" w:color="auto" w:fill="auto"/>
            <w:vAlign w:val="center"/>
            <w:hideMark/>
          </w:tcPr>
          <w:p w:rsidRPr="00835820" w:rsidR="00451AB6" w:rsidP="00833C86" w:rsidRDefault="00451AB6" w14:paraId="2E3D4316" w14:textId="77777777">
            <w:pPr>
              <w:keepNext/>
              <w:jc w:val="center"/>
              <w:rPr>
                <w:color w:val="000000"/>
                <w:szCs w:val="20"/>
              </w:rPr>
            </w:pPr>
            <w:r w:rsidRPr="00835820">
              <w:rPr>
                <w:color w:val="000000"/>
                <w:szCs w:val="20"/>
              </w:rPr>
              <w:t>Complex (20+ FTE)</w:t>
            </w:r>
          </w:p>
        </w:tc>
        <w:tc>
          <w:tcPr>
            <w:tcW w:w="668" w:type="pct"/>
            <w:tcBorders>
              <w:top w:val="nil"/>
              <w:left w:val="nil"/>
              <w:bottom w:val="single" w:color="auto" w:sz="4" w:space="0"/>
              <w:right w:val="single" w:color="auto" w:sz="4" w:space="0"/>
            </w:tcBorders>
            <w:shd w:val="clear" w:color="auto" w:fill="auto"/>
            <w:noWrap/>
            <w:vAlign w:val="center"/>
          </w:tcPr>
          <w:p w:rsidRPr="00835820" w:rsidR="00451AB6" w:rsidP="00833C86" w:rsidRDefault="00451AB6" w14:paraId="7F438106" w14:textId="77777777">
            <w:pPr>
              <w:keepNext/>
              <w:jc w:val="center"/>
              <w:rPr>
                <w:color w:val="000000"/>
                <w:szCs w:val="20"/>
              </w:rPr>
            </w:pPr>
            <w:r w:rsidRPr="00835820">
              <w:rPr>
                <w:color w:val="000000"/>
                <w:szCs w:val="20"/>
              </w:rPr>
              <w:t>0</w:t>
            </w:r>
          </w:p>
        </w:tc>
        <w:tc>
          <w:tcPr>
            <w:tcW w:w="625" w:type="pct"/>
            <w:tcBorders>
              <w:top w:val="nil"/>
              <w:left w:val="nil"/>
              <w:bottom w:val="single" w:color="auto" w:sz="4" w:space="0"/>
              <w:right w:val="single" w:color="auto" w:sz="4" w:space="0"/>
            </w:tcBorders>
            <w:shd w:val="clear" w:color="auto" w:fill="auto"/>
            <w:noWrap/>
            <w:vAlign w:val="center"/>
            <w:hideMark/>
          </w:tcPr>
          <w:p w:rsidRPr="00835820" w:rsidR="00451AB6" w:rsidP="00833C86" w:rsidRDefault="00451AB6" w14:paraId="5BB9C1CF" w14:textId="77777777">
            <w:pPr>
              <w:keepNext/>
              <w:jc w:val="center"/>
              <w:rPr>
                <w:color w:val="000000"/>
                <w:szCs w:val="20"/>
              </w:rPr>
            </w:pPr>
            <w:r w:rsidRPr="00835820">
              <w:rPr>
                <w:color w:val="000000"/>
                <w:szCs w:val="20"/>
              </w:rPr>
              <w:t>0</w:t>
            </w:r>
          </w:p>
        </w:tc>
        <w:tc>
          <w:tcPr>
            <w:tcW w:w="523" w:type="pct"/>
            <w:tcBorders>
              <w:top w:val="nil"/>
              <w:left w:val="nil"/>
              <w:bottom w:val="single" w:color="auto" w:sz="4" w:space="0"/>
              <w:right w:val="single" w:color="auto" w:sz="4" w:space="0"/>
            </w:tcBorders>
            <w:shd w:val="clear" w:color="auto" w:fill="auto"/>
            <w:noWrap/>
            <w:vAlign w:val="center"/>
            <w:hideMark/>
          </w:tcPr>
          <w:p w:rsidRPr="00835820" w:rsidR="00451AB6" w:rsidP="00833C86" w:rsidRDefault="00451AB6" w14:paraId="004CFB25" w14:textId="77777777">
            <w:pPr>
              <w:keepNext/>
              <w:jc w:val="center"/>
              <w:rPr>
                <w:color w:val="000000"/>
                <w:szCs w:val="20"/>
              </w:rPr>
            </w:pPr>
            <w:r w:rsidRPr="00835820">
              <w:rPr>
                <w:color w:val="000000"/>
                <w:szCs w:val="20"/>
              </w:rPr>
              <w:t>0</w:t>
            </w:r>
          </w:p>
        </w:tc>
        <w:tc>
          <w:tcPr>
            <w:tcW w:w="481" w:type="pct"/>
            <w:tcBorders>
              <w:top w:val="nil"/>
              <w:left w:val="nil"/>
              <w:bottom w:val="single" w:color="auto" w:sz="4" w:space="0"/>
              <w:right w:val="single" w:color="auto" w:sz="4" w:space="0"/>
            </w:tcBorders>
            <w:shd w:val="clear" w:color="auto" w:fill="auto"/>
            <w:noWrap/>
            <w:vAlign w:val="center"/>
            <w:hideMark/>
          </w:tcPr>
          <w:p w:rsidRPr="00835820" w:rsidR="00451AB6" w:rsidP="00833C86" w:rsidRDefault="00451AB6" w14:paraId="244B5EDC" w14:textId="77777777">
            <w:pPr>
              <w:keepNext/>
              <w:jc w:val="center"/>
              <w:rPr>
                <w:color w:val="000000"/>
                <w:szCs w:val="20"/>
              </w:rPr>
            </w:pPr>
            <w:r w:rsidRPr="00835820">
              <w:rPr>
                <w:color w:val="000000"/>
                <w:szCs w:val="20"/>
              </w:rPr>
              <w:t>3</w:t>
            </w:r>
          </w:p>
        </w:tc>
        <w:tc>
          <w:tcPr>
            <w:tcW w:w="562" w:type="pct"/>
            <w:tcBorders>
              <w:top w:val="nil"/>
              <w:left w:val="nil"/>
              <w:bottom w:val="single" w:color="auto" w:sz="4" w:space="0"/>
              <w:right w:val="single" w:color="auto" w:sz="4" w:space="0"/>
            </w:tcBorders>
            <w:shd w:val="clear" w:color="auto" w:fill="auto"/>
            <w:noWrap/>
            <w:vAlign w:val="center"/>
            <w:hideMark/>
          </w:tcPr>
          <w:p w:rsidRPr="00835820" w:rsidR="00451AB6" w:rsidP="00833C86" w:rsidRDefault="00451AB6" w14:paraId="7A82DC09" w14:textId="77777777">
            <w:pPr>
              <w:keepNext/>
              <w:jc w:val="center"/>
              <w:rPr>
                <w:color w:val="000000"/>
                <w:szCs w:val="20"/>
              </w:rPr>
            </w:pPr>
            <w:r w:rsidRPr="00835820">
              <w:rPr>
                <w:color w:val="000000"/>
                <w:szCs w:val="20"/>
              </w:rPr>
              <w:t>0.5</w:t>
            </w:r>
          </w:p>
        </w:tc>
        <w:tc>
          <w:tcPr>
            <w:tcW w:w="696" w:type="pct"/>
            <w:tcBorders>
              <w:top w:val="nil"/>
              <w:left w:val="nil"/>
              <w:bottom w:val="single" w:color="auto" w:sz="4" w:space="0"/>
              <w:right w:val="single" w:color="auto" w:sz="4" w:space="0"/>
            </w:tcBorders>
            <w:vAlign w:val="center"/>
          </w:tcPr>
          <w:p w:rsidRPr="00835820" w:rsidR="00451AB6" w:rsidP="00833C86" w:rsidRDefault="00451AB6" w14:paraId="094043C1" w14:textId="77777777">
            <w:pPr>
              <w:keepNext/>
              <w:jc w:val="center"/>
              <w:rPr>
                <w:color w:val="000000"/>
                <w:szCs w:val="20"/>
                <w:highlight w:val="yellow"/>
              </w:rPr>
            </w:pPr>
            <w:r w:rsidRPr="00835820">
              <w:rPr>
                <w:color w:val="000000"/>
                <w:szCs w:val="20"/>
              </w:rPr>
              <w:t>$330</w:t>
            </w:r>
          </w:p>
        </w:tc>
      </w:tr>
    </w:tbl>
    <w:p w:rsidRPr="004D4B61" w:rsidR="00451AB6" w:rsidP="00451AB6" w:rsidRDefault="00451AB6" w14:paraId="5688EA64" w14:textId="77777777">
      <w:pPr>
        <w:ind w:firstLine="720"/>
      </w:pPr>
      <w:r w:rsidRPr="004D4B61">
        <w:t xml:space="preserve">   </w:t>
      </w:r>
    </w:p>
    <w:p w:rsidRPr="004D4B61" w:rsidR="00451AB6" w:rsidP="009C6838" w:rsidRDefault="00451AB6" w14:paraId="34ED6776" w14:textId="4E7E0EEF">
      <w:pPr>
        <w:ind w:firstLine="360"/>
        <w:rPr>
          <w:rFonts w:eastAsia="Calibri"/>
          <w:kern w:val="24"/>
        </w:rPr>
      </w:pPr>
    </w:p>
    <w:p w:rsidRPr="009C6838" w:rsidR="00451AB6" w:rsidP="0074445B" w:rsidRDefault="00451AB6" w14:paraId="12A6EB64" w14:textId="7385E45C">
      <w:pPr>
        <w:jc w:val="center"/>
        <w:rPr>
          <w:b/>
          <w:sz w:val="22"/>
          <w:szCs w:val="28"/>
        </w:rPr>
      </w:pPr>
      <w:r w:rsidRPr="009C6838">
        <w:rPr>
          <w:b/>
          <w:sz w:val="22"/>
          <w:szCs w:val="28"/>
        </w:rPr>
        <w:t>Exhibit 4: Hourly Labor and Unit Costs for Employee Participation Plan Update (2020 dollars).</w:t>
      </w:r>
    </w:p>
    <w:tbl>
      <w:tblPr>
        <w:tblW w:w="4076" w:type="pct"/>
        <w:jc w:val="center"/>
        <w:tblLook w:val="04A0" w:firstRow="1" w:lastRow="0" w:firstColumn="1" w:lastColumn="0" w:noHBand="0" w:noVBand="1"/>
      </w:tblPr>
      <w:tblGrid>
        <w:gridCol w:w="1674"/>
        <w:gridCol w:w="1072"/>
        <w:gridCol w:w="1072"/>
        <w:gridCol w:w="820"/>
        <w:gridCol w:w="846"/>
        <w:gridCol w:w="1072"/>
        <w:gridCol w:w="1066"/>
      </w:tblGrid>
      <w:tr w:rsidRPr="004D4B61" w:rsidR="00451AB6" w:rsidTr="0074445B" w14:paraId="5D22DD60" w14:textId="77777777">
        <w:trPr>
          <w:trHeight w:val="221"/>
          <w:jc w:val="center"/>
        </w:trPr>
        <w:tc>
          <w:tcPr>
            <w:tcW w:w="1098"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835820" w:rsidR="00451AB6" w:rsidP="00833C86" w:rsidRDefault="00451AB6" w14:paraId="49599D20" w14:textId="77777777">
            <w:pPr>
              <w:keepNext/>
              <w:jc w:val="center"/>
              <w:rPr>
                <w:b/>
                <w:color w:val="000000"/>
                <w:szCs w:val="20"/>
              </w:rPr>
            </w:pPr>
            <w:r w:rsidRPr="00835820">
              <w:rPr>
                <w:b/>
                <w:color w:val="000000"/>
                <w:szCs w:val="20"/>
              </w:rPr>
              <w:t>Facility Type</w:t>
            </w:r>
          </w:p>
        </w:tc>
        <w:tc>
          <w:tcPr>
            <w:tcW w:w="703" w:type="pct"/>
            <w:tcBorders>
              <w:top w:val="single" w:color="auto" w:sz="4" w:space="0"/>
              <w:left w:val="nil"/>
              <w:bottom w:val="single" w:color="auto" w:sz="4" w:space="0"/>
              <w:right w:val="single" w:color="auto" w:sz="4" w:space="0"/>
            </w:tcBorders>
            <w:shd w:val="clear" w:color="auto" w:fill="D9D9D9" w:themeFill="background1" w:themeFillShade="D9"/>
            <w:vAlign w:val="bottom"/>
            <w:hideMark/>
          </w:tcPr>
          <w:p w:rsidRPr="00835820" w:rsidR="00451AB6" w:rsidP="00833C86" w:rsidRDefault="00451AB6" w14:paraId="0DED9FA2" w14:textId="77777777">
            <w:pPr>
              <w:keepNext/>
              <w:jc w:val="center"/>
              <w:rPr>
                <w:b/>
                <w:color w:val="000000"/>
                <w:szCs w:val="20"/>
              </w:rPr>
            </w:pPr>
            <w:r w:rsidRPr="00835820">
              <w:rPr>
                <w:b/>
                <w:color w:val="000000"/>
                <w:szCs w:val="20"/>
              </w:rPr>
              <w:t>Mgr.</w:t>
            </w:r>
          </w:p>
        </w:tc>
        <w:tc>
          <w:tcPr>
            <w:tcW w:w="703" w:type="pct"/>
            <w:tcBorders>
              <w:top w:val="single" w:color="auto" w:sz="4" w:space="0"/>
              <w:left w:val="nil"/>
              <w:bottom w:val="single" w:color="auto" w:sz="4" w:space="0"/>
              <w:right w:val="single" w:color="auto" w:sz="4" w:space="0"/>
            </w:tcBorders>
            <w:shd w:val="clear" w:color="auto" w:fill="D9D9D9" w:themeFill="background1" w:themeFillShade="D9"/>
            <w:vAlign w:val="bottom"/>
            <w:hideMark/>
          </w:tcPr>
          <w:p w:rsidRPr="00835820" w:rsidR="00451AB6" w:rsidP="00833C86" w:rsidRDefault="00451AB6" w14:paraId="7011B682" w14:textId="77777777">
            <w:pPr>
              <w:keepNext/>
              <w:jc w:val="center"/>
              <w:rPr>
                <w:b/>
                <w:color w:val="000000"/>
                <w:szCs w:val="20"/>
              </w:rPr>
            </w:pPr>
            <w:r w:rsidRPr="00835820">
              <w:rPr>
                <w:b/>
                <w:color w:val="000000"/>
                <w:szCs w:val="20"/>
              </w:rPr>
              <w:t>Corp Mgr.</w:t>
            </w:r>
          </w:p>
        </w:tc>
        <w:tc>
          <w:tcPr>
            <w:tcW w:w="538" w:type="pct"/>
            <w:tcBorders>
              <w:top w:val="single" w:color="auto" w:sz="4" w:space="0"/>
              <w:left w:val="nil"/>
              <w:bottom w:val="single" w:color="auto" w:sz="4" w:space="0"/>
              <w:right w:val="single" w:color="auto" w:sz="4" w:space="0"/>
            </w:tcBorders>
            <w:shd w:val="clear" w:color="auto" w:fill="D9D9D9" w:themeFill="background1" w:themeFillShade="D9"/>
            <w:vAlign w:val="bottom"/>
            <w:hideMark/>
          </w:tcPr>
          <w:p w:rsidRPr="00835820" w:rsidR="00451AB6" w:rsidP="00833C86" w:rsidRDefault="00451AB6" w14:paraId="72937CF4" w14:textId="77777777">
            <w:pPr>
              <w:keepNext/>
              <w:jc w:val="center"/>
              <w:rPr>
                <w:b/>
                <w:color w:val="000000"/>
                <w:szCs w:val="20"/>
              </w:rPr>
            </w:pPr>
            <w:r w:rsidRPr="00835820">
              <w:rPr>
                <w:b/>
                <w:color w:val="000000"/>
                <w:szCs w:val="20"/>
              </w:rPr>
              <w:t>Atty.</w:t>
            </w:r>
          </w:p>
        </w:tc>
        <w:tc>
          <w:tcPr>
            <w:tcW w:w="555" w:type="pct"/>
            <w:tcBorders>
              <w:top w:val="single" w:color="auto" w:sz="4" w:space="0"/>
              <w:left w:val="nil"/>
              <w:bottom w:val="single" w:color="auto" w:sz="4" w:space="0"/>
              <w:right w:val="single" w:color="auto" w:sz="4" w:space="0"/>
            </w:tcBorders>
            <w:shd w:val="clear" w:color="auto" w:fill="D9D9D9" w:themeFill="background1" w:themeFillShade="D9"/>
            <w:vAlign w:val="bottom"/>
            <w:hideMark/>
          </w:tcPr>
          <w:p w:rsidRPr="00835820" w:rsidR="00451AB6" w:rsidP="00833C86" w:rsidRDefault="00451AB6" w14:paraId="1F2D93DB" w14:textId="77777777">
            <w:pPr>
              <w:keepNext/>
              <w:jc w:val="center"/>
              <w:rPr>
                <w:b/>
                <w:color w:val="000000"/>
                <w:szCs w:val="20"/>
              </w:rPr>
            </w:pPr>
            <w:r w:rsidRPr="00835820">
              <w:rPr>
                <w:b/>
                <w:color w:val="000000"/>
                <w:szCs w:val="20"/>
              </w:rPr>
              <w:t>Eng.</w:t>
            </w:r>
          </w:p>
        </w:tc>
        <w:tc>
          <w:tcPr>
            <w:tcW w:w="703" w:type="pct"/>
            <w:tcBorders>
              <w:top w:val="single" w:color="auto" w:sz="4" w:space="0"/>
              <w:left w:val="nil"/>
              <w:bottom w:val="single" w:color="auto" w:sz="4" w:space="0"/>
              <w:right w:val="single" w:color="auto" w:sz="4" w:space="0"/>
            </w:tcBorders>
            <w:shd w:val="clear" w:color="auto" w:fill="D9D9D9" w:themeFill="background1" w:themeFillShade="D9"/>
            <w:vAlign w:val="bottom"/>
            <w:hideMark/>
          </w:tcPr>
          <w:p w:rsidRPr="00835820" w:rsidR="00451AB6" w:rsidP="00833C86" w:rsidRDefault="00451AB6" w14:paraId="328DEBBC" w14:textId="77777777">
            <w:pPr>
              <w:keepNext/>
              <w:jc w:val="center"/>
              <w:rPr>
                <w:b/>
                <w:color w:val="000000"/>
                <w:szCs w:val="20"/>
              </w:rPr>
            </w:pPr>
            <w:r w:rsidRPr="00835820">
              <w:rPr>
                <w:b/>
                <w:color w:val="000000"/>
                <w:szCs w:val="20"/>
              </w:rPr>
              <w:t>Prod. Staff</w:t>
            </w:r>
          </w:p>
        </w:tc>
        <w:tc>
          <w:tcPr>
            <w:tcW w:w="699" w:type="pct"/>
            <w:tcBorders>
              <w:top w:val="single" w:color="auto" w:sz="4" w:space="0"/>
              <w:left w:val="nil"/>
              <w:bottom w:val="single" w:color="auto" w:sz="4" w:space="0"/>
              <w:right w:val="single" w:color="auto" w:sz="4" w:space="0"/>
            </w:tcBorders>
            <w:shd w:val="clear" w:color="auto" w:fill="D9D9D9" w:themeFill="background1" w:themeFillShade="D9"/>
            <w:vAlign w:val="bottom"/>
          </w:tcPr>
          <w:p w:rsidRPr="00835820" w:rsidR="00451AB6" w:rsidP="00833C86" w:rsidRDefault="00451AB6" w14:paraId="09996776" w14:textId="77777777">
            <w:pPr>
              <w:keepNext/>
              <w:jc w:val="center"/>
              <w:rPr>
                <w:b/>
                <w:color w:val="000000"/>
                <w:szCs w:val="20"/>
              </w:rPr>
            </w:pPr>
            <w:r w:rsidRPr="00835820">
              <w:rPr>
                <w:b/>
                <w:color w:val="000000"/>
                <w:szCs w:val="20"/>
              </w:rPr>
              <w:t>Facility Cost</w:t>
            </w:r>
          </w:p>
        </w:tc>
      </w:tr>
      <w:tr w:rsidRPr="004D4B61" w:rsidR="00451AB6" w:rsidTr="0074445B" w14:paraId="4ABC91B5" w14:textId="77777777">
        <w:trPr>
          <w:trHeight w:val="249"/>
          <w:jc w:val="center"/>
        </w:trPr>
        <w:tc>
          <w:tcPr>
            <w:tcW w:w="1098" w:type="pct"/>
            <w:tcBorders>
              <w:top w:val="nil"/>
              <w:left w:val="single" w:color="auto" w:sz="4" w:space="0"/>
              <w:bottom w:val="single" w:color="auto" w:sz="4" w:space="0"/>
              <w:right w:val="single" w:color="auto" w:sz="4" w:space="0"/>
            </w:tcBorders>
            <w:shd w:val="clear" w:color="auto" w:fill="auto"/>
            <w:vAlign w:val="bottom"/>
            <w:hideMark/>
          </w:tcPr>
          <w:p w:rsidRPr="00835820" w:rsidR="00451AB6" w:rsidP="00833C86" w:rsidRDefault="00451AB6" w14:paraId="1D939EF8" w14:textId="77777777">
            <w:pPr>
              <w:keepNext/>
              <w:rPr>
                <w:color w:val="000000"/>
                <w:szCs w:val="20"/>
              </w:rPr>
            </w:pPr>
            <w:r w:rsidRPr="00835820">
              <w:rPr>
                <w:color w:val="000000"/>
                <w:szCs w:val="20"/>
              </w:rPr>
              <w:t>Simple</w:t>
            </w:r>
          </w:p>
        </w:tc>
        <w:tc>
          <w:tcPr>
            <w:tcW w:w="703" w:type="pct"/>
            <w:tcBorders>
              <w:top w:val="nil"/>
              <w:left w:val="nil"/>
              <w:bottom w:val="single" w:color="auto" w:sz="4" w:space="0"/>
              <w:right w:val="single" w:color="auto" w:sz="4" w:space="0"/>
            </w:tcBorders>
            <w:shd w:val="clear" w:color="auto" w:fill="auto"/>
            <w:noWrap/>
            <w:vAlign w:val="bottom"/>
          </w:tcPr>
          <w:p w:rsidRPr="00835820" w:rsidR="00451AB6" w:rsidP="00833C86" w:rsidRDefault="00451AB6" w14:paraId="43464392" w14:textId="77777777">
            <w:pPr>
              <w:keepNext/>
              <w:jc w:val="center"/>
              <w:rPr>
                <w:color w:val="000000"/>
                <w:szCs w:val="20"/>
              </w:rPr>
            </w:pPr>
            <w:r w:rsidRPr="00835820">
              <w:rPr>
                <w:color w:val="000000"/>
                <w:szCs w:val="20"/>
              </w:rPr>
              <w:t>0</w:t>
            </w:r>
          </w:p>
        </w:tc>
        <w:tc>
          <w:tcPr>
            <w:tcW w:w="703" w:type="pct"/>
            <w:tcBorders>
              <w:top w:val="nil"/>
              <w:left w:val="nil"/>
              <w:bottom w:val="single" w:color="auto" w:sz="4" w:space="0"/>
              <w:right w:val="single" w:color="auto" w:sz="4" w:space="0"/>
            </w:tcBorders>
            <w:shd w:val="clear" w:color="auto" w:fill="auto"/>
            <w:noWrap/>
            <w:vAlign w:val="bottom"/>
            <w:hideMark/>
          </w:tcPr>
          <w:p w:rsidRPr="00835820" w:rsidR="00451AB6" w:rsidP="00833C86" w:rsidRDefault="00451AB6" w14:paraId="799B09B5" w14:textId="77777777">
            <w:pPr>
              <w:keepNext/>
              <w:jc w:val="center"/>
              <w:rPr>
                <w:color w:val="000000"/>
                <w:szCs w:val="20"/>
              </w:rPr>
            </w:pPr>
            <w:r w:rsidRPr="00835820">
              <w:rPr>
                <w:color w:val="000000"/>
                <w:szCs w:val="20"/>
              </w:rPr>
              <w:t>0</w:t>
            </w:r>
          </w:p>
        </w:tc>
        <w:tc>
          <w:tcPr>
            <w:tcW w:w="538" w:type="pct"/>
            <w:tcBorders>
              <w:top w:val="nil"/>
              <w:left w:val="nil"/>
              <w:bottom w:val="single" w:color="auto" w:sz="4" w:space="0"/>
              <w:right w:val="single" w:color="auto" w:sz="4" w:space="0"/>
            </w:tcBorders>
            <w:shd w:val="clear" w:color="auto" w:fill="auto"/>
            <w:noWrap/>
            <w:vAlign w:val="bottom"/>
            <w:hideMark/>
          </w:tcPr>
          <w:p w:rsidRPr="00835820" w:rsidR="00451AB6" w:rsidP="00833C86" w:rsidRDefault="00451AB6" w14:paraId="4BD06482" w14:textId="77777777">
            <w:pPr>
              <w:keepNext/>
              <w:jc w:val="center"/>
              <w:rPr>
                <w:color w:val="000000"/>
                <w:szCs w:val="20"/>
              </w:rPr>
            </w:pPr>
            <w:r w:rsidRPr="00835820">
              <w:rPr>
                <w:color w:val="000000"/>
                <w:szCs w:val="20"/>
              </w:rPr>
              <w:t>0</w:t>
            </w:r>
          </w:p>
        </w:tc>
        <w:tc>
          <w:tcPr>
            <w:tcW w:w="555" w:type="pct"/>
            <w:tcBorders>
              <w:top w:val="nil"/>
              <w:left w:val="nil"/>
              <w:bottom w:val="single" w:color="auto" w:sz="4" w:space="0"/>
              <w:right w:val="single" w:color="auto" w:sz="4" w:space="0"/>
            </w:tcBorders>
            <w:shd w:val="clear" w:color="auto" w:fill="auto"/>
            <w:noWrap/>
            <w:vAlign w:val="bottom"/>
            <w:hideMark/>
          </w:tcPr>
          <w:p w:rsidRPr="00835820" w:rsidR="00451AB6" w:rsidP="00833C86" w:rsidRDefault="00451AB6" w14:paraId="14AC9D88" w14:textId="77777777">
            <w:pPr>
              <w:keepNext/>
              <w:jc w:val="center"/>
              <w:rPr>
                <w:color w:val="000000"/>
                <w:szCs w:val="20"/>
              </w:rPr>
            </w:pPr>
            <w:r w:rsidRPr="00835820">
              <w:rPr>
                <w:color w:val="000000"/>
                <w:szCs w:val="20"/>
              </w:rPr>
              <w:t>0.5</w:t>
            </w:r>
          </w:p>
        </w:tc>
        <w:tc>
          <w:tcPr>
            <w:tcW w:w="703" w:type="pct"/>
            <w:tcBorders>
              <w:top w:val="nil"/>
              <w:left w:val="nil"/>
              <w:bottom w:val="single" w:color="auto" w:sz="4" w:space="0"/>
              <w:right w:val="single" w:color="auto" w:sz="4" w:space="0"/>
            </w:tcBorders>
            <w:shd w:val="clear" w:color="auto" w:fill="auto"/>
            <w:noWrap/>
            <w:vAlign w:val="bottom"/>
            <w:hideMark/>
          </w:tcPr>
          <w:p w:rsidRPr="00835820" w:rsidR="00451AB6" w:rsidP="00833C86" w:rsidRDefault="00451AB6" w14:paraId="3D2416C4" w14:textId="77777777">
            <w:pPr>
              <w:keepNext/>
              <w:jc w:val="center"/>
              <w:rPr>
                <w:color w:val="000000"/>
                <w:szCs w:val="20"/>
              </w:rPr>
            </w:pPr>
            <w:r w:rsidRPr="00835820">
              <w:rPr>
                <w:color w:val="000000"/>
                <w:szCs w:val="20"/>
              </w:rPr>
              <w:t>0.5</w:t>
            </w:r>
          </w:p>
        </w:tc>
        <w:tc>
          <w:tcPr>
            <w:tcW w:w="699" w:type="pct"/>
            <w:tcBorders>
              <w:top w:val="nil"/>
              <w:left w:val="nil"/>
              <w:bottom w:val="single" w:color="auto" w:sz="4" w:space="0"/>
              <w:right w:val="single" w:color="auto" w:sz="4" w:space="0"/>
            </w:tcBorders>
            <w:vAlign w:val="bottom"/>
          </w:tcPr>
          <w:p w:rsidRPr="00835820" w:rsidR="00451AB6" w:rsidP="00833C86" w:rsidRDefault="00451AB6" w14:paraId="2C8A2510" w14:textId="77777777">
            <w:pPr>
              <w:keepNext/>
              <w:jc w:val="center"/>
              <w:rPr>
                <w:color w:val="000000"/>
                <w:szCs w:val="20"/>
              </w:rPr>
            </w:pPr>
            <w:r w:rsidRPr="00835820">
              <w:rPr>
                <w:color w:val="000000"/>
                <w:szCs w:val="20"/>
              </w:rPr>
              <w:t>$55</w:t>
            </w:r>
          </w:p>
        </w:tc>
      </w:tr>
      <w:tr w:rsidRPr="004D4B61" w:rsidR="00451AB6" w:rsidTr="0074445B" w14:paraId="5C20B619" w14:textId="77777777">
        <w:trPr>
          <w:trHeight w:val="249"/>
          <w:jc w:val="center"/>
        </w:trPr>
        <w:tc>
          <w:tcPr>
            <w:tcW w:w="1098" w:type="pct"/>
            <w:tcBorders>
              <w:top w:val="nil"/>
              <w:left w:val="single" w:color="auto" w:sz="4" w:space="0"/>
              <w:bottom w:val="single" w:color="auto" w:sz="4" w:space="0"/>
              <w:right w:val="single" w:color="auto" w:sz="4" w:space="0"/>
            </w:tcBorders>
            <w:shd w:val="clear" w:color="auto" w:fill="auto"/>
            <w:vAlign w:val="bottom"/>
          </w:tcPr>
          <w:p w:rsidRPr="00835820" w:rsidR="00451AB6" w:rsidP="00833C86" w:rsidRDefault="00451AB6" w14:paraId="3F2E9DC0" w14:textId="77777777">
            <w:pPr>
              <w:keepNext/>
              <w:rPr>
                <w:color w:val="000000"/>
                <w:szCs w:val="20"/>
              </w:rPr>
            </w:pPr>
            <w:r w:rsidRPr="00835820">
              <w:rPr>
                <w:color w:val="000000"/>
                <w:szCs w:val="20"/>
              </w:rPr>
              <w:t>Complex</w:t>
            </w:r>
          </w:p>
        </w:tc>
        <w:tc>
          <w:tcPr>
            <w:tcW w:w="703" w:type="pct"/>
            <w:tcBorders>
              <w:top w:val="nil"/>
              <w:left w:val="nil"/>
              <w:bottom w:val="single" w:color="auto" w:sz="4" w:space="0"/>
              <w:right w:val="single" w:color="auto" w:sz="4" w:space="0"/>
            </w:tcBorders>
            <w:shd w:val="clear" w:color="auto" w:fill="auto"/>
            <w:noWrap/>
            <w:vAlign w:val="bottom"/>
          </w:tcPr>
          <w:p w:rsidRPr="00835820" w:rsidR="00451AB6" w:rsidP="00833C86" w:rsidRDefault="00451AB6" w14:paraId="7A66B626" w14:textId="77777777">
            <w:pPr>
              <w:keepNext/>
              <w:jc w:val="center"/>
              <w:rPr>
                <w:color w:val="000000"/>
                <w:szCs w:val="20"/>
              </w:rPr>
            </w:pPr>
            <w:r w:rsidRPr="00835820">
              <w:rPr>
                <w:color w:val="000000"/>
                <w:szCs w:val="20"/>
              </w:rPr>
              <w:t>0</w:t>
            </w:r>
          </w:p>
        </w:tc>
        <w:tc>
          <w:tcPr>
            <w:tcW w:w="703" w:type="pct"/>
            <w:tcBorders>
              <w:top w:val="nil"/>
              <w:left w:val="nil"/>
              <w:bottom w:val="single" w:color="auto" w:sz="4" w:space="0"/>
              <w:right w:val="single" w:color="auto" w:sz="4" w:space="0"/>
            </w:tcBorders>
            <w:shd w:val="clear" w:color="auto" w:fill="auto"/>
            <w:noWrap/>
            <w:vAlign w:val="bottom"/>
          </w:tcPr>
          <w:p w:rsidRPr="00835820" w:rsidR="00451AB6" w:rsidP="00833C86" w:rsidRDefault="00451AB6" w14:paraId="5166C31E" w14:textId="77777777">
            <w:pPr>
              <w:keepNext/>
              <w:jc w:val="center"/>
              <w:rPr>
                <w:color w:val="000000"/>
                <w:szCs w:val="20"/>
              </w:rPr>
            </w:pPr>
            <w:r w:rsidRPr="00835820">
              <w:rPr>
                <w:color w:val="000000"/>
                <w:szCs w:val="20"/>
              </w:rPr>
              <w:t>0</w:t>
            </w:r>
          </w:p>
        </w:tc>
        <w:tc>
          <w:tcPr>
            <w:tcW w:w="538" w:type="pct"/>
            <w:tcBorders>
              <w:top w:val="nil"/>
              <w:left w:val="nil"/>
              <w:bottom w:val="single" w:color="auto" w:sz="4" w:space="0"/>
              <w:right w:val="single" w:color="auto" w:sz="4" w:space="0"/>
            </w:tcBorders>
            <w:shd w:val="clear" w:color="auto" w:fill="auto"/>
            <w:noWrap/>
            <w:vAlign w:val="bottom"/>
          </w:tcPr>
          <w:p w:rsidRPr="00835820" w:rsidR="00451AB6" w:rsidP="00833C86" w:rsidRDefault="00451AB6" w14:paraId="6E5844B7" w14:textId="77777777">
            <w:pPr>
              <w:keepNext/>
              <w:jc w:val="center"/>
              <w:rPr>
                <w:color w:val="000000"/>
                <w:szCs w:val="20"/>
              </w:rPr>
            </w:pPr>
            <w:r w:rsidRPr="00835820">
              <w:rPr>
                <w:color w:val="000000"/>
                <w:szCs w:val="20"/>
              </w:rPr>
              <w:t>0</w:t>
            </w:r>
          </w:p>
        </w:tc>
        <w:tc>
          <w:tcPr>
            <w:tcW w:w="555" w:type="pct"/>
            <w:tcBorders>
              <w:top w:val="nil"/>
              <w:left w:val="nil"/>
              <w:bottom w:val="single" w:color="auto" w:sz="4" w:space="0"/>
              <w:right w:val="single" w:color="auto" w:sz="4" w:space="0"/>
            </w:tcBorders>
            <w:shd w:val="clear" w:color="auto" w:fill="auto"/>
            <w:noWrap/>
            <w:vAlign w:val="bottom"/>
          </w:tcPr>
          <w:p w:rsidRPr="00835820" w:rsidR="00451AB6" w:rsidP="00833C86" w:rsidRDefault="00451AB6" w14:paraId="4B51131F" w14:textId="77777777">
            <w:pPr>
              <w:keepNext/>
              <w:jc w:val="center"/>
              <w:rPr>
                <w:color w:val="000000"/>
                <w:szCs w:val="20"/>
              </w:rPr>
            </w:pPr>
            <w:r w:rsidRPr="00835820">
              <w:rPr>
                <w:color w:val="000000"/>
                <w:szCs w:val="20"/>
              </w:rPr>
              <w:t>0.5</w:t>
            </w:r>
          </w:p>
        </w:tc>
        <w:tc>
          <w:tcPr>
            <w:tcW w:w="703" w:type="pct"/>
            <w:tcBorders>
              <w:top w:val="nil"/>
              <w:left w:val="nil"/>
              <w:bottom w:val="single" w:color="auto" w:sz="4" w:space="0"/>
              <w:right w:val="single" w:color="auto" w:sz="4" w:space="0"/>
            </w:tcBorders>
            <w:shd w:val="clear" w:color="auto" w:fill="auto"/>
            <w:noWrap/>
            <w:vAlign w:val="bottom"/>
          </w:tcPr>
          <w:p w:rsidRPr="00835820" w:rsidR="00451AB6" w:rsidP="00833C86" w:rsidRDefault="00451AB6" w14:paraId="005762CF" w14:textId="77777777">
            <w:pPr>
              <w:keepNext/>
              <w:jc w:val="center"/>
              <w:rPr>
                <w:color w:val="000000"/>
                <w:szCs w:val="20"/>
              </w:rPr>
            </w:pPr>
            <w:r w:rsidRPr="00835820">
              <w:rPr>
                <w:color w:val="000000"/>
                <w:szCs w:val="20"/>
              </w:rPr>
              <w:t>0.5</w:t>
            </w:r>
          </w:p>
        </w:tc>
        <w:tc>
          <w:tcPr>
            <w:tcW w:w="699" w:type="pct"/>
            <w:tcBorders>
              <w:top w:val="nil"/>
              <w:left w:val="nil"/>
              <w:bottom w:val="single" w:color="auto" w:sz="4" w:space="0"/>
              <w:right w:val="single" w:color="auto" w:sz="4" w:space="0"/>
            </w:tcBorders>
            <w:vAlign w:val="bottom"/>
          </w:tcPr>
          <w:p w:rsidRPr="00835820" w:rsidR="00451AB6" w:rsidP="00833C86" w:rsidRDefault="00451AB6" w14:paraId="33764ACF" w14:textId="77777777">
            <w:pPr>
              <w:keepNext/>
              <w:jc w:val="center"/>
              <w:rPr>
                <w:color w:val="000000"/>
                <w:szCs w:val="20"/>
              </w:rPr>
            </w:pPr>
            <w:r w:rsidRPr="00835820">
              <w:rPr>
                <w:color w:val="000000"/>
                <w:szCs w:val="20"/>
              </w:rPr>
              <w:t>$79</w:t>
            </w:r>
          </w:p>
        </w:tc>
      </w:tr>
    </w:tbl>
    <w:p w:rsidR="00451AB6" w:rsidP="00451AB6" w:rsidRDefault="00451AB6" w14:paraId="319A5F0C" w14:textId="77777777">
      <w:pPr>
        <w:ind w:firstLine="720"/>
      </w:pPr>
    </w:p>
    <w:p w:rsidRPr="005D57AA" w:rsidR="005D57AA" w:rsidP="005D57AA" w:rsidRDefault="005D57AA" w14:paraId="5055632E" w14:textId="356840D7">
      <w:pPr>
        <w:ind w:firstLine="360"/>
        <w:rPr>
          <w:sz w:val="22"/>
          <w:szCs w:val="22"/>
        </w:rPr>
      </w:pPr>
    </w:p>
    <w:p w:rsidRPr="005F4006" w:rsidR="00DA1560" w:rsidP="00DA1560" w:rsidRDefault="00DA1560" w14:paraId="0ED7A747" w14:textId="77777777">
      <w:pPr>
        <w:rPr>
          <w:rStyle w:val="Strong"/>
          <w:rFonts w:asciiTheme="majorBidi" w:hAnsiTheme="majorBidi" w:cstheme="majorBidi"/>
          <w:b w:val="0"/>
          <w:bCs w:val="0"/>
          <w:i/>
          <w:iCs/>
          <w:sz w:val="22"/>
          <w:szCs w:val="28"/>
        </w:rPr>
      </w:pPr>
      <w:r w:rsidRPr="005F4006">
        <w:rPr>
          <w:rStyle w:val="Strong"/>
          <w:rFonts w:asciiTheme="majorBidi" w:hAnsiTheme="majorBidi" w:cstheme="majorBidi"/>
          <w:b w:val="0"/>
          <w:bCs w:val="0"/>
          <w:i/>
          <w:iCs/>
          <w:sz w:val="22"/>
          <w:szCs w:val="28"/>
        </w:rPr>
        <w:t>Emergency Backup Power for Perimeter Monitors</w:t>
      </w:r>
    </w:p>
    <w:p w:rsidRPr="005D6C8A" w:rsidR="00EF743F" w:rsidP="005D6C8A" w:rsidRDefault="005D6C8A" w14:paraId="3ACFE8E1" w14:textId="2DD9E7C4">
      <w:pPr>
        <w:ind w:firstLine="720"/>
        <w:rPr>
          <w:color w:val="000000"/>
          <w:sz w:val="22"/>
          <w:szCs w:val="22"/>
        </w:rPr>
      </w:pPr>
      <w:r w:rsidRPr="005D6C8A">
        <w:rPr>
          <w:sz w:val="22"/>
          <w:szCs w:val="22"/>
        </w:rPr>
        <w:t xml:space="preserve">EPA is proposing to require perimeter monitoring equipment associated with prevention and detection of accidental releases from RMP-regulated processes to have standby or backup power to ensure compliance with the intent of the rule. </w:t>
      </w:r>
      <w:r w:rsidRPr="005D6C8A">
        <w:rPr>
          <w:color w:val="000000"/>
          <w:sz w:val="22"/>
          <w:szCs w:val="22"/>
        </w:rPr>
        <w:t>Facilities with perimeter monitoring equipment that do not have backup power would need to acquire backup power. Many continuous emissions monitoring systems have low power requirements.</w:t>
      </w:r>
      <w:r w:rsidRPr="005D6C8A" w:rsidR="000075AC">
        <w:rPr>
          <w:color w:val="000000"/>
          <w:sz w:val="22"/>
          <w:szCs w:val="22"/>
        </w:rPr>
        <w:t xml:space="preserve"> </w:t>
      </w:r>
      <w:r w:rsidRPr="005D6C8A">
        <w:rPr>
          <w:color w:val="000000"/>
          <w:sz w:val="22"/>
          <w:szCs w:val="22"/>
        </w:rPr>
        <w:t>EPA assumes that affected facilities will implement backup power using a small generator at a total cost of $1,000 for their monitoring equipment.</w:t>
      </w:r>
    </w:p>
    <w:p w:rsidRPr="00586F1B" w:rsidR="00EF743F" w:rsidP="00EF743F" w:rsidRDefault="00EF743F" w14:paraId="2C39DC94"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highlight w:val="yellow"/>
        </w:rPr>
      </w:pPr>
    </w:p>
    <w:p w:rsidRPr="00586F1B" w:rsidR="00EF743F" w:rsidP="00EF743F" w:rsidRDefault="00EF743F" w14:paraId="06DB1B6F" w14:textId="77777777">
      <w:pPr>
        <w:pStyle w:val="ListParagraph"/>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ind w:left="1166"/>
        <w:contextualSpacing w:val="0"/>
        <w:rPr>
          <w:sz w:val="22"/>
          <w:szCs w:val="22"/>
          <w:highlight w:val="yellow"/>
        </w:rPr>
      </w:pPr>
    </w:p>
    <w:p w:rsidRPr="00343ABE" w:rsidR="00C61E11" w:rsidP="00EF743F" w:rsidRDefault="00C61E11" w14:paraId="74849206" w14:textId="1EB827CD">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343ABE">
        <w:rPr>
          <w:b/>
          <w:bCs/>
          <w:sz w:val="22"/>
          <w:szCs w:val="22"/>
        </w:rPr>
        <w:t>6(b)</w:t>
      </w:r>
      <w:r w:rsidRPr="00343ABE">
        <w:rPr>
          <w:b/>
          <w:bCs/>
          <w:sz w:val="22"/>
          <w:szCs w:val="22"/>
        </w:rPr>
        <w:tab/>
        <w:t>Estimating Respondent Costs</w:t>
      </w:r>
      <w:r w:rsidRPr="00343ABE">
        <w:rPr>
          <w:sz w:val="22"/>
          <w:szCs w:val="22"/>
        </w:rPr>
        <w:t xml:space="preserve"> (</w:t>
      </w:r>
      <w:r w:rsidRPr="00343ABE">
        <w:rPr>
          <w:i/>
          <w:sz w:val="22"/>
          <w:szCs w:val="22"/>
        </w:rPr>
        <w:t>Sources</w:t>
      </w:r>
      <w:r w:rsidRPr="00343ABE" w:rsidR="003B13F9">
        <w:rPr>
          <w:i/>
          <w:sz w:val="22"/>
          <w:szCs w:val="22"/>
        </w:rPr>
        <w:t>, Local Responders,</w:t>
      </w:r>
      <w:r w:rsidRPr="00343ABE">
        <w:rPr>
          <w:i/>
          <w:sz w:val="22"/>
          <w:szCs w:val="22"/>
        </w:rPr>
        <w:t xml:space="preserve"> and </w:t>
      </w:r>
      <w:r w:rsidRPr="00343ABE" w:rsidR="003B13F9">
        <w:rPr>
          <w:i/>
          <w:sz w:val="22"/>
          <w:szCs w:val="22"/>
        </w:rPr>
        <w:t>S</w:t>
      </w:r>
      <w:r w:rsidRPr="00343ABE">
        <w:rPr>
          <w:i/>
          <w:sz w:val="22"/>
          <w:szCs w:val="22"/>
        </w:rPr>
        <w:t xml:space="preserve">tate </w:t>
      </w:r>
      <w:r w:rsidRPr="00343ABE" w:rsidR="003B13F9">
        <w:rPr>
          <w:i/>
          <w:sz w:val="22"/>
          <w:szCs w:val="22"/>
        </w:rPr>
        <w:t>I</w:t>
      </w:r>
      <w:r w:rsidRPr="00343ABE">
        <w:rPr>
          <w:i/>
          <w:sz w:val="22"/>
          <w:szCs w:val="22"/>
        </w:rPr>
        <w:t xml:space="preserve">mplementing </w:t>
      </w:r>
      <w:r w:rsidRPr="00343ABE" w:rsidR="003B13F9">
        <w:rPr>
          <w:i/>
          <w:sz w:val="22"/>
          <w:szCs w:val="22"/>
        </w:rPr>
        <w:t>A</w:t>
      </w:r>
      <w:r w:rsidRPr="00343ABE">
        <w:rPr>
          <w:i/>
          <w:sz w:val="22"/>
          <w:szCs w:val="22"/>
        </w:rPr>
        <w:t>gencies</w:t>
      </w:r>
      <w:r w:rsidRPr="00343ABE">
        <w:rPr>
          <w:sz w:val="22"/>
          <w:szCs w:val="22"/>
        </w:rPr>
        <w:t>)</w:t>
      </w:r>
    </w:p>
    <w:p w:rsidRPr="00343ABE" w:rsidR="00EF743F" w:rsidP="00EF743F" w:rsidRDefault="00EF743F" w14:paraId="19DB98F9"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Pr="00343ABE" w:rsidR="00C61E11" w:rsidP="00BC05FF" w:rsidRDefault="00C61E11" w14:paraId="467510A5" w14:textId="4783D667">
      <w:pPr>
        <w:pStyle w:val="ListParagraph"/>
        <w:numPr>
          <w:ilvl w:val="0"/>
          <w:numId w:val="12"/>
        </w:num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343ABE">
        <w:rPr>
          <w:b/>
          <w:bCs/>
          <w:sz w:val="22"/>
          <w:szCs w:val="22"/>
        </w:rPr>
        <w:t>Estimating Labor Costs</w:t>
      </w:r>
    </w:p>
    <w:p w:rsidRPr="00343ABE" w:rsidR="00EF743F" w:rsidP="00EF743F" w:rsidRDefault="00EF743F" w14:paraId="27C50A2E" w14:textId="77777777">
      <w:pPr>
        <w:pStyle w:val="ListParagraph"/>
        <w:tabs>
          <w:tab w:val="left" w:pos="720"/>
          <w:tab w:val="left" w:pos="1440"/>
          <w:tab w:val="left" w:pos="2160"/>
          <w:tab w:val="left" w:pos="2880"/>
          <w:tab w:val="left" w:pos="3600"/>
          <w:tab w:val="left" w:pos="4320"/>
          <w:tab w:val="left" w:pos="5040"/>
          <w:tab w:val="left" w:pos="5850"/>
          <w:tab w:val="left" w:pos="6480"/>
          <w:tab w:val="left" w:pos="7200"/>
          <w:tab w:val="left" w:pos="7922"/>
        </w:tabs>
        <w:ind w:left="1080"/>
        <w:rPr>
          <w:sz w:val="22"/>
          <w:szCs w:val="22"/>
          <w:highlight w:val="yellow"/>
        </w:rPr>
      </w:pPr>
    </w:p>
    <w:p w:rsidRPr="00343ABE" w:rsidR="00343ABE" w:rsidP="00343ABE" w:rsidRDefault="00343ABE" w14:paraId="1F8BE0E1" w14:textId="7B8C59F5">
      <w:pPr>
        <w:ind w:firstLine="720"/>
        <w:rPr>
          <w:sz w:val="22"/>
          <w:szCs w:val="22"/>
        </w:rPr>
      </w:pPr>
      <w:r w:rsidRPr="00343ABE">
        <w:rPr>
          <w:sz w:val="22"/>
          <w:szCs w:val="22"/>
        </w:rPr>
        <w:t>The Agency used the Bureau of Labor Statistics (BLS) May 2020 Occupational Employment and Wage Estimates</w:t>
      </w:r>
      <w:r w:rsidRPr="00343ABE">
        <w:rPr>
          <w:rStyle w:val="FootnoteReference"/>
          <w:sz w:val="22"/>
          <w:szCs w:val="22"/>
        </w:rPr>
        <w:footnoteReference w:id="6"/>
      </w:r>
      <w:r w:rsidRPr="00343ABE">
        <w:rPr>
          <w:sz w:val="22"/>
          <w:szCs w:val="22"/>
        </w:rPr>
        <w:t xml:space="preserve"> to construct a weighted wage rate for different occupational categories. For all rule provisions, labor hours were assumed to be distributed across six general labor categories: Management, Corporate Management, Attorneys, Engineers, Production Staff, and Local Responders. The weighted wage rates for complex facilities (NAICS 324 and 325) were estimated separately from simple facilities because wages paid by these facilities are higher than in wholesale and government sectors, which dominate the simple facilities category. For each of the NAICS codes representing industries in the simple facilities category that are affected by the rule provisions (Food and Beverage, Agricultural Facilities, etc.), standardized BLS Occupation Titles were identified to correspond to the six general labor categories. BLS wages were then adjusted to account for fringe benefits and overhead. Fringe benefits includes payments to cover items such as paid leave, supplemental pay, insurance, and retirement. Overhead includes resources to cover items such as office space and administrative personnel issues. Applying the June 2020 national average benefit ratio of 0.46</w:t>
      </w:r>
      <w:r w:rsidRPr="00343ABE">
        <w:rPr>
          <w:rStyle w:val="FootnoteReference"/>
          <w:sz w:val="22"/>
          <w:szCs w:val="22"/>
        </w:rPr>
        <w:footnoteReference w:id="7"/>
      </w:r>
      <w:r w:rsidRPr="00343ABE">
        <w:rPr>
          <w:sz w:val="22"/>
          <w:szCs w:val="22"/>
        </w:rPr>
        <w:t xml:space="preserve"> and an overhead cost ratio not inclusive of benefits of 0.3, the Agency multiplied the wage rates for each BLS Occupation Title by a factor of 1.76 to </w:t>
      </w:r>
      <w:r w:rsidRPr="00343ABE">
        <w:rPr>
          <w:sz w:val="22"/>
          <w:szCs w:val="22"/>
        </w:rPr>
        <w:lastRenderedPageBreak/>
        <w:t>create a fully loaded wage rate.</w:t>
      </w:r>
      <w:r w:rsidRPr="00343ABE">
        <w:rPr>
          <w:rStyle w:val="FootnoteReference"/>
          <w:sz w:val="22"/>
          <w:szCs w:val="22"/>
        </w:rPr>
        <w:footnoteReference w:id="8"/>
      </w:r>
      <w:r w:rsidRPr="00343ABE">
        <w:rPr>
          <w:sz w:val="22"/>
          <w:szCs w:val="22"/>
        </w:rPr>
        <w:t xml:space="preserve"> After loaded wage rates were established for each industry, they were combined to form a weighted average based on the prominence of each industry within its universe of facilities, either simple or complex. Exhibit </w:t>
      </w:r>
      <w:r w:rsidR="00451AB6">
        <w:rPr>
          <w:sz w:val="22"/>
          <w:szCs w:val="22"/>
        </w:rPr>
        <w:t>5</w:t>
      </w:r>
      <w:r w:rsidRPr="00343ABE" w:rsidR="00451AB6">
        <w:rPr>
          <w:sz w:val="22"/>
          <w:szCs w:val="22"/>
        </w:rPr>
        <w:t xml:space="preserve"> </w:t>
      </w:r>
      <w:r w:rsidRPr="00343ABE">
        <w:rPr>
          <w:sz w:val="22"/>
          <w:szCs w:val="22"/>
        </w:rPr>
        <w:t xml:space="preserve">presents the wage rates </w:t>
      </w:r>
      <w:r>
        <w:rPr>
          <w:sz w:val="22"/>
          <w:szCs w:val="22"/>
        </w:rPr>
        <w:t>the Agency</w:t>
      </w:r>
      <w:r w:rsidRPr="00343ABE">
        <w:rPr>
          <w:sz w:val="22"/>
          <w:szCs w:val="22"/>
        </w:rPr>
        <w:t xml:space="preserve"> used in the analysis.</w:t>
      </w:r>
    </w:p>
    <w:p w:rsidRPr="004D4B61" w:rsidR="00343ABE" w:rsidP="00343ABE" w:rsidRDefault="00343ABE" w14:paraId="543ED27B" w14:textId="77777777">
      <w:pPr>
        <w:rPr>
          <w:b/>
        </w:rPr>
      </w:pPr>
    </w:p>
    <w:p w:rsidRPr="00DB08C1" w:rsidR="00343ABE" w:rsidP="0074445B" w:rsidRDefault="00343ABE" w14:paraId="091DA21D" w14:textId="526414BF">
      <w:pPr>
        <w:pStyle w:val="Caption"/>
        <w:spacing w:after="0"/>
        <w:jc w:val="center"/>
        <w:rPr>
          <w:b/>
          <w:bCs/>
          <w:i w:val="0"/>
          <w:iCs w:val="0"/>
          <w:color w:val="auto"/>
          <w:sz w:val="22"/>
          <w:szCs w:val="22"/>
        </w:rPr>
      </w:pPr>
      <w:r w:rsidRPr="00DB08C1">
        <w:rPr>
          <w:b/>
          <w:bCs/>
          <w:i w:val="0"/>
          <w:iCs w:val="0"/>
          <w:color w:val="auto"/>
          <w:sz w:val="22"/>
          <w:szCs w:val="22"/>
        </w:rPr>
        <w:t xml:space="preserve">Exhibit </w:t>
      </w:r>
      <w:r w:rsidR="00451AB6">
        <w:rPr>
          <w:b/>
          <w:bCs/>
          <w:i w:val="0"/>
          <w:iCs w:val="0"/>
          <w:color w:val="auto"/>
          <w:sz w:val="22"/>
          <w:szCs w:val="22"/>
        </w:rPr>
        <w:t>5</w:t>
      </w:r>
      <w:r w:rsidRPr="00DB08C1">
        <w:rPr>
          <w:b/>
          <w:bCs/>
          <w:i w:val="0"/>
          <w:iCs w:val="0"/>
          <w:color w:val="auto"/>
          <w:sz w:val="22"/>
          <w:szCs w:val="22"/>
        </w:rPr>
        <w:t>: Weighted-Average Loaded Hourly Wage Rates (2020 Dollars)</w:t>
      </w:r>
    </w:p>
    <w:tbl>
      <w:tblPr>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3513"/>
        <w:gridCol w:w="2761"/>
        <w:gridCol w:w="3076"/>
      </w:tblGrid>
      <w:tr w:rsidRPr="004D4B61" w:rsidR="00343ABE" w:rsidTr="00343ABE" w14:paraId="7DDBD4D8" w14:textId="77777777">
        <w:trPr>
          <w:trHeight w:val="20"/>
          <w:tblHeader/>
          <w:jc w:val="center"/>
        </w:trPr>
        <w:tc>
          <w:tcPr>
            <w:tcW w:w="1878" w:type="pct"/>
            <w:shd w:val="clear" w:color="auto" w:fill="D9D9D9"/>
            <w:vAlign w:val="center"/>
          </w:tcPr>
          <w:p w:rsidRPr="00D7128A" w:rsidR="00343ABE" w:rsidP="00F81BD5" w:rsidRDefault="00343ABE" w14:paraId="50E0D573" w14:textId="77777777">
            <w:pPr>
              <w:ind w:left="90"/>
              <w:rPr>
                <w:b/>
                <w:szCs w:val="20"/>
              </w:rPr>
            </w:pPr>
            <w:r w:rsidRPr="00D7128A">
              <w:rPr>
                <w:b/>
                <w:szCs w:val="20"/>
              </w:rPr>
              <w:t>Labor Category</w:t>
            </w:r>
          </w:p>
        </w:tc>
        <w:tc>
          <w:tcPr>
            <w:tcW w:w="1476" w:type="pct"/>
            <w:shd w:val="clear" w:color="auto" w:fill="D9D9D9"/>
            <w:vAlign w:val="center"/>
          </w:tcPr>
          <w:p w:rsidRPr="00D7128A" w:rsidR="00343ABE" w:rsidP="00FF2AD1" w:rsidRDefault="00343ABE" w14:paraId="5C698F57" w14:textId="77777777">
            <w:pPr>
              <w:ind w:left="84" w:right="81"/>
              <w:jc w:val="center"/>
              <w:rPr>
                <w:b/>
                <w:szCs w:val="20"/>
              </w:rPr>
            </w:pPr>
            <w:r w:rsidRPr="00D7128A">
              <w:rPr>
                <w:b/>
                <w:szCs w:val="20"/>
              </w:rPr>
              <w:t>Simple Facilities</w:t>
            </w:r>
          </w:p>
        </w:tc>
        <w:tc>
          <w:tcPr>
            <w:tcW w:w="1645" w:type="pct"/>
            <w:shd w:val="clear" w:color="auto" w:fill="D9D9D9"/>
            <w:vAlign w:val="center"/>
          </w:tcPr>
          <w:p w:rsidRPr="00D7128A" w:rsidR="00343ABE" w:rsidP="00FF2AD1" w:rsidRDefault="00343ABE" w14:paraId="58ACF264" w14:textId="77777777">
            <w:pPr>
              <w:ind w:left="87" w:right="81"/>
              <w:jc w:val="center"/>
              <w:rPr>
                <w:b/>
                <w:szCs w:val="20"/>
              </w:rPr>
            </w:pPr>
            <w:r w:rsidRPr="00D7128A">
              <w:rPr>
                <w:b/>
                <w:szCs w:val="20"/>
              </w:rPr>
              <w:t>Complex Facilities</w:t>
            </w:r>
          </w:p>
        </w:tc>
      </w:tr>
      <w:tr w:rsidRPr="004D4B61" w:rsidR="00343ABE" w:rsidTr="00343ABE" w14:paraId="6FE5645F" w14:textId="77777777">
        <w:trPr>
          <w:trHeight w:val="20"/>
          <w:jc w:val="center"/>
        </w:trPr>
        <w:tc>
          <w:tcPr>
            <w:tcW w:w="1878" w:type="pct"/>
            <w:vAlign w:val="center"/>
          </w:tcPr>
          <w:p w:rsidRPr="00D7128A" w:rsidR="00343ABE" w:rsidP="00FF2AD1" w:rsidRDefault="00343ABE" w14:paraId="75815F99" w14:textId="77777777">
            <w:pPr>
              <w:ind w:left="107"/>
              <w:rPr>
                <w:szCs w:val="20"/>
              </w:rPr>
            </w:pPr>
            <w:r w:rsidRPr="00D7128A">
              <w:rPr>
                <w:szCs w:val="20"/>
              </w:rPr>
              <w:t>Management</w:t>
            </w:r>
          </w:p>
        </w:tc>
        <w:tc>
          <w:tcPr>
            <w:tcW w:w="1476" w:type="pct"/>
            <w:vAlign w:val="center"/>
          </w:tcPr>
          <w:p w:rsidRPr="00D7128A" w:rsidR="00343ABE" w:rsidP="00FF2AD1" w:rsidRDefault="00343ABE" w14:paraId="7F3D579B" w14:textId="77777777">
            <w:pPr>
              <w:ind w:left="84" w:right="80"/>
              <w:jc w:val="center"/>
              <w:rPr>
                <w:szCs w:val="20"/>
              </w:rPr>
            </w:pPr>
            <w:r w:rsidRPr="00D7128A">
              <w:rPr>
                <w:color w:val="000000"/>
                <w:szCs w:val="20"/>
              </w:rPr>
              <w:t>$103.06</w:t>
            </w:r>
          </w:p>
        </w:tc>
        <w:tc>
          <w:tcPr>
            <w:tcW w:w="1645" w:type="pct"/>
            <w:vAlign w:val="center"/>
          </w:tcPr>
          <w:p w:rsidRPr="00D7128A" w:rsidR="00343ABE" w:rsidP="00FF2AD1" w:rsidRDefault="00343ABE" w14:paraId="6F56CC38" w14:textId="77777777">
            <w:pPr>
              <w:ind w:left="85" w:right="81"/>
              <w:jc w:val="center"/>
              <w:rPr>
                <w:szCs w:val="20"/>
              </w:rPr>
            </w:pPr>
            <w:r w:rsidRPr="00D7128A">
              <w:rPr>
                <w:color w:val="000000"/>
                <w:szCs w:val="20"/>
              </w:rPr>
              <w:t>$135.63</w:t>
            </w:r>
          </w:p>
        </w:tc>
      </w:tr>
      <w:tr w:rsidRPr="004D4B61" w:rsidR="00343ABE" w:rsidTr="00343ABE" w14:paraId="7E40FC58" w14:textId="77777777">
        <w:trPr>
          <w:trHeight w:val="20"/>
          <w:jc w:val="center"/>
        </w:trPr>
        <w:tc>
          <w:tcPr>
            <w:tcW w:w="1878" w:type="pct"/>
            <w:vAlign w:val="center"/>
          </w:tcPr>
          <w:p w:rsidRPr="00D7128A" w:rsidR="00343ABE" w:rsidP="00FF2AD1" w:rsidRDefault="00343ABE" w14:paraId="4E487D3B" w14:textId="77777777">
            <w:pPr>
              <w:ind w:left="107"/>
              <w:rPr>
                <w:szCs w:val="20"/>
              </w:rPr>
            </w:pPr>
            <w:r w:rsidRPr="00D7128A">
              <w:rPr>
                <w:szCs w:val="20"/>
              </w:rPr>
              <w:t>Corporate Management</w:t>
            </w:r>
          </w:p>
        </w:tc>
        <w:tc>
          <w:tcPr>
            <w:tcW w:w="1476" w:type="pct"/>
            <w:vAlign w:val="center"/>
          </w:tcPr>
          <w:p w:rsidRPr="00D7128A" w:rsidR="00343ABE" w:rsidP="00FF2AD1" w:rsidRDefault="00343ABE" w14:paraId="4DF92FDA" w14:textId="77777777">
            <w:pPr>
              <w:ind w:left="84" w:right="81"/>
              <w:jc w:val="center"/>
              <w:rPr>
                <w:szCs w:val="20"/>
              </w:rPr>
            </w:pPr>
            <w:r w:rsidRPr="00D7128A">
              <w:rPr>
                <w:color w:val="000000"/>
                <w:szCs w:val="20"/>
              </w:rPr>
              <w:t>$105.24</w:t>
            </w:r>
          </w:p>
        </w:tc>
        <w:tc>
          <w:tcPr>
            <w:tcW w:w="1645" w:type="pct"/>
            <w:vAlign w:val="center"/>
          </w:tcPr>
          <w:p w:rsidRPr="00D7128A" w:rsidR="00343ABE" w:rsidP="00FF2AD1" w:rsidRDefault="00343ABE" w14:paraId="6BAD9BDA" w14:textId="77777777">
            <w:pPr>
              <w:ind w:left="85" w:right="81"/>
              <w:jc w:val="center"/>
              <w:rPr>
                <w:szCs w:val="20"/>
              </w:rPr>
            </w:pPr>
            <w:r w:rsidRPr="00D7128A">
              <w:rPr>
                <w:color w:val="000000"/>
                <w:szCs w:val="20"/>
              </w:rPr>
              <w:t>$134.46</w:t>
            </w:r>
          </w:p>
        </w:tc>
      </w:tr>
      <w:tr w:rsidRPr="004D4B61" w:rsidR="00343ABE" w:rsidTr="00343ABE" w14:paraId="05C85FAA" w14:textId="77777777">
        <w:trPr>
          <w:trHeight w:val="20"/>
          <w:jc w:val="center"/>
        </w:trPr>
        <w:tc>
          <w:tcPr>
            <w:tcW w:w="1878" w:type="pct"/>
            <w:vAlign w:val="center"/>
          </w:tcPr>
          <w:p w:rsidRPr="00D7128A" w:rsidR="00343ABE" w:rsidP="00FF2AD1" w:rsidRDefault="00343ABE" w14:paraId="1E1DA971" w14:textId="77777777">
            <w:pPr>
              <w:ind w:left="107"/>
              <w:rPr>
                <w:szCs w:val="20"/>
              </w:rPr>
            </w:pPr>
            <w:r w:rsidRPr="00D7128A">
              <w:rPr>
                <w:szCs w:val="20"/>
              </w:rPr>
              <w:t>Attorneys</w:t>
            </w:r>
          </w:p>
        </w:tc>
        <w:tc>
          <w:tcPr>
            <w:tcW w:w="1476" w:type="pct"/>
            <w:vAlign w:val="center"/>
          </w:tcPr>
          <w:p w:rsidRPr="00D7128A" w:rsidR="00343ABE" w:rsidP="00FF2AD1" w:rsidRDefault="00343ABE" w14:paraId="72FA160F" w14:textId="77777777">
            <w:pPr>
              <w:ind w:left="84" w:right="76"/>
              <w:jc w:val="center"/>
              <w:rPr>
                <w:szCs w:val="20"/>
              </w:rPr>
            </w:pPr>
            <w:r w:rsidRPr="00D7128A">
              <w:rPr>
                <w:color w:val="000000"/>
                <w:szCs w:val="20"/>
              </w:rPr>
              <w:t>$132.14</w:t>
            </w:r>
          </w:p>
        </w:tc>
        <w:tc>
          <w:tcPr>
            <w:tcW w:w="1645" w:type="pct"/>
            <w:vAlign w:val="center"/>
          </w:tcPr>
          <w:p w:rsidRPr="00D7128A" w:rsidR="00343ABE" w:rsidP="00FF2AD1" w:rsidRDefault="00343ABE" w14:paraId="7F2D3E9F" w14:textId="77777777">
            <w:pPr>
              <w:ind w:left="85" w:right="81"/>
              <w:jc w:val="center"/>
              <w:rPr>
                <w:szCs w:val="20"/>
              </w:rPr>
            </w:pPr>
            <w:r w:rsidRPr="00D7128A">
              <w:rPr>
                <w:color w:val="000000"/>
                <w:szCs w:val="20"/>
              </w:rPr>
              <w:t>$157.85</w:t>
            </w:r>
          </w:p>
        </w:tc>
      </w:tr>
      <w:tr w:rsidRPr="004D4B61" w:rsidR="00343ABE" w:rsidTr="00343ABE" w14:paraId="528A2269" w14:textId="77777777">
        <w:trPr>
          <w:trHeight w:val="20"/>
          <w:jc w:val="center"/>
        </w:trPr>
        <w:tc>
          <w:tcPr>
            <w:tcW w:w="1878" w:type="pct"/>
            <w:vAlign w:val="center"/>
          </w:tcPr>
          <w:p w:rsidRPr="00D7128A" w:rsidR="00343ABE" w:rsidP="00FF2AD1" w:rsidRDefault="00343ABE" w14:paraId="730AA0A5" w14:textId="77777777">
            <w:pPr>
              <w:ind w:left="107"/>
              <w:rPr>
                <w:szCs w:val="20"/>
              </w:rPr>
            </w:pPr>
            <w:r w:rsidRPr="00D7128A">
              <w:rPr>
                <w:szCs w:val="20"/>
              </w:rPr>
              <w:t>Engineers</w:t>
            </w:r>
          </w:p>
        </w:tc>
        <w:tc>
          <w:tcPr>
            <w:tcW w:w="1476" w:type="pct"/>
            <w:vAlign w:val="center"/>
          </w:tcPr>
          <w:p w:rsidRPr="00D7128A" w:rsidR="00343ABE" w:rsidP="00FF2AD1" w:rsidRDefault="00343ABE" w14:paraId="79C1DA5E" w14:textId="77777777">
            <w:pPr>
              <w:ind w:left="84" w:right="81"/>
              <w:jc w:val="center"/>
              <w:rPr>
                <w:szCs w:val="20"/>
              </w:rPr>
            </w:pPr>
            <w:r w:rsidRPr="00D7128A">
              <w:rPr>
                <w:color w:val="000000"/>
                <w:szCs w:val="20"/>
              </w:rPr>
              <w:t>$69.31</w:t>
            </w:r>
          </w:p>
        </w:tc>
        <w:tc>
          <w:tcPr>
            <w:tcW w:w="1645" w:type="pct"/>
            <w:vAlign w:val="center"/>
          </w:tcPr>
          <w:p w:rsidRPr="00D7128A" w:rsidR="00343ABE" w:rsidP="00FF2AD1" w:rsidRDefault="00343ABE" w14:paraId="1CE32EE1" w14:textId="77777777">
            <w:pPr>
              <w:ind w:left="87" w:right="80"/>
              <w:jc w:val="center"/>
              <w:rPr>
                <w:szCs w:val="20"/>
              </w:rPr>
            </w:pPr>
            <w:r w:rsidRPr="00D7128A">
              <w:rPr>
                <w:color w:val="000000"/>
                <w:szCs w:val="20"/>
              </w:rPr>
              <w:t>$100.43</w:t>
            </w:r>
          </w:p>
        </w:tc>
      </w:tr>
      <w:tr w:rsidRPr="004D4B61" w:rsidR="00343ABE" w:rsidTr="00343ABE" w14:paraId="6AE40380" w14:textId="77777777">
        <w:trPr>
          <w:trHeight w:val="20"/>
          <w:jc w:val="center"/>
        </w:trPr>
        <w:tc>
          <w:tcPr>
            <w:tcW w:w="1878" w:type="pct"/>
            <w:vAlign w:val="center"/>
          </w:tcPr>
          <w:p w:rsidRPr="00D7128A" w:rsidR="00343ABE" w:rsidP="00FF2AD1" w:rsidRDefault="00343ABE" w14:paraId="18570A96" w14:textId="77777777">
            <w:pPr>
              <w:keepNext/>
              <w:keepLines/>
              <w:ind w:left="107"/>
              <w:rPr>
                <w:szCs w:val="20"/>
              </w:rPr>
            </w:pPr>
            <w:r w:rsidRPr="00D7128A">
              <w:rPr>
                <w:szCs w:val="20"/>
              </w:rPr>
              <w:t>Production Staff</w:t>
            </w:r>
          </w:p>
        </w:tc>
        <w:tc>
          <w:tcPr>
            <w:tcW w:w="1476" w:type="pct"/>
            <w:vAlign w:val="center"/>
          </w:tcPr>
          <w:p w:rsidRPr="00D7128A" w:rsidR="00343ABE" w:rsidP="00FF2AD1" w:rsidRDefault="00343ABE" w14:paraId="5E3DDA4E" w14:textId="77777777">
            <w:pPr>
              <w:keepNext/>
              <w:keepLines/>
              <w:ind w:left="84" w:right="80"/>
              <w:jc w:val="center"/>
              <w:rPr>
                <w:szCs w:val="20"/>
              </w:rPr>
            </w:pPr>
            <w:r w:rsidRPr="00D7128A">
              <w:rPr>
                <w:color w:val="000000"/>
                <w:szCs w:val="20"/>
              </w:rPr>
              <w:t>$39.69</w:t>
            </w:r>
          </w:p>
        </w:tc>
        <w:tc>
          <w:tcPr>
            <w:tcW w:w="1645" w:type="pct"/>
            <w:vAlign w:val="center"/>
          </w:tcPr>
          <w:p w:rsidRPr="00D7128A" w:rsidR="00343ABE" w:rsidP="00FF2AD1" w:rsidRDefault="00343ABE" w14:paraId="05ECDCEC" w14:textId="77777777">
            <w:pPr>
              <w:keepNext/>
              <w:keepLines/>
              <w:ind w:left="87" w:right="80"/>
              <w:jc w:val="center"/>
              <w:rPr>
                <w:szCs w:val="20"/>
              </w:rPr>
            </w:pPr>
            <w:r w:rsidRPr="00D7128A">
              <w:rPr>
                <w:color w:val="000000"/>
                <w:szCs w:val="20"/>
              </w:rPr>
              <w:t>$56.61</w:t>
            </w:r>
          </w:p>
        </w:tc>
      </w:tr>
      <w:tr w:rsidRPr="004D4B61" w:rsidR="00343ABE" w:rsidTr="00343ABE" w14:paraId="7A6A408F" w14:textId="77777777">
        <w:trPr>
          <w:trHeight w:val="20"/>
          <w:jc w:val="center"/>
        </w:trPr>
        <w:tc>
          <w:tcPr>
            <w:tcW w:w="1878" w:type="pct"/>
            <w:vAlign w:val="center"/>
          </w:tcPr>
          <w:p w:rsidRPr="00D7128A" w:rsidR="00343ABE" w:rsidP="00FF2AD1" w:rsidRDefault="00343ABE" w14:paraId="4867476D" w14:textId="77777777">
            <w:pPr>
              <w:keepNext/>
              <w:keepLines/>
              <w:ind w:left="107"/>
              <w:rPr>
                <w:szCs w:val="20"/>
              </w:rPr>
            </w:pPr>
            <w:r w:rsidRPr="00D7128A">
              <w:rPr>
                <w:szCs w:val="20"/>
              </w:rPr>
              <w:t>Local Responders</w:t>
            </w:r>
          </w:p>
        </w:tc>
        <w:tc>
          <w:tcPr>
            <w:tcW w:w="1476" w:type="pct"/>
            <w:vAlign w:val="center"/>
          </w:tcPr>
          <w:p w:rsidRPr="00D7128A" w:rsidR="00343ABE" w:rsidP="00FF2AD1" w:rsidRDefault="00343ABE" w14:paraId="3D2BF93D" w14:textId="77777777">
            <w:pPr>
              <w:keepNext/>
              <w:keepLines/>
              <w:ind w:left="84" w:right="80"/>
              <w:jc w:val="center"/>
              <w:rPr>
                <w:szCs w:val="20"/>
              </w:rPr>
            </w:pPr>
            <w:r w:rsidRPr="00D7128A">
              <w:rPr>
                <w:color w:val="000000"/>
                <w:szCs w:val="20"/>
              </w:rPr>
              <w:t>$71.19</w:t>
            </w:r>
          </w:p>
        </w:tc>
        <w:tc>
          <w:tcPr>
            <w:tcW w:w="1645" w:type="pct"/>
            <w:vAlign w:val="center"/>
          </w:tcPr>
          <w:p w:rsidRPr="00D7128A" w:rsidR="00343ABE" w:rsidP="00FF2AD1" w:rsidRDefault="00343ABE" w14:paraId="5B056E6D" w14:textId="77777777">
            <w:pPr>
              <w:keepNext/>
              <w:keepLines/>
              <w:ind w:left="87" w:right="80"/>
              <w:jc w:val="center"/>
              <w:rPr>
                <w:szCs w:val="20"/>
              </w:rPr>
            </w:pPr>
            <w:r w:rsidRPr="00D7128A">
              <w:rPr>
                <w:color w:val="000000"/>
                <w:szCs w:val="20"/>
              </w:rPr>
              <w:t>$71.19</w:t>
            </w:r>
          </w:p>
        </w:tc>
      </w:tr>
    </w:tbl>
    <w:p w:rsidR="00343ABE" w:rsidP="00343ABE" w:rsidRDefault="00343ABE" w14:paraId="593B9C8B" w14:textId="30CC87CE">
      <w:pPr>
        <w:keepNext/>
        <w:keepLines/>
        <w:ind w:left="-90"/>
        <w:rPr>
          <w:rStyle w:val="Hyperlink"/>
          <w:sz w:val="18"/>
          <w:szCs w:val="18"/>
          <w:u w:val="none"/>
        </w:rPr>
      </w:pPr>
      <w:r w:rsidRPr="004D4B61">
        <w:tab/>
      </w:r>
      <w:r w:rsidRPr="003B1632">
        <w:rPr>
          <w:sz w:val="18"/>
          <w:szCs w:val="18"/>
        </w:rPr>
        <w:t>Source</w:t>
      </w:r>
      <w:r>
        <w:rPr>
          <w:sz w:val="18"/>
          <w:szCs w:val="18"/>
        </w:rPr>
        <w:t>s</w:t>
      </w:r>
      <w:r w:rsidRPr="003B1632">
        <w:rPr>
          <w:sz w:val="18"/>
          <w:szCs w:val="18"/>
        </w:rPr>
        <w:t>:</w:t>
      </w:r>
      <w:r w:rsidRPr="003B1632">
        <w:rPr>
          <w:b/>
          <w:sz w:val="18"/>
          <w:szCs w:val="18"/>
        </w:rPr>
        <w:t xml:space="preserve"> </w:t>
      </w:r>
      <w:hyperlink w:history="1" r:id="rId12">
        <w:r w:rsidRPr="003B1632">
          <w:rPr>
            <w:rStyle w:val="Hyperlink"/>
            <w:sz w:val="18"/>
            <w:szCs w:val="18"/>
          </w:rPr>
          <w:t>https://www.bls.gov/oes/2020/may/oes_nat.htm</w:t>
        </w:r>
      </w:hyperlink>
      <w:r w:rsidRPr="003B1632">
        <w:rPr>
          <w:rStyle w:val="Hyperlink"/>
          <w:sz w:val="18"/>
          <w:szCs w:val="18"/>
        </w:rPr>
        <w:t xml:space="preserve"> and </w:t>
      </w:r>
      <w:hyperlink w:history="1" r:id="rId13">
        <w:r w:rsidRPr="003B1632">
          <w:rPr>
            <w:rStyle w:val="Hyperlink"/>
            <w:sz w:val="18"/>
            <w:szCs w:val="18"/>
          </w:rPr>
          <w:t>http://www.bls.gov/news.release/ecec.nr0.htm.</w:t>
        </w:r>
      </w:hyperlink>
    </w:p>
    <w:p w:rsidRPr="003B1632" w:rsidR="00343ABE" w:rsidP="00343ABE" w:rsidRDefault="00343ABE" w14:paraId="52FF8CE1" w14:textId="77777777">
      <w:pPr>
        <w:keepNext/>
        <w:keepLines/>
        <w:ind w:left="-90"/>
        <w:rPr>
          <w:rStyle w:val="Hyperlink"/>
          <w:sz w:val="18"/>
          <w:szCs w:val="18"/>
        </w:rPr>
      </w:pPr>
    </w:p>
    <w:p w:rsidRPr="00586F1B" w:rsidR="00EF743F" w:rsidP="00EF743F" w:rsidRDefault="00EF743F" w14:paraId="4419F59A" w14:textId="77777777">
      <w:pPr>
        <w:keepLines/>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b/>
          <w:sz w:val="22"/>
          <w:highlight w:val="yellow"/>
        </w:rPr>
      </w:pPr>
    </w:p>
    <w:p w:rsidRPr="00526E2E" w:rsidR="00C61E11" w:rsidP="00BC05FF" w:rsidRDefault="00C61E11" w14:paraId="5740B247" w14:textId="5F5FAF4E">
      <w:pPr>
        <w:pStyle w:val="ListParagraph"/>
        <w:numPr>
          <w:ilvl w:val="0"/>
          <w:numId w:val="12"/>
        </w:num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sidRPr="00526E2E">
        <w:rPr>
          <w:b/>
          <w:bCs/>
          <w:sz w:val="22"/>
          <w:szCs w:val="22"/>
        </w:rPr>
        <w:t>Estimating Capital and Operations and Maintenance Costs</w:t>
      </w:r>
    </w:p>
    <w:p w:rsidRPr="00526E2E" w:rsidR="00EF743F" w:rsidP="00EF743F" w:rsidRDefault="00EF743F" w14:paraId="17C799B0" w14:textId="77777777">
      <w:pPr>
        <w:pStyle w:val="ListParagraph"/>
        <w:tabs>
          <w:tab w:val="left" w:pos="720"/>
          <w:tab w:val="left" w:pos="1440"/>
          <w:tab w:val="left" w:pos="2160"/>
          <w:tab w:val="left" w:pos="2880"/>
          <w:tab w:val="left" w:pos="3600"/>
          <w:tab w:val="left" w:pos="4320"/>
          <w:tab w:val="left" w:pos="5040"/>
          <w:tab w:val="left" w:pos="5850"/>
          <w:tab w:val="left" w:pos="6480"/>
          <w:tab w:val="left" w:pos="7200"/>
          <w:tab w:val="left" w:pos="7922"/>
        </w:tabs>
        <w:ind w:left="1080"/>
        <w:rPr>
          <w:sz w:val="22"/>
          <w:szCs w:val="22"/>
        </w:rPr>
      </w:pPr>
    </w:p>
    <w:p w:rsidRPr="00526E2E" w:rsidR="00C61E11" w:rsidP="00EF743F" w:rsidRDefault="00C61E11" w14:paraId="03967656" w14:textId="32EFF741">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sidRPr="00526E2E">
        <w:rPr>
          <w:b/>
          <w:bCs/>
          <w:sz w:val="22"/>
          <w:szCs w:val="22"/>
          <w:u w:val="single"/>
        </w:rPr>
        <w:t>Capital Costs</w:t>
      </w:r>
      <w:r w:rsidRPr="00526E2E">
        <w:rPr>
          <w:sz w:val="22"/>
          <w:szCs w:val="22"/>
        </w:rPr>
        <w:t xml:space="preserve"> </w:t>
      </w:r>
    </w:p>
    <w:p w:rsidRPr="00526E2E" w:rsidR="00EF743F" w:rsidP="00EF743F" w:rsidRDefault="00EF743F" w14:paraId="3AED3814"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rsidRPr="00526E2E" w:rsidR="00526E2E" w:rsidP="00526E2E" w:rsidRDefault="00526E2E" w14:paraId="0ACBD3A4" w14:textId="66533BAA">
      <w:pPr>
        <w:ind w:firstLine="720"/>
        <w:rPr>
          <w:sz w:val="22"/>
          <w:szCs w:val="22"/>
        </w:rPr>
      </w:pPr>
      <w:r w:rsidRPr="00526E2E">
        <w:rPr>
          <w:sz w:val="22"/>
          <w:szCs w:val="22"/>
        </w:rPr>
        <w:t xml:space="preserve">The analysis </w:t>
      </w:r>
      <w:r w:rsidRPr="00526E2E">
        <w:rPr>
          <w:spacing w:val="2"/>
          <w:sz w:val="22"/>
          <w:szCs w:val="22"/>
        </w:rPr>
        <w:t>include</w:t>
      </w:r>
      <w:r w:rsidR="000075AC">
        <w:rPr>
          <w:spacing w:val="2"/>
          <w:sz w:val="22"/>
          <w:szCs w:val="22"/>
        </w:rPr>
        <w:t>s</w:t>
      </w:r>
      <w:r w:rsidRPr="00526E2E">
        <w:rPr>
          <w:spacing w:val="2"/>
          <w:sz w:val="22"/>
          <w:szCs w:val="22"/>
        </w:rPr>
        <w:t xml:space="preserve"> the </w:t>
      </w:r>
      <w:r w:rsidRPr="00526E2E">
        <w:rPr>
          <w:sz w:val="22"/>
          <w:szCs w:val="22"/>
        </w:rPr>
        <w:t>capital cost associated with acquiring a generator to provide backup power for perimeter monitoring. The costs</w:t>
      </w:r>
      <w:r w:rsidRPr="00526E2E">
        <w:rPr>
          <w:spacing w:val="14"/>
          <w:sz w:val="22"/>
          <w:szCs w:val="22"/>
        </w:rPr>
        <w:t xml:space="preserve"> </w:t>
      </w:r>
      <w:r w:rsidRPr="00526E2E">
        <w:rPr>
          <w:sz w:val="22"/>
          <w:szCs w:val="22"/>
        </w:rPr>
        <w:t>of</w:t>
      </w:r>
      <w:r w:rsidRPr="00526E2E">
        <w:rPr>
          <w:spacing w:val="-1"/>
          <w:sz w:val="22"/>
          <w:szCs w:val="22"/>
        </w:rPr>
        <w:t xml:space="preserve"> </w:t>
      </w:r>
      <w:r w:rsidRPr="00526E2E">
        <w:rPr>
          <w:spacing w:val="3"/>
          <w:sz w:val="22"/>
          <w:szCs w:val="22"/>
        </w:rPr>
        <w:t>equipment</w:t>
      </w:r>
      <w:r w:rsidRPr="00526E2E">
        <w:rPr>
          <w:spacing w:val="-10"/>
          <w:sz w:val="22"/>
          <w:szCs w:val="22"/>
        </w:rPr>
        <w:t xml:space="preserve"> </w:t>
      </w:r>
      <w:r w:rsidRPr="00526E2E">
        <w:rPr>
          <w:sz w:val="22"/>
          <w:szCs w:val="22"/>
        </w:rPr>
        <w:t>purchased</w:t>
      </w:r>
      <w:r w:rsidRPr="00526E2E">
        <w:rPr>
          <w:spacing w:val="-7"/>
          <w:sz w:val="22"/>
          <w:szCs w:val="22"/>
        </w:rPr>
        <w:t xml:space="preserve"> </w:t>
      </w:r>
      <w:r w:rsidRPr="00526E2E">
        <w:rPr>
          <w:spacing w:val="2"/>
          <w:sz w:val="22"/>
          <w:szCs w:val="22"/>
        </w:rPr>
        <w:t>for</w:t>
      </w:r>
      <w:r w:rsidRPr="00526E2E">
        <w:rPr>
          <w:spacing w:val="-15"/>
          <w:sz w:val="22"/>
          <w:szCs w:val="22"/>
        </w:rPr>
        <w:t xml:space="preserve"> </w:t>
      </w:r>
      <w:r w:rsidRPr="00526E2E">
        <w:rPr>
          <w:spacing w:val="2"/>
          <w:sz w:val="22"/>
          <w:szCs w:val="22"/>
        </w:rPr>
        <w:t>facilities</w:t>
      </w:r>
      <w:r w:rsidRPr="00526E2E">
        <w:rPr>
          <w:spacing w:val="-6"/>
          <w:sz w:val="22"/>
          <w:szCs w:val="22"/>
        </w:rPr>
        <w:t xml:space="preserve"> </w:t>
      </w:r>
      <w:r w:rsidRPr="00526E2E">
        <w:rPr>
          <w:spacing w:val="-3"/>
          <w:sz w:val="22"/>
          <w:szCs w:val="22"/>
        </w:rPr>
        <w:t>required to implement backup power are not amortized</w:t>
      </w:r>
      <w:r w:rsidRPr="00526E2E">
        <w:rPr>
          <w:sz w:val="22"/>
          <w:szCs w:val="22"/>
        </w:rPr>
        <w:t>.</w:t>
      </w:r>
      <w:r w:rsidRPr="00526E2E">
        <w:rPr>
          <w:spacing w:val="7"/>
          <w:sz w:val="22"/>
          <w:szCs w:val="22"/>
        </w:rPr>
        <w:t xml:space="preserve"> </w:t>
      </w:r>
      <w:r w:rsidRPr="00526E2E">
        <w:rPr>
          <w:spacing w:val="-4"/>
          <w:sz w:val="22"/>
          <w:szCs w:val="22"/>
        </w:rPr>
        <w:t xml:space="preserve">Although </w:t>
      </w:r>
      <w:r w:rsidRPr="00526E2E">
        <w:rPr>
          <w:spacing w:val="2"/>
          <w:sz w:val="22"/>
          <w:szCs w:val="22"/>
        </w:rPr>
        <w:t xml:space="preserve">individual </w:t>
      </w:r>
      <w:r w:rsidRPr="00526E2E">
        <w:rPr>
          <w:sz w:val="22"/>
          <w:szCs w:val="22"/>
        </w:rPr>
        <w:t xml:space="preserve">equipment items </w:t>
      </w:r>
      <w:r w:rsidRPr="00526E2E">
        <w:rPr>
          <w:spacing w:val="-3"/>
          <w:sz w:val="22"/>
          <w:szCs w:val="22"/>
        </w:rPr>
        <w:t xml:space="preserve">are </w:t>
      </w:r>
      <w:r w:rsidRPr="00526E2E">
        <w:rPr>
          <w:sz w:val="22"/>
          <w:szCs w:val="22"/>
        </w:rPr>
        <w:t xml:space="preserve">relatively </w:t>
      </w:r>
      <w:r w:rsidRPr="00526E2E">
        <w:rPr>
          <w:spacing w:val="3"/>
          <w:sz w:val="22"/>
          <w:szCs w:val="22"/>
        </w:rPr>
        <w:t xml:space="preserve">low </w:t>
      </w:r>
      <w:r w:rsidRPr="00526E2E">
        <w:rPr>
          <w:sz w:val="22"/>
          <w:szCs w:val="22"/>
        </w:rPr>
        <w:t xml:space="preserve">cost, some facilities may choose to finance equipment purchases to spread the costs </w:t>
      </w:r>
      <w:r w:rsidRPr="00526E2E">
        <w:rPr>
          <w:spacing w:val="3"/>
          <w:sz w:val="22"/>
          <w:szCs w:val="22"/>
        </w:rPr>
        <w:t xml:space="preserve">over </w:t>
      </w:r>
      <w:r w:rsidRPr="00526E2E">
        <w:rPr>
          <w:sz w:val="22"/>
          <w:szCs w:val="22"/>
        </w:rPr>
        <w:t xml:space="preserve">several years, while others may treat them as an operating </w:t>
      </w:r>
      <w:r w:rsidRPr="00526E2E">
        <w:rPr>
          <w:spacing w:val="4"/>
          <w:sz w:val="22"/>
          <w:szCs w:val="22"/>
        </w:rPr>
        <w:t xml:space="preserve">expense and </w:t>
      </w:r>
      <w:r w:rsidRPr="00526E2E">
        <w:rPr>
          <w:sz w:val="22"/>
          <w:szCs w:val="22"/>
        </w:rPr>
        <w:t xml:space="preserve">pay them </w:t>
      </w:r>
      <w:r w:rsidRPr="00526E2E">
        <w:rPr>
          <w:spacing w:val="4"/>
          <w:sz w:val="22"/>
          <w:szCs w:val="22"/>
        </w:rPr>
        <w:t xml:space="preserve">in </w:t>
      </w:r>
      <w:r w:rsidRPr="00526E2E">
        <w:rPr>
          <w:sz w:val="22"/>
          <w:szCs w:val="22"/>
        </w:rPr>
        <w:t xml:space="preserve">a </w:t>
      </w:r>
      <w:r w:rsidRPr="00526E2E">
        <w:rPr>
          <w:spacing w:val="3"/>
          <w:sz w:val="22"/>
          <w:szCs w:val="22"/>
        </w:rPr>
        <w:t xml:space="preserve">single </w:t>
      </w:r>
      <w:r w:rsidRPr="00526E2E">
        <w:rPr>
          <w:sz w:val="22"/>
          <w:szCs w:val="22"/>
        </w:rPr>
        <w:t xml:space="preserve">year. By not amortizing equipment costs </w:t>
      </w:r>
      <w:r w:rsidRPr="00526E2E">
        <w:rPr>
          <w:spacing w:val="4"/>
          <w:sz w:val="22"/>
          <w:szCs w:val="22"/>
        </w:rPr>
        <w:t xml:space="preserve">in </w:t>
      </w:r>
      <w:r w:rsidRPr="00526E2E">
        <w:rPr>
          <w:sz w:val="22"/>
          <w:szCs w:val="22"/>
        </w:rPr>
        <w:t xml:space="preserve">this analysis, EPA </w:t>
      </w:r>
      <w:r w:rsidRPr="00526E2E">
        <w:rPr>
          <w:spacing w:val="4"/>
          <w:sz w:val="22"/>
          <w:szCs w:val="22"/>
        </w:rPr>
        <w:t xml:space="preserve">is </w:t>
      </w:r>
      <w:r w:rsidRPr="00526E2E">
        <w:rPr>
          <w:sz w:val="22"/>
          <w:szCs w:val="22"/>
        </w:rPr>
        <w:t>making the conservative</w:t>
      </w:r>
      <w:r w:rsidRPr="00526E2E">
        <w:rPr>
          <w:spacing w:val="-10"/>
          <w:sz w:val="22"/>
          <w:szCs w:val="22"/>
        </w:rPr>
        <w:t xml:space="preserve"> </w:t>
      </w:r>
      <w:r w:rsidRPr="00526E2E">
        <w:rPr>
          <w:sz w:val="22"/>
          <w:szCs w:val="22"/>
        </w:rPr>
        <w:t>assumption</w:t>
      </w:r>
      <w:r w:rsidRPr="00526E2E">
        <w:rPr>
          <w:spacing w:val="-16"/>
          <w:sz w:val="22"/>
          <w:szCs w:val="22"/>
        </w:rPr>
        <w:t xml:space="preserve"> </w:t>
      </w:r>
      <w:r w:rsidRPr="00526E2E">
        <w:rPr>
          <w:sz w:val="22"/>
          <w:szCs w:val="22"/>
        </w:rPr>
        <w:t>that</w:t>
      </w:r>
      <w:r w:rsidRPr="00526E2E">
        <w:rPr>
          <w:spacing w:val="-19"/>
          <w:sz w:val="22"/>
          <w:szCs w:val="22"/>
        </w:rPr>
        <w:t xml:space="preserve"> </w:t>
      </w:r>
      <w:r w:rsidRPr="00526E2E">
        <w:rPr>
          <w:sz w:val="22"/>
          <w:szCs w:val="22"/>
        </w:rPr>
        <w:t>facilities</w:t>
      </w:r>
      <w:r w:rsidRPr="00526E2E">
        <w:rPr>
          <w:spacing w:val="-15"/>
          <w:sz w:val="22"/>
          <w:szCs w:val="22"/>
        </w:rPr>
        <w:t xml:space="preserve"> </w:t>
      </w:r>
      <w:r w:rsidRPr="00526E2E">
        <w:rPr>
          <w:sz w:val="22"/>
          <w:szCs w:val="22"/>
        </w:rPr>
        <w:t>will</w:t>
      </w:r>
      <w:r w:rsidRPr="00526E2E">
        <w:rPr>
          <w:spacing w:val="-10"/>
          <w:sz w:val="22"/>
          <w:szCs w:val="22"/>
        </w:rPr>
        <w:t xml:space="preserve"> </w:t>
      </w:r>
      <w:r w:rsidRPr="00526E2E">
        <w:rPr>
          <w:sz w:val="22"/>
          <w:szCs w:val="22"/>
        </w:rPr>
        <w:t>pay</w:t>
      </w:r>
      <w:r w:rsidRPr="00526E2E">
        <w:rPr>
          <w:spacing w:val="-14"/>
          <w:sz w:val="22"/>
          <w:szCs w:val="22"/>
        </w:rPr>
        <w:t xml:space="preserve"> </w:t>
      </w:r>
      <w:r w:rsidRPr="00526E2E">
        <w:rPr>
          <w:sz w:val="22"/>
          <w:szCs w:val="22"/>
        </w:rPr>
        <w:t>these</w:t>
      </w:r>
      <w:r w:rsidRPr="00526E2E">
        <w:rPr>
          <w:spacing w:val="-10"/>
          <w:sz w:val="22"/>
          <w:szCs w:val="22"/>
        </w:rPr>
        <w:t xml:space="preserve"> </w:t>
      </w:r>
      <w:r w:rsidRPr="00526E2E">
        <w:rPr>
          <w:sz w:val="22"/>
          <w:szCs w:val="22"/>
        </w:rPr>
        <w:t>initial</w:t>
      </w:r>
      <w:r w:rsidRPr="00526E2E">
        <w:rPr>
          <w:spacing w:val="-25"/>
          <w:sz w:val="22"/>
          <w:szCs w:val="22"/>
        </w:rPr>
        <w:t xml:space="preserve"> </w:t>
      </w:r>
      <w:r w:rsidRPr="00526E2E">
        <w:rPr>
          <w:sz w:val="22"/>
          <w:szCs w:val="22"/>
        </w:rPr>
        <w:t>costs</w:t>
      </w:r>
      <w:r w:rsidRPr="00526E2E">
        <w:rPr>
          <w:spacing w:val="-16"/>
          <w:sz w:val="22"/>
          <w:szCs w:val="22"/>
        </w:rPr>
        <w:t xml:space="preserve"> </w:t>
      </w:r>
      <w:r w:rsidRPr="00526E2E">
        <w:rPr>
          <w:spacing w:val="4"/>
          <w:sz w:val="22"/>
          <w:szCs w:val="22"/>
        </w:rPr>
        <w:t>in</w:t>
      </w:r>
      <w:r w:rsidRPr="00526E2E">
        <w:rPr>
          <w:spacing w:val="-17"/>
          <w:sz w:val="22"/>
          <w:szCs w:val="22"/>
        </w:rPr>
        <w:t xml:space="preserve"> </w:t>
      </w:r>
      <w:r w:rsidRPr="00526E2E">
        <w:rPr>
          <w:sz w:val="22"/>
          <w:szCs w:val="22"/>
        </w:rPr>
        <w:t>a</w:t>
      </w:r>
      <w:r w:rsidRPr="00526E2E">
        <w:rPr>
          <w:spacing w:val="-5"/>
          <w:sz w:val="22"/>
          <w:szCs w:val="22"/>
        </w:rPr>
        <w:t xml:space="preserve"> </w:t>
      </w:r>
      <w:r w:rsidRPr="00526E2E">
        <w:rPr>
          <w:spacing w:val="3"/>
          <w:sz w:val="22"/>
          <w:szCs w:val="22"/>
        </w:rPr>
        <w:t>single</w:t>
      </w:r>
      <w:r w:rsidRPr="00526E2E">
        <w:rPr>
          <w:spacing w:val="-9"/>
          <w:sz w:val="22"/>
          <w:szCs w:val="22"/>
        </w:rPr>
        <w:t xml:space="preserve"> </w:t>
      </w:r>
      <w:r w:rsidRPr="00526E2E">
        <w:rPr>
          <w:sz w:val="22"/>
          <w:szCs w:val="22"/>
        </w:rPr>
        <w:t xml:space="preserve">year (year 1), which </w:t>
      </w:r>
      <w:r w:rsidR="000075AC">
        <w:rPr>
          <w:sz w:val="22"/>
          <w:szCs w:val="22"/>
        </w:rPr>
        <w:t xml:space="preserve">EPA believes is </w:t>
      </w:r>
      <w:r w:rsidRPr="00526E2E">
        <w:rPr>
          <w:sz w:val="22"/>
          <w:szCs w:val="22"/>
        </w:rPr>
        <w:t>likel</w:t>
      </w:r>
      <w:r w:rsidR="000075AC">
        <w:rPr>
          <w:sz w:val="22"/>
          <w:szCs w:val="22"/>
        </w:rPr>
        <w:t>y</w:t>
      </w:r>
      <w:r w:rsidRPr="00526E2E">
        <w:rPr>
          <w:sz w:val="22"/>
          <w:szCs w:val="22"/>
        </w:rPr>
        <w:t xml:space="preserve"> given </w:t>
      </w:r>
      <w:r w:rsidR="0066537F">
        <w:rPr>
          <w:sz w:val="22"/>
          <w:szCs w:val="22"/>
        </w:rPr>
        <w:t xml:space="preserve">the </w:t>
      </w:r>
      <w:r w:rsidRPr="00526E2E">
        <w:rPr>
          <w:sz w:val="22"/>
          <w:szCs w:val="22"/>
        </w:rPr>
        <w:t>assum</w:t>
      </w:r>
      <w:r w:rsidR="0066537F">
        <w:rPr>
          <w:sz w:val="22"/>
          <w:szCs w:val="22"/>
        </w:rPr>
        <w:t>ption that</w:t>
      </w:r>
      <w:r w:rsidRPr="00526E2E">
        <w:rPr>
          <w:sz w:val="22"/>
          <w:szCs w:val="22"/>
        </w:rPr>
        <w:t xml:space="preserve"> the generator for backup power cost will cost $1,000 and that each facility will purchase only one generator that will last for the entire 10-year period of analysis and beyond.</w:t>
      </w:r>
    </w:p>
    <w:p w:rsidR="00526E2E" w:rsidP="00A64143" w:rsidRDefault="00526E2E" w14:paraId="0BC95C0E"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highlight w:val="yellow"/>
        </w:rPr>
      </w:pPr>
    </w:p>
    <w:p w:rsidRPr="00BD7ACF" w:rsidR="00C61E11" w:rsidP="00EF743F" w:rsidRDefault="00C61E11" w14:paraId="212A4671" w14:textId="468BBE69">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b/>
          <w:bCs/>
          <w:sz w:val="22"/>
          <w:szCs w:val="22"/>
        </w:rPr>
      </w:pPr>
      <w:r w:rsidRPr="00BD7ACF">
        <w:rPr>
          <w:b/>
          <w:bCs/>
          <w:sz w:val="22"/>
          <w:szCs w:val="22"/>
          <w:u w:val="single"/>
        </w:rPr>
        <w:t xml:space="preserve">Operating &amp; Maintenance </w:t>
      </w:r>
      <w:r w:rsidRPr="00BD7ACF" w:rsidR="00A64143">
        <w:rPr>
          <w:b/>
          <w:bCs/>
          <w:sz w:val="22"/>
          <w:szCs w:val="22"/>
          <w:u w:val="single"/>
        </w:rPr>
        <w:t xml:space="preserve">(O&amp;M) </w:t>
      </w:r>
      <w:r w:rsidRPr="00BD7ACF">
        <w:rPr>
          <w:b/>
          <w:bCs/>
          <w:sz w:val="22"/>
          <w:szCs w:val="22"/>
          <w:u w:val="single"/>
        </w:rPr>
        <w:t>Costs</w:t>
      </w:r>
      <w:r w:rsidRPr="00BD7ACF">
        <w:rPr>
          <w:b/>
          <w:bCs/>
          <w:sz w:val="22"/>
          <w:szCs w:val="22"/>
        </w:rPr>
        <w:t xml:space="preserve"> </w:t>
      </w:r>
    </w:p>
    <w:p w:rsidRPr="00586F1B" w:rsidR="00EF743F" w:rsidP="00EF743F" w:rsidRDefault="00EF743F" w14:paraId="28597A26"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highlight w:val="yellow"/>
        </w:rPr>
      </w:pPr>
    </w:p>
    <w:p w:rsidRPr="00BD7ACF" w:rsidR="00BD7ACF" w:rsidP="00EF743F" w:rsidRDefault="00BD7ACF" w14:paraId="7B2CE7C8" w14:textId="24175AD0">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8"/>
        </w:rPr>
      </w:pPr>
      <w:r w:rsidRPr="00BD7ACF">
        <w:rPr>
          <w:sz w:val="22"/>
          <w:szCs w:val="28"/>
        </w:rPr>
        <w:t xml:space="preserve">The analysis used an ongoing cost when costs for years 2 </w:t>
      </w:r>
      <w:r w:rsidR="00AB746E">
        <w:rPr>
          <w:sz w:val="22"/>
          <w:szCs w:val="28"/>
        </w:rPr>
        <w:t>and 3 of the ICR period (and beyond)</w:t>
      </w:r>
      <w:r w:rsidRPr="00BD7ACF">
        <w:rPr>
          <w:sz w:val="22"/>
          <w:szCs w:val="28"/>
        </w:rPr>
        <w:t xml:space="preserve"> were different from the initial cost components. If costs for years 2 </w:t>
      </w:r>
      <w:r w:rsidR="00AB746E">
        <w:rPr>
          <w:sz w:val="22"/>
          <w:szCs w:val="28"/>
        </w:rPr>
        <w:t>and 3</w:t>
      </w:r>
      <w:r w:rsidRPr="00BD7ACF">
        <w:rPr>
          <w:sz w:val="22"/>
          <w:szCs w:val="28"/>
        </w:rPr>
        <w:t xml:space="preserve"> were the same as the initial year (with some variation based on the annual frequency), then multiplying the initial cost by the annual frequency accounted for any continuing costs. </w:t>
      </w:r>
    </w:p>
    <w:p w:rsidRPr="00586F1B" w:rsidR="00EF743F" w:rsidP="00EF743F" w:rsidRDefault="00EF743F" w14:paraId="5FAF40BE" w14:textId="77777777">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highlight w:val="yellow"/>
        </w:rPr>
      </w:pPr>
    </w:p>
    <w:p w:rsidRPr="00F5497B" w:rsidR="00C61E11" w:rsidP="00EF743F" w:rsidRDefault="00C61E11" w14:paraId="29F78630" w14:textId="6153B0E8">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sidRPr="00F5497B">
        <w:rPr>
          <w:b/>
          <w:bCs/>
          <w:sz w:val="22"/>
          <w:szCs w:val="22"/>
        </w:rPr>
        <w:t>6(c)</w:t>
      </w:r>
      <w:r w:rsidRPr="00F5497B">
        <w:rPr>
          <w:b/>
          <w:bCs/>
          <w:sz w:val="22"/>
          <w:szCs w:val="22"/>
        </w:rPr>
        <w:tab/>
        <w:t>Estimating Agency Burden and Cost</w:t>
      </w:r>
    </w:p>
    <w:p w:rsidRPr="00586F1B" w:rsidR="00EF743F" w:rsidP="00EF743F" w:rsidRDefault="00EF743F" w14:paraId="62B6A618"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highlight w:val="yellow"/>
        </w:rPr>
      </w:pPr>
    </w:p>
    <w:p w:rsidRPr="007F03AD" w:rsidR="002813F1" w:rsidP="002813F1" w:rsidRDefault="002813F1" w14:paraId="499A4E2D"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color w:val="000000"/>
          <w:sz w:val="22"/>
          <w:szCs w:val="22"/>
        </w:rPr>
      </w:pPr>
      <w:r w:rsidRPr="007F03AD">
        <w:rPr>
          <w:color w:val="000000"/>
          <w:sz w:val="22"/>
          <w:szCs w:val="22"/>
        </w:rPr>
        <w:tab/>
        <w:t>There are no expected additional burden estimates to the Federal government.</w:t>
      </w:r>
    </w:p>
    <w:p w:rsidRPr="00586F1B" w:rsidR="00AC2007" w:rsidP="00672ADC" w:rsidRDefault="00AC2007" w14:paraId="601D28A7"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highlight w:val="yellow"/>
        </w:rPr>
      </w:pPr>
    </w:p>
    <w:p w:rsidRPr="00126EA0" w:rsidR="00C61E11" w:rsidP="00672ADC" w:rsidRDefault="00C61E11" w14:paraId="3A5C3941" w14:textId="34613B57">
      <w:pPr>
        <w:keepNext/>
        <w:keepLines/>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ind w:left="720" w:hanging="720"/>
        <w:rPr>
          <w:b/>
          <w:bCs/>
          <w:sz w:val="22"/>
          <w:szCs w:val="22"/>
        </w:rPr>
      </w:pPr>
      <w:r w:rsidRPr="00126EA0">
        <w:rPr>
          <w:b/>
          <w:bCs/>
          <w:sz w:val="22"/>
          <w:szCs w:val="22"/>
        </w:rPr>
        <w:t>6(d)</w:t>
      </w:r>
      <w:r w:rsidRPr="00126EA0">
        <w:rPr>
          <w:b/>
          <w:bCs/>
          <w:sz w:val="22"/>
          <w:szCs w:val="22"/>
        </w:rPr>
        <w:tab/>
        <w:t>Estimating the Respondent Universe and Total Burden and Costs</w:t>
      </w:r>
    </w:p>
    <w:p w:rsidRPr="00126EA0" w:rsidR="00672ADC" w:rsidP="00672ADC" w:rsidRDefault="00672ADC" w14:paraId="112E5AEA" w14:textId="77777777">
      <w:pPr>
        <w:keepNext/>
        <w:keepLines/>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ind w:left="720" w:hanging="720"/>
        <w:rPr>
          <w:b/>
          <w:bCs/>
          <w:sz w:val="22"/>
          <w:szCs w:val="22"/>
        </w:rPr>
      </w:pPr>
    </w:p>
    <w:p w:rsidRPr="00126EA0" w:rsidR="00C6270D" w:rsidP="00672ADC" w:rsidRDefault="00C6270D" w14:paraId="57DB3543" w14:textId="66960BDD">
      <w:pPr>
        <w:keepNext/>
        <w:keepLines/>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sz w:val="22"/>
          <w:szCs w:val="22"/>
        </w:rPr>
      </w:pPr>
      <w:r w:rsidRPr="00126EA0">
        <w:rPr>
          <w:sz w:val="22"/>
          <w:szCs w:val="22"/>
        </w:rPr>
        <w:t xml:space="preserve">In this section, EPA first describes the estimated respondent universe. EPA then estimates the annual burden to respondents under the information collection requirements covered in this ICR. </w:t>
      </w:r>
    </w:p>
    <w:p w:rsidRPr="00126EA0" w:rsidR="00672ADC" w:rsidP="00672ADC" w:rsidRDefault="00672ADC" w14:paraId="70343006" w14:textId="77777777">
      <w:pPr>
        <w:keepNext/>
        <w:keepLines/>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sz w:val="22"/>
          <w:szCs w:val="22"/>
        </w:rPr>
      </w:pPr>
    </w:p>
    <w:p w:rsidRPr="00126EA0" w:rsidR="00F73A4D" w:rsidP="00BC05FF" w:rsidRDefault="001A47EC" w14:paraId="743E45A6" w14:textId="1D234EB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2"/>
        </w:tabs>
        <w:contextualSpacing w:val="0"/>
        <w:rPr>
          <w:b/>
          <w:bCs/>
          <w:sz w:val="22"/>
          <w:szCs w:val="22"/>
        </w:rPr>
      </w:pPr>
      <w:r w:rsidRPr="00126EA0">
        <w:rPr>
          <w:b/>
          <w:bCs/>
          <w:sz w:val="22"/>
          <w:szCs w:val="22"/>
        </w:rPr>
        <w:t>Respondent Universe</w:t>
      </w:r>
    </w:p>
    <w:p w:rsidRPr="00586F1B" w:rsidR="00672ADC" w:rsidP="00672ADC" w:rsidRDefault="00672ADC" w14:paraId="6E908C89"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2"/>
        </w:tabs>
        <w:ind w:left="1080"/>
        <w:contextualSpacing w:val="0"/>
        <w:rPr>
          <w:b/>
          <w:bCs/>
          <w:sz w:val="22"/>
          <w:szCs w:val="22"/>
          <w:highlight w:val="yellow"/>
        </w:rPr>
      </w:pPr>
    </w:p>
    <w:p w:rsidR="00B91E39" w:rsidP="00B91E39" w:rsidRDefault="00B91E39" w14:paraId="0B598FF0" w14:textId="40AA32E8">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sidRPr="00B91E39">
        <w:rPr>
          <w:b/>
          <w:bCs/>
          <w:sz w:val="22"/>
          <w:szCs w:val="22"/>
        </w:rPr>
        <w:lastRenderedPageBreak/>
        <w:t xml:space="preserve">Current RMP Facilities </w:t>
      </w:r>
    </w:p>
    <w:p w:rsidRPr="00B91E39" w:rsidR="0085181A" w:rsidP="00B91E39" w:rsidRDefault="0085181A" w14:paraId="5C6FB6A9"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p>
    <w:p w:rsidR="00B91E39" w:rsidP="00B91E39" w:rsidRDefault="00B91E39" w14:paraId="05F3A05D" w14:textId="234E4AE5">
      <w:pPr>
        <w:ind w:firstLine="360"/>
        <w:rPr>
          <w:rFonts w:eastAsia="Calibri"/>
          <w:sz w:val="22"/>
          <w:szCs w:val="28"/>
        </w:rPr>
      </w:pPr>
      <w:r>
        <w:rPr>
          <w:rFonts w:eastAsia="Calibri"/>
        </w:rPr>
        <w:tab/>
      </w:r>
      <w:r w:rsidRPr="00B91E39">
        <w:rPr>
          <w:rFonts w:eastAsia="Calibri"/>
          <w:sz w:val="22"/>
          <w:szCs w:val="28"/>
        </w:rPr>
        <w:t xml:space="preserve">Exhibit </w:t>
      </w:r>
      <w:r w:rsidR="00F1448F">
        <w:rPr>
          <w:rFonts w:eastAsia="Calibri"/>
          <w:sz w:val="22"/>
          <w:szCs w:val="28"/>
        </w:rPr>
        <w:t>6</w:t>
      </w:r>
      <w:r w:rsidRPr="00B91E39" w:rsidR="00F1448F">
        <w:rPr>
          <w:rFonts w:eastAsia="Calibri"/>
          <w:sz w:val="22"/>
          <w:szCs w:val="28"/>
        </w:rPr>
        <w:t xml:space="preserve"> </w:t>
      </w:r>
      <w:r w:rsidRPr="00B91E39">
        <w:rPr>
          <w:rFonts w:eastAsia="Calibri"/>
          <w:sz w:val="22"/>
          <w:szCs w:val="28"/>
        </w:rPr>
        <w:t xml:space="preserve">presents the numbers of facilities according to RMP reporting as of December 31, 2020, by industrial sector and chemical use. </w:t>
      </w:r>
    </w:p>
    <w:p w:rsidRPr="00587204" w:rsidR="00B91E39" w:rsidP="00B91E39" w:rsidRDefault="00B91E39" w14:paraId="7941F345" w14:textId="77777777">
      <w:pPr>
        <w:ind w:firstLine="360"/>
        <w:rPr>
          <w:rFonts w:eastAsia="Calibri"/>
        </w:rPr>
      </w:pPr>
    </w:p>
    <w:p w:rsidRPr="00587204" w:rsidR="00B91E39" w:rsidP="0074445B" w:rsidRDefault="00B91E39" w14:paraId="6E5BCFC5" w14:textId="0D9C01A5">
      <w:pPr>
        <w:pStyle w:val="Caption"/>
        <w:spacing w:after="0"/>
        <w:jc w:val="center"/>
        <w:rPr>
          <w:b/>
          <w:bCs/>
          <w:i w:val="0"/>
          <w:iCs w:val="0"/>
          <w:color w:val="auto"/>
          <w:sz w:val="22"/>
          <w:szCs w:val="22"/>
        </w:rPr>
      </w:pPr>
      <w:bookmarkStart w:name="_Toc100922735" w:id="6"/>
      <w:bookmarkStart w:name="_Toc100922741" w:id="7"/>
      <w:r w:rsidRPr="00587204">
        <w:rPr>
          <w:b/>
          <w:bCs/>
          <w:i w:val="0"/>
          <w:iCs w:val="0"/>
          <w:color w:val="auto"/>
          <w:sz w:val="22"/>
          <w:szCs w:val="22"/>
        </w:rPr>
        <w:t xml:space="preserve">Exhibit </w:t>
      </w:r>
      <w:r w:rsidR="00F1448F">
        <w:rPr>
          <w:b/>
          <w:bCs/>
          <w:i w:val="0"/>
          <w:iCs w:val="0"/>
          <w:color w:val="auto"/>
          <w:sz w:val="22"/>
          <w:szCs w:val="22"/>
        </w:rPr>
        <w:t>6</w:t>
      </w:r>
      <w:r w:rsidRPr="00587204">
        <w:rPr>
          <w:rFonts w:eastAsia="Calibri"/>
          <w:b/>
          <w:bCs/>
          <w:i w:val="0"/>
          <w:iCs w:val="0"/>
          <w:color w:val="auto"/>
          <w:sz w:val="22"/>
          <w:szCs w:val="22"/>
        </w:rPr>
        <w:t>: Number of Affected Facilities by Sector as of December 31, 2020</w:t>
      </w:r>
      <w:bookmarkEnd w:id="6"/>
      <w:bookmarkEnd w:id="7"/>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45"/>
        <w:gridCol w:w="1993"/>
        <w:gridCol w:w="1906"/>
        <w:gridCol w:w="2306"/>
      </w:tblGrid>
      <w:tr w:rsidRPr="00587204" w:rsidR="00B91E39" w:rsidTr="00B91E39" w14:paraId="6440E39C" w14:textId="77777777">
        <w:trPr>
          <w:trHeight w:val="20"/>
          <w:tblHeader/>
          <w:jc w:val="center"/>
        </w:trPr>
        <w:tc>
          <w:tcPr>
            <w:tcW w:w="1682" w:type="pct"/>
            <w:shd w:val="clear" w:color="000000" w:fill="D9D9D9"/>
            <w:noWrap/>
            <w:vAlign w:val="center"/>
            <w:hideMark/>
          </w:tcPr>
          <w:p w:rsidRPr="00D7128A" w:rsidR="00B91E39" w:rsidP="00B91E39" w:rsidRDefault="00B91E39" w14:paraId="533EBD6A" w14:textId="77777777">
            <w:pPr>
              <w:jc w:val="center"/>
              <w:rPr>
                <w:b/>
                <w:color w:val="000000"/>
                <w:szCs w:val="20"/>
              </w:rPr>
            </w:pPr>
            <w:r w:rsidRPr="00D7128A">
              <w:rPr>
                <w:b/>
                <w:color w:val="000000"/>
                <w:szCs w:val="20"/>
              </w:rPr>
              <w:t>Sector</w:t>
            </w:r>
          </w:p>
        </w:tc>
        <w:tc>
          <w:tcPr>
            <w:tcW w:w="1066" w:type="pct"/>
            <w:shd w:val="clear" w:color="000000" w:fill="D9D9D9"/>
            <w:noWrap/>
            <w:vAlign w:val="center"/>
            <w:hideMark/>
          </w:tcPr>
          <w:p w:rsidRPr="00D7128A" w:rsidR="00B91E39" w:rsidP="00B91E39" w:rsidRDefault="00B91E39" w14:paraId="28F5674C" w14:textId="77777777">
            <w:pPr>
              <w:jc w:val="center"/>
              <w:rPr>
                <w:b/>
                <w:color w:val="000000"/>
                <w:szCs w:val="20"/>
              </w:rPr>
            </w:pPr>
            <w:r w:rsidRPr="00D7128A">
              <w:rPr>
                <w:b/>
                <w:color w:val="000000"/>
                <w:szCs w:val="20"/>
              </w:rPr>
              <w:t>NAICS Codes</w:t>
            </w:r>
          </w:p>
        </w:tc>
        <w:tc>
          <w:tcPr>
            <w:tcW w:w="1019" w:type="pct"/>
            <w:shd w:val="clear" w:color="000000" w:fill="D9D9D9"/>
            <w:noWrap/>
            <w:vAlign w:val="center"/>
            <w:hideMark/>
          </w:tcPr>
          <w:p w:rsidRPr="00D7128A" w:rsidR="00B91E39" w:rsidP="00B91E39" w:rsidRDefault="00B91E39" w14:paraId="698895A4" w14:textId="77777777">
            <w:pPr>
              <w:jc w:val="center"/>
              <w:rPr>
                <w:b/>
                <w:color w:val="000000"/>
                <w:szCs w:val="20"/>
              </w:rPr>
            </w:pPr>
            <w:r w:rsidRPr="00D7128A">
              <w:rPr>
                <w:b/>
                <w:color w:val="000000"/>
                <w:szCs w:val="20"/>
              </w:rPr>
              <w:t>Number of facilities</w:t>
            </w:r>
          </w:p>
        </w:tc>
        <w:tc>
          <w:tcPr>
            <w:tcW w:w="1233" w:type="pct"/>
            <w:shd w:val="clear" w:color="000000" w:fill="D9D9D9"/>
            <w:noWrap/>
            <w:vAlign w:val="center"/>
            <w:hideMark/>
          </w:tcPr>
          <w:p w:rsidRPr="00D7128A" w:rsidR="00B91E39" w:rsidP="00B91E39" w:rsidRDefault="00B91E39" w14:paraId="37E195E9" w14:textId="77777777">
            <w:pPr>
              <w:jc w:val="center"/>
              <w:rPr>
                <w:b/>
                <w:color w:val="000000"/>
                <w:szCs w:val="20"/>
              </w:rPr>
            </w:pPr>
            <w:r w:rsidRPr="00D7128A">
              <w:rPr>
                <w:b/>
                <w:color w:val="000000"/>
                <w:szCs w:val="20"/>
              </w:rPr>
              <w:t>Chemical Uses</w:t>
            </w:r>
          </w:p>
        </w:tc>
      </w:tr>
      <w:tr w:rsidRPr="00587204" w:rsidR="00B91E39" w:rsidTr="00B91E39" w14:paraId="3A42F024" w14:textId="77777777">
        <w:trPr>
          <w:trHeight w:val="20"/>
          <w:jc w:val="center"/>
        </w:trPr>
        <w:tc>
          <w:tcPr>
            <w:tcW w:w="1682" w:type="pct"/>
            <w:shd w:val="clear" w:color="auto" w:fill="auto"/>
            <w:vAlign w:val="center"/>
            <w:hideMark/>
          </w:tcPr>
          <w:p w:rsidRPr="00D7128A" w:rsidR="00B91E39" w:rsidP="00FF2AD1" w:rsidRDefault="00B91E39" w14:paraId="2868BAF4" w14:textId="77777777">
            <w:pPr>
              <w:rPr>
                <w:color w:val="000000"/>
                <w:szCs w:val="20"/>
              </w:rPr>
            </w:pPr>
            <w:r w:rsidRPr="00D7128A">
              <w:rPr>
                <w:color w:val="000000"/>
                <w:szCs w:val="20"/>
              </w:rPr>
              <w:t>Administration of environmental quality programs (i.e., governments, government owned water)</w:t>
            </w:r>
          </w:p>
        </w:tc>
        <w:tc>
          <w:tcPr>
            <w:tcW w:w="1066" w:type="pct"/>
            <w:shd w:val="clear" w:color="auto" w:fill="auto"/>
            <w:vAlign w:val="center"/>
            <w:hideMark/>
          </w:tcPr>
          <w:p w:rsidRPr="00D7128A" w:rsidR="00B91E39" w:rsidP="00FF2AD1" w:rsidRDefault="00B91E39" w14:paraId="54D8EFF7" w14:textId="77777777">
            <w:pPr>
              <w:jc w:val="center"/>
              <w:rPr>
                <w:color w:val="000000"/>
                <w:szCs w:val="20"/>
              </w:rPr>
            </w:pPr>
            <w:r w:rsidRPr="00D7128A">
              <w:rPr>
                <w:color w:val="000000"/>
                <w:szCs w:val="20"/>
              </w:rPr>
              <w:t>92, 2213 (Government- owned)</w:t>
            </w:r>
          </w:p>
        </w:tc>
        <w:tc>
          <w:tcPr>
            <w:tcW w:w="1019" w:type="pct"/>
            <w:shd w:val="clear" w:color="auto" w:fill="auto"/>
            <w:noWrap/>
            <w:vAlign w:val="center"/>
            <w:hideMark/>
          </w:tcPr>
          <w:p w:rsidRPr="00D7128A" w:rsidR="00B91E39" w:rsidP="00FF2AD1" w:rsidRDefault="00B91E39" w14:paraId="217AC1F4" w14:textId="77777777">
            <w:pPr>
              <w:jc w:val="center"/>
              <w:rPr>
                <w:color w:val="000000"/>
                <w:szCs w:val="20"/>
              </w:rPr>
            </w:pPr>
            <w:r w:rsidRPr="00D7128A">
              <w:rPr>
                <w:color w:val="000000"/>
                <w:szCs w:val="20"/>
              </w:rPr>
              <w:t>1,449</w:t>
            </w:r>
          </w:p>
        </w:tc>
        <w:tc>
          <w:tcPr>
            <w:tcW w:w="1233" w:type="pct"/>
            <w:shd w:val="clear" w:color="auto" w:fill="auto"/>
            <w:vAlign w:val="center"/>
            <w:hideMark/>
          </w:tcPr>
          <w:p w:rsidRPr="00D7128A" w:rsidR="00B91E39" w:rsidP="00FF2AD1" w:rsidRDefault="00B91E39" w14:paraId="7D6F84B4" w14:textId="77777777">
            <w:pPr>
              <w:rPr>
                <w:color w:val="000000"/>
                <w:szCs w:val="20"/>
              </w:rPr>
            </w:pPr>
            <w:r w:rsidRPr="00D7128A">
              <w:rPr>
                <w:color w:val="000000"/>
                <w:szCs w:val="20"/>
              </w:rPr>
              <w:t>Use chlorine and other chemicals for water treatment</w:t>
            </w:r>
          </w:p>
        </w:tc>
      </w:tr>
      <w:tr w:rsidRPr="00587204" w:rsidR="00B91E39" w:rsidTr="00B91E39" w14:paraId="2D5344EA" w14:textId="77777777">
        <w:trPr>
          <w:trHeight w:val="20"/>
          <w:jc w:val="center"/>
        </w:trPr>
        <w:tc>
          <w:tcPr>
            <w:tcW w:w="1682" w:type="pct"/>
            <w:shd w:val="clear" w:color="auto" w:fill="auto"/>
            <w:vAlign w:val="center"/>
            <w:hideMark/>
          </w:tcPr>
          <w:p w:rsidRPr="00D7128A" w:rsidR="00B91E39" w:rsidP="00FF2AD1" w:rsidRDefault="00B91E39" w14:paraId="35036D92" w14:textId="77777777">
            <w:pPr>
              <w:rPr>
                <w:color w:val="000000"/>
                <w:szCs w:val="20"/>
              </w:rPr>
            </w:pPr>
            <w:r w:rsidRPr="00D7128A">
              <w:rPr>
                <w:color w:val="000000"/>
                <w:szCs w:val="20"/>
              </w:rPr>
              <w:t>Agricultural chemical distributors/wholesalers</w:t>
            </w:r>
          </w:p>
        </w:tc>
        <w:tc>
          <w:tcPr>
            <w:tcW w:w="1066" w:type="pct"/>
            <w:shd w:val="clear" w:color="auto" w:fill="auto"/>
            <w:vAlign w:val="center"/>
            <w:hideMark/>
          </w:tcPr>
          <w:p w:rsidRPr="00D7128A" w:rsidR="00B91E39" w:rsidP="00FF2AD1" w:rsidRDefault="00B91E39" w14:paraId="5F8F415F" w14:textId="77777777">
            <w:pPr>
              <w:jc w:val="center"/>
              <w:rPr>
                <w:color w:val="000000"/>
                <w:szCs w:val="20"/>
              </w:rPr>
            </w:pPr>
            <w:r w:rsidRPr="00D7128A">
              <w:rPr>
                <w:color w:val="000000"/>
                <w:szCs w:val="20"/>
              </w:rPr>
              <w:t>11, 424 (except 4246, 4247)</w:t>
            </w:r>
          </w:p>
        </w:tc>
        <w:tc>
          <w:tcPr>
            <w:tcW w:w="1019" w:type="pct"/>
            <w:shd w:val="clear" w:color="auto" w:fill="auto"/>
            <w:noWrap/>
            <w:vAlign w:val="center"/>
            <w:hideMark/>
          </w:tcPr>
          <w:p w:rsidRPr="00D7128A" w:rsidR="00B91E39" w:rsidP="00FF2AD1" w:rsidRDefault="00B91E39" w14:paraId="15CBB05B" w14:textId="77777777">
            <w:pPr>
              <w:jc w:val="center"/>
              <w:rPr>
                <w:color w:val="000000"/>
                <w:szCs w:val="20"/>
              </w:rPr>
            </w:pPr>
            <w:r w:rsidRPr="00D7128A">
              <w:rPr>
                <w:color w:val="000000"/>
                <w:szCs w:val="20"/>
              </w:rPr>
              <w:t>3,315</w:t>
            </w:r>
          </w:p>
        </w:tc>
        <w:tc>
          <w:tcPr>
            <w:tcW w:w="1233" w:type="pct"/>
            <w:shd w:val="clear" w:color="auto" w:fill="auto"/>
            <w:vAlign w:val="center"/>
            <w:hideMark/>
          </w:tcPr>
          <w:p w:rsidRPr="00D7128A" w:rsidR="00B91E39" w:rsidP="00FF2AD1" w:rsidRDefault="00B91E39" w14:paraId="42395A8A" w14:textId="77777777">
            <w:pPr>
              <w:rPr>
                <w:color w:val="000000"/>
                <w:szCs w:val="20"/>
              </w:rPr>
            </w:pPr>
            <w:r w:rsidRPr="00D7128A">
              <w:rPr>
                <w:color w:val="000000"/>
                <w:szCs w:val="20"/>
              </w:rPr>
              <w:t>Store ammonia for sale; some in NAICS 111 and 115 use ammonia as a refrigerant</w:t>
            </w:r>
          </w:p>
        </w:tc>
      </w:tr>
      <w:tr w:rsidRPr="00587204" w:rsidR="00B91E39" w:rsidTr="00B91E39" w14:paraId="4AD20EC1" w14:textId="77777777">
        <w:trPr>
          <w:trHeight w:val="20"/>
          <w:jc w:val="center"/>
        </w:trPr>
        <w:tc>
          <w:tcPr>
            <w:tcW w:w="1682" w:type="pct"/>
            <w:shd w:val="clear" w:color="auto" w:fill="auto"/>
            <w:vAlign w:val="center"/>
            <w:hideMark/>
          </w:tcPr>
          <w:p w:rsidRPr="00D7128A" w:rsidR="00B91E39" w:rsidP="00FF2AD1" w:rsidRDefault="00B91E39" w14:paraId="6E87843F" w14:textId="77777777">
            <w:pPr>
              <w:rPr>
                <w:color w:val="000000"/>
                <w:szCs w:val="20"/>
              </w:rPr>
            </w:pPr>
            <w:r w:rsidRPr="00D7128A">
              <w:rPr>
                <w:color w:val="000000"/>
                <w:szCs w:val="20"/>
              </w:rPr>
              <w:t>Chemical manufacturing</w:t>
            </w:r>
          </w:p>
        </w:tc>
        <w:tc>
          <w:tcPr>
            <w:tcW w:w="1066" w:type="pct"/>
            <w:shd w:val="clear" w:color="auto" w:fill="auto"/>
            <w:vAlign w:val="center"/>
            <w:hideMark/>
          </w:tcPr>
          <w:p w:rsidRPr="00D7128A" w:rsidR="00B91E39" w:rsidP="00FF2AD1" w:rsidRDefault="00B91E39" w14:paraId="5FE94A6A" w14:textId="77777777">
            <w:pPr>
              <w:jc w:val="center"/>
              <w:rPr>
                <w:color w:val="000000"/>
                <w:szCs w:val="20"/>
              </w:rPr>
            </w:pPr>
            <w:r w:rsidRPr="00D7128A">
              <w:rPr>
                <w:color w:val="000000"/>
                <w:szCs w:val="20"/>
              </w:rPr>
              <w:t>325</w:t>
            </w:r>
          </w:p>
        </w:tc>
        <w:tc>
          <w:tcPr>
            <w:tcW w:w="1019" w:type="pct"/>
            <w:shd w:val="clear" w:color="auto" w:fill="auto"/>
            <w:noWrap/>
            <w:vAlign w:val="center"/>
            <w:hideMark/>
          </w:tcPr>
          <w:p w:rsidRPr="00D7128A" w:rsidR="00B91E39" w:rsidP="00FF2AD1" w:rsidRDefault="00B91E39" w14:paraId="13D8A325" w14:textId="77777777">
            <w:pPr>
              <w:jc w:val="center"/>
              <w:rPr>
                <w:color w:val="000000"/>
                <w:szCs w:val="20"/>
              </w:rPr>
            </w:pPr>
            <w:r w:rsidRPr="00D7128A">
              <w:rPr>
                <w:color w:val="000000"/>
                <w:szCs w:val="20"/>
              </w:rPr>
              <w:t>1,502</w:t>
            </w:r>
          </w:p>
        </w:tc>
        <w:tc>
          <w:tcPr>
            <w:tcW w:w="1233" w:type="pct"/>
            <w:shd w:val="clear" w:color="auto" w:fill="auto"/>
            <w:vAlign w:val="center"/>
            <w:hideMark/>
          </w:tcPr>
          <w:p w:rsidRPr="00D7128A" w:rsidR="00B91E39" w:rsidP="00FF2AD1" w:rsidRDefault="00B91E39" w14:paraId="78F785B9" w14:textId="77777777">
            <w:pPr>
              <w:rPr>
                <w:color w:val="000000"/>
                <w:szCs w:val="20"/>
              </w:rPr>
            </w:pPr>
            <w:r w:rsidRPr="00D7128A">
              <w:rPr>
                <w:color w:val="000000"/>
                <w:szCs w:val="20"/>
              </w:rPr>
              <w:t>Manufacture, process, store</w:t>
            </w:r>
          </w:p>
        </w:tc>
      </w:tr>
      <w:tr w:rsidRPr="00587204" w:rsidR="00B91E39" w:rsidTr="00B91E39" w14:paraId="0BA19407" w14:textId="77777777">
        <w:trPr>
          <w:trHeight w:val="20"/>
          <w:jc w:val="center"/>
        </w:trPr>
        <w:tc>
          <w:tcPr>
            <w:tcW w:w="1682" w:type="pct"/>
            <w:shd w:val="clear" w:color="auto" w:fill="auto"/>
            <w:vAlign w:val="center"/>
            <w:hideMark/>
          </w:tcPr>
          <w:p w:rsidRPr="00D7128A" w:rsidR="00B91E39" w:rsidP="00FF2AD1" w:rsidRDefault="00B91E39" w14:paraId="778CE863" w14:textId="77777777">
            <w:pPr>
              <w:rPr>
                <w:color w:val="000000"/>
                <w:szCs w:val="20"/>
              </w:rPr>
            </w:pPr>
            <w:r w:rsidRPr="00D7128A">
              <w:rPr>
                <w:color w:val="000000"/>
                <w:szCs w:val="20"/>
              </w:rPr>
              <w:t>Chemical wholesalers</w:t>
            </w:r>
          </w:p>
        </w:tc>
        <w:tc>
          <w:tcPr>
            <w:tcW w:w="1066" w:type="pct"/>
            <w:shd w:val="clear" w:color="auto" w:fill="auto"/>
            <w:vAlign w:val="center"/>
            <w:hideMark/>
          </w:tcPr>
          <w:p w:rsidRPr="00D7128A" w:rsidR="00B91E39" w:rsidP="00FF2AD1" w:rsidRDefault="00B91E39" w14:paraId="73BC1BD7" w14:textId="77777777">
            <w:pPr>
              <w:jc w:val="center"/>
              <w:rPr>
                <w:color w:val="000000"/>
                <w:szCs w:val="20"/>
              </w:rPr>
            </w:pPr>
            <w:r w:rsidRPr="00D7128A">
              <w:rPr>
                <w:color w:val="000000"/>
                <w:szCs w:val="20"/>
              </w:rPr>
              <w:t>4246</w:t>
            </w:r>
          </w:p>
        </w:tc>
        <w:tc>
          <w:tcPr>
            <w:tcW w:w="1019" w:type="pct"/>
            <w:shd w:val="clear" w:color="auto" w:fill="auto"/>
            <w:noWrap/>
            <w:vAlign w:val="center"/>
            <w:hideMark/>
          </w:tcPr>
          <w:p w:rsidRPr="00D7128A" w:rsidR="00B91E39" w:rsidP="00FF2AD1" w:rsidRDefault="00B91E39" w14:paraId="12850D4E" w14:textId="77777777">
            <w:pPr>
              <w:jc w:val="center"/>
              <w:rPr>
                <w:color w:val="000000"/>
                <w:szCs w:val="20"/>
              </w:rPr>
            </w:pPr>
            <w:r w:rsidRPr="00D7128A">
              <w:rPr>
                <w:color w:val="000000"/>
                <w:szCs w:val="20"/>
              </w:rPr>
              <w:t>317</w:t>
            </w:r>
          </w:p>
        </w:tc>
        <w:tc>
          <w:tcPr>
            <w:tcW w:w="1233" w:type="pct"/>
            <w:shd w:val="clear" w:color="auto" w:fill="auto"/>
            <w:vAlign w:val="center"/>
            <w:hideMark/>
          </w:tcPr>
          <w:p w:rsidRPr="00D7128A" w:rsidR="00B91E39" w:rsidP="00FF2AD1" w:rsidRDefault="00B91E39" w14:paraId="155C291A" w14:textId="77777777">
            <w:pPr>
              <w:rPr>
                <w:color w:val="000000"/>
                <w:szCs w:val="20"/>
              </w:rPr>
            </w:pPr>
            <w:r w:rsidRPr="00D7128A">
              <w:rPr>
                <w:color w:val="000000"/>
                <w:szCs w:val="20"/>
              </w:rPr>
              <w:t>Store for sale</w:t>
            </w:r>
          </w:p>
        </w:tc>
      </w:tr>
      <w:tr w:rsidRPr="00587204" w:rsidR="00B91E39" w:rsidTr="00B91E39" w14:paraId="2A95F1E4" w14:textId="77777777">
        <w:trPr>
          <w:trHeight w:val="20"/>
          <w:jc w:val="center"/>
        </w:trPr>
        <w:tc>
          <w:tcPr>
            <w:tcW w:w="1682" w:type="pct"/>
            <w:shd w:val="clear" w:color="auto" w:fill="auto"/>
            <w:vAlign w:val="center"/>
            <w:hideMark/>
          </w:tcPr>
          <w:p w:rsidRPr="00D7128A" w:rsidR="00B91E39" w:rsidP="00FF2AD1" w:rsidRDefault="00B91E39" w14:paraId="50B89241" w14:textId="77777777">
            <w:pPr>
              <w:rPr>
                <w:color w:val="000000"/>
                <w:szCs w:val="20"/>
              </w:rPr>
            </w:pPr>
            <w:r w:rsidRPr="00D7128A">
              <w:rPr>
                <w:color w:val="000000"/>
                <w:szCs w:val="20"/>
              </w:rPr>
              <w:t>Food and beverage manufacturing</w:t>
            </w:r>
          </w:p>
        </w:tc>
        <w:tc>
          <w:tcPr>
            <w:tcW w:w="1066" w:type="pct"/>
            <w:shd w:val="clear" w:color="auto" w:fill="auto"/>
            <w:vAlign w:val="center"/>
            <w:hideMark/>
          </w:tcPr>
          <w:p w:rsidRPr="00D7128A" w:rsidR="00B91E39" w:rsidP="00FF2AD1" w:rsidRDefault="00B91E39" w14:paraId="53CFACEA" w14:textId="77777777">
            <w:pPr>
              <w:jc w:val="center"/>
              <w:rPr>
                <w:color w:val="000000"/>
                <w:szCs w:val="20"/>
              </w:rPr>
            </w:pPr>
            <w:r w:rsidRPr="00D7128A">
              <w:rPr>
                <w:color w:val="000000"/>
                <w:szCs w:val="20"/>
              </w:rPr>
              <w:t>311, 312</w:t>
            </w:r>
          </w:p>
        </w:tc>
        <w:tc>
          <w:tcPr>
            <w:tcW w:w="1019" w:type="pct"/>
            <w:shd w:val="clear" w:color="auto" w:fill="auto"/>
            <w:noWrap/>
            <w:vAlign w:val="center"/>
            <w:hideMark/>
          </w:tcPr>
          <w:p w:rsidRPr="00D7128A" w:rsidR="00B91E39" w:rsidP="00FF2AD1" w:rsidRDefault="00B91E39" w14:paraId="61297D06" w14:textId="77777777">
            <w:pPr>
              <w:jc w:val="center"/>
              <w:rPr>
                <w:color w:val="000000"/>
                <w:szCs w:val="20"/>
              </w:rPr>
            </w:pPr>
            <w:r w:rsidRPr="00D7128A">
              <w:rPr>
                <w:color w:val="000000"/>
                <w:szCs w:val="20"/>
              </w:rPr>
              <w:t>1,571</w:t>
            </w:r>
          </w:p>
        </w:tc>
        <w:tc>
          <w:tcPr>
            <w:tcW w:w="1233" w:type="pct"/>
            <w:shd w:val="clear" w:color="auto" w:fill="auto"/>
            <w:vAlign w:val="center"/>
            <w:hideMark/>
          </w:tcPr>
          <w:p w:rsidRPr="00D7128A" w:rsidR="00B91E39" w:rsidP="00FF2AD1" w:rsidRDefault="00B91E39" w14:paraId="0FAE3E3A" w14:textId="77777777">
            <w:pPr>
              <w:rPr>
                <w:color w:val="000000"/>
                <w:szCs w:val="20"/>
              </w:rPr>
            </w:pPr>
            <w:r w:rsidRPr="00D7128A">
              <w:rPr>
                <w:color w:val="000000"/>
                <w:szCs w:val="20"/>
              </w:rPr>
              <w:t xml:space="preserve">Use </w:t>
            </w:r>
            <w:r>
              <w:rPr>
                <w:color w:val="000000"/>
                <w:szCs w:val="20"/>
              </w:rPr>
              <w:t>(</w:t>
            </w:r>
            <w:r w:rsidRPr="00D7128A">
              <w:rPr>
                <w:color w:val="000000"/>
                <w:szCs w:val="20"/>
              </w:rPr>
              <w:t>mostly ammonia</w:t>
            </w:r>
            <w:r>
              <w:rPr>
                <w:color w:val="000000"/>
                <w:szCs w:val="20"/>
              </w:rPr>
              <w:t>)</w:t>
            </w:r>
            <w:r w:rsidRPr="00D7128A">
              <w:rPr>
                <w:color w:val="000000"/>
                <w:szCs w:val="20"/>
              </w:rPr>
              <w:t xml:space="preserve"> as a refrigerant</w:t>
            </w:r>
          </w:p>
        </w:tc>
      </w:tr>
      <w:tr w:rsidRPr="00587204" w:rsidR="00B91E39" w:rsidTr="00B91E39" w14:paraId="10B28586" w14:textId="77777777">
        <w:trPr>
          <w:trHeight w:val="20"/>
          <w:jc w:val="center"/>
        </w:trPr>
        <w:tc>
          <w:tcPr>
            <w:tcW w:w="1682" w:type="pct"/>
            <w:shd w:val="clear" w:color="auto" w:fill="auto"/>
            <w:vAlign w:val="center"/>
            <w:hideMark/>
          </w:tcPr>
          <w:p w:rsidRPr="00D7128A" w:rsidR="00B91E39" w:rsidP="00FF2AD1" w:rsidRDefault="00B91E39" w14:paraId="556D81DB" w14:textId="77777777">
            <w:pPr>
              <w:rPr>
                <w:color w:val="000000"/>
                <w:szCs w:val="20"/>
              </w:rPr>
            </w:pPr>
            <w:r w:rsidRPr="00D7128A">
              <w:rPr>
                <w:color w:val="000000"/>
                <w:szCs w:val="20"/>
              </w:rPr>
              <w:t>Oil and gas extraction</w:t>
            </w:r>
          </w:p>
        </w:tc>
        <w:tc>
          <w:tcPr>
            <w:tcW w:w="1066" w:type="pct"/>
            <w:shd w:val="clear" w:color="auto" w:fill="auto"/>
            <w:vAlign w:val="center"/>
            <w:hideMark/>
          </w:tcPr>
          <w:p w:rsidRPr="00D7128A" w:rsidR="00B91E39" w:rsidP="00FF2AD1" w:rsidRDefault="00B91E39" w14:paraId="651B9A14" w14:textId="77777777">
            <w:pPr>
              <w:jc w:val="center"/>
              <w:rPr>
                <w:color w:val="000000"/>
                <w:szCs w:val="20"/>
              </w:rPr>
            </w:pPr>
            <w:r w:rsidRPr="00D7128A">
              <w:rPr>
                <w:color w:val="000000"/>
                <w:szCs w:val="20"/>
              </w:rPr>
              <w:t>211</w:t>
            </w:r>
          </w:p>
        </w:tc>
        <w:tc>
          <w:tcPr>
            <w:tcW w:w="1019" w:type="pct"/>
            <w:shd w:val="clear" w:color="auto" w:fill="auto"/>
            <w:noWrap/>
            <w:vAlign w:val="center"/>
            <w:hideMark/>
          </w:tcPr>
          <w:p w:rsidRPr="00D7128A" w:rsidR="00B91E39" w:rsidP="00FF2AD1" w:rsidRDefault="00B91E39" w14:paraId="6EF2E434" w14:textId="77777777">
            <w:pPr>
              <w:jc w:val="center"/>
              <w:rPr>
                <w:color w:val="000000"/>
                <w:szCs w:val="20"/>
              </w:rPr>
            </w:pPr>
            <w:r w:rsidRPr="00D7128A">
              <w:rPr>
                <w:color w:val="000000"/>
                <w:szCs w:val="20"/>
              </w:rPr>
              <w:t>719</w:t>
            </w:r>
          </w:p>
        </w:tc>
        <w:tc>
          <w:tcPr>
            <w:tcW w:w="1233" w:type="pct"/>
            <w:shd w:val="clear" w:color="auto" w:fill="auto"/>
            <w:vAlign w:val="center"/>
            <w:hideMark/>
          </w:tcPr>
          <w:p w:rsidRPr="00D7128A" w:rsidR="00B91E39" w:rsidP="00FF2AD1" w:rsidRDefault="00B91E39" w14:paraId="77299127" w14:textId="77777777">
            <w:pPr>
              <w:rPr>
                <w:color w:val="000000"/>
                <w:szCs w:val="20"/>
              </w:rPr>
            </w:pPr>
            <w:r w:rsidRPr="00D7128A">
              <w:rPr>
                <w:color w:val="000000"/>
                <w:szCs w:val="20"/>
              </w:rPr>
              <w:t>Intermediate processing (mostly regulated flammable substances and flammable mixtures)</w:t>
            </w:r>
          </w:p>
        </w:tc>
      </w:tr>
      <w:tr w:rsidRPr="00587204" w:rsidR="00B91E39" w:rsidTr="00B91E39" w14:paraId="49956F15" w14:textId="77777777">
        <w:trPr>
          <w:trHeight w:val="20"/>
          <w:jc w:val="center"/>
        </w:trPr>
        <w:tc>
          <w:tcPr>
            <w:tcW w:w="1682" w:type="pct"/>
            <w:shd w:val="clear" w:color="auto" w:fill="auto"/>
            <w:vAlign w:val="center"/>
            <w:hideMark/>
          </w:tcPr>
          <w:p w:rsidRPr="00D7128A" w:rsidR="00B91E39" w:rsidP="00FF2AD1" w:rsidRDefault="00B91E39" w14:paraId="2BB91F00" w14:textId="77777777">
            <w:pPr>
              <w:rPr>
                <w:color w:val="000000"/>
                <w:szCs w:val="20"/>
              </w:rPr>
            </w:pPr>
            <w:r w:rsidRPr="00D7128A">
              <w:rPr>
                <w:color w:val="000000"/>
                <w:szCs w:val="20"/>
              </w:rPr>
              <w:t>Other</w:t>
            </w:r>
          </w:p>
        </w:tc>
        <w:tc>
          <w:tcPr>
            <w:tcW w:w="1066" w:type="pct"/>
            <w:shd w:val="clear" w:color="auto" w:fill="auto"/>
            <w:vAlign w:val="center"/>
            <w:hideMark/>
          </w:tcPr>
          <w:p w:rsidRPr="00D7128A" w:rsidR="00B91E39" w:rsidP="00FF2AD1" w:rsidRDefault="00B91E39" w14:paraId="77E71B1D" w14:textId="77777777">
            <w:pPr>
              <w:jc w:val="center"/>
              <w:rPr>
                <w:color w:val="000000"/>
                <w:szCs w:val="20"/>
              </w:rPr>
            </w:pPr>
            <w:r w:rsidRPr="00D7128A">
              <w:rPr>
                <w:color w:val="000000"/>
                <w:szCs w:val="20"/>
              </w:rPr>
              <w:t>21 (except 211), 23, 44, 45, 48, 491, 54, 55, 56, 61, 62, 71, 72, 81, 99</w:t>
            </w:r>
          </w:p>
        </w:tc>
        <w:tc>
          <w:tcPr>
            <w:tcW w:w="1019" w:type="pct"/>
            <w:shd w:val="clear" w:color="auto" w:fill="auto"/>
            <w:noWrap/>
            <w:vAlign w:val="center"/>
            <w:hideMark/>
          </w:tcPr>
          <w:p w:rsidRPr="00D7128A" w:rsidR="00B91E39" w:rsidP="00FF2AD1" w:rsidRDefault="00B91E39" w14:paraId="780818C0" w14:textId="77777777">
            <w:pPr>
              <w:jc w:val="center"/>
              <w:rPr>
                <w:color w:val="000000"/>
                <w:szCs w:val="20"/>
              </w:rPr>
            </w:pPr>
            <w:r w:rsidRPr="00D7128A">
              <w:rPr>
                <w:color w:val="000000"/>
                <w:szCs w:val="20"/>
              </w:rPr>
              <w:t>246</w:t>
            </w:r>
          </w:p>
        </w:tc>
        <w:tc>
          <w:tcPr>
            <w:tcW w:w="1233" w:type="pct"/>
            <w:shd w:val="clear" w:color="auto" w:fill="auto"/>
            <w:vAlign w:val="center"/>
            <w:hideMark/>
          </w:tcPr>
          <w:p w:rsidRPr="00D7128A" w:rsidR="00B91E39" w:rsidP="00FF2AD1" w:rsidRDefault="00B91E39" w14:paraId="69AA6945" w14:textId="77777777">
            <w:pPr>
              <w:rPr>
                <w:color w:val="000000"/>
                <w:szCs w:val="20"/>
              </w:rPr>
            </w:pPr>
            <w:r w:rsidRPr="00D7128A">
              <w:rPr>
                <w:color w:val="000000"/>
                <w:szCs w:val="20"/>
              </w:rPr>
              <w:t>Use chemicals for wastewater treatment, refrigeration, store chemicals for sale</w:t>
            </w:r>
          </w:p>
        </w:tc>
      </w:tr>
      <w:tr w:rsidRPr="00587204" w:rsidR="00B91E39" w:rsidTr="00B91E39" w14:paraId="799AAD6C" w14:textId="77777777">
        <w:trPr>
          <w:trHeight w:val="20"/>
          <w:jc w:val="center"/>
        </w:trPr>
        <w:tc>
          <w:tcPr>
            <w:tcW w:w="1682" w:type="pct"/>
            <w:shd w:val="clear" w:color="auto" w:fill="auto"/>
            <w:vAlign w:val="center"/>
            <w:hideMark/>
          </w:tcPr>
          <w:p w:rsidRPr="00D7128A" w:rsidR="00B91E39" w:rsidP="00FF2AD1" w:rsidRDefault="00B91E39" w14:paraId="04D34B81" w14:textId="77777777">
            <w:pPr>
              <w:rPr>
                <w:color w:val="000000"/>
                <w:szCs w:val="20"/>
              </w:rPr>
            </w:pPr>
            <w:r w:rsidRPr="00D7128A">
              <w:rPr>
                <w:color w:val="000000"/>
                <w:szCs w:val="20"/>
              </w:rPr>
              <w:t>Other manufacturing</w:t>
            </w:r>
          </w:p>
        </w:tc>
        <w:tc>
          <w:tcPr>
            <w:tcW w:w="1066" w:type="pct"/>
            <w:shd w:val="clear" w:color="auto" w:fill="auto"/>
            <w:vAlign w:val="center"/>
            <w:hideMark/>
          </w:tcPr>
          <w:p w:rsidRPr="00D7128A" w:rsidR="00B91E39" w:rsidP="00FF2AD1" w:rsidRDefault="00B91E39" w14:paraId="3904434B" w14:textId="77777777">
            <w:pPr>
              <w:jc w:val="center"/>
              <w:rPr>
                <w:color w:val="000000"/>
                <w:szCs w:val="20"/>
              </w:rPr>
            </w:pPr>
            <w:r w:rsidRPr="00D7128A">
              <w:rPr>
                <w:color w:val="000000"/>
                <w:szCs w:val="20"/>
              </w:rPr>
              <w:t>313, 314, 315, 326, 327, 33</w:t>
            </w:r>
          </w:p>
        </w:tc>
        <w:tc>
          <w:tcPr>
            <w:tcW w:w="1019" w:type="pct"/>
            <w:shd w:val="clear" w:color="auto" w:fill="auto"/>
            <w:noWrap/>
            <w:vAlign w:val="center"/>
            <w:hideMark/>
          </w:tcPr>
          <w:p w:rsidRPr="00D7128A" w:rsidR="00B91E39" w:rsidP="00FF2AD1" w:rsidRDefault="00B91E39" w14:paraId="73966D42" w14:textId="77777777">
            <w:pPr>
              <w:jc w:val="center"/>
              <w:rPr>
                <w:color w:val="000000"/>
                <w:szCs w:val="20"/>
              </w:rPr>
            </w:pPr>
            <w:r w:rsidRPr="00D7128A">
              <w:rPr>
                <w:color w:val="000000"/>
                <w:szCs w:val="20"/>
              </w:rPr>
              <w:t>375</w:t>
            </w:r>
          </w:p>
        </w:tc>
        <w:tc>
          <w:tcPr>
            <w:tcW w:w="1233" w:type="pct"/>
            <w:shd w:val="clear" w:color="auto" w:fill="auto"/>
            <w:vAlign w:val="center"/>
            <w:hideMark/>
          </w:tcPr>
          <w:p w:rsidRPr="00D7128A" w:rsidR="00B91E39" w:rsidP="00FF2AD1" w:rsidRDefault="00B91E39" w14:paraId="6CEA7516" w14:textId="77777777">
            <w:pPr>
              <w:rPr>
                <w:color w:val="000000"/>
                <w:szCs w:val="20"/>
              </w:rPr>
            </w:pPr>
            <w:r w:rsidRPr="00D7128A">
              <w:rPr>
                <w:color w:val="000000"/>
                <w:szCs w:val="20"/>
              </w:rPr>
              <w:t>Use various chemicals in manufacturing process, waste treatment</w:t>
            </w:r>
          </w:p>
        </w:tc>
      </w:tr>
      <w:tr w:rsidRPr="00587204" w:rsidR="00B91E39" w:rsidTr="00B91E39" w14:paraId="6AE6FB88" w14:textId="77777777">
        <w:trPr>
          <w:trHeight w:val="20"/>
          <w:jc w:val="center"/>
        </w:trPr>
        <w:tc>
          <w:tcPr>
            <w:tcW w:w="1682" w:type="pct"/>
            <w:shd w:val="clear" w:color="auto" w:fill="auto"/>
            <w:vAlign w:val="center"/>
            <w:hideMark/>
          </w:tcPr>
          <w:p w:rsidRPr="00D7128A" w:rsidR="00B91E39" w:rsidP="00FF2AD1" w:rsidRDefault="00B91E39" w14:paraId="3DFBFFBF" w14:textId="77777777">
            <w:pPr>
              <w:rPr>
                <w:color w:val="000000"/>
                <w:szCs w:val="20"/>
              </w:rPr>
            </w:pPr>
            <w:r w:rsidRPr="00D7128A">
              <w:rPr>
                <w:color w:val="000000"/>
                <w:szCs w:val="20"/>
              </w:rPr>
              <w:t>Other wholesale</w:t>
            </w:r>
          </w:p>
        </w:tc>
        <w:tc>
          <w:tcPr>
            <w:tcW w:w="1066" w:type="pct"/>
            <w:shd w:val="clear" w:color="auto" w:fill="auto"/>
            <w:vAlign w:val="center"/>
            <w:hideMark/>
          </w:tcPr>
          <w:p w:rsidRPr="00D7128A" w:rsidR="00B91E39" w:rsidP="00FF2AD1" w:rsidRDefault="00B91E39" w14:paraId="078F1171" w14:textId="77777777">
            <w:pPr>
              <w:jc w:val="center"/>
              <w:rPr>
                <w:color w:val="000000"/>
                <w:szCs w:val="20"/>
              </w:rPr>
            </w:pPr>
            <w:r w:rsidRPr="00D7128A">
              <w:rPr>
                <w:color w:val="000000"/>
                <w:szCs w:val="20"/>
              </w:rPr>
              <w:t>421, 422, 423</w:t>
            </w:r>
          </w:p>
        </w:tc>
        <w:tc>
          <w:tcPr>
            <w:tcW w:w="1019" w:type="pct"/>
            <w:shd w:val="clear" w:color="auto" w:fill="auto"/>
            <w:noWrap/>
            <w:vAlign w:val="center"/>
            <w:hideMark/>
          </w:tcPr>
          <w:p w:rsidRPr="00D7128A" w:rsidR="00B91E39" w:rsidP="00FF2AD1" w:rsidRDefault="00B91E39" w14:paraId="169CC15E" w14:textId="77777777">
            <w:pPr>
              <w:jc w:val="center"/>
              <w:rPr>
                <w:color w:val="000000"/>
                <w:szCs w:val="20"/>
              </w:rPr>
            </w:pPr>
            <w:r w:rsidRPr="00D7128A">
              <w:rPr>
                <w:color w:val="000000"/>
                <w:szCs w:val="20"/>
              </w:rPr>
              <w:t>39</w:t>
            </w:r>
          </w:p>
        </w:tc>
        <w:tc>
          <w:tcPr>
            <w:tcW w:w="1233" w:type="pct"/>
            <w:shd w:val="clear" w:color="auto" w:fill="auto"/>
            <w:vAlign w:val="center"/>
            <w:hideMark/>
          </w:tcPr>
          <w:p w:rsidRPr="00D7128A" w:rsidR="00B91E39" w:rsidP="00FF2AD1" w:rsidRDefault="00B91E39" w14:paraId="16B2F829" w14:textId="77777777">
            <w:pPr>
              <w:rPr>
                <w:color w:val="000000"/>
                <w:szCs w:val="20"/>
              </w:rPr>
            </w:pPr>
            <w:r w:rsidRPr="00D7128A">
              <w:rPr>
                <w:color w:val="000000"/>
                <w:szCs w:val="20"/>
              </w:rPr>
              <w:t xml:space="preserve">Use </w:t>
            </w:r>
            <w:r>
              <w:rPr>
                <w:color w:val="000000"/>
                <w:szCs w:val="20"/>
              </w:rPr>
              <w:t>(</w:t>
            </w:r>
            <w:r w:rsidRPr="00D7128A">
              <w:rPr>
                <w:color w:val="000000"/>
                <w:szCs w:val="20"/>
              </w:rPr>
              <w:t>mostly ammonia</w:t>
            </w:r>
            <w:r>
              <w:rPr>
                <w:color w:val="000000"/>
                <w:szCs w:val="20"/>
              </w:rPr>
              <w:t>)</w:t>
            </w:r>
            <w:r w:rsidRPr="00D7128A">
              <w:rPr>
                <w:color w:val="000000"/>
                <w:szCs w:val="20"/>
              </w:rPr>
              <w:t xml:space="preserve"> as a refrigerant</w:t>
            </w:r>
          </w:p>
        </w:tc>
      </w:tr>
      <w:tr w:rsidRPr="00587204" w:rsidR="00B91E39" w:rsidTr="00B91E39" w14:paraId="14118238" w14:textId="77777777">
        <w:trPr>
          <w:trHeight w:val="20"/>
          <w:jc w:val="center"/>
        </w:trPr>
        <w:tc>
          <w:tcPr>
            <w:tcW w:w="1682" w:type="pct"/>
            <w:shd w:val="clear" w:color="auto" w:fill="auto"/>
            <w:vAlign w:val="center"/>
            <w:hideMark/>
          </w:tcPr>
          <w:p w:rsidRPr="00D7128A" w:rsidR="00B91E39" w:rsidP="00FF2AD1" w:rsidRDefault="00B91E39" w14:paraId="3A4C8AEA" w14:textId="77777777">
            <w:pPr>
              <w:rPr>
                <w:color w:val="000000"/>
                <w:szCs w:val="20"/>
              </w:rPr>
            </w:pPr>
            <w:r w:rsidRPr="00D7128A">
              <w:rPr>
                <w:color w:val="000000"/>
                <w:szCs w:val="20"/>
              </w:rPr>
              <w:t>Paper manufacturing</w:t>
            </w:r>
          </w:p>
        </w:tc>
        <w:tc>
          <w:tcPr>
            <w:tcW w:w="1066" w:type="pct"/>
            <w:shd w:val="clear" w:color="auto" w:fill="auto"/>
            <w:vAlign w:val="center"/>
            <w:hideMark/>
          </w:tcPr>
          <w:p w:rsidRPr="00D7128A" w:rsidR="00B91E39" w:rsidP="00FF2AD1" w:rsidRDefault="00B91E39" w14:paraId="257A0C40" w14:textId="77777777">
            <w:pPr>
              <w:jc w:val="center"/>
              <w:rPr>
                <w:color w:val="000000"/>
                <w:szCs w:val="20"/>
              </w:rPr>
            </w:pPr>
            <w:r w:rsidRPr="00D7128A">
              <w:rPr>
                <w:color w:val="000000"/>
                <w:szCs w:val="20"/>
              </w:rPr>
              <w:t>321, 322</w:t>
            </w:r>
          </w:p>
        </w:tc>
        <w:tc>
          <w:tcPr>
            <w:tcW w:w="1019" w:type="pct"/>
            <w:shd w:val="clear" w:color="auto" w:fill="auto"/>
            <w:noWrap/>
            <w:vAlign w:val="center"/>
            <w:hideMark/>
          </w:tcPr>
          <w:p w:rsidRPr="00D7128A" w:rsidR="00B91E39" w:rsidP="00FF2AD1" w:rsidRDefault="00B91E39" w14:paraId="5634B38A" w14:textId="77777777">
            <w:pPr>
              <w:jc w:val="center"/>
              <w:rPr>
                <w:color w:val="000000"/>
                <w:szCs w:val="20"/>
              </w:rPr>
            </w:pPr>
            <w:r w:rsidRPr="00D7128A">
              <w:rPr>
                <w:color w:val="000000"/>
                <w:szCs w:val="20"/>
              </w:rPr>
              <w:t>55</w:t>
            </w:r>
          </w:p>
        </w:tc>
        <w:tc>
          <w:tcPr>
            <w:tcW w:w="1233" w:type="pct"/>
            <w:shd w:val="clear" w:color="auto" w:fill="auto"/>
            <w:vAlign w:val="center"/>
            <w:hideMark/>
          </w:tcPr>
          <w:p w:rsidRPr="00D7128A" w:rsidR="00B91E39" w:rsidP="00FF2AD1" w:rsidRDefault="00B91E39" w14:paraId="3ED88921" w14:textId="77777777">
            <w:pPr>
              <w:rPr>
                <w:color w:val="000000"/>
                <w:szCs w:val="20"/>
              </w:rPr>
            </w:pPr>
            <w:r w:rsidRPr="00D7128A">
              <w:rPr>
                <w:color w:val="000000"/>
                <w:szCs w:val="20"/>
              </w:rPr>
              <w:t>Use various chemicals in pulp and paper manufacturing</w:t>
            </w:r>
          </w:p>
        </w:tc>
      </w:tr>
      <w:tr w:rsidRPr="00587204" w:rsidR="00B91E39" w:rsidTr="00B91E39" w14:paraId="52BA964B" w14:textId="77777777">
        <w:trPr>
          <w:trHeight w:val="20"/>
          <w:jc w:val="center"/>
        </w:trPr>
        <w:tc>
          <w:tcPr>
            <w:tcW w:w="1682" w:type="pct"/>
            <w:shd w:val="clear" w:color="auto" w:fill="auto"/>
            <w:vAlign w:val="center"/>
            <w:hideMark/>
          </w:tcPr>
          <w:p w:rsidRPr="00D7128A" w:rsidR="00B91E39" w:rsidP="00FF2AD1" w:rsidRDefault="00B91E39" w14:paraId="7EBD5FE7" w14:textId="77777777">
            <w:pPr>
              <w:rPr>
                <w:color w:val="000000"/>
                <w:szCs w:val="20"/>
              </w:rPr>
            </w:pPr>
            <w:r w:rsidRPr="00D7128A">
              <w:rPr>
                <w:color w:val="000000"/>
                <w:szCs w:val="20"/>
              </w:rPr>
              <w:t>Petroleum and coal products manufacturing</w:t>
            </w:r>
          </w:p>
        </w:tc>
        <w:tc>
          <w:tcPr>
            <w:tcW w:w="1066" w:type="pct"/>
            <w:shd w:val="clear" w:color="auto" w:fill="auto"/>
            <w:vAlign w:val="center"/>
            <w:hideMark/>
          </w:tcPr>
          <w:p w:rsidRPr="00D7128A" w:rsidR="00B91E39" w:rsidP="00FF2AD1" w:rsidRDefault="00B91E39" w14:paraId="42151EA6" w14:textId="77777777">
            <w:pPr>
              <w:jc w:val="center"/>
              <w:rPr>
                <w:color w:val="000000"/>
                <w:szCs w:val="20"/>
              </w:rPr>
            </w:pPr>
            <w:r w:rsidRPr="00D7128A">
              <w:rPr>
                <w:color w:val="000000"/>
                <w:szCs w:val="20"/>
              </w:rPr>
              <w:t>324</w:t>
            </w:r>
          </w:p>
        </w:tc>
        <w:tc>
          <w:tcPr>
            <w:tcW w:w="1019" w:type="pct"/>
            <w:shd w:val="clear" w:color="auto" w:fill="auto"/>
            <w:noWrap/>
            <w:vAlign w:val="center"/>
            <w:hideMark/>
          </w:tcPr>
          <w:p w:rsidRPr="00D7128A" w:rsidR="00B91E39" w:rsidP="00FF2AD1" w:rsidRDefault="00B91E39" w14:paraId="3F45985A" w14:textId="77777777">
            <w:pPr>
              <w:jc w:val="center"/>
              <w:rPr>
                <w:color w:val="000000"/>
                <w:szCs w:val="20"/>
              </w:rPr>
            </w:pPr>
            <w:r w:rsidRPr="00D7128A">
              <w:rPr>
                <w:color w:val="000000"/>
                <w:szCs w:val="20"/>
              </w:rPr>
              <w:t>156</w:t>
            </w:r>
          </w:p>
        </w:tc>
        <w:tc>
          <w:tcPr>
            <w:tcW w:w="1233" w:type="pct"/>
            <w:shd w:val="clear" w:color="auto" w:fill="auto"/>
            <w:vAlign w:val="center"/>
            <w:hideMark/>
          </w:tcPr>
          <w:p w:rsidRPr="00D7128A" w:rsidR="00B91E39" w:rsidP="00FF2AD1" w:rsidRDefault="00B91E39" w14:paraId="6BF28A90" w14:textId="77777777">
            <w:pPr>
              <w:rPr>
                <w:color w:val="000000"/>
                <w:szCs w:val="20"/>
              </w:rPr>
            </w:pPr>
            <w:r w:rsidRPr="00D7128A">
              <w:rPr>
                <w:color w:val="000000"/>
                <w:szCs w:val="20"/>
              </w:rPr>
              <w:t>Manufacture, process, store (mostly regulated flammable substances and flammable mixtures)</w:t>
            </w:r>
          </w:p>
        </w:tc>
      </w:tr>
      <w:tr w:rsidRPr="00587204" w:rsidR="00B91E39" w:rsidTr="00B91E39" w14:paraId="0ED452D0" w14:textId="77777777">
        <w:trPr>
          <w:trHeight w:val="20"/>
          <w:jc w:val="center"/>
        </w:trPr>
        <w:tc>
          <w:tcPr>
            <w:tcW w:w="1682" w:type="pct"/>
            <w:shd w:val="clear" w:color="auto" w:fill="auto"/>
            <w:vAlign w:val="center"/>
            <w:hideMark/>
          </w:tcPr>
          <w:p w:rsidRPr="00D7128A" w:rsidR="00B91E39" w:rsidP="00FF2AD1" w:rsidRDefault="00B91E39" w14:paraId="5B24AF4F" w14:textId="77777777">
            <w:pPr>
              <w:rPr>
                <w:color w:val="000000"/>
                <w:szCs w:val="20"/>
              </w:rPr>
            </w:pPr>
            <w:r w:rsidRPr="00D7128A">
              <w:rPr>
                <w:color w:val="000000"/>
                <w:szCs w:val="20"/>
              </w:rPr>
              <w:t>Petroleum wholesalers</w:t>
            </w:r>
          </w:p>
        </w:tc>
        <w:tc>
          <w:tcPr>
            <w:tcW w:w="1066" w:type="pct"/>
            <w:shd w:val="clear" w:color="auto" w:fill="auto"/>
            <w:vAlign w:val="center"/>
            <w:hideMark/>
          </w:tcPr>
          <w:p w:rsidRPr="00D7128A" w:rsidR="00B91E39" w:rsidP="00FF2AD1" w:rsidRDefault="00B91E39" w14:paraId="29665167" w14:textId="77777777">
            <w:pPr>
              <w:jc w:val="center"/>
              <w:rPr>
                <w:color w:val="000000"/>
                <w:szCs w:val="20"/>
              </w:rPr>
            </w:pPr>
            <w:r w:rsidRPr="00D7128A">
              <w:rPr>
                <w:color w:val="000000"/>
                <w:szCs w:val="20"/>
              </w:rPr>
              <w:t>4247</w:t>
            </w:r>
          </w:p>
        </w:tc>
        <w:tc>
          <w:tcPr>
            <w:tcW w:w="1019" w:type="pct"/>
            <w:shd w:val="clear" w:color="auto" w:fill="auto"/>
            <w:noWrap/>
            <w:vAlign w:val="center"/>
            <w:hideMark/>
          </w:tcPr>
          <w:p w:rsidRPr="00D7128A" w:rsidR="00B91E39" w:rsidP="00FF2AD1" w:rsidRDefault="00B91E39" w14:paraId="554D9EE1" w14:textId="77777777">
            <w:pPr>
              <w:jc w:val="center"/>
              <w:rPr>
                <w:color w:val="000000"/>
                <w:szCs w:val="20"/>
              </w:rPr>
            </w:pPr>
            <w:r w:rsidRPr="00D7128A">
              <w:rPr>
                <w:color w:val="000000"/>
                <w:szCs w:val="20"/>
              </w:rPr>
              <w:t>367</w:t>
            </w:r>
          </w:p>
        </w:tc>
        <w:tc>
          <w:tcPr>
            <w:tcW w:w="1233" w:type="pct"/>
            <w:shd w:val="clear" w:color="auto" w:fill="auto"/>
            <w:vAlign w:val="center"/>
            <w:hideMark/>
          </w:tcPr>
          <w:p w:rsidRPr="00D7128A" w:rsidR="00B91E39" w:rsidP="00FF2AD1" w:rsidRDefault="00B91E39" w14:paraId="1DD4FC00" w14:textId="77777777">
            <w:pPr>
              <w:rPr>
                <w:color w:val="000000"/>
                <w:szCs w:val="20"/>
              </w:rPr>
            </w:pPr>
            <w:r w:rsidRPr="00D7128A">
              <w:rPr>
                <w:color w:val="000000"/>
                <w:szCs w:val="20"/>
              </w:rPr>
              <w:t>Store for sale (mostly regulated flammable substances and flammable mixtures)</w:t>
            </w:r>
          </w:p>
        </w:tc>
      </w:tr>
      <w:tr w:rsidRPr="00587204" w:rsidR="00B91E39" w:rsidTr="00B91E39" w14:paraId="0FE6371D" w14:textId="77777777">
        <w:trPr>
          <w:trHeight w:val="20"/>
          <w:jc w:val="center"/>
        </w:trPr>
        <w:tc>
          <w:tcPr>
            <w:tcW w:w="1682" w:type="pct"/>
            <w:shd w:val="clear" w:color="auto" w:fill="auto"/>
            <w:vAlign w:val="center"/>
            <w:hideMark/>
          </w:tcPr>
          <w:p w:rsidRPr="00D7128A" w:rsidR="00B91E39" w:rsidP="00FF2AD1" w:rsidRDefault="00B91E39" w14:paraId="02799BA1" w14:textId="77777777">
            <w:pPr>
              <w:rPr>
                <w:color w:val="000000"/>
                <w:szCs w:val="20"/>
              </w:rPr>
            </w:pPr>
            <w:r w:rsidRPr="00D7128A">
              <w:rPr>
                <w:color w:val="000000"/>
                <w:szCs w:val="20"/>
              </w:rPr>
              <w:t>Utilities/Water/Wastewater</w:t>
            </w:r>
          </w:p>
        </w:tc>
        <w:tc>
          <w:tcPr>
            <w:tcW w:w="1066" w:type="pct"/>
            <w:shd w:val="clear" w:color="auto" w:fill="auto"/>
            <w:vAlign w:val="center"/>
            <w:hideMark/>
          </w:tcPr>
          <w:p w:rsidRPr="00D7128A" w:rsidR="00B91E39" w:rsidP="00FF2AD1" w:rsidRDefault="00B91E39" w14:paraId="0E542D75" w14:textId="277F1B7F">
            <w:pPr>
              <w:jc w:val="center"/>
              <w:rPr>
                <w:color w:val="000000"/>
                <w:szCs w:val="20"/>
              </w:rPr>
            </w:pPr>
            <w:r w:rsidRPr="00D7128A">
              <w:rPr>
                <w:color w:val="000000"/>
                <w:szCs w:val="20"/>
              </w:rPr>
              <w:t>221 (non-government-owned water)</w:t>
            </w:r>
          </w:p>
        </w:tc>
        <w:tc>
          <w:tcPr>
            <w:tcW w:w="1019" w:type="pct"/>
            <w:shd w:val="clear" w:color="auto" w:fill="auto"/>
            <w:noWrap/>
            <w:vAlign w:val="center"/>
            <w:hideMark/>
          </w:tcPr>
          <w:p w:rsidRPr="00D7128A" w:rsidR="00B91E39" w:rsidP="00FF2AD1" w:rsidRDefault="00B91E39" w14:paraId="4E609D4C" w14:textId="77777777">
            <w:pPr>
              <w:jc w:val="center"/>
              <w:rPr>
                <w:color w:val="000000"/>
                <w:szCs w:val="20"/>
              </w:rPr>
            </w:pPr>
            <w:r w:rsidRPr="00D7128A">
              <w:rPr>
                <w:color w:val="000000"/>
                <w:szCs w:val="20"/>
              </w:rPr>
              <w:t>519</w:t>
            </w:r>
          </w:p>
        </w:tc>
        <w:tc>
          <w:tcPr>
            <w:tcW w:w="1233" w:type="pct"/>
            <w:shd w:val="clear" w:color="auto" w:fill="auto"/>
            <w:vAlign w:val="center"/>
            <w:hideMark/>
          </w:tcPr>
          <w:p w:rsidRPr="00D7128A" w:rsidR="00B91E39" w:rsidP="00FF2AD1" w:rsidRDefault="00B91E39" w14:paraId="6B7F5B80" w14:textId="77777777">
            <w:pPr>
              <w:rPr>
                <w:color w:val="000000"/>
                <w:szCs w:val="20"/>
              </w:rPr>
            </w:pPr>
            <w:r w:rsidRPr="00D7128A">
              <w:rPr>
                <w:color w:val="000000"/>
                <w:szCs w:val="20"/>
              </w:rPr>
              <w:t>Use chlorine (mostly for water treatment) and other chemicals</w:t>
            </w:r>
          </w:p>
        </w:tc>
      </w:tr>
      <w:tr w:rsidRPr="00587204" w:rsidR="00B91E39" w:rsidTr="00B91E39" w14:paraId="72A7FC1E" w14:textId="77777777">
        <w:trPr>
          <w:trHeight w:val="20"/>
          <w:jc w:val="center"/>
        </w:trPr>
        <w:tc>
          <w:tcPr>
            <w:tcW w:w="1682" w:type="pct"/>
            <w:shd w:val="clear" w:color="auto" w:fill="auto"/>
            <w:vAlign w:val="center"/>
            <w:hideMark/>
          </w:tcPr>
          <w:p w:rsidRPr="00D7128A" w:rsidR="00B91E39" w:rsidP="00FF2AD1" w:rsidRDefault="00B91E39" w14:paraId="0DDCFF85" w14:textId="77777777">
            <w:pPr>
              <w:rPr>
                <w:color w:val="000000"/>
                <w:szCs w:val="20"/>
              </w:rPr>
            </w:pPr>
            <w:r w:rsidRPr="00D7128A">
              <w:rPr>
                <w:color w:val="000000"/>
                <w:szCs w:val="20"/>
              </w:rPr>
              <w:t>Warehousing and storage</w:t>
            </w:r>
          </w:p>
        </w:tc>
        <w:tc>
          <w:tcPr>
            <w:tcW w:w="1066" w:type="pct"/>
            <w:shd w:val="clear" w:color="auto" w:fill="auto"/>
            <w:vAlign w:val="center"/>
            <w:hideMark/>
          </w:tcPr>
          <w:p w:rsidRPr="00D7128A" w:rsidR="00B91E39" w:rsidP="00FF2AD1" w:rsidRDefault="00B91E39" w14:paraId="72435CB1" w14:textId="77777777">
            <w:pPr>
              <w:jc w:val="center"/>
              <w:rPr>
                <w:color w:val="000000"/>
                <w:szCs w:val="20"/>
              </w:rPr>
            </w:pPr>
            <w:r w:rsidRPr="00D7128A">
              <w:rPr>
                <w:color w:val="000000"/>
                <w:szCs w:val="20"/>
              </w:rPr>
              <w:t>493</w:t>
            </w:r>
          </w:p>
        </w:tc>
        <w:tc>
          <w:tcPr>
            <w:tcW w:w="1019" w:type="pct"/>
            <w:shd w:val="clear" w:color="auto" w:fill="auto"/>
            <w:noWrap/>
            <w:vAlign w:val="center"/>
            <w:hideMark/>
          </w:tcPr>
          <w:p w:rsidRPr="00D7128A" w:rsidR="00B91E39" w:rsidP="00FF2AD1" w:rsidRDefault="00B91E39" w14:paraId="1D47E82A" w14:textId="77777777">
            <w:pPr>
              <w:jc w:val="center"/>
              <w:rPr>
                <w:color w:val="000000"/>
                <w:szCs w:val="20"/>
              </w:rPr>
            </w:pPr>
            <w:r w:rsidRPr="00D7128A">
              <w:rPr>
                <w:color w:val="000000"/>
                <w:szCs w:val="20"/>
              </w:rPr>
              <w:t>1,110</w:t>
            </w:r>
          </w:p>
        </w:tc>
        <w:tc>
          <w:tcPr>
            <w:tcW w:w="1233" w:type="pct"/>
            <w:shd w:val="clear" w:color="auto" w:fill="auto"/>
            <w:vAlign w:val="center"/>
            <w:hideMark/>
          </w:tcPr>
          <w:p w:rsidRPr="00D7128A" w:rsidR="00B91E39" w:rsidP="00FF2AD1" w:rsidRDefault="00B91E39" w14:paraId="6AA26274" w14:textId="77777777">
            <w:pPr>
              <w:rPr>
                <w:color w:val="000000"/>
                <w:szCs w:val="20"/>
              </w:rPr>
            </w:pPr>
            <w:r w:rsidRPr="00D7128A">
              <w:rPr>
                <w:color w:val="000000"/>
                <w:szCs w:val="20"/>
              </w:rPr>
              <w:t xml:space="preserve">Use </w:t>
            </w:r>
            <w:r>
              <w:rPr>
                <w:color w:val="000000"/>
                <w:szCs w:val="20"/>
              </w:rPr>
              <w:t>(</w:t>
            </w:r>
            <w:r w:rsidRPr="00D7128A">
              <w:rPr>
                <w:color w:val="000000"/>
                <w:szCs w:val="20"/>
              </w:rPr>
              <w:t>mostly ammonia</w:t>
            </w:r>
            <w:r>
              <w:rPr>
                <w:color w:val="000000"/>
                <w:szCs w:val="20"/>
              </w:rPr>
              <w:t>)</w:t>
            </w:r>
            <w:r w:rsidRPr="00D7128A">
              <w:rPr>
                <w:color w:val="000000"/>
                <w:szCs w:val="20"/>
              </w:rPr>
              <w:t xml:space="preserve"> as a refrigerant</w:t>
            </w:r>
          </w:p>
        </w:tc>
      </w:tr>
      <w:tr w:rsidRPr="00587204" w:rsidR="00B91E39" w:rsidTr="00B91E39" w14:paraId="661AB9F4" w14:textId="77777777">
        <w:trPr>
          <w:trHeight w:val="20"/>
          <w:jc w:val="center"/>
        </w:trPr>
        <w:tc>
          <w:tcPr>
            <w:tcW w:w="1682" w:type="pct"/>
            <w:shd w:val="clear" w:color="auto" w:fill="auto"/>
            <w:vAlign w:val="center"/>
            <w:hideMark/>
          </w:tcPr>
          <w:p w:rsidRPr="00D7128A" w:rsidR="00B91E39" w:rsidP="00FF2AD1" w:rsidRDefault="00B91E39" w14:paraId="317FEE08" w14:textId="77777777">
            <w:pPr>
              <w:rPr>
                <w:b/>
                <w:color w:val="000000"/>
                <w:szCs w:val="20"/>
              </w:rPr>
            </w:pPr>
            <w:r w:rsidRPr="00D7128A">
              <w:rPr>
                <w:b/>
                <w:color w:val="000000"/>
                <w:szCs w:val="20"/>
              </w:rPr>
              <w:t>Total</w:t>
            </w:r>
          </w:p>
        </w:tc>
        <w:tc>
          <w:tcPr>
            <w:tcW w:w="1066" w:type="pct"/>
            <w:shd w:val="clear" w:color="auto" w:fill="auto"/>
            <w:noWrap/>
            <w:vAlign w:val="center"/>
            <w:hideMark/>
          </w:tcPr>
          <w:p w:rsidRPr="00D7128A" w:rsidR="00B91E39" w:rsidP="00FF2AD1" w:rsidRDefault="00B91E39" w14:paraId="13DB6860" w14:textId="77777777">
            <w:pPr>
              <w:jc w:val="center"/>
              <w:rPr>
                <w:b/>
                <w:color w:val="000000"/>
                <w:szCs w:val="20"/>
              </w:rPr>
            </w:pPr>
          </w:p>
        </w:tc>
        <w:tc>
          <w:tcPr>
            <w:tcW w:w="1019" w:type="pct"/>
            <w:shd w:val="clear" w:color="auto" w:fill="auto"/>
            <w:noWrap/>
            <w:vAlign w:val="center"/>
            <w:hideMark/>
          </w:tcPr>
          <w:p w:rsidRPr="00D7128A" w:rsidR="00B91E39" w:rsidP="00FF2AD1" w:rsidRDefault="00B91E39" w14:paraId="633FD894" w14:textId="77777777">
            <w:pPr>
              <w:jc w:val="center"/>
              <w:rPr>
                <w:b/>
                <w:color w:val="000000"/>
                <w:szCs w:val="20"/>
              </w:rPr>
            </w:pPr>
            <w:r w:rsidRPr="00D7128A">
              <w:rPr>
                <w:b/>
                <w:color w:val="000000"/>
                <w:szCs w:val="20"/>
              </w:rPr>
              <w:t>11,740</w:t>
            </w:r>
          </w:p>
        </w:tc>
        <w:tc>
          <w:tcPr>
            <w:tcW w:w="1233" w:type="pct"/>
            <w:shd w:val="clear" w:color="auto" w:fill="auto"/>
            <w:noWrap/>
            <w:vAlign w:val="center"/>
            <w:hideMark/>
          </w:tcPr>
          <w:p w:rsidRPr="00D7128A" w:rsidR="00B91E39" w:rsidP="00FF2AD1" w:rsidRDefault="00B91E39" w14:paraId="23649E54" w14:textId="77777777">
            <w:pPr>
              <w:rPr>
                <w:color w:val="000000"/>
                <w:szCs w:val="20"/>
              </w:rPr>
            </w:pPr>
          </w:p>
        </w:tc>
      </w:tr>
    </w:tbl>
    <w:p w:rsidRPr="00587204" w:rsidR="00B91E39" w:rsidP="00B91E39" w:rsidRDefault="00B91E39" w14:paraId="2A5CC3BF" w14:textId="77777777">
      <w:pPr>
        <w:rPr>
          <w:b/>
        </w:rPr>
      </w:pPr>
    </w:p>
    <w:p w:rsidRPr="00586F1B" w:rsidR="00672ADC" w:rsidP="00672ADC" w:rsidRDefault="00672ADC" w14:paraId="1A2EAE3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highlight w:val="yellow"/>
        </w:rPr>
      </w:pPr>
    </w:p>
    <w:p w:rsidRPr="00126EA0" w:rsidR="00D93C2C" w:rsidP="00672ADC" w:rsidRDefault="00655FA5" w14:paraId="0460BC39" w14:textId="0BDE36AC">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r w:rsidRPr="00126EA0">
        <w:rPr>
          <w:b/>
          <w:bCs/>
          <w:sz w:val="22"/>
          <w:szCs w:val="22"/>
          <w:u w:val="single"/>
        </w:rPr>
        <w:t>Implementing</w:t>
      </w:r>
      <w:r w:rsidRPr="00126EA0" w:rsidR="009C6907">
        <w:rPr>
          <w:b/>
          <w:bCs/>
          <w:sz w:val="22"/>
          <w:szCs w:val="22"/>
          <w:u w:val="single"/>
        </w:rPr>
        <w:t xml:space="preserve"> Agencies</w:t>
      </w:r>
    </w:p>
    <w:p w:rsidRPr="00126EA0" w:rsidR="00672ADC" w:rsidP="00672ADC" w:rsidRDefault="00672ADC" w14:paraId="66E40AEC"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p>
    <w:p w:rsidRPr="00126EA0" w:rsidR="00684EA3" w:rsidP="00672ADC" w:rsidRDefault="00CF50D9" w14:paraId="2FA8A9FB" w14:textId="1F37D04B">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126EA0">
        <w:rPr>
          <w:sz w:val="22"/>
          <w:szCs w:val="22"/>
        </w:rPr>
        <w:tab/>
      </w:r>
      <w:r w:rsidRPr="00126EA0" w:rsidR="000556B5">
        <w:rPr>
          <w:sz w:val="22"/>
          <w:szCs w:val="22"/>
        </w:rPr>
        <w:t>EPA estimates that d</w:t>
      </w:r>
      <w:r w:rsidRPr="00126EA0" w:rsidR="00C61E11">
        <w:rPr>
          <w:sz w:val="22"/>
          <w:szCs w:val="22"/>
        </w:rPr>
        <w:t xml:space="preserve">uring the period covered by this ICR, </w:t>
      </w:r>
      <w:r w:rsidRPr="00126EA0" w:rsidR="009F2B1F">
        <w:rPr>
          <w:sz w:val="22"/>
          <w:szCs w:val="22"/>
        </w:rPr>
        <w:t>13</w:t>
      </w:r>
      <w:r w:rsidRPr="00126EA0" w:rsidR="00C61E11">
        <w:rPr>
          <w:sz w:val="22"/>
          <w:szCs w:val="22"/>
        </w:rPr>
        <w:t xml:space="preserve"> </w:t>
      </w:r>
      <w:r w:rsidRPr="00126EA0" w:rsidR="00545505">
        <w:rPr>
          <w:sz w:val="22"/>
          <w:szCs w:val="22"/>
        </w:rPr>
        <w:t>S</w:t>
      </w:r>
      <w:r w:rsidRPr="00126EA0" w:rsidR="00C61E11">
        <w:rPr>
          <w:sz w:val="22"/>
          <w:szCs w:val="22"/>
        </w:rPr>
        <w:t xml:space="preserve">tate and local agencies will </w:t>
      </w:r>
      <w:r w:rsidRPr="00126EA0" w:rsidR="009A17D4">
        <w:rPr>
          <w:sz w:val="22"/>
          <w:szCs w:val="22"/>
        </w:rPr>
        <w:lastRenderedPageBreak/>
        <w:t xml:space="preserve">maintain a delegation of authority from EPA to </w:t>
      </w:r>
      <w:r w:rsidRPr="00126EA0" w:rsidR="00C61E11">
        <w:rPr>
          <w:sz w:val="22"/>
          <w:szCs w:val="22"/>
        </w:rPr>
        <w:t xml:space="preserve">implement the RMP program in their </w:t>
      </w:r>
      <w:r w:rsidRPr="00126EA0" w:rsidR="00D50BCE">
        <w:rPr>
          <w:sz w:val="22"/>
          <w:szCs w:val="22"/>
        </w:rPr>
        <w:t>State</w:t>
      </w:r>
      <w:r w:rsidRPr="00126EA0" w:rsidR="00C61E11">
        <w:rPr>
          <w:sz w:val="22"/>
          <w:szCs w:val="22"/>
        </w:rPr>
        <w:t xml:space="preserve">s. </w:t>
      </w:r>
    </w:p>
    <w:p w:rsidRPr="00126EA0" w:rsidR="00672ADC" w:rsidP="00672ADC" w:rsidRDefault="00672ADC" w14:paraId="153D6020"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Pr="00126EA0" w:rsidR="009C6907" w:rsidP="00672ADC" w:rsidRDefault="009C6907" w14:paraId="7B1DED01" w14:textId="6E9D7653">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r w:rsidRPr="00126EA0">
        <w:rPr>
          <w:b/>
          <w:bCs/>
          <w:sz w:val="22"/>
          <w:szCs w:val="22"/>
          <w:u w:val="single"/>
        </w:rPr>
        <w:t>Local Emergency Planning Committees</w:t>
      </w:r>
    </w:p>
    <w:p w:rsidRPr="00126EA0" w:rsidR="00672ADC" w:rsidP="00672ADC" w:rsidRDefault="00672ADC" w14:paraId="29D15207"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p>
    <w:p w:rsidRPr="00126EA0" w:rsidR="00672ADC" w:rsidP="00672ADC" w:rsidRDefault="004D694B" w14:paraId="021921AC"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126EA0">
        <w:rPr>
          <w:sz w:val="22"/>
          <w:szCs w:val="22"/>
        </w:rPr>
        <w:tab/>
      </w:r>
      <w:r w:rsidRPr="00126EA0" w:rsidR="007C72DD">
        <w:rPr>
          <w:sz w:val="22"/>
          <w:szCs w:val="22"/>
        </w:rPr>
        <w:t>D</w:t>
      </w:r>
      <w:r w:rsidRPr="00126EA0" w:rsidR="00065140">
        <w:rPr>
          <w:sz w:val="22"/>
          <w:szCs w:val="22"/>
        </w:rPr>
        <w:t xml:space="preserve">uring the period </w:t>
      </w:r>
      <w:r w:rsidRPr="00126EA0" w:rsidR="0020676E">
        <w:rPr>
          <w:sz w:val="22"/>
          <w:szCs w:val="22"/>
        </w:rPr>
        <w:t xml:space="preserve">covered by this ICR, 2,473 LEPCs </w:t>
      </w:r>
      <w:r w:rsidRPr="00126EA0" w:rsidR="003E5480">
        <w:rPr>
          <w:sz w:val="22"/>
          <w:szCs w:val="22"/>
        </w:rPr>
        <w:t xml:space="preserve">will participate in coordination activities and emergency exercises. </w:t>
      </w:r>
    </w:p>
    <w:p w:rsidRPr="00126EA0" w:rsidR="00672ADC" w:rsidP="00672ADC" w:rsidRDefault="00672ADC" w14:paraId="7DC9C91A"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Pr="00126EA0" w:rsidR="007C72DD" w:rsidP="00672ADC" w:rsidRDefault="007C72DD" w14:paraId="6FD52A36" w14:textId="4134E6C0">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r w:rsidRPr="00126EA0">
        <w:rPr>
          <w:b/>
          <w:bCs/>
          <w:sz w:val="22"/>
          <w:szCs w:val="22"/>
          <w:u w:val="single"/>
        </w:rPr>
        <w:t>Summary</w:t>
      </w:r>
    </w:p>
    <w:p w:rsidRPr="00126EA0" w:rsidR="00672ADC" w:rsidP="00672ADC" w:rsidRDefault="00672ADC" w14:paraId="25853AC7"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p>
    <w:p w:rsidRPr="00126EA0" w:rsidR="0049754E" w:rsidP="00F31D27" w:rsidRDefault="00AA3820" w14:paraId="035A41A7" w14:textId="1110B051">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240"/>
        <w:ind w:firstLine="720"/>
        <w:rPr>
          <w:sz w:val="22"/>
          <w:szCs w:val="22"/>
        </w:rPr>
      </w:pPr>
      <w:r w:rsidRPr="00126EA0">
        <w:rPr>
          <w:sz w:val="22"/>
          <w:szCs w:val="22"/>
        </w:rPr>
        <w:t xml:space="preserve">Based on the above information, </w:t>
      </w:r>
      <w:r w:rsidRPr="00126EA0" w:rsidR="00705AE5">
        <w:rPr>
          <w:sz w:val="22"/>
          <w:szCs w:val="22"/>
        </w:rPr>
        <w:t>the total number of respondents for this ICR period is 14,</w:t>
      </w:r>
      <w:r w:rsidRPr="00126EA0" w:rsidR="00126EA0">
        <w:rPr>
          <w:sz w:val="22"/>
          <w:szCs w:val="22"/>
        </w:rPr>
        <w:t>226</w:t>
      </w:r>
      <w:r w:rsidRPr="00126EA0" w:rsidR="00705AE5">
        <w:rPr>
          <w:sz w:val="22"/>
          <w:szCs w:val="22"/>
        </w:rPr>
        <w:t xml:space="preserve"> (i.e., 1</w:t>
      </w:r>
      <w:r w:rsidRPr="00126EA0" w:rsidR="00126EA0">
        <w:rPr>
          <w:sz w:val="22"/>
          <w:szCs w:val="22"/>
        </w:rPr>
        <w:t>1,740</w:t>
      </w:r>
      <w:r w:rsidRPr="00126EA0" w:rsidR="00705AE5">
        <w:rPr>
          <w:sz w:val="22"/>
          <w:szCs w:val="22"/>
        </w:rPr>
        <w:t xml:space="preserve"> sources + 1</w:t>
      </w:r>
      <w:r w:rsidRPr="00126EA0" w:rsidR="0066403C">
        <w:rPr>
          <w:sz w:val="22"/>
          <w:szCs w:val="22"/>
        </w:rPr>
        <w:t>3</w:t>
      </w:r>
      <w:r w:rsidRPr="00126EA0" w:rsidR="00705AE5">
        <w:rPr>
          <w:sz w:val="22"/>
          <w:szCs w:val="22"/>
        </w:rPr>
        <w:t xml:space="preserve"> </w:t>
      </w:r>
      <w:r w:rsidRPr="00126EA0" w:rsidR="00101F97">
        <w:rPr>
          <w:sz w:val="22"/>
          <w:szCs w:val="22"/>
        </w:rPr>
        <w:t>implementing</w:t>
      </w:r>
      <w:r w:rsidRPr="00126EA0" w:rsidR="00705AE5">
        <w:rPr>
          <w:sz w:val="22"/>
          <w:szCs w:val="22"/>
        </w:rPr>
        <w:t xml:space="preserve"> agencies + 2,473 LEPCs).</w:t>
      </w:r>
    </w:p>
    <w:p w:rsidRPr="00126EA0" w:rsidR="002071E7" w:rsidP="00BC05FF" w:rsidRDefault="00680C4F" w14:paraId="282DE8BD" w14:textId="032CB4C5">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2"/>
        </w:tabs>
        <w:contextualSpacing w:val="0"/>
        <w:rPr>
          <w:b/>
          <w:bCs/>
          <w:sz w:val="22"/>
          <w:szCs w:val="22"/>
        </w:rPr>
      </w:pPr>
      <w:r w:rsidRPr="00126EA0">
        <w:rPr>
          <w:b/>
          <w:bCs/>
          <w:sz w:val="22"/>
          <w:szCs w:val="22"/>
        </w:rPr>
        <w:t>Annual Respondent Burden</w:t>
      </w:r>
      <w:r w:rsidRPr="00126EA0" w:rsidR="00D4422C">
        <w:rPr>
          <w:b/>
          <w:bCs/>
          <w:sz w:val="22"/>
          <w:szCs w:val="22"/>
        </w:rPr>
        <w:t xml:space="preserve"> and Costs</w:t>
      </w:r>
    </w:p>
    <w:p w:rsidRPr="00126EA0" w:rsidR="00672ADC" w:rsidP="00672ADC" w:rsidRDefault="00672ADC" w14:paraId="651FA030"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2"/>
        </w:tabs>
        <w:ind w:left="1080"/>
        <w:contextualSpacing w:val="0"/>
        <w:rPr>
          <w:b/>
          <w:bCs/>
          <w:sz w:val="22"/>
          <w:szCs w:val="22"/>
        </w:rPr>
      </w:pPr>
    </w:p>
    <w:p w:rsidRPr="00126EA0" w:rsidR="00E20C3C" w:rsidP="00126EA0" w:rsidRDefault="00E20C3C" w14:paraId="7D1B112B" w14:textId="4F8D197D">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u w:val="single"/>
        </w:rPr>
      </w:pPr>
      <w:r w:rsidRPr="00126EA0">
        <w:rPr>
          <w:b/>
          <w:bCs/>
          <w:sz w:val="22"/>
          <w:szCs w:val="22"/>
          <w:u w:val="single"/>
        </w:rPr>
        <w:t>Familiarization</w:t>
      </w:r>
      <w:r w:rsidRPr="00126EA0">
        <w:rPr>
          <w:sz w:val="22"/>
          <w:szCs w:val="22"/>
          <w:u w:val="single"/>
        </w:rPr>
        <w:t xml:space="preserve"> </w:t>
      </w:r>
      <w:r w:rsidRPr="00126EA0" w:rsidR="005C40E6">
        <w:rPr>
          <w:b/>
          <w:bCs/>
          <w:sz w:val="22"/>
          <w:szCs w:val="22"/>
          <w:u w:val="single"/>
        </w:rPr>
        <w:t>with the Regulations</w:t>
      </w:r>
      <w:r w:rsidRPr="00126EA0" w:rsidR="005C40E6">
        <w:rPr>
          <w:sz w:val="22"/>
          <w:szCs w:val="22"/>
          <w:u w:val="single"/>
        </w:rPr>
        <w:t xml:space="preserve"> </w:t>
      </w:r>
    </w:p>
    <w:p w:rsidR="00126EA0" w:rsidP="00126EA0" w:rsidRDefault="00126EA0" w14:paraId="22A6984C" w14:textId="77777777">
      <w:pPr>
        <w:ind w:right="388" w:firstLine="720"/>
        <w:rPr>
          <w:sz w:val="22"/>
          <w:szCs w:val="22"/>
        </w:rPr>
      </w:pPr>
    </w:p>
    <w:p w:rsidRPr="00DD1B9F" w:rsidR="00126EA0" w:rsidP="00126EA0" w:rsidRDefault="00126EA0" w14:paraId="70552F1D" w14:textId="44BF5D11">
      <w:pPr>
        <w:ind w:right="388" w:firstLine="720"/>
        <w:rPr>
          <w:sz w:val="22"/>
          <w:szCs w:val="22"/>
        </w:rPr>
      </w:pPr>
      <w:r w:rsidRPr="00DD1B9F">
        <w:rPr>
          <w:sz w:val="22"/>
          <w:szCs w:val="22"/>
        </w:rPr>
        <w:t>EPA analyzed the cost of rule familiarization, which</w:t>
      </w:r>
      <w:r w:rsidR="0085181A">
        <w:rPr>
          <w:sz w:val="22"/>
          <w:szCs w:val="22"/>
        </w:rPr>
        <w:t>,</w:t>
      </w:r>
      <w:r w:rsidRPr="00DD1B9F">
        <w:rPr>
          <w:sz w:val="22"/>
          <w:szCs w:val="22"/>
        </w:rPr>
        <w:t xml:space="preserve"> while not a provision of the proposed rule, is an activity that occurs under every rulemaking. See Exhibit </w:t>
      </w:r>
      <w:r w:rsidR="00F1448F">
        <w:rPr>
          <w:sz w:val="22"/>
          <w:szCs w:val="22"/>
        </w:rPr>
        <w:t>7</w:t>
      </w:r>
      <w:r w:rsidRPr="00DD1B9F">
        <w:rPr>
          <w:sz w:val="22"/>
          <w:szCs w:val="22"/>
        </w:rPr>
        <w:t>.</w:t>
      </w:r>
    </w:p>
    <w:p w:rsidRPr="00BF4D0A" w:rsidR="00126EA0" w:rsidP="00126EA0" w:rsidRDefault="00126EA0" w14:paraId="0EFD67B2" w14:textId="77777777">
      <w:pPr>
        <w:ind w:right="388" w:firstLine="360"/>
      </w:pPr>
    </w:p>
    <w:p w:rsidRPr="00576F93" w:rsidR="00126EA0" w:rsidP="0074445B" w:rsidRDefault="00126EA0" w14:paraId="2A7FCA64" w14:textId="71E89BE2">
      <w:pPr>
        <w:pStyle w:val="Caption"/>
        <w:spacing w:after="0"/>
        <w:jc w:val="center"/>
        <w:rPr>
          <w:b/>
          <w:bCs/>
          <w:i w:val="0"/>
          <w:iCs w:val="0"/>
          <w:color w:val="auto"/>
          <w:sz w:val="22"/>
          <w:szCs w:val="22"/>
        </w:rPr>
      </w:pPr>
      <w:r w:rsidRPr="00576F93">
        <w:rPr>
          <w:b/>
          <w:bCs/>
          <w:i w:val="0"/>
          <w:iCs w:val="0"/>
          <w:color w:val="auto"/>
          <w:sz w:val="22"/>
          <w:szCs w:val="22"/>
        </w:rPr>
        <w:t xml:space="preserve">Exhibit </w:t>
      </w:r>
      <w:r w:rsidR="00F1448F">
        <w:rPr>
          <w:b/>
          <w:bCs/>
          <w:i w:val="0"/>
          <w:iCs w:val="0"/>
          <w:color w:val="auto"/>
          <w:sz w:val="22"/>
          <w:szCs w:val="22"/>
        </w:rPr>
        <w:t>7</w:t>
      </w:r>
      <w:r w:rsidRPr="00576F93">
        <w:rPr>
          <w:b/>
          <w:bCs/>
          <w:i w:val="0"/>
          <w:iCs w:val="0"/>
          <w:color w:val="auto"/>
          <w:sz w:val="22"/>
          <w:szCs w:val="22"/>
        </w:rPr>
        <w:t xml:space="preserve">: Rule Familiarization (2020 </w:t>
      </w:r>
      <w:r>
        <w:rPr>
          <w:b/>
          <w:bCs/>
          <w:i w:val="0"/>
          <w:iCs w:val="0"/>
          <w:color w:val="auto"/>
          <w:sz w:val="22"/>
          <w:szCs w:val="22"/>
        </w:rPr>
        <w:t>d</w:t>
      </w:r>
      <w:r w:rsidRPr="00576F93">
        <w:rPr>
          <w:b/>
          <w:bCs/>
          <w:i w:val="0"/>
          <w:iCs w:val="0"/>
          <w:color w:val="auto"/>
          <w:sz w:val="22"/>
          <w:szCs w:val="22"/>
        </w:rPr>
        <w:t>ollars)</w:t>
      </w:r>
    </w:p>
    <w:tbl>
      <w:tblPr>
        <w:tblW w:w="5000" w:type="pct"/>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0" w:type="dxa"/>
          <w:right w:w="0" w:type="dxa"/>
        </w:tblCellMar>
        <w:tblLook w:val="01E0" w:firstRow="1" w:lastRow="1" w:firstColumn="1" w:lastColumn="1" w:noHBand="0" w:noVBand="0"/>
      </w:tblPr>
      <w:tblGrid>
        <w:gridCol w:w="3727"/>
        <w:gridCol w:w="1155"/>
        <w:gridCol w:w="1095"/>
        <w:gridCol w:w="3365"/>
      </w:tblGrid>
      <w:tr w:rsidRPr="00BF4D0A" w:rsidR="00126EA0" w:rsidTr="00FF2AD1" w14:paraId="7152EF45" w14:textId="77777777">
        <w:trPr>
          <w:trHeight w:val="20"/>
        </w:trPr>
        <w:tc>
          <w:tcPr>
            <w:tcW w:w="1994" w:type="pct"/>
            <w:tcBorders>
              <w:left w:val="single" w:color="000000" w:sz="8" w:space="0"/>
            </w:tcBorders>
            <w:shd w:val="clear" w:color="auto" w:fill="DADADA"/>
            <w:vAlign w:val="center"/>
          </w:tcPr>
          <w:p w:rsidRPr="00576F93" w:rsidR="00126EA0" w:rsidP="00FF2AD1" w:rsidRDefault="00126EA0" w14:paraId="0384370C" w14:textId="77777777">
            <w:pPr>
              <w:ind w:left="2516" w:hanging="2430"/>
              <w:jc w:val="center"/>
              <w:rPr>
                <w:b/>
                <w:szCs w:val="20"/>
              </w:rPr>
            </w:pPr>
            <w:r w:rsidRPr="00576F93">
              <w:rPr>
                <w:b/>
                <w:szCs w:val="20"/>
              </w:rPr>
              <w:t>Facility Type</w:t>
            </w:r>
          </w:p>
        </w:tc>
        <w:tc>
          <w:tcPr>
            <w:tcW w:w="618" w:type="pct"/>
            <w:shd w:val="clear" w:color="auto" w:fill="DADADA"/>
            <w:vAlign w:val="center"/>
          </w:tcPr>
          <w:p w:rsidRPr="00576F93" w:rsidR="00126EA0" w:rsidP="00FF2AD1" w:rsidRDefault="00126EA0" w14:paraId="02407D3D" w14:textId="77777777">
            <w:pPr>
              <w:ind w:left="94" w:right="37"/>
              <w:jc w:val="center"/>
              <w:rPr>
                <w:b/>
                <w:szCs w:val="20"/>
              </w:rPr>
            </w:pPr>
            <w:r w:rsidRPr="00576F93">
              <w:rPr>
                <w:b/>
                <w:szCs w:val="20"/>
              </w:rPr>
              <w:t>Unit Cost</w:t>
            </w:r>
          </w:p>
        </w:tc>
        <w:tc>
          <w:tcPr>
            <w:tcW w:w="586" w:type="pct"/>
            <w:tcBorders>
              <w:right w:val="single" w:color="000000" w:sz="8" w:space="0"/>
            </w:tcBorders>
            <w:shd w:val="clear" w:color="auto" w:fill="DADADA"/>
            <w:vAlign w:val="center"/>
          </w:tcPr>
          <w:p w:rsidRPr="00576F93" w:rsidR="00126EA0" w:rsidP="00FF2AD1" w:rsidRDefault="00126EA0" w14:paraId="7F113146" w14:textId="77777777">
            <w:pPr>
              <w:ind w:left="77" w:right="51"/>
              <w:jc w:val="center"/>
              <w:rPr>
                <w:b/>
                <w:szCs w:val="20"/>
              </w:rPr>
            </w:pPr>
            <w:r w:rsidRPr="00576F93">
              <w:rPr>
                <w:b/>
                <w:szCs w:val="20"/>
              </w:rPr>
              <w:t>Facilities</w:t>
            </w:r>
          </w:p>
        </w:tc>
        <w:tc>
          <w:tcPr>
            <w:tcW w:w="1801" w:type="pct"/>
            <w:tcBorders>
              <w:left w:val="single" w:color="000000" w:sz="8" w:space="0"/>
            </w:tcBorders>
            <w:shd w:val="clear" w:color="auto" w:fill="DADADA"/>
            <w:vAlign w:val="center"/>
          </w:tcPr>
          <w:p w:rsidRPr="00576F93" w:rsidR="00126EA0" w:rsidP="00FF2AD1" w:rsidRDefault="00126EA0" w14:paraId="519C3966" w14:textId="77777777">
            <w:pPr>
              <w:ind w:left="91" w:right="36"/>
              <w:jc w:val="center"/>
              <w:rPr>
                <w:b/>
                <w:szCs w:val="20"/>
              </w:rPr>
            </w:pPr>
            <w:r w:rsidRPr="00576F93">
              <w:rPr>
                <w:b/>
                <w:szCs w:val="20"/>
              </w:rPr>
              <w:t>Total Cost (incurred in Year 1)</w:t>
            </w:r>
          </w:p>
        </w:tc>
      </w:tr>
      <w:tr w:rsidRPr="00BF4D0A" w:rsidR="00126EA0" w:rsidTr="00FF2AD1" w14:paraId="437FEB0A" w14:textId="77777777">
        <w:trPr>
          <w:trHeight w:val="20"/>
        </w:trPr>
        <w:tc>
          <w:tcPr>
            <w:tcW w:w="1994" w:type="pct"/>
            <w:tcBorders>
              <w:left w:val="single" w:color="000000" w:sz="8" w:space="0"/>
              <w:bottom w:val="single" w:color="000000" w:sz="8" w:space="0"/>
            </w:tcBorders>
            <w:vAlign w:val="center"/>
          </w:tcPr>
          <w:p w:rsidRPr="00576F93" w:rsidR="00126EA0" w:rsidP="00FF2AD1" w:rsidRDefault="00126EA0" w14:paraId="15B21584" w14:textId="77777777">
            <w:pPr>
              <w:ind w:left="125"/>
              <w:rPr>
                <w:szCs w:val="20"/>
              </w:rPr>
            </w:pPr>
            <w:r w:rsidRPr="00576F93">
              <w:rPr>
                <w:szCs w:val="20"/>
              </w:rPr>
              <w:t>Simple</w:t>
            </w:r>
          </w:p>
        </w:tc>
        <w:tc>
          <w:tcPr>
            <w:tcW w:w="618" w:type="pct"/>
            <w:tcBorders>
              <w:bottom w:val="single" w:color="000000" w:sz="8" w:space="0"/>
            </w:tcBorders>
            <w:vAlign w:val="center"/>
          </w:tcPr>
          <w:p w:rsidRPr="00576F93" w:rsidR="00126EA0" w:rsidP="00FF2AD1" w:rsidRDefault="00126EA0" w14:paraId="6BF02EB6" w14:textId="77777777">
            <w:pPr>
              <w:ind w:left="94" w:right="34"/>
              <w:jc w:val="center"/>
              <w:rPr>
                <w:szCs w:val="20"/>
              </w:rPr>
            </w:pPr>
            <w:r w:rsidRPr="00576F93">
              <w:rPr>
                <w:color w:val="000000"/>
                <w:szCs w:val="20"/>
              </w:rPr>
              <w:t>$412</w:t>
            </w:r>
          </w:p>
        </w:tc>
        <w:tc>
          <w:tcPr>
            <w:tcW w:w="586" w:type="pct"/>
            <w:tcBorders>
              <w:bottom w:val="single" w:color="000000" w:sz="8" w:space="0"/>
              <w:right w:val="single" w:color="000000" w:sz="8" w:space="0"/>
            </w:tcBorders>
            <w:vAlign w:val="center"/>
          </w:tcPr>
          <w:p w:rsidRPr="00576F93" w:rsidR="00126EA0" w:rsidP="00FF2AD1" w:rsidRDefault="00126EA0" w14:paraId="783CDA13" w14:textId="77777777">
            <w:pPr>
              <w:ind w:left="77" w:right="45"/>
              <w:jc w:val="center"/>
              <w:rPr>
                <w:szCs w:val="20"/>
              </w:rPr>
            </w:pPr>
            <w:r w:rsidRPr="00576F93">
              <w:rPr>
                <w:szCs w:val="20"/>
              </w:rPr>
              <w:t>10,082</w:t>
            </w:r>
          </w:p>
        </w:tc>
        <w:tc>
          <w:tcPr>
            <w:tcW w:w="1801" w:type="pct"/>
            <w:tcBorders>
              <w:left w:val="single" w:color="000000" w:sz="8" w:space="0"/>
              <w:bottom w:val="single" w:color="000000" w:sz="8" w:space="0"/>
            </w:tcBorders>
            <w:vAlign w:val="center"/>
          </w:tcPr>
          <w:p w:rsidRPr="00576F93" w:rsidR="00126EA0" w:rsidP="00FF2AD1" w:rsidRDefault="00126EA0" w14:paraId="518702B6" w14:textId="77777777">
            <w:pPr>
              <w:ind w:left="91" w:right="49"/>
              <w:jc w:val="center"/>
              <w:rPr>
                <w:szCs w:val="20"/>
              </w:rPr>
            </w:pPr>
            <w:r w:rsidRPr="00576F93">
              <w:rPr>
                <w:color w:val="000000"/>
                <w:szCs w:val="20"/>
              </w:rPr>
              <w:t>$4,156,336</w:t>
            </w:r>
          </w:p>
        </w:tc>
      </w:tr>
      <w:tr w:rsidRPr="00BF4D0A" w:rsidR="00126EA0" w:rsidTr="00FF2AD1" w14:paraId="13623F7E" w14:textId="77777777">
        <w:trPr>
          <w:trHeight w:val="20"/>
        </w:trPr>
        <w:tc>
          <w:tcPr>
            <w:tcW w:w="1994" w:type="pct"/>
            <w:tcBorders>
              <w:top w:val="single" w:color="000000" w:sz="8" w:space="0"/>
              <w:left w:val="single" w:color="000000" w:sz="8" w:space="0"/>
              <w:bottom w:val="single" w:color="000000" w:sz="8" w:space="0"/>
            </w:tcBorders>
            <w:vAlign w:val="center"/>
          </w:tcPr>
          <w:p w:rsidRPr="00576F93" w:rsidR="00126EA0" w:rsidP="00FF2AD1" w:rsidRDefault="00126EA0" w14:paraId="1D68C031" w14:textId="77777777">
            <w:pPr>
              <w:ind w:left="125"/>
              <w:rPr>
                <w:szCs w:val="20"/>
              </w:rPr>
            </w:pPr>
            <w:r w:rsidRPr="00576F93">
              <w:rPr>
                <w:szCs w:val="20"/>
              </w:rPr>
              <w:t>Program 1 and Program 2 Complex</w:t>
            </w:r>
          </w:p>
        </w:tc>
        <w:tc>
          <w:tcPr>
            <w:tcW w:w="618" w:type="pct"/>
            <w:tcBorders>
              <w:top w:val="single" w:color="000000" w:sz="8" w:space="0"/>
              <w:bottom w:val="single" w:color="000000" w:sz="8" w:space="0"/>
            </w:tcBorders>
            <w:vAlign w:val="center"/>
          </w:tcPr>
          <w:p w:rsidRPr="00576F93" w:rsidR="00126EA0" w:rsidP="00FF2AD1" w:rsidRDefault="00126EA0" w14:paraId="56A1DE4F" w14:textId="77777777">
            <w:pPr>
              <w:ind w:left="94" w:right="34"/>
              <w:jc w:val="center"/>
              <w:rPr>
                <w:szCs w:val="20"/>
              </w:rPr>
            </w:pPr>
            <w:r w:rsidRPr="00576F93">
              <w:rPr>
                <w:color w:val="000000"/>
                <w:szCs w:val="20"/>
              </w:rPr>
              <w:t>$543</w:t>
            </w:r>
          </w:p>
        </w:tc>
        <w:tc>
          <w:tcPr>
            <w:tcW w:w="586" w:type="pct"/>
            <w:tcBorders>
              <w:top w:val="single" w:color="000000" w:sz="8" w:space="0"/>
              <w:bottom w:val="single" w:color="000000" w:sz="8" w:space="0"/>
              <w:right w:val="single" w:color="000000" w:sz="8" w:space="0"/>
            </w:tcBorders>
            <w:vAlign w:val="center"/>
          </w:tcPr>
          <w:p w:rsidRPr="00576F93" w:rsidR="00126EA0" w:rsidP="00FF2AD1" w:rsidRDefault="00126EA0" w14:paraId="1ADA539E" w14:textId="77777777">
            <w:pPr>
              <w:ind w:left="77" w:right="45"/>
              <w:jc w:val="center"/>
              <w:rPr>
                <w:szCs w:val="20"/>
              </w:rPr>
            </w:pPr>
            <w:r w:rsidRPr="00576F93">
              <w:rPr>
                <w:szCs w:val="20"/>
              </w:rPr>
              <w:t>131</w:t>
            </w:r>
          </w:p>
        </w:tc>
        <w:tc>
          <w:tcPr>
            <w:tcW w:w="1801" w:type="pct"/>
            <w:tcBorders>
              <w:top w:val="single" w:color="000000" w:sz="8" w:space="0"/>
              <w:left w:val="single" w:color="000000" w:sz="8" w:space="0"/>
              <w:bottom w:val="single" w:color="000000" w:sz="8" w:space="0"/>
            </w:tcBorders>
            <w:vAlign w:val="center"/>
          </w:tcPr>
          <w:p w:rsidRPr="00576F93" w:rsidR="00126EA0" w:rsidP="00FF2AD1" w:rsidRDefault="00126EA0" w14:paraId="44C6A2D9" w14:textId="77777777">
            <w:pPr>
              <w:ind w:left="91" w:right="49"/>
              <w:jc w:val="center"/>
              <w:rPr>
                <w:szCs w:val="20"/>
              </w:rPr>
            </w:pPr>
            <w:r w:rsidRPr="00576F93">
              <w:rPr>
                <w:color w:val="000000"/>
                <w:szCs w:val="20"/>
              </w:rPr>
              <w:t>$71,070</w:t>
            </w:r>
          </w:p>
        </w:tc>
      </w:tr>
      <w:tr w:rsidRPr="00BF4D0A" w:rsidR="00126EA0" w:rsidTr="00FF2AD1" w14:paraId="5E2A84B9" w14:textId="77777777">
        <w:trPr>
          <w:trHeight w:val="20"/>
        </w:trPr>
        <w:tc>
          <w:tcPr>
            <w:tcW w:w="1994" w:type="pct"/>
            <w:tcBorders>
              <w:top w:val="single" w:color="000000" w:sz="8" w:space="0"/>
              <w:left w:val="single" w:color="000000" w:sz="8" w:space="0"/>
            </w:tcBorders>
            <w:vAlign w:val="center"/>
          </w:tcPr>
          <w:p w:rsidRPr="00576F93" w:rsidR="00126EA0" w:rsidP="00FF2AD1" w:rsidRDefault="00126EA0" w14:paraId="3B2A8463" w14:textId="77777777">
            <w:pPr>
              <w:ind w:left="125"/>
              <w:rPr>
                <w:szCs w:val="20"/>
              </w:rPr>
            </w:pPr>
            <w:r w:rsidRPr="00576F93">
              <w:rPr>
                <w:szCs w:val="20"/>
              </w:rPr>
              <w:t>Program 3 Complex</w:t>
            </w:r>
          </w:p>
        </w:tc>
        <w:tc>
          <w:tcPr>
            <w:tcW w:w="618" w:type="pct"/>
            <w:tcBorders>
              <w:top w:val="single" w:color="000000" w:sz="8" w:space="0"/>
            </w:tcBorders>
            <w:vAlign w:val="center"/>
          </w:tcPr>
          <w:p w:rsidRPr="00576F93" w:rsidR="00126EA0" w:rsidP="00FF2AD1" w:rsidRDefault="00126EA0" w14:paraId="6925ABF8" w14:textId="77777777">
            <w:pPr>
              <w:ind w:left="94" w:right="34"/>
              <w:jc w:val="center"/>
              <w:rPr>
                <w:szCs w:val="20"/>
              </w:rPr>
            </w:pPr>
            <w:r w:rsidRPr="00576F93">
              <w:rPr>
                <w:color w:val="000000"/>
                <w:szCs w:val="20"/>
              </w:rPr>
              <w:t>$26,874</w:t>
            </w:r>
          </w:p>
        </w:tc>
        <w:tc>
          <w:tcPr>
            <w:tcW w:w="586" w:type="pct"/>
            <w:tcBorders>
              <w:top w:val="single" w:color="000000" w:sz="8" w:space="0"/>
              <w:right w:val="single" w:color="000000" w:sz="8" w:space="0"/>
            </w:tcBorders>
            <w:vAlign w:val="center"/>
          </w:tcPr>
          <w:p w:rsidRPr="00576F93" w:rsidR="00126EA0" w:rsidP="00FF2AD1" w:rsidRDefault="00126EA0" w14:paraId="65433969" w14:textId="77777777">
            <w:pPr>
              <w:ind w:left="77" w:right="30"/>
              <w:jc w:val="center"/>
              <w:rPr>
                <w:szCs w:val="20"/>
              </w:rPr>
            </w:pPr>
            <w:r w:rsidRPr="00576F93">
              <w:rPr>
                <w:szCs w:val="20"/>
              </w:rPr>
              <w:t>1,527</w:t>
            </w:r>
          </w:p>
        </w:tc>
        <w:tc>
          <w:tcPr>
            <w:tcW w:w="1801" w:type="pct"/>
            <w:tcBorders>
              <w:top w:val="single" w:color="000000" w:sz="8" w:space="0"/>
              <w:left w:val="single" w:color="000000" w:sz="8" w:space="0"/>
            </w:tcBorders>
            <w:vAlign w:val="center"/>
          </w:tcPr>
          <w:p w:rsidRPr="00576F93" w:rsidR="00126EA0" w:rsidP="00FF2AD1" w:rsidRDefault="00126EA0" w14:paraId="5EFE55B2" w14:textId="77777777">
            <w:pPr>
              <w:ind w:left="91" w:right="34"/>
              <w:jc w:val="center"/>
              <w:rPr>
                <w:szCs w:val="20"/>
              </w:rPr>
            </w:pPr>
            <w:r w:rsidRPr="00576F93">
              <w:rPr>
                <w:color w:val="000000"/>
                <w:szCs w:val="20"/>
              </w:rPr>
              <w:t>$41,036,980</w:t>
            </w:r>
          </w:p>
        </w:tc>
      </w:tr>
      <w:tr w:rsidRPr="00BF4D0A" w:rsidR="00126EA0" w:rsidTr="00FF2AD1" w14:paraId="151870F2" w14:textId="77777777">
        <w:trPr>
          <w:trHeight w:val="20"/>
        </w:trPr>
        <w:tc>
          <w:tcPr>
            <w:tcW w:w="1994" w:type="pct"/>
            <w:tcBorders>
              <w:left w:val="single" w:color="000000" w:sz="8" w:space="0"/>
            </w:tcBorders>
            <w:vAlign w:val="center"/>
          </w:tcPr>
          <w:p w:rsidRPr="00576F93" w:rsidR="00126EA0" w:rsidP="00FF2AD1" w:rsidRDefault="00126EA0" w14:paraId="20329F1A" w14:textId="77777777">
            <w:pPr>
              <w:ind w:left="125"/>
              <w:rPr>
                <w:szCs w:val="20"/>
              </w:rPr>
            </w:pPr>
            <w:r w:rsidRPr="00576F93">
              <w:rPr>
                <w:szCs w:val="20"/>
              </w:rPr>
              <w:t>LEPCs</w:t>
            </w:r>
          </w:p>
        </w:tc>
        <w:tc>
          <w:tcPr>
            <w:tcW w:w="618" w:type="pct"/>
            <w:vAlign w:val="center"/>
          </w:tcPr>
          <w:p w:rsidRPr="00576F93" w:rsidR="00126EA0" w:rsidP="00FF2AD1" w:rsidRDefault="00126EA0" w14:paraId="510E5F84" w14:textId="77777777">
            <w:pPr>
              <w:ind w:left="94" w:right="49"/>
              <w:jc w:val="center"/>
              <w:rPr>
                <w:szCs w:val="20"/>
              </w:rPr>
            </w:pPr>
            <w:r w:rsidRPr="00576F93">
              <w:rPr>
                <w:color w:val="000000"/>
                <w:szCs w:val="20"/>
              </w:rPr>
              <w:t>$515</w:t>
            </w:r>
          </w:p>
        </w:tc>
        <w:tc>
          <w:tcPr>
            <w:tcW w:w="586" w:type="pct"/>
            <w:tcBorders>
              <w:right w:val="single" w:color="000000" w:sz="8" w:space="0"/>
            </w:tcBorders>
            <w:vAlign w:val="center"/>
          </w:tcPr>
          <w:p w:rsidRPr="00576F93" w:rsidR="00126EA0" w:rsidP="00FF2AD1" w:rsidRDefault="00126EA0" w14:paraId="2F733833" w14:textId="77777777">
            <w:pPr>
              <w:ind w:left="77" w:right="30"/>
              <w:jc w:val="center"/>
              <w:rPr>
                <w:szCs w:val="20"/>
              </w:rPr>
            </w:pPr>
            <w:r w:rsidRPr="00576F93">
              <w:rPr>
                <w:szCs w:val="20"/>
              </w:rPr>
              <w:t>2,473</w:t>
            </w:r>
          </w:p>
        </w:tc>
        <w:tc>
          <w:tcPr>
            <w:tcW w:w="1801" w:type="pct"/>
            <w:tcBorders>
              <w:left w:val="single" w:color="000000" w:sz="8" w:space="0"/>
            </w:tcBorders>
            <w:vAlign w:val="center"/>
          </w:tcPr>
          <w:p w:rsidRPr="00576F93" w:rsidR="00126EA0" w:rsidP="00FF2AD1" w:rsidRDefault="00126EA0" w14:paraId="723FCFEB" w14:textId="77777777">
            <w:pPr>
              <w:ind w:left="91" w:right="49"/>
              <w:jc w:val="center"/>
              <w:rPr>
                <w:szCs w:val="20"/>
              </w:rPr>
            </w:pPr>
            <w:r w:rsidRPr="00576F93">
              <w:rPr>
                <w:color w:val="000000"/>
                <w:szCs w:val="20"/>
              </w:rPr>
              <w:t>$1,274,378</w:t>
            </w:r>
          </w:p>
        </w:tc>
      </w:tr>
      <w:tr w:rsidRPr="00BF4D0A" w:rsidR="00126EA0" w:rsidTr="00FF2AD1" w14:paraId="201BAA04" w14:textId="77777777">
        <w:trPr>
          <w:trHeight w:val="20"/>
        </w:trPr>
        <w:tc>
          <w:tcPr>
            <w:tcW w:w="1994" w:type="pct"/>
            <w:tcBorders>
              <w:left w:val="single" w:color="000000" w:sz="8" w:space="0"/>
            </w:tcBorders>
            <w:vAlign w:val="center"/>
          </w:tcPr>
          <w:p w:rsidRPr="00576F93" w:rsidR="00126EA0" w:rsidP="00FF2AD1" w:rsidRDefault="00126EA0" w14:paraId="65B1B014" w14:textId="77777777">
            <w:pPr>
              <w:ind w:left="125"/>
              <w:rPr>
                <w:szCs w:val="20"/>
              </w:rPr>
            </w:pPr>
            <w:r w:rsidRPr="00576F93">
              <w:rPr>
                <w:szCs w:val="20"/>
              </w:rPr>
              <w:t>Delegated Implementing Agencies</w:t>
            </w:r>
          </w:p>
        </w:tc>
        <w:tc>
          <w:tcPr>
            <w:tcW w:w="618" w:type="pct"/>
            <w:vAlign w:val="center"/>
          </w:tcPr>
          <w:p w:rsidRPr="00576F93" w:rsidR="00126EA0" w:rsidP="00FF2AD1" w:rsidRDefault="00126EA0" w14:paraId="6CBCE9FF" w14:textId="77777777">
            <w:pPr>
              <w:ind w:left="94" w:right="34"/>
              <w:jc w:val="center"/>
              <w:rPr>
                <w:szCs w:val="20"/>
              </w:rPr>
            </w:pPr>
            <w:r w:rsidRPr="00576F93">
              <w:rPr>
                <w:color w:val="000000"/>
                <w:szCs w:val="20"/>
              </w:rPr>
              <w:t>$412</w:t>
            </w:r>
          </w:p>
        </w:tc>
        <w:tc>
          <w:tcPr>
            <w:tcW w:w="586" w:type="pct"/>
            <w:tcBorders>
              <w:right w:val="single" w:color="000000" w:sz="8" w:space="0"/>
            </w:tcBorders>
            <w:vAlign w:val="center"/>
          </w:tcPr>
          <w:p w:rsidRPr="00576F93" w:rsidR="00126EA0" w:rsidP="00FF2AD1" w:rsidRDefault="00126EA0" w14:paraId="2669C9B5" w14:textId="77777777">
            <w:pPr>
              <w:ind w:left="77" w:right="30"/>
              <w:jc w:val="center"/>
              <w:rPr>
                <w:szCs w:val="20"/>
              </w:rPr>
            </w:pPr>
            <w:r w:rsidRPr="00576F93">
              <w:rPr>
                <w:szCs w:val="20"/>
              </w:rPr>
              <w:t>13</w:t>
            </w:r>
          </w:p>
        </w:tc>
        <w:tc>
          <w:tcPr>
            <w:tcW w:w="1801" w:type="pct"/>
            <w:tcBorders>
              <w:left w:val="single" w:color="000000" w:sz="8" w:space="0"/>
            </w:tcBorders>
            <w:vAlign w:val="center"/>
          </w:tcPr>
          <w:p w:rsidRPr="00576F93" w:rsidR="00126EA0" w:rsidP="00FF2AD1" w:rsidRDefault="00126EA0" w14:paraId="436BF826" w14:textId="77777777">
            <w:pPr>
              <w:ind w:left="91" w:right="34"/>
              <w:jc w:val="center"/>
              <w:rPr>
                <w:szCs w:val="20"/>
              </w:rPr>
            </w:pPr>
            <w:r w:rsidRPr="00576F93">
              <w:rPr>
                <w:color w:val="000000"/>
                <w:szCs w:val="20"/>
              </w:rPr>
              <w:t>$5,359</w:t>
            </w:r>
          </w:p>
        </w:tc>
      </w:tr>
      <w:tr w:rsidRPr="00BF4D0A" w:rsidR="00126EA0" w:rsidTr="00FF2AD1" w14:paraId="0C39D7CF" w14:textId="77777777">
        <w:trPr>
          <w:trHeight w:val="20"/>
        </w:trPr>
        <w:tc>
          <w:tcPr>
            <w:tcW w:w="1994" w:type="pct"/>
            <w:tcBorders>
              <w:left w:val="single" w:color="000000" w:sz="8" w:space="0"/>
              <w:bottom w:val="single" w:color="000000" w:sz="8" w:space="0"/>
            </w:tcBorders>
            <w:vAlign w:val="center"/>
          </w:tcPr>
          <w:p w:rsidRPr="00576F93" w:rsidR="00126EA0" w:rsidP="00FF2AD1" w:rsidRDefault="00126EA0" w14:paraId="6056179E" w14:textId="77777777">
            <w:pPr>
              <w:ind w:left="1340" w:right="1292"/>
              <w:jc w:val="center"/>
              <w:rPr>
                <w:b/>
                <w:szCs w:val="20"/>
              </w:rPr>
            </w:pPr>
            <w:r w:rsidRPr="00576F93">
              <w:rPr>
                <w:b/>
                <w:szCs w:val="20"/>
              </w:rPr>
              <w:t>Total</w:t>
            </w:r>
          </w:p>
        </w:tc>
        <w:tc>
          <w:tcPr>
            <w:tcW w:w="618" w:type="pct"/>
            <w:tcBorders>
              <w:bottom w:val="single" w:color="000000" w:sz="8" w:space="0"/>
            </w:tcBorders>
            <w:vAlign w:val="center"/>
          </w:tcPr>
          <w:p w:rsidRPr="00576F93" w:rsidR="00126EA0" w:rsidP="00FF2AD1" w:rsidRDefault="00126EA0" w14:paraId="61D50321" w14:textId="77777777">
            <w:pPr>
              <w:jc w:val="center"/>
              <w:rPr>
                <w:szCs w:val="20"/>
              </w:rPr>
            </w:pPr>
          </w:p>
        </w:tc>
        <w:tc>
          <w:tcPr>
            <w:tcW w:w="586" w:type="pct"/>
            <w:tcBorders>
              <w:bottom w:val="single" w:color="000000" w:sz="8" w:space="0"/>
              <w:right w:val="single" w:color="000000" w:sz="8" w:space="0"/>
            </w:tcBorders>
            <w:vAlign w:val="center"/>
          </w:tcPr>
          <w:p w:rsidRPr="00576F93" w:rsidR="00126EA0" w:rsidP="00FF2AD1" w:rsidRDefault="00126EA0" w14:paraId="43E5F70F" w14:textId="77777777">
            <w:pPr>
              <w:ind w:left="77" w:right="45"/>
              <w:jc w:val="center"/>
              <w:rPr>
                <w:b/>
                <w:szCs w:val="20"/>
              </w:rPr>
            </w:pPr>
            <w:r w:rsidRPr="00576F93">
              <w:rPr>
                <w:b/>
                <w:szCs w:val="20"/>
              </w:rPr>
              <w:t>14,226</w:t>
            </w:r>
          </w:p>
        </w:tc>
        <w:tc>
          <w:tcPr>
            <w:tcW w:w="1801" w:type="pct"/>
            <w:tcBorders>
              <w:left w:val="single" w:color="000000" w:sz="8" w:space="0"/>
              <w:bottom w:val="single" w:color="000000" w:sz="8" w:space="0"/>
            </w:tcBorders>
            <w:vAlign w:val="center"/>
          </w:tcPr>
          <w:p w:rsidRPr="00576F93" w:rsidR="00126EA0" w:rsidP="00FF2AD1" w:rsidRDefault="00126EA0" w14:paraId="6843CDC4" w14:textId="77777777">
            <w:pPr>
              <w:ind w:left="91" w:right="49"/>
              <w:jc w:val="center"/>
              <w:rPr>
                <w:b/>
                <w:szCs w:val="20"/>
              </w:rPr>
            </w:pPr>
            <w:r w:rsidRPr="00576F93">
              <w:rPr>
                <w:b/>
                <w:color w:val="000000"/>
                <w:szCs w:val="20"/>
              </w:rPr>
              <w:t>$46,544,124</w:t>
            </w:r>
          </w:p>
        </w:tc>
      </w:tr>
    </w:tbl>
    <w:p w:rsidRPr="00586F1B" w:rsidR="002F30B9" w:rsidP="00672ADC" w:rsidRDefault="002F30B9" w14:paraId="0B69FA0F"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highlight w:val="yellow"/>
        </w:rPr>
      </w:pPr>
    </w:p>
    <w:p w:rsidR="00126EA0" w:rsidP="00126EA0" w:rsidRDefault="00126EA0" w14:paraId="249D97CE" w14:textId="7C622FB0">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r w:rsidRPr="00F7037A">
        <w:rPr>
          <w:b/>
          <w:bCs/>
          <w:sz w:val="22"/>
          <w:szCs w:val="22"/>
          <w:u w:val="single"/>
        </w:rPr>
        <w:t>Prevention Program Rule Provisions</w:t>
      </w:r>
    </w:p>
    <w:p w:rsidRPr="00F7037A" w:rsidR="0085181A" w:rsidP="00126EA0" w:rsidRDefault="0085181A" w14:paraId="5DCC5CF6"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p>
    <w:p w:rsidRPr="00875E5E" w:rsidR="00126EA0" w:rsidP="00126EA0" w:rsidRDefault="00126EA0" w14:paraId="4CD57D1F" w14:textId="77777777">
      <w:pPr>
        <w:rPr>
          <w:bCs/>
          <w:i/>
          <w:iCs/>
          <w:sz w:val="22"/>
          <w:szCs w:val="28"/>
        </w:rPr>
      </w:pPr>
      <w:r w:rsidRPr="00875E5E">
        <w:rPr>
          <w:bCs/>
          <w:i/>
          <w:iCs/>
          <w:sz w:val="22"/>
          <w:szCs w:val="28"/>
        </w:rPr>
        <w:t>Safer Technology Alternatives Analysis (STAA)</w:t>
      </w:r>
    </w:p>
    <w:p w:rsidRPr="00875E5E" w:rsidR="00126EA0" w:rsidP="00126EA0" w:rsidRDefault="00126EA0" w14:paraId="352DEC73" w14:textId="66116176">
      <w:pPr>
        <w:ind w:firstLine="360"/>
        <w:rPr>
          <w:sz w:val="22"/>
          <w:szCs w:val="28"/>
        </w:rPr>
      </w:pPr>
      <w:r w:rsidRPr="00875E5E">
        <w:rPr>
          <w:sz w:val="22"/>
          <w:szCs w:val="28"/>
        </w:rPr>
        <w:tab/>
        <w:t xml:space="preserve">EPA believes </w:t>
      </w:r>
      <w:r w:rsidR="009A4869">
        <w:rPr>
          <w:sz w:val="22"/>
          <w:szCs w:val="28"/>
        </w:rPr>
        <w:t xml:space="preserve">RMP facilities located in </w:t>
      </w:r>
      <w:r w:rsidRPr="00875E5E">
        <w:rPr>
          <w:sz w:val="22"/>
          <w:szCs w:val="28"/>
        </w:rPr>
        <w:t xml:space="preserve">States with existing requirements similar to the proposed STAA requirement are likely already conducting activities that would satisfy EPA’s proposed requirement. EPA </w:t>
      </w:r>
      <w:r w:rsidRPr="00875E5E" w:rsidDel="003446B9">
        <w:rPr>
          <w:sz w:val="22"/>
          <w:szCs w:val="28"/>
        </w:rPr>
        <w:t>also</w:t>
      </w:r>
      <w:r w:rsidRPr="00875E5E">
        <w:rPr>
          <w:sz w:val="22"/>
          <w:szCs w:val="28"/>
        </w:rPr>
        <w:t xml:space="preserve"> believes this cost would be reduced over 10 years after the first five-year PHA cycle because after the initial PHA, EPA requires owner/operators to update and revalidate a PHA to ensure that the PHA is consistent with the current processes. This is a much less costly activity than conducting the initial PHA and STAA. In order to estimate costs conservatively, EPA estimates this cost as identical in both the first and second year cycles in the period of analysis</w:t>
      </w:r>
      <w:r w:rsidRPr="00875E5E" w:rsidDel="003446B9">
        <w:rPr>
          <w:sz w:val="22"/>
          <w:szCs w:val="28"/>
        </w:rPr>
        <w:t>.</w:t>
      </w:r>
      <w:r w:rsidRPr="00875E5E">
        <w:rPr>
          <w:sz w:val="22"/>
          <w:szCs w:val="28"/>
        </w:rPr>
        <w:t xml:space="preserve"> EPA is not proposing to require implementation of </w:t>
      </w:r>
      <w:r w:rsidRPr="00875E5E" w:rsidDel="003446B9">
        <w:rPr>
          <w:sz w:val="22"/>
          <w:szCs w:val="28"/>
        </w:rPr>
        <w:t>any particular</w:t>
      </w:r>
      <w:r w:rsidRPr="00875E5E">
        <w:rPr>
          <w:sz w:val="22"/>
          <w:szCs w:val="28"/>
        </w:rPr>
        <w:t xml:space="preserve"> alternative technologies identified in the STAA. Exhibit </w:t>
      </w:r>
      <w:r w:rsidR="00F1448F">
        <w:rPr>
          <w:sz w:val="22"/>
          <w:szCs w:val="28"/>
        </w:rPr>
        <w:t>8</w:t>
      </w:r>
      <w:r w:rsidRPr="00875E5E" w:rsidR="00F1448F">
        <w:rPr>
          <w:sz w:val="22"/>
          <w:szCs w:val="28"/>
        </w:rPr>
        <w:t xml:space="preserve"> </w:t>
      </w:r>
      <w:r w:rsidRPr="00875E5E">
        <w:rPr>
          <w:sz w:val="22"/>
          <w:szCs w:val="28"/>
        </w:rPr>
        <w:t>presents the estimated costs for the provision.</w:t>
      </w:r>
      <w:r w:rsidRPr="00875E5E">
        <w:rPr>
          <w:sz w:val="22"/>
          <w:szCs w:val="28"/>
        </w:rPr>
        <w:br/>
      </w:r>
    </w:p>
    <w:p w:rsidR="00126EA0" w:rsidP="0074445B" w:rsidRDefault="00126EA0" w14:paraId="3DD4B79E" w14:textId="5122F63B">
      <w:pPr>
        <w:pStyle w:val="Caption"/>
        <w:spacing w:after="0"/>
        <w:jc w:val="center"/>
      </w:pPr>
      <w:r w:rsidRPr="00B87FD9">
        <w:rPr>
          <w:b/>
          <w:bCs/>
          <w:i w:val="0"/>
          <w:iCs w:val="0"/>
          <w:color w:val="auto"/>
          <w:sz w:val="22"/>
          <w:szCs w:val="22"/>
        </w:rPr>
        <w:t xml:space="preserve">Exhibit </w:t>
      </w:r>
      <w:r w:rsidR="00F1448F">
        <w:rPr>
          <w:b/>
          <w:bCs/>
          <w:i w:val="0"/>
          <w:iCs w:val="0"/>
          <w:color w:val="auto"/>
          <w:sz w:val="22"/>
          <w:szCs w:val="22"/>
        </w:rPr>
        <w:t>8</w:t>
      </w:r>
      <w:r w:rsidRPr="00D21E4B">
        <w:rPr>
          <w:b/>
          <w:bCs/>
          <w:i w:val="0"/>
          <w:iCs w:val="0"/>
          <w:color w:val="auto"/>
          <w:sz w:val="22"/>
          <w:szCs w:val="22"/>
        </w:rPr>
        <w:t xml:space="preserve">: Estimated Annualized Costs for STAA Provision (2020 </w:t>
      </w:r>
      <w:r>
        <w:rPr>
          <w:b/>
          <w:bCs/>
          <w:i w:val="0"/>
          <w:iCs w:val="0"/>
          <w:color w:val="auto"/>
          <w:sz w:val="22"/>
          <w:szCs w:val="22"/>
        </w:rPr>
        <w:t>d</w:t>
      </w:r>
      <w:r w:rsidRPr="00D21E4B">
        <w:rPr>
          <w:b/>
          <w:bCs/>
          <w:i w:val="0"/>
          <w:iCs w:val="0"/>
          <w:color w:val="auto"/>
          <w:sz w:val="22"/>
          <w:szCs w:val="22"/>
        </w:rPr>
        <w:t>ollars)</w:t>
      </w:r>
    </w:p>
    <w:tbl>
      <w:tblPr>
        <w:tblW w:w="495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0" w:type="dxa"/>
          <w:right w:w="0" w:type="dxa"/>
        </w:tblCellMar>
        <w:tblLook w:val="01E0" w:firstRow="1" w:lastRow="1" w:firstColumn="1" w:lastColumn="1" w:noHBand="0" w:noVBand="0"/>
      </w:tblPr>
      <w:tblGrid>
        <w:gridCol w:w="3146"/>
        <w:gridCol w:w="1349"/>
        <w:gridCol w:w="1462"/>
        <w:gridCol w:w="1462"/>
        <w:gridCol w:w="1843"/>
      </w:tblGrid>
      <w:tr w:rsidRPr="00BF4D0A" w:rsidR="00126EA0" w:rsidTr="0074445B" w14:paraId="0FA46E79" w14:textId="77777777">
        <w:trPr>
          <w:trHeight w:val="20"/>
          <w:tblHeader/>
          <w:jc w:val="center"/>
        </w:trPr>
        <w:tc>
          <w:tcPr>
            <w:tcW w:w="1699" w:type="pct"/>
            <w:tcBorders>
              <w:bottom w:val="single" w:color="000000" w:sz="8" w:space="0"/>
            </w:tcBorders>
            <w:shd w:val="clear" w:color="auto" w:fill="DADADA"/>
            <w:vAlign w:val="center"/>
          </w:tcPr>
          <w:p w:rsidRPr="00D21E4B" w:rsidR="00126EA0" w:rsidP="00FF2AD1" w:rsidRDefault="00126EA0" w14:paraId="2494F8F3" w14:textId="77777777">
            <w:pPr>
              <w:keepNext/>
              <w:ind w:left="183" w:right="171"/>
              <w:jc w:val="center"/>
              <w:rPr>
                <w:b/>
                <w:szCs w:val="20"/>
              </w:rPr>
            </w:pPr>
            <w:r w:rsidRPr="00D21E4B">
              <w:rPr>
                <w:b/>
                <w:szCs w:val="20"/>
              </w:rPr>
              <w:t>Facility Type</w:t>
            </w:r>
          </w:p>
        </w:tc>
        <w:tc>
          <w:tcPr>
            <w:tcW w:w="728" w:type="pct"/>
            <w:tcBorders>
              <w:bottom w:val="single" w:color="000000" w:sz="8" w:space="0"/>
            </w:tcBorders>
            <w:shd w:val="clear" w:color="auto" w:fill="DADADA"/>
            <w:vAlign w:val="center"/>
          </w:tcPr>
          <w:p w:rsidRPr="00D21E4B" w:rsidR="00126EA0" w:rsidP="00FF2AD1" w:rsidRDefault="00126EA0" w14:paraId="021F3FDF" w14:textId="77777777">
            <w:pPr>
              <w:keepNext/>
              <w:ind w:left="93" w:right="57"/>
              <w:jc w:val="center"/>
              <w:rPr>
                <w:b/>
                <w:szCs w:val="20"/>
              </w:rPr>
            </w:pPr>
            <w:r w:rsidRPr="00D21E4B">
              <w:rPr>
                <w:b/>
                <w:szCs w:val="20"/>
              </w:rPr>
              <w:t>Annual</w:t>
            </w:r>
          </w:p>
          <w:p w:rsidRPr="00D21E4B" w:rsidR="00126EA0" w:rsidP="00FF2AD1" w:rsidRDefault="00126EA0" w14:paraId="03E20D55" w14:textId="77777777">
            <w:pPr>
              <w:keepNext/>
              <w:ind w:left="88" w:right="64"/>
              <w:jc w:val="center"/>
              <w:rPr>
                <w:b/>
                <w:szCs w:val="20"/>
              </w:rPr>
            </w:pPr>
            <w:r w:rsidRPr="00D21E4B">
              <w:rPr>
                <w:b/>
                <w:szCs w:val="20"/>
              </w:rPr>
              <w:t>Frequency</w:t>
            </w:r>
          </w:p>
        </w:tc>
        <w:tc>
          <w:tcPr>
            <w:tcW w:w="789" w:type="pct"/>
            <w:tcBorders>
              <w:bottom w:val="single" w:color="000000" w:sz="8" w:space="0"/>
            </w:tcBorders>
            <w:shd w:val="clear" w:color="auto" w:fill="DADADA"/>
            <w:vAlign w:val="center"/>
          </w:tcPr>
          <w:p w:rsidRPr="00D21E4B" w:rsidR="00126EA0" w:rsidP="00FF2AD1" w:rsidRDefault="00126EA0" w14:paraId="122615A7" w14:textId="77777777">
            <w:pPr>
              <w:keepNext/>
              <w:ind w:left="93"/>
              <w:jc w:val="center"/>
              <w:rPr>
                <w:b/>
                <w:szCs w:val="20"/>
              </w:rPr>
            </w:pPr>
            <w:r w:rsidRPr="00D21E4B">
              <w:rPr>
                <w:b/>
                <w:szCs w:val="20"/>
              </w:rPr>
              <w:t>Unit Cost</w:t>
            </w:r>
          </w:p>
        </w:tc>
        <w:tc>
          <w:tcPr>
            <w:tcW w:w="789" w:type="pct"/>
            <w:tcBorders>
              <w:bottom w:val="single" w:color="000000" w:sz="8" w:space="0"/>
            </w:tcBorders>
            <w:shd w:val="clear" w:color="auto" w:fill="DADADA"/>
            <w:vAlign w:val="center"/>
          </w:tcPr>
          <w:p w:rsidRPr="00D21E4B" w:rsidR="00126EA0" w:rsidP="00FF2AD1" w:rsidRDefault="00126EA0" w14:paraId="5A1972BC" w14:textId="77777777">
            <w:pPr>
              <w:keepNext/>
              <w:ind w:left="98" w:right="76"/>
              <w:jc w:val="center"/>
              <w:rPr>
                <w:b/>
                <w:szCs w:val="20"/>
              </w:rPr>
            </w:pPr>
            <w:r w:rsidRPr="00D21E4B">
              <w:rPr>
                <w:b/>
                <w:szCs w:val="20"/>
              </w:rPr>
              <w:t>Processes</w:t>
            </w:r>
          </w:p>
        </w:tc>
        <w:tc>
          <w:tcPr>
            <w:tcW w:w="995" w:type="pct"/>
            <w:tcBorders>
              <w:bottom w:val="single" w:color="000000" w:sz="8" w:space="0"/>
            </w:tcBorders>
            <w:shd w:val="clear" w:color="auto" w:fill="DADADA"/>
            <w:vAlign w:val="center"/>
          </w:tcPr>
          <w:p w:rsidRPr="00D21E4B" w:rsidR="00126EA0" w:rsidP="00FF2AD1" w:rsidRDefault="00126EA0" w14:paraId="1D538767" w14:textId="77777777">
            <w:pPr>
              <w:keepNext/>
              <w:ind w:left="91" w:right="55"/>
              <w:jc w:val="center"/>
              <w:rPr>
                <w:b/>
                <w:szCs w:val="20"/>
              </w:rPr>
            </w:pPr>
            <w:r w:rsidRPr="00D21E4B">
              <w:rPr>
                <w:b/>
                <w:szCs w:val="20"/>
              </w:rPr>
              <w:t>Total Annualized</w:t>
            </w:r>
          </w:p>
          <w:p w:rsidRPr="00D21E4B" w:rsidR="00126EA0" w:rsidP="00FF2AD1" w:rsidRDefault="00126EA0" w14:paraId="287E4832" w14:textId="77777777">
            <w:pPr>
              <w:keepNext/>
              <w:ind w:left="82" w:right="55"/>
              <w:jc w:val="center"/>
              <w:rPr>
                <w:b/>
                <w:szCs w:val="20"/>
              </w:rPr>
            </w:pPr>
            <w:r w:rsidRPr="00D21E4B">
              <w:rPr>
                <w:b/>
                <w:szCs w:val="20"/>
              </w:rPr>
              <w:t>Cost</w:t>
            </w:r>
          </w:p>
        </w:tc>
      </w:tr>
      <w:tr w:rsidRPr="00BF4D0A" w:rsidR="00126EA0" w:rsidTr="0074445B" w14:paraId="49E0003E" w14:textId="77777777">
        <w:trPr>
          <w:trHeight w:val="20"/>
          <w:jc w:val="center"/>
        </w:trPr>
        <w:tc>
          <w:tcPr>
            <w:tcW w:w="5000" w:type="pct"/>
            <w:gridSpan w:val="5"/>
            <w:tcBorders>
              <w:top w:val="single" w:color="000000" w:sz="8" w:space="0"/>
              <w:bottom w:val="single" w:color="000000" w:sz="8" w:space="0"/>
            </w:tcBorders>
            <w:shd w:val="clear" w:color="auto" w:fill="F2F2F2"/>
            <w:vAlign w:val="center"/>
          </w:tcPr>
          <w:p w:rsidRPr="00D21E4B" w:rsidR="00126EA0" w:rsidP="00FF2AD1" w:rsidRDefault="00126EA0" w14:paraId="322ED64C" w14:textId="77777777">
            <w:pPr>
              <w:keepNext/>
              <w:ind w:left="183" w:right="83"/>
              <w:rPr>
                <w:b/>
                <w:szCs w:val="20"/>
              </w:rPr>
            </w:pPr>
            <w:r w:rsidRPr="00D21E4B">
              <w:rPr>
                <w:b/>
                <w:szCs w:val="20"/>
              </w:rPr>
              <w:t>Initial Phase Analysis</w:t>
            </w:r>
          </w:p>
        </w:tc>
      </w:tr>
      <w:tr w:rsidRPr="00BF4D0A" w:rsidR="00126EA0" w:rsidTr="0074445B" w14:paraId="6AEF105C" w14:textId="77777777">
        <w:trPr>
          <w:trHeight w:val="20"/>
          <w:jc w:val="center"/>
        </w:trPr>
        <w:tc>
          <w:tcPr>
            <w:tcW w:w="1699" w:type="pct"/>
            <w:tcBorders>
              <w:top w:val="single" w:color="000000" w:sz="8" w:space="0"/>
            </w:tcBorders>
            <w:vAlign w:val="center"/>
          </w:tcPr>
          <w:p w:rsidRPr="00D21E4B" w:rsidR="00126EA0" w:rsidP="00FF2AD1" w:rsidRDefault="00126EA0" w14:paraId="3176342C" w14:textId="77777777">
            <w:pPr>
              <w:keepNext/>
              <w:ind w:left="183"/>
              <w:rPr>
                <w:szCs w:val="20"/>
              </w:rPr>
            </w:pPr>
            <w:r w:rsidRPr="00D21E4B">
              <w:rPr>
                <w:szCs w:val="20"/>
              </w:rPr>
              <w:t>Refineries</w:t>
            </w:r>
          </w:p>
        </w:tc>
        <w:tc>
          <w:tcPr>
            <w:tcW w:w="728" w:type="pct"/>
            <w:tcBorders>
              <w:top w:val="single" w:color="000000" w:sz="8" w:space="0"/>
            </w:tcBorders>
            <w:vAlign w:val="center"/>
          </w:tcPr>
          <w:p w:rsidRPr="00D21E4B" w:rsidR="00126EA0" w:rsidP="00FF2AD1" w:rsidRDefault="00126EA0" w14:paraId="1EBC5A2C" w14:textId="77777777">
            <w:pPr>
              <w:keepNext/>
              <w:ind w:left="93" w:right="62"/>
              <w:jc w:val="center"/>
              <w:rPr>
                <w:szCs w:val="20"/>
              </w:rPr>
            </w:pPr>
            <w:r w:rsidRPr="00D21E4B">
              <w:rPr>
                <w:szCs w:val="20"/>
              </w:rPr>
              <w:t>0.2</w:t>
            </w:r>
          </w:p>
        </w:tc>
        <w:tc>
          <w:tcPr>
            <w:tcW w:w="789" w:type="pct"/>
            <w:tcBorders>
              <w:top w:val="single" w:color="000000" w:sz="8" w:space="0"/>
            </w:tcBorders>
            <w:vAlign w:val="center"/>
          </w:tcPr>
          <w:p w:rsidRPr="00D21E4B" w:rsidR="00126EA0" w:rsidP="00FF2AD1" w:rsidRDefault="00126EA0" w14:paraId="3ADC09D3" w14:textId="77777777">
            <w:pPr>
              <w:keepNext/>
              <w:ind w:left="93"/>
              <w:jc w:val="center"/>
              <w:rPr>
                <w:szCs w:val="20"/>
              </w:rPr>
            </w:pPr>
            <w:r w:rsidRPr="00D21E4B">
              <w:rPr>
                <w:color w:val="000000"/>
                <w:szCs w:val="20"/>
              </w:rPr>
              <w:t>$74,115</w:t>
            </w:r>
          </w:p>
        </w:tc>
        <w:tc>
          <w:tcPr>
            <w:tcW w:w="789" w:type="pct"/>
            <w:tcBorders>
              <w:top w:val="single" w:color="000000" w:sz="8" w:space="0"/>
            </w:tcBorders>
            <w:vAlign w:val="center"/>
          </w:tcPr>
          <w:p w:rsidRPr="00D21E4B" w:rsidR="00126EA0" w:rsidP="00FF2AD1" w:rsidRDefault="00126EA0" w14:paraId="2671B434" w14:textId="77777777">
            <w:pPr>
              <w:keepNext/>
              <w:ind w:left="98" w:right="69"/>
              <w:jc w:val="center"/>
              <w:rPr>
                <w:szCs w:val="20"/>
              </w:rPr>
            </w:pPr>
            <w:r w:rsidRPr="00D21E4B">
              <w:rPr>
                <w:szCs w:val="20"/>
              </w:rPr>
              <w:t>796</w:t>
            </w:r>
          </w:p>
        </w:tc>
        <w:tc>
          <w:tcPr>
            <w:tcW w:w="995" w:type="pct"/>
            <w:tcBorders>
              <w:top w:val="single" w:color="000000" w:sz="8" w:space="0"/>
            </w:tcBorders>
            <w:vAlign w:val="center"/>
          </w:tcPr>
          <w:p w:rsidRPr="00D21E4B" w:rsidR="00126EA0" w:rsidP="00FF2AD1" w:rsidRDefault="00126EA0" w14:paraId="731AEC7B" w14:textId="77777777">
            <w:pPr>
              <w:keepNext/>
              <w:ind w:left="84" w:right="55"/>
              <w:jc w:val="center"/>
              <w:rPr>
                <w:szCs w:val="20"/>
              </w:rPr>
            </w:pPr>
            <w:r w:rsidRPr="00D21E4B">
              <w:rPr>
                <w:color w:val="000000"/>
                <w:szCs w:val="20"/>
              </w:rPr>
              <w:t>$11,799,138</w:t>
            </w:r>
          </w:p>
        </w:tc>
      </w:tr>
      <w:tr w:rsidRPr="00BF4D0A" w:rsidR="00126EA0" w:rsidTr="0074445B" w14:paraId="3B975C37" w14:textId="77777777">
        <w:trPr>
          <w:trHeight w:val="20"/>
          <w:jc w:val="center"/>
        </w:trPr>
        <w:tc>
          <w:tcPr>
            <w:tcW w:w="1699" w:type="pct"/>
            <w:vAlign w:val="center"/>
          </w:tcPr>
          <w:p w:rsidRPr="00D21E4B" w:rsidR="00126EA0" w:rsidP="00FF2AD1" w:rsidRDefault="00126EA0" w14:paraId="705385FE" w14:textId="77777777">
            <w:pPr>
              <w:ind w:left="183"/>
              <w:rPr>
                <w:szCs w:val="20"/>
              </w:rPr>
            </w:pPr>
            <w:r w:rsidRPr="00D21E4B">
              <w:rPr>
                <w:szCs w:val="20"/>
              </w:rPr>
              <w:t>Chemical Manufacturers</w:t>
            </w:r>
          </w:p>
        </w:tc>
        <w:tc>
          <w:tcPr>
            <w:tcW w:w="728" w:type="pct"/>
            <w:vAlign w:val="center"/>
          </w:tcPr>
          <w:p w:rsidRPr="00D21E4B" w:rsidR="00126EA0" w:rsidP="00FF2AD1" w:rsidRDefault="00126EA0" w14:paraId="4F4842C1" w14:textId="77777777">
            <w:pPr>
              <w:ind w:left="93" w:right="62"/>
              <w:jc w:val="center"/>
              <w:rPr>
                <w:szCs w:val="20"/>
              </w:rPr>
            </w:pPr>
            <w:r w:rsidRPr="00D21E4B">
              <w:rPr>
                <w:szCs w:val="20"/>
              </w:rPr>
              <w:t>0.2</w:t>
            </w:r>
          </w:p>
        </w:tc>
        <w:tc>
          <w:tcPr>
            <w:tcW w:w="789" w:type="pct"/>
            <w:vAlign w:val="center"/>
          </w:tcPr>
          <w:p w:rsidRPr="00D21E4B" w:rsidR="00126EA0" w:rsidP="00FF2AD1" w:rsidRDefault="00126EA0" w14:paraId="2235CC18" w14:textId="77777777">
            <w:pPr>
              <w:ind w:left="93"/>
              <w:jc w:val="center"/>
              <w:rPr>
                <w:szCs w:val="20"/>
              </w:rPr>
            </w:pPr>
            <w:r w:rsidRPr="00D21E4B">
              <w:rPr>
                <w:color w:val="000000"/>
                <w:szCs w:val="20"/>
              </w:rPr>
              <w:t>$12,881</w:t>
            </w:r>
          </w:p>
        </w:tc>
        <w:tc>
          <w:tcPr>
            <w:tcW w:w="789" w:type="pct"/>
            <w:vAlign w:val="center"/>
          </w:tcPr>
          <w:p w:rsidRPr="00D21E4B" w:rsidR="00126EA0" w:rsidP="00FF2AD1" w:rsidRDefault="00126EA0" w14:paraId="04E3705E" w14:textId="77777777">
            <w:pPr>
              <w:ind w:left="98" w:right="69"/>
              <w:jc w:val="center"/>
              <w:rPr>
                <w:szCs w:val="20"/>
              </w:rPr>
            </w:pPr>
            <w:r w:rsidRPr="00D21E4B">
              <w:rPr>
                <w:szCs w:val="20"/>
              </w:rPr>
              <w:t>826</w:t>
            </w:r>
          </w:p>
        </w:tc>
        <w:tc>
          <w:tcPr>
            <w:tcW w:w="995" w:type="pct"/>
            <w:vAlign w:val="center"/>
          </w:tcPr>
          <w:p w:rsidRPr="00D21E4B" w:rsidR="00126EA0" w:rsidP="00FF2AD1" w:rsidRDefault="00126EA0" w14:paraId="245A69BE" w14:textId="77777777">
            <w:pPr>
              <w:ind w:left="69" w:right="55"/>
              <w:jc w:val="center"/>
              <w:rPr>
                <w:szCs w:val="20"/>
              </w:rPr>
            </w:pPr>
            <w:r w:rsidRPr="00D21E4B">
              <w:rPr>
                <w:color w:val="000000"/>
                <w:szCs w:val="20"/>
              </w:rPr>
              <w:t>$2,127,881</w:t>
            </w:r>
          </w:p>
        </w:tc>
      </w:tr>
      <w:tr w:rsidRPr="00BF4D0A" w:rsidR="00126EA0" w:rsidTr="0074445B" w14:paraId="07E953D6" w14:textId="77777777">
        <w:trPr>
          <w:trHeight w:val="20"/>
          <w:jc w:val="center"/>
        </w:trPr>
        <w:tc>
          <w:tcPr>
            <w:tcW w:w="1699" w:type="pct"/>
            <w:vAlign w:val="center"/>
          </w:tcPr>
          <w:p w:rsidRPr="00D21E4B" w:rsidR="00126EA0" w:rsidP="00FF2AD1" w:rsidRDefault="00126EA0" w14:paraId="38B97AAE" w14:textId="77777777">
            <w:pPr>
              <w:ind w:left="183"/>
              <w:rPr>
                <w:b/>
                <w:szCs w:val="20"/>
              </w:rPr>
            </w:pPr>
            <w:r w:rsidRPr="00D21E4B">
              <w:rPr>
                <w:b/>
                <w:szCs w:val="20"/>
              </w:rPr>
              <w:t>Total</w:t>
            </w:r>
          </w:p>
        </w:tc>
        <w:tc>
          <w:tcPr>
            <w:tcW w:w="728" w:type="pct"/>
            <w:vAlign w:val="center"/>
          </w:tcPr>
          <w:p w:rsidRPr="00D21E4B" w:rsidR="00126EA0" w:rsidP="00FF2AD1" w:rsidRDefault="00126EA0" w14:paraId="3EA430BD" w14:textId="77777777">
            <w:pPr>
              <w:ind w:left="93" w:right="62"/>
              <w:jc w:val="center"/>
              <w:rPr>
                <w:b/>
                <w:szCs w:val="20"/>
              </w:rPr>
            </w:pPr>
          </w:p>
        </w:tc>
        <w:tc>
          <w:tcPr>
            <w:tcW w:w="789" w:type="pct"/>
            <w:vAlign w:val="center"/>
          </w:tcPr>
          <w:p w:rsidRPr="00D21E4B" w:rsidR="00126EA0" w:rsidP="00FF2AD1" w:rsidRDefault="00126EA0" w14:paraId="3BEEA019" w14:textId="77777777">
            <w:pPr>
              <w:ind w:left="93"/>
              <w:jc w:val="center"/>
              <w:rPr>
                <w:b/>
                <w:szCs w:val="20"/>
              </w:rPr>
            </w:pPr>
          </w:p>
        </w:tc>
        <w:tc>
          <w:tcPr>
            <w:tcW w:w="789" w:type="pct"/>
            <w:vAlign w:val="center"/>
          </w:tcPr>
          <w:p w:rsidRPr="00D21E4B" w:rsidR="00126EA0" w:rsidP="00FF2AD1" w:rsidRDefault="00126EA0" w14:paraId="4C80A5F7" w14:textId="77777777">
            <w:pPr>
              <w:ind w:left="98" w:right="69"/>
              <w:jc w:val="center"/>
              <w:rPr>
                <w:b/>
                <w:szCs w:val="20"/>
              </w:rPr>
            </w:pPr>
            <w:r w:rsidRPr="00D21E4B">
              <w:rPr>
                <w:b/>
                <w:szCs w:val="20"/>
              </w:rPr>
              <w:t>1,622</w:t>
            </w:r>
          </w:p>
        </w:tc>
        <w:tc>
          <w:tcPr>
            <w:tcW w:w="995" w:type="pct"/>
            <w:vAlign w:val="center"/>
          </w:tcPr>
          <w:p w:rsidRPr="00D21E4B" w:rsidR="00126EA0" w:rsidP="00FF2AD1" w:rsidRDefault="00126EA0" w14:paraId="7E6BC81F" w14:textId="77777777">
            <w:pPr>
              <w:ind w:left="69" w:right="55"/>
              <w:jc w:val="center"/>
              <w:rPr>
                <w:b/>
                <w:szCs w:val="20"/>
              </w:rPr>
            </w:pPr>
            <w:r w:rsidRPr="00D21E4B">
              <w:rPr>
                <w:b/>
                <w:color w:val="000000"/>
                <w:szCs w:val="20"/>
              </w:rPr>
              <w:t>$13,927,019</w:t>
            </w:r>
          </w:p>
        </w:tc>
      </w:tr>
      <w:tr w:rsidRPr="00BF4D0A" w:rsidR="00126EA0" w:rsidTr="0074445B" w14:paraId="065D6305" w14:textId="77777777">
        <w:trPr>
          <w:trHeight w:val="20"/>
          <w:jc w:val="center"/>
        </w:trPr>
        <w:tc>
          <w:tcPr>
            <w:tcW w:w="5000" w:type="pct"/>
            <w:gridSpan w:val="5"/>
            <w:shd w:val="clear" w:color="auto" w:fill="F2F2F2"/>
            <w:vAlign w:val="center"/>
          </w:tcPr>
          <w:p w:rsidRPr="00D21E4B" w:rsidR="00126EA0" w:rsidP="00FF2AD1" w:rsidRDefault="00126EA0" w14:paraId="1D41F4E9" w14:textId="77777777">
            <w:pPr>
              <w:ind w:left="183" w:right="83"/>
              <w:rPr>
                <w:b/>
                <w:szCs w:val="20"/>
              </w:rPr>
            </w:pPr>
            <w:r w:rsidRPr="00D21E4B">
              <w:rPr>
                <w:b/>
                <w:szCs w:val="20"/>
              </w:rPr>
              <w:t>Practicability Analysis</w:t>
            </w:r>
          </w:p>
        </w:tc>
      </w:tr>
      <w:tr w:rsidRPr="00BF4D0A" w:rsidR="00126EA0" w:rsidTr="0074445B" w14:paraId="2F5DF0E6" w14:textId="77777777">
        <w:trPr>
          <w:trHeight w:val="20"/>
          <w:jc w:val="center"/>
        </w:trPr>
        <w:tc>
          <w:tcPr>
            <w:tcW w:w="1699" w:type="pct"/>
            <w:vAlign w:val="center"/>
          </w:tcPr>
          <w:p w:rsidRPr="00D21E4B" w:rsidR="00126EA0" w:rsidP="00FF2AD1" w:rsidRDefault="00126EA0" w14:paraId="47AC5829" w14:textId="77777777">
            <w:pPr>
              <w:ind w:left="183"/>
              <w:rPr>
                <w:szCs w:val="20"/>
              </w:rPr>
            </w:pPr>
            <w:r w:rsidRPr="00D21E4B">
              <w:rPr>
                <w:szCs w:val="20"/>
              </w:rPr>
              <w:t>Refineries</w:t>
            </w:r>
          </w:p>
        </w:tc>
        <w:tc>
          <w:tcPr>
            <w:tcW w:w="728" w:type="pct"/>
            <w:vAlign w:val="center"/>
          </w:tcPr>
          <w:p w:rsidRPr="00D21E4B" w:rsidR="00126EA0" w:rsidP="00FF2AD1" w:rsidRDefault="00126EA0" w14:paraId="39BEF037" w14:textId="77777777">
            <w:pPr>
              <w:ind w:left="93" w:right="62"/>
              <w:jc w:val="center"/>
              <w:rPr>
                <w:szCs w:val="20"/>
              </w:rPr>
            </w:pPr>
            <w:r w:rsidRPr="00D21E4B">
              <w:rPr>
                <w:szCs w:val="20"/>
              </w:rPr>
              <w:t>0.2</w:t>
            </w:r>
          </w:p>
        </w:tc>
        <w:tc>
          <w:tcPr>
            <w:tcW w:w="789" w:type="pct"/>
            <w:vAlign w:val="center"/>
          </w:tcPr>
          <w:p w:rsidRPr="00D21E4B" w:rsidR="00126EA0" w:rsidP="00FF2AD1" w:rsidRDefault="00126EA0" w14:paraId="6D124738" w14:textId="77777777">
            <w:pPr>
              <w:ind w:left="93"/>
              <w:jc w:val="center"/>
              <w:rPr>
                <w:szCs w:val="20"/>
              </w:rPr>
            </w:pPr>
            <w:r w:rsidRPr="00D21E4B">
              <w:rPr>
                <w:szCs w:val="20"/>
              </w:rPr>
              <w:t>$2,549,389</w:t>
            </w:r>
          </w:p>
        </w:tc>
        <w:tc>
          <w:tcPr>
            <w:tcW w:w="789" w:type="pct"/>
            <w:vAlign w:val="center"/>
          </w:tcPr>
          <w:p w:rsidRPr="00D21E4B" w:rsidR="00126EA0" w:rsidP="00FF2AD1" w:rsidRDefault="00126EA0" w14:paraId="714315FE" w14:textId="77777777">
            <w:pPr>
              <w:ind w:left="98" w:right="69"/>
              <w:jc w:val="center"/>
              <w:rPr>
                <w:szCs w:val="20"/>
              </w:rPr>
            </w:pPr>
            <w:r w:rsidRPr="00D21E4B">
              <w:rPr>
                <w:szCs w:val="20"/>
              </w:rPr>
              <w:t>67</w:t>
            </w:r>
          </w:p>
        </w:tc>
        <w:tc>
          <w:tcPr>
            <w:tcW w:w="995" w:type="pct"/>
            <w:vAlign w:val="center"/>
          </w:tcPr>
          <w:p w:rsidRPr="00D21E4B" w:rsidR="00126EA0" w:rsidP="00FF2AD1" w:rsidRDefault="00126EA0" w14:paraId="35AFABC8" w14:textId="77777777">
            <w:pPr>
              <w:ind w:left="84" w:right="55"/>
              <w:jc w:val="center"/>
              <w:rPr>
                <w:szCs w:val="20"/>
              </w:rPr>
            </w:pPr>
            <w:r w:rsidRPr="00D21E4B">
              <w:rPr>
                <w:szCs w:val="20"/>
              </w:rPr>
              <w:t>$35,072,025</w:t>
            </w:r>
          </w:p>
        </w:tc>
      </w:tr>
      <w:tr w:rsidRPr="00BF4D0A" w:rsidR="00126EA0" w:rsidTr="0074445B" w14:paraId="728BCC69" w14:textId="77777777">
        <w:trPr>
          <w:trHeight w:val="20"/>
          <w:jc w:val="center"/>
        </w:trPr>
        <w:tc>
          <w:tcPr>
            <w:tcW w:w="1699" w:type="pct"/>
            <w:tcBorders>
              <w:bottom w:val="single" w:color="000000" w:sz="8" w:space="0"/>
            </w:tcBorders>
            <w:vAlign w:val="center"/>
          </w:tcPr>
          <w:p w:rsidRPr="00D21E4B" w:rsidR="00126EA0" w:rsidP="00FF2AD1" w:rsidRDefault="00126EA0" w14:paraId="41EF67D8" w14:textId="77777777">
            <w:pPr>
              <w:ind w:left="183"/>
              <w:rPr>
                <w:szCs w:val="20"/>
              </w:rPr>
            </w:pPr>
            <w:r w:rsidRPr="00D21E4B">
              <w:rPr>
                <w:szCs w:val="20"/>
              </w:rPr>
              <w:t>Chemical Manufacturers</w:t>
            </w:r>
          </w:p>
        </w:tc>
        <w:tc>
          <w:tcPr>
            <w:tcW w:w="728" w:type="pct"/>
            <w:tcBorders>
              <w:bottom w:val="single" w:color="000000" w:sz="8" w:space="0"/>
            </w:tcBorders>
            <w:vAlign w:val="center"/>
          </w:tcPr>
          <w:p w:rsidRPr="00D21E4B" w:rsidR="00126EA0" w:rsidP="00FF2AD1" w:rsidRDefault="00126EA0" w14:paraId="186F9D77" w14:textId="77777777">
            <w:pPr>
              <w:ind w:left="93" w:right="62"/>
              <w:jc w:val="center"/>
              <w:rPr>
                <w:szCs w:val="20"/>
              </w:rPr>
            </w:pPr>
            <w:r w:rsidRPr="00D21E4B">
              <w:rPr>
                <w:szCs w:val="20"/>
              </w:rPr>
              <w:t>0.2</w:t>
            </w:r>
          </w:p>
        </w:tc>
        <w:tc>
          <w:tcPr>
            <w:tcW w:w="789" w:type="pct"/>
            <w:tcBorders>
              <w:bottom w:val="single" w:color="000000" w:sz="8" w:space="0"/>
            </w:tcBorders>
            <w:vAlign w:val="center"/>
          </w:tcPr>
          <w:p w:rsidRPr="00D21E4B" w:rsidR="00126EA0" w:rsidP="00FF2AD1" w:rsidRDefault="00126EA0" w14:paraId="0CF8A976" w14:textId="77777777">
            <w:pPr>
              <w:ind w:left="93"/>
              <w:jc w:val="center"/>
              <w:rPr>
                <w:szCs w:val="20"/>
              </w:rPr>
            </w:pPr>
            <w:r w:rsidRPr="00D21E4B">
              <w:rPr>
                <w:szCs w:val="20"/>
              </w:rPr>
              <w:t>$29,994</w:t>
            </w:r>
          </w:p>
        </w:tc>
        <w:tc>
          <w:tcPr>
            <w:tcW w:w="789" w:type="pct"/>
            <w:tcBorders>
              <w:bottom w:val="single" w:color="000000" w:sz="8" w:space="0"/>
            </w:tcBorders>
            <w:vAlign w:val="center"/>
          </w:tcPr>
          <w:p w:rsidRPr="00D21E4B" w:rsidR="00126EA0" w:rsidP="00FF2AD1" w:rsidRDefault="00126EA0" w14:paraId="3A89D56E" w14:textId="77777777">
            <w:pPr>
              <w:ind w:left="98" w:right="69"/>
              <w:jc w:val="center"/>
              <w:rPr>
                <w:szCs w:val="20"/>
              </w:rPr>
            </w:pPr>
            <w:r w:rsidRPr="00D21E4B">
              <w:rPr>
                <w:szCs w:val="20"/>
              </w:rPr>
              <w:t>470</w:t>
            </w:r>
          </w:p>
        </w:tc>
        <w:tc>
          <w:tcPr>
            <w:tcW w:w="995" w:type="pct"/>
            <w:tcBorders>
              <w:bottom w:val="single" w:color="000000" w:sz="8" w:space="0"/>
            </w:tcBorders>
            <w:vAlign w:val="center"/>
          </w:tcPr>
          <w:p w:rsidRPr="00D21E4B" w:rsidR="00126EA0" w:rsidP="00FF2AD1" w:rsidRDefault="00126EA0" w14:paraId="54CDB454" w14:textId="77777777">
            <w:pPr>
              <w:ind w:left="84" w:right="55"/>
              <w:jc w:val="center"/>
              <w:rPr>
                <w:szCs w:val="20"/>
              </w:rPr>
            </w:pPr>
            <w:r w:rsidRPr="00D21E4B">
              <w:rPr>
                <w:szCs w:val="20"/>
              </w:rPr>
              <w:t>$2,819,429</w:t>
            </w:r>
          </w:p>
        </w:tc>
      </w:tr>
      <w:tr w:rsidRPr="00BF4D0A" w:rsidR="00126EA0" w:rsidTr="0074445B" w14:paraId="5C0074F6" w14:textId="77777777">
        <w:trPr>
          <w:trHeight w:val="20"/>
          <w:jc w:val="center"/>
        </w:trPr>
        <w:tc>
          <w:tcPr>
            <w:tcW w:w="1699" w:type="pct"/>
            <w:tcBorders>
              <w:bottom w:val="single" w:color="000000" w:sz="8" w:space="0"/>
            </w:tcBorders>
            <w:vAlign w:val="center"/>
          </w:tcPr>
          <w:p w:rsidRPr="00D21E4B" w:rsidR="00126EA0" w:rsidP="00FF2AD1" w:rsidRDefault="00126EA0" w14:paraId="782DC670" w14:textId="77777777">
            <w:pPr>
              <w:ind w:left="183"/>
              <w:rPr>
                <w:b/>
                <w:szCs w:val="20"/>
              </w:rPr>
            </w:pPr>
            <w:r w:rsidRPr="00D21E4B">
              <w:rPr>
                <w:b/>
                <w:szCs w:val="20"/>
              </w:rPr>
              <w:lastRenderedPageBreak/>
              <w:t>Total</w:t>
            </w:r>
          </w:p>
        </w:tc>
        <w:tc>
          <w:tcPr>
            <w:tcW w:w="728" w:type="pct"/>
            <w:tcBorders>
              <w:bottom w:val="single" w:color="000000" w:sz="8" w:space="0"/>
            </w:tcBorders>
            <w:vAlign w:val="center"/>
          </w:tcPr>
          <w:p w:rsidRPr="00D21E4B" w:rsidR="00126EA0" w:rsidP="00FF2AD1" w:rsidRDefault="00126EA0" w14:paraId="0F229EEB" w14:textId="77777777">
            <w:pPr>
              <w:ind w:left="93" w:right="62"/>
              <w:jc w:val="center"/>
              <w:rPr>
                <w:b/>
                <w:szCs w:val="20"/>
              </w:rPr>
            </w:pPr>
          </w:p>
        </w:tc>
        <w:tc>
          <w:tcPr>
            <w:tcW w:w="789" w:type="pct"/>
            <w:tcBorders>
              <w:bottom w:val="single" w:color="000000" w:sz="8" w:space="0"/>
            </w:tcBorders>
            <w:vAlign w:val="center"/>
          </w:tcPr>
          <w:p w:rsidRPr="00D21E4B" w:rsidR="00126EA0" w:rsidP="00FF2AD1" w:rsidRDefault="00126EA0" w14:paraId="3E3743F6" w14:textId="77777777">
            <w:pPr>
              <w:ind w:left="292"/>
              <w:jc w:val="center"/>
              <w:rPr>
                <w:b/>
                <w:szCs w:val="20"/>
              </w:rPr>
            </w:pPr>
          </w:p>
        </w:tc>
        <w:tc>
          <w:tcPr>
            <w:tcW w:w="789" w:type="pct"/>
            <w:tcBorders>
              <w:bottom w:val="single" w:color="000000" w:sz="8" w:space="0"/>
            </w:tcBorders>
            <w:vAlign w:val="center"/>
          </w:tcPr>
          <w:p w:rsidRPr="00D21E4B" w:rsidR="00126EA0" w:rsidP="00FF2AD1" w:rsidRDefault="00126EA0" w14:paraId="6936FCBF" w14:textId="77777777">
            <w:pPr>
              <w:ind w:left="98" w:right="69"/>
              <w:jc w:val="center"/>
              <w:rPr>
                <w:b/>
                <w:szCs w:val="20"/>
              </w:rPr>
            </w:pPr>
            <w:r w:rsidRPr="00D21E4B">
              <w:rPr>
                <w:b/>
                <w:szCs w:val="20"/>
              </w:rPr>
              <w:t>537</w:t>
            </w:r>
          </w:p>
        </w:tc>
        <w:tc>
          <w:tcPr>
            <w:tcW w:w="995" w:type="pct"/>
            <w:tcBorders>
              <w:bottom w:val="single" w:color="000000" w:sz="8" w:space="0"/>
            </w:tcBorders>
            <w:vAlign w:val="center"/>
          </w:tcPr>
          <w:p w:rsidRPr="00D21E4B" w:rsidR="00126EA0" w:rsidP="00FF2AD1" w:rsidRDefault="00126EA0" w14:paraId="7D8B170E" w14:textId="77777777">
            <w:pPr>
              <w:ind w:left="84" w:right="55"/>
              <w:jc w:val="center"/>
              <w:rPr>
                <w:b/>
                <w:szCs w:val="20"/>
              </w:rPr>
            </w:pPr>
            <w:r w:rsidRPr="00D21E4B">
              <w:rPr>
                <w:b/>
                <w:szCs w:val="20"/>
              </w:rPr>
              <w:t>$37,891,454</w:t>
            </w:r>
          </w:p>
        </w:tc>
      </w:tr>
      <w:tr w:rsidRPr="00BF4D0A" w:rsidR="00126EA0" w:rsidTr="0074445B" w14:paraId="2AD08EA0" w14:textId="77777777">
        <w:trPr>
          <w:trHeight w:val="20"/>
          <w:jc w:val="center"/>
        </w:trPr>
        <w:tc>
          <w:tcPr>
            <w:tcW w:w="1699" w:type="pct"/>
            <w:tcBorders>
              <w:top w:val="single" w:color="000000" w:sz="8" w:space="0"/>
            </w:tcBorders>
            <w:vAlign w:val="center"/>
          </w:tcPr>
          <w:p w:rsidRPr="00D21E4B" w:rsidR="00126EA0" w:rsidP="00FF2AD1" w:rsidRDefault="00126EA0" w14:paraId="1893EB65" w14:textId="77777777">
            <w:pPr>
              <w:keepNext/>
              <w:ind w:left="183" w:right="82"/>
              <w:rPr>
                <w:b/>
                <w:szCs w:val="20"/>
              </w:rPr>
            </w:pPr>
            <w:r w:rsidRPr="00D21E4B">
              <w:rPr>
                <w:b/>
                <w:szCs w:val="20"/>
              </w:rPr>
              <w:t>Grand Total</w:t>
            </w:r>
          </w:p>
        </w:tc>
        <w:tc>
          <w:tcPr>
            <w:tcW w:w="728" w:type="pct"/>
            <w:tcBorders>
              <w:top w:val="single" w:color="000000" w:sz="8" w:space="0"/>
            </w:tcBorders>
            <w:vAlign w:val="center"/>
          </w:tcPr>
          <w:p w:rsidRPr="00D21E4B" w:rsidR="00126EA0" w:rsidP="00FF2AD1" w:rsidRDefault="00126EA0" w14:paraId="7DBA35FD" w14:textId="77777777">
            <w:pPr>
              <w:keepNext/>
              <w:jc w:val="center"/>
              <w:rPr>
                <w:szCs w:val="20"/>
              </w:rPr>
            </w:pPr>
          </w:p>
        </w:tc>
        <w:tc>
          <w:tcPr>
            <w:tcW w:w="789" w:type="pct"/>
            <w:tcBorders>
              <w:top w:val="single" w:color="000000" w:sz="8" w:space="0"/>
            </w:tcBorders>
            <w:vAlign w:val="center"/>
          </w:tcPr>
          <w:p w:rsidRPr="00D21E4B" w:rsidR="00126EA0" w:rsidP="00FF2AD1" w:rsidRDefault="00126EA0" w14:paraId="6BB622DE" w14:textId="77777777">
            <w:pPr>
              <w:keepNext/>
              <w:jc w:val="center"/>
              <w:rPr>
                <w:szCs w:val="20"/>
              </w:rPr>
            </w:pPr>
          </w:p>
        </w:tc>
        <w:tc>
          <w:tcPr>
            <w:tcW w:w="789" w:type="pct"/>
            <w:tcBorders>
              <w:top w:val="single" w:color="000000" w:sz="8" w:space="0"/>
            </w:tcBorders>
            <w:vAlign w:val="center"/>
          </w:tcPr>
          <w:p w:rsidRPr="00D21E4B" w:rsidR="00126EA0" w:rsidP="00FF2AD1" w:rsidRDefault="00126EA0" w14:paraId="45649782" w14:textId="77777777">
            <w:pPr>
              <w:keepNext/>
              <w:ind w:left="90" w:right="76"/>
              <w:jc w:val="center"/>
              <w:rPr>
                <w:b/>
                <w:szCs w:val="20"/>
              </w:rPr>
            </w:pPr>
          </w:p>
        </w:tc>
        <w:tc>
          <w:tcPr>
            <w:tcW w:w="995" w:type="pct"/>
            <w:tcBorders>
              <w:top w:val="single" w:color="000000" w:sz="8" w:space="0"/>
            </w:tcBorders>
            <w:vAlign w:val="center"/>
          </w:tcPr>
          <w:p w:rsidRPr="00D21E4B" w:rsidR="00126EA0" w:rsidP="00FF2AD1" w:rsidRDefault="00126EA0" w14:paraId="3F152F9E" w14:textId="77777777">
            <w:pPr>
              <w:keepNext/>
              <w:ind w:left="77" w:right="55"/>
              <w:jc w:val="center"/>
              <w:rPr>
                <w:b/>
                <w:szCs w:val="20"/>
              </w:rPr>
            </w:pPr>
            <w:r w:rsidRPr="00D21E4B">
              <w:rPr>
                <w:b/>
                <w:szCs w:val="20"/>
              </w:rPr>
              <w:t>$51,818,473</w:t>
            </w:r>
          </w:p>
        </w:tc>
      </w:tr>
    </w:tbl>
    <w:p w:rsidRPr="00D21E4B" w:rsidR="00126EA0" w:rsidP="00126EA0" w:rsidRDefault="00126EA0" w14:paraId="1DFC5BE1" w14:textId="77777777">
      <w:pPr>
        <w:keepNext/>
        <w:ind w:left="640"/>
        <w:rPr>
          <w:sz w:val="18"/>
          <w:szCs w:val="18"/>
        </w:rPr>
      </w:pPr>
      <w:r w:rsidRPr="00D21E4B">
        <w:rPr>
          <w:w w:val="105"/>
          <w:position w:val="6"/>
          <w:sz w:val="18"/>
          <w:szCs w:val="18"/>
        </w:rPr>
        <w:t>*</w:t>
      </w:r>
      <w:r w:rsidRPr="00D21E4B">
        <w:rPr>
          <w:w w:val="105"/>
          <w:sz w:val="18"/>
          <w:szCs w:val="18"/>
        </w:rPr>
        <w:t>Totals may not sum due to rounding</w:t>
      </w:r>
      <w:r>
        <w:rPr>
          <w:w w:val="105"/>
          <w:sz w:val="18"/>
          <w:szCs w:val="18"/>
        </w:rPr>
        <w:t>.</w:t>
      </w:r>
    </w:p>
    <w:p w:rsidR="00126EA0" w:rsidP="00126EA0" w:rsidRDefault="00126EA0" w14:paraId="755D92B6" w14:textId="77777777">
      <w:pPr>
        <w:rPr>
          <w:i/>
          <w:iCs/>
        </w:rPr>
      </w:pPr>
    </w:p>
    <w:p w:rsidRPr="00875E5E" w:rsidR="00126EA0" w:rsidP="00126EA0" w:rsidRDefault="00126EA0" w14:paraId="21D2575D" w14:textId="77777777">
      <w:pPr>
        <w:keepNext/>
        <w:keepLines/>
        <w:rPr>
          <w:bCs/>
          <w:i/>
          <w:iCs/>
          <w:sz w:val="22"/>
          <w:szCs w:val="28"/>
        </w:rPr>
      </w:pPr>
      <w:r w:rsidRPr="00875E5E">
        <w:rPr>
          <w:bCs/>
          <w:i/>
          <w:iCs/>
          <w:sz w:val="22"/>
          <w:szCs w:val="28"/>
        </w:rPr>
        <w:t>Root Cause Analysis</w:t>
      </w:r>
    </w:p>
    <w:p w:rsidRPr="00875E5E" w:rsidR="00126EA0" w:rsidP="00126EA0" w:rsidRDefault="00126EA0" w14:paraId="1D6E5F62" w14:textId="4A114E26">
      <w:pPr>
        <w:keepNext/>
        <w:keepLines/>
        <w:ind w:firstLine="360"/>
        <w:rPr>
          <w:sz w:val="22"/>
          <w:szCs w:val="28"/>
        </w:rPr>
      </w:pPr>
      <w:r w:rsidRPr="00875E5E">
        <w:rPr>
          <w:sz w:val="22"/>
          <w:szCs w:val="28"/>
        </w:rPr>
        <w:tab/>
        <w:t xml:space="preserve">The total costs of this provision are provided in Exhibit </w:t>
      </w:r>
      <w:r w:rsidR="00F1448F">
        <w:rPr>
          <w:sz w:val="22"/>
          <w:szCs w:val="28"/>
        </w:rPr>
        <w:t>9</w:t>
      </w:r>
      <w:r w:rsidRPr="00875E5E">
        <w:rPr>
          <w:sz w:val="22"/>
          <w:szCs w:val="28"/>
        </w:rPr>
        <w:t>.</w:t>
      </w:r>
      <w:r w:rsidRPr="00875E5E">
        <w:rPr>
          <w:sz w:val="22"/>
          <w:szCs w:val="28"/>
        </w:rPr>
        <w:br/>
      </w:r>
    </w:p>
    <w:p w:rsidRPr="00D21E4B" w:rsidR="00126EA0" w:rsidP="0074445B" w:rsidRDefault="00126EA0" w14:paraId="2E4DE8DA" w14:textId="14EFF534">
      <w:pPr>
        <w:pStyle w:val="Caption"/>
        <w:spacing w:after="0"/>
        <w:jc w:val="center"/>
        <w:rPr>
          <w:rFonts w:eastAsiaTheme="majorEastAsia"/>
          <w:b/>
          <w:bCs/>
          <w:i w:val="0"/>
          <w:iCs w:val="0"/>
          <w:color w:val="auto"/>
          <w:sz w:val="22"/>
          <w:szCs w:val="22"/>
        </w:rPr>
      </w:pPr>
      <w:r w:rsidRPr="00D21E4B">
        <w:rPr>
          <w:b/>
          <w:bCs/>
          <w:i w:val="0"/>
          <w:iCs w:val="0"/>
          <w:color w:val="auto"/>
          <w:sz w:val="22"/>
          <w:szCs w:val="22"/>
        </w:rPr>
        <w:t xml:space="preserve">Exhibit </w:t>
      </w:r>
      <w:r w:rsidR="00F1448F">
        <w:rPr>
          <w:b/>
          <w:bCs/>
          <w:i w:val="0"/>
          <w:iCs w:val="0"/>
          <w:color w:val="auto"/>
          <w:sz w:val="22"/>
          <w:szCs w:val="22"/>
        </w:rPr>
        <w:t>9</w:t>
      </w:r>
      <w:r>
        <w:rPr>
          <w:b/>
          <w:bCs/>
          <w:i w:val="0"/>
          <w:iCs w:val="0"/>
          <w:color w:val="auto"/>
          <w:sz w:val="22"/>
          <w:szCs w:val="22"/>
        </w:rPr>
        <w:t>:</w:t>
      </w:r>
      <w:r w:rsidRPr="00D21E4B">
        <w:rPr>
          <w:b/>
          <w:bCs/>
          <w:i w:val="0"/>
          <w:iCs w:val="0"/>
          <w:color w:val="auto"/>
          <w:sz w:val="22"/>
          <w:szCs w:val="22"/>
        </w:rPr>
        <w:t xml:space="preserve"> Total Undiscounted Costs for Root Cause Incident Investigation (2020 </w:t>
      </w:r>
      <w:r>
        <w:rPr>
          <w:b/>
          <w:bCs/>
          <w:i w:val="0"/>
          <w:iCs w:val="0"/>
          <w:color w:val="auto"/>
          <w:sz w:val="22"/>
          <w:szCs w:val="22"/>
        </w:rPr>
        <w:t>d</w:t>
      </w:r>
      <w:r w:rsidRPr="00D21E4B">
        <w:rPr>
          <w:b/>
          <w:bCs/>
          <w:i w:val="0"/>
          <w:iCs w:val="0"/>
          <w:color w:val="auto"/>
          <w:sz w:val="22"/>
          <w:szCs w:val="22"/>
        </w:rPr>
        <w:t>ollars)</w:t>
      </w:r>
    </w:p>
    <w:tbl>
      <w:tblPr>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0" w:type="dxa"/>
          <w:right w:w="0" w:type="dxa"/>
        </w:tblCellMar>
        <w:tblLook w:val="01E0" w:firstRow="1" w:lastRow="1" w:firstColumn="1" w:lastColumn="1" w:noHBand="0" w:noVBand="0"/>
      </w:tblPr>
      <w:tblGrid>
        <w:gridCol w:w="2153"/>
        <w:gridCol w:w="1259"/>
        <w:gridCol w:w="3329"/>
        <w:gridCol w:w="2601"/>
      </w:tblGrid>
      <w:tr w:rsidRPr="00BF4D0A" w:rsidR="00126EA0" w:rsidTr="00FF2AD1" w14:paraId="455B2652" w14:textId="77777777">
        <w:trPr>
          <w:trHeight w:val="20"/>
          <w:jc w:val="center"/>
        </w:trPr>
        <w:tc>
          <w:tcPr>
            <w:tcW w:w="1152" w:type="pct"/>
            <w:tcBorders>
              <w:left w:val="single" w:color="000000" w:sz="6" w:space="0"/>
              <w:bottom w:val="single" w:color="000000" w:sz="6" w:space="0"/>
              <w:right w:val="single" w:color="000000" w:sz="6" w:space="0"/>
            </w:tcBorders>
            <w:shd w:val="clear" w:color="auto" w:fill="DADADA"/>
            <w:vAlign w:val="center"/>
          </w:tcPr>
          <w:p w:rsidRPr="00D21E4B" w:rsidR="00126EA0" w:rsidP="00FF2AD1" w:rsidRDefault="00126EA0" w14:paraId="7DEABA26" w14:textId="77777777">
            <w:pPr>
              <w:keepNext/>
              <w:ind w:left="176"/>
              <w:jc w:val="center"/>
              <w:rPr>
                <w:b/>
                <w:szCs w:val="20"/>
              </w:rPr>
            </w:pPr>
            <w:r w:rsidRPr="00D21E4B">
              <w:rPr>
                <w:b/>
                <w:szCs w:val="20"/>
              </w:rPr>
              <w:t>Facility Type</w:t>
            </w:r>
          </w:p>
        </w:tc>
        <w:tc>
          <w:tcPr>
            <w:tcW w:w="674" w:type="pct"/>
            <w:tcBorders>
              <w:left w:val="single" w:color="000000" w:sz="6" w:space="0"/>
              <w:bottom w:val="single" w:color="000000" w:sz="6" w:space="0"/>
            </w:tcBorders>
            <w:shd w:val="clear" w:color="auto" w:fill="DADADA"/>
            <w:vAlign w:val="center"/>
          </w:tcPr>
          <w:p w:rsidRPr="00D21E4B" w:rsidR="00126EA0" w:rsidP="00FF2AD1" w:rsidRDefault="00126EA0" w14:paraId="30F44488" w14:textId="77777777">
            <w:pPr>
              <w:keepNext/>
              <w:ind w:left="80" w:right="50"/>
              <w:jc w:val="center"/>
              <w:rPr>
                <w:b/>
                <w:szCs w:val="20"/>
              </w:rPr>
            </w:pPr>
            <w:r w:rsidRPr="00D21E4B">
              <w:rPr>
                <w:b/>
                <w:szCs w:val="20"/>
              </w:rPr>
              <w:t>Unit Cost</w:t>
            </w:r>
          </w:p>
        </w:tc>
        <w:tc>
          <w:tcPr>
            <w:tcW w:w="1782" w:type="pct"/>
            <w:tcBorders>
              <w:bottom w:val="single" w:color="000000" w:sz="6" w:space="0"/>
              <w:right w:val="single" w:color="000000" w:sz="6" w:space="0"/>
            </w:tcBorders>
            <w:shd w:val="clear" w:color="auto" w:fill="DADADA"/>
            <w:vAlign w:val="center"/>
          </w:tcPr>
          <w:p w:rsidRPr="00D21E4B" w:rsidR="00126EA0" w:rsidP="00FF2AD1" w:rsidRDefault="00126EA0" w14:paraId="25F5F1A5" w14:textId="77777777">
            <w:pPr>
              <w:keepNext/>
              <w:ind w:left="61" w:right="67"/>
              <w:jc w:val="center"/>
              <w:rPr>
                <w:b/>
                <w:szCs w:val="20"/>
              </w:rPr>
            </w:pPr>
            <w:r w:rsidRPr="00D21E4B">
              <w:rPr>
                <w:b/>
                <w:szCs w:val="20"/>
              </w:rPr>
              <w:t>Avg. Annual Number of Accidents (2016-2020) per year</w:t>
            </w:r>
          </w:p>
        </w:tc>
        <w:tc>
          <w:tcPr>
            <w:tcW w:w="1392" w:type="pct"/>
            <w:tcBorders>
              <w:left w:val="single" w:color="000000" w:sz="6" w:space="0"/>
              <w:bottom w:val="single" w:color="000000" w:sz="6" w:space="0"/>
            </w:tcBorders>
            <w:shd w:val="clear" w:color="auto" w:fill="DADADA"/>
            <w:vAlign w:val="center"/>
          </w:tcPr>
          <w:p w:rsidRPr="00D21E4B" w:rsidR="00126EA0" w:rsidP="00FF2AD1" w:rsidRDefault="00126EA0" w14:paraId="6744116B" w14:textId="77777777">
            <w:pPr>
              <w:keepNext/>
              <w:ind w:left="81" w:right="51"/>
              <w:jc w:val="center"/>
              <w:rPr>
                <w:b/>
                <w:szCs w:val="20"/>
              </w:rPr>
            </w:pPr>
            <w:r w:rsidRPr="00D21E4B">
              <w:rPr>
                <w:b/>
                <w:szCs w:val="20"/>
              </w:rPr>
              <w:t>Total Annualized</w:t>
            </w:r>
          </w:p>
          <w:p w:rsidRPr="00D21E4B" w:rsidR="00126EA0" w:rsidP="00FF2AD1" w:rsidRDefault="00126EA0" w14:paraId="395D24D7" w14:textId="77777777">
            <w:pPr>
              <w:keepNext/>
              <w:ind w:left="81" w:right="51"/>
              <w:jc w:val="center"/>
              <w:rPr>
                <w:b/>
                <w:szCs w:val="20"/>
              </w:rPr>
            </w:pPr>
            <w:r w:rsidRPr="00D21E4B">
              <w:rPr>
                <w:b/>
                <w:szCs w:val="20"/>
              </w:rPr>
              <w:t>Cost</w:t>
            </w:r>
          </w:p>
        </w:tc>
      </w:tr>
      <w:tr w:rsidRPr="00BF4D0A" w:rsidR="00126EA0" w:rsidTr="00FF2AD1" w14:paraId="29171C94" w14:textId="77777777">
        <w:trPr>
          <w:trHeight w:val="20"/>
          <w:jc w:val="center"/>
        </w:trPr>
        <w:tc>
          <w:tcPr>
            <w:tcW w:w="1152" w:type="pct"/>
            <w:tcBorders>
              <w:top w:val="single" w:color="000000" w:sz="6" w:space="0"/>
              <w:left w:val="single" w:color="000000" w:sz="6" w:space="0"/>
              <w:bottom w:val="single" w:color="000000" w:sz="6" w:space="0"/>
              <w:right w:val="single" w:color="000000" w:sz="6" w:space="0"/>
            </w:tcBorders>
            <w:vAlign w:val="center"/>
          </w:tcPr>
          <w:p w:rsidRPr="00D21E4B" w:rsidR="00126EA0" w:rsidP="00FF2AD1" w:rsidRDefault="00126EA0" w14:paraId="54D9E5F0" w14:textId="77777777">
            <w:pPr>
              <w:keepNext/>
              <w:ind w:left="112"/>
              <w:rPr>
                <w:szCs w:val="20"/>
              </w:rPr>
            </w:pPr>
            <w:r w:rsidRPr="00D21E4B">
              <w:rPr>
                <w:szCs w:val="20"/>
              </w:rPr>
              <w:t>P2 Accident - Simple</w:t>
            </w:r>
          </w:p>
        </w:tc>
        <w:tc>
          <w:tcPr>
            <w:tcW w:w="674" w:type="pct"/>
            <w:tcBorders>
              <w:top w:val="single" w:color="000000" w:sz="6" w:space="0"/>
              <w:left w:val="single" w:color="000000" w:sz="6" w:space="0"/>
              <w:bottom w:val="single" w:color="000000" w:sz="6" w:space="0"/>
            </w:tcBorders>
            <w:vAlign w:val="center"/>
          </w:tcPr>
          <w:p w:rsidRPr="00D21E4B" w:rsidR="00126EA0" w:rsidP="00FF2AD1" w:rsidRDefault="00126EA0" w14:paraId="46571356" w14:textId="77777777">
            <w:pPr>
              <w:keepNext/>
              <w:ind w:left="67" w:right="50"/>
              <w:jc w:val="right"/>
              <w:rPr>
                <w:szCs w:val="20"/>
              </w:rPr>
            </w:pPr>
            <w:r w:rsidRPr="00D21E4B">
              <w:rPr>
                <w:color w:val="000000"/>
                <w:szCs w:val="20"/>
              </w:rPr>
              <w:t>$2,141</w:t>
            </w:r>
          </w:p>
        </w:tc>
        <w:tc>
          <w:tcPr>
            <w:tcW w:w="1782" w:type="pct"/>
            <w:tcBorders>
              <w:top w:val="single" w:color="000000" w:sz="6" w:space="0"/>
              <w:bottom w:val="single" w:color="000000" w:sz="6" w:space="0"/>
              <w:right w:val="single" w:color="000000" w:sz="6" w:space="0"/>
            </w:tcBorders>
            <w:vAlign w:val="center"/>
          </w:tcPr>
          <w:p w:rsidRPr="00D21E4B" w:rsidR="00126EA0" w:rsidP="00FF2AD1" w:rsidRDefault="00126EA0" w14:paraId="158D9A58" w14:textId="77777777">
            <w:pPr>
              <w:keepNext/>
              <w:ind w:left="93" w:right="77"/>
              <w:jc w:val="right"/>
              <w:rPr>
                <w:szCs w:val="20"/>
              </w:rPr>
            </w:pPr>
            <w:r w:rsidRPr="00D21E4B">
              <w:rPr>
                <w:szCs w:val="20"/>
              </w:rPr>
              <w:t>12.8</w:t>
            </w:r>
          </w:p>
        </w:tc>
        <w:tc>
          <w:tcPr>
            <w:tcW w:w="1392" w:type="pct"/>
            <w:tcBorders>
              <w:top w:val="single" w:color="000000" w:sz="6" w:space="0"/>
              <w:left w:val="single" w:color="000000" w:sz="6" w:space="0"/>
              <w:bottom w:val="single" w:color="000000" w:sz="6" w:space="0"/>
            </w:tcBorders>
            <w:vAlign w:val="center"/>
          </w:tcPr>
          <w:p w:rsidRPr="00D21E4B" w:rsidR="00126EA0" w:rsidP="00FF2AD1" w:rsidRDefault="00126EA0" w14:paraId="7466DC1C" w14:textId="77777777">
            <w:pPr>
              <w:keepNext/>
              <w:ind w:left="83" w:right="51"/>
              <w:jc w:val="right"/>
              <w:rPr>
                <w:szCs w:val="20"/>
              </w:rPr>
            </w:pPr>
            <w:r w:rsidRPr="00D21E4B">
              <w:rPr>
                <w:color w:val="000000"/>
                <w:szCs w:val="20"/>
              </w:rPr>
              <w:t>$27,406</w:t>
            </w:r>
          </w:p>
        </w:tc>
      </w:tr>
      <w:tr w:rsidRPr="00BF4D0A" w:rsidR="00126EA0" w:rsidTr="00FF2AD1" w14:paraId="00E8F948" w14:textId="77777777">
        <w:trPr>
          <w:trHeight w:val="20"/>
          <w:jc w:val="center"/>
        </w:trPr>
        <w:tc>
          <w:tcPr>
            <w:tcW w:w="1152" w:type="pct"/>
            <w:tcBorders>
              <w:top w:val="single" w:color="000000" w:sz="6" w:space="0"/>
              <w:left w:val="single" w:color="000000" w:sz="6" w:space="0"/>
              <w:bottom w:val="single" w:color="000000" w:sz="6" w:space="0"/>
              <w:right w:val="single" w:color="000000" w:sz="6" w:space="0"/>
            </w:tcBorders>
            <w:vAlign w:val="center"/>
          </w:tcPr>
          <w:p w:rsidRPr="00D21E4B" w:rsidR="00126EA0" w:rsidP="00FF2AD1" w:rsidRDefault="00126EA0" w14:paraId="76B01DB9" w14:textId="77777777">
            <w:pPr>
              <w:keepNext/>
              <w:ind w:left="112"/>
              <w:rPr>
                <w:szCs w:val="20"/>
              </w:rPr>
            </w:pPr>
            <w:r w:rsidRPr="00D21E4B">
              <w:rPr>
                <w:szCs w:val="20"/>
              </w:rPr>
              <w:t>P2 Accident - Complex</w:t>
            </w:r>
          </w:p>
        </w:tc>
        <w:tc>
          <w:tcPr>
            <w:tcW w:w="674" w:type="pct"/>
            <w:tcBorders>
              <w:top w:val="single" w:color="000000" w:sz="6" w:space="0"/>
              <w:left w:val="single" w:color="000000" w:sz="6" w:space="0"/>
              <w:bottom w:val="single" w:color="000000" w:sz="6" w:space="0"/>
            </w:tcBorders>
            <w:vAlign w:val="center"/>
          </w:tcPr>
          <w:p w:rsidRPr="00D21E4B" w:rsidR="00126EA0" w:rsidP="00FF2AD1" w:rsidRDefault="00126EA0" w14:paraId="5D7138BE" w14:textId="77777777">
            <w:pPr>
              <w:keepNext/>
              <w:ind w:left="67" w:right="50"/>
              <w:jc w:val="right"/>
              <w:rPr>
                <w:szCs w:val="20"/>
              </w:rPr>
            </w:pPr>
            <w:r w:rsidRPr="00D21E4B">
              <w:rPr>
                <w:color w:val="000000"/>
                <w:szCs w:val="20"/>
              </w:rPr>
              <w:t>$14,835</w:t>
            </w:r>
          </w:p>
        </w:tc>
        <w:tc>
          <w:tcPr>
            <w:tcW w:w="1782" w:type="pct"/>
            <w:tcBorders>
              <w:top w:val="single" w:color="000000" w:sz="6" w:space="0"/>
              <w:bottom w:val="single" w:color="000000" w:sz="6" w:space="0"/>
              <w:right w:val="single" w:color="000000" w:sz="6" w:space="0"/>
            </w:tcBorders>
            <w:vAlign w:val="center"/>
          </w:tcPr>
          <w:p w:rsidRPr="00D21E4B" w:rsidR="00126EA0" w:rsidP="00FF2AD1" w:rsidRDefault="00126EA0" w14:paraId="5B9AB8A6" w14:textId="77777777">
            <w:pPr>
              <w:keepNext/>
              <w:ind w:left="93" w:right="77"/>
              <w:jc w:val="right"/>
              <w:rPr>
                <w:szCs w:val="20"/>
              </w:rPr>
            </w:pPr>
            <w:r w:rsidRPr="00D21E4B">
              <w:rPr>
                <w:szCs w:val="20"/>
              </w:rPr>
              <w:t>0.2</w:t>
            </w:r>
          </w:p>
        </w:tc>
        <w:tc>
          <w:tcPr>
            <w:tcW w:w="1392" w:type="pct"/>
            <w:tcBorders>
              <w:top w:val="single" w:color="000000" w:sz="6" w:space="0"/>
              <w:left w:val="single" w:color="000000" w:sz="6" w:space="0"/>
              <w:bottom w:val="single" w:color="000000" w:sz="6" w:space="0"/>
            </w:tcBorders>
            <w:vAlign w:val="center"/>
          </w:tcPr>
          <w:p w:rsidRPr="00D21E4B" w:rsidR="00126EA0" w:rsidP="00FF2AD1" w:rsidRDefault="00126EA0" w14:paraId="59AA9A29" w14:textId="77777777">
            <w:pPr>
              <w:keepNext/>
              <w:ind w:left="83" w:right="51"/>
              <w:jc w:val="right"/>
              <w:rPr>
                <w:szCs w:val="20"/>
              </w:rPr>
            </w:pPr>
            <w:r w:rsidRPr="00D21E4B">
              <w:rPr>
                <w:color w:val="000000"/>
                <w:szCs w:val="20"/>
              </w:rPr>
              <w:t>$2,967</w:t>
            </w:r>
          </w:p>
        </w:tc>
      </w:tr>
      <w:tr w:rsidRPr="00BF4D0A" w:rsidR="00126EA0" w:rsidTr="00FF2AD1" w14:paraId="7773ABF1" w14:textId="77777777">
        <w:trPr>
          <w:trHeight w:val="20"/>
          <w:jc w:val="center"/>
        </w:trPr>
        <w:tc>
          <w:tcPr>
            <w:tcW w:w="1152" w:type="pct"/>
            <w:tcBorders>
              <w:top w:val="single" w:color="000000" w:sz="6" w:space="0"/>
              <w:left w:val="single" w:color="000000" w:sz="6" w:space="0"/>
              <w:right w:val="single" w:color="000000" w:sz="6" w:space="0"/>
            </w:tcBorders>
            <w:vAlign w:val="center"/>
          </w:tcPr>
          <w:p w:rsidRPr="00D21E4B" w:rsidR="00126EA0" w:rsidP="00FF2AD1" w:rsidRDefault="00126EA0" w14:paraId="04AFDF3B" w14:textId="77777777">
            <w:pPr>
              <w:keepNext/>
              <w:ind w:left="112"/>
              <w:rPr>
                <w:szCs w:val="20"/>
              </w:rPr>
            </w:pPr>
            <w:r w:rsidRPr="00D21E4B">
              <w:rPr>
                <w:szCs w:val="20"/>
              </w:rPr>
              <w:t>P3 Accident - Simple</w:t>
            </w:r>
          </w:p>
        </w:tc>
        <w:tc>
          <w:tcPr>
            <w:tcW w:w="674" w:type="pct"/>
            <w:tcBorders>
              <w:top w:val="single" w:color="000000" w:sz="6" w:space="0"/>
              <w:left w:val="single" w:color="000000" w:sz="6" w:space="0"/>
            </w:tcBorders>
            <w:vAlign w:val="center"/>
          </w:tcPr>
          <w:p w:rsidRPr="00D21E4B" w:rsidR="00126EA0" w:rsidP="00FF2AD1" w:rsidRDefault="00126EA0" w14:paraId="6A138405" w14:textId="77777777">
            <w:pPr>
              <w:keepNext/>
              <w:ind w:left="67" w:right="50"/>
              <w:jc w:val="right"/>
              <w:rPr>
                <w:szCs w:val="20"/>
              </w:rPr>
            </w:pPr>
            <w:r w:rsidRPr="00D21E4B">
              <w:rPr>
                <w:color w:val="000000"/>
                <w:szCs w:val="20"/>
              </w:rPr>
              <w:t>$2,141</w:t>
            </w:r>
          </w:p>
        </w:tc>
        <w:tc>
          <w:tcPr>
            <w:tcW w:w="1782" w:type="pct"/>
            <w:tcBorders>
              <w:top w:val="single" w:color="000000" w:sz="6" w:space="0"/>
              <w:right w:val="single" w:color="000000" w:sz="6" w:space="0"/>
            </w:tcBorders>
            <w:vAlign w:val="center"/>
          </w:tcPr>
          <w:p w:rsidRPr="00D21E4B" w:rsidR="00126EA0" w:rsidP="00FF2AD1" w:rsidRDefault="00126EA0" w14:paraId="09BC91E3" w14:textId="77777777">
            <w:pPr>
              <w:keepNext/>
              <w:ind w:left="93" w:right="65"/>
              <w:jc w:val="right"/>
              <w:rPr>
                <w:szCs w:val="20"/>
              </w:rPr>
            </w:pPr>
            <w:r w:rsidRPr="00D21E4B">
              <w:rPr>
                <w:szCs w:val="20"/>
              </w:rPr>
              <w:t>40.2</w:t>
            </w:r>
          </w:p>
        </w:tc>
        <w:tc>
          <w:tcPr>
            <w:tcW w:w="1392" w:type="pct"/>
            <w:tcBorders>
              <w:top w:val="single" w:color="000000" w:sz="6" w:space="0"/>
              <w:left w:val="single" w:color="000000" w:sz="6" w:space="0"/>
            </w:tcBorders>
            <w:vAlign w:val="center"/>
          </w:tcPr>
          <w:p w:rsidRPr="00D21E4B" w:rsidR="00126EA0" w:rsidP="00FF2AD1" w:rsidRDefault="00126EA0" w14:paraId="2235726E" w14:textId="77777777">
            <w:pPr>
              <w:keepNext/>
              <w:ind w:left="83" w:right="51"/>
              <w:jc w:val="right"/>
              <w:rPr>
                <w:szCs w:val="20"/>
              </w:rPr>
            </w:pPr>
            <w:r w:rsidRPr="00D21E4B">
              <w:rPr>
                <w:color w:val="000000"/>
                <w:szCs w:val="20"/>
              </w:rPr>
              <w:t>$86,073</w:t>
            </w:r>
          </w:p>
        </w:tc>
      </w:tr>
      <w:tr w:rsidRPr="00BF4D0A" w:rsidR="00126EA0" w:rsidTr="00FF2AD1" w14:paraId="70261FC8" w14:textId="77777777">
        <w:trPr>
          <w:trHeight w:val="20"/>
          <w:jc w:val="center"/>
        </w:trPr>
        <w:tc>
          <w:tcPr>
            <w:tcW w:w="1152" w:type="pct"/>
            <w:tcBorders>
              <w:left w:val="single" w:color="000000" w:sz="6" w:space="0"/>
              <w:right w:val="single" w:color="000000" w:sz="6" w:space="0"/>
            </w:tcBorders>
            <w:vAlign w:val="center"/>
          </w:tcPr>
          <w:p w:rsidRPr="00D21E4B" w:rsidR="00126EA0" w:rsidP="00FF2AD1" w:rsidRDefault="00126EA0" w14:paraId="2B982F6B" w14:textId="77777777">
            <w:pPr>
              <w:keepNext/>
              <w:ind w:left="112"/>
              <w:rPr>
                <w:szCs w:val="20"/>
              </w:rPr>
            </w:pPr>
            <w:r w:rsidRPr="00D21E4B">
              <w:rPr>
                <w:szCs w:val="20"/>
              </w:rPr>
              <w:t>P3 Accident - Complex</w:t>
            </w:r>
          </w:p>
        </w:tc>
        <w:tc>
          <w:tcPr>
            <w:tcW w:w="674" w:type="pct"/>
            <w:tcBorders>
              <w:left w:val="single" w:color="000000" w:sz="6" w:space="0"/>
            </w:tcBorders>
            <w:vAlign w:val="center"/>
          </w:tcPr>
          <w:p w:rsidRPr="00D21E4B" w:rsidR="00126EA0" w:rsidP="00FF2AD1" w:rsidRDefault="00126EA0" w14:paraId="085FE0E2" w14:textId="77777777">
            <w:pPr>
              <w:keepNext/>
              <w:ind w:left="67" w:right="50"/>
              <w:jc w:val="right"/>
              <w:rPr>
                <w:szCs w:val="20"/>
              </w:rPr>
            </w:pPr>
            <w:r w:rsidRPr="00D21E4B">
              <w:rPr>
                <w:color w:val="000000"/>
                <w:szCs w:val="20"/>
              </w:rPr>
              <w:t>$14,835</w:t>
            </w:r>
          </w:p>
        </w:tc>
        <w:tc>
          <w:tcPr>
            <w:tcW w:w="1782" w:type="pct"/>
            <w:tcBorders>
              <w:right w:val="single" w:color="000000" w:sz="6" w:space="0"/>
            </w:tcBorders>
            <w:vAlign w:val="center"/>
          </w:tcPr>
          <w:p w:rsidRPr="00D21E4B" w:rsidR="00126EA0" w:rsidP="00FF2AD1" w:rsidRDefault="00126EA0" w14:paraId="6142FCBD" w14:textId="77777777">
            <w:pPr>
              <w:keepNext/>
              <w:ind w:left="93" w:right="65"/>
              <w:jc w:val="right"/>
              <w:rPr>
                <w:szCs w:val="20"/>
              </w:rPr>
            </w:pPr>
            <w:r w:rsidRPr="00D21E4B">
              <w:rPr>
                <w:szCs w:val="20"/>
              </w:rPr>
              <w:t>41.2</w:t>
            </w:r>
          </w:p>
        </w:tc>
        <w:tc>
          <w:tcPr>
            <w:tcW w:w="1392" w:type="pct"/>
            <w:tcBorders>
              <w:left w:val="single" w:color="000000" w:sz="6" w:space="0"/>
            </w:tcBorders>
            <w:vAlign w:val="center"/>
          </w:tcPr>
          <w:p w:rsidRPr="00D21E4B" w:rsidR="00126EA0" w:rsidP="00FF2AD1" w:rsidRDefault="00126EA0" w14:paraId="61E6D92B" w14:textId="77777777">
            <w:pPr>
              <w:keepNext/>
              <w:ind w:left="83" w:right="51"/>
              <w:jc w:val="right"/>
              <w:rPr>
                <w:szCs w:val="20"/>
              </w:rPr>
            </w:pPr>
            <w:r w:rsidRPr="00D21E4B">
              <w:rPr>
                <w:color w:val="000000"/>
                <w:szCs w:val="20"/>
              </w:rPr>
              <w:t>$611,205</w:t>
            </w:r>
          </w:p>
        </w:tc>
      </w:tr>
      <w:tr w:rsidRPr="00BF4D0A" w:rsidR="00126EA0" w:rsidTr="00FF2AD1" w14:paraId="301FDC8E" w14:textId="77777777">
        <w:trPr>
          <w:trHeight w:val="20"/>
          <w:jc w:val="center"/>
        </w:trPr>
        <w:tc>
          <w:tcPr>
            <w:tcW w:w="1152" w:type="pct"/>
            <w:tcBorders>
              <w:left w:val="single" w:color="000000" w:sz="6" w:space="0"/>
              <w:bottom w:val="single" w:color="000000" w:sz="6" w:space="0"/>
              <w:right w:val="single" w:color="000000" w:sz="6" w:space="0"/>
            </w:tcBorders>
            <w:vAlign w:val="center"/>
          </w:tcPr>
          <w:p w:rsidRPr="00D21E4B" w:rsidR="00126EA0" w:rsidP="00FF2AD1" w:rsidRDefault="00126EA0" w14:paraId="019E41B5" w14:textId="77777777">
            <w:pPr>
              <w:keepNext/>
              <w:ind w:right="887"/>
              <w:jc w:val="center"/>
              <w:rPr>
                <w:b/>
                <w:szCs w:val="20"/>
              </w:rPr>
            </w:pPr>
            <w:r w:rsidRPr="00D21E4B">
              <w:rPr>
                <w:b/>
                <w:szCs w:val="20"/>
              </w:rPr>
              <w:t>Total</w:t>
            </w:r>
          </w:p>
        </w:tc>
        <w:tc>
          <w:tcPr>
            <w:tcW w:w="674" w:type="pct"/>
            <w:tcBorders>
              <w:left w:val="single" w:color="000000" w:sz="6" w:space="0"/>
              <w:bottom w:val="single" w:color="000000" w:sz="6" w:space="0"/>
            </w:tcBorders>
            <w:vAlign w:val="center"/>
          </w:tcPr>
          <w:p w:rsidRPr="00D21E4B" w:rsidR="00126EA0" w:rsidP="00FF2AD1" w:rsidRDefault="00126EA0" w14:paraId="2F4B6E95" w14:textId="77777777">
            <w:pPr>
              <w:keepNext/>
              <w:jc w:val="right"/>
              <w:rPr>
                <w:szCs w:val="20"/>
              </w:rPr>
            </w:pPr>
          </w:p>
        </w:tc>
        <w:tc>
          <w:tcPr>
            <w:tcW w:w="1782" w:type="pct"/>
            <w:tcBorders>
              <w:bottom w:val="single" w:color="000000" w:sz="6" w:space="0"/>
              <w:right w:val="single" w:color="000000" w:sz="6" w:space="0"/>
            </w:tcBorders>
            <w:vAlign w:val="center"/>
          </w:tcPr>
          <w:p w:rsidRPr="00D21E4B" w:rsidR="00126EA0" w:rsidP="00FF2AD1" w:rsidRDefault="00126EA0" w14:paraId="7BDE1BF3" w14:textId="77777777">
            <w:pPr>
              <w:keepNext/>
              <w:ind w:left="67" w:right="67"/>
              <w:jc w:val="right"/>
              <w:rPr>
                <w:b/>
                <w:szCs w:val="20"/>
              </w:rPr>
            </w:pPr>
            <w:r w:rsidRPr="00D21E4B">
              <w:rPr>
                <w:b/>
                <w:szCs w:val="20"/>
              </w:rPr>
              <w:t>94.4</w:t>
            </w:r>
          </w:p>
        </w:tc>
        <w:tc>
          <w:tcPr>
            <w:tcW w:w="1392" w:type="pct"/>
            <w:tcBorders>
              <w:left w:val="single" w:color="000000" w:sz="6" w:space="0"/>
              <w:bottom w:val="single" w:color="000000" w:sz="6" w:space="0"/>
            </w:tcBorders>
            <w:vAlign w:val="center"/>
          </w:tcPr>
          <w:p w:rsidRPr="00D21E4B" w:rsidR="00126EA0" w:rsidP="00FF2AD1" w:rsidRDefault="00126EA0" w14:paraId="12E32C1C" w14:textId="77777777">
            <w:pPr>
              <w:keepNext/>
              <w:ind w:left="83" w:right="51"/>
              <w:jc w:val="right"/>
              <w:rPr>
                <w:b/>
                <w:szCs w:val="20"/>
              </w:rPr>
            </w:pPr>
            <w:r w:rsidRPr="00D21E4B">
              <w:rPr>
                <w:b/>
                <w:color w:val="000000"/>
                <w:szCs w:val="20"/>
              </w:rPr>
              <w:t>$727,651</w:t>
            </w:r>
          </w:p>
        </w:tc>
      </w:tr>
    </w:tbl>
    <w:p w:rsidR="00126EA0" w:rsidP="00126EA0" w:rsidRDefault="00126EA0" w14:paraId="515CF7C5" w14:textId="77777777">
      <w:pPr>
        <w:rPr>
          <w:b/>
          <w:bCs/>
        </w:rPr>
      </w:pPr>
    </w:p>
    <w:p w:rsidRPr="00875E5E" w:rsidR="00126EA0" w:rsidP="00126EA0" w:rsidRDefault="00126EA0" w14:paraId="769A25A4" w14:textId="77777777">
      <w:pPr>
        <w:rPr>
          <w:i/>
          <w:sz w:val="22"/>
          <w:szCs w:val="28"/>
        </w:rPr>
      </w:pPr>
      <w:r w:rsidRPr="00875E5E">
        <w:rPr>
          <w:i/>
          <w:iCs/>
          <w:sz w:val="22"/>
          <w:szCs w:val="28"/>
        </w:rPr>
        <w:t>T</w:t>
      </w:r>
      <w:r w:rsidRPr="00875E5E">
        <w:rPr>
          <w:i/>
          <w:sz w:val="22"/>
          <w:szCs w:val="28"/>
        </w:rPr>
        <w:t>hird-party Audits</w:t>
      </w:r>
    </w:p>
    <w:p w:rsidRPr="00875E5E" w:rsidR="00126EA0" w:rsidP="00F1448F" w:rsidRDefault="00126EA0" w14:paraId="132C1C22" w14:textId="2F34D698">
      <w:pPr>
        <w:ind w:firstLine="360"/>
        <w:rPr>
          <w:sz w:val="22"/>
          <w:szCs w:val="28"/>
        </w:rPr>
      </w:pPr>
      <w:r w:rsidRPr="00875E5E">
        <w:rPr>
          <w:sz w:val="22"/>
          <w:szCs w:val="28"/>
        </w:rPr>
        <w:tab/>
      </w:r>
    </w:p>
    <w:p w:rsidRPr="00875E5E" w:rsidR="00126EA0" w:rsidP="00126EA0" w:rsidRDefault="00126EA0" w14:paraId="1E3FFE0C" w14:textId="19195206">
      <w:pPr>
        <w:ind w:firstLine="360"/>
        <w:rPr>
          <w:sz w:val="22"/>
          <w:szCs w:val="28"/>
        </w:rPr>
      </w:pPr>
      <w:r w:rsidRPr="00875E5E">
        <w:rPr>
          <w:sz w:val="22"/>
          <w:szCs w:val="28"/>
        </w:rPr>
        <w:tab/>
        <w:t>The analysis projects that the annual number and distribution of accidents among types of facilities will remain the same and that in any one year, the number of facilities conducting a third-party audit will be equal to the number of active facilities with two or more accidents, or one accident at a facility with a NAICS 324 or 325 Program 3 process within 1 mile of another facility with a 324 or 325 process within a five-year period.</w:t>
      </w:r>
      <w:r w:rsidRPr="00875E5E">
        <w:rPr>
          <w:sz w:val="22"/>
          <w:szCs w:val="28"/>
          <w:vertAlign w:val="superscript"/>
        </w:rPr>
        <w:footnoteReference w:id="9"/>
      </w:r>
      <w:r w:rsidRPr="00875E5E">
        <w:rPr>
          <w:sz w:val="22"/>
          <w:szCs w:val="28"/>
        </w:rPr>
        <w:t xml:space="preserve"> That is, although the approximately 109 third-party audits for the Program 2 and </w:t>
      </w:r>
      <w:r w:rsidRPr="00875E5E">
        <w:rPr>
          <w:color w:val="000000"/>
          <w:sz w:val="22"/>
          <w:szCs w:val="28"/>
        </w:rPr>
        <w:t xml:space="preserve">Program </w:t>
      </w:r>
      <w:r w:rsidRPr="00875E5E">
        <w:rPr>
          <w:sz w:val="22"/>
          <w:szCs w:val="28"/>
        </w:rPr>
        <w:t>3 facilities that had two or more reportable accidents (and facilities with a Program 3 NAICS 324 or 325 process that had one reportable accident) from 2016 to 2020 may occur up to three years after the five-year period of releases, depending on when the previous audit occurred, the analysis projects over time that 109 facilities would conduct such an audit each year.</w:t>
      </w:r>
      <w:r w:rsidRPr="00875E5E">
        <w:rPr>
          <w:sz w:val="22"/>
          <w:szCs w:val="28"/>
          <w:vertAlign w:val="superscript"/>
        </w:rPr>
        <w:footnoteReference w:id="10"/>
      </w:r>
      <w:r w:rsidRPr="00875E5E">
        <w:rPr>
          <w:sz w:val="22"/>
          <w:szCs w:val="28"/>
          <w:vertAlign w:val="superscript"/>
        </w:rPr>
        <w:t xml:space="preserve"> </w:t>
      </w:r>
      <w:r w:rsidRPr="00875E5E">
        <w:rPr>
          <w:sz w:val="22"/>
          <w:szCs w:val="28"/>
        </w:rPr>
        <w:t xml:space="preserve">The breakout for total costs is shown in Exhibit </w:t>
      </w:r>
      <w:r w:rsidR="00F1448F">
        <w:rPr>
          <w:sz w:val="22"/>
          <w:szCs w:val="28"/>
        </w:rPr>
        <w:t>10</w:t>
      </w:r>
      <w:r w:rsidR="00ED39BD">
        <w:rPr>
          <w:sz w:val="22"/>
          <w:szCs w:val="28"/>
        </w:rPr>
        <w:t>.</w:t>
      </w:r>
      <w:r w:rsidRPr="00875E5E">
        <w:rPr>
          <w:sz w:val="22"/>
          <w:szCs w:val="28"/>
        </w:rPr>
        <w:br/>
      </w:r>
    </w:p>
    <w:p w:rsidRPr="0074445B" w:rsidR="00126EA0" w:rsidP="0074445B" w:rsidRDefault="00126EA0" w14:paraId="1801E6F5" w14:textId="7B6C6A9F">
      <w:pPr>
        <w:jc w:val="center"/>
        <w:rPr>
          <w:b/>
          <w:sz w:val="22"/>
          <w:szCs w:val="28"/>
        </w:rPr>
      </w:pPr>
      <w:r w:rsidRPr="0074445B">
        <w:rPr>
          <w:b/>
          <w:bCs/>
          <w:sz w:val="22"/>
          <w:szCs w:val="28"/>
        </w:rPr>
        <w:t xml:space="preserve">Exhibit </w:t>
      </w:r>
      <w:r w:rsidRPr="0074445B" w:rsidR="00F1448F">
        <w:rPr>
          <w:b/>
          <w:sz w:val="22"/>
          <w:szCs w:val="28"/>
        </w:rPr>
        <w:t>10</w:t>
      </w:r>
      <w:r w:rsidRPr="0074445B">
        <w:rPr>
          <w:b/>
          <w:sz w:val="22"/>
          <w:szCs w:val="28"/>
        </w:rPr>
        <w:t>: Total Annual Undiscounted Costs for Third-party Audits (2020 dollars)</w:t>
      </w:r>
    </w:p>
    <w:tbl>
      <w:tblPr>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0" w:type="dxa"/>
          <w:right w:w="0" w:type="dxa"/>
        </w:tblCellMar>
        <w:tblLook w:val="01E0" w:firstRow="1" w:lastRow="1" w:firstColumn="1" w:lastColumn="1" w:noHBand="0" w:noVBand="0"/>
      </w:tblPr>
      <w:tblGrid>
        <w:gridCol w:w="2905"/>
        <w:gridCol w:w="1489"/>
        <w:gridCol w:w="1532"/>
        <w:gridCol w:w="1297"/>
        <w:gridCol w:w="2119"/>
      </w:tblGrid>
      <w:tr w:rsidRPr="00BF4D0A" w:rsidR="00126EA0" w:rsidTr="0074445B" w14:paraId="16796BDE" w14:textId="77777777">
        <w:trPr>
          <w:trHeight w:val="20"/>
          <w:tblHeader/>
          <w:jc w:val="center"/>
        </w:trPr>
        <w:tc>
          <w:tcPr>
            <w:tcW w:w="1555" w:type="pct"/>
            <w:tcBorders>
              <w:left w:val="single" w:color="000000" w:sz="6" w:space="0"/>
              <w:right w:val="single" w:color="000000" w:sz="6" w:space="0"/>
            </w:tcBorders>
            <w:shd w:val="clear" w:color="auto" w:fill="DADADA"/>
            <w:vAlign w:val="center"/>
          </w:tcPr>
          <w:p w:rsidRPr="00D21E4B" w:rsidR="00126EA0" w:rsidP="00FF2AD1" w:rsidRDefault="00126EA0" w14:paraId="2C84B392" w14:textId="77777777">
            <w:pPr>
              <w:ind w:left="121"/>
              <w:jc w:val="center"/>
              <w:rPr>
                <w:b/>
                <w:szCs w:val="20"/>
              </w:rPr>
            </w:pPr>
            <w:r w:rsidRPr="00D21E4B">
              <w:rPr>
                <w:b/>
                <w:szCs w:val="20"/>
              </w:rPr>
              <w:t>Facility Type</w:t>
            </w:r>
          </w:p>
        </w:tc>
        <w:tc>
          <w:tcPr>
            <w:tcW w:w="797" w:type="pct"/>
            <w:tcBorders>
              <w:left w:val="single" w:color="000000" w:sz="6" w:space="0"/>
              <w:right w:val="single" w:color="000000" w:sz="6" w:space="0"/>
            </w:tcBorders>
            <w:shd w:val="clear" w:color="auto" w:fill="DADADA"/>
            <w:vAlign w:val="center"/>
          </w:tcPr>
          <w:p w:rsidRPr="00D21E4B" w:rsidR="00126EA0" w:rsidP="00FF2AD1" w:rsidRDefault="00126EA0" w14:paraId="79E9C266" w14:textId="77777777">
            <w:pPr>
              <w:ind w:left="96" w:right="57"/>
              <w:jc w:val="center"/>
              <w:rPr>
                <w:b/>
                <w:szCs w:val="20"/>
              </w:rPr>
            </w:pPr>
            <w:r w:rsidRPr="00D21E4B">
              <w:rPr>
                <w:b/>
                <w:szCs w:val="20"/>
              </w:rPr>
              <w:t>Annual Frequency</w:t>
            </w:r>
          </w:p>
        </w:tc>
        <w:tc>
          <w:tcPr>
            <w:tcW w:w="820" w:type="pct"/>
            <w:tcBorders>
              <w:left w:val="single" w:color="000000" w:sz="6" w:space="0"/>
            </w:tcBorders>
            <w:shd w:val="clear" w:color="auto" w:fill="DADADA"/>
            <w:vAlign w:val="center"/>
          </w:tcPr>
          <w:p w:rsidRPr="00D21E4B" w:rsidR="00126EA0" w:rsidP="00FF2AD1" w:rsidRDefault="00126EA0" w14:paraId="17D3C582" w14:textId="77777777">
            <w:pPr>
              <w:ind w:left="92" w:right="32"/>
              <w:jc w:val="center"/>
              <w:rPr>
                <w:b/>
                <w:szCs w:val="20"/>
              </w:rPr>
            </w:pPr>
            <w:r w:rsidRPr="00D21E4B">
              <w:rPr>
                <w:b/>
                <w:szCs w:val="20"/>
              </w:rPr>
              <w:t>Unit Cost</w:t>
            </w:r>
          </w:p>
        </w:tc>
        <w:tc>
          <w:tcPr>
            <w:tcW w:w="694" w:type="pct"/>
            <w:tcBorders>
              <w:right w:val="single" w:color="000000" w:sz="6" w:space="0"/>
            </w:tcBorders>
            <w:shd w:val="clear" w:color="auto" w:fill="DADADA"/>
            <w:vAlign w:val="center"/>
          </w:tcPr>
          <w:p w:rsidRPr="00D21E4B" w:rsidR="00126EA0" w:rsidP="00FF2AD1" w:rsidRDefault="00126EA0" w14:paraId="324CC8D8" w14:textId="77777777">
            <w:pPr>
              <w:ind w:left="61" w:right="67"/>
              <w:jc w:val="center"/>
              <w:rPr>
                <w:b/>
                <w:szCs w:val="20"/>
              </w:rPr>
            </w:pPr>
            <w:r w:rsidRPr="00D21E4B">
              <w:rPr>
                <w:b/>
                <w:szCs w:val="20"/>
              </w:rPr>
              <w:t>Facilities</w:t>
            </w:r>
          </w:p>
        </w:tc>
        <w:tc>
          <w:tcPr>
            <w:tcW w:w="1134" w:type="pct"/>
            <w:tcBorders>
              <w:left w:val="single" w:color="000000" w:sz="6" w:space="0"/>
            </w:tcBorders>
            <w:shd w:val="clear" w:color="auto" w:fill="DADADA"/>
            <w:vAlign w:val="center"/>
          </w:tcPr>
          <w:p w:rsidRPr="00D21E4B" w:rsidR="00126EA0" w:rsidP="00FF2AD1" w:rsidRDefault="00126EA0" w14:paraId="46C1DE49" w14:textId="77777777">
            <w:pPr>
              <w:ind w:left="81" w:right="51"/>
              <w:jc w:val="center"/>
              <w:rPr>
                <w:b/>
                <w:szCs w:val="20"/>
              </w:rPr>
            </w:pPr>
            <w:r w:rsidRPr="00D21E4B">
              <w:rPr>
                <w:b/>
                <w:szCs w:val="20"/>
              </w:rPr>
              <w:t>Total Initial Cost</w:t>
            </w:r>
          </w:p>
        </w:tc>
      </w:tr>
      <w:tr w:rsidRPr="00BF4D0A" w:rsidR="00126EA0" w:rsidTr="0074445B" w14:paraId="5FE8B7F6" w14:textId="77777777">
        <w:trPr>
          <w:trHeight w:val="20"/>
          <w:jc w:val="center"/>
        </w:trPr>
        <w:tc>
          <w:tcPr>
            <w:tcW w:w="1555" w:type="pct"/>
            <w:tcBorders>
              <w:left w:val="single" w:color="000000" w:sz="6" w:space="0"/>
              <w:right w:val="single" w:color="000000" w:sz="6" w:space="0"/>
            </w:tcBorders>
            <w:vAlign w:val="center"/>
          </w:tcPr>
          <w:p w:rsidRPr="00D21E4B" w:rsidR="00126EA0" w:rsidP="00FF2AD1" w:rsidRDefault="00126EA0" w14:paraId="4B2BD2DA" w14:textId="77777777">
            <w:pPr>
              <w:ind w:left="127"/>
              <w:rPr>
                <w:szCs w:val="20"/>
              </w:rPr>
            </w:pPr>
            <w:r w:rsidRPr="00D21E4B">
              <w:rPr>
                <w:szCs w:val="20"/>
              </w:rPr>
              <w:t>Simple w/ 0-19 FTEs</w:t>
            </w:r>
          </w:p>
        </w:tc>
        <w:tc>
          <w:tcPr>
            <w:tcW w:w="797" w:type="pct"/>
            <w:tcBorders>
              <w:left w:val="single" w:color="000000" w:sz="6" w:space="0"/>
              <w:right w:val="single" w:color="000000" w:sz="6" w:space="0"/>
            </w:tcBorders>
            <w:vAlign w:val="center"/>
          </w:tcPr>
          <w:p w:rsidRPr="00D21E4B" w:rsidR="00126EA0" w:rsidP="00FF2AD1" w:rsidRDefault="00126EA0" w14:paraId="6B44DFAB" w14:textId="77777777">
            <w:pPr>
              <w:ind w:left="31"/>
              <w:jc w:val="center"/>
              <w:rPr>
                <w:szCs w:val="20"/>
              </w:rPr>
            </w:pPr>
            <w:r w:rsidRPr="00D21E4B">
              <w:rPr>
                <w:szCs w:val="20"/>
              </w:rPr>
              <w:t>1</w:t>
            </w:r>
          </w:p>
        </w:tc>
        <w:tc>
          <w:tcPr>
            <w:tcW w:w="820" w:type="pct"/>
            <w:tcBorders>
              <w:left w:val="single" w:color="000000" w:sz="6" w:space="0"/>
            </w:tcBorders>
            <w:vAlign w:val="center"/>
          </w:tcPr>
          <w:p w:rsidRPr="00D21E4B" w:rsidR="00126EA0" w:rsidP="00FF2AD1" w:rsidRDefault="00126EA0" w14:paraId="4C45813B" w14:textId="77777777">
            <w:pPr>
              <w:ind w:left="92" w:right="73"/>
              <w:jc w:val="right"/>
              <w:rPr>
                <w:szCs w:val="20"/>
              </w:rPr>
            </w:pPr>
            <w:r w:rsidRPr="00D21E4B">
              <w:rPr>
                <w:color w:val="000000"/>
                <w:szCs w:val="20"/>
              </w:rPr>
              <w:t>$40,255</w:t>
            </w:r>
          </w:p>
        </w:tc>
        <w:tc>
          <w:tcPr>
            <w:tcW w:w="694" w:type="pct"/>
            <w:tcBorders>
              <w:right w:val="single" w:color="000000" w:sz="6" w:space="0"/>
            </w:tcBorders>
            <w:vAlign w:val="center"/>
          </w:tcPr>
          <w:p w:rsidRPr="00D21E4B" w:rsidR="00126EA0" w:rsidP="00FF2AD1" w:rsidRDefault="00126EA0" w14:paraId="217B93AB" w14:textId="77777777">
            <w:pPr>
              <w:ind w:left="77" w:right="73"/>
              <w:jc w:val="right"/>
              <w:rPr>
                <w:szCs w:val="20"/>
              </w:rPr>
            </w:pPr>
            <w:r w:rsidRPr="00D21E4B">
              <w:rPr>
                <w:szCs w:val="20"/>
              </w:rPr>
              <w:t>5</w:t>
            </w:r>
          </w:p>
        </w:tc>
        <w:tc>
          <w:tcPr>
            <w:tcW w:w="1134" w:type="pct"/>
            <w:tcBorders>
              <w:left w:val="single" w:color="000000" w:sz="6" w:space="0"/>
            </w:tcBorders>
            <w:vAlign w:val="center"/>
          </w:tcPr>
          <w:p w:rsidRPr="00D21E4B" w:rsidR="00126EA0" w:rsidP="00FF2AD1" w:rsidRDefault="00126EA0" w14:paraId="1CDCDBCB" w14:textId="77777777">
            <w:pPr>
              <w:ind w:left="83" w:right="73"/>
              <w:jc w:val="right"/>
              <w:rPr>
                <w:szCs w:val="20"/>
              </w:rPr>
            </w:pPr>
            <w:r w:rsidRPr="00D21E4B">
              <w:rPr>
                <w:color w:val="000000"/>
                <w:szCs w:val="20"/>
              </w:rPr>
              <w:t>$201,276</w:t>
            </w:r>
          </w:p>
        </w:tc>
      </w:tr>
      <w:tr w:rsidRPr="00BF4D0A" w:rsidR="00126EA0" w:rsidTr="0074445B" w14:paraId="0A92FFD7" w14:textId="77777777">
        <w:trPr>
          <w:trHeight w:val="20"/>
          <w:jc w:val="center"/>
        </w:trPr>
        <w:tc>
          <w:tcPr>
            <w:tcW w:w="1555" w:type="pct"/>
            <w:tcBorders>
              <w:left w:val="single" w:color="000000" w:sz="6" w:space="0"/>
              <w:bottom w:val="single" w:color="000000" w:sz="6" w:space="0"/>
              <w:right w:val="single" w:color="000000" w:sz="6" w:space="0"/>
            </w:tcBorders>
            <w:vAlign w:val="center"/>
          </w:tcPr>
          <w:p w:rsidRPr="00D21E4B" w:rsidR="00126EA0" w:rsidP="00FF2AD1" w:rsidRDefault="00126EA0" w14:paraId="7DE64190" w14:textId="77777777">
            <w:pPr>
              <w:ind w:left="127"/>
              <w:rPr>
                <w:szCs w:val="20"/>
              </w:rPr>
            </w:pPr>
            <w:r w:rsidRPr="00D21E4B">
              <w:rPr>
                <w:szCs w:val="20"/>
              </w:rPr>
              <w:t>Simple w/ 20-99 FTEs</w:t>
            </w:r>
          </w:p>
        </w:tc>
        <w:tc>
          <w:tcPr>
            <w:tcW w:w="797" w:type="pct"/>
            <w:tcBorders>
              <w:left w:val="single" w:color="000000" w:sz="6" w:space="0"/>
              <w:bottom w:val="single" w:color="000000" w:sz="6" w:space="0"/>
              <w:right w:val="single" w:color="000000" w:sz="6" w:space="0"/>
            </w:tcBorders>
            <w:vAlign w:val="center"/>
          </w:tcPr>
          <w:p w:rsidRPr="00D21E4B" w:rsidR="00126EA0" w:rsidP="00FF2AD1" w:rsidRDefault="00126EA0" w14:paraId="056E326B" w14:textId="77777777">
            <w:pPr>
              <w:ind w:left="31"/>
              <w:jc w:val="center"/>
              <w:rPr>
                <w:szCs w:val="20"/>
              </w:rPr>
            </w:pPr>
            <w:r w:rsidRPr="00D21E4B">
              <w:rPr>
                <w:szCs w:val="20"/>
              </w:rPr>
              <w:t>1</w:t>
            </w:r>
          </w:p>
        </w:tc>
        <w:tc>
          <w:tcPr>
            <w:tcW w:w="820" w:type="pct"/>
            <w:tcBorders>
              <w:left w:val="single" w:color="000000" w:sz="6" w:space="0"/>
              <w:bottom w:val="single" w:color="000000" w:sz="6" w:space="0"/>
            </w:tcBorders>
            <w:vAlign w:val="center"/>
          </w:tcPr>
          <w:p w:rsidRPr="00D21E4B" w:rsidR="00126EA0" w:rsidP="00FF2AD1" w:rsidRDefault="00126EA0" w14:paraId="6F90E525" w14:textId="77777777">
            <w:pPr>
              <w:ind w:left="92" w:right="73"/>
              <w:jc w:val="right"/>
              <w:rPr>
                <w:szCs w:val="20"/>
              </w:rPr>
            </w:pPr>
            <w:r w:rsidRPr="00D21E4B">
              <w:rPr>
                <w:color w:val="000000"/>
                <w:szCs w:val="20"/>
              </w:rPr>
              <w:t>$45,224</w:t>
            </w:r>
          </w:p>
        </w:tc>
        <w:tc>
          <w:tcPr>
            <w:tcW w:w="694" w:type="pct"/>
            <w:tcBorders>
              <w:bottom w:val="single" w:color="000000" w:sz="6" w:space="0"/>
              <w:right w:val="single" w:color="000000" w:sz="6" w:space="0"/>
            </w:tcBorders>
            <w:vAlign w:val="center"/>
          </w:tcPr>
          <w:p w:rsidRPr="00D21E4B" w:rsidR="00126EA0" w:rsidP="00FF2AD1" w:rsidRDefault="00126EA0" w14:paraId="24B3B813" w14:textId="77777777">
            <w:pPr>
              <w:ind w:left="77" w:right="73"/>
              <w:jc w:val="right"/>
              <w:rPr>
                <w:szCs w:val="20"/>
              </w:rPr>
            </w:pPr>
            <w:r w:rsidRPr="00D21E4B">
              <w:rPr>
                <w:szCs w:val="20"/>
              </w:rPr>
              <w:t>4</w:t>
            </w:r>
          </w:p>
        </w:tc>
        <w:tc>
          <w:tcPr>
            <w:tcW w:w="1134" w:type="pct"/>
            <w:tcBorders>
              <w:left w:val="single" w:color="000000" w:sz="6" w:space="0"/>
              <w:bottom w:val="single" w:color="000000" w:sz="6" w:space="0"/>
            </w:tcBorders>
            <w:vAlign w:val="center"/>
          </w:tcPr>
          <w:p w:rsidRPr="00D21E4B" w:rsidR="00126EA0" w:rsidP="00FF2AD1" w:rsidRDefault="00126EA0" w14:paraId="1DA97FA8" w14:textId="77777777">
            <w:pPr>
              <w:ind w:left="83" w:right="73"/>
              <w:jc w:val="right"/>
              <w:rPr>
                <w:szCs w:val="20"/>
              </w:rPr>
            </w:pPr>
            <w:r w:rsidRPr="00D21E4B">
              <w:rPr>
                <w:color w:val="000000"/>
                <w:szCs w:val="20"/>
              </w:rPr>
              <w:t>$180,896</w:t>
            </w:r>
          </w:p>
        </w:tc>
      </w:tr>
      <w:tr w:rsidRPr="00BF4D0A" w:rsidR="00126EA0" w:rsidTr="0074445B" w14:paraId="02993860" w14:textId="77777777">
        <w:trPr>
          <w:trHeight w:val="20"/>
          <w:jc w:val="center"/>
        </w:trPr>
        <w:tc>
          <w:tcPr>
            <w:tcW w:w="1555" w:type="pct"/>
            <w:tcBorders>
              <w:top w:val="single" w:color="000000" w:sz="6" w:space="0"/>
              <w:left w:val="single" w:color="000000" w:sz="6" w:space="0"/>
              <w:bottom w:val="single" w:color="000000" w:sz="6" w:space="0"/>
              <w:right w:val="single" w:color="000000" w:sz="6" w:space="0"/>
            </w:tcBorders>
            <w:vAlign w:val="center"/>
          </w:tcPr>
          <w:p w:rsidRPr="00D21E4B" w:rsidR="00126EA0" w:rsidP="00FF2AD1" w:rsidRDefault="00126EA0" w14:paraId="446D8A3C" w14:textId="77777777">
            <w:pPr>
              <w:ind w:left="127"/>
              <w:rPr>
                <w:szCs w:val="20"/>
              </w:rPr>
            </w:pPr>
            <w:r w:rsidRPr="00D21E4B">
              <w:rPr>
                <w:szCs w:val="20"/>
              </w:rPr>
              <w:t>Simple w/ 100+ FTEs</w:t>
            </w:r>
          </w:p>
        </w:tc>
        <w:tc>
          <w:tcPr>
            <w:tcW w:w="797" w:type="pct"/>
            <w:tcBorders>
              <w:top w:val="single" w:color="000000" w:sz="6" w:space="0"/>
              <w:left w:val="single" w:color="000000" w:sz="6" w:space="0"/>
              <w:bottom w:val="single" w:color="000000" w:sz="6" w:space="0"/>
              <w:right w:val="single" w:color="000000" w:sz="6" w:space="0"/>
            </w:tcBorders>
            <w:vAlign w:val="center"/>
          </w:tcPr>
          <w:p w:rsidRPr="00D21E4B" w:rsidR="00126EA0" w:rsidP="00FF2AD1" w:rsidRDefault="00126EA0" w14:paraId="395D034D" w14:textId="77777777">
            <w:pPr>
              <w:ind w:left="31"/>
              <w:jc w:val="center"/>
              <w:rPr>
                <w:szCs w:val="20"/>
              </w:rPr>
            </w:pPr>
            <w:r w:rsidRPr="00D21E4B">
              <w:rPr>
                <w:szCs w:val="20"/>
              </w:rPr>
              <w:t>1</w:t>
            </w:r>
          </w:p>
        </w:tc>
        <w:tc>
          <w:tcPr>
            <w:tcW w:w="820" w:type="pct"/>
            <w:tcBorders>
              <w:top w:val="single" w:color="000000" w:sz="6" w:space="0"/>
              <w:left w:val="single" w:color="000000" w:sz="6" w:space="0"/>
              <w:bottom w:val="single" w:color="000000" w:sz="6" w:space="0"/>
            </w:tcBorders>
            <w:vAlign w:val="center"/>
          </w:tcPr>
          <w:p w:rsidRPr="00D21E4B" w:rsidR="00126EA0" w:rsidP="00FF2AD1" w:rsidRDefault="00126EA0" w14:paraId="40548334" w14:textId="77777777">
            <w:pPr>
              <w:ind w:left="92" w:right="73"/>
              <w:jc w:val="right"/>
              <w:rPr>
                <w:szCs w:val="20"/>
              </w:rPr>
            </w:pPr>
            <w:r w:rsidRPr="00D21E4B">
              <w:rPr>
                <w:color w:val="000000"/>
                <w:szCs w:val="20"/>
              </w:rPr>
              <w:t>$47,606</w:t>
            </w:r>
          </w:p>
        </w:tc>
        <w:tc>
          <w:tcPr>
            <w:tcW w:w="694" w:type="pct"/>
            <w:tcBorders>
              <w:top w:val="single" w:color="000000" w:sz="6" w:space="0"/>
              <w:bottom w:val="single" w:color="000000" w:sz="6" w:space="0"/>
              <w:right w:val="single" w:color="000000" w:sz="6" w:space="0"/>
            </w:tcBorders>
            <w:vAlign w:val="center"/>
          </w:tcPr>
          <w:p w:rsidRPr="00D21E4B" w:rsidR="00126EA0" w:rsidP="00FF2AD1" w:rsidRDefault="00126EA0" w14:paraId="053A40C1" w14:textId="77777777">
            <w:pPr>
              <w:ind w:left="77" w:right="73"/>
              <w:jc w:val="right"/>
              <w:rPr>
                <w:szCs w:val="20"/>
              </w:rPr>
            </w:pPr>
            <w:r w:rsidRPr="00D21E4B">
              <w:rPr>
                <w:szCs w:val="20"/>
              </w:rPr>
              <w:t>11</w:t>
            </w:r>
          </w:p>
        </w:tc>
        <w:tc>
          <w:tcPr>
            <w:tcW w:w="1134" w:type="pct"/>
            <w:tcBorders>
              <w:top w:val="single" w:color="000000" w:sz="6" w:space="0"/>
              <w:left w:val="single" w:color="000000" w:sz="6" w:space="0"/>
              <w:bottom w:val="single" w:color="000000" w:sz="6" w:space="0"/>
            </w:tcBorders>
            <w:vAlign w:val="center"/>
          </w:tcPr>
          <w:p w:rsidRPr="00D21E4B" w:rsidR="00126EA0" w:rsidP="00FF2AD1" w:rsidRDefault="00126EA0" w14:paraId="26D2DDF1" w14:textId="77777777">
            <w:pPr>
              <w:ind w:left="83" w:right="73"/>
              <w:jc w:val="right"/>
              <w:rPr>
                <w:szCs w:val="20"/>
              </w:rPr>
            </w:pPr>
            <w:r w:rsidRPr="00D21E4B">
              <w:rPr>
                <w:color w:val="000000"/>
                <w:szCs w:val="20"/>
              </w:rPr>
              <w:t>$523,668</w:t>
            </w:r>
          </w:p>
        </w:tc>
      </w:tr>
      <w:tr w:rsidRPr="00BF4D0A" w:rsidR="00126EA0" w:rsidTr="0074445B" w14:paraId="17EA4F9B" w14:textId="77777777">
        <w:trPr>
          <w:trHeight w:val="20"/>
          <w:jc w:val="center"/>
        </w:trPr>
        <w:tc>
          <w:tcPr>
            <w:tcW w:w="1555" w:type="pct"/>
            <w:tcBorders>
              <w:top w:val="single" w:color="000000" w:sz="6" w:space="0"/>
              <w:left w:val="single" w:color="000000" w:sz="6" w:space="0"/>
              <w:bottom w:val="single" w:color="000000" w:sz="6" w:space="0"/>
              <w:right w:val="single" w:color="000000" w:sz="6" w:space="0"/>
            </w:tcBorders>
            <w:vAlign w:val="center"/>
          </w:tcPr>
          <w:p w:rsidRPr="00D21E4B" w:rsidR="00126EA0" w:rsidP="00FF2AD1" w:rsidRDefault="00126EA0" w14:paraId="4B147BD6" w14:textId="77777777">
            <w:pPr>
              <w:ind w:left="127"/>
              <w:rPr>
                <w:szCs w:val="20"/>
              </w:rPr>
            </w:pPr>
            <w:r w:rsidRPr="00D21E4B">
              <w:rPr>
                <w:szCs w:val="20"/>
              </w:rPr>
              <w:t>Complex w/ 0-19 FTEs</w:t>
            </w:r>
          </w:p>
        </w:tc>
        <w:tc>
          <w:tcPr>
            <w:tcW w:w="797" w:type="pct"/>
            <w:tcBorders>
              <w:top w:val="single" w:color="000000" w:sz="6" w:space="0"/>
              <w:left w:val="single" w:color="000000" w:sz="6" w:space="0"/>
              <w:bottom w:val="single" w:color="000000" w:sz="6" w:space="0"/>
              <w:right w:val="single" w:color="000000" w:sz="6" w:space="0"/>
            </w:tcBorders>
            <w:vAlign w:val="center"/>
          </w:tcPr>
          <w:p w:rsidRPr="00D21E4B" w:rsidR="00126EA0" w:rsidP="00FF2AD1" w:rsidRDefault="00126EA0" w14:paraId="6BDFAD17" w14:textId="77777777">
            <w:pPr>
              <w:ind w:left="31"/>
              <w:jc w:val="center"/>
              <w:rPr>
                <w:szCs w:val="20"/>
              </w:rPr>
            </w:pPr>
            <w:r w:rsidRPr="00D21E4B">
              <w:rPr>
                <w:szCs w:val="20"/>
              </w:rPr>
              <w:t>1</w:t>
            </w:r>
          </w:p>
        </w:tc>
        <w:tc>
          <w:tcPr>
            <w:tcW w:w="820" w:type="pct"/>
            <w:tcBorders>
              <w:top w:val="single" w:color="000000" w:sz="6" w:space="0"/>
              <w:left w:val="single" w:color="000000" w:sz="6" w:space="0"/>
              <w:bottom w:val="single" w:color="000000" w:sz="6" w:space="0"/>
            </w:tcBorders>
            <w:vAlign w:val="center"/>
          </w:tcPr>
          <w:p w:rsidRPr="00D21E4B" w:rsidR="00126EA0" w:rsidP="00FF2AD1" w:rsidRDefault="00126EA0" w14:paraId="7F002EDB" w14:textId="77777777">
            <w:pPr>
              <w:ind w:left="92" w:right="73"/>
              <w:jc w:val="right"/>
              <w:rPr>
                <w:szCs w:val="20"/>
              </w:rPr>
            </w:pPr>
            <w:r w:rsidRPr="00D21E4B">
              <w:rPr>
                <w:color w:val="000000"/>
                <w:szCs w:val="20"/>
              </w:rPr>
              <w:t>$96,882</w:t>
            </w:r>
          </w:p>
        </w:tc>
        <w:tc>
          <w:tcPr>
            <w:tcW w:w="694" w:type="pct"/>
            <w:tcBorders>
              <w:top w:val="single" w:color="000000" w:sz="6" w:space="0"/>
              <w:bottom w:val="single" w:color="000000" w:sz="6" w:space="0"/>
              <w:right w:val="single" w:color="000000" w:sz="6" w:space="0"/>
            </w:tcBorders>
            <w:vAlign w:val="center"/>
          </w:tcPr>
          <w:p w:rsidRPr="00D21E4B" w:rsidR="00126EA0" w:rsidP="00FF2AD1" w:rsidRDefault="00126EA0" w14:paraId="45129027" w14:textId="77777777">
            <w:pPr>
              <w:ind w:right="73"/>
              <w:jc w:val="right"/>
              <w:rPr>
                <w:szCs w:val="20"/>
              </w:rPr>
            </w:pPr>
            <w:r w:rsidRPr="00D21E4B">
              <w:rPr>
                <w:szCs w:val="20"/>
              </w:rPr>
              <w:t>3</w:t>
            </w:r>
          </w:p>
        </w:tc>
        <w:tc>
          <w:tcPr>
            <w:tcW w:w="1134" w:type="pct"/>
            <w:tcBorders>
              <w:top w:val="single" w:color="000000" w:sz="6" w:space="0"/>
              <w:left w:val="single" w:color="000000" w:sz="6" w:space="0"/>
              <w:bottom w:val="single" w:color="000000" w:sz="6" w:space="0"/>
            </w:tcBorders>
            <w:vAlign w:val="center"/>
          </w:tcPr>
          <w:p w:rsidRPr="00D21E4B" w:rsidR="00126EA0" w:rsidP="00FF2AD1" w:rsidRDefault="00126EA0" w14:paraId="74310719" w14:textId="77777777">
            <w:pPr>
              <w:ind w:left="83" w:right="73"/>
              <w:jc w:val="right"/>
              <w:rPr>
                <w:szCs w:val="20"/>
              </w:rPr>
            </w:pPr>
            <w:r w:rsidRPr="00D21E4B">
              <w:rPr>
                <w:color w:val="000000"/>
                <w:szCs w:val="20"/>
              </w:rPr>
              <w:t>$290,646</w:t>
            </w:r>
          </w:p>
        </w:tc>
      </w:tr>
      <w:tr w:rsidRPr="00BF4D0A" w:rsidR="00126EA0" w:rsidTr="0074445B" w14:paraId="558A6A27" w14:textId="77777777">
        <w:trPr>
          <w:trHeight w:val="20"/>
          <w:jc w:val="center"/>
        </w:trPr>
        <w:tc>
          <w:tcPr>
            <w:tcW w:w="1555" w:type="pct"/>
            <w:tcBorders>
              <w:top w:val="single" w:color="000000" w:sz="6" w:space="0"/>
              <w:left w:val="single" w:color="000000" w:sz="6" w:space="0"/>
              <w:bottom w:val="single" w:color="000000" w:sz="6" w:space="0"/>
              <w:right w:val="single" w:color="000000" w:sz="6" w:space="0"/>
            </w:tcBorders>
            <w:vAlign w:val="center"/>
          </w:tcPr>
          <w:p w:rsidRPr="00D21E4B" w:rsidR="00126EA0" w:rsidP="00FF2AD1" w:rsidRDefault="00126EA0" w14:paraId="12FCBB2A" w14:textId="77777777">
            <w:pPr>
              <w:ind w:left="127"/>
              <w:rPr>
                <w:szCs w:val="20"/>
              </w:rPr>
            </w:pPr>
            <w:r w:rsidRPr="00D21E4B">
              <w:rPr>
                <w:szCs w:val="20"/>
              </w:rPr>
              <w:t>Complex w/ 20-99 FTEs</w:t>
            </w:r>
          </w:p>
        </w:tc>
        <w:tc>
          <w:tcPr>
            <w:tcW w:w="797" w:type="pct"/>
            <w:tcBorders>
              <w:top w:val="single" w:color="000000" w:sz="6" w:space="0"/>
              <w:left w:val="single" w:color="000000" w:sz="6" w:space="0"/>
              <w:bottom w:val="single" w:color="000000" w:sz="6" w:space="0"/>
              <w:right w:val="single" w:color="000000" w:sz="6" w:space="0"/>
            </w:tcBorders>
            <w:vAlign w:val="center"/>
          </w:tcPr>
          <w:p w:rsidRPr="00D21E4B" w:rsidR="00126EA0" w:rsidP="00FF2AD1" w:rsidRDefault="00126EA0" w14:paraId="04A4E32C" w14:textId="77777777">
            <w:pPr>
              <w:ind w:left="31"/>
              <w:jc w:val="center"/>
              <w:rPr>
                <w:szCs w:val="20"/>
              </w:rPr>
            </w:pPr>
            <w:r w:rsidRPr="00D21E4B">
              <w:rPr>
                <w:szCs w:val="20"/>
              </w:rPr>
              <w:t>1</w:t>
            </w:r>
          </w:p>
        </w:tc>
        <w:tc>
          <w:tcPr>
            <w:tcW w:w="820" w:type="pct"/>
            <w:tcBorders>
              <w:top w:val="single" w:color="000000" w:sz="6" w:space="0"/>
              <w:left w:val="single" w:color="000000" w:sz="6" w:space="0"/>
              <w:bottom w:val="single" w:color="000000" w:sz="6" w:space="0"/>
            </w:tcBorders>
            <w:vAlign w:val="center"/>
          </w:tcPr>
          <w:p w:rsidRPr="00D21E4B" w:rsidR="00126EA0" w:rsidP="00FF2AD1" w:rsidRDefault="00126EA0" w14:paraId="44ABC934" w14:textId="77777777">
            <w:pPr>
              <w:ind w:left="92" w:right="73"/>
              <w:jc w:val="right"/>
              <w:rPr>
                <w:szCs w:val="20"/>
              </w:rPr>
            </w:pPr>
            <w:r w:rsidRPr="00D21E4B">
              <w:rPr>
                <w:color w:val="000000"/>
                <w:szCs w:val="20"/>
              </w:rPr>
              <w:t>$103,753</w:t>
            </w:r>
          </w:p>
        </w:tc>
        <w:tc>
          <w:tcPr>
            <w:tcW w:w="694" w:type="pct"/>
            <w:tcBorders>
              <w:top w:val="single" w:color="000000" w:sz="6" w:space="0"/>
              <w:bottom w:val="single" w:color="000000" w:sz="6" w:space="0"/>
              <w:right w:val="single" w:color="000000" w:sz="6" w:space="0"/>
            </w:tcBorders>
            <w:vAlign w:val="center"/>
          </w:tcPr>
          <w:p w:rsidRPr="00D21E4B" w:rsidR="00126EA0" w:rsidP="00FF2AD1" w:rsidRDefault="00126EA0" w14:paraId="0D52AEE7" w14:textId="77777777">
            <w:pPr>
              <w:ind w:left="77" w:right="73"/>
              <w:jc w:val="right"/>
              <w:rPr>
                <w:szCs w:val="20"/>
              </w:rPr>
            </w:pPr>
            <w:r w:rsidRPr="00D21E4B">
              <w:rPr>
                <w:szCs w:val="20"/>
              </w:rPr>
              <w:t>13</w:t>
            </w:r>
          </w:p>
        </w:tc>
        <w:tc>
          <w:tcPr>
            <w:tcW w:w="1134" w:type="pct"/>
            <w:tcBorders>
              <w:top w:val="single" w:color="000000" w:sz="6" w:space="0"/>
              <w:left w:val="single" w:color="000000" w:sz="6" w:space="0"/>
              <w:bottom w:val="single" w:color="000000" w:sz="6" w:space="0"/>
            </w:tcBorders>
            <w:vAlign w:val="center"/>
          </w:tcPr>
          <w:p w:rsidRPr="00D21E4B" w:rsidR="00126EA0" w:rsidP="00FF2AD1" w:rsidRDefault="00126EA0" w14:paraId="380C93AF" w14:textId="77777777">
            <w:pPr>
              <w:ind w:left="83" w:right="73"/>
              <w:jc w:val="right"/>
              <w:rPr>
                <w:szCs w:val="20"/>
              </w:rPr>
            </w:pPr>
            <w:r w:rsidRPr="00D21E4B">
              <w:rPr>
                <w:color w:val="000000"/>
                <w:szCs w:val="20"/>
              </w:rPr>
              <w:t>$1,348,783</w:t>
            </w:r>
          </w:p>
        </w:tc>
      </w:tr>
      <w:tr w:rsidRPr="00BF4D0A" w:rsidR="00126EA0" w:rsidTr="0074445B" w14:paraId="464A3B15" w14:textId="77777777">
        <w:trPr>
          <w:trHeight w:val="20"/>
          <w:jc w:val="center"/>
        </w:trPr>
        <w:tc>
          <w:tcPr>
            <w:tcW w:w="1555" w:type="pct"/>
            <w:tcBorders>
              <w:top w:val="single" w:color="000000" w:sz="6" w:space="0"/>
              <w:left w:val="single" w:color="000000" w:sz="6" w:space="0"/>
              <w:bottom w:val="single" w:color="000000" w:sz="6" w:space="0"/>
              <w:right w:val="single" w:color="000000" w:sz="6" w:space="0"/>
            </w:tcBorders>
            <w:vAlign w:val="center"/>
          </w:tcPr>
          <w:p w:rsidRPr="00D21E4B" w:rsidR="00126EA0" w:rsidP="00FF2AD1" w:rsidRDefault="00126EA0" w14:paraId="3A17423E" w14:textId="77777777">
            <w:pPr>
              <w:ind w:left="127"/>
              <w:rPr>
                <w:szCs w:val="20"/>
              </w:rPr>
            </w:pPr>
            <w:r w:rsidRPr="00D21E4B">
              <w:rPr>
                <w:szCs w:val="20"/>
              </w:rPr>
              <w:t>Complex w/ 100+ FTEs</w:t>
            </w:r>
          </w:p>
        </w:tc>
        <w:tc>
          <w:tcPr>
            <w:tcW w:w="797" w:type="pct"/>
            <w:tcBorders>
              <w:top w:val="single" w:color="000000" w:sz="6" w:space="0"/>
              <w:left w:val="single" w:color="000000" w:sz="6" w:space="0"/>
              <w:bottom w:val="single" w:color="000000" w:sz="6" w:space="0"/>
              <w:right w:val="single" w:color="000000" w:sz="6" w:space="0"/>
            </w:tcBorders>
            <w:vAlign w:val="center"/>
          </w:tcPr>
          <w:p w:rsidRPr="00D21E4B" w:rsidR="00126EA0" w:rsidP="00FF2AD1" w:rsidRDefault="00126EA0" w14:paraId="295529D4" w14:textId="77777777">
            <w:pPr>
              <w:ind w:left="31"/>
              <w:jc w:val="center"/>
              <w:rPr>
                <w:szCs w:val="20"/>
              </w:rPr>
            </w:pPr>
            <w:r w:rsidRPr="00D21E4B">
              <w:rPr>
                <w:szCs w:val="20"/>
              </w:rPr>
              <w:t>1</w:t>
            </w:r>
          </w:p>
        </w:tc>
        <w:tc>
          <w:tcPr>
            <w:tcW w:w="820" w:type="pct"/>
            <w:tcBorders>
              <w:top w:val="single" w:color="000000" w:sz="6" w:space="0"/>
              <w:left w:val="single" w:color="000000" w:sz="6" w:space="0"/>
              <w:bottom w:val="single" w:color="000000" w:sz="6" w:space="0"/>
            </w:tcBorders>
            <w:vAlign w:val="center"/>
          </w:tcPr>
          <w:p w:rsidRPr="00D21E4B" w:rsidR="00126EA0" w:rsidP="00FF2AD1" w:rsidRDefault="00126EA0" w14:paraId="433273AC" w14:textId="77777777">
            <w:pPr>
              <w:ind w:left="92" w:right="73"/>
              <w:jc w:val="right"/>
              <w:rPr>
                <w:szCs w:val="20"/>
              </w:rPr>
            </w:pPr>
            <w:r w:rsidRPr="00D21E4B">
              <w:rPr>
                <w:color w:val="000000"/>
                <w:szCs w:val="20"/>
              </w:rPr>
              <w:t>$107,587</w:t>
            </w:r>
          </w:p>
        </w:tc>
        <w:tc>
          <w:tcPr>
            <w:tcW w:w="694" w:type="pct"/>
            <w:tcBorders>
              <w:top w:val="single" w:color="000000" w:sz="6" w:space="0"/>
              <w:bottom w:val="single" w:color="000000" w:sz="6" w:space="0"/>
              <w:right w:val="single" w:color="000000" w:sz="6" w:space="0"/>
            </w:tcBorders>
            <w:vAlign w:val="center"/>
          </w:tcPr>
          <w:p w:rsidRPr="00D21E4B" w:rsidR="00126EA0" w:rsidP="00FF2AD1" w:rsidRDefault="00126EA0" w14:paraId="018C562B" w14:textId="77777777">
            <w:pPr>
              <w:ind w:left="77" w:right="73"/>
              <w:jc w:val="right"/>
              <w:rPr>
                <w:szCs w:val="20"/>
              </w:rPr>
            </w:pPr>
            <w:r w:rsidRPr="00D21E4B">
              <w:rPr>
                <w:szCs w:val="20"/>
              </w:rPr>
              <w:t>70</w:t>
            </w:r>
          </w:p>
        </w:tc>
        <w:tc>
          <w:tcPr>
            <w:tcW w:w="1134" w:type="pct"/>
            <w:tcBorders>
              <w:top w:val="single" w:color="000000" w:sz="6" w:space="0"/>
              <w:left w:val="single" w:color="000000" w:sz="6" w:space="0"/>
              <w:bottom w:val="single" w:color="000000" w:sz="6" w:space="0"/>
            </w:tcBorders>
            <w:vAlign w:val="center"/>
          </w:tcPr>
          <w:p w:rsidRPr="00D21E4B" w:rsidR="00126EA0" w:rsidP="00FF2AD1" w:rsidRDefault="00126EA0" w14:paraId="7FD26A70" w14:textId="77777777">
            <w:pPr>
              <w:ind w:left="68" w:right="73"/>
              <w:jc w:val="right"/>
              <w:rPr>
                <w:szCs w:val="20"/>
              </w:rPr>
            </w:pPr>
            <w:r w:rsidRPr="00D21E4B">
              <w:rPr>
                <w:color w:val="000000"/>
                <w:szCs w:val="20"/>
              </w:rPr>
              <w:t>$7,531,114</w:t>
            </w:r>
          </w:p>
        </w:tc>
      </w:tr>
      <w:tr w:rsidRPr="00BF4D0A" w:rsidR="00126EA0" w:rsidTr="0074445B" w14:paraId="19CB7784" w14:textId="77777777">
        <w:trPr>
          <w:trHeight w:val="20"/>
          <w:jc w:val="center"/>
        </w:trPr>
        <w:tc>
          <w:tcPr>
            <w:tcW w:w="1555" w:type="pct"/>
            <w:tcBorders>
              <w:top w:val="single" w:color="000000" w:sz="6" w:space="0"/>
              <w:left w:val="single" w:color="000000" w:sz="6" w:space="0"/>
              <w:right w:val="single" w:color="000000" w:sz="6" w:space="0"/>
            </w:tcBorders>
            <w:vAlign w:val="center"/>
          </w:tcPr>
          <w:p w:rsidRPr="00D21E4B" w:rsidR="00126EA0" w:rsidP="00FF2AD1" w:rsidRDefault="00126EA0" w14:paraId="28C96554" w14:textId="77777777">
            <w:pPr>
              <w:ind w:left="127"/>
              <w:rPr>
                <w:szCs w:val="20"/>
              </w:rPr>
            </w:pPr>
            <w:r w:rsidRPr="00D21E4B">
              <w:rPr>
                <w:szCs w:val="20"/>
              </w:rPr>
              <w:t>Small Government</w:t>
            </w:r>
          </w:p>
        </w:tc>
        <w:tc>
          <w:tcPr>
            <w:tcW w:w="797" w:type="pct"/>
            <w:tcBorders>
              <w:top w:val="single" w:color="000000" w:sz="6" w:space="0"/>
              <w:left w:val="single" w:color="000000" w:sz="6" w:space="0"/>
              <w:right w:val="single" w:color="000000" w:sz="6" w:space="0"/>
            </w:tcBorders>
            <w:vAlign w:val="center"/>
          </w:tcPr>
          <w:p w:rsidRPr="00D21E4B" w:rsidR="00126EA0" w:rsidP="00FF2AD1" w:rsidRDefault="00126EA0" w14:paraId="5141130B" w14:textId="77777777">
            <w:pPr>
              <w:ind w:left="31"/>
              <w:jc w:val="center"/>
              <w:rPr>
                <w:szCs w:val="20"/>
              </w:rPr>
            </w:pPr>
            <w:r w:rsidRPr="00D21E4B">
              <w:rPr>
                <w:szCs w:val="20"/>
              </w:rPr>
              <w:t>1</w:t>
            </w:r>
          </w:p>
        </w:tc>
        <w:tc>
          <w:tcPr>
            <w:tcW w:w="820" w:type="pct"/>
            <w:tcBorders>
              <w:top w:val="single" w:color="000000" w:sz="6" w:space="0"/>
              <w:left w:val="single" w:color="000000" w:sz="6" w:space="0"/>
            </w:tcBorders>
            <w:vAlign w:val="center"/>
          </w:tcPr>
          <w:p w:rsidRPr="00D21E4B" w:rsidR="00126EA0" w:rsidP="00FF2AD1" w:rsidRDefault="00126EA0" w14:paraId="48846A6E" w14:textId="77777777">
            <w:pPr>
              <w:ind w:left="92" w:right="73"/>
              <w:jc w:val="right"/>
              <w:rPr>
                <w:szCs w:val="20"/>
              </w:rPr>
            </w:pPr>
            <w:r w:rsidRPr="00D21E4B">
              <w:rPr>
                <w:color w:val="000000"/>
                <w:szCs w:val="20"/>
              </w:rPr>
              <w:t>$42,252</w:t>
            </w:r>
          </w:p>
        </w:tc>
        <w:tc>
          <w:tcPr>
            <w:tcW w:w="694" w:type="pct"/>
            <w:tcBorders>
              <w:top w:val="single" w:color="000000" w:sz="6" w:space="0"/>
              <w:right w:val="single" w:color="000000" w:sz="6" w:space="0"/>
            </w:tcBorders>
            <w:vAlign w:val="center"/>
          </w:tcPr>
          <w:p w:rsidRPr="00D21E4B" w:rsidR="00126EA0" w:rsidP="00FF2AD1" w:rsidRDefault="00126EA0" w14:paraId="1AF3EB35" w14:textId="77777777">
            <w:pPr>
              <w:ind w:right="73"/>
              <w:jc w:val="right"/>
              <w:rPr>
                <w:szCs w:val="20"/>
              </w:rPr>
            </w:pPr>
            <w:r w:rsidRPr="00D21E4B">
              <w:rPr>
                <w:szCs w:val="20"/>
              </w:rPr>
              <w:t>2</w:t>
            </w:r>
          </w:p>
        </w:tc>
        <w:tc>
          <w:tcPr>
            <w:tcW w:w="1134" w:type="pct"/>
            <w:tcBorders>
              <w:top w:val="single" w:color="000000" w:sz="6" w:space="0"/>
              <w:left w:val="single" w:color="000000" w:sz="6" w:space="0"/>
            </w:tcBorders>
            <w:vAlign w:val="center"/>
          </w:tcPr>
          <w:p w:rsidRPr="00D21E4B" w:rsidR="00126EA0" w:rsidP="00FF2AD1" w:rsidRDefault="00126EA0" w14:paraId="1A9323A7" w14:textId="77777777">
            <w:pPr>
              <w:ind w:left="68" w:right="73"/>
              <w:jc w:val="right"/>
              <w:rPr>
                <w:szCs w:val="20"/>
              </w:rPr>
            </w:pPr>
            <w:r w:rsidRPr="00D21E4B">
              <w:rPr>
                <w:color w:val="000000"/>
                <w:szCs w:val="20"/>
              </w:rPr>
              <w:t>$84,503</w:t>
            </w:r>
          </w:p>
        </w:tc>
      </w:tr>
      <w:tr w:rsidRPr="00BF4D0A" w:rsidR="00126EA0" w:rsidTr="0074445B" w14:paraId="1EBBF211" w14:textId="77777777">
        <w:trPr>
          <w:trHeight w:val="20"/>
          <w:jc w:val="center"/>
        </w:trPr>
        <w:tc>
          <w:tcPr>
            <w:tcW w:w="1555" w:type="pct"/>
            <w:tcBorders>
              <w:left w:val="single" w:color="000000" w:sz="6" w:space="0"/>
              <w:right w:val="single" w:color="000000" w:sz="6" w:space="0"/>
            </w:tcBorders>
            <w:vAlign w:val="center"/>
          </w:tcPr>
          <w:p w:rsidRPr="00D21E4B" w:rsidR="00126EA0" w:rsidP="00FF2AD1" w:rsidRDefault="00126EA0" w14:paraId="2DB4BF1F" w14:textId="77777777">
            <w:pPr>
              <w:ind w:left="127"/>
              <w:rPr>
                <w:szCs w:val="20"/>
              </w:rPr>
            </w:pPr>
            <w:r w:rsidRPr="00D21E4B">
              <w:rPr>
                <w:szCs w:val="20"/>
              </w:rPr>
              <w:t>Large Government</w:t>
            </w:r>
          </w:p>
        </w:tc>
        <w:tc>
          <w:tcPr>
            <w:tcW w:w="797" w:type="pct"/>
            <w:tcBorders>
              <w:left w:val="single" w:color="000000" w:sz="6" w:space="0"/>
              <w:right w:val="single" w:color="000000" w:sz="6" w:space="0"/>
            </w:tcBorders>
            <w:vAlign w:val="center"/>
          </w:tcPr>
          <w:p w:rsidRPr="00D21E4B" w:rsidR="00126EA0" w:rsidP="00FF2AD1" w:rsidRDefault="00126EA0" w14:paraId="0A14DCA2" w14:textId="77777777">
            <w:pPr>
              <w:ind w:left="31"/>
              <w:jc w:val="center"/>
              <w:rPr>
                <w:szCs w:val="20"/>
              </w:rPr>
            </w:pPr>
            <w:r w:rsidRPr="00D21E4B">
              <w:rPr>
                <w:szCs w:val="20"/>
              </w:rPr>
              <w:t>1</w:t>
            </w:r>
          </w:p>
        </w:tc>
        <w:tc>
          <w:tcPr>
            <w:tcW w:w="820" w:type="pct"/>
            <w:tcBorders>
              <w:left w:val="single" w:color="000000" w:sz="6" w:space="0"/>
            </w:tcBorders>
            <w:vAlign w:val="center"/>
          </w:tcPr>
          <w:p w:rsidRPr="00D21E4B" w:rsidR="00126EA0" w:rsidP="00FF2AD1" w:rsidRDefault="00126EA0" w14:paraId="5D60FA8E" w14:textId="77777777">
            <w:pPr>
              <w:ind w:left="92" w:right="73"/>
              <w:jc w:val="right"/>
              <w:rPr>
                <w:szCs w:val="20"/>
              </w:rPr>
            </w:pPr>
            <w:r w:rsidRPr="00D21E4B">
              <w:rPr>
                <w:color w:val="000000"/>
                <w:szCs w:val="20"/>
              </w:rPr>
              <w:t>$111,048</w:t>
            </w:r>
          </w:p>
        </w:tc>
        <w:tc>
          <w:tcPr>
            <w:tcW w:w="694" w:type="pct"/>
            <w:tcBorders>
              <w:right w:val="single" w:color="000000" w:sz="6" w:space="0"/>
            </w:tcBorders>
            <w:vAlign w:val="center"/>
          </w:tcPr>
          <w:p w:rsidRPr="00D21E4B" w:rsidR="00126EA0" w:rsidP="00FF2AD1" w:rsidRDefault="00126EA0" w14:paraId="6C791344" w14:textId="77777777">
            <w:pPr>
              <w:ind w:right="73"/>
              <w:jc w:val="right"/>
              <w:rPr>
                <w:szCs w:val="20"/>
              </w:rPr>
            </w:pPr>
            <w:r w:rsidRPr="00D21E4B">
              <w:rPr>
                <w:szCs w:val="20"/>
              </w:rPr>
              <w:t>1</w:t>
            </w:r>
          </w:p>
        </w:tc>
        <w:tc>
          <w:tcPr>
            <w:tcW w:w="1134" w:type="pct"/>
            <w:tcBorders>
              <w:left w:val="single" w:color="000000" w:sz="6" w:space="0"/>
            </w:tcBorders>
            <w:vAlign w:val="center"/>
          </w:tcPr>
          <w:p w:rsidRPr="00D21E4B" w:rsidR="00126EA0" w:rsidP="00FF2AD1" w:rsidRDefault="00126EA0" w14:paraId="7BE5174D" w14:textId="77777777">
            <w:pPr>
              <w:ind w:left="83" w:right="73"/>
              <w:jc w:val="right"/>
              <w:rPr>
                <w:szCs w:val="20"/>
              </w:rPr>
            </w:pPr>
            <w:r w:rsidRPr="00D21E4B">
              <w:rPr>
                <w:color w:val="000000"/>
                <w:szCs w:val="20"/>
              </w:rPr>
              <w:t>$111,048</w:t>
            </w:r>
          </w:p>
        </w:tc>
      </w:tr>
      <w:tr w:rsidRPr="00BF4D0A" w:rsidR="00126EA0" w:rsidTr="0074445B" w14:paraId="3D19571D" w14:textId="77777777">
        <w:trPr>
          <w:trHeight w:val="20"/>
          <w:jc w:val="center"/>
        </w:trPr>
        <w:tc>
          <w:tcPr>
            <w:tcW w:w="1555" w:type="pct"/>
            <w:tcBorders>
              <w:left w:val="single" w:color="000000" w:sz="6" w:space="0"/>
              <w:right w:val="single" w:color="000000" w:sz="6" w:space="0"/>
            </w:tcBorders>
            <w:vAlign w:val="center"/>
          </w:tcPr>
          <w:p w:rsidRPr="00D21E4B" w:rsidR="00126EA0" w:rsidP="00FF2AD1" w:rsidRDefault="00126EA0" w14:paraId="2B422ADA" w14:textId="77777777">
            <w:pPr>
              <w:ind w:left="127"/>
              <w:rPr>
                <w:b/>
                <w:szCs w:val="20"/>
              </w:rPr>
            </w:pPr>
            <w:r w:rsidRPr="00D21E4B">
              <w:rPr>
                <w:b/>
                <w:szCs w:val="20"/>
              </w:rPr>
              <w:t>Total</w:t>
            </w:r>
          </w:p>
        </w:tc>
        <w:tc>
          <w:tcPr>
            <w:tcW w:w="797" w:type="pct"/>
            <w:tcBorders>
              <w:left w:val="single" w:color="000000" w:sz="6" w:space="0"/>
              <w:right w:val="single" w:color="000000" w:sz="6" w:space="0"/>
            </w:tcBorders>
            <w:vAlign w:val="center"/>
          </w:tcPr>
          <w:p w:rsidRPr="00D21E4B" w:rsidR="00126EA0" w:rsidP="00FF2AD1" w:rsidRDefault="00126EA0" w14:paraId="2472BB46" w14:textId="77777777">
            <w:pPr>
              <w:ind w:left="31"/>
              <w:jc w:val="center"/>
              <w:rPr>
                <w:b/>
                <w:szCs w:val="20"/>
              </w:rPr>
            </w:pPr>
          </w:p>
        </w:tc>
        <w:tc>
          <w:tcPr>
            <w:tcW w:w="820" w:type="pct"/>
            <w:tcBorders>
              <w:left w:val="single" w:color="000000" w:sz="6" w:space="0"/>
            </w:tcBorders>
            <w:vAlign w:val="center"/>
          </w:tcPr>
          <w:p w:rsidRPr="00D21E4B" w:rsidR="00126EA0" w:rsidP="00FF2AD1" w:rsidRDefault="00126EA0" w14:paraId="60872A3E" w14:textId="77777777">
            <w:pPr>
              <w:ind w:left="92" w:right="73"/>
              <w:jc w:val="right"/>
              <w:rPr>
                <w:b/>
                <w:szCs w:val="20"/>
              </w:rPr>
            </w:pPr>
          </w:p>
        </w:tc>
        <w:tc>
          <w:tcPr>
            <w:tcW w:w="694" w:type="pct"/>
            <w:tcBorders>
              <w:right w:val="single" w:color="000000" w:sz="6" w:space="0"/>
            </w:tcBorders>
            <w:vAlign w:val="center"/>
          </w:tcPr>
          <w:p w:rsidRPr="00D21E4B" w:rsidR="00126EA0" w:rsidP="00FF2AD1" w:rsidRDefault="00126EA0" w14:paraId="3C6C871B" w14:textId="77777777">
            <w:pPr>
              <w:ind w:right="73"/>
              <w:jc w:val="right"/>
              <w:rPr>
                <w:b/>
                <w:szCs w:val="20"/>
              </w:rPr>
            </w:pPr>
            <w:r w:rsidRPr="00D21E4B">
              <w:rPr>
                <w:b/>
                <w:szCs w:val="20"/>
              </w:rPr>
              <w:t>109</w:t>
            </w:r>
          </w:p>
        </w:tc>
        <w:tc>
          <w:tcPr>
            <w:tcW w:w="1134" w:type="pct"/>
            <w:tcBorders>
              <w:left w:val="single" w:color="000000" w:sz="6" w:space="0"/>
            </w:tcBorders>
            <w:vAlign w:val="center"/>
          </w:tcPr>
          <w:p w:rsidRPr="00D21E4B" w:rsidR="00126EA0" w:rsidP="00FF2AD1" w:rsidRDefault="00126EA0" w14:paraId="2A87F6F1" w14:textId="77777777">
            <w:pPr>
              <w:ind w:left="83" w:right="73"/>
              <w:jc w:val="right"/>
              <w:rPr>
                <w:b/>
                <w:szCs w:val="20"/>
              </w:rPr>
            </w:pPr>
            <w:r w:rsidRPr="00D21E4B">
              <w:rPr>
                <w:b/>
                <w:color w:val="000000"/>
                <w:szCs w:val="20"/>
              </w:rPr>
              <w:t>$10,271,934</w:t>
            </w:r>
          </w:p>
        </w:tc>
      </w:tr>
    </w:tbl>
    <w:p w:rsidR="00126EA0" w:rsidP="00126EA0" w:rsidRDefault="00126EA0" w14:paraId="102FCC07" w14:textId="77777777">
      <w:pPr>
        <w:keepNext/>
        <w:keepLines/>
        <w:rPr>
          <w:b/>
          <w:bCs/>
        </w:rPr>
      </w:pPr>
    </w:p>
    <w:p w:rsidRPr="00875E5E" w:rsidR="00126EA0" w:rsidP="00126EA0" w:rsidRDefault="00126EA0" w14:paraId="14B2EFE1" w14:textId="77777777">
      <w:pPr>
        <w:rPr>
          <w:bCs/>
          <w:i/>
          <w:iCs/>
          <w:sz w:val="22"/>
          <w:szCs w:val="28"/>
        </w:rPr>
      </w:pPr>
      <w:r w:rsidRPr="00875E5E">
        <w:rPr>
          <w:bCs/>
          <w:i/>
          <w:iCs/>
          <w:sz w:val="22"/>
          <w:szCs w:val="28"/>
        </w:rPr>
        <w:t>Employee Participation Plan</w:t>
      </w:r>
    </w:p>
    <w:p w:rsidRPr="00875E5E" w:rsidR="00126EA0" w:rsidP="00126EA0" w:rsidRDefault="00126EA0" w14:paraId="2FA93B38" w14:textId="756E4BAF">
      <w:pPr>
        <w:ind w:firstLine="360"/>
        <w:rPr>
          <w:sz w:val="22"/>
          <w:szCs w:val="28"/>
        </w:rPr>
      </w:pPr>
      <w:r w:rsidRPr="00875E5E">
        <w:rPr>
          <w:sz w:val="22"/>
          <w:szCs w:val="28"/>
        </w:rPr>
        <w:tab/>
        <w:t xml:space="preserve">The RMP rule currently requires only facilities with Program 3 processes to develop an employee participation plan. The proposed rule would require all facilities with a Program 2 process to newly develop an employee participation plan, in addition to facilities with Program 3 processes. These newly </w:t>
      </w:r>
      <w:r w:rsidRPr="00875E5E">
        <w:rPr>
          <w:sz w:val="22"/>
          <w:szCs w:val="28"/>
        </w:rPr>
        <w:lastRenderedPageBreak/>
        <w:t xml:space="preserve">developed employee participation plans, as well as all facilities with Program 3 processes which already have an employee participation plan, would need to include newly explicit language for reporting RMP-reportable accidents or other related RMP non-compliance issues. Exhibit </w:t>
      </w:r>
      <w:r w:rsidR="00F1448F">
        <w:rPr>
          <w:sz w:val="22"/>
          <w:szCs w:val="28"/>
        </w:rPr>
        <w:t>11</w:t>
      </w:r>
      <w:r w:rsidRPr="00875E5E" w:rsidR="00F1448F">
        <w:rPr>
          <w:sz w:val="22"/>
          <w:szCs w:val="28"/>
        </w:rPr>
        <w:t xml:space="preserve"> </w:t>
      </w:r>
      <w:r w:rsidRPr="00875E5E">
        <w:rPr>
          <w:sz w:val="22"/>
          <w:szCs w:val="28"/>
        </w:rPr>
        <w:t>presents the costs for the provision.</w:t>
      </w:r>
    </w:p>
    <w:p w:rsidRPr="00875E5E" w:rsidR="00126EA0" w:rsidP="00126EA0" w:rsidRDefault="00126EA0" w14:paraId="0A519AD4" w14:textId="77777777">
      <w:pPr>
        <w:ind w:firstLine="720"/>
        <w:rPr>
          <w:sz w:val="22"/>
          <w:szCs w:val="28"/>
        </w:rPr>
      </w:pPr>
    </w:p>
    <w:p w:rsidRPr="00B87FD9" w:rsidR="00126EA0" w:rsidP="0074445B" w:rsidRDefault="00126EA0" w14:paraId="77AD756E" w14:textId="235A709D">
      <w:pPr>
        <w:pStyle w:val="Caption"/>
        <w:spacing w:after="0"/>
        <w:jc w:val="center"/>
        <w:rPr>
          <w:b/>
          <w:bCs/>
          <w:i w:val="0"/>
          <w:iCs w:val="0"/>
          <w:color w:val="auto"/>
          <w:sz w:val="22"/>
          <w:szCs w:val="22"/>
        </w:rPr>
      </w:pPr>
      <w:r w:rsidRPr="00B87FD9">
        <w:rPr>
          <w:b/>
          <w:bCs/>
          <w:i w:val="0"/>
          <w:iCs w:val="0"/>
          <w:color w:val="auto"/>
          <w:sz w:val="22"/>
          <w:szCs w:val="22"/>
        </w:rPr>
        <w:t xml:space="preserve">Exhibit </w:t>
      </w:r>
      <w:r w:rsidR="00F1448F">
        <w:rPr>
          <w:b/>
          <w:bCs/>
          <w:i w:val="0"/>
          <w:iCs w:val="0"/>
          <w:color w:val="auto"/>
          <w:sz w:val="22"/>
          <w:szCs w:val="22"/>
        </w:rPr>
        <w:t>11</w:t>
      </w:r>
      <w:r w:rsidRPr="00B87FD9">
        <w:rPr>
          <w:b/>
          <w:bCs/>
          <w:i w:val="0"/>
          <w:iCs w:val="0"/>
          <w:color w:val="auto"/>
          <w:sz w:val="22"/>
          <w:szCs w:val="22"/>
        </w:rPr>
        <w:t xml:space="preserve">: Estimated Costs for Employee Participation Plan Provision (2020 </w:t>
      </w:r>
      <w:r>
        <w:rPr>
          <w:b/>
          <w:bCs/>
          <w:i w:val="0"/>
          <w:iCs w:val="0"/>
          <w:color w:val="auto"/>
          <w:sz w:val="22"/>
          <w:szCs w:val="22"/>
        </w:rPr>
        <w:t>d</w:t>
      </w:r>
      <w:r w:rsidRPr="00B87FD9">
        <w:rPr>
          <w:b/>
          <w:bCs/>
          <w:i w:val="0"/>
          <w:iCs w:val="0"/>
          <w:color w:val="auto"/>
          <w:sz w:val="22"/>
          <w:szCs w:val="22"/>
        </w:rPr>
        <w:t>ollars)</w:t>
      </w:r>
    </w:p>
    <w:tbl>
      <w:tblPr>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0" w:type="dxa"/>
          <w:right w:w="0" w:type="dxa"/>
        </w:tblCellMar>
        <w:tblLook w:val="01E0" w:firstRow="1" w:lastRow="1" w:firstColumn="1" w:lastColumn="1" w:noHBand="0" w:noVBand="0"/>
      </w:tblPr>
      <w:tblGrid>
        <w:gridCol w:w="3166"/>
        <w:gridCol w:w="1734"/>
        <w:gridCol w:w="1454"/>
        <w:gridCol w:w="1538"/>
        <w:gridCol w:w="1452"/>
      </w:tblGrid>
      <w:tr w:rsidRPr="00BF4D0A" w:rsidR="00126EA0" w:rsidTr="00FF2AD1" w14:paraId="30BE1C27" w14:textId="77777777">
        <w:trPr>
          <w:trHeight w:val="20"/>
          <w:tblHeader/>
          <w:jc w:val="center"/>
        </w:trPr>
        <w:tc>
          <w:tcPr>
            <w:tcW w:w="1694" w:type="pct"/>
            <w:tcBorders>
              <w:bottom w:val="single" w:color="000000" w:sz="8" w:space="0"/>
            </w:tcBorders>
            <w:shd w:val="clear" w:color="auto" w:fill="DADADA"/>
            <w:vAlign w:val="center"/>
          </w:tcPr>
          <w:p w:rsidRPr="00BF4D0A" w:rsidR="00126EA0" w:rsidP="00FF2AD1" w:rsidRDefault="00126EA0" w14:paraId="547EE290" w14:textId="77777777">
            <w:pPr>
              <w:keepNext/>
              <w:ind w:left="1335" w:right="87" w:hanging="1162"/>
              <w:jc w:val="center"/>
              <w:rPr>
                <w:b/>
              </w:rPr>
            </w:pPr>
            <w:r w:rsidRPr="00BF4D0A">
              <w:rPr>
                <w:b/>
              </w:rPr>
              <w:t>Facility Type</w:t>
            </w:r>
          </w:p>
        </w:tc>
        <w:tc>
          <w:tcPr>
            <w:tcW w:w="928" w:type="pct"/>
            <w:tcBorders>
              <w:bottom w:val="single" w:color="000000" w:sz="8" w:space="0"/>
            </w:tcBorders>
            <w:shd w:val="clear" w:color="auto" w:fill="DADADA"/>
            <w:vAlign w:val="center"/>
          </w:tcPr>
          <w:p w:rsidRPr="00BF4D0A" w:rsidR="00126EA0" w:rsidP="00FF2AD1" w:rsidRDefault="00126EA0" w14:paraId="22C693D8" w14:textId="77777777">
            <w:pPr>
              <w:keepNext/>
              <w:ind w:left="93" w:right="57"/>
              <w:jc w:val="center"/>
              <w:rPr>
                <w:b/>
              </w:rPr>
            </w:pPr>
            <w:r w:rsidRPr="00BF4D0A">
              <w:rPr>
                <w:b/>
              </w:rPr>
              <w:t>Annual</w:t>
            </w:r>
          </w:p>
          <w:p w:rsidRPr="00BF4D0A" w:rsidR="00126EA0" w:rsidP="00FF2AD1" w:rsidRDefault="00126EA0" w14:paraId="37227DAA" w14:textId="77777777">
            <w:pPr>
              <w:keepNext/>
              <w:ind w:left="88" w:right="64"/>
              <w:jc w:val="center"/>
              <w:rPr>
                <w:b/>
              </w:rPr>
            </w:pPr>
            <w:r w:rsidRPr="00BF4D0A">
              <w:rPr>
                <w:b/>
              </w:rPr>
              <w:t>Frequency</w:t>
            </w:r>
          </w:p>
        </w:tc>
        <w:tc>
          <w:tcPr>
            <w:tcW w:w="778" w:type="pct"/>
            <w:tcBorders>
              <w:bottom w:val="single" w:color="000000" w:sz="8" w:space="0"/>
            </w:tcBorders>
            <w:shd w:val="clear" w:color="auto" w:fill="DADADA"/>
            <w:vAlign w:val="center"/>
          </w:tcPr>
          <w:p w:rsidRPr="00BF4D0A" w:rsidR="00126EA0" w:rsidP="00FF2AD1" w:rsidRDefault="00126EA0" w14:paraId="413BC570" w14:textId="77777777">
            <w:pPr>
              <w:keepNext/>
              <w:ind w:left="72"/>
              <w:jc w:val="center"/>
              <w:rPr>
                <w:b/>
              </w:rPr>
            </w:pPr>
            <w:r w:rsidRPr="00BF4D0A">
              <w:rPr>
                <w:b/>
              </w:rPr>
              <w:t>Unit Cost</w:t>
            </w:r>
          </w:p>
        </w:tc>
        <w:tc>
          <w:tcPr>
            <w:tcW w:w="823" w:type="pct"/>
            <w:tcBorders>
              <w:bottom w:val="single" w:color="000000" w:sz="8" w:space="0"/>
            </w:tcBorders>
            <w:shd w:val="clear" w:color="auto" w:fill="DADADA"/>
            <w:vAlign w:val="center"/>
          </w:tcPr>
          <w:p w:rsidRPr="00BF4D0A" w:rsidR="00126EA0" w:rsidP="00FF2AD1" w:rsidRDefault="00126EA0" w14:paraId="2D123BFF" w14:textId="77777777">
            <w:pPr>
              <w:keepNext/>
              <w:ind w:left="98" w:right="76"/>
              <w:jc w:val="center"/>
              <w:rPr>
                <w:b/>
              </w:rPr>
            </w:pPr>
            <w:r w:rsidRPr="00BF4D0A">
              <w:rPr>
                <w:b/>
              </w:rPr>
              <w:t>Facilities</w:t>
            </w:r>
          </w:p>
        </w:tc>
        <w:tc>
          <w:tcPr>
            <w:tcW w:w="778" w:type="pct"/>
            <w:tcBorders>
              <w:bottom w:val="single" w:color="000000" w:sz="8" w:space="0"/>
            </w:tcBorders>
            <w:shd w:val="clear" w:color="auto" w:fill="DADADA"/>
            <w:vAlign w:val="center"/>
          </w:tcPr>
          <w:p w:rsidRPr="00BF4D0A" w:rsidR="00126EA0" w:rsidP="00FF2AD1" w:rsidRDefault="00126EA0" w14:paraId="2F94651A" w14:textId="77777777">
            <w:pPr>
              <w:keepNext/>
              <w:ind w:left="91" w:right="55"/>
              <w:jc w:val="center"/>
              <w:rPr>
                <w:b/>
              </w:rPr>
            </w:pPr>
            <w:r w:rsidRPr="00BF4D0A">
              <w:rPr>
                <w:b/>
              </w:rPr>
              <w:t>Total</w:t>
            </w:r>
          </w:p>
          <w:p w:rsidRPr="00BF4D0A" w:rsidR="00126EA0" w:rsidP="00FF2AD1" w:rsidRDefault="00126EA0" w14:paraId="6AF76A83" w14:textId="77777777">
            <w:pPr>
              <w:keepNext/>
              <w:ind w:left="82" w:right="55"/>
              <w:jc w:val="center"/>
              <w:rPr>
                <w:b/>
              </w:rPr>
            </w:pPr>
            <w:r w:rsidRPr="00BF4D0A">
              <w:rPr>
                <w:b/>
              </w:rPr>
              <w:t>Cost</w:t>
            </w:r>
          </w:p>
        </w:tc>
      </w:tr>
      <w:tr w:rsidRPr="00BF4D0A" w:rsidR="00126EA0" w:rsidTr="00FF2AD1" w14:paraId="36F53549" w14:textId="77777777">
        <w:trPr>
          <w:trHeight w:val="20"/>
          <w:jc w:val="center"/>
        </w:trPr>
        <w:tc>
          <w:tcPr>
            <w:tcW w:w="5000" w:type="pct"/>
            <w:gridSpan w:val="5"/>
            <w:tcBorders>
              <w:top w:val="single" w:color="000000" w:sz="8" w:space="0"/>
              <w:bottom w:val="single" w:color="000000" w:sz="8" w:space="0"/>
            </w:tcBorders>
            <w:shd w:val="clear" w:color="auto" w:fill="F2F2F2"/>
            <w:vAlign w:val="center"/>
          </w:tcPr>
          <w:p w:rsidRPr="00BF4D0A" w:rsidR="00126EA0" w:rsidP="00FF2AD1" w:rsidRDefault="00126EA0" w14:paraId="084AC1B0" w14:textId="77777777">
            <w:pPr>
              <w:keepNext/>
              <w:ind w:left="165" w:right="79" w:hanging="90"/>
              <w:rPr>
                <w:b/>
              </w:rPr>
            </w:pPr>
            <w:r w:rsidRPr="00BF4D0A">
              <w:rPr>
                <w:b/>
              </w:rPr>
              <w:t xml:space="preserve">Program 2 </w:t>
            </w:r>
            <w:r>
              <w:rPr>
                <w:b/>
              </w:rPr>
              <w:t>r</w:t>
            </w:r>
            <w:r w:rsidRPr="00BF4D0A">
              <w:rPr>
                <w:b/>
              </w:rPr>
              <w:t xml:space="preserve">equirement to </w:t>
            </w:r>
            <w:r>
              <w:rPr>
                <w:b/>
              </w:rPr>
              <w:t>d</w:t>
            </w:r>
            <w:r w:rsidRPr="00BF4D0A">
              <w:rPr>
                <w:b/>
              </w:rPr>
              <w:t xml:space="preserve">evelop </w:t>
            </w:r>
            <w:r>
              <w:rPr>
                <w:b/>
              </w:rPr>
              <w:t>n</w:t>
            </w:r>
            <w:r w:rsidRPr="00BF4D0A">
              <w:rPr>
                <w:b/>
              </w:rPr>
              <w:t>ew employee participation plan</w:t>
            </w:r>
          </w:p>
        </w:tc>
      </w:tr>
      <w:tr w:rsidRPr="00BF4D0A" w:rsidR="00126EA0" w:rsidTr="00FF2AD1" w14:paraId="270A4D0B" w14:textId="77777777">
        <w:trPr>
          <w:trHeight w:val="20"/>
          <w:jc w:val="center"/>
        </w:trPr>
        <w:tc>
          <w:tcPr>
            <w:tcW w:w="1694" w:type="pct"/>
            <w:tcBorders>
              <w:top w:val="single" w:color="000000" w:sz="8" w:space="0"/>
            </w:tcBorders>
            <w:vAlign w:val="center"/>
          </w:tcPr>
          <w:p w:rsidRPr="00BF4D0A" w:rsidR="00126EA0" w:rsidP="00FF2AD1" w:rsidRDefault="00126EA0" w14:paraId="7809FBC5" w14:textId="77777777">
            <w:pPr>
              <w:keepNext/>
              <w:ind w:left="112"/>
            </w:pPr>
            <w:r w:rsidRPr="00BF4D0A">
              <w:t>Simple 0-19 FTEs</w:t>
            </w:r>
          </w:p>
        </w:tc>
        <w:tc>
          <w:tcPr>
            <w:tcW w:w="928" w:type="pct"/>
            <w:tcBorders>
              <w:top w:val="single" w:color="000000" w:sz="8" w:space="0"/>
            </w:tcBorders>
            <w:vAlign w:val="center"/>
          </w:tcPr>
          <w:p w:rsidRPr="00BF4D0A" w:rsidR="00126EA0" w:rsidP="00FF2AD1" w:rsidRDefault="00126EA0" w14:paraId="320CB4FF" w14:textId="77777777">
            <w:pPr>
              <w:keepNext/>
              <w:ind w:left="93" w:right="62"/>
              <w:jc w:val="center"/>
            </w:pPr>
            <w:r w:rsidRPr="00BF4D0A">
              <w:t>1</w:t>
            </w:r>
          </w:p>
        </w:tc>
        <w:tc>
          <w:tcPr>
            <w:tcW w:w="778" w:type="pct"/>
            <w:tcBorders>
              <w:top w:val="single" w:color="000000" w:sz="8" w:space="0"/>
            </w:tcBorders>
            <w:vAlign w:val="center"/>
          </w:tcPr>
          <w:p w:rsidRPr="00BF4D0A" w:rsidR="00126EA0" w:rsidP="00FF2AD1" w:rsidRDefault="00126EA0" w14:paraId="2C885B00" w14:textId="77777777">
            <w:pPr>
              <w:keepNext/>
              <w:ind w:left="72" w:right="49"/>
              <w:jc w:val="right"/>
            </w:pPr>
            <w:r w:rsidRPr="00BF4D0A">
              <w:rPr>
                <w:color w:val="000000"/>
              </w:rPr>
              <w:t>$89</w:t>
            </w:r>
          </w:p>
        </w:tc>
        <w:tc>
          <w:tcPr>
            <w:tcW w:w="823" w:type="pct"/>
            <w:tcBorders>
              <w:top w:val="single" w:color="000000" w:sz="8" w:space="0"/>
            </w:tcBorders>
            <w:vAlign w:val="center"/>
          </w:tcPr>
          <w:p w:rsidRPr="00BF4D0A" w:rsidR="00126EA0" w:rsidP="00FF2AD1" w:rsidRDefault="00126EA0" w14:paraId="0617E9F8" w14:textId="77777777">
            <w:pPr>
              <w:keepNext/>
              <w:ind w:left="98" w:right="69"/>
              <w:jc w:val="right"/>
            </w:pPr>
            <w:r w:rsidRPr="00BF4D0A">
              <w:t>3,415</w:t>
            </w:r>
          </w:p>
        </w:tc>
        <w:tc>
          <w:tcPr>
            <w:tcW w:w="778" w:type="pct"/>
            <w:tcBorders>
              <w:top w:val="single" w:color="000000" w:sz="8" w:space="0"/>
            </w:tcBorders>
            <w:vAlign w:val="center"/>
          </w:tcPr>
          <w:p w:rsidRPr="00BF4D0A" w:rsidR="00126EA0" w:rsidP="00FF2AD1" w:rsidRDefault="00126EA0" w14:paraId="5E776FD6" w14:textId="77777777">
            <w:pPr>
              <w:keepNext/>
              <w:ind w:left="84" w:right="55"/>
              <w:jc w:val="right"/>
            </w:pPr>
            <w:r w:rsidRPr="00BF4D0A">
              <w:rPr>
                <w:color w:val="000000"/>
              </w:rPr>
              <w:t>$304,476</w:t>
            </w:r>
          </w:p>
        </w:tc>
      </w:tr>
      <w:tr w:rsidRPr="00BF4D0A" w:rsidR="00126EA0" w:rsidTr="00FF2AD1" w14:paraId="58BA129B" w14:textId="77777777">
        <w:trPr>
          <w:trHeight w:val="20"/>
          <w:jc w:val="center"/>
        </w:trPr>
        <w:tc>
          <w:tcPr>
            <w:tcW w:w="1694" w:type="pct"/>
            <w:vAlign w:val="center"/>
          </w:tcPr>
          <w:p w:rsidRPr="00BF4D0A" w:rsidR="00126EA0" w:rsidP="00FF2AD1" w:rsidRDefault="00126EA0" w14:paraId="513A72D7" w14:textId="77777777">
            <w:pPr>
              <w:ind w:left="112"/>
            </w:pPr>
            <w:bookmarkStart w:name="_Hlk98192408" w:id="8"/>
            <w:r w:rsidRPr="00BF4D0A">
              <w:t>Simple 20+ FTEs</w:t>
            </w:r>
          </w:p>
        </w:tc>
        <w:tc>
          <w:tcPr>
            <w:tcW w:w="928" w:type="pct"/>
            <w:vAlign w:val="center"/>
          </w:tcPr>
          <w:p w:rsidRPr="00BF4D0A" w:rsidR="00126EA0" w:rsidP="00FF2AD1" w:rsidRDefault="00126EA0" w14:paraId="4A5485C3" w14:textId="77777777">
            <w:pPr>
              <w:ind w:left="93" w:right="62"/>
              <w:jc w:val="center"/>
            </w:pPr>
            <w:r w:rsidRPr="00BF4D0A">
              <w:t>1</w:t>
            </w:r>
          </w:p>
        </w:tc>
        <w:tc>
          <w:tcPr>
            <w:tcW w:w="778" w:type="pct"/>
            <w:vAlign w:val="center"/>
          </w:tcPr>
          <w:p w:rsidRPr="00BF4D0A" w:rsidR="00126EA0" w:rsidP="00FF2AD1" w:rsidRDefault="00126EA0" w14:paraId="279C53A5" w14:textId="77777777">
            <w:pPr>
              <w:ind w:left="72" w:right="49"/>
              <w:jc w:val="right"/>
            </w:pPr>
            <w:r w:rsidRPr="00BF4D0A">
              <w:rPr>
                <w:color w:val="000000"/>
              </w:rPr>
              <w:t>$228</w:t>
            </w:r>
          </w:p>
        </w:tc>
        <w:tc>
          <w:tcPr>
            <w:tcW w:w="823" w:type="pct"/>
            <w:vAlign w:val="center"/>
          </w:tcPr>
          <w:p w:rsidRPr="00BF4D0A" w:rsidR="00126EA0" w:rsidP="00FF2AD1" w:rsidRDefault="00126EA0" w14:paraId="3341B78F" w14:textId="77777777">
            <w:pPr>
              <w:ind w:left="98" w:right="69"/>
              <w:jc w:val="right"/>
            </w:pPr>
            <w:r w:rsidRPr="00BF4D0A">
              <w:t>496</w:t>
            </w:r>
          </w:p>
        </w:tc>
        <w:tc>
          <w:tcPr>
            <w:tcW w:w="778" w:type="pct"/>
            <w:vAlign w:val="center"/>
          </w:tcPr>
          <w:p w:rsidRPr="00BF4D0A" w:rsidR="00126EA0" w:rsidP="00FF2AD1" w:rsidRDefault="00126EA0" w14:paraId="7B2BC1E3" w14:textId="77777777">
            <w:pPr>
              <w:ind w:left="69" w:right="55"/>
              <w:jc w:val="right"/>
            </w:pPr>
            <w:r w:rsidRPr="00BF4D0A">
              <w:rPr>
                <w:color w:val="000000"/>
              </w:rPr>
              <w:t>$112,982</w:t>
            </w:r>
          </w:p>
        </w:tc>
      </w:tr>
      <w:tr w:rsidRPr="00BF4D0A" w:rsidR="00126EA0" w:rsidTr="00FF2AD1" w14:paraId="474C891E" w14:textId="77777777">
        <w:trPr>
          <w:trHeight w:val="20"/>
          <w:jc w:val="center"/>
        </w:trPr>
        <w:tc>
          <w:tcPr>
            <w:tcW w:w="1694" w:type="pct"/>
            <w:vAlign w:val="center"/>
          </w:tcPr>
          <w:p w:rsidRPr="00BF4D0A" w:rsidR="00126EA0" w:rsidP="00FF2AD1" w:rsidRDefault="00126EA0" w14:paraId="7568A8EF" w14:textId="77777777">
            <w:pPr>
              <w:ind w:left="112"/>
            </w:pPr>
            <w:bookmarkStart w:name="_Hlk98192419" w:id="9"/>
            <w:r w:rsidRPr="00BF4D0A">
              <w:t>Complex 0-19 FTEs</w:t>
            </w:r>
          </w:p>
        </w:tc>
        <w:tc>
          <w:tcPr>
            <w:tcW w:w="928" w:type="pct"/>
            <w:vAlign w:val="center"/>
          </w:tcPr>
          <w:p w:rsidRPr="00BF4D0A" w:rsidR="00126EA0" w:rsidP="00FF2AD1" w:rsidRDefault="00126EA0" w14:paraId="4B25D6DA" w14:textId="77777777">
            <w:pPr>
              <w:ind w:left="93" w:right="62"/>
              <w:jc w:val="center"/>
            </w:pPr>
            <w:r w:rsidRPr="00BF4D0A">
              <w:t>1</w:t>
            </w:r>
          </w:p>
        </w:tc>
        <w:tc>
          <w:tcPr>
            <w:tcW w:w="778" w:type="pct"/>
            <w:vAlign w:val="center"/>
          </w:tcPr>
          <w:p w:rsidRPr="00BF4D0A" w:rsidR="00126EA0" w:rsidP="00FF2AD1" w:rsidRDefault="00126EA0" w14:paraId="05B0571E" w14:textId="77777777">
            <w:pPr>
              <w:ind w:left="72" w:right="49"/>
              <w:jc w:val="right"/>
            </w:pPr>
            <w:r w:rsidRPr="00BF4D0A">
              <w:rPr>
                <w:color w:val="000000"/>
              </w:rPr>
              <w:t>$129</w:t>
            </w:r>
          </w:p>
        </w:tc>
        <w:tc>
          <w:tcPr>
            <w:tcW w:w="823" w:type="pct"/>
            <w:vAlign w:val="center"/>
          </w:tcPr>
          <w:p w:rsidRPr="00BF4D0A" w:rsidR="00126EA0" w:rsidP="00FF2AD1" w:rsidRDefault="00126EA0" w14:paraId="590ADF48" w14:textId="77777777">
            <w:pPr>
              <w:ind w:left="98" w:right="69"/>
              <w:jc w:val="right"/>
            </w:pPr>
            <w:r w:rsidRPr="00BF4D0A">
              <w:t>29</w:t>
            </w:r>
          </w:p>
        </w:tc>
        <w:tc>
          <w:tcPr>
            <w:tcW w:w="778" w:type="pct"/>
            <w:vAlign w:val="center"/>
          </w:tcPr>
          <w:p w:rsidRPr="00BF4D0A" w:rsidR="00126EA0" w:rsidP="00FF2AD1" w:rsidRDefault="00126EA0" w14:paraId="1124AEA4" w14:textId="77777777">
            <w:pPr>
              <w:ind w:left="69" w:right="55"/>
              <w:jc w:val="right"/>
            </w:pPr>
            <w:r w:rsidRPr="00BF4D0A">
              <w:rPr>
                <w:color w:val="000000"/>
              </w:rPr>
              <w:t>$3,733</w:t>
            </w:r>
          </w:p>
        </w:tc>
      </w:tr>
      <w:tr w:rsidRPr="00BF4D0A" w:rsidR="00126EA0" w:rsidTr="00FF2AD1" w14:paraId="5039777B" w14:textId="77777777">
        <w:trPr>
          <w:trHeight w:val="20"/>
          <w:jc w:val="center"/>
        </w:trPr>
        <w:tc>
          <w:tcPr>
            <w:tcW w:w="1694" w:type="pct"/>
            <w:vAlign w:val="center"/>
          </w:tcPr>
          <w:p w:rsidRPr="00BF4D0A" w:rsidR="00126EA0" w:rsidP="00FF2AD1" w:rsidRDefault="00126EA0" w14:paraId="5E351EEF" w14:textId="77777777">
            <w:pPr>
              <w:ind w:left="112"/>
            </w:pPr>
            <w:r w:rsidRPr="00BF4D0A">
              <w:t>Complex 20+ FTEs</w:t>
            </w:r>
          </w:p>
        </w:tc>
        <w:tc>
          <w:tcPr>
            <w:tcW w:w="928" w:type="pct"/>
            <w:vAlign w:val="center"/>
          </w:tcPr>
          <w:p w:rsidRPr="00BF4D0A" w:rsidR="00126EA0" w:rsidP="00FF2AD1" w:rsidRDefault="00126EA0" w14:paraId="36F0AB43" w14:textId="77777777">
            <w:pPr>
              <w:ind w:left="93" w:right="62"/>
              <w:jc w:val="center"/>
            </w:pPr>
            <w:r w:rsidRPr="00BF4D0A">
              <w:t>1</w:t>
            </w:r>
          </w:p>
        </w:tc>
        <w:tc>
          <w:tcPr>
            <w:tcW w:w="778" w:type="pct"/>
            <w:vAlign w:val="center"/>
          </w:tcPr>
          <w:p w:rsidRPr="00BF4D0A" w:rsidR="00126EA0" w:rsidP="00FF2AD1" w:rsidRDefault="00126EA0" w14:paraId="49E70D85" w14:textId="77777777">
            <w:pPr>
              <w:ind w:left="72" w:right="49"/>
              <w:jc w:val="right"/>
            </w:pPr>
            <w:r w:rsidRPr="00BF4D0A">
              <w:rPr>
                <w:color w:val="000000"/>
              </w:rPr>
              <w:t>$330</w:t>
            </w:r>
          </w:p>
        </w:tc>
        <w:tc>
          <w:tcPr>
            <w:tcW w:w="823" w:type="pct"/>
            <w:vAlign w:val="center"/>
          </w:tcPr>
          <w:p w:rsidRPr="00BF4D0A" w:rsidR="00126EA0" w:rsidP="00FF2AD1" w:rsidRDefault="00126EA0" w14:paraId="3FFE7B89" w14:textId="77777777">
            <w:pPr>
              <w:ind w:left="98" w:right="69"/>
              <w:jc w:val="right"/>
            </w:pPr>
            <w:r w:rsidRPr="00BF4D0A">
              <w:t>35</w:t>
            </w:r>
          </w:p>
        </w:tc>
        <w:tc>
          <w:tcPr>
            <w:tcW w:w="778" w:type="pct"/>
            <w:vAlign w:val="center"/>
          </w:tcPr>
          <w:p w:rsidRPr="00BF4D0A" w:rsidR="00126EA0" w:rsidP="00FF2AD1" w:rsidRDefault="00126EA0" w14:paraId="20D616E8" w14:textId="77777777">
            <w:pPr>
              <w:ind w:left="69" w:right="55"/>
              <w:jc w:val="right"/>
            </w:pPr>
            <w:r w:rsidRPr="00BF4D0A">
              <w:rPr>
                <w:color w:val="000000"/>
              </w:rPr>
              <w:t>$11,536</w:t>
            </w:r>
          </w:p>
        </w:tc>
      </w:tr>
      <w:bookmarkEnd w:id="8"/>
      <w:bookmarkEnd w:id="9"/>
      <w:tr w:rsidRPr="00BF4D0A" w:rsidR="00126EA0" w:rsidTr="00FF2AD1" w14:paraId="05C46BBF" w14:textId="77777777">
        <w:trPr>
          <w:trHeight w:val="20"/>
          <w:jc w:val="center"/>
        </w:trPr>
        <w:tc>
          <w:tcPr>
            <w:tcW w:w="1694" w:type="pct"/>
            <w:vAlign w:val="center"/>
          </w:tcPr>
          <w:p w:rsidRPr="00BF4D0A" w:rsidR="00126EA0" w:rsidP="00FF2AD1" w:rsidRDefault="00126EA0" w14:paraId="47A9822C" w14:textId="77777777">
            <w:pPr>
              <w:ind w:left="112"/>
              <w:rPr>
                <w:b/>
              </w:rPr>
            </w:pPr>
            <w:r w:rsidRPr="00BF4D0A">
              <w:rPr>
                <w:b/>
              </w:rPr>
              <w:t>Total</w:t>
            </w:r>
          </w:p>
        </w:tc>
        <w:tc>
          <w:tcPr>
            <w:tcW w:w="928" w:type="pct"/>
            <w:vAlign w:val="center"/>
          </w:tcPr>
          <w:p w:rsidRPr="00BF4D0A" w:rsidR="00126EA0" w:rsidP="00FF2AD1" w:rsidRDefault="00126EA0" w14:paraId="4CF3BFAE" w14:textId="77777777">
            <w:pPr>
              <w:ind w:left="93" w:right="62"/>
              <w:jc w:val="center"/>
              <w:rPr>
                <w:b/>
              </w:rPr>
            </w:pPr>
          </w:p>
        </w:tc>
        <w:tc>
          <w:tcPr>
            <w:tcW w:w="778" w:type="pct"/>
            <w:vAlign w:val="center"/>
          </w:tcPr>
          <w:p w:rsidRPr="00BF4D0A" w:rsidR="00126EA0" w:rsidP="00FF2AD1" w:rsidRDefault="00126EA0" w14:paraId="3E0D4D0E" w14:textId="77777777">
            <w:pPr>
              <w:ind w:left="247" w:right="49"/>
              <w:jc w:val="right"/>
              <w:rPr>
                <w:b/>
              </w:rPr>
            </w:pPr>
          </w:p>
        </w:tc>
        <w:tc>
          <w:tcPr>
            <w:tcW w:w="823" w:type="pct"/>
            <w:vAlign w:val="center"/>
          </w:tcPr>
          <w:p w:rsidRPr="00BF4D0A" w:rsidR="00126EA0" w:rsidP="00FF2AD1" w:rsidRDefault="00126EA0" w14:paraId="1F51D992" w14:textId="77777777">
            <w:pPr>
              <w:ind w:left="98" w:right="69"/>
              <w:jc w:val="right"/>
              <w:rPr>
                <w:b/>
              </w:rPr>
            </w:pPr>
            <w:r w:rsidRPr="00BF4D0A">
              <w:rPr>
                <w:b/>
              </w:rPr>
              <w:t>3,975</w:t>
            </w:r>
          </w:p>
        </w:tc>
        <w:tc>
          <w:tcPr>
            <w:tcW w:w="778" w:type="pct"/>
            <w:vAlign w:val="center"/>
          </w:tcPr>
          <w:p w:rsidRPr="00BF4D0A" w:rsidR="00126EA0" w:rsidP="00FF2AD1" w:rsidRDefault="00126EA0" w14:paraId="22147475" w14:textId="77777777">
            <w:pPr>
              <w:ind w:left="69" w:right="55"/>
              <w:jc w:val="right"/>
              <w:rPr>
                <w:b/>
              </w:rPr>
            </w:pPr>
            <w:r w:rsidRPr="00BF4D0A">
              <w:rPr>
                <w:b/>
                <w:color w:val="000000"/>
              </w:rPr>
              <w:t>$432,726</w:t>
            </w:r>
          </w:p>
        </w:tc>
      </w:tr>
      <w:tr w:rsidRPr="00BF4D0A" w:rsidR="00126EA0" w:rsidTr="00FF2AD1" w14:paraId="7C5428C7" w14:textId="77777777">
        <w:trPr>
          <w:trHeight w:val="20"/>
          <w:jc w:val="center"/>
        </w:trPr>
        <w:tc>
          <w:tcPr>
            <w:tcW w:w="5000" w:type="pct"/>
            <w:gridSpan w:val="5"/>
            <w:shd w:val="clear" w:color="auto" w:fill="F2F2F2"/>
            <w:vAlign w:val="center"/>
          </w:tcPr>
          <w:p w:rsidRPr="00BF4D0A" w:rsidR="00126EA0" w:rsidP="00FF2AD1" w:rsidRDefault="00126EA0" w14:paraId="5B663D8D" w14:textId="77777777">
            <w:pPr>
              <w:ind w:right="49" w:firstLine="75"/>
              <w:rPr>
                <w:b/>
              </w:rPr>
            </w:pPr>
            <w:r w:rsidRPr="00BF4D0A">
              <w:rPr>
                <w:b/>
              </w:rPr>
              <w:t xml:space="preserve">Program 3 </w:t>
            </w:r>
            <w:r>
              <w:rPr>
                <w:b/>
              </w:rPr>
              <w:t>r</w:t>
            </w:r>
            <w:r w:rsidRPr="00BF4D0A">
              <w:rPr>
                <w:b/>
              </w:rPr>
              <w:t xml:space="preserve">equirement to </w:t>
            </w:r>
            <w:r>
              <w:rPr>
                <w:b/>
              </w:rPr>
              <w:t>u</w:t>
            </w:r>
            <w:r w:rsidRPr="00BF4D0A">
              <w:rPr>
                <w:b/>
              </w:rPr>
              <w:t xml:space="preserve">pdate </w:t>
            </w:r>
            <w:r>
              <w:rPr>
                <w:b/>
              </w:rPr>
              <w:t>current</w:t>
            </w:r>
            <w:r w:rsidRPr="00BF4D0A">
              <w:rPr>
                <w:b/>
              </w:rPr>
              <w:t xml:space="preserve"> employee participation plan</w:t>
            </w:r>
          </w:p>
        </w:tc>
      </w:tr>
      <w:tr w:rsidRPr="00BF4D0A" w:rsidR="00126EA0" w:rsidTr="00FF2AD1" w14:paraId="7A63AEE8" w14:textId="77777777">
        <w:trPr>
          <w:trHeight w:val="20"/>
          <w:jc w:val="center"/>
        </w:trPr>
        <w:tc>
          <w:tcPr>
            <w:tcW w:w="1694" w:type="pct"/>
            <w:vAlign w:val="center"/>
          </w:tcPr>
          <w:p w:rsidRPr="00BF4D0A" w:rsidR="00126EA0" w:rsidP="00FF2AD1" w:rsidRDefault="00126EA0" w14:paraId="43AD6356" w14:textId="77777777">
            <w:pPr>
              <w:ind w:left="112"/>
            </w:pPr>
            <w:r w:rsidRPr="00BF4D0A">
              <w:t>Simple</w:t>
            </w:r>
          </w:p>
        </w:tc>
        <w:tc>
          <w:tcPr>
            <w:tcW w:w="928" w:type="pct"/>
            <w:vAlign w:val="center"/>
          </w:tcPr>
          <w:p w:rsidRPr="00BF4D0A" w:rsidR="00126EA0" w:rsidP="00FF2AD1" w:rsidRDefault="00126EA0" w14:paraId="6DC8BC9F" w14:textId="77777777">
            <w:pPr>
              <w:ind w:left="93" w:right="62"/>
              <w:jc w:val="center"/>
            </w:pPr>
            <w:r w:rsidRPr="00BF4D0A">
              <w:t>1</w:t>
            </w:r>
          </w:p>
        </w:tc>
        <w:tc>
          <w:tcPr>
            <w:tcW w:w="778" w:type="pct"/>
            <w:vAlign w:val="center"/>
          </w:tcPr>
          <w:p w:rsidRPr="00BF4D0A" w:rsidR="00126EA0" w:rsidP="00FF2AD1" w:rsidRDefault="00126EA0" w14:paraId="48F90C8F" w14:textId="77777777">
            <w:pPr>
              <w:ind w:left="247" w:right="49"/>
              <w:jc w:val="right"/>
            </w:pPr>
            <w:r w:rsidRPr="00BF4D0A">
              <w:rPr>
                <w:color w:val="000000"/>
              </w:rPr>
              <w:t>$55</w:t>
            </w:r>
          </w:p>
        </w:tc>
        <w:tc>
          <w:tcPr>
            <w:tcW w:w="823" w:type="pct"/>
            <w:vAlign w:val="center"/>
          </w:tcPr>
          <w:p w:rsidRPr="00BF4D0A" w:rsidR="00126EA0" w:rsidP="00FF2AD1" w:rsidRDefault="00126EA0" w14:paraId="156399E7" w14:textId="77777777">
            <w:pPr>
              <w:ind w:left="98" w:right="69"/>
              <w:jc w:val="right"/>
            </w:pPr>
            <w:r w:rsidRPr="00BF4D0A">
              <w:t>5,578</w:t>
            </w:r>
          </w:p>
        </w:tc>
        <w:tc>
          <w:tcPr>
            <w:tcW w:w="778" w:type="pct"/>
            <w:vAlign w:val="center"/>
          </w:tcPr>
          <w:p w:rsidRPr="00BF4D0A" w:rsidR="00126EA0" w:rsidP="00FF2AD1" w:rsidRDefault="00126EA0" w14:paraId="2913DF21" w14:textId="77777777">
            <w:pPr>
              <w:ind w:left="84" w:right="55"/>
              <w:jc w:val="right"/>
            </w:pPr>
            <w:r w:rsidRPr="00BF4D0A">
              <w:rPr>
                <w:color w:val="000000"/>
              </w:rPr>
              <w:t>$304,009</w:t>
            </w:r>
          </w:p>
        </w:tc>
      </w:tr>
      <w:tr w:rsidRPr="00BF4D0A" w:rsidR="00126EA0" w:rsidTr="00FF2AD1" w14:paraId="4B3AB926" w14:textId="77777777">
        <w:trPr>
          <w:trHeight w:val="20"/>
          <w:jc w:val="center"/>
        </w:trPr>
        <w:tc>
          <w:tcPr>
            <w:tcW w:w="1694" w:type="pct"/>
            <w:tcBorders>
              <w:bottom w:val="single" w:color="000000" w:sz="8" w:space="0"/>
            </w:tcBorders>
            <w:vAlign w:val="center"/>
          </w:tcPr>
          <w:p w:rsidRPr="00BF4D0A" w:rsidR="00126EA0" w:rsidP="00FF2AD1" w:rsidRDefault="00126EA0" w14:paraId="5D39E3C7" w14:textId="77777777">
            <w:pPr>
              <w:ind w:left="112"/>
            </w:pPr>
            <w:r w:rsidRPr="00BF4D0A">
              <w:t>Complex</w:t>
            </w:r>
          </w:p>
        </w:tc>
        <w:tc>
          <w:tcPr>
            <w:tcW w:w="928" w:type="pct"/>
            <w:tcBorders>
              <w:bottom w:val="single" w:color="000000" w:sz="8" w:space="0"/>
            </w:tcBorders>
            <w:vAlign w:val="center"/>
          </w:tcPr>
          <w:p w:rsidRPr="00BF4D0A" w:rsidR="00126EA0" w:rsidP="00FF2AD1" w:rsidRDefault="00126EA0" w14:paraId="10E43FE8" w14:textId="77777777">
            <w:pPr>
              <w:ind w:left="93" w:right="62"/>
              <w:jc w:val="center"/>
            </w:pPr>
            <w:r w:rsidRPr="00BF4D0A">
              <w:t>1</w:t>
            </w:r>
          </w:p>
        </w:tc>
        <w:tc>
          <w:tcPr>
            <w:tcW w:w="778" w:type="pct"/>
            <w:tcBorders>
              <w:bottom w:val="single" w:color="000000" w:sz="8" w:space="0"/>
            </w:tcBorders>
            <w:vAlign w:val="center"/>
          </w:tcPr>
          <w:p w:rsidRPr="00BF4D0A" w:rsidR="00126EA0" w:rsidP="00FF2AD1" w:rsidRDefault="00126EA0" w14:paraId="1F746F5D" w14:textId="77777777">
            <w:pPr>
              <w:ind w:left="292" w:right="49"/>
              <w:jc w:val="right"/>
            </w:pPr>
            <w:r w:rsidRPr="00BF4D0A">
              <w:rPr>
                <w:color w:val="000000"/>
              </w:rPr>
              <w:t>$79</w:t>
            </w:r>
          </w:p>
        </w:tc>
        <w:tc>
          <w:tcPr>
            <w:tcW w:w="823" w:type="pct"/>
            <w:tcBorders>
              <w:bottom w:val="single" w:color="000000" w:sz="8" w:space="0"/>
            </w:tcBorders>
            <w:vAlign w:val="center"/>
          </w:tcPr>
          <w:p w:rsidRPr="00BF4D0A" w:rsidR="00126EA0" w:rsidP="00FF2AD1" w:rsidRDefault="00126EA0" w14:paraId="50E11295" w14:textId="77777777">
            <w:pPr>
              <w:ind w:left="98" w:right="69"/>
              <w:jc w:val="right"/>
            </w:pPr>
            <w:r w:rsidRPr="00BF4D0A">
              <w:t>1,527</w:t>
            </w:r>
          </w:p>
        </w:tc>
        <w:tc>
          <w:tcPr>
            <w:tcW w:w="778" w:type="pct"/>
            <w:tcBorders>
              <w:bottom w:val="single" w:color="000000" w:sz="8" w:space="0"/>
            </w:tcBorders>
            <w:vAlign w:val="center"/>
          </w:tcPr>
          <w:p w:rsidRPr="00BF4D0A" w:rsidR="00126EA0" w:rsidP="00FF2AD1" w:rsidRDefault="00126EA0" w14:paraId="6592C920" w14:textId="77777777">
            <w:pPr>
              <w:ind w:left="84" w:right="55"/>
              <w:jc w:val="right"/>
            </w:pPr>
            <w:r w:rsidRPr="00BF4D0A">
              <w:rPr>
                <w:color w:val="000000"/>
              </w:rPr>
              <w:t>$119,898</w:t>
            </w:r>
          </w:p>
        </w:tc>
      </w:tr>
      <w:tr w:rsidRPr="00BF4D0A" w:rsidR="00126EA0" w:rsidTr="00FF2AD1" w14:paraId="4EC47C4A" w14:textId="77777777">
        <w:trPr>
          <w:trHeight w:val="20"/>
          <w:jc w:val="center"/>
        </w:trPr>
        <w:tc>
          <w:tcPr>
            <w:tcW w:w="1694" w:type="pct"/>
            <w:tcBorders>
              <w:bottom w:val="single" w:color="000000" w:sz="8" w:space="0"/>
            </w:tcBorders>
            <w:vAlign w:val="center"/>
          </w:tcPr>
          <w:p w:rsidRPr="00BF4D0A" w:rsidR="00126EA0" w:rsidP="00FF2AD1" w:rsidRDefault="00126EA0" w14:paraId="26DDCF8E" w14:textId="77777777">
            <w:pPr>
              <w:ind w:left="112"/>
              <w:rPr>
                <w:b/>
              </w:rPr>
            </w:pPr>
            <w:r w:rsidRPr="00BF4D0A">
              <w:rPr>
                <w:b/>
              </w:rPr>
              <w:t>Total</w:t>
            </w:r>
          </w:p>
        </w:tc>
        <w:tc>
          <w:tcPr>
            <w:tcW w:w="928" w:type="pct"/>
            <w:tcBorders>
              <w:bottom w:val="single" w:color="000000" w:sz="8" w:space="0"/>
            </w:tcBorders>
            <w:vAlign w:val="center"/>
          </w:tcPr>
          <w:p w:rsidRPr="00BF4D0A" w:rsidR="00126EA0" w:rsidP="00FF2AD1" w:rsidRDefault="00126EA0" w14:paraId="267051E1" w14:textId="77777777">
            <w:pPr>
              <w:ind w:left="93" w:right="62"/>
              <w:jc w:val="center"/>
              <w:rPr>
                <w:b/>
              </w:rPr>
            </w:pPr>
          </w:p>
        </w:tc>
        <w:tc>
          <w:tcPr>
            <w:tcW w:w="778" w:type="pct"/>
            <w:tcBorders>
              <w:bottom w:val="single" w:color="000000" w:sz="8" w:space="0"/>
            </w:tcBorders>
            <w:vAlign w:val="center"/>
          </w:tcPr>
          <w:p w:rsidRPr="00BF4D0A" w:rsidR="00126EA0" w:rsidP="00FF2AD1" w:rsidRDefault="00126EA0" w14:paraId="3E01EFAB" w14:textId="77777777">
            <w:pPr>
              <w:ind w:left="292"/>
              <w:jc w:val="right"/>
              <w:rPr>
                <w:b/>
              </w:rPr>
            </w:pPr>
          </w:p>
        </w:tc>
        <w:tc>
          <w:tcPr>
            <w:tcW w:w="823" w:type="pct"/>
            <w:tcBorders>
              <w:bottom w:val="single" w:color="000000" w:sz="8" w:space="0"/>
            </w:tcBorders>
            <w:vAlign w:val="center"/>
          </w:tcPr>
          <w:p w:rsidRPr="00BF4D0A" w:rsidR="00126EA0" w:rsidP="00FF2AD1" w:rsidRDefault="00126EA0" w14:paraId="6B543F2C" w14:textId="77777777">
            <w:pPr>
              <w:ind w:left="98" w:right="69"/>
              <w:jc w:val="right"/>
              <w:rPr>
                <w:b/>
              </w:rPr>
            </w:pPr>
            <w:r w:rsidRPr="00BF4D0A">
              <w:rPr>
                <w:b/>
              </w:rPr>
              <w:t>7,105</w:t>
            </w:r>
          </w:p>
        </w:tc>
        <w:tc>
          <w:tcPr>
            <w:tcW w:w="778" w:type="pct"/>
            <w:tcBorders>
              <w:bottom w:val="single" w:color="000000" w:sz="8" w:space="0"/>
            </w:tcBorders>
            <w:vAlign w:val="center"/>
          </w:tcPr>
          <w:p w:rsidRPr="00BF4D0A" w:rsidR="00126EA0" w:rsidP="00FF2AD1" w:rsidRDefault="00126EA0" w14:paraId="1A0862D6" w14:textId="77777777">
            <w:pPr>
              <w:ind w:left="84" w:right="55"/>
              <w:jc w:val="right"/>
              <w:rPr>
                <w:b/>
              </w:rPr>
            </w:pPr>
            <w:r w:rsidRPr="00BF4D0A">
              <w:rPr>
                <w:color w:val="000000"/>
              </w:rPr>
              <w:t>$423,906</w:t>
            </w:r>
          </w:p>
        </w:tc>
      </w:tr>
      <w:tr w:rsidRPr="00BF4D0A" w:rsidR="00126EA0" w:rsidTr="00FF2AD1" w14:paraId="0DE910A6" w14:textId="77777777">
        <w:trPr>
          <w:trHeight w:val="20"/>
          <w:jc w:val="center"/>
        </w:trPr>
        <w:tc>
          <w:tcPr>
            <w:tcW w:w="1694" w:type="pct"/>
            <w:tcBorders>
              <w:top w:val="single" w:color="000000" w:sz="8" w:space="0"/>
            </w:tcBorders>
            <w:vAlign w:val="center"/>
          </w:tcPr>
          <w:p w:rsidRPr="00BF4D0A" w:rsidR="00126EA0" w:rsidP="00FF2AD1" w:rsidRDefault="00126EA0" w14:paraId="62E106D6" w14:textId="77777777">
            <w:pPr>
              <w:keepNext/>
              <w:ind w:left="1318" w:right="177" w:hanging="1243"/>
              <w:jc w:val="center"/>
              <w:rPr>
                <w:b/>
              </w:rPr>
            </w:pPr>
            <w:r w:rsidRPr="00BF4D0A">
              <w:rPr>
                <w:b/>
              </w:rPr>
              <w:t>Grand Total</w:t>
            </w:r>
          </w:p>
        </w:tc>
        <w:tc>
          <w:tcPr>
            <w:tcW w:w="928" w:type="pct"/>
            <w:tcBorders>
              <w:top w:val="single" w:color="000000" w:sz="8" w:space="0"/>
            </w:tcBorders>
            <w:vAlign w:val="center"/>
          </w:tcPr>
          <w:p w:rsidRPr="00BF4D0A" w:rsidR="00126EA0" w:rsidP="00FF2AD1" w:rsidRDefault="00126EA0" w14:paraId="6DD0256B" w14:textId="77777777">
            <w:pPr>
              <w:keepNext/>
              <w:jc w:val="center"/>
            </w:pPr>
          </w:p>
        </w:tc>
        <w:tc>
          <w:tcPr>
            <w:tcW w:w="778" w:type="pct"/>
            <w:tcBorders>
              <w:top w:val="single" w:color="000000" w:sz="8" w:space="0"/>
            </w:tcBorders>
            <w:vAlign w:val="center"/>
          </w:tcPr>
          <w:p w:rsidRPr="00BF4D0A" w:rsidR="00126EA0" w:rsidP="00FF2AD1" w:rsidRDefault="00126EA0" w14:paraId="6538665E" w14:textId="77777777">
            <w:pPr>
              <w:keepNext/>
              <w:jc w:val="right"/>
            </w:pPr>
          </w:p>
        </w:tc>
        <w:tc>
          <w:tcPr>
            <w:tcW w:w="823" w:type="pct"/>
            <w:tcBorders>
              <w:top w:val="single" w:color="000000" w:sz="8" w:space="0"/>
            </w:tcBorders>
            <w:vAlign w:val="center"/>
          </w:tcPr>
          <w:p w:rsidRPr="00BF4D0A" w:rsidR="00126EA0" w:rsidP="00FF2AD1" w:rsidRDefault="00126EA0" w14:paraId="3FBBFE96" w14:textId="77777777">
            <w:pPr>
              <w:keepNext/>
              <w:ind w:left="90" w:right="76"/>
              <w:jc w:val="right"/>
              <w:rPr>
                <w:b/>
              </w:rPr>
            </w:pPr>
            <w:r w:rsidRPr="00BF4D0A">
              <w:rPr>
                <w:b/>
              </w:rPr>
              <w:t>11,080</w:t>
            </w:r>
          </w:p>
        </w:tc>
        <w:tc>
          <w:tcPr>
            <w:tcW w:w="778" w:type="pct"/>
            <w:tcBorders>
              <w:top w:val="single" w:color="000000" w:sz="8" w:space="0"/>
            </w:tcBorders>
            <w:vAlign w:val="center"/>
          </w:tcPr>
          <w:p w:rsidRPr="00BF4D0A" w:rsidR="00126EA0" w:rsidP="00FF2AD1" w:rsidRDefault="00126EA0" w14:paraId="2A22A38D" w14:textId="77777777">
            <w:pPr>
              <w:keepNext/>
              <w:ind w:right="55"/>
              <w:jc w:val="right"/>
              <w:rPr>
                <w:b/>
              </w:rPr>
            </w:pPr>
            <w:r w:rsidRPr="00BF4D0A">
              <w:rPr>
                <w:b/>
                <w:color w:val="000000"/>
              </w:rPr>
              <w:t>$856,633</w:t>
            </w:r>
          </w:p>
        </w:tc>
      </w:tr>
    </w:tbl>
    <w:p w:rsidRPr="00BF4D0A" w:rsidR="00126EA0" w:rsidP="00126EA0" w:rsidRDefault="00126EA0" w14:paraId="41305B2A" w14:textId="77777777">
      <w:pPr>
        <w:keepNext/>
        <w:ind w:left="640"/>
      </w:pPr>
      <w:r w:rsidRPr="00BF4D0A">
        <w:rPr>
          <w:w w:val="105"/>
          <w:position w:val="6"/>
        </w:rPr>
        <w:t>*</w:t>
      </w:r>
      <w:r w:rsidRPr="00BF4D0A">
        <w:rPr>
          <w:w w:val="105"/>
        </w:rPr>
        <w:t>Totals may not sum due to rounding.</w:t>
      </w:r>
    </w:p>
    <w:p w:rsidR="00126EA0" w:rsidP="00126EA0" w:rsidRDefault="00126EA0" w14:paraId="77263033" w14:textId="77777777">
      <w:pPr>
        <w:ind w:firstLine="360"/>
      </w:pPr>
    </w:p>
    <w:p w:rsidRPr="005F4006" w:rsidR="00126EA0" w:rsidP="00126EA0" w:rsidRDefault="00126EA0" w14:paraId="0F13FB7B" w14:textId="77777777">
      <w:pPr>
        <w:rPr>
          <w:rStyle w:val="Strong"/>
          <w:rFonts w:asciiTheme="majorBidi" w:hAnsiTheme="majorBidi" w:cstheme="majorBidi"/>
          <w:b w:val="0"/>
          <w:bCs w:val="0"/>
          <w:i/>
          <w:iCs/>
          <w:sz w:val="22"/>
          <w:szCs w:val="28"/>
        </w:rPr>
      </w:pPr>
      <w:bookmarkStart w:name="_Toc101350551" w:id="10"/>
      <w:bookmarkStart w:name="_Toc101350900" w:id="11"/>
      <w:bookmarkStart w:name="_Toc101351041" w:id="12"/>
      <w:bookmarkStart w:name="_Toc101351355" w:id="13"/>
      <w:bookmarkStart w:name="_Toc108436901" w:id="14"/>
      <w:r w:rsidRPr="005F4006">
        <w:rPr>
          <w:rStyle w:val="Strong"/>
          <w:rFonts w:asciiTheme="majorBidi" w:hAnsiTheme="majorBidi" w:cstheme="majorBidi"/>
          <w:b w:val="0"/>
          <w:bCs w:val="0"/>
          <w:i/>
          <w:iCs/>
          <w:sz w:val="22"/>
          <w:szCs w:val="28"/>
        </w:rPr>
        <w:t>Emergency Backup Power for Perimeter Monitors</w:t>
      </w:r>
      <w:bookmarkEnd w:id="10"/>
      <w:bookmarkEnd w:id="11"/>
      <w:bookmarkEnd w:id="12"/>
      <w:bookmarkEnd w:id="13"/>
      <w:bookmarkEnd w:id="14"/>
    </w:p>
    <w:p w:rsidRPr="00875E5E" w:rsidR="00126EA0" w:rsidP="00126EA0" w:rsidRDefault="00126EA0" w14:paraId="0CA36757" w14:textId="6E8BF5C7">
      <w:pPr>
        <w:pStyle w:val="ListParagraph"/>
        <w:ind w:left="0" w:firstLine="360"/>
        <w:rPr>
          <w:sz w:val="22"/>
          <w:szCs w:val="28"/>
        </w:rPr>
      </w:pPr>
      <w:r w:rsidRPr="00875E5E">
        <w:rPr>
          <w:sz w:val="22"/>
          <w:szCs w:val="28"/>
        </w:rPr>
        <w:tab/>
        <w:t>The proposed rule’s backup power provision would require facilities with processes that have perimeter monitors and have identified power loss as a major hazard to implement emergency backup power for their perimeter monitors. Among these facilities, those that have not yet implemented emergency backup power will incur a cost to purchase and install a backup generator for their perimeter monitors. EPA assumes the life of the backup generator to be longer than the 10-year time frame of analysis. EPA makes the conservative assumption that facilities will pay for the backup generator in a lump sum in year 1</w:t>
      </w:r>
      <w:r w:rsidRPr="00875E5E" w:rsidDel="00B031A2">
        <w:rPr>
          <w:sz w:val="22"/>
          <w:szCs w:val="28"/>
        </w:rPr>
        <w:t>.</w:t>
      </w:r>
      <w:r w:rsidRPr="00875E5E">
        <w:rPr>
          <w:sz w:val="22"/>
          <w:szCs w:val="28"/>
        </w:rPr>
        <w:t xml:space="preserve"> Exhibit </w:t>
      </w:r>
      <w:r w:rsidR="00F1448F">
        <w:rPr>
          <w:sz w:val="22"/>
          <w:szCs w:val="28"/>
        </w:rPr>
        <w:t>12</w:t>
      </w:r>
      <w:r w:rsidRPr="00875E5E" w:rsidR="00F1448F">
        <w:rPr>
          <w:sz w:val="22"/>
          <w:szCs w:val="28"/>
        </w:rPr>
        <w:t xml:space="preserve"> </w:t>
      </w:r>
      <w:r w:rsidRPr="00875E5E">
        <w:rPr>
          <w:sz w:val="22"/>
          <w:szCs w:val="28"/>
        </w:rPr>
        <w:t>presents the costs for the provision.</w:t>
      </w:r>
      <w:r w:rsidRPr="00875E5E">
        <w:rPr>
          <w:sz w:val="22"/>
          <w:szCs w:val="28"/>
        </w:rPr>
        <w:br/>
      </w:r>
    </w:p>
    <w:p w:rsidRPr="00576F93" w:rsidR="00126EA0" w:rsidP="00126EA0" w:rsidRDefault="00126EA0" w14:paraId="73C03D48" w14:textId="46900B30">
      <w:pPr>
        <w:pStyle w:val="Caption"/>
        <w:keepNext/>
        <w:widowControl/>
        <w:spacing w:after="0"/>
        <w:jc w:val="center"/>
        <w:rPr>
          <w:b/>
          <w:bCs/>
          <w:i w:val="0"/>
          <w:iCs w:val="0"/>
          <w:color w:val="auto"/>
          <w:sz w:val="22"/>
          <w:szCs w:val="22"/>
        </w:rPr>
      </w:pPr>
      <w:r w:rsidRPr="00576F93">
        <w:rPr>
          <w:b/>
          <w:bCs/>
          <w:i w:val="0"/>
          <w:iCs w:val="0"/>
          <w:color w:val="auto"/>
          <w:sz w:val="22"/>
          <w:szCs w:val="22"/>
        </w:rPr>
        <w:t xml:space="preserve">Exhibit </w:t>
      </w:r>
      <w:r w:rsidR="00F1448F">
        <w:rPr>
          <w:b/>
          <w:bCs/>
          <w:i w:val="0"/>
          <w:iCs w:val="0"/>
          <w:color w:val="auto"/>
          <w:sz w:val="22"/>
          <w:szCs w:val="22"/>
        </w:rPr>
        <w:t>12</w:t>
      </w:r>
      <w:r w:rsidRPr="00576F93">
        <w:rPr>
          <w:b/>
          <w:bCs/>
          <w:i w:val="0"/>
          <w:iCs w:val="0"/>
          <w:color w:val="auto"/>
          <w:sz w:val="22"/>
          <w:szCs w:val="22"/>
        </w:rPr>
        <w:t xml:space="preserve">: Total Undiscounted Costs for Backup Generator for Perimeter Monitors at Facilities with a Perimeter Monitor </w:t>
      </w:r>
      <w:r w:rsidR="0074445B">
        <w:rPr>
          <w:b/>
          <w:bCs/>
          <w:i w:val="0"/>
          <w:iCs w:val="0"/>
          <w:color w:val="auto"/>
          <w:sz w:val="22"/>
          <w:szCs w:val="22"/>
        </w:rPr>
        <w:t xml:space="preserve">Process </w:t>
      </w:r>
      <w:r w:rsidRPr="00576F93">
        <w:rPr>
          <w:b/>
          <w:bCs/>
          <w:i w:val="0"/>
          <w:iCs w:val="0"/>
          <w:color w:val="auto"/>
          <w:sz w:val="22"/>
          <w:szCs w:val="22"/>
        </w:rPr>
        <w:t xml:space="preserve">and Power Loss Hazard </w:t>
      </w:r>
      <w:r>
        <w:rPr>
          <w:b/>
          <w:bCs/>
          <w:i w:val="0"/>
          <w:iCs w:val="0"/>
          <w:color w:val="auto"/>
          <w:sz w:val="22"/>
          <w:szCs w:val="22"/>
        </w:rPr>
        <w:t>without</w:t>
      </w:r>
      <w:r w:rsidRPr="00576F93">
        <w:rPr>
          <w:b/>
          <w:bCs/>
          <w:i w:val="0"/>
          <w:iCs w:val="0"/>
          <w:color w:val="auto"/>
          <w:sz w:val="22"/>
          <w:szCs w:val="22"/>
        </w:rPr>
        <w:t xml:space="preserve"> Backup Power (2020 Dollars)</w:t>
      </w:r>
    </w:p>
    <w:tbl>
      <w:tblPr>
        <w:tblW w:w="4788" w:type="pct"/>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0" w:type="dxa"/>
          <w:right w:w="0" w:type="dxa"/>
        </w:tblCellMar>
        <w:tblLook w:val="01E0" w:firstRow="1" w:lastRow="1" w:firstColumn="1" w:lastColumn="1" w:noHBand="0" w:noVBand="0"/>
      </w:tblPr>
      <w:tblGrid>
        <w:gridCol w:w="2152"/>
        <w:gridCol w:w="1437"/>
        <w:gridCol w:w="1357"/>
        <w:gridCol w:w="4002"/>
      </w:tblGrid>
      <w:tr w:rsidRPr="00BF4D0A" w:rsidR="00126EA0" w:rsidTr="00FF2AD1" w14:paraId="434EC32C" w14:textId="77777777">
        <w:trPr>
          <w:trHeight w:val="20"/>
        </w:trPr>
        <w:tc>
          <w:tcPr>
            <w:tcW w:w="1203" w:type="pct"/>
            <w:tcBorders>
              <w:bottom w:val="single" w:color="000000" w:sz="8" w:space="0"/>
            </w:tcBorders>
            <w:shd w:val="clear" w:color="auto" w:fill="DADADA"/>
            <w:vAlign w:val="center"/>
          </w:tcPr>
          <w:p w:rsidRPr="00576F93" w:rsidR="00126EA0" w:rsidP="00FF2AD1" w:rsidRDefault="00126EA0" w14:paraId="30FBFAB4" w14:textId="77777777">
            <w:pPr>
              <w:keepNext/>
              <w:ind w:left="1345" w:right="78" w:hanging="1242"/>
              <w:jc w:val="center"/>
              <w:rPr>
                <w:b/>
                <w:szCs w:val="20"/>
              </w:rPr>
            </w:pPr>
            <w:r w:rsidRPr="00576F93">
              <w:rPr>
                <w:b/>
                <w:szCs w:val="20"/>
              </w:rPr>
              <w:t>Facility Type</w:t>
            </w:r>
          </w:p>
        </w:tc>
        <w:tc>
          <w:tcPr>
            <w:tcW w:w="803" w:type="pct"/>
            <w:tcBorders>
              <w:bottom w:val="single" w:color="000000" w:sz="8" w:space="0"/>
            </w:tcBorders>
            <w:shd w:val="clear" w:color="auto" w:fill="DADADA"/>
            <w:vAlign w:val="center"/>
          </w:tcPr>
          <w:p w:rsidRPr="00576F93" w:rsidR="00126EA0" w:rsidP="00FF2AD1" w:rsidRDefault="00126EA0" w14:paraId="4DCD957F" w14:textId="77777777">
            <w:pPr>
              <w:keepNext/>
              <w:ind w:left="85" w:right="84"/>
              <w:jc w:val="center"/>
              <w:rPr>
                <w:b/>
                <w:szCs w:val="20"/>
              </w:rPr>
            </w:pPr>
            <w:r w:rsidRPr="00576F93">
              <w:rPr>
                <w:b/>
                <w:szCs w:val="20"/>
              </w:rPr>
              <w:t>Unit Cost</w:t>
            </w:r>
          </w:p>
        </w:tc>
        <w:tc>
          <w:tcPr>
            <w:tcW w:w="758" w:type="pct"/>
            <w:tcBorders>
              <w:bottom w:val="single" w:color="000000" w:sz="8" w:space="0"/>
            </w:tcBorders>
            <w:shd w:val="clear" w:color="auto" w:fill="DADADA"/>
            <w:vAlign w:val="center"/>
          </w:tcPr>
          <w:p w:rsidRPr="00576F93" w:rsidR="00126EA0" w:rsidP="00FF2AD1" w:rsidRDefault="00126EA0" w14:paraId="62ECF543" w14:textId="77777777">
            <w:pPr>
              <w:keepNext/>
              <w:ind w:left="98" w:right="76"/>
              <w:jc w:val="center"/>
              <w:rPr>
                <w:b/>
                <w:szCs w:val="20"/>
              </w:rPr>
            </w:pPr>
            <w:r w:rsidRPr="00576F93">
              <w:rPr>
                <w:b/>
                <w:szCs w:val="20"/>
              </w:rPr>
              <w:t>Facilities</w:t>
            </w:r>
          </w:p>
        </w:tc>
        <w:tc>
          <w:tcPr>
            <w:tcW w:w="2236" w:type="pct"/>
            <w:tcBorders>
              <w:bottom w:val="single" w:color="000000" w:sz="8" w:space="0"/>
            </w:tcBorders>
            <w:shd w:val="clear" w:color="auto" w:fill="DADADA"/>
            <w:vAlign w:val="center"/>
          </w:tcPr>
          <w:p w:rsidRPr="00576F93" w:rsidR="00126EA0" w:rsidP="00FF2AD1" w:rsidRDefault="00126EA0" w14:paraId="3789FA29" w14:textId="77777777">
            <w:pPr>
              <w:keepNext/>
              <w:ind w:left="91" w:right="55"/>
              <w:jc w:val="center"/>
              <w:rPr>
                <w:b/>
                <w:szCs w:val="20"/>
              </w:rPr>
            </w:pPr>
            <w:r w:rsidRPr="00576F93">
              <w:rPr>
                <w:b/>
                <w:szCs w:val="20"/>
              </w:rPr>
              <w:t>Total</w:t>
            </w:r>
            <w:r>
              <w:rPr>
                <w:b/>
                <w:szCs w:val="20"/>
              </w:rPr>
              <w:t xml:space="preserve"> </w:t>
            </w:r>
            <w:r w:rsidRPr="00576F93">
              <w:rPr>
                <w:b/>
                <w:szCs w:val="20"/>
              </w:rPr>
              <w:t>Cost</w:t>
            </w:r>
            <w:r>
              <w:rPr>
                <w:b/>
                <w:szCs w:val="20"/>
              </w:rPr>
              <w:t xml:space="preserve"> (incurred in Year 1)</w:t>
            </w:r>
          </w:p>
        </w:tc>
      </w:tr>
      <w:tr w:rsidRPr="00BF4D0A" w:rsidR="00126EA0" w:rsidTr="00FF2AD1" w14:paraId="7A17F4FC" w14:textId="77777777">
        <w:trPr>
          <w:trHeight w:val="20"/>
        </w:trPr>
        <w:tc>
          <w:tcPr>
            <w:tcW w:w="1203" w:type="pct"/>
            <w:vAlign w:val="center"/>
          </w:tcPr>
          <w:p w:rsidRPr="00576F93" w:rsidR="00126EA0" w:rsidP="00FF2AD1" w:rsidRDefault="00126EA0" w14:paraId="3FA24561" w14:textId="77777777">
            <w:pPr>
              <w:keepNext/>
              <w:ind w:left="112"/>
              <w:jc w:val="center"/>
              <w:rPr>
                <w:b/>
                <w:szCs w:val="20"/>
              </w:rPr>
            </w:pPr>
            <w:r w:rsidRPr="00576F93">
              <w:rPr>
                <w:b/>
                <w:szCs w:val="20"/>
              </w:rPr>
              <w:t>Total</w:t>
            </w:r>
          </w:p>
        </w:tc>
        <w:tc>
          <w:tcPr>
            <w:tcW w:w="803" w:type="pct"/>
            <w:vAlign w:val="center"/>
          </w:tcPr>
          <w:p w:rsidRPr="00576F93" w:rsidR="00126EA0" w:rsidP="00FF2AD1" w:rsidRDefault="00126EA0" w14:paraId="4F4C5E46" w14:textId="77777777">
            <w:pPr>
              <w:keepNext/>
              <w:ind w:right="84"/>
              <w:jc w:val="center"/>
              <w:rPr>
                <w:szCs w:val="20"/>
              </w:rPr>
            </w:pPr>
            <w:r w:rsidRPr="00576F93">
              <w:rPr>
                <w:szCs w:val="20"/>
              </w:rPr>
              <w:t>$1,000</w:t>
            </w:r>
          </w:p>
        </w:tc>
        <w:tc>
          <w:tcPr>
            <w:tcW w:w="758" w:type="pct"/>
            <w:vAlign w:val="center"/>
          </w:tcPr>
          <w:p w:rsidRPr="00576F93" w:rsidR="00126EA0" w:rsidP="00FF2AD1" w:rsidRDefault="00126EA0" w14:paraId="3FC97A92" w14:textId="77777777">
            <w:pPr>
              <w:keepNext/>
              <w:ind w:left="98" w:right="69"/>
              <w:jc w:val="center"/>
              <w:rPr>
                <w:szCs w:val="20"/>
              </w:rPr>
            </w:pPr>
            <w:r w:rsidRPr="00576F93">
              <w:rPr>
                <w:szCs w:val="20"/>
              </w:rPr>
              <w:t>392</w:t>
            </w:r>
          </w:p>
        </w:tc>
        <w:tc>
          <w:tcPr>
            <w:tcW w:w="2236" w:type="pct"/>
            <w:vAlign w:val="center"/>
          </w:tcPr>
          <w:p w:rsidRPr="00576F93" w:rsidR="00126EA0" w:rsidP="00FF2AD1" w:rsidRDefault="00126EA0" w14:paraId="2F701665" w14:textId="77777777">
            <w:pPr>
              <w:keepNext/>
              <w:ind w:left="69" w:right="55"/>
              <w:jc w:val="center"/>
              <w:rPr>
                <w:szCs w:val="20"/>
              </w:rPr>
            </w:pPr>
            <w:r w:rsidRPr="00576F93">
              <w:rPr>
                <w:szCs w:val="20"/>
              </w:rPr>
              <w:t>$</w:t>
            </w:r>
            <w:r>
              <w:rPr>
                <w:szCs w:val="20"/>
              </w:rPr>
              <w:t>392,0</w:t>
            </w:r>
            <w:r w:rsidRPr="00576F93">
              <w:rPr>
                <w:szCs w:val="20"/>
              </w:rPr>
              <w:t>00</w:t>
            </w:r>
          </w:p>
        </w:tc>
      </w:tr>
    </w:tbl>
    <w:p w:rsidR="002F30B9" w:rsidP="002F30B9" w:rsidRDefault="002F30B9" w14:paraId="7288A57A" w14:textId="2E0DBED9">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highlight w:val="yellow"/>
        </w:rPr>
      </w:pPr>
    </w:p>
    <w:p w:rsidR="00CC675F" w:rsidP="00DF7A6C" w:rsidRDefault="00DF7A6C" w14:paraId="14119E91" w14:textId="19DE7031">
      <w:pPr>
        <w:rPr>
          <w:b/>
          <w:bCs/>
          <w:sz w:val="22"/>
          <w:szCs w:val="28"/>
          <w:u w:val="single"/>
        </w:rPr>
      </w:pPr>
      <w:r w:rsidRPr="00002269">
        <w:rPr>
          <w:b/>
          <w:bCs/>
          <w:sz w:val="22"/>
          <w:szCs w:val="28"/>
          <w:u w:val="single"/>
        </w:rPr>
        <w:t>Emergency Response</w:t>
      </w:r>
    </w:p>
    <w:p w:rsidRPr="00002269" w:rsidR="00980528" w:rsidP="00DF7A6C" w:rsidRDefault="00980528" w14:paraId="0582C446" w14:textId="77777777">
      <w:pPr>
        <w:rPr>
          <w:b/>
          <w:bCs/>
          <w:sz w:val="22"/>
          <w:szCs w:val="28"/>
          <w:u w:val="single"/>
        </w:rPr>
      </w:pPr>
    </w:p>
    <w:p w:rsidRPr="00DF7A6C" w:rsidR="00DF7A6C" w:rsidP="00DF7A6C" w:rsidRDefault="00DF7A6C" w14:paraId="58B40027" w14:textId="77777777">
      <w:pPr>
        <w:rPr>
          <w:bCs/>
          <w:i/>
          <w:iCs/>
          <w:sz w:val="22"/>
          <w:szCs w:val="28"/>
          <w:lang w:bidi="en-US"/>
        </w:rPr>
      </w:pPr>
      <w:bookmarkStart w:name="5.4.1__Emergency_Response_Program_Coordi" w:id="15"/>
      <w:bookmarkEnd w:id="15"/>
      <w:r w:rsidRPr="00DF7A6C">
        <w:rPr>
          <w:bCs/>
          <w:i/>
          <w:iCs/>
          <w:sz w:val="22"/>
          <w:szCs w:val="28"/>
          <w:lang w:bidi="en-US"/>
        </w:rPr>
        <w:t>Community Notification of RMP Accidents</w:t>
      </w:r>
    </w:p>
    <w:p w:rsidRPr="00DF7A6C" w:rsidR="00DF7A6C" w:rsidP="00DF7A6C" w:rsidRDefault="00DF7A6C" w14:paraId="0C76B768" w14:textId="60CBFB0A">
      <w:pPr>
        <w:ind w:right="338" w:firstLine="360"/>
        <w:rPr>
          <w:sz w:val="22"/>
          <w:szCs w:val="28"/>
        </w:rPr>
      </w:pPr>
      <w:r w:rsidRPr="00DF7A6C">
        <w:rPr>
          <w:sz w:val="22"/>
          <w:szCs w:val="28"/>
        </w:rPr>
        <w:tab/>
        <w:t xml:space="preserve">The RMP rule currently requires only responding Program 2 and 3 facilities to have procedures in place for informing the public and the appropriate Federal, State, and local emergency response agencies about accidental releases. The proposed rule would require both responding and non-responding Program 2 and 3 facilities to ensure a community notification system is in place. This analysis assumes that facilities are coordinating annually with LEPCs to ensure a community notification system is used to communicate information about RMP-reportable accidents. Exhibit </w:t>
      </w:r>
      <w:r w:rsidR="00F1448F">
        <w:rPr>
          <w:sz w:val="22"/>
          <w:szCs w:val="28"/>
        </w:rPr>
        <w:t>13</w:t>
      </w:r>
      <w:r w:rsidRPr="00DF7A6C" w:rsidR="00F1448F">
        <w:rPr>
          <w:sz w:val="22"/>
          <w:szCs w:val="28"/>
        </w:rPr>
        <w:t xml:space="preserve"> </w:t>
      </w:r>
      <w:r w:rsidRPr="00DF7A6C">
        <w:rPr>
          <w:sz w:val="22"/>
          <w:szCs w:val="28"/>
        </w:rPr>
        <w:t>presents the cost for this provision.</w:t>
      </w:r>
    </w:p>
    <w:p w:rsidRPr="00BF4D0A" w:rsidR="00DF7A6C" w:rsidP="00DF7A6C" w:rsidRDefault="00DF7A6C" w14:paraId="4166BF16" w14:textId="77777777">
      <w:pPr>
        <w:ind w:firstLine="720"/>
      </w:pPr>
    </w:p>
    <w:p w:rsidRPr="009C6838" w:rsidR="00DF7A6C" w:rsidP="00DF7A6C" w:rsidRDefault="00DF7A6C" w14:paraId="1DBD9293" w14:textId="0C6AA28D">
      <w:pPr>
        <w:keepNext/>
        <w:jc w:val="center"/>
        <w:rPr>
          <w:b/>
          <w:sz w:val="22"/>
          <w:szCs w:val="28"/>
        </w:rPr>
      </w:pPr>
      <w:r w:rsidRPr="009C6838">
        <w:rPr>
          <w:b/>
          <w:bCs/>
          <w:sz w:val="22"/>
          <w:szCs w:val="28"/>
        </w:rPr>
        <w:t>Exhibit</w:t>
      </w:r>
      <w:r w:rsidRPr="009C6838">
        <w:rPr>
          <w:sz w:val="22"/>
          <w:szCs w:val="28"/>
        </w:rPr>
        <w:t xml:space="preserve"> </w:t>
      </w:r>
      <w:r w:rsidRPr="009C6838" w:rsidR="00F1448F">
        <w:rPr>
          <w:b/>
          <w:sz w:val="22"/>
          <w:szCs w:val="28"/>
        </w:rPr>
        <w:t>13</w:t>
      </w:r>
      <w:r w:rsidRPr="009C6838">
        <w:rPr>
          <w:b/>
          <w:sz w:val="22"/>
          <w:szCs w:val="28"/>
        </w:rPr>
        <w:t>: Costs for Coordinating Community Notification (2020 dollars)</w:t>
      </w:r>
    </w:p>
    <w:tbl>
      <w:tblPr>
        <w:tblW w:w="5000" w:type="pct"/>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0" w:type="dxa"/>
          <w:right w:w="0" w:type="dxa"/>
        </w:tblCellMar>
        <w:tblLook w:val="01E0" w:firstRow="1" w:lastRow="1" w:firstColumn="1" w:lastColumn="1" w:noHBand="0" w:noVBand="0"/>
      </w:tblPr>
      <w:tblGrid>
        <w:gridCol w:w="2061"/>
        <w:gridCol w:w="2740"/>
        <w:gridCol w:w="1497"/>
        <w:gridCol w:w="1428"/>
        <w:gridCol w:w="1618"/>
      </w:tblGrid>
      <w:tr w:rsidRPr="00BF4D0A" w:rsidR="00DF7A6C" w:rsidTr="00DF7A6C" w14:paraId="5B725BC5" w14:textId="77777777">
        <w:trPr>
          <w:trHeight w:val="20"/>
          <w:tblHeader/>
        </w:trPr>
        <w:tc>
          <w:tcPr>
            <w:tcW w:w="1103" w:type="pct"/>
            <w:shd w:val="clear" w:color="auto" w:fill="DADADA"/>
            <w:vAlign w:val="bottom"/>
          </w:tcPr>
          <w:p w:rsidRPr="00BF4D0A" w:rsidR="00DF7A6C" w:rsidP="00FF2AD1" w:rsidRDefault="00DF7A6C" w14:paraId="5D5702E6" w14:textId="77777777">
            <w:pPr>
              <w:keepNext/>
              <w:ind w:hanging="17"/>
              <w:rPr>
                <w:b/>
              </w:rPr>
            </w:pPr>
            <w:r>
              <w:rPr>
                <w:b/>
              </w:rPr>
              <w:t xml:space="preserve">  </w:t>
            </w:r>
            <w:r w:rsidRPr="00BF4D0A">
              <w:rPr>
                <w:b/>
              </w:rPr>
              <w:t>Facility Type</w:t>
            </w:r>
          </w:p>
        </w:tc>
        <w:tc>
          <w:tcPr>
            <w:tcW w:w="1466" w:type="pct"/>
            <w:shd w:val="clear" w:color="auto" w:fill="DADADA"/>
            <w:vAlign w:val="bottom"/>
          </w:tcPr>
          <w:p w:rsidRPr="00BF4D0A" w:rsidR="00DF7A6C" w:rsidP="00FF2AD1" w:rsidRDefault="00DF7A6C" w14:paraId="6E170A1E" w14:textId="77777777">
            <w:pPr>
              <w:keepNext/>
              <w:ind w:left="103" w:right="49"/>
              <w:jc w:val="center"/>
              <w:rPr>
                <w:b/>
              </w:rPr>
            </w:pPr>
            <w:r w:rsidRPr="00BF4D0A">
              <w:rPr>
                <w:b/>
              </w:rPr>
              <w:t>Annual Frequency</w:t>
            </w:r>
          </w:p>
        </w:tc>
        <w:tc>
          <w:tcPr>
            <w:tcW w:w="801" w:type="pct"/>
            <w:shd w:val="clear" w:color="auto" w:fill="DADADA"/>
            <w:vAlign w:val="bottom"/>
          </w:tcPr>
          <w:p w:rsidRPr="00BF4D0A" w:rsidR="00DF7A6C" w:rsidP="00FF2AD1" w:rsidRDefault="00DF7A6C" w14:paraId="04EC1591" w14:textId="77777777">
            <w:pPr>
              <w:keepNext/>
              <w:ind w:left="79" w:right="52"/>
              <w:jc w:val="center"/>
              <w:rPr>
                <w:b/>
              </w:rPr>
            </w:pPr>
            <w:r w:rsidRPr="00BF4D0A">
              <w:rPr>
                <w:b/>
              </w:rPr>
              <w:t>Unit Cost</w:t>
            </w:r>
          </w:p>
        </w:tc>
        <w:tc>
          <w:tcPr>
            <w:tcW w:w="764" w:type="pct"/>
            <w:tcBorders>
              <w:right w:val="single" w:color="000000" w:sz="8" w:space="0"/>
            </w:tcBorders>
            <w:shd w:val="clear" w:color="auto" w:fill="DADADA"/>
            <w:vAlign w:val="bottom"/>
          </w:tcPr>
          <w:p w:rsidRPr="00BF4D0A" w:rsidR="00DF7A6C" w:rsidP="00FF2AD1" w:rsidRDefault="00DF7A6C" w14:paraId="7004081B" w14:textId="77777777">
            <w:pPr>
              <w:keepNext/>
              <w:ind w:left="66" w:right="67"/>
              <w:jc w:val="center"/>
              <w:rPr>
                <w:b/>
              </w:rPr>
            </w:pPr>
            <w:r w:rsidRPr="00BF4D0A">
              <w:rPr>
                <w:b/>
              </w:rPr>
              <w:t>Facilities</w:t>
            </w:r>
          </w:p>
        </w:tc>
        <w:tc>
          <w:tcPr>
            <w:tcW w:w="866" w:type="pct"/>
            <w:tcBorders>
              <w:left w:val="single" w:color="000000" w:sz="8" w:space="0"/>
            </w:tcBorders>
            <w:shd w:val="clear" w:color="auto" w:fill="DADADA"/>
            <w:vAlign w:val="bottom"/>
          </w:tcPr>
          <w:p w:rsidRPr="00BF4D0A" w:rsidR="00DF7A6C" w:rsidP="00FF2AD1" w:rsidRDefault="00DF7A6C" w14:paraId="65B7E8FF" w14:textId="77777777">
            <w:pPr>
              <w:keepNext/>
              <w:ind w:left="76" w:right="51"/>
              <w:jc w:val="center"/>
              <w:rPr>
                <w:b/>
              </w:rPr>
            </w:pPr>
            <w:r w:rsidRPr="00BF4D0A">
              <w:rPr>
                <w:b/>
              </w:rPr>
              <w:t>Total Cost</w:t>
            </w:r>
          </w:p>
        </w:tc>
      </w:tr>
      <w:tr w:rsidRPr="00BF4D0A" w:rsidR="00DF7A6C" w:rsidTr="00DF7A6C" w14:paraId="670E49DA" w14:textId="77777777">
        <w:trPr>
          <w:trHeight w:val="20"/>
        </w:trPr>
        <w:tc>
          <w:tcPr>
            <w:tcW w:w="5000" w:type="pct"/>
            <w:gridSpan w:val="5"/>
            <w:shd w:val="clear" w:color="auto" w:fill="F2F2F2" w:themeFill="background1" w:themeFillShade="F2"/>
          </w:tcPr>
          <w:p w:rsidRPr="00BF4D0A" w:rsidR="00DF7A6C" w:rsidP="00FF2AD1" w:rsidRDefault="00DF7A6C" w14:paraId="4D378C4D" w14:textId="77777777">
            <w:pPr>
              <w:ind w:left="63" w:right="51" w:firstLine="10"/>
              <w:rPr>
                <w:b/>
              </w:rPr>
            </w:pPr>
            <w:r w:rsidRPr="00BF4D0A">
              <w:rPr>
                <w:b/>
              </w:rPr>
              <w:t>Facility Burden</w:t>
            </w:r>
          </w:p>
        </w:tc>
      </w:tr>
      <w:tr w:rsidRPr="00BF4D0A" w:rsidR="00DF7A6C" w:rsidTr="00DF7A6C" w14:paraId="23FCD842" w14:textId="77777777">
        <w:trPr>
          <w:trHeight w:val="20"/>
        </w:trPr>
        <w:tc>
          <w:tcPr>
            <w:tcW w:w="1103" w:type="pct"/>
            <w:vAlign w:val="bottom"/>
          </w:tcPr>
          <w:p w:rsidRPr="00BF4D0A" w:rsidR="00DF7A6C" w:rsidP="00FF2AD1" w:rsidRDefault="00DF7A6C" w14:paraId="2A340EE8" w14:textId="77777777">
            <w:pPr>
              <w:ind w:left="73"/>
            </w:pPr>
            <w:r w:rsidRPr="00BF4D0A">
              <w:t>Simple P2/3</w:t>
            </w:r>
          </w:p>
        </w:tc>
        <w:tc>
          <w:tcPr>
            <w:tcW w:w="1466" w:type="pct"/>
            <w:vAlign w:val="bottom"/>
          </w:tcPr>
          <w:p w:rsidRPr="00BF4D0A" w:rsidR="00DF7A6C" w:rsidP="00FF2AD1" w:rsidRDefault="00DF7A6C" w14:paraId="2A2CA489" w14:textId="77777777">
            <w:pPr>
              <w:ind w:left="46"/>
              <w:jc w:val="center"/>
            </w:pPr>
            <w:r w:rsidRPr="00BF4D0A">
              <w:t>1</w:t>
            </w:r>
          </w:p>
        </w:tc>
        <w:tc>
          <w:tcPr>
            <w:tcW w:w="801" w:type="pct"/>
            <w:vAlign w:val="bottom"/>
          </w:tcPr>
          <w:p w:rsidRPr="00BF4D0A" w:rsidR="00DF7A6C" w:rsidP="00FF2AD1" w:rsidRDefault="00DF7A6C" w14:paraId="0DB0F5D6" w14:textId="77777777">
            <w:pPr>
              <w:ind w:left="82" w:right="52"/>
              <w:jc w:val="center"/>
            </w:pPr>
            <w:r w:rsidRPr="00BF4D0A">
              <w:t>$206</w:t>
            </w:r>
          </w:p>
        </w:tc>
        <w:tc>
          <w:tcPr>
            <w:tcW w:w="764" w:type="pct"/>
            <w:tcBorders>
              <w:right w:val="single" w:color="000000" w:sz="8" w:space="0"/>
            </w:tcBorders>
            <w:vAlign w:val="bottom"/>
          </w:tcPr>
          <w:p w:rsidRPr="00BF4D0A" w:rsidR="00DF7A6C" w:rsidP="00FF2AD1" w:rsidRDefault="00DF7A6C" w14:paraId="58D3D2F4" w14:textId="77777777">
            <w:pPr>
              <w:ind w:left="69" w:right="67"/>
              <w:jc w:val="center"/>
            </w:pPr>
            <w:r w:rsidRPr="00BF4D0A">
              <w:t>9,288</w:t>
            </w:r>
          </w:p>
        </w:tc>
        <w:tc>
          <w:tcPr>
            <w:tcW w:w="866" w:type="pct"/>
            <w:tcBorders>
              <w:left w:val="single" w:color="000000" w:sz="8" w:space="0"/>
            </w:tcBorders>
            <w:vAlign w:val="bottom"/>
          </w:tcPr>
          <w:p w:rsidRPr="00BF4D0A" w:rsidR="00DF7A6C" w:rsidP="00FF2AD1" w:rsidRDefault="00DF7A6C" w14:paraId="5150CE08" w14:textId="77777777">
            <w:pPr>
              <w:ind w:left="63" w:right="51"/>
              <w:jc w:val="center"/>
            </w:pPr>
            <w:r w:rsidRPr="00BF4D0A">
              <w:t>$1,914,504</w:t>
            </w:r>
          </w:p>
        </w:tc>
      </w:tr>
      <w:tr w:rsidRPr="00BF4D0A" w:rsidR="00DF7A6C" w:rsidTr="00DF7A6C" w14:paraId="59A24746" w14:textId="77777777">
        <w:trPr>
          <w:trHeight w:val="20"/>
        </w:trPr>
        <w:tc>
          <w:tcPr>
            <w:tcW w:w="1103" w:type="pct"/>
            <w:vAlign w:val="bottom"/>
          </w:tcPr>
          <w:p w:rsidRPr="00BF4D0A" w:rsidR="00DF7A6C" w:rsidP="00FF2AD1" w:rsidRDefault="00DF7A6C" w14:paraId="36011D2A" w14:textId="77777777">
            <w:pPr>
              <w:ind w:left="73"/>
            </w:pPr>
            <w:r w:rsidRPr="00BF4D0A">
              <w:t>Complex P2/3</w:t>
            </w:r>
          </w:p>
        </w:tc>
        <w:tc>
          <w:tcPr>
            <w:tcW w:w="1466" w:type="pct"/>
            <w:vAlign w:val="bottom"/>
          </w:tcPr>
          <w:p w:rsidRPr="00BF4D0A" w:rsidR="00DF7A6C" w:rsidP="00FF2AD1" w:rsidRDefault="00DF7A6C" w14:paraId="63C8AF25" w14:textId="77777777">
            <w:pPr>
              <w:ind w:left="46"/>
              <w:jc w:val="center"/>
            </w:pPr>
            <w:r w:rsidRPr="00BF4D0A">
              <w:t>1</w:t>
            </w:r>
          </w:p>
        </w:tc>
        <w:tc>
          <w:tcPr>
            <w:tcW w:w="801" w:type="pct"/>
            <w:vAlign w:val="bottom"/>
          </w:tcPr>
          <w:p w:rsidRPr="00BF4D0A" w:rsidR="00DF7A6C" w:rsidP="00FF2AD1" w:rsidRDefault="00DF7A6C" w14:paraId="24F404F2" w14:textId="77777777">
            <w:pPr>
              <w:ind w:left="82" w:right="52"/>
              <w:jc w:val="center"/>
            </w:pPr>
            <w:r w:rsidRPr="00BF4D0A">
              <w:t>$543</w:t>
            </w:r>
          </w:p>
        </w:tc>
        <w:tc>
          <w:tcPr>
            <w:tcW w:w="764" w:type="pct"/>
            <w:tcBorders>
              <w:right w:val="single" w:color="000000" w:sz="8" w:space="0"/>
            </w:tcBorders>
            <w:vAlign w:val="bottom"/>
          </w:tcPr>
          <w:p w:rsidRPr="00BF4D0A" w:rsidR="00DF7A6C" w:rsidP="00FF2AD1" w:rsidRDefault="00DF7A6C" w14:paraId="406E7DF9" w14:textId="77777777">
            <w:pPr>
              <w:ind w:left="77" w:right="60"/>
              <w:jc w:val="center"/>
            </w:pPr>
            <w:r w:rsidRPr="00BF4D0A">
              <w:t>1,792</w:t>
            </w:r>
          </w:p>
        </w:tc>
        <w:tc>
          <w:tcPr>
            <w:tcW w:w="866" w:type="pct"/>
            <w:tcBorders>
              <w:left w:val="single" w:color="000000" w:sz="8" w:space="0"/>
            </w:tcBorders>
            <w:vAlign w:val="bottom"/>
          </w:tcPr>
          <w:p w:rsidRPr="00BF4D0A" w:rsidR="00DF7A6C" w:rsidP="00FF2AD1" w:rsidRDefault="00DF7A6C" w14:paraId="69E38CED" w14:textId="77777777">
            <w:pPr>
              <w:ind w:left="78" w:right="51"/>
              <w:jc w:val="center"/>
            </w:pPr>
            <w:r w:rsidRPr="00BF4D0A">
              <w:t>$972,199</w:t>
            </w:r>
          </w:p>
        </w:tc>
      </w:tr>
      <w:tr w:rsidRPr="00BF4D0A" w:rsidR="00DF7A6C" w:rsidTr="00DF7A6C" w14:paraId="29DB4C2E" w14:textId="77777777">
        <w:trPr>
          <w:trHeight w:val="20"/>
        </w:trPr>
        <w:tc>
          <w:tcPr>
            <w:tcW w:w="1103" w:type="pct"/>
            <w:vAlign w:val="bottom"/>
          </w:tcPr>
          <w:p w:rsidRPr="00BF4D0A" w:rsidR="00DF7A6C" w:rsidP="00FF2AD1" w:rsidRDefault="00DF7A6C" w14:paraId="419526D7" w14:textId="77777777">
            <w:pPr>
              <w:rPr>
                <w:b/>
              </w:rPr>
            </w:pPr>
            <w:r>
              <w:rPr>
                <w:b/>
              </w:rPr>
              <w:lastRenderedPageBreak/>
              <w:t xml:space="preserve"> </w:t>
            </w:r>
            <w:r w:rsidRPr="00BF4D0A">
              <w:rPr>
                <w:b/>
              </w:rPr>
              <w:t>Total</w:t>
            </w:r>
          </w:p>
        </w:tc>
        <w:tc>
          <w:tcPr>
            <w:tcW w:w="1466" w:type="pct"/>
            <w:vAlign w:val="bottom"/>
          </w:tcPr>
          <w:p w:rsidRPr="00BF4D0A" w:rsidR="00DF7A6C" w:rsidP="00FF2AD1" w:rsidRDefault="00DF7A6C" w14:paraId="11FFDADA" w14:textId="77777777">
            <w:pPr>
              <w:jc w:val="center"/>
            </w:pPr>
          </w:p>
        </w:tc>
        <w:tc>
          <w:tcPr>
            <w:tcW w:w="801" w:type="pct"/>
            <w:vAlign w:val="bottom"/>
          </w:tcPr>
          <w:p w:rsidRPr="00BF4D0A" w:rsidR="00DF7A6C" w:rsidP="00FF2AD1" w:rsidRDefault="00DF7A6C" w14:paraId="1F7BA162" w14:textId="77777777">
            <w:pPr>
              <w:jc w:val="center"/>
            </w:pPr>
          </w:p>
        </w:tc>
        <w:tc>
          <w:tcPr>
            <w:tcW w:w="764" w:type="pct"/>
            <w:tcBorders>
              <w:right w:val="single" w:color="000000" w:sz="8" w:space="0"/>
            </w:tcBorders>
            <w:vAlign w:val="bottom"/>
          </w:tcPr>
          <w:p w:rsidRPr="00BF4D0A" w:rsidR="00DF7A6C" w:rsidP="00FF2AD1" w:rsidRDefault="00DF7A6C" w14:paraId="64EAEB51" w14:textId="77777777">
            <w:pPr>
              <w:ind w:left="69" w:right="67"/>
              <w:jc w:val="center"/>
              <w:rPr>
                <w:b/>
              </w:rPr>
            </w:pPr>
            <w:r w:rsidRPr="00BF4D0A">
              <w:rPr>
                <w:b/>
              </w:rPr>
              <w:t>11,080</w:t>
            </w:r>
          </w:p>
        </w:tc>
        <w:tc>
          <w:tcPr>
            <w:tcW w:w="866" w:type="pct"/>
            <w:tcBorders>
              <w:left w:val="single" w:color="000000" w:sz="8" w:space="0"/>
            </w:tcBorders>
            <w:vAlign w:val="bottom"/>
          </w:tcPr>
          <w:p w:rsidRPr="00BF4D0A" w:rsidR="00DF7A6C" w:rsidP="00FF2AD1" w:rsidRDefault="00DF7A6C" w14:paraId="23525D8A" w14:textId="77777777">
            <w:pPr>
              <w:ind w:left="63" w:right="51"/>
              <w:jc w:val="center"/>
              <w:rPr>
                <w:b/>
              </w:rPr>
            </w:pPr>
            <w:r w:rsidRPr="00BF4D0A">
              <w:rPr>
                <w:b/>
              </w:rPr>
              <w:t>$2,886,703</w:t>
            </w:r>
          </w:p>
        </w:tc>
      </w:tr>
      <w:tr w:rsidRPr="00BF4D0A" w:rsidR="00DF7A6C" w:rsidTr="00DF7A6C" w14:paraId="52FB7C60" w14:textId="77777777">
        <w:trPr>
          <w:trHeight w:val="20"/>
        </w:trPr>
        <w:tc>
          <w:tcPr>
            <w:tcW w:w="5000" w:type="pct"/>
            <w:gridSpan w:val="5"/>
            <w:shd w:val="clear" w:color="auto" w:fill="F2F2F2" w:themeFill="background1" w:themeFillShade="F2"/>
          </w:tcPr>
          <w:p w:rsidRPr="00BF4D0A" w:rsidR="00DF7A6C" w:rsidP="00FF2AD1" w:rsidRDefault="00DF7A6C" w14:paraId="5D063A67" w14:textId="77777777">
            <w:pPr>
              <w:ind w:left="73" w:right="51"/>
              <w:rPr>
                <w:b/>
              </w:rPr>
            </w:pPr>
            <w:r w:rsidRPr="00BF4D0A">
              <w:rPr>
                <w:b/>
              </w:rPr>
              <w:t>LEPC Burden</w:t>
            </w:r>
          </w:p>
        </w:tc>
      </w:tr>
      <w:tr w:rsidRPr="00BF4D0A" w:rsidR="00DF7A6C" w:rsidTr="00DF7A6C" w14:paraId="03A255F7" w14:textId="77777777">
        <w:trPr>
          <w:trHeight w:val="20"/>
        </w:trPr>
        <w:tc>
          <w:tcPr>
            <w:tcW w:w="1103" w:type="pct"/>
          </w:tcPr>
          <w:p w:rsidRPr="00BF4D0A" w:rsidR="00DF7A6C" w:rsidP="00FF2AD1" w:rsidRDefault="00DF7A6C" w14:paraId="14DF4B7D" w14:textId="77777777">
            <w:pPr>
              <w:ind w:left="73"/>
              <w:rPr>
                <w:b/>
              </w:rPr>
            </w:pPr>
            <w:r w:rsidRPr="00BF4D0A">
              <w:t>Simple P2/3</w:t>
            </w:r>
          </w:p>
        </w:tc>
        <w:tc>
          <w:tcPr>
            <w:tcW w:w="1466" w:type="pct"/>
          </w:tcPr>
          <w:p w:rsidRPr="00BF4D0A" w:rsidR="00DF7A6C" w:rsidP="00FF2AD1" w:rsidRDefault="00DF7A6C" w14:paraId="555FC15E" w14:textId="77777777">
            <w:pPr>
              <w:jc w:val="center"/>
            </w:pPr>
            <w:r w:rsidRPr="00BF4D0A">
              <w:t>1</w:t>
            </w:r>
          </w:p>
        </w:tc>
        <w:tc>
          <w:tcPr>
            <w:tcW w:w="801" w:type="pct"/>
          </w:tcPr>
          <w:p w:rsidRPr="00BF4D0A" w:rsidR="00DF7A6C" w:rsidP="00FF2AD1" w:rsidRDefault="00DF7A6C" w14:paraId="558A0D83" w14:textId="77777777">
            <w:pPr>
              <w:jc w:val="center"/>
            </w:pPr>
            <w:r w:rsidRPr="00BF4D0A">
              <w:t>$71</w:t>
            </w:r>
          </w:p>
        </w:tc>
        <w:tc>
          <w:tcPr>
            <w:tcW w:w="764" w:type="pct"/>
            <w:tcBorders>
              <w:right w:val="single" w:color="000000" w:sz="8" w:space="0"/>
            </w:tcBorders>
          </w:tcPr>
          <w:p w:rsidRPr="00BF4D0A" w:rsidR="00DF7A6C" w:rsidP="00FF2AD1" w:rsidRDefault="00DF7A6C" w14:paraId="2C3536AE" w14:textId="77777777">
            <w:pPr>
              <w:ind w:left="69" w:right="67"/>
              <w:jc w:val="center"/>
              <w:rPr>
                <w:b/>
              </w:rPr>
            </w:pPr>
            <w:r w:rsidRPr="00BF4D0A">
              <w:t>9,288</w:t>
            </w:r>
          </w:p>
        </w:tc>
        <w:tc>
          <w:tcPr>
            <w:tcW w:w="866" w:type="pct"/>
            <w:tcBorders>
              <w:left w:val="single" w:color="000000" w:sz="8" w:space="0"/>
            </w:tcBorders>
          </w:tcPr>
          <w:p w:rsidRPr="00BF4D0A" w:rsidR="00DF7A6C" w:rsidP="00FF2AD1" w:rsidRDefault="00DF7A6C" w14:paraId="107F6DC2" w14:textId="77777777">
            <w:pPr>
              <w:ind w:left="63" w:right="51"/>
              <w:jc w:val="center"/>
              <w:rPr>
                <w:b/>
              </w:rPr>
            </w:pPr>
            <w:r w:rsidRPr="00BF4D0A">
              <w:t>$661,231</w:t>
            </w:r>
          </w:p>
        </w:tc>
      </w:tr>
      <w:tr w:rsidRPr="00BF4D0A" w:rsidR="00DF7A6C" w:rsidTr="00DF7A6C" w14:paraId="06DE7B8B" w14:textId="77777777">
        <w:trPr>
          <w:trHeight w:val="20"/>
        </w:trPr>
        <w:tc>
          <w:tcPr>
            <w:tcW w:w="1103" w:type="pct"/>
          </w:tcPr>
          <w:p w:rsidRPr="00BF4D0A" w:rsidR="00DF7A6C" w:rsidP="00FF2AD1" w:rsidRDefault="00DF7A6C" w14:paraId="05C897D6" w14:textId="77777777">
            <w:pPr>
              <w:ind w:left="73"/>
              <w:rPr>
                <w:b/>
              </w:rPr>
            </w:pPr>
            <w:r w:rsidRPr="00BF4D0A">
              <w:t>Complex P2/3</w:t>
            </w:r>
          </w:p>
        </w:tc>
        <w:tc>
          <w:tcPr>
            <w:tcW w:w="1466" w:type="pct"/>
          </w:tcPr>
          <w:p w:rsidRPr="00BF4D0A" w:rsidR="00DF7A6C" w:rsidP="00FF2AD1" w:rsidRDefault="00DF7A6C" w14:paraId="7B759B92" w14:textId="77777777">
            <w:pPr>
              <w:jc w:val="center"/>
            </w:pPr>
            <w:r w:rsidRPr="00BF4D0A">
              <w:t>1</w:t>
            </w:r>
          </w:p>
        </w:tc>
        <w:tc>
          <w:tcPr>
            <w:tcW w:w="801" w:type="pct"/>
          </w:tcPr>
          <w:p w:rsidRPr="00BF4D0A" w:rsidR="00DF7A6C" w:rsidP="00FF2AD1" w:rsidRDefault="00DF7A6C" w14:paraId="69DE1E08" w14:textId="77777777">
            <w:pPr>
              <w:jc w:val="center"/>
            </w:pPr>
            <w:r w:rsidRPr="00BF4D0A">
              <w:t>$142</w:t>
            </w:r>
          </w:p>
        </w:tc>
        <w:tc>
          <w:tcPr>
            <w:tcW w:w="764" w:type="pct"/>
            <w:tcBorders>
              <w:right w:val="single" w:color="000000" w:sz="8" w:space="0"/>
            </w:tcBorders>
          </w:tcPr>
          <w:p w:rsidRPr="00BF4D0A" w:rsidR="00DF7A6C" w:rsidP="00FF2AD1" w:rsidRDefault="00DF7A6C" w14:paraId="09330BA0" w14:textId="77777777">
            <w:pPr>
              <w:ind w:left="69" w:right="67"/>
              <w:jc w:val="center"/>
              <w:rPr>
                <w:b/>
              </w:rPr>
            </w:pPr>
            <w:r w:rsidRPr="00BF4D0A">
              <w:t>1,792</w:t>
            </w:r>
          </w:p>
        </w:tc>
        <w:tc>
          <w:tcPr>
            <w:tcW w:w="866" w:type="pct"/>
            <w:tcBorders>
              <w:left w:val="single" w:color="000000" w:sz="8" w:space="0"/>
            </w:tcBorders>
          </w:tcPr>
          <w:p w:rsidRPr="00BF4D0A" w:rsidR="00DF7A6C" w:rsidP="00FF2AD1" w:rsidRDefault="00DF7A6C" w14:paraId="0651B020" w14:textId="77777777">
            <w:pPr>
              <w:ind w:left="63" w:right="51"/>
              <w:jc w:val="center"/>
              <w:rPr>
                <w:b/>
              </w:rPr>
            </w:pPr>
            <w:r w:rsidRPr="00BF4D0A">
              <w:t>$255,152</w:t>
            </w:r>
          </w:p>
        </w:tc>
      </w:tr>
      <w:tr w:rsidRPr="00BF4D0A" w:rsidR="00DF7A6C" w:rsidTr="00DF7A6C" w14:paraId="51C79B6C" w14:textId="77777777">
        <w:trPr>
          <w:trHeight w:val="20"/>
        </w:trPr>
        <w:tc>
          <w:tcPr>
            <w:tcW w:w="1103" w:type="pct"/>
          </w:tcPr>
          <w:p w:rsidRPr="00BF4D0A" w:rsidR="00DF7A6C" w:rsidP="00FF2AD1" w:rsidRDefault="00DF7A6C" w14:paraId="203634A7" w14:textId="77777777">
            <w:pPr>
              <w:ind w:left="73"/>
              <w:rPr>
                <w:b/>
              </w:rPr>
            </w:pPr>
            <w:bookmarkStart w:name="_Hlk98189242" w:id="16"/>
            <w:r w:rsidRPr="00BF4D0A">
              <w:rPr>
                <w:b/>
              </w:rPr>
              <w:t>Total</w:t>
            </w:r>
          </w:p>
        </w:tc>
        <w:tc>
          <w:tcPr>
            <w:tcW w:w="1466" w:type="pct"/>
          </w:tcPr>
          <w:p w:rsidRPr="00BF4D0A" w:rsidR="00DF7A6C" w:rsidP="00FF2AD1" w:rsidRDefault="00DF7A6C" w14:paraId="5A8EA423" w14:textId="77777777">
            <w:pPr>
              <w:jc w:val="center"/>
            </w:pPr>
          </w:p>
        </w:tc>
        <w:tc>
          <w:tcPr>
            <w:tcW w:w="801" w:type="pct"/>
          </w:tcPr>
          <w:p w:rsidRPr="00BF4D0A" w:rsidR="00DF7A6C" w:rsidP="00FF2AD1" w:rsidRDefault="00DF7A6C" w14:paraId="2D3BB8C5" w14:textId="77777777">
            <w:pPr>
              <w:jc w:val="center"/>
            </w:pPr>
          </w:p>
        </w:tc>
        <w:tc>
          <w:tcPr>
            <w:tcW w:w="764" w:type="pct"/>
            <w:tcBorders>
              <w:right w:val="single" w:color="000000" w:sz="8" w:space="0"/>
            </w:tcBorders>
          </w:tcPr>
          <w:p w:rsidRPr="00BF4D0A" w:rsidR="00DF7A6C" w:rsidP="00FF2AD1" w:rsidRDefault="00DF7A6C" w14:paraId="672C202D" w14:textId="77777777">
            <w:pPr>
              <w:ind w:left="69" w:right="67"/>
              <w:jc w:val="center"/>
              <w:rPr>
                <w:b/>
              </w:rPr>
            </w:pPr>
            <w:r w:rsidRPr="00BF4D0A">
              <w:rPr>
                <w:b/>
              </w:rPr>
              <w:t>11,080</w:t>
            </w:r>
          </w:p>
        </w:tc>
        <w:tc>
          <w:tcPr>
            <w:tcW w:w="866" w:type="pct"/>
            <w:tcBorders>
              <w:left w:val="single" w:color="000000" w:sz="8" w:space="0"/>
            </w:tcBorders>
          </w:tcPr>
          <w:p w:rsidRPr="00BF4D0A" w:rsidR="00DF7A6C" w:rsidP="00FF2AD1" w:rsidRDefault="00DF7A6C" w14:paraId="22DB4A8C" w14:textId="77777777">
            <w:pPr>
              <w:ind w:left="63" w:right="51"/>
              <w:jc w:val="center"/>
              <w:rPr>
                <w:b/>
              </w:rPr>
            </w:pPr>
            <w:r w:rsidRPr="00BF4D0A">
              <w:rPr>
                <w:b/>
              </w:rPr>
              <w:t>$916,383</w:t>
            </w:r>
          </w:p>
        </w:tc>
      </w:tr>
      <w:tr w:rsidRPr="00BF4D0A" w:rsidR="00DF7A6C" w:rsidTr="00DF7A6C" w14:paraId="7FF39636" w14:textId="77777777">
        <w:trPr>
          <w:trHeight w:val="20"/>
        </w:trPr>
        <w:tc>
          <w:tcPr>
            <w:tcW w:w="5000" w:type="pct"/>
            <w:gridSpan w:val="5"/>
            <w:shd w:val="clear" w:color="auto" w:fill="E7E6E6" w:themeFill="background2"/>
          </w:tcPr>
          <w:p w:rsidRPr="00BF4D0A" w:rsidR="00DF7A6C" w:rsidP="00FF2AD1" w:rsidRDefault="00DF7A6C" w14:paraId="71A271C5" w14:textId="77777777">
            <w:pPr>
              <w:ind w:left="63" w:right="51"/>
              <w:rPr>
                <w:b/>
              </w:rPr>
            </w:pPr>
            <w:r w:rsidRPr="00BF4D0A">
              <w:rPr>
                <w:b/>
              </w:rPr>
              <w:t>Facility + LEPC BURDEN</w:t>
            </w:r>
          </w:p>
        </w:tc>
      </w:tr>
      <w:tr w:rsidRPr="00BF4D0A" w:rsidR="00DF7A6C" w:rsidTr="00DF7A6C" w14:paraId="3AF70F04" w14:textId="77777777">
        <w:trPr>
          <w:trHeight w:val="20"/>
        </w:trPr>
        <w:tc>
          <w:tcPr>
            <w:tcW w:w="1103" w:type="pct"/>
          </w:tcPr>
          <w:p w:rsidRPr="00BF4D0A" w:rsidR="00DF7A6C" w:rsidP="00FF2AD1" w:rsidRDefault="00DF7A6C" w14:paraId="3ED69B5D" w14:textId="77777777">
            <w:pPr>
              <w:rPr>
                <w:b/>
              </w:rPr>
            </w:pPr>
            <w:r>
              <w:rPr>
                <w:b/>
              </w:rPr>
              <w:t xml:space="preserve"> </w:t>
            </w:r>
            <w:r w:rsidRPr="00BF4D0A">
              <w:rPr>
                <w:b/>
              </w:rPr>
              <w:t>Grand Total</w:t>
            </w:r>
          </w:p>
        </w:tc>
        <w:tc>
          <w:tcPr>
            <w:tcW w:w="1466" w:type="pct"/>
          </w:tcPr>
          <w:p w:rsidRPr="00BF4D0A" w:rsidR="00DF7A6C" w:rsidP="00FF2AD1" w:rsidRDefault="00DF7A6C" w14:paraId="4A132177" w14:textId="77777777">
            <w:pPr>
              <w:jc w:val="center"/>
            </w:pPr>
          </w:p>
        </w:tc>
        <w:tc>
          <w:tcPr>
            <w:tcW w:w="801" w:type="pct"/>
          </w:tcPr>
          <w:p w:rsidRPr="00BF4D0A" w:rsidR="00DF7A6C" w:rsidP="00FF2AD1" w:rsidRDefault="00DF7A6C" w14:paraId="5AF7B489" w14:textId="77777777">
            <w:pPr>
              <w:jc w:val="center"/>
            </w:pPr>
          </w:p>
        </w:tc>
        <w:tc>
          <w:tcPr>
            <w:tcW w:w="764" w:type="pct"/>
            <w:tcBorders>
              <w:right w:val="single" w:color="000000" w:sz="8" w:space="0"/>
            </w:tcBorders>
          </w:tcPr>
          <w:p w:rsidRPr="00BF4D0A" w:rsidR="00DF7A6C" w:rsidP="00FF2AD1" w:rsidRDefault="00DF7A6C" w14:paraId="6BD5D198" w14:textId="77777777">
            <w:pPr>
              <w:ind w:left="69" w:right="67"/>
              <w:jc w:val="center"/>
              <w:rPr>
                <w:b/>
              </w:rPr>
            </w:pPr>
          </w:p>
        </w:tc>
        <w:tc>
          <w:tcPr>
            <w:tcW w:w="866" w:type="pct"/>
            <w:tcBorders>
              <w:left w:val="single" w:color="000000" w:sz="8" w:space="0"/>
            </w:tcBorders>
          </w:tcPr>
          <w:p w:rsidRPr="00BF4D0A" w:rsidR="00DF7A6C" w:rsidP="00FF2AD1" w:rsidRDefault="00DF7A6C" w14:paraId="04D6AEA8" w14:textId="77777777">
            <w:pPr>
              <w:ind w:left="63" w:right="51"/>
              <w:jc w:val="center"/>
              <w:rPr>
                <w:b/>
              </w:rPr>
            </w:pPr>
            <w:r w:rsidRPr="00BF4D0A">
              <w:rPr>
                <w:b/>
              </w:rPr>
              <w:t>$3,803,086</w:t>
            </w:r>
          </w:p>
        </w:tc>
      </w:tr>
    </w:tbl>
    <w:p w:rsidR="00DF7A6C" w:rsidP="00DF7A6C" w:rsidRDefault="00DF7A6C" w14:paraId="3307D7D5" w14:textId="77777777">
      <w:bookmarkStart w:name="5.5_Information_Disclosure_Rule_Provisio" w:id="17"/>
      <w:bookmarkStart w:name="_bookmark86" w:id="18"/>
      <w:bookmarkStart w:name="_Toc98856224" w:id="19"/>
      <w:bookmarkEnd w:id="16"/>
      <w:bookmarkEnd w:id="17"/>
      <w:bookmarkEnd w:id="18"/>
    </w:p>
    <w:p w:rsidR="00DF7A6C" w:rsidP="00DF7A6C" w:rsidRDefault="00DF7A6C" w14:paraId="4EEFD5E1" w14:textId="0F0C7866">
      <w:pPr>
        <w:rPr>
          <w:b/>
          <w:bCs/>
          <w:sz w:val="22"/>
          <w:szCs w:val="28"/>
          <w:u w:val="single"/>
        </w:rPr>
      </w:pPr>
      <w:bookmarkStart w:name="_Toc108436903" w:id="20"/>
      <w:r w:rsidRPr="004B5118">
        <w:rPr>
          <w:b/>
          <w:bCs/>
          <w:sz w:val="22"/>
          <w:szCs w:val="28"/>
          <w:u w:val="single"/>
        </w:rPr>
        <w:t>Information Availability to the Public</w:t>
      </w:r>
      <w:bookmarkEnd w:id="19"/>
      <w:bookmarkEnd w:id="20"/>
    </w:p>
    <w:p w:rsidRPr="004B5118" w:rsidR="0085181A" w:rsidP="00DF7A6C" w:rsidRDefault="0085181A" w14:paraId="6C739BF2" w14:textId="77777777">
      <w:pPr>
        <w:rPr>
          <w:b/>
          <w:bCs/>
          <w:sz w:val="22"/>
          <w:szCs w:val="28"/>
          <w:u w:val="single"/>
        </w:rPr>
      </w:pPr>
    </w:p>
    <w:p w:rsidRPr="00DF7A6C" w:rsidR="00DF7A6C" w:rsidP="00DF7A6C" w:rsidRDefault="00DF7A6C" w14:paraId="61ECE7DC" w14:textId="71EAAE9F">
      <w:pPr>
        <w:ind w:firstLine="360"/>
        <w:rPr>
          <w:sz w:val="22"/>
          <w:szCs w:val="22"/>
        </w:rPr>
      </w:pPr>
      <w:bookmarkStart w:name="5.5.1__Public_Meeting" w:id="21"/>
      <w:bookmarkEnd w:id="21"/>
      <w:r>
        <w:tab/>
      </w:r>
      <w:r w:rsidRPr="00DF7A6C">
        <w:rPr>
          <w:sz w:val="22"/>
          <w:szCs w:val="22"/>
        </w:rPr>
        <w:t xml:space="preserve">The RMP rule currently does not require facilities to conduct information availability activities. The proposed rule would require all facilities, including those with Program 1 processes, to make information related to RMP compliance available upon request in a manner that is easily accessible to community members living within 6 miles of the facility. The information would include the names and Safety Data Sheets of regulated substances used at the facility, the facility’s accident history, emergency response program information, and LEPC contact information. The assumption is that each facility receives 1 request per year from a community member residing within 6 miles of the facility. The breakout of costs related to Information Availability is in Exhibit </w:t>
      </w:r>
      <w:r w:rsidR="00F1448F">
        <w:rPr>
          <w:sz w:val="22"/>
          <w:szCs w:val="22"/>
        </w:rPr>
        <w:t>14</w:t>
      </w:r>
      <w:r w:rsidRPr="00DF7A6C">
        <w:rPr>
          <w:sz w:val="22"/>
          <w:szCs w:val="22"/>
        </w:rPr>
        <w:t>.</w:t>
      </w:r>
      <w:bookmarkStart w:name="_Hlk99525702" w:id="22"/>
      <w:r w:rsidRPr="00DF7A6C">
        <w:rPr>
          <w:sz w:val="22"/>
          <w:szCs w:val="22"/>
        </w:rPr>
        <w:t xml:space="preserve"> EPA does not consider the costs to the public in requesting this information but expects these costs to be minimal.</w:t>
      </w:r>
    </w:p>
    <w:p w:rsidR="00DF7A6C" w:rsidP="00DF7A6C" w:rsidRDefault="00DF7A6C" w14:paraId="5887DBEE" w14:textId="77777777">
      <w:pPr>
        <w:ind w:firstLine="360"/>
        <w:rPr>
          <w:b/>
          <w:bCs/>
          <w:i/>
          <w:iCs/>
        </w:rPr>
      </w:pPr>
    </w:p>
    <w:p w:rsidRPr="002D372A" w:rsidR="00DF7A6C" w:rsidP="0074445B" w:rsidRDefault="00DF7A6C" w14:paraId="1CECADC9" w14:textId="5339FAD4">
      <w:pPr>
        <w:pStyle w:val="Caption"/>
        <w:spacing w:after="0"/>
        <w:jc w:val="center"/>
        <w:rPr>
          <w:b/>
          <w:bCs/>
          <w:i w:val="0"/>
          <w:iCs w:val="0"/>
          <w:color w:val="auto"/>
          <w:sz w:val="22"/>
          <w:szCs w:val="22"/>
        </w:rPr>
      </w:pPr>
      <w:r w:rsidRPr="002D372A">
        <w:rPr>
          <w:b/>
          <w:bCs/>
          <w:i w:val="0"/>
          <w:iCs w:val="0"/>
          <w:color w:val="auto"/>
          <w:sz w:val="22"/>
          <w:szCs w:val="22"/>
        </w:rPr>
        <w:t xml:space="preserve">Exhibit </w:t>
      </w:r>
      <w:r w:rsidR="00F1448F">
        <w:rPr>
          <w:b/>
          <w:bCs/>
          <w:i w:val="0"/>
          <w:iCs w:val="0"/>
          <w:color w:val="auto"/>
          <w:sz w:val="22"/>
          <w:szCs w:val="22"/>
        </w:rPr>
        <w:t>14</w:t>
      </w:r>
      <w:r w:rsidRPr="002D372A">
        <w:rPr>
          <w:b/>
          <w:bCs/>
          <w:i w:val="0"/>
          <w:iCs w:val="0"/>
          <w:color w:val="auto"/>
          <w:sz w:val="22"/>
          <w:szCs w:val="22"/>
        </w:rPr>
        <w:t xml:space="preserve">: Costs for Information Availability Information Sharing Provision (2020 </w:t>
      </w:r>
      <w:r>
        <w:rPr>
          <w:b/>
          <w:bCs/>
          <w:i w:val="0"/>
          <w:iCs w:val="0"/>
          <w:color w:val="auto"/>
          <w:sz w:val="22"/>
          <w:szCs w:val="22"/>
        </w:rPr>
        <w:t>d</w:t>
      </w:r>
      <w:r w:rsidRPr="002D372A">
        <w:rPr>
          <w:b/>
          <w:bCs/>
          <w:i w:val="0"/>
          <w:iCs w:val="0"/>
          <w:color w:val="auto"/>
          <w:sz w:val="22"/>
          <w:szCs w:val="22"/>
        </w:rPr>
        <w:t>ollars)</w:t>
      </w:r>
    </w:p>
    <w:tbl>
      <w:tblPr>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0" w:type="dxa"/>
          <w:right w:w="0" w:type="dxa"/>
        </w:tblCellMar>
        <w:tblLook w:val="01E0" w:firstRow="1" w:lastRow="1" w:firstColumn="1" w:lastColumn="1" w:noHBand="0" w:noVBand="0"/>
      </w:tblPr>
      <w:tblGrid>
        <w:gridCol w:w="2122"/>
        <w:gridCol w:w="1464"/>
        <w:gridCol w:w="1438"/>
        <w:gridCol w:w="1179"/>
        <w:gridCol w:w="3141"/>
      </w:tblGrid>
      <w:tr w:rsidRPr="00BF4D0A" w:rsidR="00DF7A6C" w:rsidTr="00DF7A6C" w14:paraId="593A2A7D" w14:textId="77777777">
        <w:trPr>
          <w:trHeight w:val="20"/>
          <w:jc w:val="center"/>
        </w:trPr>
        <w:tc>
          <w:tcPr>
            <w:tcW w:w="1135" w:type="pct"/>
            <w:tcBorders>
              <w:left w:val="single" w:color="000000" w:sz="6" w:space="0"/>
              <w:right w:val="single" w:color="000000" w:sz="6" w:space="0"/>
            </w:tcBorders>
            <w:shd w:val="clear" w:color="auto" w:fill="DADADA"/>
          </w:tcPr>
          <w:p w:rsidRPr="002D372A" w:rsidR="00DF7A6C" w:rsidP="00DF7A6C" w:rsidRDefault="00DF7A6C" w14:paraId="3ED3B1DD" w14:textId="77777777">
            <w:pPr>
              <w:keepNext/>
              <w:ind w:left="1087" w:hanging="1017"/>
              <w:jc w:val="center"/>
              <w:rPr>
                <w:b/>
                <w:szCs w:val="20"/>
              </w:rPr>
            </w:pPr>
            <w:r w:rsidRPr="002D372A">
              <w:rPr>
                <w:b/>
                <w:szCs w:val="20"/>
              </w:rPr>
              <w:t>Facility Type</w:t>
            </w:r>
          </w:p>
        </w:tc>
        <w:tc>
          <w:tcPr>
            <w:tcW w:w="783" w:type="pct"/>
            <w:tcBorders>
              <w:left w:val="single" w:color="000000" w:sz="6" w:space="0"/>
              <w:right w:val="single" w:color="000000" w:sz="6" w:space="0"/>
            </w:tcBorders>
            <w:shd w:val="clear" w:color="auto" w:fill="DADADA"/>
          </w:tcPr>
          <w:p w:rsidRPr="002D372A" w:rsidR="00DF7A6C" w:rsidP="00DF7A6C" w:rsidRDefault="00DF7A6C" w14:paraId="5A5B4DD1" w14:textId="77777777">
            <w:pPr>
              <w:keepNext/>
              <w:ind w:left="91" w:right="55"/>
              <w:jc w:val="center"/>
              <w:rPr>
                <w:b/>
                <w:szCs w:val="20"/>
              </w:rPr>
            </w:pPr>
            <w:r w:rsidRPr="002D372A">
              <w:rPr>
                <w:b/>
                <w:szCs w:val="20"/>
              </w:rPr>
              <w:t>Annual</w:t>
            </w:r>
          </w:p>
          <w:p w:rsidRPr="002D372A" w:rsidR="00DF7A6C" w:rsidP="00DF7A6C" w:rsidRDefault="00DF7A6C" w14:paraId="7BC51F4B" w14:textId="77777777">
            <w:pPr>
              <w:keepNext/>
              <w:ind w:left="79" w:right="55"/>
              <w:jc w:val="center"/>
              <w:rPr>
                <w:b/>
                <w:szCs w:val="20"/>
              </w:rPr>
            </w:pPr>
            <w:r w:rsidRPr="002D372A">
              <w:rPr>
                <w:b/>
                <w:szCs w:val="20"/>
              </w:rPr>
              <w:t>Frequency</w:t>
            </w:r>
          </w:p>
        </w:tc>
        <w:tc>
          <w:tcPr>
            <w:tcW w:w="769" w:type="pct"/>
            <w:tcBorders>
              <w:left w:val="single" w:color="000000" w:sz="6" w:space="0"/>
              <w:right w:val="single" w:color="000000" w:sz="6" w:space="0"/>
            </w:tcBorders>
            <w:shd w:val="clear" w:color="auto" w:fill="DADADA"/>
          </w:tcPr>
          <w:p w:rsidRPr="002D372A" w:rsidR="00DF7A6C" w:rsidP="00DF7A6C" w:rsidRDefault="00DF7A6C" w14:paraId="544E6E51" w14:textId="77777777">
            <w:pPr>
              <w:keepNext/>
              <w:ind w:left="75" w:right="133"/>
              <w:jc w:val="center"/>
              <w:rPr>
                <w:b/>
                <w:szCs w:val="20"/>
              </w:rPr>
            </w:pPr>
            <w:r w:rsidRPr="002D372A">
              <w:rPr>
                <w:b/>
                <w:szCs w:val="20"/>
              </w:rPr>
              <w:t>Unit Cost</w:t>
            </w:r>
          </w:p>
        </w:tc>
        <w:tc>
          <w:tcPr>
            <w:tcW w:w="631" w:type="pct"/>
            <w:tcBorders>
              <w:left w:val="single" w:color="000000" w:sz="6" w:space="0"/>
              <w:right w:val="single" w:color="000000" w:sz="6" w:space="0"/>
            </w:tcBorders>
            <w:shd w:val="clear" w:color="auto" w:fill="DADADA"/>
          </w:tcPr>
          <w:p w:rsidRPr="002D372A" w:rsidR="00DF7A6C" w:rsidP="00DF7A6C" w:rsidRDefault="00DF7A6C" w14:paraId="5FEAECD2" w14:textId="77777777">
            <w:pPr>
              <w:keepNext/>
              <w:ind w:left="72"/>
              <w:jc w:val="center"/>
              <w:rPr>
                <w:b/>
                <w:szCs w:val="20"/>
              </w:rPr>
            </w:pPr>
            <w:r w:rsidRPr="002D372A">
              <w:rPr>
                <w:b/>
                <w:szCs w:val="20"/>
              </w:rPr>
              <w:t>Facilities</w:t>
            </w:r>
          </w:p>
          <w:p w:rsidRPr="002D372A" w:rsidR="00DF7A6C" w:rsidP="00DF7A6C" w:rsidRDefault="00DF7A6C" w14:paraId="528C147F" w14:textId="77777777">
            <w:pPr>
              <w:keepNext/>
              <w:ind w:left="72"/>
              <w:jc w:val="center"/>
              <w:rPr>
                <w:b/>
                <w:szCs w:val="20"/>
              </w:rPr>
            </w:pPr>
          </w:p>
        </w:tc>
        <w:tc>
          <w:tcPr>
            <w:tcW w:w="1681" w:type="pct"/>
            <w:tcBorders>
              <w:left w:val="single" w:color="000000" w:sz="6" w:space="0"/>
              <w:right w:val="single" w:color="000000" w:sz="6" w:space="0"/>
            </w:tcBorders>
            <w:shd w:val="clear" w:color="auto" w:fill="DADADA"/>
          </w:tcPr>
          <w:p w:rsidRPr="002D372A" w:rsidR="00DF7A6C" w:rsidP="00DF7A6C" w:rsidRDefault="00DF7A6C" w14:paraId="62FB2EAA" w14:textId="77777777">
            <w:pPr>
              <w:keepNext/>
              <w:ind w:left="99" w:right="238"/>
              <w:jc w:val="center"/>
              <w:rPr>
                <w:b/>
                <w:szCs w:val="20"/>
              </w:rPr>
            </w:pPr>
            <w:r w:rsidRPr="002D372A">
              <w:rPr>
                <w:b/>
                <w:szCs w:val="20"/>
              </w:rPr>
              <w:t>Total Annualized Cost</w:t>
            </w:r>
          </w:p>
        </w:tc>
      </w:tr>
      <w:tr w:rsidRPr="00BF4D0A" w:rsidR="00DF7A6C" w:rsidTr="00DF7A6C" w14:paraId="71A335E2" w14:textId="77777777">
        <w:trPr>
          <w:trHeight w:val="20"/>
          <w:jc w:val="center"/>
        </w:trPr>
        <w:tc>
          <w:tcPr>
            <w:tcW w:w="1135" w:type="pct"/>
            <w:tcBorders>
              <w:left w:val="single" w:color="000000" w:sz="6" w:space="0"/>
              <w:right w:val="single" w:color="000000" w:sz="6" w:space="0"/>
            </w:tcBorders>
            <w:vAlign w:val="bottom"/>
          </w:tcPr>
          <w:p w:rsidRPr="002D372A" w:rsidR="00DF7A6C" w:rsidP="00FF2AD1" w:rsidRDefault="00DF7A6C" w14:paraId="277CEB7B" w14:textId="77777777">
            <w:pPr>
              <w:keepNext/>
              <w:ind w:left="127"/>
              <w:rPr>
                <w:szCs w:val="20"/>
              </w:rPr>
            </w:pPr>
            <w:r w:rsidRPr="002D372A">
              <w:rPr>
                <w:szCs w:val="20"/>
              </w:rPr>
              <w:t>Simple</w:t>
            </w:r>
          </w:p>
        </w:tc>
        <w:tc>
          <w:tcPr>
            <w:tcW w:w="783" w:type="pct"/>
            <w:tcBorders>
              <w:left w:val="single" w:color="000000" w:sz="6" w:space="0"/>
              <w:right w:val="single" w:color="000000" w:sz="6" w:space="0"/>
            </w:tcBorders>
            <w:vAlign w:val="bottom"/>
          </w:tcPr>
          <w:p w:rsidRPr="002D372A" w:rsidR="00DF7A6C" w:rsidP="00FF2AD1" w:rsidRDefault="00DF7A6C" w14:paraId="7E62A100" w14:textId="77777777">
            <w:pPr>
              <w:keepNext/>
              <w:ind w:left="16"/>
              <w:jc w:val="center"/>
              <w:rPr>
                <w:szCs w:val="20"/>
              </w:rPr>
            </w:pPr>
            <w:r w:rsidRPr="002D372A">
              <w:rPr>
                <w:szCs w:val="20"/>
              </w:rPr>
              <w:t>1</w:t>
            </w:r>
          </w:p>
        </w:tc>
        <w:tc>
          <w:tcPr>
            <w:tcW w:w="769" w:type="pct"/>
            <w:tcBorders>
              <w:left w:val="single" w:color="000000" w:sz="6" w:space="0"/>
              <w:right w:val="single" w:color="000000" w:sz="6" w:space="0"/>
            </w:tcBorders>
            <w:vAlign w:val="bottom"/>
          </w:tcPr>
          <w:p w:rsidRPr="002D372A" w:rsidR="00DF7A6C" w:rsidP="00DF7A6C" w:rsidRDefault="00DF7A6C" w14:paraId="28C77C9B" w14:textId="77777777">
            <w:pPr>
              <w:keepNext/>
              <w:ind w:left="75" w:right="71"/>
              <w:jc w:val="center"/>
              <w:rPr>
                <w:color w:val="000000"/>
                <w:szCs w:val="20"/>
              </w:rPr>
            </w:pPr>
            <w:r w:rsidRPr="002D372A">
              <w:rPr>
                <w:color w:val="000000"/>
                <w:szCs w:val="20"/>
              </w:rPr>
              <w:t>$172</w:t>
            </w:r>
          </w:p>
        </w:tc>
        <w:tc>
          <w:tcPr>
            <w:tcW w:w="631" w:type="pct"/>
            <w:tcBorders>
              <w:left w:val="single" w:color="000000" w:sz="6" w:space="0"/>
              <w:right w:val="single" w:color="000000" w:sz="6" w:space="0"/>
            </w:tcBorders>
            <w:vAlign w:val="bottom"/>
          </w:tcPr>
          <w:p w:rsidRPr="002D372A" w:rsidR="00DF7A6C" w:rsidP="00DF7A6C" w:rsidRDefault="00DF7A6C" w14:paraId="080406AD" w14:textId="77777777">
            <w:pPr>
              <w:keepNext/>
              <w:ind w:left="72" w:right="71"/>
              <w:jc w:val="center"/>
              <w:rPr>
                <w:szCs w:val="20"/>
              </w:rPr>
            </w:pPr>
            <w:r w:rsidRPr="002D372A">
              <w:rPr>
                <w:szCs w:val="20"/>
              </w:rPr>
              <w:t>10,082</w:t>
            </w:r>
          </w:p>
        </w:tc>
        <w:tc>
          <w:tcPr>
            <w:tcW w:w="1681" w:type="pct"/>
            <w:tcBorders>
              <w:left w:val="single" w:color="000000" w:sz="6" w:space="0"/>
              <w:right w:val="single" w:color="000000" w:sz="6" w:space="0"/>
            </w:tcBorders>
            <w:vAlign w:val="bottom"/>
          </w:tcPr>
          <w:p w:rsidRPr="002D372A" w:rsidR="00DF7A6C" w:rsidP="00DF7A6C" w:rsidRDefault="00DF7A6C" w14:paraId="1D80CF73" w14:textId="77777777">
            <w:pPr>
              <w:keepNext/>
              <w:ind w:left="99" w:right="71"/>
              <w:jc w:val="center"/>
              <w:rPr>
                <w:color w:val="000000"/>
                <w:szCs w:val="20"/>
              </w:rPr>
            </w:pPr>
            <w:r w:rsidRPr="002D372A">
              <w:rPr>
                <w:color w:val="000000"/>
                <w:szCs w:val="20"/>
              </w:rPr>
              <w:t>$868,953</w:t>
            </w:r>
          </w:p>
        </w:tc>
      </w:tr>
      <w:tr w:rsidRPr="00BF4D0A" w:rsidR="00DF7A6C" w:rsidTr="00DF7A6C" w14:paraId="5F97D90F" w14:textId="77777777">
        <w:trPr>
          <w:trHeight w:val="20"/>
          <w:jc w:val="center"/>
        </w:trPr>
        <w:tc>
          <w:tcPr>
            <w:tcW w:w="1135" w:type="pct"/>
            <w:tcBorders>
              <w:left w:val="single" w:color="000000" w:sz="6" w:space="0"/>
              <w:right w:val="single" w:color="000000" w:sz="6" w:space="0"/>
            </w:tcBorders>
            <w:vAlign w:val="bottom"/>
          </w:tcPr>
          <w:p w:rsidRPr="002D372A" w:rsidR="00DF7A6C" w:rsidP="00FF2AD1" w:rsidRDefault="00DF7A6C" w14:paraId="1D570767" w14:textId="77777777">
            <w:pPr>
              <w:keepNext/>
              <w:ind w:left="127"/>
              <w:rPr>
                <w:szCs w:val="20"/>
              </w:rPr>
            </w:pPr>
            <w:r w:rsidRPr="002D372A">
              <w:rPr>
                <w:szCs w:val="20"/>
              </w:rPr>
              <w:t>Small Complex</w:t>
            </w:r>
          </w:p>
        </w:tc>
        <w:tc>
          <w:tcPr>
            <w:tcW w:w="783" w:type="pct"/>
            <w:tcBorders>
              <w:left w:val="single" w:color="000000" w:sz="6" w:space="0"/>
              <w:right w:val="single" w:color="000000" w:sz="6" w:space="0"/>
            </w:tcBorders>
            <w:vAlign w:val="bottom"/>
          </w:tcPr>
          <w:p w:rsidRPr="002D372A" w:rsidR="00DF7A6C" w:rsidP="00FF2AD1" w:rsidRDefault="00DF7A6C" w14:paraId="2EC3CE44" w14:textId="77777777">
            <w:pPr>
              <w:keepNext/>
              <w:ind w:left="16"/>
              <w:jc w:val="center"/>
              <w:rPr>
                <w:szCs w:val="20"/>
              </w:rPr>
            </w:pPr>
            <w:r w:rsidRPr="002D372A">
              <w:rPr>
                <w:szCs w:val="20"/>
              </w:rPr>
              <w:t>1</w:t>
            </w:r>
          </w:p>
        </w:tc>
        <w:tc>
          <w:tcPr>
            <w:tcW w:w="769" w:type="pct"/>
            <w:tcBorders>
              <w:left w:val="single" w:color="000000" w:sz="6" w:space="0"/>
              <w:right w:val="single" w:color="000000" w:sz="6" w:space="0"/>
            </w:tcBorders>
            <w:vAlign w:val="bottom"/>
          </w:tcPr>
          <w:p w:rsidRPr="002D372A" w:rsidR="00DF7A6C" w:rsidP="00DF7A6C" w:rsidRDefault="00DF7A6C" w14:paraId="28CCC3FF" w14:textId="77777777">
            <w:pPr>
              <w:keepNext/>
              <w:ind w:left="75" w:right="71"/>
              <w:jc w:val="center"/>
              <w:rPr>
                <w:szCs w:val="20"/>
              </w:rPr>
            </w:pPr>
            <w:r w:rsidRPr="002D372A">
              <w:rPr>
                <w:color w:val="000000"/>
                <w:szCs w:val="20"/>
              </w:rPr>
              <w:t>$472</w:t>
            </w:r>
          </w:p>
        </w:tc>
        <w:tc>
          <w:tcPr>
            <w:tcW w:w="631" w:type="pct"/>
            <w:tcBorders>
              <w:left w:val="single" w:color="000000" w:sz="6" w:space="0"/>
              <w:right w:val="single" w:color="000000" w:sz="6" w:space="0"/>
            </w:tcBorders>
            <w:vAlign w:val="bottom"/>
          </w:tcPr>
          <w:p w:rsidRPr="002D372A" w:rsidR="00DF7A6C" w:rsidP="00DF7A6C" w:rsidRDefault="00DF7A6C" w14:paraId="5287D771" w14:textId="77777777">
            <w:pPr>
              <w:keepNext/>
              <w:ind w:left="72" w:right="71"/>
              <w:jc w:val="center"/>
              <w:rPr>
                <w:szCs w:val="20"/>
              </w:rPr>
            </w:pPr>
            <w:r w:rsidRPr="002D372A">
              <w:rPr>
                <w:szCs w:val="20"/>
              </w:rPr>
              <w:t>1,050</w:t>
            </w:r>
          </w:p>
        </w:tc>
        <w:tc>
          <w:tcPr>
            <w:tcW w:w="1681" w:type="pct"/>
            <w:tcBorders>
              <w:left w:val="single" w:color="000000" w:sz="6" w:space="0"/>
              <w:right w:val="single" w:color="000000" w:sz="6" w:space="0"/>
            </w:tcBorders>
            <w:vAlign w:val="bottom"/>
          </w:tcPr>
          <w:p w:rsidRPr="002D372A" w:rsidR="00DF7A6C" w:rsidP="00DF7A6C" w:rsidRDefault="00DF7A6C" w14:paraId="4060E0AB" w14:textId="77777777">
            <w:pPr>
              <w:keepNext/>
              <w:ind w:left="99" w:right="71"/>
              <w:jc w:val="center"/>
              <w:rPr>
                <w:szCs w:val="20"/>
              </w:rPr>
            </w:pPr>
            <w:r w:rsidRPr="002D372A">
              <w:rPr>
                <w:color w:val="000000"/>
                <w:szCs w:val="20"/>
              </w:rPr>
              <w:t>$247,860</w:t>
            </w:r>
          </w:p>
        </w:tc>
      </w:tr>
      <w:tr w:rsidRPr="00BF4D0A" w:rsidR="00DF7A6C" w:rsidTr="00DF7A6C" w14:paraId="62942F6A" w14:textId="77777777">
        <w:trPr>
          <w:trHeight w:val="20"/>
          <w:jc w:val="center"/>
        </w:trPr>
        <w:tc>
          <w:tcPr>
            <w:tcW w:w="1135" w:type="pct"/>
            <w:tcBorders>
              <w:left w:val="single" w:color="000000" w:sz="6" w:space="0"/>
              <w:bottom w:val="single" w:color="000000" w:sz="6" w:space="0"/>
              <w:right w:val="single" w:color="000000" w:sz="6" w:space="0"/>
            </w:tcBorders>
            <w:vAlign w:val="bottom"/>
          </w:tcPr>
          <w:p w:rsidRPr="002D372A" w:rsidR="00DF7A6C" w:rsidP="00FF2AD1" w:rsidRDefault="00DF7A6C" w14:paraId="5F6F0597" w14:textId="77777777">
            <w:pPr>
              <w:ind w:left="127"/>
              <w:rPr>
                <w:szCs w:val="20"/>
              </w:rPr>
            </w:pPr>
            <w:r w:rsidRPr="002D372A">
              <w:rPr>
                <w:szCs w:val="20"/>
              </w:rPr>
              <w:t>Large Complex</w:t>
            </w:r>
          </w:p>
        </w:tc>
        <w:tc>
          <w:tcPr>
            <w:tcW w:w="783" w:type="pct"/>
            <w:tcBorders>
              <w:left w:val="single" w:color="000000" w:sz="6" w:space="0"/>
              <w:bottom w:val="single" w:color="000000" w:sz="6" w:space="0"/>
              <w:right w:val="single" w:color="000000" w:sz="6" w:space="0"/>
            </w:tcBorders>
            <w:vAlign w:val="bottom"/>
          </w:tcPr>
          <w:p w:rsidRPr="002D372A" w:rsidR="00DF7A6C" w:rsidP="00FF2AD1" w:rsidRDefault="00DF7A6C" w14:paraId="41365656" w14:textId="77777777">
            <w:pPr>
              <w:ind w:left="16"/>
              <w:jc w:val="center"/>
              <w:rPr>
                <w:szCs w:val="20"/>
              </w:rPr>
            </w:pPr>
            <w:r w:rsidRPr="002D372A">
              <w:rPr>
                <w:szCs w:val="20"/>
              </w:rPr>
              <w:t>1</w:t>
            </w:r>
          </w:p>
        </w:tc>
        <w:tc>
          <w:tcPr>
            <w:tcW w:w="769" w:type="pct"/>
            <w:tcBorders>
              <w:left w:val="single" w:color="000000" w:sz="6" w:space="0"/>
              <w:bottom w:val="single" w:color="000000" w:sz="6" w:space="0"/>
              <w:right w:val="single" w:color="000000" w:sz="6" w:space="0"/>
            </w:tcBorders>
            <w:vAlign w:val="bottom"/>
          </w:tcPr>
          <w:p w:rsidRPr="002D372A" w:rsidR="00DF7A6C" w:rsidP="00DF7A6C" w:rsidRDefault="00DF7A6C" w14:paraId="5C9AEAF8" w14:textId="77777777">
            <w:pPr>
              <w:ind w:left="75" w:right="71"/>
              <w:jc w:val="center"/>
              <w:rPr>
                <w:szCs w:val="20"/>
              </w:rPr>
            </w:pPr>
            <w:r w:rsidRPr="002D372A">
              <w:rPr>
                <w:color w:val="000000"/>
                <w:szCs w:val="20"/>
              </w:rPr>
              <w:t>$6,279</w:t>
            </w:r>
          </w:p>
        </w:tc>
        <w:tc>
          <w:tcPr>
            <w:tcW w:w="631" w:type="pct"/>
            <w:tcBorders>
              <w:left w:val="single" w:color="000000" w:sz="6" w:space="0"/>
              <w:bottom w:val="single" w:color="000000" w:sz="6" w:space="0"/>
              <w:right w:val="single" w:color="000000" w:sz="6" w:space="0"/>
            </w:tcBorders>
            <w:vAlign w:val="bottom"/>
          </w:tcPr>
          <w:p w:rsidRPr="002D372A" w:rsidR="00DF7A6C" w:rsidP="00DF7A6C" w:rsidRDefault="00DF7A6C" w14:paraId="3E35221B" w14:textId="77777777">
            <w:pPr>
              <w:ind w:left="72" w:right="71"/>
              <w:jc w:val="center"/>
              <w:rPr>
                <w:szCs w:val="20"/>
              </w:rPr>
            </w:pPr>
            <w:r w:rsidRPr="002D372A">
              <w:rPr>
                <w:szCs w:val="20"/>
              </w:rPr>
              <w:t>608</w:t>
            </w:r>
          </w:p>
        </w:tc>
        <w:tc>
          <w:tcPr>
            <w:tcW w:w="1681" w:type="pct"/>
            <w:tcBorders>
              <w:left w:val="single" w:color="000000" w:sz="6" w:space="0"/>
              <w:bottom w:val="single" w:color="000000" w:sz="6" w:space="0"/>
              <w:right w:val="single" w:color="000000" w:sz="6" w:space="0"/>
            </w:tcBorders>
            <w:vAlign w:val="bottom"/>
          </w:tcPr>
          <w:p w:rsidRPr="002D372A" w:rsidR="00DF7A6C" w:rsidP="00DF7A6C" w:rsidRDefault="00DF7A6C" w14:paraId="176A42DF" w14:textId="77777777">
            <w:pPr>
              <w:ind w:left="99" w:right="71"/>
              <w:jc w:val="center"/>
              <w:rPr>
                <w:szCs w:val="20"/>
              </w:rPr>
            </w:pPr>
            <w:r w:rsidRPr="002D372A">
              <w:rPr>
                <w:color w:val="000000"/>
                <w:szCs w:val="20"/>
              </w:rPr>
              <w:t>$1,908,780</w:t>
            </w:r>
          </w:p>
        </w:tc>
      </w:tr>
      <w:tr w:rsidRPr="00BF4D0A" w:rsidR="00DF7A6C" w:rsidTr="00DF7A6C" w14:paraId="13F08B97" w14:textId="77777777">
        <w:trPr>
          <w:trHeight w:val="20"/>
          <w:jc w:val="center"/>
        </w:trPr>
        <w:tc>
          <w:tcPr>
            <w:tcW w:w="1135" w:type="pct"/>
            <w:tcBorders>
              <w:top w:val="single" w:color="000000" w:sz="6" w:space="0"/>
              <w:left w:val="single" w:color="000000" w:sz="6" w:space="0"/>
              <w:bottom w:val="single" w:color="000000" w:sz="6" w:space="0"/>
              <w:right w:val="single" w:color="000000" w:sz="6" w:space="0"/>
            </w:tcBorders>
            <w:vAlign w:val="bottom"/>
          </w:tcPr>
          <w:p w:rsidRPr="002D372A" w:rsidR="00DF7A6C" w:rsidP="00FF2AD1" w:rsidRDefault="00DF7A6C" w14:paraId="69EBDD82" w14:textId="77777777">
            <w:pPr>
              <w:ind w:left="246" w:right="210"/>
              <w:rPr>
                <w:b/>
                <w:szCs w:val="20"/>
              </w:rPr>
            </w:pPr>
            <w:r w:rsidRPr="002D372A">
              <w:rPr>
                <w:b/>
                <w:szCs w:val="20"/>
              </w:rPr>
              <w:t>Total</w:t>
            </w:r>
          </w:p>
        </w:tc>
        <w:tc>
          <w:tcPr>
            <w:tcW w:w="783" w:type="pct"/>
            <w:tcBorders>
              <w:top w:val="single" w:color="000000" w:sz="6" w:space="0"/>
              <w:left w:val="single" w:color="000000" w:sz="6" w:space="0"/>
              <w:bottom w:val="single" w:color="000000" w:sz="6" w:space="0"/>
              <w:right w:val="single" w:color="000000" w:sz="6" w:space="0"/>
            </w:tcBorders>
            <w:vAlign w:val="bottom"/>
          </w:tcPr>
          <w:p w:rsidRPr="002D372A" w:rsidR="00DF7A6C" w:rsidP="00FF2AD1" w:rsidRDefault="00DF7A6C" w14:paraId="189DA290" w14:textId="77777777">
            <w:pPr>
              <w:jc w:val="center"/>
              <w:rPr>
                <w:szCs w:val="20"/>
              </w:rPr>
            </w:pPr>
          </w:p>
        </w:tc>
        <w:tc>
          <w:tcPr>
            <w:tcW w:w="769" w:type="pct"/>
            <w:tcBorders>
              <w:top w:val="single" w:color="000000" w:sz="6" w:space="0"/>
              <w:left w:val="single" w:color="000000" w:sz="6" w:space="0"/>
              <w:bottom w:val="single" w:color="000000" w:sz="6" w:space="0"/>
              <w:right w:val="single" w:color="000000" w:sz="6" w:space="0"/>
            </w:tcBorders>
            <w:vAlign w:val="bottom"/>
          </w:tcPr>
          <w:p w:rsidRPr="002D372A" w:rsidR="00DF7A6C" w:rsidP="00DF7A6C" w:rsidRDefault="00DF7A6C" w14:paraId="72723C16" w14:textId="77777777">
            <w:pPr>
              <w:ind w:right="71"/>
              <w:jc w:val="center"/>
              <w:rPr>
                <w:szCs w:val="20"/>
              </w:rPr>
            </w:pPr>
          </w:p>
        </w:tc>
        <w:tc>
          <w:tcPr>
            <w:tcW w:w="631" w:type="pct"/>
            <w:tcBorders>
              <w:top w:val="single" w:color="000000" w:sz="6" w:space="0"/>
              <w:left w:val="single" w:color="000000" w:sz="6" w:space="0"/>
              <w:bottom w:val="single" w:color="000000" w:sz="6" w:space="0"/>
              <w:right w:val="single" w:color="000000" w:sz="6" w:space="0"/>
            </w:tcBorders>
            <w:vAlign w:val="bottom"/>
          </w:tcPr>
          <w:p w:rsidRPr="002D372A" w:rsidR="00DF7A6C" w:rsidP="00DF7A6C" w:rsidRDefault="00DF7A6C" w14:paraId="237806AA" w14:textId="77777777">
            <w:pPr>
              <w:ind w:left="72" w:right="71"/>
              <w:jc w:val="center"/>
              <w:rPr>
                <w:b/>
                <w:szCs w:val="20"/>
              </w:rPr>
            </w:pPr>
            <w:r w:rsidRPr="002D372A">
              <w:rPr>
                <w:b/>
                <w:szCs w:val="20"/>
              </w:rPr>
              <w:t>11,740</w:t>
            </w:r>
          </w:p>
        </w:tc>
        <w:tc>
          <w:tcPr>
            <w:tcW w:w="1681" w:type="pct"/>
            <w:tcBorders>
              <w:top w:val="single" w:color="000000" w:sz="6" w:space="0"/>
              <w:left w:val="single" w:color="000000" w:sz="6" w:space="0"/>
              <w:bottom w:val="single" w:color="000000" w:sz="6" w:space="0"/>
              <w:right w:val="single" w:color="000000" w:sz="6" w:space="0"/>
            </w:tcBorders>
            <w:vAlign w:val="bottom"/>
          </w:tcPr>
          <w:p w:rsidRPr="002D372A" w:rsidR="00DF7A6C" w:rsidP="00DF7A6C" w:rsidRDefault="00DF7A6C" w14:paraId="4EA4662C" w14:textId="77777777">
            <w:pPr>
              <w:ind w:left="99" w:right="71"/>
              <w:jc w:val="center"/>
              <w:rPr>
                <w:b/>
                <w:szCs w:val="20"/>
              </w:rPr>
            </w:pPr>
            <w:r w:rsidRPr="002D372A">
              <w:rPr>
                <w:b/>
                <w:color w:val="000000"/>
                <w:szCs w:val="20"/>
              </w:rPr>
              <w:t>$3,025,593</w:t>
            </w:r>
          </w:p>
        </w:tc>
      </w:tr>
      <w:bookmarkEnd w:id="22"/>
    </w:tbl>
    <w:p w:rsidRPr="00586F1B" w:rsidR="00DF7A6C" w:rsidP="002F30B9" w:rsidRDefault="00DF7A6C" w14:paraId="605F6066"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highlight w:val="yellow"/>
        </w:rPr>
      </w:pPr>
    </w:p>
    <w:p w:rsidRPr="009C6838" w:rsidR="00C61E11" w:rsidP="0074445B" w:rsidRDefault="00C61E11" w14:paraId="234DEE4F" w14:textId="7F41315A">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b/>
          <w:bCs/>
          <w:sz w:val="22"/>
          <w:szCs w:val="22"/>
        </w:rPr>
      </w:pPr>
      <w:r w:rsidRPr="009C6838">
        <w:rPr>
          <w:b/>
          <w:bCs/>
          <w:sz w:val="22"/>
          <w:szCs w:val="22"/>
        </w:rPr>
        <w:t>6(e)</w:t>
      </w:r>
      <w:r w:rsidRPr="009C6838">
        <w:rPr>
          <w:b/>
          <w:bCs/>
          <w:sz w:val="22"/>
          <w:szCs w:val="22"/>
        </w:rPr>
        <w:tab/>
        <w:t>Bottom Line Burden Hours and Costs</w:t>
      </w:r>
    </w:p>
    <w:p w:rsidRPr="00F5497B" w:rsidR="00462DFA" w:rsidP="0074445B" w:rsidRDefault="00F31D27" w14:paraId="53AE93B5" w14:textId="2534C5E9">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contextualSpacing w:val="0"/>
        <w:rPr>
          <w:b/>
          <w:bCs/>
          <w:sz w:val="22"/>
          <w:szCs w:val="22"/>
        </w:rPr>
      </w:pPr>
      <w:r w:rsidRPr="00F5497B">
        <w:rPr>
          <w:b/>
          <w:bCs/>
          <w:sz w:val="22"/>
          <w:szCs w:val="22"/>
        </w:rPr>
        <w:t>Respondent Tally</w:t>
      </w:r>
    </w:p>
    <w:p w:rsidR="006370BC" w:rsidP="0074445B" w:rsidRDefault="006370BC" w14:paraId="529E71DA" w14:textId="0CFDEAF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Pr>
          <w:sz w:val="22"/>
          <w:szCs w:val="22"/>
        </w:rPr>
        <w:t xml:space="preserve">Exhibit 15 presents the </w:t>
      </w:r>
      <w:r w:rsidR="00ED057F">
        <w:rPr>
          <w:sz w:val="22"/>
          <w:szCs w:val="22"/>
        </w:rPr>
        <w:t>a</w:t>
      </w:r>
      <w:r w:rsidRPr="00ED057F" w:rsidR="00ED057F">
        <w:rPr>
          <w:sz w:val="22"/>
          <w:szCs w:val="22"/>
        </w:rPr>
        <w:t xml:space="preserve">nnual </w:t>
      </w:r>
      <w:r w:rsidR="003E2BEB">
        <w:rPr>
          <w:sz w:val="22"/>
          <w:szCs w:val="22"/>
        </w:rPr>
        <w:t xml:space="preserve">average and three-year total for </w:t>
      </w:r>
      <w:r w:rsidR="00ED057F">
        <w:rPr>
          <w:sz w:val="22"/>
          <w:szCs w:val="22"/>
        </w:rPr>
        <w:t>r</w:t>
      </w:r>
      <w:r w:rsidRPr="00ED057F" w:rsidR="00ED057F">
        <w:rPr>
          <w:sz w:val="22"/>
          <w:szCs w:val="22"/>
        </w:rPr>
        <w:t xml:space="preserve">espondent </w:t>
      </w:r>
      <w:r w:rsidR="00ED057F">
        <w:rPr>
          <w:sz w:val="22"/>
          <w:szCs w:val="22"/>
        </w:rPr>
        <w:t>b</w:t>
      </w:r>
      <w:r w:rsidRPr="00ED057F" w:rsidR="00ED057F">
        <w:rPr>
          <w:sz w:val="22"/>
          <w:szCs w:val="22"/>
        </w:rPr>
        <w:t xml:space="preserve">urden and </w:t>
      </w:r>
      <w:r w:rsidR="00ED057F">
        <w:rPr>
          <w:sz w:val="22"/>
          <w:szCs w:val="22"/>
        </w:rPr>
        <w:t>c</w:t>
      </w:r>
      <w:r w:rsidRPr="00ED057F" w:rsidR="00ED057F">
        <w:rPr>
          <w:sz w:val="22"/>
          <w:szCs w:val="22"/>
        </w:rPr>
        <w:t>ost</w:t>
      </w:r>
      <w:r w:rsidR="007A405D">
        <w:rPr>
          <w:sz w:val="22"/>
          <w:szCs w:val="22"/>
        </w:rPr>
        <w:t>.</w:t>
      </w:r>
    </w:p>
    <w:p w:rsidRPr="001E07F2" w:rsidR="00240763" w:rsidP="001E07F2" w:rsidRDefault="00240763" w14:paraId="042CADDA" w14:textId="60249F44">
      <w:pPr>
        <w:pStyle w:val="Caption"/>
        <w:keepNext/>
        <w:spacing w:after="0"/>
        <w:jc w:val="center"/>
        <w:rPr>
          <w:b/>
          <w:bCs/>
          <w:i w:val="0"/>
          <w:iCs w:val="0"/>
          <w:color w:val="auto"/>
          <w:sz w:val="22"/>
          <w:szCs w:val="22"/>
        </w:rPr>
      </w:pPr>
      <w:r w:rsidRPr="00281014">
        <w:rPr>
          <w:b/>
          <w:bCs/>
          <w:i w:val="0"/>
          <w:iCs w:val="0"/>
          <w:color w:val="auto"/>
          <w:sz w:val="22"/>
          <w:szCs w:val="22"/>
        </w:rPr>
        <w:t xml:space="preserve">Exhibit </w:t>
      </w:r>
      <w:r>
        <w:rPr>
          <w:b/>
          <w:bCs/>
          <w:i w:val="0"/>
          <w:iCs w:val="0"/>
          <w:color w:val="auto"/>
          <w:sz w:val="22"/>
          <w:szCs w:val="22"/>
        </w:rPr>
        <w:t>15:</w:t>
      </w:r>
      <w:r w:rsidRPr="00281014">
        <w:rPr>
          <w:b/>
          <w:bCs/>
          <w:i w:val="0"/>
          <w:iCs w:val="0"/>
          <w:color w:val="auto"/>
          <w:sz w:val="22"/>
          <w:szCs w:val="22"/>
        </w:rPr>
        <w:t xml:space="preserve"> </w:t>
      </w:r>
      <w:r w:rsidR="00A34772">
        <w:rPr>
          <w:b/>
          <w:bCs/>
          <w:i w:val="0"/>
          <w:iCs w:val="0"/>
          <w:color w:val="auto"/>
          <w:sz w:val="22"/>
          <w:szCs w:val="22"/>
        </w:rPr>
        <w:t>A</w:t>
      </w:r>
      <w:r w:rsidR="00994E77">
        <w:rPr>
          <w:b/>
          <w:bCs/>
          <w:i w:val="0"/>
          <w:iCs w:val="0"/>
          <w:color w:val="auto"/>
          <w:sz w:val="22"/>
          <w:szCs w:val="22"/>
        </w:rPr>
        <w:t xml:space="preserve">nnual </w:t>
      </w:r>
      <w:r w:rsidR="00A34772">
        <w:rPr>
          <w:b/>
          <w:bCs/>
          <w:i w:val="0"/>
          <w:iCs w:val="0"/>
          <w:color w:val="auto"/>
          <w:sz w:val="22"/>
          <w:szCs w:val="22"/>
        </w:rPr>
        <w:t xml:space="preserve">Average and Three-Year </w:t>
      </w:r>
      <w:r w:rsidR="001E07F2">
        <w:rPr>
          <w:b/>
          <w:bCs/>
          <w:i w:val="0"/>
          <w:iCs w:val="0"/>
          <w:color w:val="auto"/>
          <w:sz w:val="22"/>
          <w:szCs w:val="22"/>
        </w:rPr>
        <w:t>Total B</w:t>
      </w:r>
      <w:r w:rsidR="00994E77">
        <w:rPr>
          <w:b/>
          <w:bCs/>
          <w:i w:val="0"/>
          <w:iCs w:val="0"/>
          <w:color w:val="auto"/>
          <w:sz w:val="22"/>
          <w:szCs w:val="22"/>
        </w:rPr>
        <w:t>urden</w:t>
      </w:r>
      <w:r w:rsidR="001E07F2">
        <w:rPr>
          <w:b/>
          <w:bCs/>
          <w:i w:val="0"/>
          <w:iCs w:val="0"/>
          <w:color w:val="auto"/>
          <w:sz w:val="22"/>
          <w:szCs w:val="22"/>
        </w:rPr>
        <w:t>s</w:t>
      </w:r>
      <w:r w:rsidRPr="00281014">
        <w:rPr>
          <w:b/>
          <w:bCs/>
          <w:i w:val="0"/>
          <w:iCs w:val="0"/>
          <w:color w:val="auto"/>
          <w:sz w:val="22"/>
          <w:szCs w:val="22"/>
        </w:rPr>
        <w:t xml:space="preserve"> (2020 dollars)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69"/>
        <w:gridCol w:w="2392"/>
        <w:gridCol w:w="2489"/>
      </w:tblGrid>
      <w:tr w:rsidRPr="00275DE8" w:rsidR="00275DE8" w:rsidTr="00275DE8" w14:paraId="3929A283" w14:textId="77777777">
        <w:trPr>
          <w:trHeight w:val="20"/>
        </w:trPr>
        <w:tc>
          <w:tcPr>
            <w:tcW w:w="2390" w:type="pct"/>
            <w:shd w:val="clear" w:color="auto" w:fill="D9D9D9" w:themeFill="background1" w:themeFillShade="D9"/>
            <w:vAlign w:val="center"/>
            <w:hideMark/>
          </w:tcPr>
          <w:p w:rsidRPr="00275DE8" w:rsidR="00275DE8" w:rsidP="00275DE8" w:rsidRDefault="00275DE8" w14:paraId="4D1CEB5F" w14:textId="77777777">
            <w:pPr>
              <w:widowControl/>
              <w:adjustRightInd/>
              <w:jc w:val="center"/>
              <w:rPr>
                <w:b/>
                <w:bCs/>
                <w:color w:val="000000"/>
                <w:szCs w:val="20"/>
              </w:rPr>
            </w:pPr>
            <w:r w:rsidRPr="00275DE8">
              <w:rPr>
                <w:b/>
                <w:bCs/>
                <w:color w:val="000000"/>
                <w:szCs w:val="20"/>
              </w:rPr>
              <w:t>Element</w:t>
            </w:r>
          </w:p>
        </w:tc>
        <w:tc>
          <w:tcPr>
            <w:tcW w:w="1279" w:type="pct"/>
            <w:shd w:val="clear" w:color="auto" w:fill="D9D9D9" w:themeFill="background1" w:themeFillShade="D9"/>
            <w:vAlign w:val="center"/>
            <w:hideMark/>
          </w:tcPr>
          <w:p w:rsidRPr="00275DE8" w:rsidR="00275DE8" w:rsidP="00275DE8" w:rsidRDefault="00275DE8" w14:paraId="697E7D97" w14:textId="77777777">
            <w:pPr>
              <w:widowControl/>
              <w:adjustRightInd/>
              <w:jc w:val="center"/>
              <w:rPr>
                <w:b/>
                <w:bCs/>
                <w:color w:val="000000"/>
                <w:szCs w:val="20"/>
              </w:rPr>
            </w:pPr>
            <w:r w:rsidRPr="00275DE8">
              <w:rPr>
                <w:b/>
                <w:bCs/>
                <w:color w:val="000000"/>
                <w:szCs w:val="20"/>
              </w:rPr>
              <w:t>Annual Average</w:t>
            </w:r>
          </w:p>
        </w:tc>
        <w:tc>
          <w:tcPr>
            <w:tcW w:w="1331" w:type="pct"/>
            <w:shd w:val="clear" w:color="auto" w:fill="D9D9D9" w:themeFill="background1" w:themeFillShade="D9"/>
            <w:vAlign w:val="center"/>
            <w:hideMark/>
          </w:tcPr>
          <w:p w:rsidRPr="00275DE8" w:rsidR="00275DE8" w:rsidP="00275DE8" w:rsidRDefault="00275DE8" w14:paraId="34A50124" w14:textId="77777777">
            <w:pPr>
              <w:widowControl/>
              <w:adjustRightInd/>
              <w:jc w:val="center"/>
              <w:rPr>
                <w:b/>
                <w:bCs/>
                <w:color w:val="000000"/>
                <w:szCs w:val="20"/>
              </w:rPr>
            </w:pPr>
            <w:r w:rsidRPr="00275DE8">
              <w:rPr>
                <w:b/>
                <w:bCs/>
                <w:color w:val="000000"/>
                <w:szCs w:val="20"/>
              </w:rPr>
              <w:t>Three-year Total</w:t>
            </w:r>
          </w:p>
        </w:tc>
      </w:tr>
      <w:tr w:rsidRPr="00275DE8" w:rsidR="00275DE8" w:rsidTr="00275DE8" w14:paraId="4B322F06" w14:textId="77777777">
        <w:trPr>
          <w:trHeight w:val="20"/>
        </w:trPr>
        <w:tc>
          <w:tcPr>
            <w:tcW w:w="2390" w:type="pct"/>
            <w:shd w:val="clear" w:color="auto" w:fill="auto"/>
            <w:vAlign w:val="center"/>
            <w:hideMark/>
          </w:tcPr>
          <w:p w:rsidRPr="00275DE8" w:rsidR="00275DE8" w:rsidP="00275DE8" w:rsidRDefault="00275DE8" w14:paraId="0D4C4CAA" w14:textId="382AB41E">
            <w:pPr>
              <w:widowControl/>
              <w:adjustRightInd/>
              <w:rPr>
                <w:color w:val="000000"/>
                <w:szCs w:val="20"/>
              </w:rPr>
            </w:pPr>
            <w:r w:rsidRPr="00275DE8">
              <w:rPr>
                <w:color w:val="000000"/>
                <w:szCs w:val="20"/>
              </w:rPr>
              <w:t xml:space="preserve">Estimated </w:t>
            </w:r>
            <w:r w:rsidR="00A54BA2">
              <w:rPr>
                <w:color w:val="000000"/>
                <w:szCs w:val="20"/>
              </w:rPr>
              <w:t xml:space="preserve">Total </w:t>
            </w:r>
            <w:r w:rsidRPr="00275DE8">
              <w:rPr>
                <w:color w:val="000000"/>
                <w:szCs w:val="20"/>
              </w:rPr>
              <w:t>Burden Hours</w:t>
            </w:r>
          </w:p>
        </w:tc>
        <w:tc>
          <w:tcPr>
            <w:tcW w:w="1279" w:type="pct"/>
            <w:shd w:val="clear" w:color="auto" w:fill="auto"/>
            <w:vAlign w:val="center"/>
            <w:hideMark/>
          </w:tcPr>
          <w:p w:rsidRPr="00275DE8" w:rsidR="00275DE8" w:rsidP="00275DE8" w:rsidRDefault="00275DE8" w14:paraId="4325DDC4" w14:textId="1313C450">
            <w:pPr>
              <w:widowControl/>
              <w:adjustRightInd/>
              <w:jc w:val="right"/>
              <w:rPr>
                <w:color w:val="000000"/>
                <w:szCs w:val="20"/>
              </w:rPr>
            </w:pPr>
            <w:r w:rsidRPr="00275DE8">
              <w:rPr>
                <w:color w:val="000000"/>
                <w:szCs w:val="20"/>
              </w:rPr>
              <w:t>797,642</w:t>
            </w:r>
          </w:p>
        </w:tc>
        <w:tc>
          <w:tcPr>
            <w:tcW w:w="1331" w:type="pct"/>
            <w:shd w:val="clear" w:color="auto" w:fill="auto"/>
            <w:vAlign w:val="center"/>
            <w:hideMark/>
          </w:tcPr>
          <w:p w:rsidRPr="00275DE8" w:rsidR="00275DE8" w:rsidP="00275DE8" w:rsidRDefault="00275DE8" w14:paraId="1EB97109" w14:textId="2D438071">
            <w:pPr>
              <w:widowControl/>
              <w:adjustRightInd/>
              <w:jc w:val="right"/>
              <w:rPr>
                <w:color w:val="000000"/>
                <w:szCs w:val="20"/>
              </w:rPr>
            </w:pPr>
            <w:r w:rsidRPr="00275DE8">
              <w:rPr>
                <w:color w:val="000000"/>
                <w:szCs w:val="20"/>
              </w:rPr>
              <w:t>2,392,926</w:t>
            </w:r>
          </w:p>
        </w:tc>
      </w:tr>
      <w:tr w:rsidRPr="00275DE8" w:rsidR="0033524E" w:rsidTr="00275DE8" w14:paraId="6F4CD405" w14:textId="77777777">
        <w:trPr>
          <w:trHeight w:val="20"/>
        </w:trPr>
        <w:tc>
          <w:tcPr>
            <w:tcW w:w="2390" w:type="pct"/>
            <w:shd w:val="clear" w:color="auto" w:fill="auto"/>
            <w:vAlign w:val="center"/>
          </w:tcPr>
          <w:p w:rsidRPr="00275DE8" w:rsidR="0033524E" w:rsidP="0033524E" w:rsidRDefault="0033524E" w14:paraId="5F2B0258" w14:textId="73DF0F40">
            <w:pPr>
              <w:widowControl/>
              <w:adjustRightInd/>
              <w:rPr>
                <w:color w:val="000000"/>
                <w:szCs w:val="20"/>
              </w:rPr>
            </w:pPr>
            <w:r>
              <w:rPr>
                <w:color w:val="000000"/>
                <w:szCs w:val="20"/>
              </w:rPr>
              <w:t>Estimated Hours per Source</w:t>
            </w:r>
            <w:r w:rsidR="00BA36BA">
              <w:rPr>
                <w:color w:val="000000"/>
                <w:szCs w:val="20"/>
              </w:rPr>
              <w:t>*</w:t>
            </w:r>
          </w:p>
        </w:tc>
        <w:tc>
          <w:tcPr>
            <w:tcW w:w="1279" w:type="pct"/>
            <w:shd w:val="clear" w:color="auto" w:fill="auto"/>
            <w:vAlign w:val="center"/>
          </w:tcPr>
          <w:p w:rsidRPr="00275DE8" w:rsidR="0033524E" w:rsidP="0033524E" w:rsidRDefault="0033524E" w14:paraId="1005D951" w14:textId="3B55D60D">
            <w:pPr>
              <w:widowControl/>
              <w:adjustRightInd/>
              <w:jc w:val="right"/>
              <w:rPr>
                <w:color w:val="000000"/>
                <w:szCs w:val="20"/>
              </w:rPr>
            </w:pPr>
            <w:r>
              <w:rPr>
                <w:color w:val="000000"/>
                <w:szCs w:val="20"/>
              </w:rPr>
              <w:t>56</w:t>
            </w:r>
          </w:p>
        </w:tc>
        <w:tc>
          <w:tcPr>
            <w:tcW w:w="1331" w:type="pct"/>
            <w:shd w:val="clear" w:color="auto" w:fill="auto"/>
            <w:vAlign w:val="center"/>
          </w:tcPr>
          <w:p w:rsidRPr="00275DE8" w:rsidR="0033524E" w:rsidP="0033524E" w:rsidRDefault="0033524E" w14:paraId="4B6EA8C1" w14:textId="67018AEF">
            <w:pPr>
              <w:widowControl/>
              <w:adjustRightInd/>
              <w:jc w:val="right"/>
              <w:rPr>
                <w:color w:val="000000"/>
                <w:szCs w:val="20"/>
              </w:rPr>
            </w:pPr>
            <w:r>
              <w:rPr>
                <w:color w:val="000000"/>
                <w:szCs w:val="20"/>
              </w:rPr>
              <w:t>168</w:t>
            </w:r>
          </w:p>
        </w:tc>
      </w:tr>
      <w:tr w:rsidRPr="00275DE8" w:rsidR="00275DE8" w:rsidTr="00275DE8" w14:paraId="0666196E" w14:textId="77777777">
        <w:trPr>
          <w:trHeight w:val="20"/>
        </w:trPr>
        <w:tc>
          <w:tcPr>
            <w:tcW w:w="2390" w:type="pct"/>
            <w:shd w:val="clear" w:color="auto" w:fill="auto"/>
            <w:vAlign w:val="center"/>
            <w:hideMark/>
          </w:tcPr>
          <w:p w:rsidRPr="00275DE8" w:rsidR="00275DE8" w:rsidP="00275DE8" w:rsidRDefault="00275DE8" w14:paraId="5F42E154" w14:textId="77777777">
            <w:pPr>
              <w:widowControl/>
              <w:adjustRightInd/>
              <w:rPr>
                <w:color w:val="000000"/>
                <w:szCs w:val="20"/>
              </w:rPr>
            </w:pPr>
            <w:r w:rsidRPr="00275DE8">
              <w:rPr>
                <w:color w:val="000000"/>
                <w:szCs w:val="20"/>
              </w:rPr>
              <w:t>Average Hourly Rate</w:t>
            </w:r>
          </w:p>
        </w:tc>
        <w:tc>
          <w:tcPr>
            <w:tcW w:w="1279" w:type="pct"/>
            <w:shd w:val="clear" w:color="auto" w:fill="auto"/>
            <w:vAlign w:val="center"/>
            <w:hideMark/>
          </w:tcPr>
          <w:p w:rsidRPr="00275DE8" w:rsidR="00275DE8" w:rsidP="00275DE8" w:rsidRDefault="00275DE8" w14:paraId="23CB3FCA" w14:textId="77777777">
            <w:pPr>
              <w:widowControl/>
              <w:adjustRightInd/>
              <w:jc w:val="right"/>
              <w:rPr>
                <w:color w:val="000000"/>
                <w:szCs w:val="20"/>
              </w:rPr>
            </w:pPr>
            <w:r w:rsidRPr="00275DE8">
              <w:rPr>
                <w:color w:val="000000"/>
                <w:szCs w:val="20"/>
              </w:rPr>
              <w:t>$95.72</w:t>
            </w:r>
          </w:p>
        </w:tc>
        <w:tc>
          <w:tcPr>
            <w:tcW w:w="1331" w:type="pct"/>
            <w:shd w:val="clear" w:color="auto" w:fill="auto"/>
            <w:vAlign w:val="center"/>
            <w:hideMark/>
          </w:tcPr>
          <w:p w:rsidRPr="00275DE8" w:rsidR="00275DE8" w:rsidP="00275DE8" w:rsidRDefault="00275DE8" w14:paraId="475AEDEB" w14:textId="77777777">
            <w:pPr>
              <w:widowControl/>
              <w:adjustRightInd/>
              <w:jc w:val="right"/>
              <w:rPr>
                <w:color w:val="000000"/>
                <w:szCs w:val="20"/>
              </w:rPr>
            </w:pPr>
            <w:r w:rsidRPr="00275DE8">
              <w:rPr>
                <w:color w:val="000000"/>
                <w:szCs w:val="20"/>
              </w:rPr>
              <w:t>$95.72</w:t>
            </w:r>
          </w:p>
        </w:tc>
      </w:tr>
      <w:tr w:rsidRPr="00275DE8" w:rsidR="00275DE8" w:rsidTr="00275DE8" w14:paraId="19BC0C22" w14:textId="77777777">
        <w:trPr>
          <w:trHeight w:val="20"/>
        </w:trPr>
        <w:tc>
          <w:tcPr>
            <w:tcW w:w="2390" w:type="pct"/>
            <w:shd w:val="clear" w:color="auto" w:fill="auto"/>
            <w:vAlign w:val="center"/>
            <w:hideMark/>
          </w:tcPr>
          <w:p w:rsidRPr="00275DE8" w:rsidR="00275DE8" w:rsidP="00275DE8" w:rsidRDefault="00275DE8" w14:paraId="15EA4843" w14:textId="77777777">
            <w:pPr>
              <w:widowControl/>
              <w:adjustRightInd/>
              <w:rPr>
                <w:color w:val="000000"/>
                <w:szCs w:val="20"/>
              </w:rPr>
            </w:pPr>
            <w:r w:rsidRPr="00275DE8">
              <w:rPr>
                <w:color w:val="000000"/>
                <w:szCs w:val="20"/>
              </w:rPr>
              <w:t>Estimated Total Cost</w:t>
            </w:r>
          </w:p>
        </w:tc>
        <w:tc>
          <w:tcPr>
            <w:tcW w:w="1279" w:type="pct"/>
            <w:shd w:val="clear" w:color="auto" w:fill="auto"/>
            <w:vAlign w:val="center"/>
            <w:hideMark/>
          </w:tcPr>
          <w:p w:rsidRPr="00275DE8" w:rsidR="00275DE8" w:rsidP="00275DE8" w:rsidRDefault="00275DE8" w14:paraId="57E2E7C3" w14:textId="77777777">
            <w:pPr>
              <w:widowControl/>
              <w:adjustRightInd/>
              <w:jc w:val="right"/>
              <w:rPr>
                <w:color w:val="000000"/>
                <w:szCs w:val="20"/>
              </w:rPr>
            </w:pPr>
            <w:r w:rsidRPr="00275DE8">
              <w:rPr>
                <w:color w:val="000000"/>
                <w:szCs w:val="20"/>
              </w:rPr>
              <w:t>$79,248,522</w:t>
            </w:r>
          </w:p>
        </w:tc>
        <w:tc>
          <w:tcPr>
            <w:tcW w:w="1331" w:type="pct"/>
            <w:shd w:val="clear" w:color="auto" w:fill="auto"/>
            <w:vAlign w:val="center"/>
            <w:hideMark/>
          </w:tcPr>
          <w:p w:rsidRPr="00275DE8" w:rsidR="00275DE8" w:rsidP="00275DE8" w:rsidRDefault="00275DE8" w14:paraId="36E2113C" w14:textId="77777777">
            <w:pPr>
              <w:widowControl/>
              <w:adjustRightInd/>
              <w:jc w:val="right"/>
              <w:rPr>
                <w:color w:val="000000"/>
                <w:szCs w:val="20"/>
              </w:rPr>
            </w:pPr>
            <w:r w:rsidRPr="00275DE8">
              <w:rPr>
                <w:color w:val="000000"/>
                <w:szCs w:val="20"/>
              </w:rPr>
              <w:t>$237,745,566</w:t>
            </w:r>
          </w:p>
        </w:tc>
      </w:tr>
      <w:tr w:rsidRPr="00275DE8" w:rsidR="00275DE8" w:rsidTr="00275DE8" w14:paraId="0D65CDAD" w14:textId="77777777">
        <w:trPr>
          <w:trHeight w:val="20"/>
        </w:trPr>
        <w:tc>
          <w:tcPr>
            <w:tcW w:w="2390" w:type="pct"/>
            <w:shd w:val="clear" w:color="auto" w:fill="auto"/>
            <w:vAlign w:val="center"/>
            <w:hideMark/>
          </w:tcPr>
          <w:p w:rsidRPr="00275DE8" w:rsidR="00275DE8" w:rsidP="00275DE8" w:rsidRDefault="00275DE8" w14:paraId="5E2A25F4" w14:textId="77777777">
            <w:pPr>
              <w:widowControl/>
              <w:adjustRightInd/>
              <w:jc w:val="right"/>
              <w:rPr>
                <w:color w:val="000000"/>
                <w:szCs w:val="20"/>
              </w:rPr>
            </w:pPr>
            <w:r w:rsidRPr="00275DE8">
              <w:rPr>
                <w:color w:val="000000"/>
                <w:szCs w:val="20"/>
              </w:rPr>
              <w:t>Labor Costs</w:t>
            </w:r>
          </w:p>
        </w:tc>
        <w:tc>
          <w:tcPr>
            <w:tcW w:w="1279" w:type="pct"/>
            <w:shd w:val="clear" w:color="auto" w:fill="auto"/>
            <w:vAlign w:val="center"/>
            <w:hideMark/>
          </w:tcPr>
          <w:p w:rsidRPr="00275DE8" w:rsidR="00275DE8" w:rsidP="00275DE8" w:rsidRDefault="00275DE8" w14:paraId="11FEE4EC" w14:textId="77777777">
            <w:pPr>
              <w:widowControl/>
              <w:adjustRightInd/>
              <w:jc w:val="right"/>
              <w:rPr>
                <w:color w:val="000000"/>
                <w:szCs w:val="20"/>
              </w:rPr>
            </w:pPr>
            <w:r w:rsidRPr="00275DE8">
              <w:rPr>
                <w:color w:val="000000"/>
                <w:szCs w:val="20"/>
              </w:rPr>
              <w:t>$76,352,215</w:t>
            </w:r>
          </w:p>
        </w:tc>
        <w:tc>
          <w:tcPr>
            <w:tcW w:w="1331" w:type="pct"/>
            <w:shd w:val="clear" w:color="auto" w:fill="auto"/>
            <w:vAlign w:val="center"/>
            <w:hideMark/>
          </w:tcPr>
          <w:p w:rsidRPr="00275DE8" w:rsidR="00275DE8" w:rsidP="00275DE8" w:rsidRDefault="00275DE8" w14:paraId="7AA0FF0F" w14:textId="77777777">
            <w:pPr>
              <w:widowControl/>
              <w:adjustRightInd/>
              <w:jc w:val="right"/>
              <w:rPr>
                <w:color w:val="000000"/>
                <w:szCs w:val="20"/>
              </w:rPr>
            </w:pPr>
            <w:r w:rsidRPr="00275DE8">
              <w:rPr>
                <w:color w:val="000000"/>
                <w:szCs w:val="20"/>
              </w:rPr>
              <w:t>$229,056,645</w:t>
            </w:r>
          </w:p>
        </w:tc>
      </w:tr>
      <w:tr w:rsidRPr="00275DE8" w:rsidR="00275DE8" w:rsidTr="00275DE8" w14:paraId="22744AEC" w14:textId="77777777">
        <w:trPr>
          <w:trHeight w:val="20"/>
        </w:trPr>
        <w:tc>
          <w:tcPr>
            <w:tcW w:w="2390" w:type="pct"/>
            <w:shd w:val="clear" w:color="auto" w:fill="auto"/>
            <w:vAlign w:val="center"/>
            <w:hideMark/>
          </w:tcPr>
          <w:p w:rsidRPr="00275DE8" w:rsidR="00275DE8" w:rsidP="00275DE8" w:rsidRDefault="00275DE8" w14:paraId="159016A1" w14:textId="77777777">
            <w:pPr>
              <w:widowControl/>
              <w:adjustRightInd/>
              <w:jc w:val="right"/>
              <w:rPr>
                <w:color w:val="000000"/>
                <w:szCs w:val="20"/>
              </w:rPr>
            </w:pPr>
            <w:r w:rsidRPr="00275DE8">
              <w:rPr>
                <w:color w:val="000000"/>
                <w:szCs w:val="20"/>
              </w:rPr>
              <w:t>Operations and Maintenance Costs</w:t>
            </w:r>
          </w:p>
        </w:tc>
        <w:tc>
          <w:tcPr>
            <w:tcW w:w="1279" w:type="pct"/>
            <w:shd w:val="clear" w:color="auto" w:fill="auto"/>
            <w:vAlign w:val="center"/>
            <w:hideMark/>
          </w:tcPr>
          <w:p w:rsidRPr="00275DE8" w:rsidR="00275DE8" w:rsidP="00275DE8" w:rsidRDefault="00275DE8" w14:paraId="53C0DB7B" w14:textId="77777777">
            <w:pPr>
              <w:widowControl/>
              <w:adjustRightInd/>
              <w:jc w:val="right"/>
              <w:rPr>
                <w:color w:val="000000"/>
                <w:szCs w:val="20"/>
              </w:rPr>
            </w:pPr>
            <w:r w:rsidRPr="00275DE8">
              <w:rPr>
                <w:color w:val="000000"/>
                <w:szCs w:val="20"/>
              </w:rPr>
              <w:t>$2,817,907</w:t>
            </w:r>
          </w:p>
        </w:tc>
        <w:tc>
          <w:tcPr>
            <w:tcW w:w="1331" w:type="pct"/>
            <w:shd w:val="clear" w:color="auto" w:fill="auto"/>
            <w:vAlign w:val="center"/>
            <w:hideMark/>
          </w:tcPr>
          <w:p w:rsidRPr="00275DE8" w:rsidR="00275DE8" w:rsidP="00275DE8" w:rsidRDefault="00275DE8" w14:paraId="28B0D1FB" w14:textId="77777777">
            <w:pPr>
              <w:widowControl/>
              <w:adjustRightInd/>
              <w:jc w:val="right"/>
              <w:rPr>
                <w:color w:val="000000"/>
                <w:szCs w:val="20"/>
              </w:rPr>
            </w:pPr>
            <w:r w:rsidRPr="00275DE8">
              <w:rPr>
                <w:color w:val="000000"/>
                <w:szCs w:val="20"/>
              </w:rPr>
              <w:t>$8,453,721</w:t>
            </w:r>
          </w:p>
        </w:tc>
      </w:tr>
      <w:tr w:rsidRPr="00275DE8" w:rsidR="00275DE8" w:rsidTr="00275DE8" w14:paraId="7CDE8CFB" w14:textId="77777777">
        <w:trPr>
          <w:trHeight w:val="20"/>
        </w:trPr>
        <w:tc>
          <w:tcPr>
            <w:tcW w:w="2390" w:type="pct"/>
            <w:shd w:val="clear" w:color="auto" w:fill="auto"/>
            <w:vAlign w:val="center"/>
            <w:hideMark/>
          </w:tcPr>
          <w:p w:rsidRPr="00275DE8" w:rsidR="00275DE8" w:rsidP="00275DE8" w:rsidRDefault="00275DE8" w14:paraId="626B172D" w14:textId="77777777">
            <w:pPr>
              <w:widowControl/>
              <w:adjustRightInd/>
              <w:jc w:val="right"/>
              <w:rPr>
                <w:color w:val="000000"/>
                <w:szCs w:val="20"/>
              </w:rPr>
            </w:pPr>
            <w:r w:rsidRPr="00275DE8">
              <w:rPr>
                <w:color w:val="000000"/>
                <w:szCs w:val="20"/>
              </w:rPr>
              <w:t>Capital Costs</w:t>
            </w:r>
          </w:p>
        </w:tc>
        <w:tc>
          <w:tcPr>
            <w:tcW w:w="1279" w:type="pct"/>
            <w:shd w:val="clear" w:color="auto" w:fill="auto"/>
            <w:vAlign w:val="center"/>
            <w:hideMark/>
          </w:tcPr>
          <w:p w:rsidRPr="00275DE8" w:rsidR="00275DE8" w:rsidP="00275DE8" w:rsidRDefault="00275DE8" w14:paraId="4164F236" w14:textId="77777777">
            <w:pPr>
              <w:widowControl/>
              <w:adjustRightInd/>
              <w:jc w:val="right"/>
              <w:rPr>
                <w:color w:val="000000"/>
                <w:szCs w:val="20"/>
              </w:rPr>
            </w:pPr>
            <w:r w:rsidRPr="00275DE8">
              <w:rPr>
                <w:color w:val="000000"/>
                <w:szCs w:val="20"/>
              </w:rPr>
              <w:t>$78,400</w:t>
            </w:r>
          </w:p>
        </w:tc>
        <w:tc>
          <w:tcPr>
            <w:tcW w:w="1331" w:type="pct"/>
            <w:shd w:val="clear" w:color="auto" w:fill="auto"/>
            <w:vAlign w:val="center"/>
            <w:hideMark/>
          </w:tcPr>
          <w:p w:rsidRPr="00275DE8" w:rsidR="00275DE8" w:rsidP="00275DE8" w:rsidRDefault="00275DE8" w14:paraId="58ACEBCA" w14:textId="77777777">
            <w:pPr>
              <w:widowControl/>
              <w:adjustRightInd/>
              <w:jc w:val="right"/>
              <w:rPr>
                <w:color w:val="000000"/>
                <w:szCs w:val="20"/>
              </w:rPr>
            </w:pPr>
            <w:r w:rsidRPr="00275DE8">
              <w:rPr>
                <w:color w:val="000000"/>
                <w:szCs w:val="20"/>
              </w:rPr>
              <w:t>$235,200</w:t>
            </w:r>
          </w:p>
        </w:tc>
      </w:tr>
    </w:tbl>
    <w:p w:rsidRPr="006D0424" w:rsidR="006370BC" w:rsidP="00141112" w:rsidRDefault="00BA36BA" w14:paraId="626B1A32" w14:textId="0368A06C">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szCs w:val="20"/>
        </w:rPr>
      </w:pPr>
      <w:r w:rsidRPr="006D0424">
        <w:rPr>
          <w:szCs w:val="20"/>
        </w:rPr>
        <w:t>* The number of sources is 14,226</w:t>
      </w:r>
    </w:p>
    <w:p w:rsidR="006E6DBC" w:rsidP="0074445B" w:rsidRDefault="006E6DBC" w14:paraId="424DEF6E" w14:textId="2300A795">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9013D5">
        <w:rPr>
          <w:sz w:val="22"/>
          <w:szCs w:val="22"/>
        </w:rPr>
        <w:t xml:space="preserve">Exhibit </w:t>
      </w:r>
      <w:r w:rsidRPr="009013D5" w:rsidR="00F1448F">
        <w:rPr>
          <w:sz w:val="22"/>
          <w:szCs w:val="22"/>
        </w:rPr>
        <w:t>1</w:t>
      </w:r>
      <w:r w:rsidR="00240763">
        <w:rPr>
          <w:sz w:val="22"/>
          <w:szCs w:val="22"/>
        </w:rPr>
        <w:t>6</w:t>
      </w:r>
      <w:r w:rsidRPr="009013D5" w:rsidR="00F1448F">
        <w:rPr>
          <w:sz w:val="22"/>
          <w:szCs w:val="22"/>
        </w:rPr>
        <w:t xml:space="preserve"> </w:t>
      </w:r>
      <w:r w:rsidRPr="009013D5">
        <w:rPr>
          <w:sz w:val="22"/>
          <w:szCs w:val="22"/>
        </w:rPr>
        <w:t>summarizes the total cost associated with all the requirements covered in this ICR. As shown in the exhibit, EPA e</w:t>
      </w:r>
      <w:r w:rsidRPr="0010002E">
        <w:rPr>
          <w:sz w:val="22"/>
          <w:szCs w:val="22"/>
        </w:rPr>
        <w:t xml:space="preserve">stimates the </w:t>
      </w:r>
      <w:r w:rsidRPr="0010002E" w:rsidR="00F40221">
        <w:rPr>
          <w:sz w:val="22"/>
          <w:szCs w:val="22"/>
        </w:rPr>
        <w:t>first year’s cost</w:t>
      </w:r>
      <w:r w:rsidR="006C5EAF">
        <w:rPr>
          <w:sz w:val="22"/>
          <w:szCs w:val="22"/>
        </w:rPr>
        <w:t xml:space="preserve"> of this ICR </w:t>
      </w:r>
      <w:r w:rsidRPr="0010002E" w:rsidR="00F40221">
        <w:rPr>
          <w:sz w:val="22"/>
          <w:szCs w:val="22"/>
        </w:rPr>
        <w:t>to</w:t>
      </w:r>
      <w:r w:rsidRPr="0010002E">
        <w:rPr>
          <w:sz w:val="22"/>
          <w:szCs w:val="22"/>
        </w:rPr>
        <w:t xml:space="preserve"> be $</w:t>
      </w:r>
      <w:r w:rsidRPr="0010002E" w:rsidR="00F40221">
        <w:rPr>
          <w:sz w:val="22"/>
          <w:szCs w:val="22"/>
        </w:rPr>
        <w:t>117.4 million and the following year</w:t>
      </w:r>
      <w:r w:rsidRPr="0010002E" w:rsidR="003C342E">
        <w:rPr>
          <w:sz w:val="22"/>
          <w:szCs w:val="22"/>
        </w:rPr>
        <w:t>s</w:t>
      </w:r>
      <w:r w:rsidR="0094084E">
        <w:rPr>
          <w:sz w:val="22"/>
          <w:szCs w:val="22"/>
        </w:rPr>
        <w:t>, including years 2 and 3 of this ICR period,</w:t>
      </w:r>
      <w:r w:rsidRPr="0010002E" w:rsidR="003C342E">
        <w:rPr>
          <w:sz w:val="22"/>
          <w:szCs w:val="22"/>
        </w:rPr>
        <w:t xml:space="preserve"> to be $70.5 million</w:t>
      </w:r>
      <w:r w:rsidRPr="0010002E" w:rsidR="0010002E">
        <w:rPr>
          <w:sz w:val="22"/>
          <w:szCs w:val="22"/>
        </w:rPr>
        <w:t xml:space="preserve"> each</w:t>
      </w:r>
      <w:r w:rsidRPr="0010002E">
        <w:rPr>
          <w:sz w:val="22"/>
          <w:szCs w:val="22"/>
        </w:rPr>
        <w:t xml:space="preserve">. </w:t>
      </w:r>
    </w:p>
    <w:p w:rsidR="0085181A" w:rsidP="0074445B" w:rsidRDefault="0085181A" w14:paraId="6FEF86E7" w14:textId="77777777">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highlight w:val="yellow"/>
        </w:rPr>
      </w:pPr>
    </w:p>
    <w:p w:rsidRPr="009F3695" w:rsidR="00342169" w:rsidP="0074445B" w:rsidRDefault="009F3695" w14:paraId="55AF3048" w14:textId="11A9A10F">
      <w:pPr>
        <w:pStyle w:val="Caption"/>
        <w:keepNext/>
        <w:spacing w:after="0"/>
        <w:jc w:val="center"/>
        <w:rPr>
          <w:b/>
          <w:bCs/>
          <w:i w:val="0"/>
          <w:iCs w:val="0"/>
          <w:color w:val="auto"/>
          <w:sz w:val="22"/>
          <w:szCs w:val="22"/>
        </w:rPr>
      </w:pPr>
      <w:r w:rsidRPr="00281014">
        <w:rPr>
          <w:b/>
          <w:bCs/>
          <w:i w:val="0"/>
          <w:iCs w:val="0"/>
          <w:color w:val="auto"/>
          <w:sz w:val="22"/>
          <w:szCs w:val="22"/>
        </w:rPr>
        <w:lastRenderedPageBreak/>
        <w:t xml:space="preserve">Exhibit </w:t>
      </w:r>
      <w:r w:rsidR="00F1448F">
        <w:rPr>
          <w:b/>
          <w:bCs/>
          <w:i w:val="0"/>
          <w:iCs w:val="0"/>
          <w:color w:val="auto"/>
          <w:sz w:val="22"/>
          <w:szCs w:val="22"/>
        </w:rPr>
        <w:t>1</w:t>
      </w:r>
      <w:r w:rsidR="00240763">
        <w:rPr>
          <w:b/>
          <w:bCs/>
          <w:i w:val="0"/>
          <w:iCs w:val="0"/>
          <w:color w:val="auto"/>
          <w:sz w:val="22"/>
          <w:szCs w:val="22"/>
        </w:rPr>
        <w:t>6:</w:t>
      </w:r>
      <w:r w:rsidRPr="00281014">
        <w:rPr>
          <w:b/>
          <w:bCs/>
          <w:i w:val="0"/>
          <w:iCs w:val="0"/>
          <w:color w:val="auto"/>
          <w:sz w:val="22"/>
          <w:szCs w:val="22"/>
        </w:rPr>
        <w:t xml:space="preserve"> Summary of Estimated </w:t>
      </w:r>
      <w:r>
        <w:rPr>
          <w:b/>
          <w:bCs/>
          <w:i w:val="0"/>
          <w:iCs w:val="0"/>
          <w:color w:val="auto"/>
          <w:sz w:val="22"/>
          <w:szCs w:val="22"/>
        </w:rPr>
        <w:t xml:space="preserve">Undiscounted </w:t>
      </w:r>
      <w:r w:rsidRPr="00DD38E1">
        <w:rPr>
          <w:b/>
          <w:i w:val="0"/>
          <w:color w:val="auto"/>
          <w:sz w:val="22"/>
          <w:szCs w:val="22"/>
        </w:rPr>
        <w:t>Yearly</w:t>
      </w:r>
      <w:r w:rsidRPr="00DD38E1">
        <w:rPr>
          <w:b/>
          <w:bCs/>
          <w:i w:val="0"/>
          <w:iCs w:val="0"/>
          <w:color w:val="auto"/>
          <w:sz w:val="22"/>
          <w:szCs w:val="22"/>
        </w:rPr>
        <w:t xml:space="preserve"> C</w:t>
      </w:r>
      <w:r w:rsidRPr="00281014">
        <w:rPr>
          <w:b/>
          <w:bCs/>
          <w:i w:val="0"/>
          <w:iCs w:val="0"/>
          <w:color w:val="auto"/>
          <w:sz w:val="22"/>
          <w:szCs w:val="22"/>
        </w:rPr>
        <w:t>osts (millions, 2020 dollars)</w:t>
      </w:r>
    </w:p>
    <w:tbl>
      <w:tblPr>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0" w:type="dxa"/>
          <w:right w:w="0" w:type="dxa"/>
        </w:tblCellMar>
        <w:tblLook w:val="01E0" w:firstRow="1" w:lastRow="1" w:firstColumn="1" w:lastColumn="1" w:noHBand="0" w:noVBand="0"/>
      </w:tblPr>
      <w:tblGrid>
        <w:gridCol w:w="3551"/>
        <w:gridCol w:w="2674"/>
        <w:gridCol w:w="3119"/>
      </w:tblGrid>
      <w:tr w:rsidRPr="00C2595C" w:rsidR="00342169" w:rsidTr="004A4D6F" w14:paraId="46D6E226" w14:textId="77777777">
        <w:trPr>
          <w:trHeight w:val="20"/>
          <w:tblHeader/>
          <w:jc w:val="center"/>
        </w:trPr>
        <w:tc>
          <w:tcPr>
            <w:tcW w:w="1900" w:type="pct"/>
            <w:tcBorders>
              <w:left w:val="single" w:color="000000" w:sz="6" w:space="0"/>
              <w:bottom w:val="single" w:color="000000" w:sz="6" w:space="0"/>
              <w:right w:val="single" w:color="000000" w:sz="6" w:space="0"/>
            </w:tcBorders>
            <w:shd w:val="clear" w:color="auto" w:fill="DADADA"/>
            <w:vAlign w:val="center"/>
          </w:tcPr>
          <w:p w:rsidRPr="00281014" w:rsidR="00342169" w:rsidP="00FF2AD1" w:rsidRDefault="00342169" w14:paraId="3A289A4A" w14:textId="77777777">
            <w:pPr>
              <w:ind w:firstLine="79"/>
              <w:rPr>
                <w:b/>
                <w:szCs w:val="20"/>
              </w:rPr>
            </w:pPr>
            <w:r w:rsidRPr="00281014">
              <w:rPr>
                <w:b/>
                <w:szCs w:val="20"/>
              </w:rPr>
              <w:t>Cost Elements</w:t>
            </w:r>
          </w:p>
        </w:tc>
        <w:tc>
          <w:tcPr>
            <w:tcW w:w="1431" w:type="pct"/>
            <w:tcBorders>
              <w:left w:val="single" w:color="000000" w:sz="6" w:space="0"/>
              <w:bottom w:val="single" w:color="000000" w:sz="6" w:space="0"/>
              <w:right w:val="single" w:color="000000" w:sz="6" w:space="0"/>
            </w:tcBorders>
            <w:shd w:val="clear" w:color="auto" w:fill="DADADA"/>
          </w:tcPr>
          <w:p w:rsidR="00342169" w:rsidP="00FF2AD1" w:rsidRDefault="00342169" w14:paraId="42B3D469" w14:textId="77777777">
            <w:pPr>
              <w:ind w:right="78"/>
              <w:jc w:val="center"/>
              <w:rPr>
                <w:b/>
                <w:szCs w:val="20"/>
              </w:rPr>
            </w:pPr>
            <w:r>
              <w:rPr>
                <w:b/>
                <w:szCs w:val="20"/>
              </w:rPr>
              <w:t xml:space="preserve">Year 1 Costs </w:t>
            </w:r>
          </w:p>
          <w:p w:rsidR="00342169" w:rsidP="00FF2AD1" w:rsidRDefault="00342169" w14:paraId="07E89D95" w14:textId="77777777">
            <w:pPr>
              <w:ind w:right="78"/>
              <w:jc w:val="center"/>
              <w:rPr>
                <w:b/>
                <w:szCs w:val="20"/>
              </w:rPr>
            </w:pPr>
            <w:r>
              <w:rPr>
                <w:b/>
                <w:szCs w:val="20"/>
              </w:rPr>
              <w:t>Undiscounted</w:t>
            </w:r>
          </w:p>
        </w:tc>
        <w:tc>
          <w:tcPr>
            <w:tcW w:w="1669" w:type="pct"/>
            <w:tcBorders>
              <w:left w:val="single" w:color="000000" w:sz="6" w:space="0"/>
              <w:bottom w:val="single" w:color="000000" w:sz="6" w:space="0"/>
              <w:right w:val="single" w:color="000000" w:sz="6" w:space="0"/>
            </w:tcBorders>
            <w:shd w:val="clear" w:color="auto" w:fill="DADADA"/>
          </w:tcPr>
          <w:p w:rsidRPr="00DD38E1" w:rsidR="00342169" w:rsidP="00342169" w:rsidRDefault="00342169" w14:paraId="334B905D" w14:textId="4369B70C">
            <w:pPr>
              <w:ind w:right="78"/>
              <w:jc w:val="center"/>
              <w:rPr>
                <w:b/>
                <w:szCs w:val="20"/>
              </w:rPr>
            </w:pPr>
            <w:r w:rsidRPr="00DD38E1">
              <w:rPr>
                <w:b/>
                <w:szCs w:val="20"/>
              </w:rPr>
              <w:t>Years 2</w:t>
            </w:r>
            <w:r w:rsidR="0094084E">
              <w:rPr>
                <w:b/>
                <w:szCs w:val="20"/>
              </w:rPr>
              <w:t xml:space="preserve"> and 3</w:t>
            </w:r>
          </w:p>
          <w:p w:rsidR="00EE54CC" w:rsidP="00FF2AD1" w:rsidRDefault="00342169" w14:paraId="25E6611A" w14:textId="40EB8B02">
            <w:pPr>
              <w:ind w:right="78"/>
              <w:jc w:val="center"/>
              <w:rPr>
                <w:b/>
                <w:szCs w:val="20"/>
              </w:rPr>
            </w:pPr>
            <w:r w:rsidRPr="00DD38E1">
              <w:rPr>
                <w:b/>
                <w:szCs w:val="20"/>
              </w:rPr>
              <w:t xml:space="preserve">Costs </w:t>
            </w:r>
            <w:r w:rsidR="00EF0D6A">
              <w:rPr>
                <w:b/>
                <w:szCs w:val="20"/>
              </w:rPr>
              <w:t>(</w:t>
            </w:r>
            <w:r w:rsidRPr="00DD38E1">
              <w:rPr>
                <w:b/>
                <w:szCs w:val="20"/>
              </w:rPr>
              <w:t xml:space="preserve">per </w:t>
            </w:r>
            <w:r w:rsidR="00EF0D6A">
              <w:rPr>
                <w:b/>
                <w:szCs w:val="20"/>
              </w:rPr>
              <w:t>y</w:t>
            </w:r>
            <w:r w:rsidRPr="00DD38E1">
              <w:rPr>
                <w:b/>
                <w:szCs w:val="20"/>
              </w:rPr>
              <w:t>ear</w:t>
            </w:r>
            <w:r w:rsidR="00EF0D6A">
              <w:rPr>
                <w:b/>
                <w:szCs w:val="20"/>
              </w:rPr>
              <w:t>)</w:t>
            </w:r>
          </w:p>
          <w:p w:rsidRPr="00DD38E1" w:rsidR="00342169" w:rsidP="00FF2AD1" w:rsidRDefault="00342169" w14:paraId="0F082743" w14:textId="2C892F3F">
            <w:pPr>
              <w:ind w:right="78"/>
              <w:jc w:val="center"/>
              <w:rPr>
                <w:b/>
                <w:szCs w:val="20"/>
              </w:rPr>
            </w:pPr>
            <w:r w:rsidRPr="00DD38E1">
              <w:rPr>
                <w:b/>
                <w:szCs w:val="20"/>
              </w:rPr>
              <w:t>Undiscounted</w:t>
            </w:r>
          </w:p>
        </w:tc>
      </w:tr>
      <w:tr w:rsidRPr="00C2595C" w:rsidR="00342169" w:rsidTr="00342169" w14:paraId="3A29987D" w14:textId="77777777">
        <w:trPr>
          <w:trHeight w:val="20"/>
          <w:jc w:val="center"/>
        </w:trPr>
        <w:tc>
          <w:tcPr>
            <w:tcW w:w="1900" w:type="pct"/>
            <w:tcBorders>
              <w:top w:val="single" w:color="000000" w:sz="6" w:space="0"/>
              <w:left w:val="single" w:color="000000" w:sz="6" w:space="0"/>
              <w:bottom w:val="single" w:color="000000" w:sz="6" w:space="0"/>
              <w:right w:val="single" w:color="000000" w:sz="6" w:space="0"/>
            </w:tcBorders>
            <w:vAlign w:val="center"/>
          </w:tcPr>
          <w:p w:rsidRPr="00281014" w:rsidR="00342169" w:rsidP="00FF2AD1" w:rsidRDefault="00342169" w14:paraId="3CAE971C" w14:textId="77777777">
            <w:pPr>
              <w:ind w:left="112"/>
              <w:rPr>
                <w:szCs w:val="20"/>
              </w:rPr>
            </w:pPr>
            <w:r w:rsidRPr="00281014">
              <w:rPr>
                <w:szCs w:val="20"/>
              </w:rPr>
              <w:t>Rule Familiarization</w:t>
            </w:r>
          </w:p>
        </w:tc>
        <w:tc>
          <w:tcPr>
            <w:tcW w:w="1431" w:type="pct"/>
            <w:tcBorders>
              <w:top w:val="single" w:color="000000" w:sz="6" w:space="0"/>
              <w:left w:val="single" w:color="000000" w:sz="6" w:space="0"/>
              <w:bottom w:val="single" w:color="000000" w:sz="6" w:space="0"/>
              <w:right w:val="single" w:color="000000" w:sz="6" w:space="0"/>
            </w:tcBorders>
          </w:tcPr>
          <w:p w:rsidRPr="00281014" w:rsidR="00342169" w:rsidP="00FF2AD1" w:rsidRDefault="00342169" w14:paraId="10E7D5B5" w14:textId="77777777">
            <w:pPr>
              <w:ind w:left="75" w:right="59"/>
              <w:jc w:val="center"/>
              <w:rPr>
                <w:szCs w:val="20"/>
              </w:rPr>
            </w:pPr>
            <w:r>
              <w:rPr>
                <w:szCs w:val="20"/>
              </w:rPr>
              <w:t>$46.5</w:t>
            </w:r>
          </w:p>
        </w:tc>
        <w:tc>
          <w:tcPr>
            <w:tcW w:w="1669" w:type="pct"/>
            <w:tcBorders>
              <w:top w:val="single" w:color="000000" w:sz="6" w:space="0"/>
              <w:left w:val="single" w:color="000000" w:sz="6" w:space="0"/>
              <w:bottom w:val="single" w:color="000000" w:sz="6" w:space="0"/>
              <w:right w:val="single" w:color="000000" w:sz="6" w:space="0"/>
            </w:tcBorders>
          </w:tcPr>
          <w:p w:rsidRPr="00DD38E1" w:rsidR="00342169" w:rsidP="00FF2AD1" w:rsidRDefault="00342169" w14:paraId="28FE2DA3" w14:textId="77777777">
            <w:pPr>
              <w:ind w:left="75" w:right="59"/>
              <w:jc w:val="center"/>
              <w:rPr>
                <w:szCs w:val="20"/>
              </w:rPr>
            </w:pPr>
            <w:r w:rsidRPr="00DD38E1">
              <w:rPr>
                <w:szCs w:val="20"/>
              </w:rPr>
              <w:t>$0</w:t>
            </w:r>
          </w:p>
        </w:tc>
      </w:tr>
      <w:tr w:rsidRPr="00C2595C" w:rsidR="00342169" w:rsidTr="00342169" w14:paraId="1700A3DD" w14:textId="77777777">
        <w:trPr>
          <w:trHeight w:val="20"/>
          <w:jc w:val="center"/>
        </w:trPr>
        <w:tc>
          <w:tcPr>
            <w:tcW w:w="1900" w:type="pct"/>
            <w:tcBorders>
              <w:top w:val="single" w:color="000000" w:sz="6" w:space="0"/>
              <w:left w:val="single" w:color="000000" w:sz="6" w:space="0"/>
              <w:bottom w:val="single" w:color="000000" w:sz="6" w:space="0"/>
              <w:right w:val="single" w:color="000000" w:sz="6" w:space="0"/>
            </w:tcBorders>
            <w:vAlign w:val="center"/>
          </w:tcPr>
          <w:p w:rsidRPr="00281014" w:rsidR="00342169" w:rsidP="00FF2AD1" w:rsidRDefault="00342169" w14:paraId="68CBB7D1" w14:textId="77777777">
            <w:pPr>
              <w:ind w:left="112"/>
              <w:rPr>
                <w:szCs w:val="20"/>
              </w:rPr>
            </w:pPr>
            <w:r w:rsidRPr="00281014">
              <w:rPr>
                <w:szCs w:val="20"/>
              </w:rPr>
              <w:t>Safer Technology Alternatives Analysis</w:t>
            </w:r>
          </w:p>
        </w:tc>
        <w:tc>
          <w:tcPr>
            <w:tcW w:w="1431" w:type="pct"/>
            <w:tcBorders>
              <w:top w:val="single" w:color="000000" w:sz="6" w:space="0"/>
              <w:left w:val="single" w:color="000000" w:sz="6" w:space="0"/>
              <w:bottom w:val="single" w:color="000000" w:sz="6" w:space="0"/>
              <w:right w:val="single" w:color="000000" w:sz="6" w:space="0"/>
            </w:tcBorders>
          </w:tcPr>
          <w:p w:rsidRPr="00281014" w:rsidR="00342169" w:rsidP="00FF2AD1" w:rsidRDefault="00342169" w14:paraId="6A57C6E8" w14:textId="77777777">
            <w:pPr>
              <w:ind w:left="75" w:right="59"/>
              <w:jc w:val="center"/>
              <w:rPr>
                <w:szCs w:val="20"/>
              </w:rPr>
            </w:pPr>
            <w:r>
              <w:rPr>
                <w:szCs w:val="20"/>
              </w:rPr>
              <w:t>$51.8</w:t>
            </w:r>
          </w:p>
        </w:tc>
        <w:tc>
          <w:tcPr>
            <w:tcW w:w="1669" w:type="pct"/>
            <w:tcBorders>
              <w:top w:val="single" w:color="000000" w:sz="6" w:space="0"/>
              <w:left w:val="single" w:color="000000" w:sz="6" w:space="0"/>
              <w:bottom w:val="single" w:color="000000" w:sz="6" w:space="0"/>
              <w:right w:val="single" w:color="000000" w:sz="6" w:space="0"/>
            </w:tcBorders>
          </w:tcPr>
          <w:p w:rsidRPr="00281014" w:rsidR="00342169" w:rsidP="00FF2AD1" w:rsidRDefault="00342169" w14:paraId="4476A765" w14:textId="77777777">
            <w:pPr>
              <w:ind w:left="75" w:right="59"/>
              <w:jc w:val="center"/>
              <w:rPr>
                <w:szCs w:val="20"/>
              </w:rPr>
            </w:pPr>
            <w:r>
              <w:rPr>
                <w:szCs w:val="20"/>
              </w:rPr>
              <w:t>$51.8</w:t>
            </w:r>
          </w:p>
        </w:tc>
      </w:tr>
      <w:tr w:rsidRPr="00C2595C" w:rsidR="00342169" w:rsidTr="00342169" w14:paraId="5B7B93B9" w14:textId="77777777">
        <w:trPr>
          <w:trHeight w:val="20"/>
          <w:jc w:val="center"/>
        </w:trPr>
        <w:tc>
          <w:tcPr>
            <w:tcW w:w="1900" w:type="pct"/>
            <w:tcBorders>
              <w:top w:val="single" w:color="000000" w:sz="6" w:space="0"/>
              <w:left w:val="single" w:color="000000" w:sz="6" w:space="0"/>
              <w:bottom w:val="single" w:color="000000" w:sz="6" w:space="0"/>
              <w:right w:val="single" w:color="000000" w:sz="6" w:space="0"/>
            </w:tcBorders>
            <w:vAlign w:val="center"/>
          </w:tcPr>
          <w:p w:rsidRPr="00281014" w:rsidR="00342169" w:rsidP="00FF2AD1" w:rsidRDefault="00342169" w14:paraId="0E9B046B" w14:textId="77777777">
            <w:pPr>
              <w:ind w:left="112"/>
              <w:rPr>
                <w:szCs w:val="20"/>
              </w:rPr>
            </w:pPr>
            <w:r w:rsidRPr="00281014">
              <w:rPr>
                <w:szCs w:val="20"/>
              </w:rPr>
              <w:t>Root Cause Analysis</w:t>
            </w:r>
          </w:p>
        </w:tc>
        <w:tc>
          <w:tcPr>
            <w:tcW w:w="1431" w:type="pct"/>
            <w:tcBorders>
              <w:top w:val="single" w:color="000000" w:sz="6" w:space="0"/>
              <w:left w:val="single" w:color="000000" w:sz="6" w:space="0"/>
              <w:bottom w:val="single" w:color="000000" w:sz="6" w:space="0"/>
              <w:right w:val="single" w:color="000000" w:sz="6" w:space="0"/>
            </w:tcBorders>
          </w:tcPr>
          <w:p w:rsidRPr="00281014" w:rsidR="00342169" w:rsidP="00FF2AD1" w:rsidRDefault="00342169" w14:paraId="6C053A03" w14:textId="77777777">
            <w:pPr>
              <w:ind w:left="75" w:right="59"/>
              <w:jc w:val="center"/>
              <w:rPr>
                <w:szCs w:val="20"/>
              </w:rPr>
            </w:pPr>
            <w:r>
              <w:rPr>
                <w:szCs w:val="20"/>
              </w:rPr>
              <w:t>$0.7</w:t>
            </w:r>
          </w:p>
        </w:tc>
        <w:tc>
          <w:tcPr>
            <w:tcW w:w="1669" w:type="pct"/>
            <w:tcBorders>
              <w:top w:val="single" w:color="000000" w:sz="6" w:space="0"/>
              <w:left w:val="single" w:color="000000" w:sz="6" w:space="0"/>
              <w:bottom w:val="single" w:color="000000" w:sz="6" w:space="0"/>
              <w:right w:val="single" w:color="000000" w:sz="6" w:space="0"/>
            </w:tcBorders>
          </w:tcPr>
          <w:p w:rsidRPr="00281014" w:rsidR="00342169" w:rsidP="00FF2AD1" w:rsidRDefault="00342169" w14:paraId="1F8F6753" w14:textId="77777777">
            <w:pPr>
              <w:ind w:left="75" w:right="59"/>
              <w:jc w:val="center"/>
              <w:rPr>
                <w:szCs w:val="20"/>
              </w:rPr>
            </w:pPr>
            <w:r>
              <w:rPr>
                <w:szCs w:val="20"/>
              </w:rPr>
              <w:t>$0.7</w:t>
            </w:r>
          </w:p>
        </w:tc>
      </w:tr>
      <w:tr w:rsidRPr="00C2595C" w:rsidR="00342169" w:rsidTr="00342169" w14:paraId="05EFBC3C" w14:textId="77777777">
        <w:trPr>
          <w:trHeight w:val="20"/>
          <w:jc w:val="center"/>
        </w:trPr>
        <w:tc>
          <w:tcPr>
            <w:tcW w:w="1900" w:type="pct"/>
            <w:tcBorders>
              <w:top w:val="single" w:color="000000" w:sz="6" w:space="0"/>
              <w:left w:val="single" w:color="000000" w:sz="6" w:space="0"/>
              <w:bottom w:val="single" w:color="000000" w:sz="6" w:space="0"/>
              <w:right w:val="single" w:color="000000" w:sz="6" w:space="0"/>
            </w:tcBorders>
            <w:vAlign w:val="center"/>
          </w:tcPr>
          <w:p w:rsidRPr="00281014" w:rsidR="00342169" w:rsidP="00FF2AD1" w:rsidRDefault="00342169" w14:paraId="2EDEFF5E" w14:textId="77777777">
            <w:pPr>
              <w:ind w:left="112"/>
              <w:rPr>
                <w:szCs w:val="20"/>
              </w:rPr>
            </w:pPr>
            <w:r w:rsidRPr="00281014">
              <w:rPr>
                <w:szCs w:val="20"/>
              </w:rPr>
              <w:t>Third-party Audits</w:t>
            </w:r>
          </w:p>
        </w:tc>
        <w:tc>
          <w:tcPr>
            <w:tcW w:w="1431" w:type="pct"/>
            <w:tcBorders>
              <w:top w:val="single" w:color="000000" w:sz="6" w:space="0"/>
              <w:left w:val="single" w:color="000000" w:sz="6" w:space="0"/>
              <w:bottom w:val="single" w:color="000000" w:sz="6" w:space="0"/>
              <w:right w:val="single" w:color="000000" w:sz="6" w:space="0"/>
            </w:tcBorders>
          </w:tcPr>
          <w:p w:rsidRPr="00281014" w:rsidR="00342169" w:rsidP="00FF2AD1" w:rsidRDefault="00342169" w14:paraId="3BF786DA" w14:textId="77777777">
            <w:pPr>
              <w:ind w:left="75" w:right="59"/>
              <w:jc w:val="center"/>
              <w:rPr>
                <w:szCs w:val="20"/>
              </w:rPr>
            </w:pPr>
            <w:r>
              <w:rPr>
                <w:szCs w:val="20"/>
              </w:rPr>
              <w:t>$10.3</w:t>
            </w:r>
          </w:p>
        </w:tc>
        <w:tc>
          <w:tcPr>
            <w:tcW w:w="1669" w:type="pct"/>
            <w:tcBorders>
              <w:top w:val="single" w:color="000000" w:sz="6" w:space="0"/>
              <w:left w:val="single" w:color="000000" w:sz="6" w:space="0"/>
              <w:bottom w:val="single" w:color="000000" w:sz="6" w:space="0"/>
              <w:right w:val="single" w:color="000000" w:sz="6" w:space="0"/>
            </w:tcBorders>
          </w:tcPr>
          <w:p w:rsidRPr="00281014" w:rsidR="00342169" w:rsidP="00FF2AD1" w:rsidRDefault="00342169" w14:paraId="21FD1A89" w14:textId="77777777">
            <w:pPr>
              <w:ind w:left="75" w:right="59"/>
              <w:jc w:val="center"/>
              <w:rPr>
                <w:szCs w:val="20"/>
              </w:rPr>
            </w:pPr>
            <w:r>
              <w:rPr>
                <w:szCs w:val="20"/>
              </w:rPr>
              <w:t>$10.3</w:t>
            </w:r>
          </w:p>
        </w:tc>
      </w:tr>
      <w:tr w:rsidRPr="00C2595C" w:rsidR="00342169" w:rsidTr="00342169" w14:paraId="44BD59EE" w14:textId="77777777">
        <w:trPr>
          <w:trHeight w:val="20"/>
          <w:jc w:val="center"/>
        </w:trPr>
        <w:tc>
          <w:tcPr>
            <w:tcW w:w="1900" w:type="pct"/>
            <w:tcBorders>
              <w:top w:val="single" w:color="000000" w:sz="6" w:space="0"/>
              <w:left w:val="single" w:color="000000" w:sz="6" w:space="0"/>
              <w:right w:val="single" w:color="000000" w:sz="6" w:space="0"/>
            </w:tcBorders>
            <w:vAlign w:val="center"/>
          </w:tcPr>
          <w:p w:rsidRPr="00281014" w:rsidR="00342169" w:rsidP="00FF2AD1" w:rsidRDefault="00342169" w14:paraId="591501B1" w14:textId="77777777">
            <w:pPr>
              <w:ind w:left="112"/>
              <w:rPr>
                <w:szCs w:val="20"/>
              </w:rPr>
            </w:pPr>
            <w:r w:rsidRPr="00281014">
              <w:rPr>
                <w:szCs w:val="20"/>
              </w:rPr>
              <w:t>Employee Participation Plan</w:t>
            </w:r>
          </w:p>
        </w:tc>
        <w:tc>
          <w:tcPr>
            <w:tcW w:w="1431" w:type="pct"/>
            <w:tcBorders>
              <w:top w:val="single" w:color="000000" w:sz="6" w:space="0"/>
              <w:left w:val="single" w:color="000000" w:sz="6" w:space="0"/>
              <w:right w:val="single" w:color="000000" w:sz="6" w:space="0"/>
            </w:tcBorders>
          </w:tcPr>
          <w:p w:rsidRPr="00281014" w:rsidR="00342169" w:rsidP="00FF2AD1" w:rsidRDefault="00342169" w14:paraId="15EED079" w14:textId="77777777">
            <w:pPr>
              <w:ind w:left="75" w:right="59"/>
              <w:jc w:val="center"/>
              <w:rPr>
                <w:szCs w:val="20"/>
              </w:rPr>
            </w:pPr>
            <w:r>
              <w:rPr>
                <w:szCs w:val="20"/>
              </w:rPr>
              <w:t>$0.9</w:t>
            </w:r>
          </w:p>
        </w:tc>
        <w:tc>
          <w:tcPr>
            <w:tcW w:w="1669" w:type="pct"/>
            <w:tcBorders>
              <w:top w:val="single" w:color="000000" w:sz="6" w:space="0"/>
              <w:left w:val="single" w:color="000000" w:sz="6" w:space="0"/>
              <w:right w:val="single" w:color="000000" w:sz="6" w:space="0"/>
            </w:tcBorders>
          </w:tcPr>
          <w:p w:rsidRPr="00281014" w:rsidR="00342169" w:rsidP="00FF2AD1" w:rsidRDefault="00342169" w14:paraId="05C07E63" w14:textId="77777777">
            <w:pPr>
              <w:ind w:left="75" w:right="59"/>
              <w:jc w:val="center"/>
              <w:rPr>
                <w:szCs w:val="20"/>
              </w:rPr>
            </w:pPr>
            <w:r>
              <w:rPr>
                <w:szCs w:val="20"/>
              </w:rPr>
              <w:t>$0.9</w:t>
            </w:r>
          </w:p>
        </w:tc>
      </w:tr>
      <w:tr w:rsidRPr="00C2595C" w:rsidR="00342169" w:rsidTr="00342169" w14:paraId="486E689C" w14:textId="77777777">
        <w:trPr>
          <w:trHeight w:val="20"/>
          <w:jc w:val="center"/>
        </w:trPr>
        <w:tc>
          <w:tcPr>
            <w:tcW w:w="1900" w:type="pct"/>
            <w:tcBorders>
              <w:left w:val="single" w:color="000000" w:sz="6" w:space="0"/>
              <w:bottom w:val="single" w:color="000000" w:sz="6" w:space="0"/>
              <w:right w:val="single" w:color="000000" w:sz="6" w:space="0"/>
            </w:tcBorders>
            <w:vAlign w:val="center"/>
          </w:tcPr>
          <w:p w:rsidRPr="00281014" w:rsidR="00342169" w:rsidP="00FF2AD1" w:rsidRDefault="00342169" w14:paraId="2F2FE19E" w14:textId="77777777">
            <w:pPr>
              <w:ind w:left="112" w:right="85"/>
              <w:rPr>
                <w:szCs w:val="20"/>
              </w:rPr>
            </w:pPr>
            <w:r w:rsidRPr="00281014">
              <w:rPr>
                <w:szCs w:val="20"/>
              </w:rPr>
              <w:t>Backup Power for Perimeter Monitors</w:t>
            </w:r>
          </w:p>
        </w:tc>
        <w:tc>
          <w:tcPr>
            <w:tcW w:w="1431" w:type="pct"/>
            <w:tcBorders>
              <w:left w:val="single" w:color="000000" w:sz="6" w:space="0"/>
              <w:bottom w:val="single" w:color="000000" w:sz="6" w:space="0"/>
              <w:right w:val="single" w:color="000000" w:sz="6" w:space="0"/>
            </w:tcBorders>
          </w:tcPr>
          <w:p w:rsidRPr="00281014" w:rsidR="00342169" w:rsidP="00FF2AD1" w:rsidRDefault="00342169" w14:paraId="5AEF424A" w14:textId="77777777">
            <w:pPr>
              <w:ind w:left="89" w:right="58"/>
              <w:jc w:val="center"/>
              <w:rPr>
                <w:szCs w:val="20"/>
              </w:rPr>
            </w:pPr>
            <w:r>
              <w:rPr>
                <w:szCs w:val="20"/>
              </w:rPr>
              <w:t>$0.4</w:t>
            </w:r>
          </w:p>
        </w:tc>
        <w:tc>
          <w:tcPr>
            <w:tcW w:w="1669" w:type="pct"/>
            <w:tcBorders>
              <w:left w:val="single" w:color="000000" w:sz="6" w:space="0"/>
              <w:bottom w:val="single" w:color="000000" w:sz="6" w:space="0"/>
              <w:right w:val="single" w:color="000000" w:sz="6" w:space="0"/>
            </w:tcBorders>
          </w:tcPr>
          <w:p w:rsidRPr="00281014" w:rsidR="00342169" w:rsidP="00FF2AD1" w:rsidRDefault="00342169" w14:paraId="27CEED32" w14:textId="77777777">
            <w:pPr>
              <w:ind w:left="89" w:right="58"/>
              <w:jc w:val="center"/>
              <w:rPr>
                <w:szCs w:val="20"/>
              </w:rPr>
            </w:pPr>
            <w:r>
              <w:rPr>
                <w:szCs w:val="20"/>
              </w:rPr>
              <w:t>$0</w:t>
            </w:r>
          </w:p>
        </w:tc>
      </w:tr>
      <w:tr w:rsidRPr="00C2595C" w:rsidR="00342169" w:rsidTr="00342169" w14:paraId="0437BE31" w14:textId="77777777">
        <w:trPr>
          <w:trHeight w:val="20"/>
          <w:jc w:val="center"/>
        </w:trPr>
        <w:tc>
          <w:tcPr>
            <w:tcW w:w="1900" w:type="pct"/>
            <w:tcBorders>
              <w:top w:val="single" w:color="000000" w:sz="6" w:space="0"/>
              <w:left w:val="single" w:color="000000" w:sz="6" w:space="0"/>
              <w:bottom w:val="single" w:color="000000" w:sz="6" w:space="0"/>
              <w:right w:val="single" w:color="000000" w:sz="6" w:space="0"/>
            </w:tcBorders>
            <w:vAlign w:val="center"/>
          </w:tcPr>
          <w:p w:rsidRPr="00281014" w:rsidR="00342169" w:rsidP="00FF2AD1" w:rsidRDefault="00342169" w14:paraId="4EB01385" w14:textId="77777777">
            <w:pPr>
              <w:ind w:left="112"/>
              <w:rPr>
                <w:szCs w:val="20"/>
              </w:rPr>
            </w:pPr>
            <w:r w:rsidRPr="00281014">
              <w:rPr>
                <w:szCs w:val="20"/>
              </w:rPr>
              <w:t>Community Notification System</w:t>
            </w:r>
          </w:p>
        </w:tc>
        <w:tc>
          <w:tcPr>
            <w:tcW w:w="1431" w:type="pct"/>
            <w:tcBorders>
              <w:top w:val="single" w:color="000000" w:sz="6" w:space="0"/>
              <w:left w:val="single" w:color="000000" w:sz="6" w:space="0"/>
              <w:bottom w:val="single" w:color="000000" w:sz="6" w:space="0"/>
              <w:right w:val="single" w:color="000000" w:sz="6" w:space="0"/>
            </w:tcBorders>
          </w:tcPr>
          <w:p w:rsidRPr="00281014" w:rsidR="00342169" w:rsidP="00FF2AD1" w:rsidRDefault="00342169" w14:paraId="53E9AFE7" w14:textId="77777777">
            <w:pPr>
              <w:ind w:left="75" w:right="59"/>
              <w:jc w:val="center"/>
              <w:rPr>
                <w:szCs w:val="20"/>
              </w:rPr>
            </w:pPr>
            <w:r>
              <w:rPr>
                <w:szCs w:val="20"/>
              </w:rPr>
              <w:t>$3.8</w:t>
            </w:r>
          </w:p>
        </w:tc>
        <w:tc>
          <w:tcPr>
            <w:tcW w:w="1669" w:type="pct"/>
            <w:tcBorders>
              <w:top w:val="single" w:color="000000" w:sz="6" w:space="0"/>
              <w:left w:val="single" w:color="000000" w:sz="6" w:space="0"/>
              <w:bottom w:val="single" w:color="000000" w:sz="6" w:space="0"/>
              <w:right w:val="single" w:color="000000" w:sz="6" w:space="0"/>
            </w:tcBorders>
          </w:tcPr>
          <w:p w:rsidRPr="00281014" w:rsidR="00342169" w:rsidP="00FF2AD1" w:rsidRDefault="00342169" w14:paraId="470E21E9" w14:textId="77777777">
            <w:pPr>
              <w:ind w:left="75" w:right="59"/>
              <w:jc w:val="center"/>
              <w:rPr>
                <w:szCs w:val="20"/>
              </w:rPr>
            </w:pPr>
            <w:r>
              <w:rPr>
                <w:szCs w:val="20"/>
              </w:rPr>
              <w:t>$3.8</w:t>
            </w:r>
          </w:p>
        </w:tc>
      </w:tr>
      <w:tr w:rsidRPr="00C2595C" w:rsidR="00342169" w:rsidTr="00342169" w14:paraId="6A8D24B2" w14:textId="77777777">
        <w:trPr>
          <w:trHeight w:val="20"/>
          <w:jc w:val="center"/>
        </w:trPr>
        <w:tc>
          <w:tcPr>
            <w:tcW w:w="1900" w:type="pct"/>
            <w:tcBorders>
              <w:top w:val="single" w:color="000000" w:sz="6" w:space="0"/>
              <w:left w:val="single" w:color="000000" w:sz="6" w:space="0"/>
              <w:bottom w:val="single" w:color="000000" w:sz="6" w:space="0"/>
              <w:right w:val="single" w:color="000000" w:sz="6" w:space="0"/>
            </w:tcBorders>
            <w:vAlign w:val="center"/>
          </w:tcPr>
          <w:p w:rsidRPr="00281014" w:rsidR="00342169" w:rsidP="00FF2AD1" w:rsidRDefault="00342169" w14:paraId="69880968" w14:textId="77777777">
            <w:pPr>
              <w:ind w:left="112"/>
              <w:rPr>
                <w:szCs w:val="20"/>
              </w:rPr>
            </w:pPr>
            <w:r w:rsidRPr="00281014">
              <w:rPr>
                <w:szCs w:val="20"/>
              </w:rPr>
              <w:t>Information Availability</w:t>
            </w:r>
          </w:p>
        </w:tc>
        <w:tc>
          <w:tcPr>
            <w:tcW w:w="1431" w:type="pct"/>
            <w:tcBorders>
              <w:top w:val="single" w:color="000000" w:sz="6" w:space="0"/>
              <w:left w:val="single" w:color="000000" w:sz="6" w:space="0"/>
              <w:bottom w:val="single" w:color="000000" w:sz="6" w:space="0"/>
              <w:right w:val="single" w:color="000000" w:sz="6" w:space="0"/>
            </w:tcBorders>
          </w:tcPr>
          <w:p w:rsidRPr="00281014" w:rsidR="00342169" w:rsidP="00FF2AD1" w:rsidRDefault="00342169" w14:paraId="22DDD00C" w14:textId="77777777">
            <w:pPr>
              <w:ind w:left="89" w:right="58"/>
              <w:jc w:val="center"/>
              <w:rPr>
                <w:szCs w:val="20"/>
              </w:rPr>
            </w:pPr>
            <w:r>
              <w:rPr>
                <w:szCs w:val="20"/>
              </w:rPr>
              <w:t>$3.1</w:t>
            </w:r>
          </w:p>
        </w:tc>
        <w:tc>
          <w:tcPr>
            <w:tcW w:w="1669" w:type="pct"/>
            <w:tcBorders>
              <w:top w:val="single" w:color="000000" w:sz="6" w:space="0"/>
              <w:left w:val="single" w:color="000000" w:sz="6" w:space="0"/>
              <w:bottom w:val="single" w:color="000000" w:sz="6" w:space="0"/>
              <w:right w:val="single" w:color="000000" w:sz="6" w:space="0"/>
            </w:tcBorders>
          </w:tcPr>
          <w:p w:rsidRPr="00281014" w:rsidR="00342169" w:rsidP="00FF2AD1" w:rsidRDefault="00342169" w14:paraId="32831A1A" w14:textId="77777777">
            <w:pPr>
              <w:ind w:left="89" w:right="58"/>
              <w:jc w:val="center"/>
              <w:rPr>
                <w:szCs w:val="20"/>
              </w:rPr>
            </w:pPr>
            <w:r>
              <w:rPr>
                <w:szCs w:val="20"/>
              </w:rPr>
              <w:t>$3.1</w:t>
            </w:r>
          </w:p>
        </w:tc>
      </w:tr>
      <w:tr w:rsidRPr="00C2595C" w:rsidR="00342169" w:rsidTr="00342169" w14:paraId="3880944E" w14:textId="77777777">
        <w:trPr>
          <w:trHeight w:val="20"/>
          <w:jc w:val="center"/>
        </w:trPr>
        <w:tc>
          <w:tcPr>
            <w:tcW w:w="1900" w:type="pct"/>
            <w:tcBorders>
              <w:left w:val="single" w:color="000000" w:sz="6" w:space="0"/>
              <w:bottom w:val="single" w:color="000000" w:sz="6" w:space="0"/>
              <w:right w:val="single" w:color="000000" w:sz="6" w:space="0"/>
            </w:tcBorders>
            <w:vAlign w:val="center"/>
          </w:tcPr>
          <w:p w:rsidRPr="00281014" w:rsidR="00342169" w:rsidP="00FF2AD1" w:rsidRDefault="00342169" w14:paraId="43C5A4EB" w14:textId="77777777">
            <w:pPr>
              <w:ind w:left="517"/>
              <w:rPr>
                <w:b/>
                <w:szCs w:val="20"/>
              </w:rPr>
            </w:pPr>
            <w:r w:rsidRPr="00281014">
              <w:rPr>
                <w:b/>
                <w:szCs w:val="20"/>
              </w:rPr>
              <w:t>Total Cost*</w:t>
            </w:r>
          </w:p>
        </w:tc>
        <w:tc>
          <w:tcPr>
            <w:tcW w:w="1431" w:type="pct"/>
            <w:tcBorders>
              <w:left w:val="single" w:color="000000" w:sz="6" w:space="0"/>
              <w:bottom w:val="single" w:color="000000" w:sz="6" w:space="0"/>
              <w:right w:val="single" w:color="000000" w:sz="6" w:space="0"/>
            </w:tcBorders>
          </w:tcPr>
          <w:p w:rsidRPr="00281014" w:rsidR="00342169" w:rsidP="00FF2AD1" w:rsidRDefault="00342169" w14:paraId="1054A690" w14:textId="77777777">
            <w:pPr>
              <w:ind w:left="75" w:right="59"/>
              <w:jc w:val="center"/>
              <w:rPr>
                <w:b/>
                <w:szCs w:val="20"/>
              </w:rPr>
            </w:pPr>
            <w:r>
              <w:rPr>
                <w:b/>
                <w:szCs w:val="20"/>
              </w:rPr>
              <w:t>$117.4</w:t>
            </w:r>
          </w:p>
        </w:tc>
        <w:tc>
          <w:tcPr>
            <w:tcW w:w="1669" w:type="pct"/>
            <w:tcBorders>
              <w:left w:val="single" w:color="000000" w:sz="6" w:space="0"/>
              <w:bottom w:val="single" w:color="000000" w:sz="6" w:space="0"/>
              <w:right w:val="single" w:color="000000" w:sz="6" w:space="0"/>
            </w:tcBorders>
          </w:tcPr>
          <w:p w:rsidRPr="00281014" w:rsidR="00342169" w:rsidP="00FF2AD1" w:rsidRDefault="00342169" w14:paraId="1A8697F7" w14:textId="77777777">
            <w:pPr>
              <w:ind w:left="75" w:right="59"/>
              <w:jc w:val="center"/>
              <w:rPr>
                <w:b/>
                <w:szCs w:val="20"/>
              </w:rPr>
            </w:pPr>
            <w:r>
              <w:rPr>
                <w:b/>
                <w:szCs w:val="20"/>
              </w:rPr>
              <w:t>$70.5</w:t>
            </w:r>
          </w:p>
        </w:tc>
      </w:tr>
    </w:tbl>
    <w:p w:rsidR="00342169" w:rsidP="00FA0DC9" w:rsidRDefault="00FA0DC9" w14:paraId="65564882" w14:textId="14402E7C">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highlight w:val="yellow"/>
        </w:rPr>
      </w:pPr>
      <w:r>
        <w:rPr>
          <w:sz w:val="18"/>
          <w:szCs w:val="18"/>
        </w:rPr>
        <w:t xml:space="preserve">   </w:t>
      </w:r>
      <w:r w:rsidRPr="00281014">
        <w:rPr>
          <w:sz w:val="18"/>
          <w:szCs w:val="18"/>
        </w:rPr>
        <w:t>*Totals may not sum due to rounding.</w:t>
      </w:r>
    </w:p>
    <w:p w:rsidRPr="00586F1B" w:rsidR="002F30B9" w:rsidP="002F30B9" w:rsidRDefault="002F30B9" w14:paraId="188A1536"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highlight w:val="yellow"/>
        </w:rPr>
      </w:pPr>
    </w:p>
    <w:p w:rsidRPr="00787538" w:rsidR="00F31D27" w:rsidP="0074445B" w:rsidRDefault="00F31D27" w14:paraId="73DEF346" w14:textId="45ACA6AB">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contextualSpacing w:val="0"/>
        <w:rPr>
          <w:b/>
          <w:bCs/>
          <w:sz w:val="22"/>
          <w:szCs w:val="22"/>
        </w:rPr>
      </w:pPr>
      <w:r w:rsidRPr="00787538">
        <w:rPr>
          <w:b/>
          <w:bCs/>
          <w:sz w:val="22"/>
          <w:szCs w:val="22"/>
        </w:rPr>
        <w:t>Agency Tall</w:t>
      </w:r>
      <w:r w:rsidRPr="00787538" w:rsidR="002F30B9">
        <w:rPr>
          <w:b/>
          <w:bCs/>
          <w:sz w:val="22"/>
          <w:szCs w:val="22"/>
        </w:rPr>
        <w:t>y</w:t>
      </w:r>
    </w:p>
    <w:p w:rsidR="00B606FA" w:rsidP="0074445B" w:rsidRDefault="00B606FA" w14:paraId="627ED030" w14:textId="19D5492D">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spacing w:after="120"/>
        <w:rPr>
          <w:color w:val="000000"/>
          <w:sz w:val="22"/>
          <w:szCs w:val="22"/>
        </w:rPr>
      </w:pPr>
      <w:r w:rsidRPr="00787538">
        <w:rPr>
          <w:sz w:val="22"/>
          <w:szCs w:val="22"/>
        </w:rPr>
        <w:tab/>
      </w:r>
      <w:r w:rsidRPr="007F03AD" w:rsidR="00787538">
        <w:rPr>
          <w:color w:val="000000"/>
          <w:sz w:val="22"/>
          <w:szCs w:val="22"/>
        </w:rPr>
        <w:t>There are no expected additional burden estimates to the Federal government.</w:t>
      </w:r>
    </w:p>
    <w:p w:rsidR="0085181A" w:rsidP="0074445B" w:rsidRDefault="0085181A" w14:paraId="561A3030"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left="720" w:hanging="720"/>
        <w:rPr>
          <w:b/>
          <w:bCs/>
          <w:sz w:val="22"/>
          <w:szCs w:val="22"/>
        </w:rPr>
      </w:pPr>
    </w:p>
    <w:p w:rsidRPr="009C6838" w:rsidR="00C61E11" w:rsidP="0074445B" w:rsidRDefault="00C61E11" w14:paraId="108AAEE3" w14:textId="24B886DA">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left="720" w:hanging="720"/>
        <w:rPr>
          <w:b/>
          <w:bCs/>
          <w:sz w:val="22"/>
          <w:szCs w:val="22"/>
        </w:rPr>
      </w:pPr>
      <w:r w:rsidRPr="009C6838">
        <w:rPr>
          <w:b/>
          <w:bCs/>
          <w:sz w:val="22"/>
          <w:szCs w:val="22"/>
        </w:rPr>
        <w:t>6(f)</w:t>
      </w:r>
      <w:r w:rsidRPr="009C6838">
        <w:rPr>
          <w:b/>
          <w:bCs/>
          <w:sz w:val="22"/>
          <w:szCs w:val="22"/>
        </w:rPr>
        <w:tab/>
        <w:t>Reasons for Change in Burden</w:t>
      </w:r>
    </w:p>
    <w:p w:rsidR="00762493" w:rsidP="0074445B" w:rsidRDefault="00EB0C78" w14:paraId="036708B5" w14:textId="0417241C">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EB0C78">
        <w:rPr>
          <w:sz w:val="22"/>
          <w:szCs w:val="22"/>
        </w:rPr>
        <w:t>There is no change in burden as this information collection document incremental, new collection activities being proposed by the Agency.</w:t>
      </w:r>
    </w:p>
    <w:p w:rsidRPr="009C6838" w:rsidR="0085181A" w:rsidP="0074445B" w:rsidRDefault="0085181A" w14:paraId="06D0F861"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p>
    <w:p w:rsidR="00C61E11" w:rsidP="0074445B" w:rsidRDefault="00C61E11" w14:paraId="522A3ECB" w14:textId="26A3A749">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b/>
          <w:bCs/>
          <w:sz w:val="22"/>
          <w:szCs w:val="22"/>
        </w:rPr>
      </w:pPr>
      <w:r w:rsidRPr="009C6838">
        <w:rPr>
          <w:b/>
          <w:bCs/>
          <w:sz w:val="22"/>
          <w:szCs w:val="22"/>
        </w:rPr>
        <w:t>6(g)</w:t>
      </w:r>
      <w:r w:rsidRPr="009C6838">
        <w:rPr>
          <w:b/>
          <w:bCs/>
          <w:sz w:val="22"/>
          <w:szCs w:val="22"/>
        </w:rPr>
        <w:tab/>
        <w:t>Burden Statement</w:t>
      </w:r>
    </w:p>
    <w:p w:rsidR="00915F1E" w:rsidP="0033524E" w:rsidRDefault="00915F1E" w14:paraId="6136E532" w14:textId="19E4D61C">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sidRPr="00470F61">
        <w:rPr>
          <w:sz w:val="22"/>
          <w:szCs w:val="22"/>
        </w:rPr>
        <w:t xml:space="preserve">The annual public reporting and recordkeeping burden for this collection of information is estimated to average </w:t>
      </w:r>
      <w:r w:rsidR="0033524E">
        <w:rPr>
          <w:sz w:val="22"/>
          <w:szCs w:val="22"/>
        </w:rPr>
        <w:t xml:space="preserve">56 </w:t>
      </w:r>
      <w:r w:rsidRPr="00F04648">
        <w:rPr>
          <w:sz w:val="22"/>
          <w:szCs w:val="22"/>
        </w:rPr>
        <w:t>hours per response</w:t>
      </w:r>
      <w:r w:rsidRPr="00470F61">
        <w:rPr>
          <w:sz w:val="22"/>
          <w:szCs w:val="22"/>
        </w:rPr>
        <w:t xml:space="preserve">. </w:t>
      </w:r>
      <w:r w:rsidRPr="003A1BC8">
        <w:rPr>
          <w:sz w:val="22"/>
          <w:szCs w:val="22"/>
        </w:rPr>
        <w:t xml:space="preserve">The total annual public reporting burden for all sources is </w:t>
      </w:r>
      <w:r w:rsidRPr="00494F32" w:rsidR="00494F32">
        <w:rPr>
          <w:sz w:val="22"/>
          <w:szCs w:val="22"/>
        </w:rPr>
        <w:t>797,642</w:t>
      </w:r>
      <w:r w:rsidRPr="003A1BC8">
        <w:rPr>
          <w:sz w:val="22"/>
          <w:szCs w:val="22"/>
        </w:rPr>
        <w:t xml:space="preserve"> hours (</w:t>
      </w:r>
      <w:r w:rsidRPr="00494F32" w:rsidR="00494F32">
        <w:rPr>
          <w:sz w:val="22"/>
          <w:szCs w:val="22"/>
        </w:rPr>
        <w:t>2,392,926</w:t>
      </w:r>
      <w:r w:rsidR="00C71F1C">
        <w:rPr>
          <w:sz w:val="22"/>
          <w:szCs w:val="22"/>
        </w:rPr>
        <w:t xml:space="preserve"> </w:t>
      </w:r>
      <w:r w:rsidRPr="003A1BC8">
        <w:rPr>
          <w:sz w:val="22"/>
          <w:szCs w:val="22"/>
        </w:rPr>
        <w:t xml:space="preserve">hours for three years). </w:t>
      </w:r>
    </w:p>
    <w:p w:rsidRPr="009C6838" w:rsidR="00915F1E" w:rsidP="0074445B" w:rsidRDefault="00915F1E" w14:paraId="0E39E53A" w14:textId="1203A1CF">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b/>
          <w:bCs/>
          <w:sz w:val="22"/>
          <w:szCs w:val="22"/>
        </w:rPr>
      </w:pPr>
    </w:p>
    <w:p w:rsidRPr="009C6838" w:rsidR="00C61E11" w:rsidP="00DE4AB5" w:rsidRDefault="00C61E11" w14:paraId="0022375C" w14:textId="7900E1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D002DC">
        <w:rPr>
          <w:color w:val="000000"/>
          <w:sz w:val="22"/>
          <w:szCs w:val="22"/>
        </w:rPr>
        <w:tab/>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w:t>
      </w:r>
      <w:r w:rsidRPr="00F1448F">
        <w:rPr>
          <w:color w:val="000000"/>
          <w:sz w:val="22"/>
          <w:szCs w:val="22"/>
        </w:rPr>
        <w:t>currently valid OMB control number. The OMB control num</w:t>
      </w:r>
      <w:r w:rsidRPr="00F1448F" w:rsidR="00DE4AB5">
        <w:rPr>
          <w:color w:val="000000"/>
          <w:sz w:val="22"/>
          <w:szCs w:val="22"/>
        </w:rPr>
        <w:t>be</w:t>
      </w:r>
      <w:r w:rsidRPr="00F1448F">
        <w:rPr>
          <w:color w:val="000000"/>
          <w:sz w:val="22"/>
          <w:szCs w:val="22"/>
        </w:rPr>
        <w:t xml:space="preserve">rs for EPA's regulations are listed in </w:t>
      </w:r>
      <w:r w:rsidRPr="009C6838">
        <w:rPr>
          <w:color w:val="000000"/>
          <w:sz w:val="22"/>
          <w:szCs w:val="22"/>
        </w:rPr>
        <w:t>40 CFR part 9 and 48 CFR chapter 15.</w:t>
      </w:r>
    </w:p>
    <w:p w:rsidRPr="009C6838" w:rsidR="00DE4AB5" w:rsidP="00DE4AB5" w:rsidRDefault="00DE4AB5" w14:paraId="704A77F3" w14:textId="079BC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rsidRPr="00586F1B" w:rsidR="00C61E11" w:rsidP="00DE4AB5" w:rsidRDefault="00C61E11" w14:paraId="1C2370D8" w14:textId="0EAE4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 w:val="left" w:pos="8640"/>
          <w:tab w:val="left" w:pos="9360"/>
        </w:tabs>
        <w:rPr>
          <w:color w:val="0F0F0F"/>
          <w:sz w:val="22"/>
          <w:szCs w:val="22"/>
          <w:highlight w:val="yellow"/>
        </w:rPr>
      </w:pPr>
      <w:r w:rsidRPr="002E5933">
        <w:rPr>
          <w:color w:val="000000"/>
          <w:sz w:val="22"/>
          <w:szCs w:val="22"/>
        </w:rPr>
        <w:tab/>
      </w:r>
      <w:r w:rsidRPr="002E5933">
        <w:rPr>
          <w:color w:val="0F0F0F"/>
          <w:sz w:val="22"/>
          <w:szCs w:val="22"/>
        </w:rPr>
        <w:t xml:space="preserve">To comment on the Agency's need for this information, the accuracy of the provided burden estimates, and any suggested methods for minimizing respondent burden, including the use of automated collection techniques, </w:t>
      </w:r>
      <w:bookmarkStart w:name="_Hlk112663023" w:id="23"/>
      <w:r w:rsidRPr="002E5933">
        <w:rPr>
          <w:color w:val="0F0F0F"/>
          <w:sz w:val="22"/>
          <w:szCs w:val="22"/>
        </w:rPr>
        <w:t xml:space="preserve">EPA has established a public docket </w:t>
      </w:r>
      <w:r w:rsidRPr="00D002DC">
        <w:rPr>
          <w:color w:val="0F0F0F"/>
          <w:sz w:val="22"/>
          <w:szCs w:val="22"/>
        </w:rPr>
        <w:t xml:space="preserve">for this ICR under Docket ID </w:t>
      </w:r>
      <w:r w:rsidRPr="00377F7F">
        <w:rPr>
          <w:color w:val="0F0F0F"/>
          <w:sz w:val="22"/>
          <w:szCs w:val="22"/>
        </w:rPr>
        <w:t xml:space="preserve">Number </w:t>
      </w:r>
      <w:r w:rsidRPr="00377F7F">
        <w:rPr>
          <w:sz w:val="22"/>
          <w:szCs w:val="22"/>
        </w:rPr>
        <w:t>EPA-HQ-</w:t>
      </w:r>
      <w:r w:rsidRPr="00377F7F" w:rsidR="00377F7F">
        <w:rPr>
          <w:sz w:val="22"/>
          <w:szCs w:val="22"/>
        </w:rPr>
        <w:t>OLEM-2022-0174</w:t>
      </w:r>
      <w:r w:rsidRPr="00377F7F">
        <w:rPr>
          <w:color w:val="0F0F0F"/>
          <w:sz w:val="22"/>
          <w:szCs w:val="22"/>
        </w:rPr>
        <w:t xml:space="preserve">, </w:t>
      </w:r>
      <w:bookmarkEnd w:id="23"/>
      <w:r w:rsidRPr="00377F7F">
        <w:rPr>
          <w:color w:val="0F0F0F"/>
          <w:sz w:val="22"/>
          <w:szCs w:val="22"/>
        </w:rPr>
        <w:t>which is available for online</w:t>
      </w:r>
      <w:r w:rsidRPr="00D002DC">
        <w:rPr>
          <w:color w:val="0F0F0F"/>
          <w:sz w:val="22"/>
          <w:szCs w:val="22"/>
        </w:rPr>
        <w:t xml:space="preserve"> viewing at </w:t>
      </w:r>
      <w:hyperlink w:history="1" r:id="rId14">
        <w:r w:rsidRPr="00D002DC">
          <w:rPr>
            <w:rStyle w:val="Hyperlink"/>
            <w:sz w:val="22"/>
            <w:szCs w:val="22"/>
          </w:rPr>
          <w:t>www.regulations.gov</w:t>
        </w:r>
      </w:hyperlink>
      <w:r w:rsidRPr="00D002DC" w:rsidR="008C59E4">
        <w:rPr>
          <w:color w:val="0F0F0F"/>
          <w:sz w:val="22"/>
          <w:szCs w:val="22"/>
        </w:rPr>
        <w:t xml:space="preserve">. </w:t>
      </w:r>
      <w:r w:rsidRPr="00D002DC">
        <w:rPr>
          <w:color w:val="0F0F0F"/>
          <w:sz w:val="22"/>
          <w:szCs w:val="22"/>
        </w:rPr>
        <w:t xml:space="preserve">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w:t>
      </w:r>
      <w:r w:rsidRPr="00D002DC" w:rsidR="005F6558">
        <w:rPr>
          <w:color w:val="0F0F0F"/>
          <w:sz w:val="22"/>
          <w:szCs w:val="22"/>
        </w:rPr>
        <w:t>EPA Docket Center, Environmental Protection Agency, Mail Code 28221T</w:t>
      </w:r>
      <w:r w:rsidRPr="00D002DC" w:rsidR="00411B4B">
        <w:rPr>
          <w:color w:val="0F0F0F"/>
          <w:sz w:val="22"/>
          <w:szCs w:val="22"/>
        </w:rPr>
        <w:t xml:space="preserve">, </w:t>
      </w:r>
      <w:r w:rsidRPr="00D002DC" w:rsidR="00C53D12">
        <w:rPr>
          <w:color w:val="0F0F0F"/>
          <w:sz w:val="22"/>
          <w:szCs w:val="22"/>
        </w:rPr>
        <w:t xml:space="preserve">1200 Pennsylvania Ave. NW, Washington, DC 20460, or to OMB via email to </w:t>
      </w:r>
      <w:hyperlink w:history="1" r:id="rId15">
        <w:r w:rsidRPr="00D002DC" w:rsidR="00C53D12">
          <w:rPr>
            <w:rStyle w:val="Hyperlink"/>
            <w:sz w:val="22"/>
            <w:szCs w:val="22"/>
          </w:rPr>
          <w:t>oira_submission@omb.eop.gov</w:t>
        </w:r>
      </w:hyperlink>
      <w:r w:rsidRPr="00D002DC" w:rsidR="00C53D12">
        <w:rPr>
          <w:color w:val="0F0F0F"/>
          <w:sz w:val="22"/>
          <w:szCs w:val="22"/>
        </w:rPr>
        <w:t xml:space="preserve">. Address </w:t>
      </w:r>
      <w:r w:rsidRPr="00D002DC" w:rsidR="00C53D12">
        <w:rPr>
          <w:color w:val="0F0F0F"/>
          <w:sz w:val="22"/>
          <w:szCs w:val="22"/>
        </w:rPr>
        <w:lastRenderedPageBreak/>
        <w:t xml:space="preserve">comments to OMB Desk Officer for EPA. </w:t>
      </w:r>
    </w:p>
    <w:p w:rsidRPr="00586F1B" w:rsidR="005D6BFE" w:rsidP="00470F61" w:rsidRDefault="005D6BFE" w14:paraId="7E0348B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 w:val="left" w:pos="8640"/>
          <w:tab w:val="left" w:pos="9360"/>
        </w:tabs>
        <w:spacing w:after="120"/>
        <w:rPr>
          <w:color w:val="0F0F0F"/>
          <w:sz w:val="22"/>
          <w:szCs w:val="22"/>
          <w:highlight w:val="yellow"/>
        </w:rPr>
      </w:pPr>
    </w:p>
    <w:p w:rsidRPr="00614CA1" w:rsidR="005F1455" w:rsidP="00614CA1" w:rsidRDefault="005F1455" w14:paraId="5D2C142A" w14:textId="77777777">
      <w:pPr>
        <w:tabs>
          <w:tab w:val="left" w:pos="4100"/>
        </w:tabs>
        <w:rPr>
          <w:sz w:val="22"/>
          <w:szCs w:val="22"/>
        </w:rPr>
      </w:pPr>
    </w:p>
    <w:sectPr w:rsidRPr="00614CA1" w:rsidR="005F1455" w:rsidSect="00DD6582">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1195" w:footer="119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32F48" w14:textId="77777777" w:rsidR="00BF0B2E" w:rsidRDefault="00BF0B2E" w:rsidP="00C61E11">
      <w:r>
        <w:separator/>
      </w:r>
    </w:p>
  </w:endnote>
  <w:endnote w:type="continuationSeparator" w:id="0">
    <w:p w14:paraId="2219BAAC" w14:textId="77777777" w:rsidR="00BF0B2E" w:rsidRDefault="00BF0B2E" w:rsidP="00C61E11">
      <w:r>
        <w:continuationSeparator/>
      </w:r>
    </w:p>
  </w:endnote>
  <w:endnote w:type="continuationNotice" w:id="1">
    <w:p w14:paraId="3D9A5502" w14:textId="77777777" w:rsidR="00BF0B2E" w:rsidRDefault="00BF0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49D17" w14:textId="77777777" w:rsidR="004220F3" w:rsidRDefault="004220F3" w:rsidP="00E176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6B5F62" w14:textId="77777777" w:rsidR="004220F3" w:rsidRDefault="00422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9C43" w14:textId="77777777" w:rsidR="004220F3" w:rsidRPr="00BD4727" w:rsidRDefault="004220F3" w:rsidP="00E176B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E4DF4" w14:textId="77777777" w:rsidR="004F4978" w:rsidRDefault="004F4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74C22" w14:textId="77777777" w:rsidR="00BF0B2E" w:rsidRDefault="00BF0B2E" w:rsidP="00C61E11">
      <w:r>
        <w:separator/>
      </w:r>
    </w:p>
  </w:footnote>
  <w:footnote w:type="continuationSeparator" w:id="0">
    <w:p w14:paraId="3B6F834C" w14:textId="77777777" w:rsidR="00BF0B2E" w:rsidRDefault="00BF0B2E" w:rsidP="00C61E11">
      <w:r>
        <w:continuationSeparator/>
      </w:r>
    </w:p>
  </w:footnote>
  <w:footnote w:type="continuationNotice" w:id="1">
    <w:p w14:paraId="45C68264" w14:textId="77777777" w:rsidR="00BF0B2E" w:rsidRDefault="00BF0B2E"/>
  </w:footnote>
  <w:footnote w:id="2">
    <w:p w14:paraId="506BFFBB" w14:textId="77777777" w:rsidR="001B14D4" w:rsidRPr="004E5F16" w:rsidRDefault="001B14D4" w:rsidP="001B14D4">
      <w:pPr>
        <w:rPr>
          <w:szCs w:val="20"/>
        </w:rPr>
      </w:pPr>
      <w:r w:rsidRPr="004E5F16">
        <w:rPr>
          <w:szCs w:val="20"/>
          <w:vertAlign w:val="superscript"/>
        </w:rPr>
        <w:footnoteRef/>
      </w:r>
      <w:r w:rsidRPr="004E5F16">
        <w:rPr>
          <w:szCs w:val="20"/>
          <w:vertAlign w:val="superscript"/>
        </w:rPr>
        <w:t xml:space="preserve"> </w:t>
      </w:r>
      <w:r w:rsidRPr="004E5F16">
        <w:rPr>
          <w:szCs w:val="20"/>
        </w:rPr>
        <w:t>Labor hours taken from average unit cost estimate submitted by Public Comment EPA-HQ-OEM-2015-0725-0579 provided by AFPM. EPA derived labor hours from the unit cost estimate provide</w:t>
      </w:r>
      <w:r>
        <w:rPr>
          <w:szCs w:val="20"/>
        </w:rPr>
        <w:t>d</w:t>
      </w:r>
      <w:r w:rsidRPr="004E5F16">
        <w:rPr>
          <w:szCs w:val="20"/>
        </w:rPr>
        <w:t xml:space="preserve"> by the commenter using standard wage rates.</w:t>
      </w:r>
    </w:p>
  </w:footnote>
  <w:footnote w:id="3">
    <w:p w14:paraId="5A3E908C" w14:textId="77777777" w:rsidR="001B14D4" w:rsidRDefault="001B14D4" w:rsidP="001B14D4">
      <w:pPr>
        <w:pStyle w:val="FootnoteText"/>
      </w:pPr>
      <w:r>
        <w:rPr>
          <w:rStyle w:val="FootnoteReference"/>
        </w:rPr>
        <w:footnoteRef/>
      </w:r>
      <w:r>
        <w:t xml:space="preserve"> </w:t>
      </w:r>
      <w:r w:rsidRPr="001C55C0">
        <w:t xml:space="preserve">Labor hours taken from the midpoint of the high and low labor hour estimates submitted by Public Comment EPA-HQ-OEM-2015-0725-0594 made by CSAG. EPA used the midpoint of the </w:t>
      </w:r>
      <w:r w:rsidRPr="00C761E7">
        <w:t>commenter’s high and low labor hour estimates to represent the labor burden of small/medium complex facilities</w:t>
      </w:r>
      <w:r>
        <w:t xml:space="preserve">. </w:t>
      </w:r>
    </w:p>
  </w:footnote>
  <w:footnote w:id="4">
    <w:p w14:paraId="5A70311A" w14:textId="6B732736" w:rsidR="001B14D4" w:rsidRPr="00A156D2" w:rsidRDefault="001B14D4" w:rsidP="001B14D4">
      <w:pPr>
        <w:pStyle w:val="FootnoteText"/>
      </w:pPr>
      <w:r w:rsidRPr="00A156D2">
        <w:rPr>
          <w:rStyle w:val="FootnoteReference"/>
        </w:rPr>
        <w:footnoteRef/>
      </w:r>
      <w:r w:rsidRPr="00A156D2">
        <w:t xml:space="preserve"> For a detailed explanation of how the estimate was developed, see Appendix D in the </w:t>
      </w:r>
      <w:r>
        <w:t>a</w:t>
      </w:r>
      <w:r w:rsidRPr="00A156D2">
        <w:t xml:space="preserve">mendments </w:t>
      </w:r>
      <w:r w:rsidR="00E33FDF">
        <w:t>r</w:t>
      </w:r>
      <w:r w:rsidRPr="00A156D2">
        <w:t xml:space="preserve">ule </w:t>
      </w:r>
      <w:r w:rsidR="00E33FDF">
        <w:t>f</w:t>
      </w:r>
      <w:r w:rsidRPr="00A156D2">
        <w:t>inal RIA:  US EPA. Regulatory Impact Analysis. Accidental Release Prevention Requirements: Risk Management Programs Under the Clean Air Act, Section 112(r)(7). Dec 16, 2016. (EPA-HQ-OEM-2015-0725-0734).</w:t>
      </w:r>
    </w:p>
  </w:footnote>
  <w:footnote w:id="5">
    <w:p w14:paraId="71528FBA" w14:textId="77777777" w:rsidR="00451AB6" w:rsidRPr="00110A87" w:rsidRDefault="00451AB6" w:rsidP="00451AB6">
      <w:pPr>
        <w:pStyle w:val="TOC2"/>
      </w:pPr>
      <w:r w:rsidRPr="00110A87">
        <w:rPr>
          <w:vertAlign w:val="superscript"/>
        </w:rPr>
        <w:footnoteRef/>
      </w:r>
      <w:r w:rsidRPr="00110A87">
        <w:t xml:space="preserve"> BEA National Income and Product Accounts (NIPA) Table 1.1.9. Implicit Price Deflators for Gross Domestic Product. https://apps.bea.gov/iTable/iTable.cfm?reqid=19&amp;step=3&amp;isuri=1&amp;nipa_table_list=13&amp;categories=survey.</w:t>
      </w:r>
    </w:p>
  </w:footnote>
  <w:footnote w:id="6">
    <w:p w14:paraId="6CB8E030" w14:textId="77777777" w:rsidR="00343ABE" w:rsidRPr="006D46CA" w:rsidRDefault="00343ABE" w:rsidP="00343ABE">
      <w:pPr>
        <w:rPr>
          <w:szCs w:val="20"/>
        </w:rPr>
      </w:pPr>
      <w:r w:rsidRPr="006D46CA">
        <w:rPr>
          <w:rStyle w:val="FootnoteReference"/>
          <w:szCs w:val="20"/>
        </w:rPr>
        <w:footnoteRef/>
      </w:r>
      <w:r w:rsidRPr="006D46CA">
        <w:rPr>
          <w:szCs w:val="20"/>
        </w:rPr>
        <w:t xml:space="preserve"> See</w:t>
      </w:r>
      <w:r>
        <w:rPr>
          <w:szCs w:val="20"/>
        </w:rPr>
        <w:t xml:space="preserve"> </w:t>
      </w:r>
      <w:hyperlink r:id="rId1" w:history="1">
        <w:r w:rsidRPr="008D3F03">
          <w:rPr>
            <w:rStyle w:val="Hyperlink"/>
            <w:szCs w:val="20"/>
          </w:rPr>
          <w:t>https://www.bls.gov/oes/2020/may/oes_nat.htm</w:t>
        </w:r>
      </w:hyperlink>
      <w:r>
        <w:rPr>
          <w:szCs w:val="20"/>
        </w:rPr>
        <w:t>.</w:t>
      </w:r>
    </w:p>
  </w:footnote>
  <w:footnote w:id="7">
    <w:p w14:paraId="0B7D7AB7" w14:textId="77777777" w:rsidR="00343ABE" w:rsidRPr="006B33FC" w:rsidRDefault="00343ABE" w:rsidP="00343ABE">
      <w:pPr>
        <w:pStyle w:val="FootnoteText"/>
      </w:pPr>
      <w:r w:rsidRPr="006B33FC">
        <w:rPr>
          <w:rStyle w:val="FootnoteReference"/>
        </w:rPr>
        <w:footnoteRef/>
      </w:r>
      <w:r w:rsidRPr="006B33FC">
        <w:t xml:space="preserve"> Bureau of Labor Statistics Employer Costs for Employee Compensation. For June 2020, Table 1 shows that for civilian workers, on average for the nation, fringe benefits were 31.5% of total compensation, and 46.0% of wages.</w:t>
      </w:r>
    </w:p>
  </w:footnote>
  <w:footnote w:id="8">
    <w:p w14:paraId="67D979E6" w14:textId="77777777" w:rsidR="00343ABE" w:rsidRPr="00F76659" w:rsidRDefault="00343ABE" w:rsidP="00343ABE">
      <w:pPr>
        <w:rPr>
          <w:szCs w:val="20"/>
        </w:rPr>
      </w:pPr>
      <w:r w:rsidRPr="006B33FC">
        <w:rPr>
          <w:rStyle w:val="FootnoteReference"/>
          <w:szCs w:val="20"/>
        </w:rPr>
        <w:footnoteRef/>
      </w:r>
      <w:r w:rsidRPr="006B33FC">
        <w:rPr>
          <w:szCs w:val="20"/>
        </w:rPr>
        <w:t xml:space="preserve"> For details explaining this approach, please see Handbook on Valuing Changes in Time Use Induced by Regulatory Requirements and Other EPA Actions, National Center for Environmental Economics, EPA-236-B-15-001 December 9, 2020.</w:t>
      </w:r>
    </w:p>
  </w:footnote>
  <w:footnote w:id="9">
    <w:p w14:paraId="19BC0DC0" w14:textId="77777777" w:rsidR="00126EA0" w:rsidRPr="00CF0616" w:rsidRDefault="00126EA0" w:rsidP="00126EA0">
      <w:pPr>
        <w:pStyle w:val="FootnoteText"/>
      </w:pPr>
      <w:r w:rsidRPr="00CF0616">
        <w:rPr>
          <w:rStyle w:val="FootnoteReference"/>
        </w:rPr>
        <w:footnoteRef/>
      </w:r>
      <w:r w:rsidRPr="00CF0616">
        <w:t xml:space="preserve"> </w:t>
      </w:r>
      <w:r w:rsidRPr="00CF0616">
        <w:rPr>
          <w:w w:val="105"/>
        </w:rPr>
        <w:t xml:space="preserve">EPA recognizes that subsequent to the </w:t>
      </w:r>
      <w:r>
        <w:rPr>
          <w:w w:val="105"/>
        </w:rPr>
        <w:t>proposed</w:t>
      </w:r>
      <w:r w:rsidRPr="00CF0616">
        <w:rPr>
          <w:w w:val="105"/>
        </w:rPr>
        <w:t xml:space="preserve"> rule </w:t>
      </w:r>
      <w:r>
        <w:rPr>
          <w:w w:val="105"/>
        </w:rPr>
        <w:t>being finalized</w:t>
      </w:r>
      <w:r w:rsidRPr="00CF0616">
        <w:rPr>
          <w:w w:val="105"/>
        </w:rPr>
        <w:t xml:space="preserve">, accident rates may </w:t>
      </w:r>
      <w:r>
        <w:rPr>
          <w:w w:val="105"/>
        </w:rPr>
        <w:t>change</w:t>
      </w:r>
      <w:r w:rsidRPr="00CF0616">
        <w:rPr>
          <w:w w:val="105"/>
        </w:rPr>
        <w:t>.</w:t>
      </w:r>
    </w:p>
  </w:footnote>
  <w:footnote w:id="10">
    <w:p w14:paraId="5E683140" w14:textId="77777777" w:rsidR="00126EA0" w:rsidRPr="00DE0725" w:rsidRDefault="00126EA0" w:rsidP="00126EA0">
      <w:pPr>
        <w:pStyle w:val="FootnoteText"/>
      </w:pPr>
      <w:r w:rsidRPr="00DE0725">
        <w:rPr>
          <w:rStyle w:val="FootnoteReference"/>
        </w:rPr>
        <w:footnoteRef/>
      </w:r>
      <w:r w:rsidRPr="00DE0725">
        <w:t xml:space="preserve"> The number of audits may be overstated because some facilities will have the same set of reportable </w:t>
      </w:r>
      <w:r>
        <w:t>accident</w:t>
      </w:r>
      <w:r w:rsidRPr="00DE0725">
        <w:t xml:space="preserve">s in multiple </w:t>
      </w:r>
      <w:r>
        <w:t>five-year</w:t>
      </w:r>
      <w:r w:rsidRPr="00DE0725">
        <w:t xml:space="preserve"> periods.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3D73" w14:textId="77777777" w:rsidR="004F4978" w:rsidRDefault="004F49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B99F" w14:textId="77777777" w:rsidR="004F4978" w:rsidRDefault="004F49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D44FD" w14:textId="77777777" w:rsidR="004F4978" w:rsidRDefault="004F49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2272"/>
    <w:multiLevelType w:val="hybridMultilevel"/>
    <w:tmpl w:val="D4DE0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008DD"/>
    <w:multiLevelType w:val="hybridMultilevel"/>
    <w:tmpl w:val="A8D21EF6"/>
    <w:lvl w:ilvl="0" w:tplc="4746D7EA">
      <w:start w:val="1"/>
      <w:numFmt w:val="lowerRoman"/>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097860"/>
    <w:multiLevelType w:val="multilevel"/>
    <w:tmpl w:val="CA64E3D2"/>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 w15:restartNumberingAfterBreak="0">
    <w:nsid w:val="041679AB"/>
    <w:multiLevelType w:val="hybridMultilevel"/>
    <w:tmpl w:val="A8D21EF6"/>
    <w:lvl w:ilvl="0" w:tplc="FFFFFFFF">
      <w:start w:val="1"/>
      <w:numFmt w:val="lowerRoman"/>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9BE6C49"/>
    <w:multiLevelType w:val="hybridMultilevel"/>
    <w:tmpl w:val="50CE7B26"/>
    <w:lvl w:ilvl="0" w:tplc="F0381364">
      <w:start w:val="2"/>
      <w:numFmt w:val="bullet"/>
      <w:lvlText w:val="-"/>
      <w:lvlJc w:val="left"/>
      <w:pPr>
        <w:ind w:left="1890" w:hanging="360"/>
      </w:pPr>
      <w:rPr>
        <w:rFonts w:ascii="Times New Roman" w:eastAsia="Times New Roman" w:hAnsi="Times New Roman"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114C3A78"/>
    <w:multiLevelType w:val="hybridMultilevel"/>
    <w:tmpl w:val="55368BA4"/>
    <w:lvl w:ilvl="0" w:tplc="BD12E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1A7547"/>
    <w:multiLevelType w:val="hybridMultilevel"/>
    <w:tmpl w:val="C9B26C36"/>
    <w:lvl w:ilvl="0" w:tplc="D61EB7B2">
      <w:numFmt w:val="bullet"/>
      <w:lvlText w:val=""/>
      <w:lvlJc w:val="left"/>
      <w:pPr>
        <w:ind w:left="720" w:hanging="360"/>
      </w:pPr>
      <w:rPr>
        <w:rFonts w:ascii="Symbol" w:eastAsiaTheme="minorHAnsi" w:hAnsi="Symbol" w:cs="Times New Roman" w:hint="default"/>
        <w:sz w:val="18"/>
        <w:szCs w:val="18"/>
      </w:rPr>
    </w:lvl>
    <w:lvl w:ilvl="1" w:tplc="D16488A8">
      <w:start w:val="1"/>
      <w:numFmt w:val="bullet"/>
      <w:lvlText w:val=""/>
      <w:lvlJc w:val="left"/>
      <w:pPr>
        <w:ind w:left="1080" w:hanging="360"/>
      </w:pPr>
      <w:rPr>
        <w:rFonts w:ascii="Wingdings" w:hAnsi="Wingdings" w:hint="default"/>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54605"/>
    <w:multiLevelType w:val="hybridMultilevel"/>
    <w:tmpl w:val="7C8430E2"/>
    <w:lvl w:ilvl="0" w:tplc="AEA22CAC">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6018C1"/>
    <w:multiLevelType w:val="hybridMultilevel"/>
    <w:tmpl w:val="2A36DC84"/>
    <w:lvl w:ilvl="0" w:tplc="B58C2D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DB4CC9"/>
    <w:multiLevelType w:val="hybridMultilevel"/>
    <w:tmpl w:val="5F469BE6"/>
    <w:lvl w:ilvl="0" w:tplc="1110DAB2">
      <w:start w:val="1"/>
      <w:numFmt w:val="bullet"/>
      <w:lvlText w:val=""/>
      <w:lvlJc w:val="left"/>
      <w:pPr>
        <w:ind w:left="1080" w:hanging="360"/>
      </w:pPr>
      <w:rPr>
        <w:rFonts w:ascii="Symbol" w:hAnsi="Symbol" w:hint="default"/>
        <w:color w:val="auto"/>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234565"/>
    <w:multiLevelType w:val="hybridMultilevel"/>
    <w:tmpl w:val="BAAA8E7E"/>
    <w:lvl w:ilvl="0" w:tplc="E760DCAC">
      <w:start w:val="1"/>
      <w:numFmt w:val="bullet"/>
      <w:lvlText w:val=""/>
      <w:lvlJc w:val="left"/>
      <w:pPr>
        <w:ind w:left="1170" w:hanging="360"/>
      </w:pPr>
      <w:rPr>
        <w:rFonts w:ascii="Symbol" w:hAnsi="Symbol" w:hint="default"/>
        <w:sz w:val="18"/>
        <w:szCs w:val="1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249E0BC3"/>
    <w:multiLevelType w:val="hybridMultilevel"/>
    <w:tmpl w:val="D8CCB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482ED2"/>
    <w:multiLevelType w:val="hybridMultilevel"/>
    <w:tmpl w:val="A8D21EF6"/>
    <w:lvl w:ilvl="0" w:tplc="FFFFFFFF">
      <w:start w:val="1"/>
      <w:numFmt w:val="lowerRoman"/>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0723495"/>
    <w:multiLevelType w:val="hybridMultilevel"/>
    <w:tmpl w:val="6924FDBC"/>
    <w:lvl w:ilvl="0" w:tplc="53EC129C">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7346C"/>
    <w:multiLevelType w:val="hybridMultilevel"/>
    <w:tmpl w:val="B6F68562"/>
    <w:lvl w:ilvl="0" w:tplc="49EA0E3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6220D4"/>
    <w:multiLevelType w:val="hybridMultilevel"/>
    <w:tmpl w:val="19CC17DE"/>
    <w:lvl w:ilvl="0" w:tplc="CCA6B4B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B9389B"/>
    <w:multiLevelType w:val="hybridMultilevel"/>
    <w:tmpl w:val="B558970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9771F0"/>
    <w:multiLevelType w:val="hybridMultilevel"/>
    <w:tmpl w:val="D0E0DEF2"/>
    <w:lvl w:ilvl="0" w:tplc="A74ECF9E">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C67164"/>
    <w:multiLevelType w:val="hybridMultilevel"/>
    <w:tmpl w:val="DC3A33CA"/>
    <w:lvl w:ilvl="0" w:tplc="06CE8B4C">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C63110A"/>
    <w:multiLevelType w:val="hybridMultilevel"/>
    <w:tmpl w:val="A8D21EF6"/>
    <w:lvl w:ilvl="0" w:tplc="FFFFFFFF">
      <w:start w:val="1"/>
      <w:numFmt w:val="lowerRoman"/>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4304258"/>
    <w:multiLevelType w:val="hybridMultilevel"/>
    <w:tmpl w:val="4F46B394"/>
    <w:lvl w:ilvl="0" w:tplc="249A89F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66802F3"/>
    <w:multiLevelType w:val="hybridMultilevel"/>
    <w:tmpl w:val="4386ED78"/>
    <w:lvl w:ilvl="0" w:tplc="32C652D2">
      <w:numFmt w:val="bullet"/>
      <w:lvlText w:val=""/>
      <w:lvlJc w:val="left"/>
      <w:pPr>
        <w:ind w:left="720" w:hanging="360"/>
      </w:pPr>
      <w:rPr>
        <w:rFonts w:ascii="Symbol" w:eastAsiaTheme="minorHAnsi" w:hAnsi="Symbol" w:cs="Times New Roman" w:hint="default"/>
        <w:sz w:val="18"/>
        <w:szCs w:val="18"/>
      </w:rPr>
    </w:lvl>
    <w:lvl w:ilvl="1" w:tplc="B040014C">
      <w:start w:val="1"/>
      <w:numFmt w:val="bullet"/>
      <w:lvlText w:val=""/>
      <w:lvlJc w:val="left"/>
      <w:pPr>
        <w:ind w:left="1080" w:hanging="360"/>
      </w:pPr>
      <w:rPr>
        <w:rFonts w:ascii="Wingdings" w:hAnsi="Wingdings" w:hint="default"/>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726B87"/>
    <w:multiLevelType w:val="hybridMultilevel"/>
    <w:tmpl w:val="C1F6A7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AD838FF"/>
    <w:multiLevelType w:val="hybridMultilevel"/>
    <w:tmpl w:val="763A2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26569E"/>
    <w:multiLevelType w:val="multilevel"/>
    <w:tmpl w:val="CA64E3D2"/>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5" w15:restartNumberingAfterBreak="0">
    <w:nsid w:val="7BBC3B9A"/>
    <w:multiLevelType w:val="hybridMultilevel"/>
    <w:tmpl w:val="A0205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
  </w:num>
  <w:num w:numId="4">
    <w:abstractNumId w:val="15"/>
  </w:num>
  <w:num w:numId="5">
    <w:abstractNumId w:val="18"/>
  </w:num>
  <w:num w:numId="6">
    <w:abstractNumId w:val="7"/>
  </w:num>
  <w:num w:numId="7">
    <w:abstractNumId w:val="13"/>
  </w:num>
  <w:num w:numId="8">
    <w:abstractNumId w:val="4"/>
  </w:num>
  <w:num w:numId="9">
    <w:abstractNumId w:val="25"/>
  </w:num>
  <w:num w:numId="10">
    <w:abstractNumId w:val="11"/>
  </w:num>
  <w:num w:numId="11">
    <w:abstractNumId w:val="12"/>
  </w:num>
  <w:num w:numId="12">
    <w:abstractNumId w:val="14"/>
  </w:num>
  <w:num w:numId="13">
    <w:abstractNumId w:val="19"/>
  </w:num>
  <w:num w:numId="14">
    <w:abstractNumId w:val="6"/>
  </w:num>
  <w:num w:numId="15">
    <w:abstractNumId w:val="21"/>
  </w:num>
  <w:num w:numId="16">
    <w:abstractNumId w:val="0"/>
  </w:num>
  <w:num w:numId="17">
    <w:abstractNumId w:val="3"/>
  </w:num>
  <w:num w:numId="18">
    <w:abstractNumId w:val="20"/>
  </w:num>
  <w:num w:numId="19">
    <w:abstractNumId w:val="5"/>
  </w:num>
  <w:num w:numId="20">
    <w:abstractNumId w:val="2"/>
  </w:num>
  <w:num w:numId="21">
    <w:abstractNumId w:val="8"/>
  </w:num>
  <w:num w:numId="22">
    <w:abstractNumId w:val="23"/>
  </w:num>
  <w:num w:numId="23">
    <w:abstractNumId w:val="24"/>
  </w:num>
  <w:num w:numId="24">
    <w:abstractNumId w:val="16"/>
  </w:num>
  <w:num w:numId="25">
    <w:abstractNumId w:val="17"/>
  </w:num>
  <w:num w:numId="26">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11"/>
    <w:rsid w:val="0000044B"/>
    <w:rsid w:val="00000AD3"/>
    <w:rsid w:val="00000EEA"/>
    <w:rsid w:val="00001A56"/>
    <w:rsid w:val="00001F58"/>
    <w:rsid w:val="00002269"/>
    <w:rsid w:val="00002578"/>
    <w:rsid w:val="00002751"/>
    <w:rsid w:val="00002940"/>
    <w:rsid w:val="0000367D"/>
    <w:rsid w:val="00004DD9"/>
    <w:rsid w:val="00005875"/>
    <w:rsid w:val="00005A53"/>
    <w:rsid w:val="00005DF2"/>
    <w:rsid w:val="00006A77"/>
    <w:rsid w:val="00006A85"/>
    <w:rsid w:val="00006C0D"/>
    <w:rsid w:val="000075AC"/>
    <w:rsid w:val="00007ABA"/>
    <w:rsid w:val="00007B30"/>
    <w:rsid w:val="000107B5"/>
    <w:rsid w:val="00010FF6"/>
    <w:rsid w:val="000111F5"/>
    <w:rsid w:val="00011924"/>
    <w:rsid w:val="000120DC"/>
    <w:rsid w:val="000123C7"/>
    <w:rsid w:val="00012B5B"/>
    <w:rsid w:val="00012DF7"/>
    <w:rsid w:val="00012EC9"/>
    <w:rsid w:val="00013B8E"/>
    <w:rsid w:val="00013FD8"/>
    <w:rsid w:val="000141B6"/>
    <w:rsid w:val="00014702"/>
    <w:rsid w:val="00014722"/>
    <w:rsid w:val="000147BA"/>
    <w:rsid w:val="0001547F"/>
    <w:rsid w:val="00015E15"/>
    <w:rsid w:val="00016404"/>
    <w:rsid w:val="0001644F"/>
    <w:rsid w:val="0001676C"/>
    <w:rsid w:val="000167CB"/>
    <w:rsid w:val="00016B64"/>
    <w:rsid w:val="00016D10"/>
    <w:rsid w:val="00017599"/>
    <w:rsid w:val="00017B87"/>
    <w:rsid w:val="00020057"/>
    <w:rsid w:val="0002112C"/>
    <w:rsid w:val="000216D6"/>
    <w:rsid w:val="0002175F"/>
    <w:rsid w:val="0002189F"/>
    <w:rsid w:val="00022BD7"/>
    <w:rsid w:val="00023457"/>
    <w:rsid w:val="00023BCA"/>
    <w:rsid w:val="000254D8"/>
    <w:rsid w:val="000255D2"/>
    <w:rsid w:val="00025DF0"/>
    <w:rsid w:val="00026BD2"/>
    <w:rsid w:val="00026C1E"/>
    <w:rsid w:val="00026D2D"/>
    <w:rsid w:val="000278E8"/>
    <w:rsid w:val="00027AC3"/>
    <w:rsid w:val="00027BDF"/>
    <w:rsid w:val="00027EFE"/>
    <w:rsid w:val="000304C2"/>
    <w:rsid w:val="00030696"/>
    <w:rsid w:val="00030AA9"/>
    <w:rsid w:val="000310DB"/>
    <w:rsid w:val="0003134A"/>
    <w:rsid w:val="0003140B"/>
    <w:rsid w:val="0003149F"/>
    <w:rsid w:val="000315FF"/>
    <w:rsid w:val="00031A82"/>
    <w:rsid w:val="00031D93"/>
    <w:rsid w:val="00031F17"/>
    <w:rsid w:val="000326BF"/>
    <w:rsid w:val="000331C0"/>
    <w:rsid w:val="0003329C"/>
    <w:rsid w:val="00033562"/>
    <w:rsid w:val="00033B63"/>
    <w:rsid w:val="00033C48"/>
    <w:rsid w:val="00033F79"/>
    <w:rsid w:val="00034084"/>
    <w:rsid w:val="00034D49"/>
    <w:rsid w:val="00034D5E"/>
    <w:rsid w:val="00035203"/>
    <w:rsid w:val="00035204"/>
    <w:rsid w:val="00035C2D"/>
    <w:rsid w:val="00035CC9"/>
    <w:rsid w:val="00036049"/>
    <w:rsid w:val="000376A7"/>
    <w:rsid w:val="00037E01"/>
    <w:rsid w:val="00040957"/>
    <w:rsid w:val="000418F1"/>
    <w:rsid w:val="00041C4D"/>
    <w:rsid w:val="00042486"/>
    <w:rsid w:val="000425F3"/>
    <w:rsid w:val="00042EB4"/>
    <w:rsid w:val="00042F37"/>
    <w:rsid w:val="0004339E"/>
    <w:rsid w:val="000434B7"/>
    <w:rsid w:val="00043632"/>
    <w:rsid w:val="0004379A"/>
    <w:rsid w:val="00043DDE"/>
    <w:rsid w:val="000443A4"/>
    <w:rsid w:val="00044A50"/>
    <w:rsid w:val="00044B6C"/>
    <w:rsid w:val="00044CF6"/>
    <w:rsid w:val="000453E6"/>
    <w:rsid w:val="00045439"/>
    <w:rsid w:val="0004547C"/>
    <w:rsid w:val="00046EC4"/>
    <w:rsid w:val="0004746C"/>
    <w:rsid w:val="00047BC5"/>
    <w:rsid w:val="00047CE9"/>
    <w:rsid w:val="000501C2"/>
    <w:rsid w:val="00050709"/>
    <w:rsid w:val="00051579"/>
    <w:rsid w:val="00051DC6"/>
    <w:rsid w:val="0005241F"/>
    <w:rsid w:val="00052787"/>
    <w:rsid w:val="00052DB4"/>
    <w:rsid w:val="00052E4C"/>
    <w:rsid w:val="000534DF"/>
    <w:rsid w:val="00053CC1"/>
    <w:rsid w:val="00053F20"/>
    <w:rsid w:val="00054988"/>
    <w:rsid w:val="00054BB3"/>
    <w:rsid w:val="000556B5"/>
    <w:rsid w:val="00055943"/>
    <w:rsid w:val="000559A3"/>
    <w:rsid w:val="00055D2B"/>
    <w:rsid w:val="00055EB4"/>
    <w:rsid w:val="00056502"/>
    <w:rsid w:val="0005666B"/>
    <w:rsid w:val="00057584"/>
    <w:rsid w:val="00057683"/>
    <w:rsid w:val="0005770F"/>
    <w:rsid w:val="00057CB6"/>
    <w:rsid w:val="00060054"/>
    <w:rsid w:val="000602ED"/>
    <w:rsid w:val="00060881"/>
    <w:rsid w:val="00060A76"/>
    <w:rsid w:val="00060D68"/>
    <w:rsid w:val="00060F20"/>
    <w:rsid w:val="00061220"/>
    <w:rsid w:val="0006200F"/>
    <w:rsid w:val="0006217F"/>
    <w:rsid w:val="000623DD"/>
    <w:rsid w:val="00062BE9"/>
    <w:rsid w:val="00062F01"/>
    <w:rsid w:val="000630D7"/>
    <w:rsid w:val="00063A48"/>
    <w:rsid w:val="00063C29"/>
    <w:rsid w:val="000641C4"/>
    <w:rsid w:val="00064A6B"/>
    <w:rsid w:val="00064B03"/>
    <w:rsid w:val="00064B9F"/>
    <w:rsid w:val="0006506F"/>
    <w:rsid w:val="00065140"/>
    <w:rsid w:val="000653F3"/>
    <w:rsid w:val="000665F7"/>
    <w:rsid w:val="00066FD7"/>
    <w:rsid w:val="00067995"/>
    <w:rsid w:val="00067B3F"/>
    <w:rsid w:val="00067BF9"/>
    <w:rsid w:val="00070346"/>
    <w:rsid w:val="0007077A"/>
    <w:rsid w:val="00071565"/>
    <w:rsid w:val="000719AC"/>
    <w:rsid w:val="00071D26"/>
    <w:rsid w:val="00073366"/>
    <w:rsid w:val="00073B24"/>
    <w:rsid w:val="00074B3C"/>
    <w:rsid w:val="000752C7"/>
    <w:rsid w:val="00075955"/>
    <w:rsid w:val="00075A2A"/>
    <w:rsid w:val="00075ABF"/>
    <w:rsid w:val="00075F69"/>
    <w:rsid w:val="00076086"/>
    <w:rsid w:val="00076CB9"/>
    <w:rsid w:val="000774FA"/>
    <w:rsid w:val="00077DD1"/>
    <w:rsid w:val="00077E4C"/>
    <w:rsid w:val="00080B55"/>
    <w:rsid w:val="00081B51"/>
    <w:rsid w:val="00081B54"/>
    <w:rsid w:val="000820B5"/>
    <w:rsid w:val="000821A7"/>
    <w:rsid w:val="00082345"/>
    <w:rsid w:val="000824E4"/>
    <w:rsid w:val="000826DD"/>
    <w:rsid w:val="0008331D"/>
    <w:rsid w:val="0008372B"/>
    <w:rsid w:val="00083DE7"/>
    <w:rsid w:val="00084AF2"/>
    <w:rsid w:val="00084DCD"/>
    <w:rsid w:val="00084DD1"/>
    <w:rsid w:val="00085631"/>
    <w:rsid w:val="00085AD7"/>
    <w:rsid w:val="00086101"/>
    <w:rsid w:val="0008669F"/>
    <w:rsid w:val="00086FBE"/>
    <w:rsid w:val="00087112"/>
    <w:rsid w:val="00087771"/>
    <w:rsid w:val="00087BE9"/>
    <w:rsid w:val="00087CEE"/>
    <w:rsid w:val="00090315"/>
    <w:rsid w:val="00090596"/>
    <w:rsid w:val="00091560"/>
    <w:rsid w:val="00092025"/>
    <w:rsid w:val="00093967"/>
    <w:rsid w:val="000945BF"/>
    <w:rsid w:val="00094A47"/>
    <w:rsid w:val="00094B95"/>
    <w:rsid w:val="00094CAC"/>
    <w:rsid w:val="00094CF7"/>
    <w:rsid w:val="00094F01"/>
    <w:rsid w:val="00095CB2"/>
    <w:rsid w:val="00096B18"/>
    <w:rsid w:val="00096E11"/>
    <w:rsid w:val="000971D9"/>
    <w:rsid w:val="000A0053"/>
    <w:rsid w:val="000A0A01"/>
    <w:rsid w:val="000A0C61"/>
    <w:rsid w:val="000A2249"/>
    <w:rsid w:val="000A282C"/>
    <w:rsid w:val="000A29A1"/>
    <w:rsid w:val="000A2A0A"/>
    <w:rsid w:val="000A3454"/>
    <w:rsid w:val="000A3A32"/>
    <w:rsid w:val="000A3D39"/>
    <w:rsid w:val="000A4830"/>
    <w:rsid w:val="000A4CA2"/>
    <w:rsid w:val="000A4FB0"/>
    <w:rsid w:val="000A6C34"/>
    <w:rsid w:val="000A6ECB"/>
    <w:rsid w:val="000A723D"/>
    <w:rsid w:val="000A7C53"/>
    <w:rsid w:val="000B001D"/>
    <w:rsid w:val="000B0569"/>
    <w:rsid w:val="000B0984"/>
    <w:rsid w:val="000B0BB0"/>
    <w:rsid w:val="000B0DB9"/>
    <w:rsid w:val="000B11DF"/>
    <w:rsid w:val="000B15F7"/>
    <w:rsid w:val="000B178F"/>
    <w:rsid w:val="000B1D2E"/>
    <w:rsid w:val="000B1DA2"/>
    <w:rsid w:val="000B218E"/>
    <w:rsid w:val="000B2603"/>
    <w:rsid w:val="000B334D"/>
    <w:rsid w:val="000B3414"/>
    <w:rsid w:val="000B3456"/>
    <w:rsid w:val="000B3538"/>
    <w:rsid w:val="000B474D"/>
    <w:rsid w:val="000B49F2"/>
    <w:rsid w:val="000B4D4E"/>
    <w:rsid w:val="000B564D"/>
    <w:rsid w:val="000B5908"/>
    <w:rsid w:val="000B5CF0"/>
    <w:rsid w:val="000B5FCE"/>
    <w:rsid w:val="000B6770"/>
    <w:rsid w:val="000B6805"/>
    <w:rsid w:val="000B6E69"/>
    <w:rsid w:val="000B7473"/>
    <w:rsid w:val="000B75D0"/>
    <w:rsid w:val="000B76B3"/>
    <w:rsid w:val="000B77DE"/>
    <w:rsid w:val="000C02B5"/>
    <w:rsid w:val="000C0FB9"/>
    <w:rsid w:val="000C1582"/>
    <w:rsid w:val="000C1752"/>
    <w:rsid w:val="000C218F"/>
    <w:rsid w:val="000C2372"/>
    <w:rsid w:val="000C2EF9"/>
    <w:rsid w:val="000C3707"/>
    <w:rsid w:val="000C3A2A"/>
    <w:rsid w:val="000C3F23"/>
    <w:rsid w:val="000C42E8"/>
    <w:rsid w:val="000C53E1"/>
    <w:rsid w:val="000C5938"/>
    <w:rsid w:val="000C609D"/>
    <w:rsid w:val="000C6D6C"/>
    <w:rsid w:val="000C6FC5"/>
    <w:rsid w:val="000C7133"/>
    <w:rsid w:val="000C76B4"/>
    <w:rsid w:val="000D0C5D"/>
    <w:rsid w:val="000D2B28"/>
    <w:rsid w:val="000D2BB1"/>
    <w:rsid w:val="000D2E1D"/>
    <w:rsid w:val="000D318F"/>
    <w:rsid w:val="000D34D6"/>
    <w:rsid w:val="000D393E"/>
    <w:rsid w:val="000D3A11"/>
    <w:rsid w:val="000D42A9"/>
    <w:rsid w:val="000D44C8"/>
    <w:rsid w:val="000D4640"/>
    <w:rsid w:val="000D4C1C"/>
    <w:rsid w:val="000D4D80"/>
    <w:rsid w:val="000D547F"/>
    <w:rsid w:val="000D58C5"/>
    <w:rsid w:val="000D60B7"/>
    <w:rsid w:val="000D775B"/>
    <w:rsid w:val="000D7891"/>
    <w:rsid w:val="000D7971"/>
    <w:rsid w:val="000E0B71"/>
    <w:rsid w:val="000E0DB4"/>
    <w:rsid w:val="000E1221"/>
    <w:rsid w:val="000E1A7A"/>
    <w:rsid w:val="000E1EC8"/>
    <w:rsid w:val="000E20CB"/>
    <w:rsid w:val="000E2726"/>
    <w:rsid w:val="000E2806"/>
    <w:rsid w:val="000E2B40"/>
    <w:rsid w:val="000E2BBF"/>
    <w:rsid w:val="000E2CC8"/>
    <w:rsid w:val="000E30D2"/>
    <w:rsid w:val="000E32C8"/>
    <w:rsid w:val="000E3304"/>
    <w:rsid w:val="000E369C"/>
    <w:rsid w:val="000E3B18"/>
    <w:rsid w:val="000E47E5"/>
    <w:rsid w:val="000E4D68"/>
    <w:rsid w:val="000E532E"/>
    <w:rsid w:val="000E5376"/>
    <w:rsid w:val="000E55B0"/>
    <w:rsid w:val="000E6534"/>
    <w:rsid w:val="000E6BDE"/>
    <w:rsid w:val="000E732F"/>
    <w:rsid w:val="000E77D4"/>
    <w:rsid w:val="000F0142"/>
    <w:rsid w:val="000F1086"/>
    <w:rsid w:val="000F10A2"/>
    <w:rsid w:val="000F1363"/>
    <w:rsid w:val="000F205D"/>
    <w:rsid w:val="000F2244"/>
    <w:rsid w:val="000F234B"/>
    <w:rsid w:val="000F3382"/>
    <w:rsid w:val="000F372C"/>
    <w:rsid w:val="000F39A8"/>
    <w:rsid w:val="000F3B66"/>
    <w:rsid w:val="000F3E35"/>
    <w:rsid w:val="000F4BAA"/>
    <w:rsid w:val="000F4D81"/>
    <w:rsid w:val="000F58F4"/>
    <w:rsid w:val="000F5EBF"/>
    <w:rsid w:val="000F608B"/>
    <w:rsid w:val="000F6B13"/>
    <w:rsid w:val="000F6DB3"/>
    <w:rsid w:val="000F79EA"/>
    <w:rsid w:val="000F7DB4"/>
    <w:rsid w:val="0010002E"/>
    <w:rsid w:val="001010B4"/>
    <w:rsid w:val="00101658"/>
    <w:rsid w:val="0010172B"/>
    <w:rsid w:val="001019AD"/>
    <w:rsid w:val="00101C78"/>
    <w:rsid w:val="00101F97"/>
    <w:rsid w:val="00102406"/>
    <w:rsid w:val="00102C50"/>
    <w:rsid w:val="00103B4D"/>
    <w:rsid w:val="00104033"/>
    <w:rsid w:val="00104278"/>
    <w:rsid w:val="001048F5"/>
    <w:rsid w:val="0010537C"/>
    <w:rsid w:val="00105622"/>
    <w:rsid w:val="0010563E"/>
    <w:rsid w:val="001056AF"/>
    <w:rsid w:val="00105904"/>
    <w:rsid w:val="00105FA4"/>
    <w:rsid w:val="001077C3"/>
    <w:rsid w:val="00107D0A"/>
    <w:rsid w:val="00107ED5"/>
    <w:rsid w:val="0011029C"/>
    <w:rsid w:val="00110AF0"/>
    <w:rsid w:val="0011114E"/>
    <w:rsid w:val="001112D2"/>
    <w:rsid w:val="00111751"/>
    <w:rsid w:val="00111B15"/>
    <w:rsid w:val="00111E75"/>
    <w:rsid w:val="00112629"/>
    <w:rsid w:val="00113159"/>
    <w:rsid w:val="001135CB"/>
    <w:rsid w:val="0011370B"/>
    <w:rsid w:val="00113D78"/>
    <w:rsid w:val="0011420A"/>
    <w:rsid w:val="00116486"/>
    <w:rsid w:val="00117B74"/>
    <w:rsid w:val="00117F2A"/>
    <w:rsid w:val="00120C7D"/>
    <w:rsid w:val="001213ED"/>
    <w:rsid w:val="0012146D"/>
    <w:rsid w:val="001217A4"/>
    <w:rsid w:val="001219B6"/>
    <w:rsid w:val="00121A06"/>
    <w:rsid w:val="00121E9C"/>
    <w:rsid w:val="00121FA0"/>
    <w:rsid w:val="001223FF"/>
    <w:rsid w:val="00122630"/>
    <w:rsid w:val="0012294E"/>
    <w:rsid w:val="00122B32"/>
    <w:rsid w:val="001231EC"/>
    <w:rsid w:val="00123367"/>
    <w:rsid w:val="001243AF"/>
    <w:rsid w:val="001244D6"/>
    <w:rsid w:val="00124CBE"/>
    <w:rsid w:val="00125BF0"/>
    <w:rsid w:val="00125F37"/>
    <w:rsid w:val="001262D7"/>
    <w:rsid w:val="00126954"/>
    <w:rsid w:val="00126EA0"/>
    <w:rsid w:val="00130074"/>
    <w:rsid w:val="001303EC"/>
    <w:rsid w:val="00130B6D"/>
    <w:rsid w:val="00130C37"/>
    <w:rsid w:val="00130C40"/>
    <w:rsid w:val="00131316"/>
    <w:rsid w:val="001315A7"/>
    <w:rsid w:val="00131816"/>
    <w:rsid w:val="001327DF"/>
    <w:rsid w:val="00132A67"/>
    <w:rsid w:val="00132F08"/>
    <w:rsid w:val="00133006"/>
    <w:rsid w:val="001332B3"/>
    <w:rsid w:val="001334A2"/>
    <w:rsid w:val="00134483"/>
    <w:rsid w:val="00134551"/>
    <w:rsid w:val="001347FC"/>
    <w:rsid w:val="00134D8C"/>
    <w:rsid w:val="00134F85"/>
    <w:rsid w:val="0013509F"/>
    <w:rsid w:val="00135F36"/>
    <w:rsid w:val="00140DE7"/>
    <w:rsid w:val="00140E3E"/>
    <w:rsid w:val="00140F2E"/>
    <w:rsid w:val="00141112"/>
    <w:rsid w:val="00141673"/>
    <w:rsid w:val="0014236C"/>
    <w:rsid w:val="00142B22"/>
    <w:rsid w:val="00142EA2"/>
    <w:rsid w:val="00142F79"/>
    <w:rsid w:val="001454A7"/>
    <w:rsid w:val="00145E3D"/>
    <w:rsid w:val="00146202"/>
    <w:rsid w:val="001462CB"/>
    <w:rsid w:val="001464A6"/>
    <w:rsid w:val="0014750A"/>
    <w:rsid w:val="00147B25"/>
    <w:rsid w:val="001509F9"/>
    <w:rsid w:val="001511EE"/>
    <w:rsid w:val="00151335"/>
    <w:rsid w:val="0015195C"/>
    <w:rsid w:val="001530A1"/>
    <w:rsid w:val="001533F3"/>
    <w:rsid w:val="001539AB"/>
    <w:rsid w:val="00153A4C"/>
    <w:rsid w:val="00154D23"/>
    <w:rsid w:val="00155392"/>
    <w:rsid w:val="0015568B"/>
    <w:rsid w:val="00155A85"/>
    <w:rsid w:val="00155D92"/>
    <w:rsid w:val="00156188"/>
    <w:rsid w:val="00156236"/>
    <w:rsid w:val="00156313"/>
    <w:rsid w:val="00156426"/>
    <w:rsid w:val="0015743F"/>
    <w:rsid w:val="00157493"/>
    <w:rsid w:val="00157923"/>
    <w:rsid w:val="00157E76"/>
    <w:rsid w:val="001605A0"/>
    <w:rsid w:val="00160D3C"/>
    <w:rsid w:val="00160F06"/>
    <w:rsid w:val="001616E8"/>
    <w:rsid w:val="001618CF"/>
    <w:rsid w:val="00161CC3"/>
    <w:rsid w:val="0016457B"/>
    <w:rsid w:val="001649AF"/>
    <w:rsid w:val="00164EB7"/>
    <w:rsid w:val="00164EE0"/>
    <w:rsid w:val="00164F0F"/>
    <w:rsid w:val="0016571C"/>
    <w:rsid w:val="00165DFA"/>
    <w:rsid w:val="0016791A"/>
    <w:rsid w:val="00167961"/>
    <w:rsid w:val="00170217"/>
    <w:rsid w:val="001704F3"/>
    <w:rsid w:val="00170742"/>
    <w:rsid w:val="001708CD"/>
    <w:rsid w:val="00170946"/>
    <w:rsid w:val="00170B4C"/>
    <w:rsid w:val="00170CA6"/>
    <w:rsid w:val="0017115B"/>
    <w:rsid w:val="00171211"/>
    <w:rsid w:val="00171475"/>
    <w:rsid w:val="0017157F"/>
    <w:rsid w:val="00171C03"/>
    <w:rsid w:val="00172501"/>
    <w:rsid w:val="00172AFC"/>
    <w:rsid w:val="00172DFD"/>
    <w:rsid w:val="00173415"/>
    <w:rsid w:val="00173429"/>
    <w:rsid w:val="0017441F"/>
    <w:rsid w:val="0017479D"/>
    <w:rsid w:val="001756E2"/>
    <w:rsid w:val="00175A9F"/>
    <w:rsid w:val="00176097"/>
    <w:rsid w:val="00180224"/>
    <w:rsid w:val="00180BF9"/>
    <w:rsid w:val="00180C3E"/>
    <w:rsid w:val="00180E20"/>
    <w:rsid w:val="001810BE"/>
    <w:rsid w:val="001811BB"/>
    <w:rsid w:val="00181C4D"/>
    <w:rsid w:val="00182681"/>
    <w:rsid w:val="001835AE"/>
    <w:rsid w:val="00183A24"/>
    <w:rsid w:val="001841B2"/>
    <w:rsid w:val="0018463A"/>
    <w:rsid w:val="001846AD"/>
    <w:rsid w:val="00184D60"/>
    <w:rsid w:val="00184E35"/>
    <w:rsid w:val="00184F47"/>
    <w:rsid w:val="00185126"/>
    <w:rsid w:val="0018542F"/>
    <w:rsid w:val="00185C7A"/>
    <w:rsid w:val="001861A9"/>
    <w:rsid w:val="00186CB8"/>
    <w:rsid w:val="0018723C"/>
    <w:rsid w:val="00187703"/>
    <w:rsid w:val="00187772"/>
    <w:rsid w:val="001879BB"/>
    <w:rsid w:val="00187C9F"/>
    <w:rsid w:val="00187F91"/>
    <w:rsid w:val="00190039"/>
    <w:rsid w:val="001902F7"/>
    <w:rsid w:val="00190A8C"/>
    <w:rsid w:val="00190D60"/>
    <w:rsid w:val="00191094"/>
    <w:rsid w:val="0019224E"/>
    <w:rsid w:val="001926B6"/>
    <w:rsid w:val="00193027"/>
    <w:rsid w:val="00193EB9"/>
    <w:rsid w:val="00194622"/>
    <w:rsid w:val="00194816"/>
    <w:rsid w:val="00194C77"/>
    <w:rsid w:val="00194D27"/>
    <w:rsid w:val="00194F07"/>
    <w:rsid w:val="001952C0"/>
    <w:rsid w:val="001953EE"/>
    <w:rsid w:val="0019605E"/>
    <w:rsid w:val="00196FE2"/>
    <w:rsid w:val="00197647"/>
    <w:rsid w:val="00197B05"/>
    <w:rsid w:val="001A02A1"/>
    <w:rsid w:val="001A07AD"/>
    <w:rsid w:val="001A08F2"/>
    <w:rsid w:val="001A0CBD"/>
    <w:rsid w:val="001A0DDD"/>
    <w:rsid w:val="001A130D"/>
    <w:rsid w:val="001A1589"/>
    <w:rsid w:val="001A1E89"/>
    <w:rsid w:val="001A32FB"/>
    <w:rsid w:val="001A3BF5"/>
    <w:rsid w:val="001A47EC"/>
    <w:rsid w:val="001A5067"/>
    <w:rsid w:val="001A559F"/>
    <w:rsid w:val="001A6E4E"/>
    <w:rsid w:val="001A7362"/>
    <w:rsid w:val="001A78B7"/>
    <w:rsid w:val="001A7C72"/>
    <w:rsid w:val="001B05B9"/>
    <w:rsid w:val="001B0C05"/>
    <w:rsid w:val="001B14D4"/>
    <w:rsid w:val="001B1651"/>
    <w:rsid w:val="001B210B"/>
    <w:rsid w:val="001B2321"/>
    <w:rsid w:val="001B253B"/>
    <w:rsid w:val="001B26BB"/>
    <w:rsid w:val="001B2CBB"/>
    <w:rsid w:val="001B2E73"/>
    <w:rsid w:val="001B3467"/>
    <w:rsid w:val="001B35A3"/>
    <w:rsid w:val="001B3B09"/>
    <w:rsid w:val="001B3E4C"/>
    <w:rsid w:val="001B4660"/>
    <w:rsid w:val="001B4E09"/>
    <w:rsid w:val="001B56B6"/>
    <w:rsid w:val="001B57E8"/>
    <w:rsid w:val="001B5948"/>
    <w:rsid w:val="001B5C30"/>
    <w:rsid w:val="001B62A5"/>
    <w:rsid w:val="001B6C93"/>
    <w:rsid w:val="001B72F3"/>
    <w:rsid w:val="001B7FFB"/>
    <w:rsid w:val="001C093A"/>
    <w:rsid w:val="001C14F5"/>
    <w:rsid w:val="001C2717"/>
    <w:rsid w:val="001C2E6E"/>
    <w:rsid w:val="001C328B"/>
    <w:rsid w:val="001C39F2"/>
    <w:rsid w:val="001C4EF0"/>
    <w:rsid w:val="001C5160"/>
    <w:rsid w:val="001C51C6"/>
    <w:rsid w:val="001C64F8"/>
    <w:rsid w:val="001C65BB"/>
    <w:rsid w:val="001C67CD"/>
    <w:rsid w:val="001C758E"/>
    <w:rsid w:val="001C78D3"/>
    <w:rsid w:val="001C7A89"/>
    <w:rsid w:val="001C7E62"/>
    <w:rsid w:val="001C7F3F"/>
    <w:rsid w:val="001D019A"/>
    <w:rsid w:val="001D098D"/>
    <w:rsid w:val="001D0B00"/>
    <w:rsid w:val="001D0CBA"/>
    <w:rsid w:val="001D15DD"/>
    <w:rsid w:val="001D1AB9"/>
    <w:rsid w:val="001D260F"/>
    <w:rsid w:val="001D27F3"/>
    <w:rsid w:val="001D2963"/>
    <w:rsid w:val="001D2A1B"/>
    <w:rsid w:val="001D2AC9"/>
    <w:rsid w:val="001D31D2"/>
    <w:rsid w:val="001D3D53"/>
    <w:rsid w:val="001D3FF9"/>
    <w:rsid w:val="001D4738"/>
    <w:rsid w:val="001D4D60"/>
    <w:rsid w:val="001D50B9"/>
    <w:rsid w:val="001D5847"/>
    <w:rsid w:val="001D6B97"/>
    <w:rsid w:val="001D6C89"/>
    <w:rsid w:val="001E05C3"/>
    <w:rsid w:val="001E06DF"/>
    <w:rsid w:val="001E07F2"/>
    <w:rsid w:val="001E129F"/>
    <w:rsid w:val="001E1729"/>
    <w:rsid w:val="001E1F59"/>
    <w:rsid w:val="001E2027"/>
    <w:rsid w:val="001E26C8"/>
    <w:rsid w:val="001E313F"/>
    <w:rsid w:val="001E332B"/>
    <w:rsid w:val="001E3DB4"/>
    <w:rsid w:val="001E4432"/>
    <w:rsid w:val="001E4A3F"/>
    <w:rsid w:val="001E4ECB"/>
    <w:rsid w:val="001E52B9"/>
    <w:rsid w:val="001E5456"/>
    <w:rsid w:val="001E55BD"/>
    <w:rsid w:val="001E567D"/>
    <w:rsid w:val="001E5A4E"/>
    <w:rsid w:val="001E6189"/>
    <w:rsid w:val="001E64B8"/>
    <w:rsid w:val="001E681E"/>
    <w:rsid w:val="001E6D11"/>
    <w:rsid w:val="001E6DFB"/>
    <w:rsid w:val="001E6EB6"/>
    <w:rsid w:val="001E7210"/>
    <w:rsid w:val="001E76B8"/>
    <w:rsid w:val="001F031D"/>
    <w:rsid w:val="001F052D"/>
    <w:rsid w:val="001F0A97"/>
    <w:rsid w:val="001F0E81"/>
    <w:rsid w:val="001F1026"/>
    <w:rsid w:val="001F14BC"/>
    <w:rsid w:val="001F1A61"/>
    <w:rsid w:val="001F21CD"/>
    <w:rsid w:val="001F2831"/>
    <w:rsid w:val="001F2C5F"/>
    <w:rsid w:val="001F33C7"/>
    <w:rsid w:val="001F3498"/>
    <w:rsid w:val="001F3B83"/>
    <w:rsid w:val="001F4145"/>
    <w:rsid w:val="001F4943"/>
    <w:rsid w:val="001F51AB"/>
    <w:rsid w:val="001F51F3"/>
    <w:rsid w:val="001F530C"/>
    <w:rsid w:val="001F562E"/>
    <w:rsid w:val="001F56EF"/>
    <w:rsid w:val="001F5A7B"/>
    <w:rsid w:val="001F5D10"/>
    <w:rsid w:val="001F6232"/>
    <w:rsid w:val="001F6912"/>
    <w:rsid w:val="001F6980"/>
    <w:rsid w:val="001F6E36"/>
    <w:rsid w:val="001F7132"/>
    <w:rsid w:val="001F7772"/>
    <w:rsid w:val="001F7E4A"/>
    <w:rsid w:val="002001F2"/>
    <w:rsid w:val="00200531"/>
    <w:rsid w:val="002007CC"/>
    <w:rsid w:val="00200906"/>
    <w:rsid w:val="00202362"/>
    <w:rsid w:val="002024CD"/>
    <w:rsid w:val="00202AF1"/>
    <w:rsid w:val="00203160"/>
    <w:rsid w:val="00203664"/>
    <w:rsid w:val="002037E0"/>
    <w:rsid w:val="00203863"/>
    <w:rsid w:val="00203F56"/>
    <w:rsid w:val="0020413E"/>
    <w:rsid w:val="002042D1"/>
    <w:rsid w:val="002046A5"/>
    <w:rsid w:val="0020494A"/>
    <w:rsid w:val="00205287"/>
    <w:rsid w:val="0020599F"/>
    <w:rsid w:val="00205E5C"/>
    <w:rsid w:val="00205ECF"/>
    <w:rsid w:val="00206186"/>
    <w:rsid w:val="0020633D"/>
    <w:rsid w:val="0020676E"/>
    <w:rsid w:val="002071E7"/>
    <w:rsid w:val="002073CE"/>
    <w:rsid w:val="00207575"/>
    <w:rsid w:val="0020761A"/>
    <w:rsid w:val="00207927"/>
    <w:rsid w:val="00207A76"/>
    <w:rsid w:val="0021000A"/>
    <w:rsid w:val="00212B1C"/>
    <w:rsid w:val="002133BD"/>
    <w:rsid w:val="00213567"/>
    <w:rsid w:val="00213FFA"/>
    <w:rsid w:val="002143F1"/>
    <w:rsid w:val="00214632"/>
    <w:rsid w:val="00214861"/>
    <w:rsid w:val="00214AB2"/>
    <w:rsid w:val="00214C07"/>
    <w:rsid w:val="00214D07"/>
    <w:rsid w:val="00214E66"/>
    <w:rsid w:val="0021542E"/>
    <w:rsid w:val="0021573C"/>
    <w:rsid w:val="0021694E"/>
    <w:rsid w:val="00216E43"/>
    <w:rsid w:val="00217047"/>
    <w:rsid w:val="0021729B"/>
    <w:rsid w:val="002176B0"/>
    <w:rsid w:val="002178E4"/>
    <w:rsid w:val="00217B35"/>
    <w:rsid w:val="002202D5"/>
    <w:rsid w:val="0022081C"/>
    <w:rsid w:val="002210BB"/>
    <w:rsid w:val="00221E33"/>
    <w:rsid w:val="002222E9"/>
    <w:rsid w:val="002223FE"/>
    <w:rsid w:val="00222EB9"/>
    <w:rsid w:val="00222EFE"/>
    <w:rsid w:val="00222FD0"/>
    <w:rsid w:val="00223007"/>
    <w:rsid w:val="00223C16"/>
    <w:rsid w:val="00223F72"/>
    <w:rsid w:val="002246CD"/>
    <w:rsid w:val="00224A24"/>
    <w:rsid w:val="00224AC4"/>
    <w:rsid w:val="00224EA9"/>
    <w:rsid w:val="0022511F"/>
    <w:rsid w:val="0022560B"/>
    <w:rsid w:val="00225857"/>
    <w:rsid w:val="00225F07"/>
    <w:rsid w:val="00225FA6"/>
    <w:rsid w:val="00226287"/>
    <w:rsid w:val="00226A5B"/>
    <w:rsid w:val="00226F8D"/>
    <w:rsid w:val="00227463"/>
    <w:rsid w:val="002276CF"/>
    <w:rsid w:val="00227D2C"/>
    <w:rsid w:val="00227FC2"/>
    <w:rsid w:val="00230878"/>
    <w:rsid w:val="002308C6"/>
    <w:rsid w:val="002308F5"/>
    <w:rsid w:val="00230C6B"/>
    <w:rsid w:val="00231A67"/>
    <w:rsid w:val="00231BF8"/>
    <w:rsid w:val="00232750"/>
    <w:rsid w:val="00234550"/>
    <w:rsid w:val="002345CE"/>
    <w:rsid w:val="002348F5"/>
    <w:rsid w:val="0023577C"/>
    <w:rsid w:val="0023586A"/>
    <w:rsid w:val="00235EC0"/>
    <w:rsid w:val="002360F0"/>
    <w:rsid w:val="00236322"/>
    <w:rsid w:val="0023650B"/>
    <w:rsid w:val="00236513"/>
    <w:rsid w:val="00237201"/>
    <w:rsid w:val="00237479"/>
    <w:rsid w:val="00237931"/>
    <w:rsid w:val="00237CD6"/>
    <w:rsid w:val="00240053"/>
    <w:rsid w:val="00240763"/>
    <w:rsid w:val="0024103A"/>
    <w:rsid w:val="0024199D"/>
    <w:rsid w:val="00241CC3"/>
    <w:rsid w:val="00242461"/>
    <w:rsid w:val="002425B4"/>
    <w:rsid w:val="00242970"/>
    <w:rsid w:val="00242B2E"/>
    <w:rsid w:val="00242FDC"/>
    <w:rsid w:val="0024319B"/>
    <w:rsid w:val="0024357E"/>
    <w:rsid w:val="00243C69"/>
    <w:rsid w:val="00243FAA"/>
    <w:rsid w:val="002449A0"/>
    <w:rsid w:val="002452FA"/>
    <w:rsid w:val="0024545C"/>
    <w:rsid w:val="0024547C"/>
    <w:rsid w:val="00245C5A"/>
    <w:rsid w:val="00246020"/>
    <w:rsid w:val="00246EFE"/>
    <w:rsid w:val="0024733D"/>
    <w:rsid w:val="002476BC"/>
    <w:rsid w:val="00247CA2"/>
    <w:rsid w:val="0025087F"/>
    <w:rsid w:val="00251138"/>
    <w:rsid w:val="00251184"/>
    <w:rsid w:val="00251267"/>
    <w:rsid w:val="002522CC"/>
    <w:rsid w:val="00252D57"/>
    <w:rsid w:val="00253E5A"/>
    <w:rsid w:val="00254884"/>
    <w:rsid w:val="0025515D"/>
    <w:rsid w:val="002555EE"/>
    <w:rsid w:val="0025573E"/>
    <w:rsid w:val="002568C4"/>
    <w:rsid w:val="00256C8D"/>
    <w:rsid w:val="00256F1E"/>
    <w:rsid w:val="00256F24"/>
    <w:rsid w:val="00257960"/>
    <w:rsid w:val="002616AB"/>
    <w:rsid w:val="00261CE3"/>
    <w:rsid w:val="00262474"/>
    <w:rsid w:val="002636B1"/>
    <w:rsid w:val="002646CD"/>
    <w:rsid w:val="002646ED"/>
    <w:rsid w:val="00266121"/>
    <w:rsid w:val="00266122"/>
    <w:rsid w:val="00266AFB"/>
    <w:rsid w:val="00267211"/>
    <w:rsid w:val="002677E7"/>
    <w:rsid w:val="00267E6B"/>
    <w:rsid w:val="00267EA4"/>
    <w:rsid w:val="00270091"/>
    <w:rsid w:val="00270D94"/>
    <w:rsid w:val="002710FF"/>
    <w:rsid w:val="002715AF"/>
    <w:rsid w:val="002716A0"/>
    <w:rsid w:val="0027174F"/>
    <w:rsid w:val="00271C0D"/>
    <w:rsid w:val="00272A81"/>
    <w:rsid w:val="00272E4F"/>
    <w:rsid w:val="00273A9F"/>
    <w:rsid w:val="00274D97"/>
    <w:rsid w:val="0027502D"/>
    <w:rsid w:val="002750EA"/>
    <w:rsid w:val="00275DE8"/>
    <w:rsid w:val="0027722F"/>
    <w:rsid w:val="002774AA"/>
    <w:rsid w:val="00277667"/>
    <w:rsid w:val="0027796C"/>
    <w:rsid w:val="00277B6F"/>
    <w:rsid w:val="0028024E"/>
    <w:rsid w:val="00280A06"/>
    <w:rsid w:val="00280A4B"/>
    <w:rsid w:val="00280B72"/>
    <w:rsid w:val="00280C03"/>
    <w:rsid w:val="00280E36"/>
    <w:rsid w:val="00280ECC"/>
    <w:rsid w:val="002813F1"/>
    <w:rsid w:val="00281400"/>
    <w:rsid w:val="00281CC7"/>
    <w:rsid w:val="002856C8"/>
    <w:rsid w:val="0028589E"/>
    <w:rsid w:val="00286272"/>
    <w:rsid w:val="002868D6"/>
    <w:rsid w:val="0028692D"/>
    <w:rsid w:val="00286C03"/>
    <w:rsid w:val="00286FFB"/>
    <w:rsid w:val="002876C9"/>
    <w:rsid w:val="00287801"/>
    <w:rsid w:val="002878B8"/>
    <w:rsid w:val="00287941"/>
    <w:rsid w:val="00287AEF"/>
    <w:rsid w:val="00287DB3"/>
    <w:rsid w:val="00287FC1"/>
    <w:rsid w:val="00290535"/>
    <w:rsid w:val="00290720"/>
    <w:rsid w:val="00290C2F"/>
    <w:rsid w:val="00291079"/>
    <w:rsid w:val="00291563"/>
    <w:rsid w:val="002915D4"/>
    <w:rsid w:val="00291EE3"/>
    <w:rsid w:val="00292A58"/>
    <w:rsid w:val="00293F45"/>
    <w:rsid w:val="00294C20"/>
    <w:rsid w:val="00294F3A"/>
    <w:rsid w:val="00295616"/>
    <w:rsid w:val="0029574A"/>
    <w:rsid w:val="00295856"/>
    <w:rsid w:val="00295874"/>
    <w:rsid w:val="002960A4"/>
    <w:rsid w:val="0029625C"/>
    <w:rsid w:val="00296A64"/>
    <w:rsid w:val="00296AB5"/>
    <w:rsid w:val="0029716E"/>
    <w:rsid w:val="00297F2F"/>
    <w:rsid w:val="002A0167"/>
    <w:rsid w:val="002A0413"/>
    <w:rsid w:val="002A04BC"/>
    <w:rsid w:val="002A1A7E"/>
    <w:rsid w:val="002A285E"/>
    <w:rsid w:val="002A2C67"/>
    <w:rsid w:val="002A2E5C"/>
    <w:rsid w:val="002A3073"/>
    <w:rsid w:val="002A3799"/>
    <w:rsid w:val="002A3E61"/>
    <w:rsid w:val="002A3F20"/>
    <w:rsid w:val="002A3F6F"/>
    <w:rsid w:val="002A4275"/>
    <w:rsid w:val="002A4BDF"/>
    <w:rsid w:val="002A4E0D"/>
    <w:rsid w:val="002A564F"/>
    <w:rsid w:val="002A5E66"/>
    <w:rsid w:val="002A5E6F"/>
    <w:rsid w:val="002A5EF5"/>
    <w:rsid w:val="002A6080"/>
    <w:rsid w:val="002A6BDC"/>
    <w:rsid w:val="002A725F"/>
    <w:rsid w:val="002A7261"/>
    <w:rsid w:val="002A747D"/>
    <w:rsid w:val="002A74D9"/>
    <w:rsid w:val="002A7759"/>
    <w:rsid w:val="002A795F"/>
    <w:rsid w:val="002A7BA7"/>
    <w:rsid w:val="002A7E68"/>
    <w:rsid w:val="002B0455"/>
    <w:rsid w:val="002B05AE"/>
    <w:rsid w:val="002B1533"/>
    <w:rsid w:val="002B17FF"/>
    <w:rsid w:val="002B1A3A"/>
    <w:rsid w:val="002B2B2F"/>
    <w:rsid w:val="002B32AF"/>
    <w:rsid w:val="002B3941"/>
    <w:rsid w:val="002B5443"/>
    <w:rsid w:val="002B5922"/>
    <w:rsid w:val="002B5B04"/>
    <w:rsid w:val="002B6636"/>
    <w:rsid w:val="002B66BD"/>
    <w:rsid w:val="002B6C42"/>
    <w:rsid w:val="002B6D57"/>
    <w:rsid w:val="002B704C"/>
    <w:rsid w:val="002B715A"/>
    <w:rsid w:val="002B7432"/>
    <w:rsid w:val="002B7C98"/>
    <w:rsid w:val="002B7D69"/>
    <w:rsid w:val="002C0B96"/>
    <w:rsid w:val="002C199B"/>
    <w:rsid w:val="002C212A"/>
    <w:rsid w:val="002C2255"/>
    <w:rsid w:val="002C371C"/>
    <w:rsid w:val="002C3CD0"/>
    <w:rsid w:val="002C4315"/>
    <w:rsid w:val="002C442D"/>
    <w:rsid w:val="002C48C7"/>
    <w:rsid w:val="002C5BE8"/>
    <w:rsid w:val="002C64A5"/>
    <w:rsid w:val="002C69AD"/>
    <w:rsid w:val="002C6BB4"/>
    <w:rsid w:val="002C7412"/>
    <w:rsid w:val="002C7432"/>
    <w:rsid w:val="002C7A14"/>
    <w:rsid w:val="002D01DE"/>
    <w:rsid w:val="002D042E"/>
    <w:rsid w:val="002D0613"/>
    <w:rsid w:val="002D0B8B"/>
    <w:rsid w:val="002D1118"/>
    <w:rsid w:val="002D1842"/>
    <w:rsid w:val="002D23A3"/>
    <w:rsid w:val="002D26F0"/>
    <w:rsid w:val="002D2886"/>
    <w:rsid w:val="002D2FC0"/>
    <w:rsid w:val="002D3175"/>
    <w:rsid w:val="002D3265"/>
    <w:rsid w:val="002D35FD"/>
    <w:rsid w:val="002D3C3B"/>
    <w:rsid w:val="002D4386"/>
    <w:rsid w:val="002D4773"/>
    <w:rsid w:val="002D4E9D"/>
    <w:rsid w:val="002D5150"/>
    <w:rsid w:val="002D57AC"/>
    <w:rsid w:val="002D60D8"/>
    <w:rsid w:val="002D64EB"/>
    <w:rsid w:val="002D6E96"/>
    <w:rsid w:val="002D7812"/>
    <w:rsid w:val="002E04F0"/>
    <w:rsid w:val="002E08F7"/>
    <w:rsid w:val="002E10BC"/>
    <w:rsid w:val="002E18F7"/>
    <w:rsid w:val="002E1BA7"/>
    <w:rsid w:val="002E1DAD"/>
    <w:rsid w:val="002E1DB0"/>
    <w:rsid w:val="002E1E54"/>
    <w:rsid w:val="002E1FB8"/>
    <w:rsid w:val="002E23E2"/>
    <w:rsid w:val="002E28A8"/>
    <w:rsid w:val="002E290A"/>
    <w:rsid w:val="002E2B77"/>
    <w:rsid w:val="002E2C3E"/>
    <w:rsid w:val="002E2E86"/>
    <w:rsid w:val="002E341E"/>
    <w:rsid w:val="002E35CA"/>
    <w:rsid w:val="002E3640"/>
    <w:rsid w:val="002E3771"/>
    <w:rsid w:val="002E3817"/>
    <w:rsid w:val="002E3DE3"/>
    <w:rsid w:val="002E4046"/>
    <w:rsid w:val="002E44D8"/>
    <w:rsid w:val="002E45D6"/>
    <w:rsid w:val="002E4899"/>
    <w:rsid w:val="002E48F0"/>
    <w:rsid w:val="002E4B33"/>
    <w:rsid w:val="002E4D34"/>
    <w:rsid w:val="002E5787"/>
    <w:rsid w:val="002E57F1"/>
    <w:rsid w:val="002E5933"/>
    <w:rsid w:val="002E5EF5"/>
    <w:rsid w:val="002E626C"/>
    <w:rsid w:val="002E67A6"/>
    <w:rsid w:val="002E6AFD"/>
    <w:rsid w:val="002F0880"/>
    <w:rsid w:val="002F0D37"/>
    <w:rsid w:val="002F18E3"/>
    <w:rsid w:val="002F1D03"/>
    <w:rsid w:val="002F2387"/>
    <w:rsid w:val="002F296F"/>
    <w:rsid w:val="002F2FC7"/>
    <w:rsid w:val="002F30B9"/>
    <w:rsid w:val="002F494D"/>
    <w:rsid w:val="002F4DF3"/>
    <w:rsid w:val="002F50F5"/>
    <w:rsid w:val="002F54F6"/>
    <w:rsid w:val="002F56B9"/>
    <w:rsid w:val="002F56EF"/>
    <w:rsid w:val="002F6635"/>
    <w:rsid w:val="002F6907"/>
    <w:rsid w:val="002F6B9B"/>
    <w:rsid w:val="002F7482"/>
    <w:rsid w:val="002F77DF"/>
    <w:rsid w:val="002F7BAF"/>
    <w:rsid w:val="00300137"/>
    <w:rsid w:val="00300595"/>
    <w:rsid w:val="00300C7B"/>
    <w:rsid w:val="003012D8"/>
    <w:rsid w:val="00301372"/>
    <w:rsid w:val="00302095"/>
    <w:rsid w:val="003026BC"/>
    <w:rsid w:val="00302A3E"/>
    <w:rsid w:val="0030439B"/>
    <w:rsid w:val="00304A8E"/>
    <w:rsid w:val="00304D6A"/>
    <w:rsid w:val="00304F23"/>
    <w:rsid w:val="00305411"/>
    <w:rsid w:val="003057A6"/>
    <w:rsid w:val="00305988"/>
    <w:rsid w:val="00305C62"/>
    <w:rsid w:val="00305DCF"/>
    <w:rsid w:val="00306166"/>
    <w:rsid w:val="00306922"/>
    <w:rsid w:val="00307111"/>
    <w:rsid w:val="00307369"/>
    <w:rsid w:val="00307B5C"/>
    <w:rsid w:val="00307C0B"/>
    <w:rsid w:val="00307D09"/>
    <w:rsid w:val="0031018D"/>
    <w:rsid w:val="00310A0B"/>
    <w:rsid w:val="00310D95"/>
    <w:rsid w:val="00310DDE"/>
    <w:rsid w:val="00310FBA"/>
    <w:rsid w:val="00310FCC"/>
    <w:rsid w:val="0031188A"/>
    <w:rsid w:val="00311AF3"/>
    <w:rsid w:val="00312115"/>
    <w:rsid w:val="00312183"/>
    <w:rsid w:val="00312E77"/>
    <w:rsid w:val="00312F4E"/>
    <w:rsid w:val="003130BD"/>
    <w:rsid w:val="00313307"/>
    <w:rsid w:val="00313CF1"/>
    <w:rsid w:val="003141C4"/>
    <w:rsid w:val="0031506C"/>
    <w:rsid w:val="0031545F"/>
    <w:rsid w:val="0031597F"/>
    <w:rsid w:val="00315AD0"/>
    <w:rsid w:val="003163FF"/>
    <w:rsid w:val="00316BAF"/>
    <w:rsid w:val="00317705"/>
    <w:rsid w:val="003178F6"/>
    <w:rsid w:val="00320E36"/>
    <w:rsid w:val="00321141"/>
    <w:rsid w:val="003215B2"/>
    <w:rsid w:val="003218BB"/>
    <w:rsid w:val="0032299B"/>
    <w:rsid w:val="00322CBF"/>
    <w:rsid w:val="00322D59"/>
    <w:rsid w:val="003233D2"/>
    <w:rsid w:val="003235F0"/>
    <w:rsid w:val="0032415B"/>
    <w:rsid w:val="00324295"/>
    <w:rsid w:val="00324C9D"/>
    <w:rsid w:val="00324DD4"/>
    <w:rsid w:val="00325178"/>
    <w:rsid w:val="003251E5"/>
    <w:rsid w:val="0032585E"/>
    <w:rsid w:val="00326577"/>
    <w:rsid w:val="003267EF"/>
    <w:rsid w:val="00330454"/>
    <w:rsid w:val="00330DB4"/>
    <w:rsid w:val="003310D7"/>
    <w:rsid w:val="003318DD"/>
    <w:rsid w:val="00331D6D"/>
    <w:rsid w:val="00331E26"/>
    <w:rsid w:val="00332060"/>
    <w:rsid w:val="00332B82"/>
    <w:rsid w:val="003337BE"/>
    <w:rsid w:val="00333C57"/>
    <w:rsid w:val="00333F8E"/>
    <w:rsid w:val="00334375"/>
    <w:rsid w:val="00334B3D"/>
    <w:rsid w:val="00334C6F"/>
    <w:rsid w:val="00334D3E"/>
    <w:rsid w:val="0033524E"/>
    <w:rsid w:val="003354B6"/>
    <w:rsid w:val="00335847"/>
    <w:rsid w:val="00336648"/>
    <w:rsid w:val="00336A1B"/>
    <w:rsid w:val="00336E86"/>
    <w:rsid w:val="00337682"/>
    <w:rsid w:val="00337939"/>
    <w:rsid w:val="00337993"/>
    <w:rsid w:val="00340B0D"/>
    <w:rsid w:val="00341314"/>
    <w:rsid w:val="003414FD"/>
    <w:rsid w:val="00341E8A"/>
    <w:rsid w:val="00342169"/>
    <w:rsid w:val="00342954"/>
    <w:rsid w:val="00343082"/>
    <w:rsid w:val="003432C5"/>
    <w:rsid w:val="0034335A"/>
    <w:rsid w:val="00343832"/>
    <w:rsid w:val="00343984"/>
    <w:rsid w:val="00343ABE"/>
    <w:rsid w:val="00343B6F"/>
    <w:rsid w:val="00343C1B"/>
    <w:rsid w:val="00344069"/>
    <w:rsid w:val="0034417F"/>
    <w:rsid w:val="003458A6"/>
    <w:rsid w:val="00345A0B"/>
    <w:rsid w:val="00346078"/>
    <w:rsid w:val="00346DE3"/>
    <w:rsid w:val="00347599"/>
    <w:rsid w:val="00347915"/>
    <w:rsid w:val="00347B60"/>
    <w:rsid w:val="00347C08"/>
    <w:rsid w:val="00350024"/>
    <w:rsid w:val="0035025D"/>
    <w:rsid w:val="0035050E"/>
    <w:rsid w:val="00350A1B"/>
    <w:rsid w:val="003511B2"/>
    <w:rsid w:val="003515FF"/>
    <w:rsid w:val="00351C51"/>
    <w:rsid w:val="003524E0"/>
    <w:rsid w:val="00352578"/>
    <w:rsid w:val="00352B7A"/>
    <w:rsid w:val="00352DE1"/>
    <w:rsid w:val="003540E4"/>
    <w:rsid w:val="003554E2"/>
    <w:rsid w:val="003555C0"/>
    <w:rsid w:val="00355814"/>
    <w:rsid w:val="00355E6A"/>
    <w:rsid w:val="00356557"/>
    <w:rsid w:val="003579C4"/>
    <w:rsid w:val="0036076D"/>
    <w:rsid w:val="0036082E"/>
    <w:rsid w:val="00361502"/>
    <w:rsid w:val="003618D0"/>
    <w:rsid w:val="00362C3A"/>
    <w:rsid w:val="00362D62"/>
    <w:rsid w:val="00363603"/>
    <w:rsid w:val="00363A59"/>
    <w:rsid w:val="00364C13"/>
    <w:rsid w:val="00364C56"/>
    <w:rsid w:val="003650ED"/>
    <w:rsid w:val="00365802"/>
    <w:rsid w:val="00366668"/>
    <w:rsid w:val="003670B2"/>
    <w:rsid w:val="0036791C"/>
    <w:rsid w:val="00367BC0"/>
    <w:rsid w:val="00370596"/>
    <w:rsid w:val="00370608"/>
    <w:rsid w:val="003708EF"/>
    <w:rsid w:val="003708F1"/>
    <w:rsid w:val="00370B01"/>
    <w:rsid w:val="003717D5"/>
    <w:rsid w:val="003720F0"/>
    <w:rsid w:val="0037309E"/>
    <w:rsid w:val="00373710"/>
    <w:rsid w:val="003737AC"/>
    <w:rsid w:val="00373863"/>
    <w:rsid w:val="003739AE"/>
    <w:rsid w:val="003744F0"/>
    <w:rsid w:val="00374D77"/>
    <w:rsid w:val="0037519A"/>
    <w:rsid w:val="003756B8"/>
    <w:rsid w:val="00376210"/>
    <w:rsid w:val="003765B8"/>
    <w:rsid w:val="00376AAF"/>
    <w:rsid w:val="00376BED"/>
    <w:rsid w:val="00376D00"/>
    <w:rsid w:val="00376E90"/>
    <w:rsid w:val="0037736C"/>
    <w:rsid w:val="0037788E"/>
    <w:rsid w:val="00377E62"/>
    <w:rsid w:val="00377F7F"/>
    <w:rsid w:val="003815A8"/>
    <w:rsid w:val="00381A68"/>
    <w:rsid w:val="00381D7F"/>
    <w:rsid w:val="00382AF1"/>
    <w:rsid w:val="00382B00"/>
    <w:rsid w:val="003837EC"/>
    <w:rsid w:val="00383F01"/>
    <w:rsid w:val="00384F0E"/>
    <w:rsid w:val="003856D1"/>
    <w:rsid w:val="003859AB"/>
    <w:rsid w:val="003864EF"/>
    <w:rsid w:val="003874F9"/>
    <w:rsid w:val="00387B48"/>
    <w:rsid w:val="00387F65"/>
    <w:rsid w:val="00390245"/>
    <w:rsid w:val="003902F9"/>
    <w:rsid w:val="00390E48"/>
    <w:rsid w:val="00391A8C"/>
    <w:rsid w:val="00391FC7"/>
    <w:rsid w:val="003924BE"/>
    <w:rsid w:val="003932C4"/>
    <w:rsid w:val="003935B0"/>
    <w:rsid w:val="00393B10"/>
    <w:rsid w:val="00393E77"/>
    <w:rsid w:val="003942D2"/>
    <w:rsid w:val="00394956"/>
    <w:rsid w:val="00394C50"/>
    <w:rsid w:val="00395642"/>
    <w:rsid w:val="003967E1"/>
    <w:rsid w:val="0039690D"/>
    <w:rsid w:val="0039749A"/>
    <w:rsid w:val="00397B7E"/>
    <w:rsid w:val="003A1147"/>
    <w:rsid w:val="003A1155"/>
    <w:rsid w:val="003A1419"/>
    <w:rsid w:val="003A1BC8"/>
    <w:rsid w:val="003A245A"/>
    <w:rsid w:val="003A2C9A"/>
    <w:rsid w:val="003A2D8E"/>
    <w:rsid w:val="003A4361"/>
    <w:rsid w:val="003A46F2"/>
    <w:rsid w:val="003A4856"/>
    <w:rsid w:val="003A4D5A"/>
    <w:rsid w:val="003A4FB0"/>
    <w:rsid w:val="003A51AA"/>
    <w:rsid w:val="003A542B"/>
    <w:rsid w:val="003A5647"/>
    <w:rsid w:val="003A5D19"/>
    <w:rsid w:val="003A6427"/>
    <w:rsid w:val="003A6ABA"/>
    <w:rsid w:val="003A735F"/>
    <w:rsid w:val="003A7D07"/>
    <w:rsid w:val="003A7E3B"/>
    <w:rsid w:val="003B0420"/>
    <w:rsid w:val="003B13F9"/>
    <w:rsid w:val="003B1472"/>
    <w:rsid w:val="003B1904"/>
    <w:rsid w:val="003B1B5D"/>
    <w:rsid w:val="003B2700"/>
    <w:rsid w:val="003B2FE1"/>
    <w:rsid w:val="003B31EA"/>
    <w:rsid w:val="003B3684"/>
    <w:rsid w:val="003B3B79"/>
    <w:rsid w:val="003B4825"/>
    <w:rsid w:val="003B4DF7"/>
    <w:rsid w:val="003B4EC8"/>
    <w:rsid w:val="003B56D0"/>
    <w:rsid w:val="003B6536"/>
    <w:rsid w:val="003B6638"/>
    <w:rsid w:val="003B6B15"/>
    <w:rsid w:val="003B6CE0"/>
    <w:rsid w:val="003B6EC6"/>
    <w:rsid w:val="003B7283"/>
    <w:rsid w:val="003B784A"/>
    <w:rsid w:val="003B7D55"/>
    <w:rsid w:val="003C0EAA"/>
    <w:rsid w:val="003C131C"/>
    <w:rsid w:val="003C15EA"/>
    <w:rsid w:val="003C1F3C"/>
    <w:rsid w:val="003C2DA2"/>
    <w:rsid w:val="003C342E"/>
    <w:rsid w:val="003C3BF0"/>
    <w:rsid w:val="003C3E7D"/>
    <w:rsid w:val="003C6247"/>
    <w:rsid w:val="003C65D7"/>
    <w:rsid w:val="003C6725"/>
    <w:rsid w:val="003D08FE"/>
    <w:rsid w:val="003D0AB7"/>
    <w:rsid w:val="003D0E49"/>
    <w:rsid w:val="003D12C8"/>
    <w:rsid w:val="003D1CEB"/>
    <w:rsid w:val="003D1D18"/>
    <w:rsid w:val="003D1EDE"/>
    <w:rsid w:val="003D1F34"/>
    <w:rsid w:val="003D202A"/>
    <w:rsid w:val="003D26E9"/>
    <w:rsid w:val="003D2C02"/>
    <w:rsid w:val="003D2C7F"/>
    <w:rsid w:val="003D3547"/>
    <w:rsid w:val="003D4685"/>
    <w:rsid w:val="003D5D71"/>
    <w:rsid w:val="003D626C"/>
    <w:rsid w:val="003D6A4A"/>
    <w:rsid w:val="003D72B2"/>
    <w:rsid w:val="003D7894"/>
    <w:rsid w:val="003E0153"/>
    <w:rsid w:val="003E0775"/>
    <w:rsid w:val="003E099E"/>
    <w:rsid w:val="003E0AB3"/>
    <w:rsid w:val="003E0F38"/>
    <w:rsid w:val="003E0FA8"/>
    <w:rsid w:val="003E1069"/>
    <w:rsid w:val="003E1854"/>
    <w:rsid w:val="003E1CEF"/>
    <w:rsid w:val="003E205A"/>
    <w:rsid w:val="003E2063"/>
    <w:rsid w:val="003E231F"/>
    <w:rsid w:val="003E2BEB"/>
    <w:rsid w:val="003E2BFB"/>
    <w:rsid w:val="003E2C41"/>
    <w:rsid w:val="003E3798"/>
    <w:rsid w:val="003E3AE8"/>
    <w:rsid w:val="003E3BDA"/>
    <w:rsid w:val="003E4230"/>
    <w:rsid w:val="003E4732"/>
    <w:rsid w:val="003E4E16"/>
    <w:rsid w:val="003E5480"/>
    <w:rsid w:val="003E6E93"/>
    <w:rsid w:val="003E7257"/>
    <w:rsid w:val="003E73DA"/>
    <w:rsid w:val="003E779C"/>
    <w:rsid w:val="003E7995"/>
    <w:rsid w:val="003E7C9C"/>
    <w:rsid w:val="003E7CB0"/>
    <w:rsid w:val="003E7E4C"/>
    <w:rsid w:val="003F0002"/>
    <w:rsid w:val="003F0473"/>
    <w:rsid w:val="003F0554"/>
    <w:rsid w:val="003F0667"/>
    <w:rsid w:val="003F093A"/>
    <w:rsid w:val="003F11F1"/>
    <w:rsid w:val="003F14F2"/>
    <w:rsid w:val="003F1858"/>
    <w:rsid w:val="003F1E39"/>
    <w:rsid w:val="003F23FE"/>
    <w:rsid w:val="003F24B0"/>
    <w:rsid w:val="003F2781"/>
    <w:rsid w:val="003F3C29"/>
    <w:rsid w:val="003F3D52"/>
    <w:rsid w:val="003F40CB"/>
    <w:rsid w:val="003F4762"/>
    <w:rsid w:val="003F4ACA"/>
    <w:rsid w:val="003F5C2C"/>
    <w:rsid w:val="003F5E45"/>
    <w:rsid w:val="003F6517"/>
    <w:rsid w:val="003F78DE"/>
    <w:rsid w:val="003F7CC7"/>
    <w:rsid w:val="003F7DE6"/>
    <w:rsid w:val="00400E9E"/>
    <w:rsid w:val="004017CF"/>
    <w:rsid w:val="00401E74"/>
    <w:rsid w:val="00401F1A"/>
    <w:rsid w:val="004022F0"/>
    <w:rsid w:val="0040242B"/>
    <w:rsid w:val="00403643"/>
    <w:rsid w:val="00403A5E"/>
    <w:rsid w:val="00403C2D"/>
    <w:rsid w:val="00403E61"/>
    <w:rsid w:val="00404D96"/>
    <w:rsid w:val="00404E73"/>
    <w:rsid w:val="0040508C"/>
    <w:rsid w:val="00405D24"/>
    <w:rsid w:val="00405E38"/>
    <w:rsid w:val="0040675B"/>
    <w:rsid w:val="00407540"/>
    <w:rsid w:val="0041013F"/>
    <w:rsid w:val="004112A8"/>
    <w:rsid w:val="00411B4B"/>
    <w:rsid w:val="00412B55"/>
    <w:rsid w:val="00412B7C"/>
    <w:rsid w:val="00412E8B"/>
    <w:rsid w:val="00412FA1"/>
    <w:rsid w:val="00413437"/>
    <w:rsid w:val="00413F5D"/>
    <w:rsid w:val="00413FA1"/>
    <w:rsid w:val="004147B6"/>
    <w:rsid w:val="00414F9E"/>
    <w:rsid w:val="00415E46"/>
    <w:rsid w:val="00415F83"/>
    <w:rsid w:val="00416053"/>
    <w:rsid w:val="004160FE"/>
    <w:rsid w:val="00416103"/>
    <w:rsid w:val="004163FB"/>
    <w:rsid w:val="00416488"/>
    <w:rsid w:val="00417854"/>
    <w:rsid w:val="00417BE7"/>
    <w:rsid w:val="00417D89"/>
    <w:rsid w:val="00420088"/>
    <w:rsid w:val="004209EE"/>
    <w:rsid w:val="00421554"/>
    <w:rsid w:val="00421974"/>
    <w:rsid w:val="00421B51"/>
    <w:rsid w:val="00421D69"/>
    <w:rsid w:val="004220F3"/>
    <w:rsid w:val="0042269B"/>
    <w:rsid w:val="00422D8E"/>
    <w:rsid w:val="00422EA1"/>
    <w:rsid w:val="004231E7"/>
    <w:rsid w:val="00423434"/>
    <w:rsid w:val="00423E49"/>
    <w:rsid w:val="00423E57"/>
    <w:rsid w:val="004242E1"/>
    <w:rsid w:val="0042430C"/>
    <w:rsid w:val="00424591"/>
    <w:rsid w:val="0042465A"/>
    <w:rsid w:val="00424975"/>
    <w:rsid w:val="00424D00"/>
    <w:rsid w:val="00424ED0"/>
    <w:rsid w:val="0042568D"/>
    <w:rsid w:val="00425931"/>
    <w:rsid w:val="0043109E"/>
    <w:rsid w:val="004312F3"/>
    <w:rsid w:val="00431D17"/>
    <w:rsid w:val="00431DC2"/>
    <w:rsid w:val="00431EF4"/>
    <w:rsid w:val="004320B0"/>
    <w:rsid w:val="00432A30"/>
    <w:rsid w:val="0043305C"/>
    <w:rsid w:val="0043306F"/>
    <w:rsid w:val="00433494"/>
    <w:rsid w:val="004340F2"/>
    <w:rsid w:val="004344E0"/>
    <w:rsid w:val="004345C8"/>
    <w:rsid w:val="00434BBC"/>
    <w:rsid w:val="00434CE0"/>
    <w:rsid w:val="00436222"/>
    <w:rsid w:val="00436AA1"/>
    <w:rsid w:val="00436C3B"/>
    <w:rsid w:val="00436D64"/>
    <w:rsid w:val="00436F0F"/>
    <w:rsid w:val="004370EF"/>
    <w:rsid w:val="0043767B"/>
    <w:rsid w:val="00437AD1"/>
    <w:rsid w:val="00440615"/>
    <w:rsid w:val="0044070E"/>
    <w:rsid w:val="004414AC"/>
    <w:rsid w:val="00441703"/>
    <w:rsid w:val="004419DF"/>
    <w:rsid w:val="00442496"/>
    <w:rsid w:val="00442D28"/>
    <w:rsid w:val="00443B5F"/>
    <w:rsid w:val="004444D4"/>
    <w:rsid w:val="00444702"/>
    <w:rsid w:val="00444B2A"/>
    <w:rsid w:val="00444B46"/>
    <w:rsid w:val="0044514D"/>
    <w:rsid w:val="004451AC"/>
    <w:rsid w:val="0044594A"/>
    <w:rsid w:val="00445BA4"/>
    <w:rsid w:val="00447674"/>
    <w:rsid w:val="00447AC4"/>
    <w:rsid w:val="00450ADB"/>
    <w:rsid w:val="00451AB6"/>
    <w:rsid w:val="00451B4B"/>
    <w:rsid w:val="004528B5"/>
    <w:rsid w:val="004533F1"/>
    <w:rsid w:val="0045349D"/>
    <w:rsid w:val="004537EF"/>
    <w:rsid w:val="0045483F"/>
    <w:rsid w:val="0045502A"/>
    <w:rsid w:val="00455226"/>
    <w:rsid w:val="00455446"/>
    <w:rsid w:val="004554D8"/>
    <w:rsid w:val="004555AE"/>
    <w:rsid w:val="0045620A"/>
    <w:rsid w:val="004575E0"/>
    <w:rsid w:val="004579F1"/>
    <w:rsid w:val="00457A80"/>
    <w:rsid w:val="00460B61"/>
    <w:rsid w:val="00460C7F"/>
    <w:rsid w:val="0046155D"/>
    <w:rsid w:val="0046172E"/>
    <w:rsid w:val="00461774"/>
    <w:rsid w:val="004617C4"/>
    <w:rsid w:val="00461A3B"/>
    <w:rsid w:val="00461E58"/>
    <w:rsid w:val="00461E8E"/>
    <w:rsid w:val="00462254"/>
    <w:rsid w:val="00462679"/>
    <w:rsid w:val="00462D5F"/>
    <w:rsid w:val="00462DFA"/>
    <w:rsid w:val="00462E24"/>
    <w:rsid w:val="004635B5"/>
    <w:rsid w:val="0046394E"/>
    <w:rsid w:val="004652A1"/>
    <w:rsid w:val="00465890"/>
    <w:rsid w:val="00465C32"/>
    <w:rsid w:val="00465CBC"/>
    <w:rsid w:val="0046619C"/>
    <w:rsid w:val="00466A66"/>
    <w:rsid w:val="00466F7B"/>
    <w:rsid w:val="0046715A"/>
    <w:rsid w:val="0046749E"/>
    <w:rsid w:val="00467B89"/>
    <w:rsid w:val="004705FE"/>
    <w:rsid w:val="00470F61"/>
    <w:rsid w:val="00471559"/>
    <w:rsid w:val="00472D2E"/>
    <w:rsid w:val="004737ED"/>
    <w:rsid w:val="004745A8"/>
    <w:rsid w:val="00474682"/>
    <w:rsid w:val="00474ED4"/>
    <w:rsid w:val="004754A6"/>
    <w:rsid w:val="00475CAC"/>
    <w:rsid w:val="00475E45"/>
    <w:rsid w:val="0047602A"/>
    <w:rsid w:val="004764E2"/>
    <w:rsid w:val="0047674D"/>
    <w:rsid w:val="00477878"/>
    <w:rsid w:val="00477B87"/>
    <w:rsid w:val="00477CA5"/>
    <w:rsid w:val="00480E23"/>
    <w:rsid w:val="00480E50"/>
    <w:rsid w:val="00481452"/>
    <w:rsid w:val="00481F96"/>
    <w:rsid w:val="0048274B"/>
    <w:rsid w:val="00482C5A"/>
    <w:rsid w:val="00482EB9"/>
    <w:rsid w:val="004831F5"/>
    <w:rsid w:val="00483A14"/>
    <w:rsid w:val="00483D74"/>
    <w:rsid w:val="0048530D"/>
    <w:rsid w:val="0048590C"/>
    <w:rsid w:val="00485FFC"/>
    <w:rsid w:val="00486020"/>
    <w:rsid w:val="00486980"/>
    <w:rsid w:val="004870AE"/>
    <w:rsid w:val="004908F1"/>
    <w:rsid w:val="00490A0E"/>
    <w:rsid w:val="00490B73"/>
    <w:rsid w:val="0049124E"/>
    <w:rsid w:val="00491290"/>
    <w:rsid w:val="0049163C"/>
    <w:rsid w:val="0049203B"/>
    <w:rsid w:val="004920FE"/>
    <w:rsid w:val="00492714"/>
    <w:rsid w:val="00493514"/>
    <w:rsid w:val="004936C7"/>
    <w:rsid w:val="004940DF"/>
    <w:rsid w:val="00494639"/>
    <w:rsid w:val="004947CE"/>
    <w:rsid w:val="00494C6E"/>
    <w:rsid w:val="00494D6D"/>
    <w:rsid w:val="00494F32"/>
    <w:rsid w:val="00495AD1"/>
    <w:rsid w:val="00495F45"/>
    <w:rsid w:val="0049600B"/>
    <w:rsid w:val="00496FED"/>
    <w:rsid w:val="004971A5"/>
    <w:rsid w:val="0049754E"/>
    <w:rsid w:val="004975BB"/>
    <w:rsid w:val="004A0774"/>
    <w:rsid w:val="004A07D3"/>
    <w:rsid w:val="004A0C7A"/>
    <w:rsid w:val="004A0ED5"/>
    <w:rsid w:val="004A166C"/>
    <w:rsid w:val="004A20AF"/>
    <w:rsid w:val="004A2202"/>
    <w:rsid w:val="004A253D"/>
    <w:rsid w:val="004A27BE"/>
    <w:rsid w:val="004A28E2"/>
    <w:rsid w:val="004A36EB"/>
    <w:rsid w:val="004A3C5D"/>
    <w:rsid w:val="004A43E8"/>
    <w:rsid w:val="004A4BB2"/>
    <w:rsid w:val="004A4D6F"/>
    <w:rsid w:val="004A4DEE"/>
    <w:rsid w:val="004A4E94"/>
    <w:rsid w:val="004A52B5"/>
    <w:rsid w:val="004A5825"/>
    <w:rsid w:val="004A6512"/>
    <w:rsid w:val="004A6B19"/>
    <w:rsid w:val="004A6C27"/>
    <w:rsid w:val="004A7071"/>
    <w:rsid w:val="004A7A06"/>
    <w:rsid w:val="004A7F0A"/>
    <w:rsid w:val="004A7F4C"/>
    <w:rsid w:val="004A7FF2"/>
    <w:rsid w:val="004B23C5"/>
    <w:rsid w:val="004B2E27"/>
    <w:rsid w:val="004B2F48"/>
    <w:rsid w:val="004B3032"/>
    <w:rsid w:val="004B35CC"/>
    <w:rsid w:val="004B3C0A"/>
    <w:rsid w:val="004B3F64"/>
    <w:rsid w:val="004B423C"/>
    <w:rsid w:val="004B4500"/>
    <w:rsid w:val="004B5093"/>
    <w:rsid w:val="004B5118"/>
    <w:rsid w:val="004B578E"/>
    <w:rsid w:val="004B6C07"/>
    <w:rsid w:val="004B73EF"/>
    <w:rsid w:val="004B73F6"/>
    <w:rsid w:val="004B7ED6"/>
    <w:rsid w:val="004C004B"/>
    <w:rsid w:val="004C0BB9"/>
    <w:rsid w:val="004C1831"/>
    <w:rsid w:val="004C26A6"/>
    <w:rsid w:val="004C329E"/>
    <w:rsid w:val="004C3395"/>
    <w:rsid w:val="004C3608"/>
    <w:rsid w:val="004C3773"/>
    <w:rsid w:val="004C3CD8"/>
    <w:rsid w:val="004C3DC9"/>
    <w:rsid w:val="004C48BE"/>
    <w:rsid w:val="004C4958"/>
    <w:rsid w:val="004C4B42"/>
    <w:rsid w:val="004C4B89"/>
    <w:rsid w:val="004C5020"/>
    <w:rsid w:val="004C5908"/>
    <w:rsid w:val="004C60DD"/>
    <w:rsid w:val="004C6BBC"/>
    <w:rsid w:val="004C6E39"/>
    <w:rsid w:val="004C72EE"/>
    <w:rsid w:val="004C7C42"/>
    <w:rsid w:val="004D0A85"/>
    <w:rsid w:val="004D1D87"/>
    <w:rsid w:val="004D1D9D"/>
    <w:rsid w:val="004D1E57"/>
    <w:rsid w:val="004D2512"/>
    <w:rsid w:val="004D2E79"/>
    <w:rsid w:val="004D3028"/>
    <w:rsid w:val="004D379F"/>
    <w:rsid w:val="004D436B"/>
    <w:rsid w:val="004D4409"/>
    <w:rsid w:val="004D54E4"/>
    <w:rsid w:val="004D567D"/>
    <w:rsid w:val="004D64AE"/>
    <w:rsid w:val="004D694B"/>
    <w:rsid w:val="004D6C82"/>
    <w:rsid w:val="004D70EB"/>
    <w:rsid w:val="004D7C1D"/>
    <w:rsid w:val="004E0465"/>
    <w:rsid w:val="004E0782"/>
    <w:rsid w:val="004E0E4E"/>
    <w:rsid w:val="004E119C"/>
    <w:rsid w:val="004E1973"/>
    <w:rsid w:val="004E19DE"/>
    <w:rsid w:val="004E1A15"/>
    <w:rsid w:val="004E1C6D"/>
    <w:rsid w:val="004E1D1C"/>
    <w:rsid w:val="004E28F2"/>
    <w:rsid w:val="004E2975"/>
    <w:rsid w:val="004E3A6B"/>
    <w:rsid w:val="004E40B0"/>
    <w:rsid w:val="004E42E7"/>
    <w:rsid w:val="004E526C"/>
    <w:rsid w:val="004E6E01"/>
    <w:rsid w:val="004E6EC3"/>
    <w:rsid w:val="004E6FFA"/>
    <w:rsid w:val="004E73B7"/>
    <w:rsid w:val="004E7D70"/>
    <w:rsid w:val="004E7E48"/>
    <w:rsid w:val="004F2055"/>
    <w:rsid w:val="004F34D3"/>
    <w:rsid w:val="004F3688"/>
    <w:rsid w:val="004F3977"/>
    <w:rsid w:val="004F42D0"/>
    <w:rsid w:val="004F48A8"/>
    <w:rsid w:val="004F4978"/>
    <w:rsid w:val="004F499B"/>
    <w:rsid w:val="004F4A17"/>
    <w:rsid w:val="004F4A26"/>
    <w:rsid w:val="004F4D27"/>
    <w:rsid w:val="004F4D34"/>
    <w:rsid w:val="004F546C"/>
    <w:rsid w:val="004F5949"/>
    <w:rsid w:val="004F5A92"/>
    <w:rsid w:val="004F5CB6"/>
    <w:rsid w:val="004F6491"/>
    <w:rsid w:val="004F6649"/>
    <w:rsid w:val="004F76D5"/>
    <w:rsid w:val="004F7879"/>
    <w:rsid w:val="004F7A14"/>
    <w:rsid w:val="004F7CC3"/>
    <w:rsid w:val="004F7D3A"/>
    <w:rsid w:val="004F7F76"/>
    <w:rsid w:val="00500978"/>
    <w:rsid w:val="00501709"/>
    <w:rsid w:val="00501C97"/>
    <w:rsid w:val="00501CA4"/>
    <w:rsid w:val="00502707"/>
    <w:rsid w:val="00502EDA"/>
    <w:rsid w:val="005038AF"/>
    <w:rsid w:val="00504306"/>
    <w:rsid w:val="005045C9"/>
    <w:rsid w:val="005057D6"/>
    <w:rsid w:val="005063FB"/>
    <w:rsid w:val="005073D3"/>
    <w:rsid w:val="00507E71"/>
    <w:rsid w:val="005100B6"/>
    <w:rsid w:val="00510418"/>
    <w:rsid w:val="00510541"/>
    <w:rsid w:val="00510F87"/>
    <w:rsid w:val="00510FB8"/>
    <w:rsid w:val="00511145"/>
    <w:rsid w:val="00511806"/>
    <w:rsid w:val="00511D22"/>
    <w:rsid w:val="00513BC5"/>
    <w:rsid w:val="00514131"/>
    <w:rsid w:val="005141F6"/>
    <w:rsid w:val="0051422C"/>
    <w:rsid w:val="0051423D"/>
    <w:rsid w:val="005145EF"/>
    <w:rsid w:val="00514A6C"/>
    <w:rsid w:val="00515469"/>
    <w:rsid w:val="005156BA"/>
    <w:rsid w:val="00515B78"/>
    <w:rsid w:val="00515BA2"/>
    <w:rsid w:val="00516146"/>
    <w:rsid w:val="00516C6D"/>
    <w:rsid w:val="00517023"/>
    <w:rsid w:val="005171C5"/>
    <w:rsid w:val="00517C10"/>
    <w:rsid w:val="005200BE"/>
    <w:rsid w:val="005203E1"/>
    <w:rsid w:val="00521D3D"/>
    <w:rsid w:val="00522035"/>
    <w:rsid w:val="00522445"/>
    <w:rsid w:val="00522456"/>
    <w:rsid w:val="0052253E"/>
    <w:rsid w:val="0052285D"/>
    <w:rsid w:val="00522D8F"/>
    <w:rsid w:val="005231A2"/>
    <w:rsid w:val="00523C21"/>
    <w:rsid w:val="00524186"/>
    <w:rsid w:val="005242F1"/>
    <w:rsid w:val="00524E31"/>
    <w:rsid w:val="0052568E"/>
    <w:rsid w:val="0052609C"/>
    <w:rsid w:val="005263BE"/>
    <w:rsid w:val="00526417"/>
    <w:rsid w:val="00526E2E"/>
    <w:rsid w:val="00527AFD"/>
    <w:rsid w:val="00527EA9"/>
    <w:rsid w:val="00530097"/>
    <w:rsid w:val="0053033E"/>
    <w:rsid w:val="00531B07"/>
    <w:rsid w:val="0053272F"/>
    <w:rsid w:val="00532CC1"/>
    <w:rsid w:val="00532ECF"/>
    <w:rsid w:val="005337B2"/>
    <w:rsid w:val="00533F7F"/>
    <w:rsid w:val="00534042"/>
    <w:rsid w:val="00535180"/>
    <w:rsid w:val="005353F2"/>
    <w:rsid w:val="00535ECF"/>
    <w:rsid w:val="005364A9"/>
    <w:rsid w:val="005366E2"/>
    <w:rsid w:val="0053695A"/>
    <w:rsid w:val="00536A6E"/>
    <w:rsid w:val="005401E2"/>
    <w:rsid w:val="0054029B"/>
    <w:rsid w:val="0054038E"/>
    <w:rsid w:val="00540F3A"/>
    <w:rsid w:val="00540FF2"/>
    <w:rsid w:val="00541149"/>
    <w:rsid w:val="005417C4"/>
    <w:rsid w:val="0054184D"/>
    <w:rsid w:val="00542156"/>
    <w:rsid w:val="005427BD"/>
    <w:rsid w:val="00542B89"/>
    <w:rsid w:val="00542C69"/>
    <w:rsid w:val="00542E76"/>
    <w:rsid w:val="00542F18"/>
    <w:rsid w:val="00543152"/>
    <w:rsid w:val="0054383C"/>
    <w:rsid w:val="00543BDB"/>
    <w:rsid w:val="00544054"/>
    <w:rsid w:val="005441ED"/>
    <w:rsid w:val="00544779"/>
    <w:rsid w:val="00544AA2"/>
    <w:rsid w:val="00544DC1"/>
    <w:rsid w:val="00545146"/>
    <w:rsid w:val="00545204"/>
    <w:rsid w:val="005452BA"/>
    <w:rsid w:val="00545505"/>
    <w:rsid w:val="0054572C"/>
    <w:rsid w:val="00545D56"/>
    <w:rsid w:val="00545F33"/>
    <w:rsid w:val="0054613C"/>
    <w:rsid w:val="00547FF0"/>
    <w:rsid w:val="0055006C"/>
    <w:rsid w:val="00550B6E"/>
    <w:rsid w:val="00550F01"/>
    <w:rsid w:val="00551AB8"/>
    <w:rsid w:val="00551F45"/>
    <w:rsid w:val="005523D1"/>
    <w:rsid w:val="005525A1"/>
    <w:rsid w:val="00552642"/>
    <w:rsid w:val="00554092"/>
    <w:rsid w:val="00554C10"/>
    <w:rsid w:val="0055570A"/>
    <w:rsid w:val="00555CE1"/>
    <w:rsid w:val="00555FF3"/>
    <w:rsid w:val="00556042"/>
    <w:rsid w:val="00556744"/>
    <w:rsid w:val="0055676A"/>
    <w:rsid w:val="00556C0D"/>
    <w:rsid w:val="00556E88"/>
    <w:rsid w:val="00557107"/>
    <w:rsid w:val="005572A4"/>
    <w:rsid w:val="00557921"/>
    <w:rsid w:val="00557B35"/>
    <w:rsid w:val="0056010A"/>
    <w:rsid w:val="005601ED"/>
    <w:rsid w:val="00560B81"/>
    <w:rsid w:val="0056164C"/>
    <w:rsid w:val="005617DE"/>
    <w:rsid w:val="00561FA9"/>
    <w:rsid w:val="00563120"/>
    <w:rsid w:val="005631D4"/>
    <w:rsid w:val="00563BD1"/>
    <w:rsid w:val="00564331"/>
    <w:rsid w:val="0056448B"/>
    <w:rsid w:val="0056538E"/>
    <w:rsid w:val="00565985"/>
    <w:rsid w:val="00565AA0"/>
    <w:rsid w:val="00565DE1"/>
    <w:rsid w:val="00566207"/>
    <w:rsid w:val="005670F1"/>
    <w:rsid w:val="00567D73"/>
    <w:rsid w:val="005702E5"/>
    <w:rsid w:val="005703C6"/>
    <w:rsid w:val="005711D2"/>
    <w:rsid w:val="0057194C"/>
    <w:rsid w:val="00571F39"/>
    <w:rsid w:val="005725CD"/>
    <w:rsid w:val="00572FF9"/>
    <w:rsid w:val="005732FE"/>
    <w:rsid w:val="00573B8E"/>
    <w:rsid w:val="00574438"/>
    <w:rsid w:val="00574649"/>
    <w:rsid w:val="00574704"/>
    <w:rsid w:val="00574F7E"/>
    <w:rsid w:val="00575402"/>
    <w:rsid w:val="00575491"/>
    <w:rsid w:val="0057579F"/>
    <w:rsid w:val="0057581D"/>
    <w:rsid w:val="00576973"/>
    <w:rsid w:val="005773E2"/>
    <w:rsid w:val="005775B9"/>
    <w:rsid w:val="00577711"/>
    <w:rsid w:val="00577D59"/>
    <w:rsid w:val="00577E0B"/>
    <w:rsid w:val="0058042A"/>
    <w:rsid w:val="0058073B"/>
    <w:rsid w:val="0058097B"/>
    <w:rsid w:val="0058098A"/>
    <w:rsid w:val="005811CC"/>
    <w:rsid w:val="00581DD4"/>
    <w:rsid w:val="00582620"/>
    <w:rsid w:val="0058273D"/>
    <w:rsid w:val="00582D3C"/>
    <w:rsid w:val="0058316C"/>
    <w:rsid w:val="00585629"/>
    <w:rsid w:val="00585BA8"/>
    <w:rsid w:val="00586F1B"/>
    <w:rsid w:val="005875CB"/>
    <w:rsid w:val="005876D4"/>
    <w:rsid w:val="00587D70"/>
    <w:rsid w:val="00590015"/>
    <w:rsid w:val="005907C9"/>
    <w:rsid w:val="00590955"/>
    <w:rsid w:val="00590BC4"/>
    <w:rsid w:val="00590C3E"/>
    <w:rsid w:val="00590FEA"/>
    <w:rsid w:val="005913B0"/>
    <w:rsid w:val="00591808"/>
    <w:rsid w:val="00592136"/>
    <w:rsid w:val="00592292"/>
    <w:rsid w:val="0059245E"/>
    <w:rsid w:val="00592E04"/>
    <w:rsid w:val="00592E9C"/>
    <w:rsid w:val="0059325C"/>
    <w:rsid w:val="00593606"/>
    <w:rsid w:val="00593A49"/>
    <w:rsid w:val="00593BEF"/>
    <w:rsid w:val="005944EB"/>
    <w:rsid w:val="005948A1"/>
    <w:rsid w:val="00594ED7"/>
    <w:rsid w:val="00594F7D"/>
    <w:rsid w:val="005A022B"/>
    <w:rsid w:val="005A042E"/>
    <w:rsid w:val="005A0EDE"/>
    <w:rsid w:val="005A18CD"/>
    <w:rsid w:val="005A1DC6"/>
    <w:rsid w:val="005A1F9A"/>
    <w:rsid w:val="005A2542"/>
    <w:rsid w:val="005A28EF"/>
    <w:rsid w:val="005A2C8F"/>
    <w:rsid w:val="005A2C90"/>
    <w:rsid w:val="005A2C93"/>
    <w:rsid w:val="005A303A"/>
    <w:rsid w:val="005A3973"/>
    <w:rsid w:val="005A422A"/>
    <w:rsid w:val="005A4298"/>
    <w:rsid w:val="005A43E7"/>
    <w:rsid w:val="005A4406"/>
    <w:rsid w:val="005A4B82"/>
    <w:rsid w:val="005A4D3D"/>
    <w:rsid w:val="005A5283"/>
    <w:rsid w:val="005A5371"/>
    <w:rsid w:val="005A57D6"/>
    <w:rsid w:val="005A5A02"/>
    <w:rsid w:val="005A5DD7"/>
    <w:rsid w:val="005A61D6"/>
    <w:rsid w:val="005A661D"/>
    <w:rsid w:val="005A6B31"/>
    <w:rsid w:val="005A7105"/>
    <w:rsid w:val="005A7A11"/>
    <w:rsid w:val="005B119A"/>
    <w:rsid w:val="005B1644"/>
    <w:rsid w:val="005B19E9"/>
    <w:rsid w:val="005B1B9F"/>
    <w:rsid w:val="005B1E36"/>
    <w:rsid w:val="005B200F"/>
    <w:rsid w:val="005B2185"/>
    <w:rsid w:val="005B35E2"/>
    <w:rsid w:val="005B4984"/>
    <w:rsid w:val="005B5A11"/>
    <w:rsid w:val="005B6350"/>
    <w:rsid w:val="005B78D4"/>
    <w:rsid w:val="005B7E08"/>
    <w:rsid w:val="005C0271"/>
    <w:rsid w:val="005C0CB3"/>
    <w:rsid w:val="005C0D07"/>
    <w:rsid w:val="005C11F0"/>
    <w:rsid w:val="005C1554"/>
    <w:rsid w:val="005C1BA7"/>
    <w:rsid w:val="005C1EDD"/>
    <w:rsid w:val="005C2B60"/>
    <w:rsid w:val="005C34E3"/>
    <w:rsid w:val="005C40E6"/>
    <w:rsid w:val="005C4535"/>
    <w:rsid w:val="005C464A"/>
    <w:rsid w:val="005C46F4"/>
    <w:rsid w:val="005C4F75"/>
    <w:rsid w:val="005C56CF"/>
    <w:rsid w:val="005C6596"/>
    <w:rsid w:val="005C69E9"/>
    <w:rsid w:val="005C6DEC"/>
    <w:rsid w:val="005C6F63"/>
    <w:rsid w:val="005C754B"/>
    <w:rsid w:val="005D1895"/>
    <w:rsid w:val="005D1F97"/>
    <w:rsid w:val="005D2468"/>
    <w:rsid w:val="005D30AA"/>
    <w:rsid w:val="005D3578"/>
    <w:rsid w:val="005D38B5"/>
    <w:rsid w:val="005D4267"/>
    <w:rsid w:val="005D46E8"/>
    <w:rsid w:val="005D4C69"/>
    <w:rsid w:val="005D4EC4"/>
    <w:rsid w:val="005D52CF"/>
    <w:rsid w:val="005D537E"/>
    <w:rsid w:val="005D5523"/>
    <w:rsid w:val="005D570B"/>
    <w:rsid w:val="005D57AA"/>
    <w:rsid w:val="005D587E"/>
    <w:rsid w:val="005D5B7C"/>
    <w:rsid w:val="005D6523"/>
    <w:rsid w:val="005D68C6"/>
    <w:rsid w:val="005D6BFE"/>
    <w:rsid w:val="005D6C8A"/>
    <w:rsid w:val="005D76D3"/>
    <w:rsid w:val="005D76E7"/>
    <w:rsid w:val="005D77EC"/>
    <w:rsid w:val="005D7AE1"/>
    <w:rsid w:val="005D7FEF"/>
    <w:rsid w:val="005E052B"/>
    <w:rsid w:val="005E0817"/>
    <w:rsid w:val="005E0CE0"/>
    <w:rsid w:val="005E0F9C"/>
    <w:rsid w:val="005E11D2"/>
    <w:rsid w:val="005E1924"/>
    <w:rsid w:val="005E2776"/>
    <w:rsid w:val="005E30FA"/>
    <w:rsid w:val="005E353A"/>
    <w:rsid w:val="005E3827"/>
    <w:rsid w:val="005E38AE"/>
    <w:rsid w:val="005E3AC3"/>
    <w:rsid w:val="005E3D60"/>
    <w:rsid w:val="005E4254"/>
    <w:rsid w:val="005E4B33"/>
    <w:rsid w:val="005E4C32"/>
    <w:rsid w:val="005E51FD"/>
    <w:rsid w:val="005E53AE"/>
    <w:rsid w:val="005E63F9"/>
    <w:rsid w:val="005E6974"/>
    <w:rsid w:val="005E6F65"/>
    <w:rsid w:val="005E7649"/>
    <w:rsid w:val="005E7A0F"/>
    <w:rsid w:val="005F046D"/>
    <w:rsid w:val="005F0B77"/>
    <w:rsid w:val="005F1015"/>
    <w:rsid w:val="005F10F1"/>
    <w:rsid w:val="005F1455"/>
    <w:rsid w:val="005F17AC"/>
    <w:rsid w:val="005F1966"/>
    <w:rsid w:val="005F1A35"/>
    <w:rsid w:val="005F249E"/>
    <w:rsid w:val="005F24FF"/>
    <w:rsid w:val="005F27B8"/>
    <w:rsid w:val="005F27E4"/>
    <w:rsid w:val="005F2937"/>
    <w:rsid w:val="005F2C41"/>
    <w:rsid w:val="005F2D78"/>
    <w:rsid w:val="005F2E04"/>
    <w:rsid w:val="005F304B"/>
    <w:rsid w:val="005F30D7"/>
    <w:rsid w:val="005F32F6"/>
    <w:rsid w:val="005F3EB1"/>
    <w:rsid w:val="005F4006"/>
    <w:rsid w:val="005F42FA"/>
    <w:rsid w:val="005F4CEB"/>
    <w:rsid w:val="005F50B7"/>
    <w:rsid w:val="005F5584"/>
    <w:rsid w:val="005F6558"/>
    <w:rsid w:val="005F693C"/>
    <w:rsid w:val="005F6B04"/>
    <w:rsid w:val="005F7409"/>
    <w:rsid w:val="005F7C8B"/>
    <w:rsid w:val="005F7DCC"/>
    <w:rsid w:val="006001B6"/>
    <w:rsid w:val="00600D27"/>
    <w:rsid w:val="00601FC1"/>
    <w:rsid w:val="00602046"/>
    <w:rsid w:val="00602108"/>
    <w:rsid w:val="006022A3"/>
    <w:rsid w:val="00602597"/>
    <w:rsid w:val="00603E6E"/>
    <w:rsid w:val="006040F5"/>
    <w:rsid w:val="006042EB"/>
    <w:rsid w:val="00604A66"/>
    <w:rsid w:val="00605281"/>
    <w:rsid w:val="006056F8"/>
    <w:rsid w:val="0060659D"/>
    <w:rsid w:val="00606C31"/>
    <w:rsid w:val="00607388"/>
    <w:rsid w:val="00607597"/>
    <w:rsid w:val="00607A64"/>
    <w:rsid w:val="00607A84"/>
    <w:rsid w:val="00607E32"/>
    <w:rsid w:val="00611322"/>
    <w:rsid w:val="00611F9A"/>
    <w:rsid w:val="00612A59"/>
    <w:rsid w:val="00612A5F"/>
    <w:rsid w:val="00612C92"/>
    <w:rsid w:val="006131FB"/>
    <w:rsid w:val="00614040"/>
    <w:rsid w:val="0061439E"/>
    <w:rsid w:val="0061440A"/>
    <w:rsid w:val="0061448D"/>
    <w:rsid w:val="00614CA1"/>
    <w:rsid w:val="0061502C"/>
    <w:rsid w:val="00615294"/>
    <w:rsid w:val="00615BDA"/>
    <w:rsid w:val="00615DD6"/>
    <w:rsid w:val="006162B9"/>
    <w:rsid w:val="00616CDC"/>
    <w:rsid w:val="00616CEA"/>
    <w:rsid w:val="0061703A"/>
    <w:rsid w:val="0061704F"/>
    <w:rsid w:val="00617382"/>
    <w:rsid w:val="00617910"/>
    <w:rsid w:val="00617A62"/>
    <w:rsid w:val="00620102"/>
    <w:rsid w:val="006205D2"/>
    <w:rsid w:val="00620D96"/>
    <w:rsid w:val="006221CE"/>
    <w:rsid w:val="006227DB"/>
    <w:rsid w:val="00622D67"/>
    <w:rsid w:val="00622F5C"/>
    <w:rsid w:val="0062382C"/>
    <w:rsid w:val="00623923"/>
    <w:rsid w:val="00623D47"/>
    <w:rsid w:val="00624558"/>
    <w:rsid w:val="006246AC"/>
    <w:rsid w:val="0062487C"/>
    <w:rsid w:val="006257D6"/>
    <w:rsid w:val="00625ED6"/>
    <w:rsid w:val="00626FC7"/>
    <w:rsid w:val="0062709D"/>
    <w:rsid w:val="00627497"/>
    <w:rsid w:val="00627D22"/>
    <w:rsid w:val="0063002E"/>
    <w:rsid w:val="00630164"/>
    <w:rsid w:val="00630268"/>
    <w:rsid w:val="006305A3"/>
    <w:rsid w:val="006307FC"/>
    <w:rsid w:val="00630A3B"/>
    <w:rsid w:val="00631194"/>
    <w:rsid w:val="00631D3E"/>
    <w:rsid w:val="00631D46"/>
    <w:rsid w:val="00631DBA"/>
    <w:rsid w:val="0063283D"/>
    <w:rsid w:val="00632A58"/>
    <w:rsid w:val="00632AC5"/>
    <w:rsid w:val="00632EBD"/>
    <w:rsid w:val="00633243"/>
    <w:rsid w:val="006333D3"/>
    <w:rsid w:val="00634047"/>
    <w:rsid w:val="00634781"/>
    <w:rsid w:val="006349D5"/>
    <w:rsid w:val="0063545E"/>
    <w:rsid w:val="00635563"/>
    <w:rsid w:val="006358D5"/>
    <w:rsid w:val="0063594C"/>
    <w:rsid w:val="0063597E"/>
    <w:rsid w:val="00635FBD"/>
    <w:rsid w:val="006361DD"/>
    <w:rsid w:val="00636207"/>
    <w:rsid w:val="00636576"/>
    <w:rsid w:val="0063669B"/>
    <w:rsid w:val="00636DFA"/>
    <w:rsid w:val="006370BC"/>
    <w:rsid w:val="00637453"/>
    <w:rsid w:val="00637711"/>
    <w:rsid w:val="00637FA4"/>
    <w:rsid w:val="00637FA5"/>
    <w:rsid w:val="00640ABD"/>
    <w:rsid w:val="00640F06"/>
    <w:rsid w:val="006411C6"/>
    <w:rsid w:val="00641759"/>
    <w:rsid w:val="00641780"/>
    <w:rsid w:val="006419E9"/>
    <w:rsid w:val="00641A4B"/>
    <w:rsid w:val="00642D4F"/>
    <w:rsid w:val="00642EE6"/>
    <w:rsid w:val="006438AE"/>
    <w:rsid w:val="006438FD"/>
    <w:rsid w:val="00643B1F"/>
    <w:rsid w:val="00643E5C"/>
    <w:rsid w:val="00643E94"/>
    <w:rsid w:val="00644238"/>
    <w:rsid w:val="0064444E"/>
    <w:rsid w:val="006448A5"/>
    <w:rsid w:val="00644908"/>
    <w:rsid w:val="00644C26"/>
    <w:rsid w:val="0064530B"/>
    <w:rsid w:val="006459DE"/>
    <w:rsid w:val="0064672D"/>
    <w:rsid w:val="006469DD"/>
    <w:rsid w:val="00647022"/>
    <w:rsid w:val="00647EB2"/>
    <w:rsid w:val="00650F99"/>
    <w:rsid w:val="006512D0"/>
    <w:rsid w:val="006529BB"/>
    <w:rsid w:val="00654506"/>
    <w:rsid w:val="00654518"/>
    <w:rsid w:val="00654DB2"/>
    <w:rsid w:val="00654F29"/>
    <w:rsid w:val="0065545A"/>
    <w:rsid w:val="00655FA5"/>
    <w:rsid w:val="00656DA1"/>
    <w:rsid w:val="00656DA5"/>
    <w:rsid w:val="0065713F"/>
    <w:rsid w:val="00657219"/>
    <w:rsid w:val="006576C2"/>
    <w:rsid w:val="006578AA"/>
    <w:rsid w:val="00660847"/>
    <w:rsid w:val="00661531"/>
    <w:rsid w:val="00661565"/>
    <w:rsid w:val="0066159F"/>
    <w:rsid w:val="00661681"/>
    <w:rsid w:val="00661E4A"/>
    <w:rsid w:val="006628BB"/>
    <w:rsid w:val="00662B50"/>
    <w:rsid w:val="00662C2E"/>
    <w:rsid w:val="00662C73"/>
    <w:rsid w:val="0066365B"/>
    <w:rsid w:val="00663804"/>
    <w:rsid w:val="00663A85"/>
    <w:rsid w:val="0066403C"/>
    <w:rsid w:val="0066537F"/>
    <w:rsid w:val="00665C7B"/>
    <w:rsid w:val="00665F78"/>
    <w:rsid w:val="00666161"/>
    <w:rsid w:val="006672F6"/>
    <w:rsid w:val="00670535"/>
    <w:rsid w:val="00670870"/>
    <w:rsid w:val="006709E1"/>
    <w:rsid w:val="00670B69"/>
    <w:rsid w:val="00670B8E"/>
    <w:rsid w:val="00671703"/>
    <w:rsid w:val="00671BA5"/>
    <w:rsid w:val="00671C66"/>
    <w:rsid w:val="00672201"/>
    <w:rsid w:val="006725EE"/>
    <w:rsid w:val="00672ADC"/>
    <w:rsid w:val="0067314D"/>
    <w:rsid w:val="006738D5"/>
    <w:rsid w:val="00673ECB"/>
    <w:rsid w:val="006748F0"/>
    <w:rsid w:val="0067491D"/>
    <w:rsid w:val="006753AE"/>
    <w:rsid w:val="00675BC6"/>
    <w:rsid w:val="006766BC"/>
    <w:rsid w:val="0067732B"/>
    <w:rsid w:val="00677FBF"/>
    <w:rsid w:val="00680C4F"/>
    <w:rsid w:val="00680F56"/>
    <w:rsid w:val="006817A1"/>
    <w:rsid w:val="006819C9"/>
    <w:rsid w:val="00682BAE"/>
    <w:rsid w:val="00684EA3"/>
    <w:rsid w:val="006851E7"/>
    <w:rsid w:val="00685786"/>
    <w:rsid w:val="00685F04"/>
    <w:rsid w:val="0068691C"/>
    <w:rsid w:val="00686E84"/>
    <w:rsid w:val="00686E8B"/>
    <w:rsid w:val="006873DA"/>
    <w:rsid w:val="00687A93"/>
    <w:rsid w:val="006904C0"/>
    <w:rsid w:val="0069099D"/>
    <w:rsid w:val="006917A0"/>
    <w:rsid w:val="00691F89"/>
    <w:rsid w:val="006921D5"/>
    <w:rsid w:val="0069269D"/>
    <w:rsid w:val="00692F97"/>
    <w:rsid w:val="0069324B"/>
    <w:rsid w:val="0069363A"/>
    <w:rsid w:val="00693966"/>
    <w:rsid w:val="006939A8"/>
    <w:rsid w:val="00693FBE"/>
    <w:rsid w:val="00694DCE"/>
    <w:rsid w:val="006957FD"/>
    <w:rsid w:val="00695962"/>
    <w:rsid w:val="006A155F"/>
    <w:rsid w:val="006A220B"/>
    <w:rsid w:val="006A2790"/>
    <w:rsid w:val="006A28B7"/>
    <w:rsid w:val="006A2ED9"/>
    <w:rsid w:val="006A34DB"/>
    <w:rsid w:val="006A38D5"/>
    <w:rsid w:val="006A4230"/>
    <w:rsid w:val="006A48E5"/>
    <w:rsid w:val="006A4BEB"/>
    <w:rsid w:val="006A4E0B"/>
    <w:rsid w:val="006A5345"/>
    <w:rsid w:val="006A54E8"/>
    <w:rsid w:val="006A5E2B"/>
    <w:rsid w:val="006A6805"/>
    <w:rsid w:val="006A6E2F"/>
    <w:rsid w:val="006A7BEB"/>
    <w:rsid w:val="006A7CB1"/>
    <w:rsid w:val="006A7E08"/>
    <w:rsid w:val="006B062F"/>
    <w:rsid w:val="006B0ECB"/>
    <w:rsid w:val="006B18B7"/>
    <w:rsid w:val="006B1FFD"/>
    <w:rsid w:val="006B2D33"/>
    <w:rsid w:val="006B2F60"/>
    <w:rsid w:val="006B34C2"/>
    <w:rsid w:val="006B361C"/>
    <w:rsid w:val="006B3B76"/>
    <w:rsid w:val="006B5A5D"/>
    <w:rsid w:val="006B5BB4"/>
    <w:rsid w:val="006B62E9"/>
    <w:rsid w:val="006B7151"/>
    <w:rsid w:val="006B74ED"/>
    <w:rsid w:val="006C01FE"/>
    <w:rsid w:val="006C054E"/>
    <w:rsid w:val="006C060F"/>
    <w:rsid w:val="006C0FA2"/>
    <w:rsid w:val="006C0FC0"/>
    <w:rsid w:val="006C16B0"/>
    <w:rsid w:val="006C2945"/>
    <w:rsid w:val="006C2EBD"/>
    <w:rsid w:val="006C3423"/>
    <w:rsid w:val="006C35A7"/>
    <w:rsid w:val="006C3966"/>
    <w:rsid w:val="006C43E8"/>
    <w:rsid w:val="006C46EE"/>
    <w:rsid w:val="006C4A50"/>
    <w:rsid w:val="006C4CDF"/>
    <w:rsid w:val="006C5248"/>
    <w:rsid w:val="006C55A6"/>
    <w:rsid w:val="006C5A37"/>
    <w:rsid w:val="006C5D0E"/>
    <w:rsid w:val="006C5EAF"/>
    <w:rsid w:val="006C618E"/>
    <w:rsid w:val="006C6348"/>
    <w:rsid w:val="006C67D0"/>
    <w:rsid w:val="006C6ADF"/>
    <w:rsid w:val="006C70FF"/>
    <w:rsid w:val="006C752E"/>
    <w:rsid w:val="006C7845"/>
    <w:rsid w:val="006C79AC"/>
    <w:rsid w:val="006C7C7D"/>
    <w:rsid w:val="006C7CE7"/>
    <w:rsid w:val="006D00AC"/>
    <w:rsid w:val="006D034F"/>
    <w:rsid w:val="006D0424"/>
    <w:rsid w:val="006D0511"/>
    <w:rsid w:val="006D0DC9"/>
    <w:rsid w:val="006D0FFB"/>
    <w:rsid w:val="006D1190"/>
    <w:rsid w:val="006D1EB3"/>
    <w:rsid w:val="006D204F"/>
    <w:rsid w:val="006D23CA"/>
    <w:rsid w:val="006D2B73"/>
    <w:rsid w:val="006D3052"/>
    <w:rsid w:val="006D3810"/>
    <w:rsid w:val="006D4F56"/>
    <w:rsid w:val="006D51E5"/>
    <w:rsid w:val="006D532D"/>
    <w:rsid w:val="006D5391"/>
    <w:rsid w:val="006D53C9"/>
    <w:rsid w:val="006D5400"/>
    <w:rsid w:val="006D57C5"/>
    <w:rsid w:val="006D5AB1"/>
    <w:rsid w:val="006D64F7"/>
    <w:rsid w:val="006D68A4"/>
    <w:rsid w:val="006D6FED"/>
    <w:rsid w:val="006D710C"/>
    <w:rsid w:val="006D7112"/>
    <w:rsid w:val="006D7214"/>
    <w:rsid w:val="006D7846"/>
    <w:rsid w:val="006D79BD"/>
    <w:rsid w:val="006D7D1F"/>
    <w:rsid w:val="006E0422"/>
    <w:rsid w:val="006E063A"/>
    <w:rsid w:val="006E0662"/>
    <w:rsid w:val="006E07AD"/>
    <w:rsid w:val="006E08F0"/>
    <w:rsid w:val="006E1175"/>
    <w:rsid w:val="006E13D7"/>
    <w:rsid w:val="006E2520"/>
    <w:rsid w:val="006E2A55"/>
    <w:rsid w:val="006E31BC"/>
    <w:rsid w:val="006E3615"/>
    <w:rsid w:val="006E4367"/>
    <w:rsid w:val="006E4B73"/>
    <w:rsid w:val="006E5B6D"/>
    <w:rsid w:val="006E5BC6"/>
    <w:rsid w:val="006E627D"/>
    <w:rsid w:val="006E64C1"/>
    <w:rsid w:val="006E64EB"/>
    <w:rsid w:val="006E6DBC"/>
    <w:rsid w:val="006E700C"/>
    <w:rsid w:val="006E7150"/>
    <w:rsid w:val="006E7E48"/>
    <w:rsid w:val="006F0EB0"/>
    <w:rsid w:val="006F12A7"/>
    <w:rsid w:val="006F13FB"/>
    <w:rsid w:val="006F145C"/>
    <w:rsid w:val="006F195B"/>
    <w:rsid w:val="006F1B35"/>
    <w:rsid w:val="006F1D15"/>
    <w:rsid w:val="006F1F89"/>
    <w:rsid w:val="006F28B0"/>
    <w:rsid w:val="006F2D21"/>
    <w:rsid w:val="006F3556"/>
    <w:rsid w:val="006F36CD"/>
    <w:rsid w:val="006F3EA5"/>
    <w:rsid w:val="006F6130"/>
    <w:rsid w:val="006F62B5"/>
    <w:rsid w:val="006F6D94"/>
    <w:rsid w:val="006F770F"/>
    <w:rsid w:val="007002C5"/>
    <w:rsid w:val="0070034D"/>
    <w:rsid w:val="00700FB4"/>
    <w:rsid w:val="0070150B"/>
    <w:rsid w:val="00701534"/>
    <w:rsid w:val="00701B53"/>
    <w:rsid w:val="007028C8"/>
    <w:rsid w:val="00703344"/>
    <w:rsid w:val="00704634"/>
    <w:rsid w:val="00704CD0"/>
    <w:rsid w:val="00704F16"/>
    <w:rsid w:val="00705A2E"/>
    <w:rsid w:val="00705AE5"/>
    <w:rsid w:val="00705C26"/>
    <w:rsid w:val="007063E5"/>
    <w:rsid w:val="00707319"/>
    <w:rsid w:val="007078C7"/>
    <w:rsid w:val="00707939"/>
    <w:rsid w:val="007102E3"/>
    <w:rsid w:val="0071042D"/>
    <w:rsid w:val="00711DCE"/>
    <w:rsid w:val="0071217D"/>
    <w:rsid w:val="007122D7"/>
    <w:rsid w:val="0071233D"/>
    <w:rsid w:val="0071252F"/>
    <w:rsid w:val="00713950"/>
    <w:rsid w:val="007146E1"/>
    <w:rsid w:val="00714AD6"/>
    <w:rsid w:val="00715318"/>
    <w:rsid w:val="007153C4"/>
    <w:rsid w:val="00715F5D"/>
    <w:rsid w:val="00715FCC"/>
    <w:rsid w:val="007169AE"/>
    <w:rsid w:val="00716B29"/>
    <w:rsid w:val="00716FEE"/>
    <w:rsid w:val="00717149"/>
    <w:rsid w:val="0071727B"/>
    <w:rsid w:val="00717D9C"/>
    <w:rsid w:val="007204D5"/>
    <w:rsid w:val="007205DA"/>
    <w:rsid w:val="0072069F"/>
    <w:rsid w:val="00720869"/>
    <w:rsid w:val="0072127F"/>
    <w:rsid w:val="00721BC4"/>
    <w:rsid w:val="00721BDF"/>
    <w:rsid w:val="00721D9E"/>
    <w:rsid w:val="007222BD"/>
    <w:rsid w:val="007230FE"/>
    <w:rsid w:val="00723753"/>
    <w:rsid w:val="00723AF6"/>
    <w:rsid w:val="00723B54"/>
    <w:rsid w:val="00724D4C"/>
    <w:rsid w:val="00724F3F"/>
    <w:rsid w:val="00725216"/>
    <w:rsid w:val="0072532E"/>
    <w:rsid w:val="00725464"/>
    <w:rsid w:val="007260D7"/>
    <w:rsid w:val="007261EE"/>
    <w:rsid w:val="00726204"/>
    <w:rsid w:val="00727A20"/>
    <w:rsid w:val="00727A49"/>
    <w:rsid w:val="00727AFD"/>
    <w:rsid w:val="0073000A"/>
    <w:rsid w:val="0073059B"/>
    <w:rsid w:val="00730626"/>
    <w:rsid w:val="007307F9"/>
    <w:rsid w:val="00730B9A"/>
    <w:rsid w:val="00730E0A"/>
    <w:rsid w:val="00731760"/>
    <w:rsid w:val="00731EEC"/>
    <w:rsid w:val="0073223D"/>
    <w:rsid w:val="007326A2"/>
    <w:rsid w:val="00732FD7"/>
    <w:rsid w:val="0073330D"/>
    <w:rsid w:val="00733DF8"/>
    <w:rsid w:val="007350E0"/>
    <w:rsid w:val="00735300"/>
    <w:rsid w:val="00735E25"/>
    <w:rsid w:val="00735F37"/>
    <w:rsid w:val="00736F58"/>
    <w:rsid w:val="0073791F"/>
    <w:rsid w:val="00737AB9"/>
    <w:rsid w:val="00740009"/>
    <w:rsid w:val="00740A6F"/>
    <w:rsid w:val="00741E6E"/>
    <w:rsid w:val="00741F1E"/>
    <w:rsid w:val="0074232F"/>
    <w:rsid w:val="00742F65"/>
    <w:rsid w:val="00743024"/>
    <w:rsid w:val="0074303B"/>
    <w:rsid w:val="0074305C"/>
    <w:rsid w:val="007432E0"/>
    <w:rsid w:val="00743BAC"/>
    <w:rsid w:val="0074445B"/>
    <w:rsid w:val="00744576"/>
    <w:rsid w:val="00744674"/>
    <w:rsid w:val="00744BA3"/>
    <w:rsid w:val="007451F5"/>
    <w:rsid w:val="007458A9"/>
    <w:rsid w:val="00746752"/>
    <w:rsid w:val="00746C3F"/>
    <w:rsid w:val="00747448"/>
    <w:rsid w:val="0074785C"/>
    <w:rsid w:val="00747FD2"/>
    <w:rsid w:val="00750F03"/>
    <w:rsid w:val="00751136"/>
    <w:rsid w:val="007514B8"/>
    <w:rsid w:val="00751EE3"/>
    <w:rsid w:val="0075225B"/>
    <w:rsid w:val="00752454"/>
    <w:rsid w:val="00752622"/>
    <w:rsid w:val="00752A9D"/>
    <w:rsid w:val="00753BCE"/>
    <w:rsid w:val="00754030"/>
    <w:rsid w:val="00754908"/>
    <w:rsid w:val="00754A2F"/>
    <w:rsid w:val="00754B9F"/>
    <w:rsid w:val="00754D3A"/>
    <w:rsid w:val="007553B4"/>
    <w:rsid w:val="0075591B"/>
    <w:rsid w:val="00755BE6"/>
    <w:rsid w:val="00755C8A"/>
    <w:rsid w:val="00756158"/>
    <w:rsid w:val="007564F7"/>
    <w:rsid w:val="007573D6"/>
    <w:rsid w:val="00757471"/>
    <w:rsid w:val="00757982"/>
    <w:rsid w:val="00757A8E"/>
    <w:rsid w:val="00757EC3"/>
    <w:rsid w:val="00757F2B"/>
    <w:rsid w:val="007609EC"/>
    <w:rsid w:val="00761E35"/>
    <w:rsid w:val="0076245E"/>
    <w:rsid w:val="00762493"/>
    <w:rsid w:val="007626F3"/>
    <w:rsid w:val="00762B5C"/>
    <w:rsid w:val="00762EE9"/>
    <w:rsid w:val="007638E9"/>
    <w:rsid w:val="0076466C"/>
    <w:rsid w:val="00764752"/>
    <w:rsid w:val="007647C8"/>
    <w:rsid w:val="007649F7"/>
    <w:rsid w:val="00765258"/>
    <w:rsid w:val="0076550E"/>
    <w:rsid w:val="00765954"/>
    <w:rsid w:val="007669B5"/>
    <w:rsid w:val="007679BB"/>
    <w:rsid w:val="00767ED1"/>
    <w:rsid w:val="0077033E"/>
    <w:rsid w:val="007704F5"/>
    <w:rsid w:val="00770F7D"/>
    <w:rsid w:val="007713F6"/>
    <w:rsid w:val="00772270"/>
    <w:rsid w:val="00772386"/>
    <w:rsid w:val="00772D08"/>
    <w:rsid w:val="00773161"/>
    <w:rsid w:val="00773B6E"/>
    <w:rsid w:val="00774D6F"/>
    <w:rsid w:val="00775926"/>
    <w:rsid w:val="00775A6F"/>
    <w:rsid w:val="00775EED"/>
    <w:rsid w:val="0077663C"/>
    <w:rsid w:val="00777A5C"/>
    <w:rsid w:val="007800C9"/>
    <w:rsid w:val="007804F7"/>
    <w:rsid w:val="007808DF"/>
    <w:rsid w:val="007811CC"/>
    <w:rsid w:val="007820FB"/>
    <w:rsid w:val="007821AB"/>
    <w:rsid w:val="007826EA"/>
    <w:rsid w:val="00783207"/>
    <w:rsid w:val="007837FB"/>
    <w:rsid w:val="00783B18"/>
    <w:rsid w:val="00783F30"/>
    <w:rsid w:val="007840E0"/>
    <w:rsid w:val="007841FE"/>
    <w:rsid w:val="007842F5"/>
    <w:rsid w:val="00784E31"/>
    <w:rsid w:val="00784FC2"/>
    <w:rsid w:val="007855A3"/>
    <w:rsid w:val="007855AD"/>
    <w:rsid w:val="0078571C"/>
    <w:rsid w:val="00785C2B"/>
    <w:rsid w:val="00785C8D"/>
    <w:rsid w:val="007872E9"/>
    <w:rsid w:val="0078738E"/>
    <w:rsid w:val="00787538"/>
    <w:rsid w:val="007877D6"/>
    <w:rsid w:val="00787DE4"/>
    <w:rsid w:val="00790617"/>
    <w:rsid w:val="007908D2"/>
    <w:rsid w:val="007908F0"/>
    <w:rsid w:val="0079145B"/>
    <w:rsid w:val="00791B26"/>
    <w:rsid w:val="0079228E"/>
    <w:rsid w:val="0079293D"/>
    <w:rsid w:val="00792B0D"/>
    <w:rsid w:val="00792D8A"/>
    <w:rsid w:val="00793279"/>
    <w:rsid w:val="00793DE0"/>
    <w:rsid w:val="0079421A"/>
    <w:rsid w:val="007943A4"/>
    <w:rsid w:val="007944B3"/>
    <w:rsid w:val="007944B6"/>
    <w:rsid w:val="0079478F"/>
    <w:rsid w:val="00794889"/>
    <w:rsid w:val="00794F4C"/>
    <w:rsid w:val="00795053"/>
    <w:rsid w:val="0079524A"/>
    <w:rsid w:val="00795329"/>
    <w:rsid w:val="00795D50"/>
    <w:rsid w:val="007968AC"/>
    <w:rsid w:val="00796AF2"/>
    <w:rsid w:val="007972CB"/>
    <w:rsid w:val="0079782B"/>
    <w:rsid w:val="00797871"/>
    <w:rsid w:val="00797CF9"/>
    <w:rsid w:val="00797D28"/>
    <w:rsid w:val="00797D33"/>
    <w:rsid w:val="007A0EEC"/>
    <w:rsid w:val="007A1058"/>
    <w:rsid w:val="007A1564"/>
    <w:rsid w:val="007A18D4"/>
    <w:rsid w:val="007A1C53"/>
    <w:rsid w:val="007A288D"/>
    <w:rsid w:val="007A2BAC"/>
    <w:rsid w:val="007A405D"/>
    <w:rsid w:val="007A41E6"/>
    <w:rsid w:val="007A44B9"/>
    <w:rsid w:val="007A46C4"/>
    <w:rsid w:val="007A4AFC"/>
    <w:rsid w:val="007A4DBB"/>
    <w:rsid w:val="007A5085"/>
    <w:rsid w:val="007A54B3"/>
    <w:rsid w:val="007A5B19"/>
    <w:rsid w:val="007A67D8"/>
    <w:rsid w:val="007A6B56"/>
    <w:rsid w:val="007A7146"/>
    <w:rsid w:val="007A7405"/>
    <w:rsid w:val="007A75C3"/>
    <w:rsid w:val="007B039A"/>
    <w:rsid w:val="007B10B5"/>
    <w:rsid w:val="007B1164"/>
    <w:rsid w:val="007B176B"/>
    <w:rsid w:val="007B218A"/>
    <w:rsid w:val="007B25DF"/>
    <w:rsid w:val="007B2A72"/>
    <w:rsid w:val="007B2ABA"/>
    <w:rsid w:val="007B2C9C"/>
    <w:rsid w:val="007B39FF"/>
    <w:rsid w:val="007B3A8F"/>
    <w:rsid w:val="007B57C4"/>
    <w:rsid w:val="007B5845"/>
    <w:rsid w:val="007B5BED"/>
    <w:rsid w:val="007B6292"/>
    <w:rsid w:val="007B62B6"/>
    <w:rsid w:val="007B6D6D"/>
    <w:rsid w:val="007B7859"/>
    <w:rsid w:val="007B78DF"/>
    <w:rsid w:val="007B7922"/>
    <w:rsid w:val="007C0C19"/>
    <w:rsid w:val="007C1E2E"/>
    <w:rsid w:val="007C2542"/>
    <w:rsid w:val="007C2930"/>
    <w:rsid w:val="007C3043"/>
    <w:rsid w:val="007C32AA"/>
    <w:rsid w:val="007C34C6"/>
    <w:rsid w:val="007C35B8"/>
    <w:rsid w:val="007C3EC7"/>
    <w:rsid w:val="007C42EF"/>
    <w:rsid w:val="007C52C7"/>
    <w:rsid w:val="007C591D"/>
    <w:rsid w:val="007C5FF2"/>
    <w:rsid w:val="007C6691"/>
    <w:rsid w:val="007C7090"/>
    <w:rsid w:val="007C7222"/>
    <w:rsid w:val="007C72DD"/>
    <w:rsid w:val="007C73DD"/>
    <w:rsid w:val="007D157B"/>
    <w:rsid w:val="007D1CC5"/>
    <w:rsid w:val="007D1D4C"/>
    <w:rsid w:val="007D1F6D"/>
    <w:rsid w:val="007D1F74"/>
    <w:rsid w:val="007D2CFE"/>
    <w:rsid w:val="007D3300"/>
    <w:rsid w:val="007D387F"/>
    <w:rsid w:val="007D40EE"/>
    <w:rsid w:val="007D48A3"/>
    <w:rsid w:val="007D4AE1"/>
    <w:rsid w:val="007D4EEF"/>
    <w:rsid w:val="007D55DB"/>
    <w:rsid w:val="007D5A6E"/>
    <w:rsid w:val="007D5B25"/>
    <w:rsid w:val="007D5E8A"/>
    <w:rsid w:val="007D6041"/>
    <w:rsid w:val="007D67CF"/>
    <w:rsid w:val="007D68A5"/>
    <w:rsid w:val="007D6C32"/>
    <w:rsid w:val="007D6E0D"/>
    <w:rsid w:val="007D6F08"/>
    <w:rsid w:val="007D6F69"/>
    <w:rsid w:val="007D79C5"/>
    <w:rsid w:val="007D7D45"/>
    <w:rsid w:val="007E03D7"/>
    <w:rsid w:val="007E0843"/>
    <w:rsid w:val="007E173D"/>
    <w:rsid w:val="007E192C"/>
    <w:rsid w:val="007E1963"/>
    <w:rsid w:val="007E1AD0"/>
    <w:rsid w:val="007E210A"/>
    <w:rsid w:val="007E24D8"/>
    <w:rsid w:val="007E2E6F"/>
    <w:rsid w:val="007E3627"/>
    <w:rsid w:val="007E3B60"/>
    <w:rsid w:val="007E3EF6"/>
    <w:rsid w:val="007E4546"/>
    <w:rsid w:val="007E4A0D"/>
    <w:rsid w:val="007E4A4C"/>
    <w:rsid w:val="007E4BA5"/>
    <w:rsid w:val="007E5509"/>
    <w:rsid w:val="007E72F6"/>
    <w:rsid w:val="007E7743"/>
    <w:rsid w:val="007E7923"/>
    <w:rsid w:val="007F03AD"/>
    <w:rsid w:val="007F13FD"/>
    <w:rsid w:val="007F18FF"/>
    <w:rsid w:val="007F2229"/>
    <w:rsid w:val="007F3B1A"/>
    <w:rsid w:val="007F42DE"/>
    <w:rsid w:val="007F5E7D"/>
    <w:rsid w:val="007F650A"/>
    <w:rsid w:val="007F6F78"/>
    <w:rsid w:val="007F7266"/>
    <w:rsid w:val="007F732F"/>
    <w:rsid w:val="007F7B28"/>
    <w:rsid w:val="007F7E20"/>
    <w:rsid w:val="007F7F75"/>
    <w:rsid w:val="008002DA"/>
    <w:rsid w:val="0080089E"/>
    <w:rsid w:val="00801B47"/>
    <w:rsid w:val="00802216"/>
    <w:rsid w:val="00802C48"/>
    <w:rsid w:val="00803528"/>
    <w:rsid w:val="00803CE1"/>
    <w:rsid w:val="00803F80"/>
    <w:rsid w:val="00804837"/>
    <w:rsid w:val="008048FB"/>
    <w:rsid w:val="00804C70"/>
    <w:rsid w:val="00804D3E"/>
    <w:rsid w:val="00804DEB"/>
    <w:rsid w:val="00804EBE"/>
    <w:rsid w:val="00804F7A"/>
    <w:rsid w:val="00805A20"/>
    <w:rsid w:val="00805BA8"/>
    <w:rsid w:val="008067B6"/>
    <w:rsid w:val="0080701C"/>
    <w:rsid w:val="008070DA"/>
    <w:rsid w:val="00807BCF"/>
    <w:rsid w:val="00810668"/>
    <w:rsid w:val="00811022"/>
    <w:rsid w:val="0081139D"/>
    <w:rsid w:val="00811706"/>
    <w:rsid w:val="0081249E"/>
    <w:rsid w:val="008125B7"/>
    <w:rsid w:val="008125C9"/>
    <w:rsid w:val="008129BD"/>
    <w:rsid w:val="00812F9A"/>
    <w:rsid w:val="00814517"/>
    <w:rsid w:val="008147C6"/>
    <w:rsid w:val="00815006"/>
    <w:rsid w:val="00815215"/>
    <w:rsid w:val="0081548E"/>
    <w:rsid w:val="008160D6"/>
    <w:rsid w:val="00816599"/>
    <w:rsid w:val="00816E88"/>
    <w:rsid w:val="0081708E"/>
    <w:rsid w:val="00817294"/>
    <w:rsid w:val="00817DD3"/>
    <w:rsid w:val="00817E80"/>
    <w:rsid w:val="00817FF3"/>
    <w:rsid w:val="0082012F"/>
    <w:rsid w:val="00820429"/>
    <w:rsid w:val="00820B28"/>
    <w:rsid w:val="0082183D"/>
    <w:rsid w:val="00821981"/>
    <w:rsid w:val="008219CD"/>
    <w:rsid w:val="008219D5"/>
    <w:rsid w:val="00821B56"/>
    <w:rsid w:val="008224C6"/>
    <w:rsid w:val="008228D3"/>
    <w:rsid w:val="0082337B"/>
    <w:rsid w:val="008238A3"/>
    <w:rsid w:val="00823B35"/>
    <w:rsid w:val="00824692"/>
    <w:rsid w:val="00825510"/>
    <w:rsid w:val="00825552"/>
    <w:rsid w:val="00825C55"/>
    <w:rsid w:val="008267FC"/>
    <w:rsid w:val="00826EBE"/>
    <w:rsid w:val="008272A5"/>
    <w:rsid w:val="008274B7"/>
    <w:rsid w:val="00827BCD"/>
    <w:rsid w:val="008300A8"/>
    <w:rsid w:val="00830AFB"/>
    <w:rsid w:val="00830D3F"/>
    <w:rsid w:val="008317CC"/>
    <w:rsid w:val="00831996"/>
    <w:rsid w:val="008323D9"/>
    <w:rsid w:val="008330F6"/>
    <w:rsid w:val="00834A74"/>
    <w:rsid w:val="00834BF5"/>
    <w:rsid w:val="00834D5B"/>
    <w:rsid w:val="00834E68"/>
    <w:rsid w:val="008354DE"/>
    <w:rsid w:val="008354F2"/>
    <w:rsid w:val="0083556F"/>
    <w:rsid w:val="008358BD"/>
    <w:rsid w:val="00836426"/>
    <w:rsid w:val="0083704A"/>
    <w:rsid w:val="00837A91"/>
    <w:rsid w:val="00840260"/>
    <w:rsid w:val="00840551"/>
    <w:rsid w:val="00840A24"/>
    <w:rsid w:val="00840BF2"/>
    <w:rsid w:val="008418B6"/>
    <w:rsid w:val="00841BC1"/>
    <w:rsid w:val="00841FA6"/>
    <w:rsid w:val="00842525"/>
    <w:rsid w:val="00842B5D"/>
    <w:rsid w:val="008431E6"/>
    <w:rsid w:val="00843272"/>
    <w:rsid w:val="008435EB"/>
    <w:rsid w:val="008437EE"/>
    <w:rsid w:val="00843DE6"/>
    <w:rsid w:val="00844301"/>
    <w:rsid w:val="0084438C"/>
    <w:rsid w:val="008449EE"/>
    <w:rsid w:val="00844C2B"/>
    <w:rsid w:val="008456E3"/>
    <w:rsid w:val="0084574F"/>
    <w:rsid w:val="00845F9B"/>
    <w:rsid w:val="00846123"/>
    <w:rsid w:val="00846C10"/>
    <w:rsid w:val="00846E25"/>
    <w:rsid w:val="008473AD"/>
    <w:rsid w:val="00847548"/>
    <w:rsid w:val="00847D34"/>
    <w:rsid w:val="00847E66"/>
    <w:rsid w:val="008500AE"/>
    <w:rsid w:val="00850F26"/>
    <w:rsid w:val="008517F9"/>
    <w:rsid w:val="0085181A"/>
    <w:rsid w:val="008527ED"/>
    <w:rsid w:val="00852B07"/>
    <w:rsid w:val="00853301"/>
    <w:rsid w:val="00853C5A"/>
    <w:rsid w:val="00853D7D"/>
    <w:rsid w:val="00853E50"/>
    <w:rsid w:val="00853EE5"/>
    <w:rsid w:val="008552FC"/>
    <w:rsid w:val="00855B63"/>
    <w:rsid w:val="008571B5"/>
    <w:rsid w:val="0086023B"/>
    <w:rsid w:val="008603C1"/>
    <w:rsid w:val="0086074D"/>
    <w:rsid w:val="00860D87"/>
    <w:rsid w:val="00860DAB"/>
    <w:rsid w:val="00861490"/>
    <w:rsid w:val="00861579"/>
    <w:rsid w:val="00862845"/>
    <w:rsid w:val="00862A3E"/>
    <w:rsid w:val="008630A7"/>
    <w:rsid w:val="00863F9C"/>
    <w:rsid w:val="008640A6"/>
    <w:rsid w:val="00864B9C"/>
    <w:rsid w:val="00864BD7"/>
    <w:rsid w:val="00864FE6"/>
    <w:rsid w:val="008652B6"/>
    <w:rsid w:val="0086544E"/>
    <w:rsid w:val="00865788"/>
    <w:rsid w:val="00865BEC"/>
    <w:rsid w:val="008663D4"/>
    <w:rsid w:val="00866830"/>
    <w:rsid w:val="00866A80"/>
    <w:rsid w:val="00866C2B"/>
    <w:rsid w:val="00867BB9"/>
    <w:rsid w:val="008701D9"/>
    <w:rsid w:val="00871835"/>
    <w:rsid w:val="008718F0"/>
    <w:rsid w:val="0087198C"/>
    <w:rsid w:val="00871A60"/>
    <w:rsid w:val="00871FD5"/>
    <w:rsid w:val="00872045"/>
    <w:rsid w:val="00872255"/>
    <w:rsid w:val="00872636"/>
    <w:rsid w:val="008729AC"/>
    <w:rsid w:val="00872A3D"/>
    <w:rsid w:val="00872EB2"/>
    <w:rsid w:val="00873394"/>
    <w:rsid w:val="0087364C"/>
    <w:rsid w:val="00873EC9"/>
    <w:rsid w:val="008740FE"/>
    <w:rsid w:val="008745FE"/>
    <w:rsid w:val="008746D5"/>
    <w:rsid w:val="00875496"/>
    <w:rsid w:val="008754AC"/>
    <w:rsid w:val="00875E5E"/>
    <w:rsid w:val="00876469"/>
    <w:rsid w:val="008767EA"/>
    <w:rsid w:val="00876B47"/>
    <w:rsid w:val="00876DD7"/>
    <w:rsid w:val="00877761"/>
    <w:rsid w:val="00880EBD"/>
    <w:rsid w:val="00881018"/>
    <w:rsid w:val="00881BB9"/>
    <w:rsid w:val="008820F8"/>
    <w:rsid w:val="00882278"/>
    <w:rsid w:val="00882A3A"/>
    <w:rsid w:val="00883622"/>
    <w:rsid w:val="00884004"/>
    <w:rsid w:val="008852EF"/>
    <w:rsid w:val="00886345"/>
    <w:rsid w:val="00886AF2"/>
    <w:rsid w:val="00886BC8"/>
    <w:rsid w:val="00886F53"/>
    <w:rsid w:val="0089017D"/>
    <w:rsid w:val="00890ADD"/>
    <w:rsid w:val="00891258"/>
    <w:rsid w:val="00891830"/>
    <w:rsid w:val="00891B13"/>
    <w:rsid w:val="00891E72"/>
    <w:rsid w:val="008922FF"/>
    <w:rsid w:val="00892339"/>
    <w:rsid w:val="00892716"/>
    <w:rsid w:val="008928FF"/>
    <w:rsid w:val="00892C71"/>
    <w:rsid w:val="008937E1"/>
    <w:rsid w:val="0089514C"/>
    <w:rsid w:val="00895529"/>
    <w:rsid w:val="008969BF"/>
    <w:rsid w:val="00896BCB"/>
    <w:rsid w:val="008970A6"/>
    <w:rsid w:val="00897737"/>
    <w:rsid w:val="00897ADF"/>
    <w:rsid w:val="008A0F89"/>
    <w:rsid w:val="008A149B"/>
    <w:rsid w:val="008A2038"/>
    <w:rsid w:val="008A2B96"/>
    <w:rsid w:val="008A30AD"/>
    <w:rsid w:val="008A3A06"/>
    <w:rsid w:val="008A3BB5"/>
    <w:rsid w:val="008A4CE0"/>
    <w:rsid w:val="008A5848"/>
    <w:rsid w:val="008A5FB2"/>
    <w:rsid w:val="008A7B0D"/>
    <w:rsid w:val="008B00CD"/>
    <w:rsid w:val="008B0CED"/>
    <w:rsid w:val="008B1431"/>
    <w:rsid w:val="008B1897"/>
    <w:rsid w:val="008B1E4B"/>
    <w:rsid w:val="008B2544"/>
    <w:rsid w:val="008B2DA6"/>
    <w:rsid w:val="008B37DF"/>
    <w:rsid w:val="008B3CD6"/>
    <w:rsid w:val="008B4328"/>
    <w:rsid w:val="008B483B"/>
    <w:rsid w:val="008B485F"/>
    <w:rsid w:val="008B4DEB"/>
    <w:rsid w:val="008B515B"/>
    <w:rsid w:val="008B5310"/>
    <w:rsid w:val="008B531A"/>
    <w:rsid w:val="008B549D"/>
    <w:rsid w:val="008B569C"/>
    <w:rsid w:val="008B592A"/>
    <w:rsid w:val="008B59C3"/>
    <w:rsid w:val="008B634D"/>
    <w:rsid w:val="008B6A1D"/>
    <w:rsid w:val="008B6A60"/>
    <w:rsid w:val="008B6C1C"/>
    <w:rsid w:val="008B79E5"/>
    <w:rsid w:val="008C070F"/>
    <w:rsid w:val="008C0B36"/>
    <w:rsid w:val="008C0B4B"/>
    <w:rsid w:val="008C1060"/>
    <w:rsid w:val="008C1214"/>
    <w:rsid w:val="008C1D71"/>
    <w:rsid w:val="008C1DD1"/>
    <w:rsid w:val="008C205C"/>
    <w:rsid w:val="008C271F"/>
    <w:rsid w:val="008C2C2E"/>
    <w:rsid w:val="008C2FA7"/>
    <w:rsid w:val="008C3EBE"/>
    <w:rsid w:val="008C3FDB"/>
    <w:rsid w:val="008C4348"/>
    <w:rsid w:val="008C446E"/>
    <w:rsid w:val="008C5312"/>
    <w:rsid w:val="008C57FB"/>
    <w:rsid w:val="008C5872"/>
    <w:rsid w:val="008C59E4"/>
    <w:rsid w:val="008C61A5"/>
    <w:rsid w:val="008C7298"/>
    <w:rsid w:val="008C7C6D"/>
    <w:rsid w:val="008D0724"/>
    <w:rsid w:val="008D0EF7"/>
    <w:rsid w:val="008D0F41"/>
    <w:rsid w:val="008D1C93"/>
    <w:rsid w:val="008D2A94"/>
    <w:rsid w:val="008D44F8"/>
    <w:rsid w:val="008D4BE7"/>
    <w:rsid w:val="008D4E66"/>
    <w:rsid w:val="008D4EB1"/>
    <w:rsid w:val="008D5208"/>
    <w:rsid w:val="008D561D"/>
    <w:rsid w:val="008D5794"/>
    <w:rsid w:val="008D57B8"/>
    <w:rsid w:val="008D590E"/>
    <w:rsid w:val="008D5C5B"/>
    <w:rsid w:val="008D6281"/>
    <w:rsid w:val="008D681B"/>
    <w:rsid w:val="008D6836"/>
    <w:rsid w:val="008D7002"/>
    <w:rsid w:val="008D7227"/>
    <w:rsid w:val="008D7260"/>
    <w:rsid w:val="008D7304"/>
    <w:rsid w:val="008D7FCE"/>
    <w:rsid w:val="008E02E7"/>
    <w:rsid w:val="008E0729"/>
    <w:rsid w:val="008E09F6"/>
    <w:rsid w:val="008E0DA1"/>
    <w:rsid w:val="008E1A0B"/>
    <w:rsid w:val="008E1B10"/>
    <w:rsid w:val="008E26AF"/>
    <w:rsid w:val="008E2A68"/>
    <w:rsid w:val="008E2E0C"/>
    <w:rsid w:val="008E3001"/>
    <w:rsid w:val="008E36F8"/>
    <w:rsid w:val="008E43C8"/>
    <w:rsid w:val="008E45BC"/>
    <w:rsid w:val="008E4BA8"/>
    <w:rsid w:val="008E4E09"/>
    <w:rsid w:val="008E54DF"/>
    <w:rsid w:val="008E5665"/>
    <w:rsid w:val="008E5724"/>
    <w:rsid w:val="008E5CAC"/>
    <w:rsid w:val="008E5D31"/>
    <w:rsid w:val="008E61F4"/>
    <w:rsid w:val="008E671D"/>
    <w:rsid w:val="008E7874"/>
    <w:rsid w:val="008E7D59"/>
    <w:rsid w:val="008E7F90"/>
    <w:rsid w:val="008F03EC"/>
    <w:rsid w:val="008F0504"/>
    <w:rsid w:val="008F05CA"/>
    <w:rsid w:val="008F1E0F"/>
    <w:rsid w:val="008F1FCA"/>
    <w:rsid w:val="008F21AF"/>
    <w:rsid w:val="008F2405"/>
    <w:rsid w:val="008F2BD7"/>
    <w:rsid w:val="008F2E33"/>
    <w:rsid w:val="008F33B0"/>
    <w:rsid w:val="008F37E2"/>
    <w:rsid w:val="008F3A86"/>
    <w:rsid w:val="008F4378"/>
    <w:rsid w:val="008F4C27"/>
    <w:rsid w:val="008F4FF2"/>
    <w:rsid w:val="008F594F"/>
    <w:rsid w:val="008F612A"/>
    <w:rsid w:val="008F62E2"/>
    <w:rsid w:val="008F6EBF"/>
    <w:rsid w:val="008F7B59"/>
    <w:rsid w:val="0090051D"/>
    <w:rsid w:val="009006BC"/>
    <w:rsid w:val="00900FEE"/>
    <w:rsid w:val="0090135B"/>
    <w:rsid w:val="009013D5"/>
    <w:rsid w:val="00901484"/>
    <w:rsid w:val="00901724"/>
    <w:rsid w:val="009017A6"/>
    <w:rsid w:val="00901C72"/>
    <w:rsid w:val="00901F81"/>
    <w:rsid w:val="00902409"/>
    <w:rsid w:val="009033A6"/>
    <w:rsid w:val="009041CB"/>
    <w:rsid w:val="00904280"/>
    <w:rsid w:val="00904351"/>
    <w:rsid w:val="0090570B"/>
    <w:rsid w:val="00906147"/>
    <w:rsid w:val="00906227"/>
    <w:rsid w:val="00906915"/>
    <w:rsid w:val="00907F18"/>
    <w:rsid w:val="00910078"/>
    <w:rsid w:val="009117DB"/>
    <w:rsid w:val="00911912"/>
    <w:rsid w:val="0091196B"/>
    <w:rsid w:val="00912398"/>
    <w:rsid w:val="00912A0A"/>
    <w:rsid w:val="00912C1A"/>
    <w:rsid w:val="00912D8F"/>
    <w:rsid w:val="00913063"/>
    <w:rsid w:val="0091429C"/>
    <w:rsid w:val="00914431"/>
    <w:rsid w:val="00914D0D"/>
    <w:rsid w:val="0091560A"/>
    <w:rsid w:val="00915736"/>
    <w:rsid w:val="009157D6"/>
    <w:rsid w:val="00915DC8"/>
    <w:rsid w:val="00915F1E"/>
    <w:rsid w:val="00915F23"/>
    <w:rsid w:val="00916375"/>
    <w:rsid w:val="009166A5"/>
    <w:rsid w:val="009167B7"/>
    <w:rsid w:val="00916A5D"/>
    <w:rsid w:val="00916C80"/>
    <w:rsid w:val="00916DEF"/>
    <w:rsid w:val="00916F68"/>
    <w:rsid w:val="00917049"/>
    <w:rsid w:val="009171CA"/>
    <w:rsid w:val="009177B0"/>
    <w:rsid w:val="00917C5A"/>
    <w:rsid w:val="00920005"/>
    <w:rsid w:val="009205B5"/>
    <w:rsid w:val="00920746"/>
    <w:rsid w:val="0092074E"/>
    <w:rsid w:val="00920E4D"/>
    <w:rsid w:val="00921702"/>
    <w:rsid w:val="00922368"/>
    <w:rsid w:val="00922CB1"/>
    <w:rsid w:val="00922F80"/>
    <w:rsid w:val="009239B4"/>
    <w:rsid w:val="009250E5"/>
    <w:rsid w:val="00925720"/>
    <w:rsid w:val="009259F5"/>
    <w:rsid w:val="00925B8D"/>
    <w:rsid w:val="00925F17"/>
    <w:rsid w:val="00926567"/>
    <w:rsid w:val="009266A8"/>
    <w:rsid w:val="009266DD"/>
    <w:rsid w:val="009266E7"/>
    <w:rsid w:val="0092768E"/>
    <w:rsid w:val="00930A85"/>
    <w:rsid w:val="00931047"/>
    <w:rsid w:val="0093129A"/>
    <w:rsid w:val="009312D3"/>
    <w:rsid w:val="00931673"/>
    <w:rsid w:val="00931CF2"/>
    <w:rsid w:val="00932936"/>
    <w:rsid w:val="00932B4C"/>
    <w:rsid w:val="00932C40"/>
    <w:rsid w:val="00933440"/>
    <w:rsid w:val="00933AB7"/>
    <w:rsid w:val="00933AEF"/>
    <w:rsid w:val="00933DA0"/>
    <w:rsid w:val="00933EE1"/>
    <w:rsid w:val="00934F54"/>
    <w:rsid w:val="00935013"/>
    <w:rsid w:val="009352FE"/>
    <w:rsid w:val="009364CC"/>
    <w:rsid w:val="009368EF"/>
    <w:rsid w:val="00936C8F"/>
    <w:rsid w:val="00936FA7"/>
    <w:rsid w:val="009375F4"/>
    <w:rsid w:val="00937896"/>
    <w:rsid w:val="00937964"/>
    <w:rsid w:val="0094084E"/>
    <w:rsid w:val="00940F0F"/>
    <w:rsid w:val="009411D8"/>
    <w:rsid w:val="009413A1"/>
    <w:rsid w:val="009416B4"/>
    <w:rsid w:val="00941B6B"/>
    <w:rsid w:val="0094251B"/>
    <w:rsid w:val="009427ED"/>
    <w:rsid w:val="0094282A"/>
    <w:rsid w:val="0094289B"/>
    <w:rsid w:val="00942ADA"/>
    <w:rsid w:val="009441E9"/>
    <w:rsid w:val="00944640"/>
    <w:rsid w:val="009446C7"/>
    <w:rsid w:val="009449CF"/>
    <w:rsid w:val="00944AB8"/>
    <w:rsid w:val="009450F0"/>
    <w:rsid w:val="00945457"/>
    <w:rsid w:val="00945F79"/>
    <w:rsid w:val="0094615C"/>
    <w:rsid w:val="00946349"/>
    <w:rsid w:val="00946E2A"/>
    <w:rsid w:val="00947886"/>
    <w:rsid w:val="00947A5D"/>
    <w:rsid w:val="00947F2F"/>
    <w:rsid w:val="00950514"/>
    <w:rsid w:val="00950A3F"/>
    <w:rsid w:val="009510D8"/>
    <w:rsid w:val="00951435"/>
    <w:rsid w:val="00951C42"/>
    <w:rsid w:val="0095205C"/>
    <w:rsid w:val="009528E0"/>
    <w:rsid w:val="00952C48"/>
    <w:rsid w:val="00953079"/>
    <w:rsid w:val="00953FB9"/>
    <w:rsid w:val="00954633"/>
    <w:rsid w:val="0095494F"/>
    <w:rsid w:val="00954DEF"/>
    <w:rsid w:val="009557F2"/>
    <w:rsid w:val="00955B52"/>
    <w:rsid w:val="00955CB3"/>
    <w:rsid w:val="009566A7"/>
    <w:rsid w:val="009569CC"/>
    <w:rsid w:val="00956D49"/>
    <w:rsid w:val="00957174"/>
    <w:rsid w:val="00957AF6"/>
    <w:rsid w:val="00960332"/>
    <w:rsid w:val="00960877"/>
    <w:rsid w:val="00960B8A"/>
    <w:rsid w:val="00960F08"/>
    <w:rsid w:val="0096156D"/>
    <w:rsid w:val="00961BAB"/>
    <w:rsid w:val="009627FD"/>
    <w:rsid w:val="00962E15"/>
    <w:rsid w:val="00963A01"/>
    <w:rsid w:val="00963F29"/>
    <w:rsid w:val="009640D7"/>
    <w:rsid w:val="009647D1"/>
    <w:rsid w:val="009658F5"/>
    <w:rsid w:val="00965D6E"/>
    <w:rsid w:val="00965E81"/>
    <w:rsid w:val="0096662E"/>
    <w:rsid w:val="00966E6B"/>
    <w:rsid w:val="00967111"/>
    <w:rsid w:val="0096747D"/>
    <w:rsid w:val="0097001E"/>
    <w:rsid w:val="00970194"/>
    <w:rsid w:val="00970A84"/>
    <w:rsid w:val="00970D4B"/>
    <w:rsid w:val="00971ADC"/>
    <w:rsid w:val="00971C07"/>
    <w:rsid w:val="00971DBE"/>
    <w:rsid w:val="00971EE7"/>
    <w:rsid w:val="00971F0E"/>
    <w:rsid w:val="00972D0B"/>
    <w:rsid w:val="00972F8E"/>
    <w:rsid w:val="00972FA5"/>
    <w:rsid w:val="0097312F"/>
    <w:rsid w:val="00973148"/>
    <w:rsid w:val="0097377B"/>
    <w:rsid w:val="00973AB8"/>
    <w:rsid w:val="009741D7"/>
    <w:rsid w:val="0097434D"/>
    <w:rsid w:val="009743F1"/>
    <w:rsid w:val="00974D86"/>
    <w:rsid w:val="00974F10"/>
    <w:rsid w:val="0097503A"/>
    <w:rsid w:val="00975041"/>
    <w:rsid w:val="00975334"/>
    <w:rsid w:val="009754A2"/>
    <w:rsid w:val="00975615"/>
    <w:rsid w:val="009759FF"/>
    <w:rsid w:val="00975A08"/>
    <w:rsid w:val="009760A1"/>
    <w:rsid w:val="00976A91"/>
    <w:rsid w:val="00976FDF"/>
    <w:rsid w:val="0097792D"/>
    <w:rsid w:val="00980245"/>
    <w:rsid w:val="00980528"/>
    <w:rsid w:val="009827F8"/>
    <w:rsid w:val="00982C17"/>
    <w:rsid w:val="00982F8E"/>
    <w:rsid w:val="00983659"/>
    <w:rsid w:val="009836D5"/>
    <w:rsid w:val="009840CA"/>
    <w:rsid w:val="00984A38"/>
    <w:rsid w:val="0098537E"/>
    <w:rsid w:val="00985D50"/>
    <w:rsid w:val="00986239"/>
    <w:rsid w:val="00986431"/>
    <w:rsid w:val="00986EF7"/>
    <w:rsid w:val="00987158"/>
    <w:rsid w:val="009872F4"/>
    <w:rsid w:val="00987927"/>
    <w:rsid w:val="0099115C"/>
    <w:rsid w:val="0099165D"/>
    <w:rsid w:val="00991976"/>
    <w:rsid w:val="009919D9"/>
    <w:rsid w:val="00991ADC"/>
    <w:rsid w:val="00992C03"/>
    <w:rsid w:val="009931EE"/>
    <w:rsid w:val="009933D9"/>
    <w:rsid w:val="0099355C"/>
    <w:rsid w:val="00993875"/>
    <w:rsid w:val="0099393D"/>
    <w:rsid w:val="00993E5F"/>
    <w:rsid w:val="00994E77"/>
    <w:rsid w:val="0099547F"/>
    <w:rsid w:val="0099563A"/>
    <w:rsid w:val="009958C4"/>
    <w:rsid w:val="00996096"/>
    <w:rsid w:val="00996321"/>
    <w:rsid w:val="00996D2A"/>
    <w:rsid w:val="00997005"/>
    <w:rsid w:val="00997170"/>
    <w:rsid w:val="00997742"/>
    <w:rsid w:val="009979D1"/>
    <w:rsid w:val="009A0EE6"/>
    <w:rsid w:val="009A1128"/>
    <w:rsid w:val="009A1790"/>
    <w:rsid w:val="009A17D4"/>
    <w:rsid w:val="009A20AF"/>
    <w:rsid w:val="009A21EC"/>
    <w:rsid w:val="009A2E14"/>
    <w:rsid w:val="009A3AE1"/>
    <w:rsid w:val="009A413E"/>
    <w:rsid w:val="009A4869"/>
    <w:rsid w:val="009A57D4"/>
    <w:rsid w:val="009A5967"/>
    <w:rsid w:val="009A5A87"/>
    <w:rsid w:val="009A5C4E"/>
    <w:rsid w:val="009A5E00"/>
    <w:rsid w:val="009A6451"/>
    <w:rsid w:val="009A65E5"/>
    <w:rsid w:val="009A6B47"/>
    <w:rsid w:val="009A6F3C"/>
    <w:rsid w:val="009A73B3"/>
    <w:rsid w:val="009B015D"/>
    <w:rsid w:val="009B114E"/>
    <w:rsid w:val="009B1976"/>
    <w:rsid w:val="009B20E6"/>
    <w:rsid w:val="009B231D"/>
    <w:rsid w:val="009B3360"/>
    <w:rsid w:val="009B4231"/>
    <w:rsid w:val="009B4444"/>
    <w:rsid w:val="009B445D"/>
    <w:rsid w:val="009B5278"/>
    <w:rsid w:val="009B57F7"/>
    <w:rsid w:val="009B581D"/>
    <w:rsid w:val="009B5968"/>
    <w:rsid w:val="009B651B"/>
    <w:rsid w:val="009B712E"/>
    <w:rsid w:val="009B7A40"/>
    <w:rsid w:val="009B7CB1"/>
    <w:rsid w:val="009C0571"/>
    <w:rsid w:val="009C0811"/>
    <w:rsid w:val="009C2314"/>
    <w:rsid w:val="009C25E9"/>
    <w:rsid w:val="009C40A0"/>
    <w:rsid w:val="009C45CE"/>
    <w:rsid w:val="009C47A6"/>
    <w:rsid w:val="009C47B7"/>
    <w:rsid w:val="009C556E"/>
    <w:rsid w:val="009C5E12"/>
    <w:rsid w:val="009C6838"/>
    <w:rsid w:val="009C6907"/>
    <w:rsid w:val="009C6E91"/>
    <w:rsid w:val="009C7183"/>
    <w:rsid w:val="009C72E0"/>
    <w:rsid w:val="009C7379"/>
    <w:rsid w:val="009C75F6"/>
    <w:rsid w:val="009C7975"/>
    <w:rsid w:val="009C7AF4"/>
    <w:rsid w:val="009C7FB1"/>
    <w:rsid w:val="009D099C"/>
    <w:rsid w:val="009D0B6E"/>
    <w:rsid w:val="009D1997"/>
    <w:rsid w:val="009D221D"/>
    <w:rsid w:val="009D254F"/>
    <w:rsid w:val="009D2560"/>
    <w:rsid w:val="009D3634"/>
    <w:rsid w:val="009D364E"/>
    <w:rsid w:val="009D3CDD"/>
    <w:rsid w:val="009D440E"/>
    <w:rsid w:val="009D49CC"/>
    <w:rsid w:val="009D4AFF"/>
    <w:rsid w:val="009D4D1E"/>
    <w:rsid w:val="009D5239"/>
    <w:rsid w:val="009D65A9"/>
    <w:rsid w:val="009D70BE"/>
    <w:rsid w:val="009E0147"/>
    <w:rsid w:val="009E0981"/>
    <w:rsid w:val="009E0DF9"/>
    <w:rsid w:val="009E0EB8"/>
    <w:rsid w:val="009E0EBD"/>
    <w:rsid w:val="009E103E"/>
    <w:rsid w:val="009E14EA"/>
    <w:rsid w:val="009E1A69"/>
    <w:rsid w:val="009E1D4B"/>
    <w:rsid w:val="009E2243"/>
    <w:rsid w:val="009E34A2"/>
    <w:rsid w:val="009E4A10"/>
    <w:rsid w:val="009E4B6C"/>
    <w:rsid w:val="009E5637"/>
    <w:rsid w:val="009E5711"/>
    <w:rsid w:val="009E5C43"/>
    <w:rsid w:val="009E5D52"/>
    <w:rsid w:val="009E60DA"/>
    <w:rsid w:val="009E64DA"/>
    <w:rsid w:val="009E6610"/>
    <w:rsid w:val="009E6F9C"/>
    <w:rsid w:val="009E7376"/>
    <w:rsid w:val="009E73E0"/>
    <w:rsid w:val="009E79B5"/>
    <w:rsid w:val="009F01BA"/>
    <w:rsid w:val="009F01F6"/>
    <w:rsid w:val="009F0410"/>
    <w:rsid w:val="009F11B2"/>
    <w:rsid w:val="009F1FB8"/>
    <w:rsid w:val="009F22F4"/>
    <w:rsid w:val="009F23EB"/>
    <w:rsid w:val="009F2B0A"/>
    <w:rsid w:val="009F2B1F"/>
    <w:rsid w:val="009F30C2"/>
    <w:rsid w:val="009F3695"/>
    <w:rsid w:val="009F3AE3"/>
    <w:rsid w:val="009F41D2"/>
    <w:rsid w:val="009F4616"/>
    <w:rsid w:val="009F473B"/>
    <w:rsid w:val="009F4AF1"/>
    <w:rsid w:val="009F4BEF"/>
    <w:rsid w:val="009F4FBC"/>
    <w:rsid w:val="009F5198"/>
    <w:rsid w:val="009F5697"/>
    <w:rsid w:val="009F5893"/>
    <w:rsid w:val="009F5E2E"/>
    <w:rsid w:val="009F63DF"/>
    <w:rsid w:val="009F74B0"/>
    <w:rsid w:val="009F7790"/>
    <w:rsid w:val="009F7D90"/>
    <w:rsid w:val="00A0077C"/>
    <w:rsid w:val="00A01131"/>
    <w:rsid w:val="00A011C5"/>
    <w:rsid w:val="00A014B7"/>
    <w:rsid w:val="00A01A86"/>
    <w:rsid w:val="00A021B6"/>
    <w:rsid w:val="00A022AB"/>
    <w:rsid w:val="00A02F0A"/>
    <w:rsid w:val="00A031A3"/>
    <w:rsid w:val="00A0379D"/>
    <w:rsid w:val="00A037EA"/>
    <w:rsid w:val="00A03D17"/>
    <w:rsid w:val="00A04139"/>
    <w:rsid w:val="00A0471D"/>
    <w:rsid w:val="00A049AB"/>
    <w:rsid w:val="00A05177"/>
    <w:rsid w:val="00A05459"/>
    <w:rsid w:val="00A0595A"/>
    <w:rsid w:val="00A05960"/>
    <w:rsid w:val="00A05C7C"/>
    <w:rsid w:val="00A05F53"/>
    <w:rsid w:val="00A0604F"/>
    <w:rsid w:val="00A066CE"/>
    <w:rsid w:val="00A0704F"/>
    <w:rsid w:val="00A073C3"/>
    <w:rsid w:val="00A07ABD"/>
    <w:rsid w:val="00A10087"/>
    <w:rsid w:val="00A10250"/>
    <w:rsid w:val="00A1041C"/>
    <w:rsid w:val="00A10576"/>
    <w:rsid w:val="00A10F6C"/>
    <w:rsid w:val="00A11103"/>
    <w:rsid w:val="00A112E4"/>
    <w:rsid w:val="00A116C3"/>
    <w:rsid w:val="00A11EB8"/>
    <w:rsid w:val="00A121ED"/>
    <w:rsid w:val="00A13247"/>
    <w:rsid w:val="00A13996"/>
    <w:rsid w:val="00A13FAE"/>
    <w:rsid w:val="00A140F9"/>
    <w:rsid w:val="00A141F3"/>
    <w:rsid w:val="00A142AD"/>
    <w:rsid w:val="00A14450"/>
    <w:rsid w:val="00A147E9"/>
    <w:rsid w:val="00A14A79"/>
    <w:rsid w:val="00A15072"/>
    <w:rsid w:val="00A1528C"/>
    <w:rsid w:val="00A17453"/>
    <w:rsid w:val="00A2007B"/>
    <w:rsid w:val="00A20DE3"/>
    <w:rsid w:val="00A20F64"/>
    <w:rsid w:val="00A21851"/>
    <w:rsid w:val="00A21A2B"/>
    <w:rsid w:val="00A227DC"/>
    <w:rsid w:val="00A229BE"/>
    <w:rsid w:val="00A22A2C"/>
    <w:rsid w:val="00A22FD3"/>
    <w:rsid w:val="00A23408"/>
    <w:rsid w:val="00A23DF0"/>
    <w:rsid w:val="00A242F9"/>
    <w:rsid w:val="00A24D56"/>
    <w:rsid w:val="00A257CA"/>
    <w:rsid w:val="00A257EA"/>
    <w:rsid w:val="00A25A62"/>
    <w:rsid w:val="00A26A69"/>
    <w:rsid w:val="00A26E2A"/>
    <w:rsid w:val="00A2767C"/>
    <w:rsid w:val="00A30280"/>
    <w:rsid w:val="00A30793"/>
    <w:rsid w:val="00A30867"/>
    <w:rsid w:val="00A3107A"/>
    <w:rsid w:val="00A31ADD"/>
    <w:rsid w:val="00A32249"/>
    <w:rsid w:val="00A32254"/>
    <w:rsid w:val="00A329A1"/>
    <w:rsid w:val="00A32C9A"/>
    <w:rsid w:val="00A3392A"/>
    <w:rsid w:val="00A33BE7"/>
    <w:rsid w:val="00A33EA0"/>
    <w:rsid w:val="00A3405A"/>
    <w:rsid w:val="00A34149"/>
    <w:rsid w:val="00A3434F"/>
    <w:rsid w:val="00A34772"/>
    <w:rsid w:val="00A35618"/>
    <w:rsid w:val="00A35911"/>
    <w:rsid w:val="00A3604C"/>
    <w:rsid w:val="00A36268"/>
    <w:rsid w:val="00A36A77"/>
    <w:rsid w:val="00A37728"/>
    <w:rsid w:val="00A37CF8"/>
    <w:rsid w:val="00A40306"/>
    <w:rsid w:val="00A405B8"/>
    <w:rsid w:val="00A407EC"/>
    <w:rsid w:val="00A4113D"/>
    <w:rsid w:val="00A41195"/>
    <w:rsid w:val="00A414D0"/>
    <w:rsid w:val="00A41ADB"/>
    <w:rsid w:val="00A41E0D"/>
    <w:rsid w:val="00A423E5"/>
    <w:rsid w:val="00A42C33"/>
    <w:rsid w:val="00A434A7"/>
    <w:rsid w:val="00A437B6"/>
    <w:rsid w:val="00A43E9A"/>
    <w:rsid w:val="00A44FD8"/>
    <w:rsid w:val="00A45718"/>
    <w:rsid w:val="00A4674A"/>
    <w:rsid w:val="00A47342"/>
    <w:rsid w:val="00A47599"/>
    <w:rsid w:val="00A47C5B"/>
    <w:rsid w:val="00A50158"/>
    <w:rsid w:val="00A50F1B"/>
    <w:rsid w:val="00A51454"/>
    <w:rsid w:val="00A516E9"/>
    <w:rsid w:val="00A5172C"/>
    <w:rsid w:val="00A51B30"/>
    <w:rsid w:val="00A51BAB"/>
    <w:rsid w:val="00A5202E"/>
    <w:rsid w:val="00A52561"/>
    <w:rsid w:val="00A526B6"/>
    <w:rsid w:val="00A526EC"/>
    <w:rsid w:val="00A5366D"/>
    <w:rsid w:val="00A5376A"/>
    <w:rsid w:val="00A53D19"/>
    <w:rsid w:val="00A53F1C"/>
    <w:rsid w:val="00A54887"/>
    <w:rsid w:val="00A54B30"/>
    <w:rsid w:val="00A54BA2"/>
    <w:rsid w:val="00A55350"/>
    <w:rsid w:val="00A55516"/>
    <w:rsid w:val="00A55805"/>
    <w:rsid w:val="00A562E0"/>
    <w:rsid w:val="00A569A0"/>
    <w:rsid w:val="00A56DB9"/>
    <w:rsid w:val="00A56F5F"/>
    <w:rsid w:val="00A5768C"/>
    <w:rsid w:val="00A5796B"/>
    <w:rsid w:val="00A57A6C"/>
    <w:rsid w:val="00A57B07"/>
    <w:rsid w:val="00A60415"/>
    <w:rsid w:val="00A60F9F"/>
    <w:rsid w:val="00A617CD"/>
    <w:rsid w:val="00A61B98"/>
    <w:rsid w:val="00A62490"/>
    <w:rsid w:val="00A6276E"/>
    <w:rsid w:val="00A6280C"/>
    <w:rsid w:val="00A64143"/>
    <w:rsid w:val="00A643D0"/>
    <w:rsid w:val="00A6496E"/>
    <w:rsid w:val="00A650E5"/>
    <w:rsid w:val="00A65A47"/>
    <w:rsid w:val="00A7007B"/>
    <w:rsid w:val="00A7025F"/>
    <w:rsid w:val="00A70617"/>
    <w:rsid w:val="00A70768"/>
    <w:rsid w:val="00A715DB"/>
    <w:rsid w:val="00A71FA8"/>
    <w:rsid w:val="00A7256D"/>
    <w:rsid w:val="00A72EE6"/>
    <w:rsid w:val="00A738D8"/>
    <w:rsid w:val="00A73B1A"/>
    <w:rsid w:val="00A73BC4"/>
    <w:rsid w:val="00A73CDB"/>
    <w:rsid w:val="00A7476C"/>
    <w:rsid w:val="00A758D2"/>
    <w:rsid w:val="00A75963"/>
    <w:rsid w:val="00A759CE"/>
    <w:rsid w:val="00A765B2"/>
    <w:rsid w:val="00A76C79"/>
    <w:rsid w:val="00A77C8C"/>
    <w:rsid w:val="00A80731"/>
    <w:rsid w:val="00A80C0A"/>
    <w:rsid w:val="00A81176"/>
    <w:rsid w:val="00A8149E"/>
    <w:rsid w:val="00A81959"/>
    <w:rsid w:val="00A82301"/>
    <w:rsid w:val="00A82BDC"/>
    <w:rsid w:val="00A82C2B"/>
    <w:rsid w:val="00A82DD2"/>
    <w:rsid w:val="00A83359"/>
    <w:rsid w:val="00A839C8"/>
    <w:rsid w:val="00A83C15"/>
    <w:rsid w:val="00A8495E"/>
    <w:rsid w:val="00A84CDF"/>
    <w:rsid w:val="00A84D48"/>
    <w:rsid w:val="00A8509C"/>
    <w:rsid w:val="00A855BA"/>
    <w:rsid w:val="00A8561B"/>
    <w:rsid w:val="00A85D89"/>
    <w:rsid w:val="00A87312"/>
    <w:rsid w:val="00A90F19"/>
    <w:rsid w:val="00A91D02"/>
    <w:rsid w:val="00A91EC3"/>
    <w:rsid w:val="00A92548"/>
    <w:rsid w:val="00A92BDB"/>
    <w:rsid w:val="00A92D05"/>
    <w:rsid w:val="00A92E90"/>
    <w:rsid w:val="00A93177"/>
    <w:rsid w:val="00A9379A"/>
    <w:rsid w:val="00A9407D"/>
    <w:rsid w:val="00A94336"/>
    <w:rsid w:val="00A94719"/>
    <w:rsid w:val="00A959E1"/>
    <w:rsid w:val="00A962A6"/>
    <w:rsid w:val="00A964A8"/>
    <w:rsid w:val="00A9699A"/>
    <w:rsid w:val="00A97303"/>
    <w:rsid w:val="00A9745F"/>
    <w:rsid w:val="00AA0418"/>
    <w:rsid w:val="00AA10C8"/>
    <w:rsid w:val="00AA150B"/>
    <w:rsid w:val="00AA19E1"/>
    <w:rsid w:val="00AA20FC"/>
    <w:rsid w:val="00AA242B"/>
    <w:rsid w:val="00AA24B0"/>
    <w:rsid w:val="00AA2E9C"/>
    <w:rsid w:val="00AA2FDE"/>
    <w:rsid w:val="00AA333D"/>
    <w:rsid w:val="00AA3412"/>
    <w:rsid w:val="00AA3820"/>
    <w:rsid w:val="00AA393F"/>
    <w:rsid w:val="00AA44F8"/>
    <w:rsid w:val="00AA4BD0"/>
    <w:rsid w:val="00AA60CE"/>
    <w:rsid w:val="00AA68D8"/>
    <w:rsid w:val="00AA70DB"/>
    <w:rsid w:val="00AA7239"/>
    <w:rsid w:val="00AA7CFC"/>
    <w:rsid w:val="00AB023E"/>
    <w:rsid w:val="00AB0683"/>
    <w:rsid w:val="00AB0880"/>
    <w:rsid w:val="00AB0F2B"/>
    <w:rsid w:val="00AB1263"/>
    <w:rsid w:val="00AB141D"/>
    <w:rsid w:val="00AB1A61"/>
    <w:rsid w:val="00AB1AF9"/>
    <w:rsid w:val="00AB1C7B"/>
    <w:rsid w:val="00AB29FD"/>
    <w:rsid w:val="00AB33F3"/>
    <w:rsid w:val="00AB38E8"/>
    <w:rsid w:val="00AB3C80"/>
    <w:rsid w:val="00AB47D6"/>
    <w:rsid w:val="00AB4DC8"/>
    <w:rsid w:val="00AB4E08"/>
    <w:rsid w:val="00AB4E5D"/>
    <w:rsid w:val="00AB54D6"/>
    <w:rsid w:val="00AB552B"/>
    <w:rsid w:val="00AB746E"/>
    <w:rsid w:val="00AB7D6A"/>
    <w:rsid w:val="00AC01B8"/>
    <w:rsid w:val="00AC0678"/>
    <w:rsid w:val="00AC0F9E"/>
    <w:rsid w:val="00AC0FE5"/>
    <w:rsid w:val="00AC1FCF"/>
    <w:rsid w:val="00AC2007"/>
    <w:rsid w:val="00AC23A9"/>
    <w:rsid w:val="00AC2A5A"/>
    <w:rsid w:val="00AC2B99"/>
    <w:rsid w:val="00AC2FEE"/>
    <w:rsid w:val="00AC3AD7"/>
    <w:rsid w:val="00AC42EF"/>
    <w:rsid w:val="00AC4938"/>
    <w:rsid w:val="00AC50C3"/>
    <w:rsid w:val="00AC594A"/>
    <w:rsid w:val="00AC5BE6"/>
    <w:rsid w:val="00AC6338"/>
    <w:rsid w:val="00AC79B3"/>
    <w:rsid w:val="00AC7B6A"/>
    <w:rsid w:val="00AD04F2"/>
    <w:rsid w:val="00AD05BB"/>
    <w:rsid w:val="00AD09EC"/>
    <w:rsid w:val="00AD1329"/>
    <w:rsid w:val="00AD222B"/>
    <w:rsid w:val="00AD2884"/>
    <w:rsid w:val="00AD3131"/>
    <w:rsid w:val="00AD4415"/>
    <w:rsid w:val="00AD5473"/>
    <w:rsid w:val="00AD5774"/>
    <w:rsid w:val="00AD5ABC"/>
    <w:rsid w:val="00AD5EF9"/>
    <w:rsid w:val="00AD626E"/>
    <w:rsid w:val="00AD6669"/>
    <w:rsid w:val="00AD69DB"/>
    <w:rsid w:val="00AD6E5D"/>
    <w:rsid w:val="00AD6F6D"/>
    <w:rsid w:val="00AD754D"/>
    <w:rsid w:val="00AE049E"/>
    <w:rsid w:val="00AE0801"/>
    <w:rsid w:val="00AE17EE"/>
    <w:rsid w:val="00AE1F69"/>
    <w:rsid w:val="00AE1FEC"/>
    <w:rsid w:val="00AE222F"/>
    <w:rsid w:val="00AE2E3C"/>
    <w:rsid w:val="00AE3382"/>
    <w:rsid w:val="00AE33FC"/>
    <w:rsid w:val="00AE3C75"/>
    <w:rsid w:val="00AE3D8F"/>
    <w:rsid w:val="00AE47E8"/>
    <w:rsid w:val="00AE5CFF"/>
    <w:rsid w:val="00AE707C"/>
    <w:rsid w:val="00AE72D9"/>
    <w:rsid w:val="00AE7DF7"/>
    <w:rsid w:val="00AF06FC"/>
    <w:rsid w:val="00AF0919"/>
    <w:rsid w:val="00AF0D76"/>
    <w:rsid w:val="00AF1322"/>
    <w:rsid w:val="00AF1A32"/>
    <w:rsid w:val="00AF1C42"/>
    <w:rsid w:val="00AF204B"/>
    <w:rsid w:val="00AF245D"/>
    <w:rsid w:val="00AF2838"/>
    <w:rsid w:val="00AF28B9"/>
    <w:rsid w:val="00AF33A2"/>
    <w:rsid w:val="00AF409A"/>
    <w:rsid w:val="00AF4537"/>
    <w:rsid w:val="00AF48CB"/>
    <w:rsid w:val="00AF492F"/>
    <w:rsid w:val="00AF4A6B"/>
    <w:rsid w:val="00AF543E"/>
    <w:rsid w:val="00AF5B2B"/>
    <w:rsid w:val="00AF5C85"/>
    <w:rsid w:val="00AF5CF9"/>
    <w:rsid w:val="00AF60BB"/>
    <w:rsid w:val="00AF6538"/>
    <w:rsid w:val="00AF6E39"/>
    <w:rsid w:val="00B005F2"/>
    <w:rsid w:val="00B009C9"/>
    <w:rsid w:val="00B018C1"/>
    <w:rsid w:val="00B02382"/>
    <w:rsid w:val="00B0257E"/>
    <w:rsid w:val="00B02E26"/>
    <w:rsid w:val="00B0367C"/>
    <w:rsid w:val="00B038DE"/>
    <w:rsid w:val="00B03FC5"/>
    <w:rsid w:val="00B042F2"/>
    <w:rsid w:val="00B0537C"/>
    <w:rsid w:val="00B05BCC"/>
    <w:rsid w:val="00B05C1C"/>
    <w:rsid w:val="00B05FF6"/>
    <w:rsid w:val="00B064F2"/>
    <w:rsid w:val="00B06CE1"/>
    <w:rsid w:val="00B10125"/>
    <w:rsid w:val="00B107ED"/>
    <w:rsid w:val="00B1080B"/>
    <w:rsid w:val="00B11AAD"/>
    <w:rsid w:val="00B11E63"/>
    <w:rsid w:val="00B11E79"/>
    <w:rsid w:val="00B1247E"/>
    <w:rsid w:val="00B1268D"/>
    <w:rsid w:val="00B127D1"/>
    <w:rsid w:val="00B13C05"/>
    <w:rsid w:val="00B13C26"/>
    <w:rsid w:val="00B1438D"/>
    <w:rsid w:val="00B14A45"/>
    <w:rsid w:val="00B14A85"/>
    <w:rsid w:val="00B14BC4"/>
    <w:rsid w:val="00B14FA5"/>
    <w:rsid w:val="00B157F4"/>
    <w:rsid w:val="00B15D36"/>
    <w:rsid w:val="00B16627"/>
    <w:rsid w:val="00B1664A"/>
    <w:rsid w:val="00B1754F"/>
    <w:rsid w:val="00B1792F"/>
    <w:rsid w:val="00B17C60"/>
    <w:rsid w:val="00B20295"/>
    <w:rsid w:val="00B20B33"/>
    <w:rsid w:val="00B21558"/>
    <w:rsid w:val="00B21612"/>
    <w:rsid w:val="00B21DE3"/>
    <w:rsid w:val="00B21DEE"/>
    <w:rsid w:val="00B21F14"/>
    <w:rsid w:val="00B2225C"/>
    <w:rsid w:val="00B22BEB"/>
    <w:rsid w:val="00B22DA4"/>
    <w:rsid w:val="00B2354B"/>
    <w:rsid w:val="00B235CC"/>
    <w:rsid w:val="00B23BAF"/>
    <w:rsid w:val="00B243A3"/>
    <w:rsid w:val="00B2489C"/>
    <w:rsid w:val="00B2522F"/>
    <w:rsid w:val="00B2624D"/>
    <w:rsid w:val="00B26E07"/>
    <w:rsid w:val="00B2709D"/>
    <w:rsid w:val="00B27119"/>
    <w:rsid w:val="00B27A39"/>
    <w:rsid w:val="00B27AD0"/>
    <w:rsid w:val="00B30383"/>
    <w:rsid w:val="00B30B50"/>
    <w:rsid w:val="00B31022"/>
    <w:rsid w:val="00B314A2"/>
    <w:rsid w:val="00B32914"/>
    <w:rsid w:val="00B32A9D"/>
    <w:rsid w:val="00B33019"/>
    <w:rsid w:val="00B33271"/>
    <w:rsid w:val="00B332B8"/>
    <w:rsid w:val="00B33710"/>
    <w:rsid w:val="00B33A99"/>
    <w:rsid w:val="00B33E77"/>
    <w:rsid w:val="00B34B8B"/>
    <w:rsid w:val="00B34FD0"/>
    <w:rsid w:val="00B35689"/>
    <w:rsid w:val="00B35719"/>
    <w:rsid w:val="00B35A0F"/>
    <w:rsid w:val="00B360BF"/>
    <w:rsid w:val="00B3660A"/>
    <w:rsid w:val="00B37788"/>
    <w:rsid w:val="00B404BC"/>
    <w:rsid w:val="00B40AA4"/>
    <w:rsid w:val="00B41026"/>
    <w:rsid w:val="00B4271E"/>
    <w:rsid w:val="00B42B7C"/>
    <w:rsid w:val="00B43772"/>
    <w:rsid w:val="00B438B4"/>
    <w:rsid w:val="00B43B4C"/>
    <w:rsid w:val="00B43BAB"/>
    <w:rsid w:val="00B43D28"/>
    <w:rsid w:val="00B45106"/>
    <w:rsid w:val="00B45776"/>
    <w:rsid w:val="00B45EE9"/>
    <w:rsid w:val="00B466A2"/>
    <w:rsid w:val="00B466CE"/>
    <w:rsid w:val="00B47A0C"/>
    <w:rsid w:val="00B47C58"/>
    <w:rsid w:val="00B47D42"/>
    <w:rsid w:val="00B50243"/>
    <w:rsid w:val="00B50AF7"/>
    <w:rsid w:val="00B50DFE"/>
    <w:rsid w:val="00B512C8"/>
    <w:rsid w:val="00B51468"/>
    <w:rsid w:val="00B522CA"/>
    <w:rsid w:val="00B525B4"/>
    <w:rsid w:val="00B52741"/>
    <w:rsid w:val="00B52FAB"/>
    <w:rsid w:val="00B531E8"/>
    <w:rsid w:val="00B532DB"/>
    <w:rsid w:val="00B5347E"/>
    <w:rsid w:val="00B535BD"/>
    <w:rsid w:val="00B53707"/>
    <w:rsid w:val="00B537E4"/>
    <w:rsid w:val="00B53F4A"/>
    <w:rsid w:val="00B546BE"/>
    <w:rsid w:val="00B54B72"/>
    <w:rsid w:val="00B5534F"/>
    <w:rsid w:val="00B55532"/>
    <w:rsid w:val="00B556D4"/>
    <w:rsid w:val="00B55B42"/>
    <w:rsid w:val="00B56344"/>
    <w:rsid w:val="00B566DC"/>
    <w:rsid w:val="00B56DED"/>
    <w:rsid w:val="00B57C5A"/>
    <w:rsid w:val="00B602EF"/>
    <w:rsid w:val="00B606FA"/>
    <w:rsid w:val="00B6099F"/>
    <w:rsid w:val="00B60ABF"/>
    <w:rsid w:val="00B617CB"/>
    <w:rsid w:val="00B618E8"/>
    <w:rsid w:val="00B624C7"/>
    <w:rsid w:val="00B625AE"/>
    <w:rsid w:val="00B63025"/>
    <w:rsid w:val="00B64201"/>
    <w:rsid w:val="00B64258"/>
    <w:rsid w:val="00B64E04"/>
    <w:rsid w:val="00B65268"/>
    <w:rsid w:val="00B65444"/>
    <w:rsid w:val="00B6545B"/>
    <w:rsid w:val="00B65980"/>
    <w:rsid w:val="00B65DB2"/>
    <w:rsid w:val="00B6615A"/>
    <w:rsid w:val="00B66523"/>
    <w:rsid w:val="00B665BB"/>
    <w:rsid w:val="00B665D6"/>
    <w:rsid w:val="00B66953"/>
    <w:rsid w:val="00B673B7"/>
    <w:rsid w:val="00B67671"/>
    <w:rsid w:val="00B6794A"/>
    <w:rsid w:val="00B67CCD"/>
    <w:rsid w:val="00B67D77"/>
    <w:rsid w:val="00B67E72"/>
    <w:rsid w:val="00B67ECB"/>
    <w:rsid w:val="00B7035E"/>
    <w:rsid w:val="00B706D9"/>
    <w:rsid w:val="00B70EB1"/>
    <w:rsid w:val="00B716E6"/>
    <w:rsid w:val="00B718C2"/>
    <w:rsid w:val="00B719C4"/>
    <w:rsid w:val="00B71BDC"/>
    <w:rsid w:val="00B72BB1"/>
    <w:rsid w:val="00B738F2"/>
    <w:rsid w:val="00B73FB0"/>
    <w:rsid w:val="00B74072"/>
    <w:rsid w:val="00B74118"/>
    <w:rsid w:val="00B74A54"/>
    <w:rsid w:val="00B75850"/>
    <w:rsid w:val="00B75AC9"/>
    <w:rsid w:val="00B75F72"/>
    <w:rsid w:val="00B76635"/>
    <w:rsid w:val="00B76CA6"/>
    <w:rsid w:val="00B775A0"/>
    <w:rsid w:val="00B804DB"/>
    <w:rsid w:val="00B80644"/>
    <w:rsid w:val="00B80B37"/>
    <w:rsid w:val="00B8156D"/>
    <w:rsid w:val="00B81E8B"/>
    <w:rsid w:val="00B81FF1"/>
    <w:rsid w:val="00B8212A"/>
    <w:rsid w:val="00B8264A"/>
    <w:rsid w:val="00B82E86"/>
    <w:rsid w:val="00B834BE"/>
    <w:rsid w:val="00B8374D"/>
    <w:rsid w:val="00B83A4E"/>
    <w:rsid w:val="00B842DF"/>
    <w:rsid w:val="00B84459"/>
    <w:rsid w:val="00B85116"/>
    <w:rsid w:val="00B85B32"/>
    <w:rsid w:val="00B85F6E"/>
    <w:rsid w:val="00B86333"/>
    <w:rsid w:val="00B86676"/>
    <w:rsid w:val="00B86C1D"/>
    <w:rsid w:val="00B8703E"/>
    <w:rsid w:val="00B87576"/>
    <w:rsid w:val="00B877B1"/>
    <w:rsid w:val="00B901A2"/>
    <w:rsid w:val="00B905AC"/>
    <w:rsid w:val="00B9198D"/>
    <w:rsid w:val="00B91B6D"/>
    <w:rsid w:val="00B91E39"/>
    <w:rsid w:val="00B91ECB"/>
    <w:rsid w:val="00B91F24"/>
    <w:rsid w:val="00B922C1"/>
    <w:rsid w:val="00B92F79"/>
    <w:rsid w:val="00B9436C"/>
    <w:rsid w:val="00B946F3"/>
    <w:rsid w:val="00B94A0C"/>
    <w:rsid w:val="00B950DF"/>
    <w:rsid w:val="00B95609"/>
    <w:rsid w:val="00B95B49"/>
    <w:rsid w:val="00B9650A"/>
    <w:rsid w:val="00B96A36"/>
    <w:rsid w:val="00B96C27"/>
    <w:rsid w:val="00B979A6"/>
    <w:rsid w:val="00B97CA5"/>
    <w:rsid w:val="00BA02C1"/>
    <w:rsid w:val="00BA0428"/>
    <w:rsid w:val="00BA048F"/>
    <w:rsid w:val="00BA0B70"/>
    <w:rsid w:val="00BA0E25"/>
    <w:rsid w:val="00BA105A"/>
    <w:rsid w:val="00BA15E8"/>
    <w:rsid w:val="00BA15FB"/>
    <w:rsid w:val="00BA1866"/>
    <w:rsid w:val="00BA19AB"/>
    <w:rsid w:val="00BA251C"/>
    <w:rsid w:val="00BA2EB6"/>
    <w:rsid w:val="00BA337C"/>
    <w:rsid w:val="00BA36BA"/>
    <w:rsid w:val="00BA3980"/>
    <w:rsid w:val="00BA402D"/>
    <w:rsid w:val="00BA4AA9"/>
    <w:rsid w:val="00BA4F0B"/>
    <w:rsid w:val="00BA56ED"/>
    <w:rsid w:val="00BA622A"/>
    <w:rsid w:val="00BA657F"/>
    <w:rsid w:val="00BA72D6"/>
    <w:rsid w:val="00BA7CE9"/>
    <w:rsid w:val="00BB010B"/>
    <w:rsid w:val="00BB0302"/>
    <w:rsid w:val="00BB05ED"/>
    <w:rsid w:val="00BB0764"/>
    <w:rsid w:val="00BB11DA"/>
    <w:rsid w:val="00BB1935"/>
    <w:rsid w:val="00BB19D6"/>
    <w:rsid w:val="00BB1FE9"/>
    <w:rsid w:val="00BB24C7"/>
    <w:rsid w:val="00BB26AC"/>
    <w:rsid w:val="00BB27BA"/>
    <w:rsid w:val="00BB34B1"/>
    <w:rsid w:val="00BB37A1"/>
    <w:rsid w:val="00BB3A6B"/>
    <w:rsid w:val="00BB447B"/>
    <w:rsid w:val="00BB4A4D"/>
    <w:rsid w:val="00BB5451"/>
    <w:rsid w:val="00BB6D95"/>
    <w:rsid w:val="00BB6E35"/>
    <w:rsid w:val="00BB70B7"/>
    <w:rsid w:val="00BB7283"/>
    <w:rsid w:val="00BB748A"/>
    <w:rsid w:val="00BB7C55"/>
    <w:rsid w:val="00BC05FF"/>
    <w:rsid w:val="00BC06FE"/>
    <w:rsid w:val="00BC0812"/>
    <w:rsid w:val="00BC09D9"/>
    <w:rsid w:val="00BC0DC0"/>
    <w:rsid w:val="00BC0DFF"/>
    <w:rsid w:val="00BC169B"/>
    <w:rsid w:val="00BC16B8"/>
    <w:rsid w:val="00BC2075"/>
    <w:rsid w:val="00BC27A4"/>
    <w:rsid w:val="00BC2CEA"/>
    <w:rsid w:val="00BC3CA8"/>
    <w:rsid w:val="00BC3DAE"/>
    <w:rsid w:val="00BC3E77"/>
    <w:rsid w:val="00BC48E2"/>
    <w:rsid w:val="00BC5198"/>
    <w:rsid w:val="00BC55A5"/>
    <w:rsid w:val="00BC6897"/>
    <w:rsid w:val="00BC6C69"/>
    <w:rsid w:val="00BC6E5B"/>
    <w:rsid w:val="00BC7308"/>
    <w:rsid w:val="00BC78B9"/>
    <w:rsid w:val="00BC7B5C"/>
    <w:rsid w:val="00BD0285"/>
    <w:rsid w:val="00BD0461"/>
    <w:rsid w:val="00BD13FE"/>
    <w:rsid w:val="00BD14DE"/>
    <w:rsid w:val="00BD210F"/>
    <w:rsid w:val="00BD25A2"/>
    <w:rsid w:val="00BD2697"/>
    <w:rsid w:val="00BD2A41"/>
    <w:rsid w:val="00BD30ED"/>
    <w:rsid w:val="00BD336D"/>
    <w:rsid w:val="00BD3C44"/>
    <w:rsid w:val="00BD3EE9"/>
    <w:rsid w:val="00BD41B4"/>
    <w:rsid w:val="00BD4317"/>
    <w:rsid w:val="00BD4343"/>
    <w:rsid w:val="00BD4752"/>
    <w:rsid w:val="00BD475B"/>
    <w:rsid w:val="00BD4D81"/>
    <w:rsid w:val="00BD4E84"/>
    <w:rsid w:val="00BD50F0"/>
    <w:rsid w:val="00BD5223"/>
    <w:rsid w:val="00BD53C1"/>
    <w:rsid w:val="00BD593B"/>
    <w:rsid w:val="00BD5A0F"/>
    <w:rsid w:val="00BD792E"/>
    <w:rsid w:val="00BD7ACF"/>
    <w:rsid w:val="00BE00ED"/>
    <w:rsid w:val="00BE0F00"/>
    <w:rsid w:val="00BE122C"/>
    <w:rsid w:val="00BE1CE9"/>
    <w:rsid w:val="00BE270F"/>
    <w:rsid w:val="00BE33AD"/>
    <w:rsid w:val="00BE39BA"/>
    <w:rsid w:val="00BE4D0A"/>
    <w:rsid w:val="00BE4EBF"/>
    <w:rsid w:val="00BE52EB"/>
    <w:rsid w:val="00BE5D02"/>
    <w:rsid w:val="00BE616A"/>
    <w:rsid w:val="00BE6B01"/>
    <w:rsid w:val="00BE6D4F"/>
    <w:rsid w:val="00BE6F2C"/>
    <w:rsid w:val="00BE73E7"/>
    <w:rsid w:val="00BE741E"/>
    <w:rsid w:val="00BE74BC"/>
    <w:rsid w:val="00BE7CC3"/>
    <w:rsid w:val="00BF0391"/>
    <w:rsid w:val="00BF0B2E"/>
    <w:rsid w:val="00BF0FC7"/>
    <w:rsid w:val="00BF1335"/>
    <w:rsid w:val="00BF17D8"/>
    <w:rsid w:val="00BF1B09"/>
    <w:rsid w:val="00BF1C41"/>
    <w:rsid w:val="00BF1E4C"/>
    <w:rsid w:val="00BF2329"/>
    <w:rsid w:val="00BF2594"/>
    <w:rsid w:val="00BF2E98"/>
    <w:rsid w:val="00BF2EBB"/>
    <w:rsid w:val="00BF3138"/>
    <w:rsid w:val="00BF3146"/>
    <w:rsid w:val="00BF3AF1"/>
    <w:rsid w:val="00BF4152"/>
    <w:rsid w:val="00BF41EB"/>
    <w:rsid w:val="00BF4BA6"/>
    <w:rsid w:val="00BF4DA1"/>
    <w:rsid w:val="00BF518D"/>
    <w:rsid w:val="00BF520A"/>
    <w:rsid w:val="00BF5844"/>
    <w:rsid w:val="00BF5922"/>
    <w:rsid w:val="00BF627D"/>
    <w:rsid w:val="00BF6695"/>
    <w:rsid w:val="00BF6AF0"/>
    <w:rsid w:val="00BF7230"/>
    <w:rsid w:val="00BF7D08"/>
    <w:rsid w:val="00C01533"/>
    <w:rsid w:val="00C01C03"/>
    <w:rsid w:val="00C01C4F"/>
    <w:rsid w:val="00C01D69"/>
    <w:rsid w:val="00C0218D"/>
    <w:rsid w:val="00C0229D"/>
    <w:rsid w:val="00C025D8"/>
    <w:rsid w:val="00C02A07"/>
    <w:rsid w:val="00C03077"/>
    <w:rsid w:val="00C0316D"/>
    <w:rsid w:val="00C0319A"/>
    <w:rsid w:val="00C031FB"/>
    <w:rsid w:val="00C0343E"/>
    <w:rsid w:val="00C03A27"/>
    <w:rsid w:val="00C03BB7"/>
    <w:rsid w:val="00C03D5A"/>
    <w:rsid w:val="00C043E3"/>
    <w:rsid w:val="00C048FB"/>
    <w:rsid w:val="00C04BA8"/>
    <w:rsid w:val="00C04C06"/>
    <w:rsid w:val="00C04EA4"/>
    <w:rsid w:val="00C05179"/>
    <w:rsid w:val="00C05306"/>
    <w:rsid w:val="00C0547F"/>
    <w:rsid w:val="00C0575D"/>
    <w:rsid w:val="00C05F77"/>
    <w:rsid w:val="00C06B17"/>
    <w:rsid w:val="00C06CF2"/>
    <w:rsid w:val="00C0716B"/>
    <w:rsid w:val="00C10515"/>
    <w:rsid w:val="00C10B53"/>
    <w:rsid w:val="00C1101C"/>
    <w:rsid w:val="00C1193A"/>
    <w:rsid w:val="00C11B10"/>
    <w:rsid w:val="00C11DF4"/>
    <w:rsid w:val="00C12817"/>
    <w:rsid w:val="00C12F61"/>
    <w:rsid w:val="00C13073"/>
    <w:rsid w:val="00C131DC"/>
    <w:rsid w:val="00C13271"/>
    <w:rsid w:val="00C1361F"/>
    <w:rsid w:val="00C1375A"/>
    <w:rsid w:val="00C13996"/>
    <w:rsid w:val="00C13A88"/>
    <w:rsid w:val="00C13B46"/>
    <w:rsid w:val="00C14DCD"/>
    <w:rsid w:val="00C15E54"/>
    <w:rsid w:val="00C15F75"/>
    <w:rsid w:val="00C16136"/>
    <w:rsid w:val="00C166B3"/>
    <w:rsid w:val="00C16ED2"/>
    <w:rsid w:val="00C171D8"/>
    <w:rsid w:val="00C17B1E"/>
    <w:rsid w:val="00C20313"/>
    <w:rsid w:val="00C207BF"/>
    <w:rsid w:val="00C20CCB"/>
    <w:rsid w:val="00C20D64"/>
    <w:rsid w:val="00C21194"/>
    <w:rsid w:val="00C212B9"/>
    <w:rsid w:val="00C2173E"/>
    <w:rsid w:val="00C2184D"/>
    <w:rsid w:val="00C21EC9"/>
    <w:rsid w:val="00C21ED3"/>
    <w:rsid w:val="00C2223F"/>
    <w:rsid w:val="00C244C3"/>
    <w:rsid w:val="00C24A5E"/>
    <w:rsid w:val="00C25298"/>
    <w:rsid w:val="00C25408"/>
    <w:rsid w:val="00C262E0"/>
    <w:rsid w:val="00C26440"/>
    <w:rsid w:val="00C267D6"/>
    <w:rsid w:val="00C27B04"/>
    <w:rsid w:val="00C27CC7"/>
    <w:rsid w:val="00C304D0"/>
    <w:rsid w:val="00C3083E"/>
    <w:rsid w:val="00C30BEF"/>
    <w:rsid w:val="00C3117F"/>
    <w:rsid w:val="00C314CB"/>
    <w:rsid w:val="00C31697"/>
    <w:rsid w:val="00C31876"/>
    <w:rsid w:val="00C31AF7"/>
    <w:rsid w:val="00C3202C"/>
    <w:rsid w:val="00C3228B"/>
    <w:rsid w:val="00C32306"/>
    <w:rsid w:val="00C326C9"/>
    <w:rsid w:val="00C329CD"/>
    <w:rsid w:val="00C32D86"/>
    <w:rsid w:val="00C32E04"/>
    <w:rsid w:val="00C33229"/>
    <w:rsid w:val="00C33812"/>
    <w:rsid w:val="00C33BCD"/>
    <w:rsid w:val="00C3424F"/>
    <w:rsid w:val="00C349CC"/>
    <w:rsid w:val="00C34BE7"/>
    <w:rsid w:val="00C34E42"/>
    <w:rsid w:val="00C359FB"/>
    <w:rsid w:val="00C35A56"/>
    <w:rsid w:val="00C35E45"/>
    <w:rsid w:val="00C360D0"/>
    <w:rsid w:val="00C3662C"/>
    <w:rsid w:val="00C3690F"/>
    <w:rsid w:val="00C375C7"/>
    <w:rsid w:val="00C37EFF"/>
    <w:rsid w:val="00C40162"/>
    <w:rsid w:val="00C4021F"/>
    <w:rsid w:val="00C40261"/>
    <w:rsid w:val="00C40A0A"/>
    <w:rsid w:val="00C40A1D"/>
    <w:rsid w:val="00C40ABD"/>
    <w:rsid w:val="00C40EC8"/>
    <w:rsid w:val="00C4115D"/>
    <w:rsid w:val="00C4128A"/>
    <w:rsid w:val="00C419C1"/>
    <w:rsid w:val="00C41D6F"/>
    <w:rsid w:val="00C424E7"/>
    <w:rsid w:val="00C42758"/>
    <w:rsid w:val="00C434EF"/>
    <w:rsid w:val="00C43C77"/>
    <w:rsid w:val="00C43F9C"/>
    <w:rsid w:val="00C44691"/>
    <w:rsid w:val="00C45541"/>
    <w:rsid w:val="00C455F1"/>
    <w:rsid w:val="00C4575B"/>
    <w:rsid w:val="00C45B52"/>
    <w:rsid w:val="00C45BF2"/>
    <w:rsid w:val="00C460D4"/>
    <w:rsid w:val="00C46263"/>
    <w:rsid w:val="00C468E6"/>
    <w:rsid w:val="00C478D9"/>
    <w:rsid w:val="00C479F7"/>
    <w:rsid w:val="00C47E8C"/>
    <w:rsid w:val="00C5045F"/>
    <w:rsid w:val="00C5176A"/>
    <w:rsid w:val="00C518A3"/>
    <w:rsid w:val="00C51BA7"/>
    <w:rsid w:val="00C51C72"/>
    <w:rsid w:val="00C5222D"/>
    <w:rsid w:val="00C526C7"/>
    <w:rsid w:val="00C529BE"/>
    <w:rsid w:val="00C52A0A"/>
    <w:rsid w:val="00C5349D"/>
    <w:rsid w:val="00C536E2"/>
    <w:rsid w:val="00C53D12"/>
    <w:rsid w:val="00C5557F"/>
    <w:rsid w:val="00C55EAD"/>
    <w:rsid w:val="00C56025"/>
    <w:rsid w:val="00C5642D"/>
    <w:rsid w:val="00C56898"/>
    <w:rsid w:val="00C569EC"/>
    <w:rsid w:val="00C569F1"/>
    <w:rsid w:val="00C56F05"/>
    <w:rsid w:val="00C57418"/>
    <w:rsid w:val="00C574F2"/>
    <w:rsid w:val="00C57CC3"/>
    <w:rsid w:val="00C57E02"/>
    <w:rsid w:val="00C60B38"/>
    <w:rsid w:val="00C60D10"/>
    <w:rsid w:val="00C615C9"/>
    <w:rsid w:val="00C61978"/>
    <w:rsid w:val="00C61D5F"/>
    <w:rsid w:val="00C61E0D"/>
    <w:rsid w:val="00C61E11"/>
    <w:rsid w:val="00C62050"/>
    <w:rsid w:val="00C623B7"/>
    <w:rsid w:val="00C6270D"/>
    <w:rsid w:val="00C627FC"/>
    <w:rsid w:val="00C62A5E"/>
    <w:rsid w:val="00C63299"/>
    <w:rsid w:val="00C63724"/>
    <w:rsid w:val="00C63B25"/>
    <w:rsid w:val="00C64218"/>
    <w:rsid w:val="00C64FB7"/>
    <w:rsid w:val="00C65436"/>
    <w:rsid w:val="00C654AD"/>
    <w:rsid w:val="00C656B1"/>
    <w:rsid w:val="00C658B4"/>
    <w:rsid w:val="00C65952"/>
    <w:rsid w:val="00C65D70"/>
    <w:rsid w:val="00C65E55"/>
    <w:rsid w:val="00C65F05"/>
    <w:rsid w:val="00C661B2"/>
    <w:rsid w:val="00C66E3E"/>
    <w:rsid w:val="00C66FEF"/>
    <w:rsid w:val="00C67360"/>
    <w:rsid w:val="00C6739E"/>
    <w:rsid w:val="00C679A0"/>
    <w:rsid w:val="00C67E51"/>
    <w:rsid w:val="00C70ECD"/>
    <w:rsid w:val="00C713B9"/>
    <w:rsid w:val="00C71B8B"/>
    <w:rsid w:val="00C71F1C"/>
    <w:rsid w:val="00C72873"/>
    <w:rsid w:val="00C72956"/>
    <w:rsid w:val="00C729B2"/>
    <w:rsid w:val="00C72B84"/>
    <w:rsid w:val="00C73246"/>
    <w:rsid w:val="00C73723"/>
    <w:rsid w:val="00C738A1"/>
    <w:rsid w:val="00C74803"/>
    <w:rsid w:val="00C76714"/>
    <w:rsid w:val="00C774D0"/>
    <w:rsid w:val="00C77ABF"/>
    <w:rsid w:val="00C77CCA"/>
    <w:rsid w:val="00C80CF8"/>
    <w:rsid w:val="00C81895"/>
    <w:rsid w:val="00C81C03"/>
    <w:rsid w:val="00C82884"/>
    <w:rsid w:val="00C82C9E"/>
    <w:rsid w:val="00C82E3A"/>
    <w:rsid w:val="00C83485"/>
    <w:rsid w:val="00C83BA9"/>
    <w:rsid w:val="00C849AC"/>
    <w:rsid w:val="00C84FD2"/>
    <w:rsid w:val="00C84FF6"/>
    <w:rsid w:val="00C85C00"/>
    <w:rsid w:val="00C85C85"/>
    <w:rsid w:val="00C864AB"/>
    <w:rsid w:val="00C86CFD"/>
    <w:rsid w:val="00C87813"/>
    <w:rsid w:val="00C87B59"/>
    <w:rsid w:val="00C87BDE"/>
    <w:rsid w:val="00C87C66"/>
    <w:rsid w:val="00C87F65"/>
    <w:rsid w:val="00C90132"/>
    <w:rsid w:val="00C91B08"/>
    <w:rsid w:val="00C91DF5"/>
    <w:rsid w:val="00C92304"/>
    <w:rsid w:val="00C923C7"/>
    <w:rsid w:val="00C92504"/>
    <w:rsid w:val="00C9255C"/>
    <w:rsid w:val="00C925D9"/>
    <w:rsid w:val="00C92BB2"/>
    <w:rsid w:val="00C92D6D"/>
    <w:rsid w:val="00C930C2"/>
    <w:rsid w:val="00C93635"/>
    <w:rsid w:val="00C94907"/>
    <w:rsid w:val="00C94EEE"/>
    <w:rsid w:val="00C95027"/>
    <w:rsid w:val="00C95D32"/>
    <w:rsid w:val="00C962E6"/>
    <w:rsid w:val="00C9636B"/>
    <w:rsid w:val="00C963FB"/>
    <w:rsid w:val="00C967F2"/>
    <w:rsid w:val="00C96F33"/>
    <w:rsid w:val="00C97F46"/>
    <w:rsid w:val="00CA05D8"/>
    <w:rsid w:val="00CA1008"/>
    <w:rsid w:val="00CA146E"/>
    <w:rsid w:val="00CA1749"/>
    <w:rsid w:val="00CA1C39"/>
    <w:rsid w:val="00CA2050"/>
    <w:rsid w:val="00CA217D"/>
    <w:rsid w:val="00CA27DB"/>
    <w:rsid w:val="00CA30FA"/>
    <w:rsid w:val="00CA386D"/>
    <w:rsid w:val="00CA447C"/>
    <w:rsid w:val="00CA4DC9"/>
    <w:rsid w:val="00CA4E1B"/>
    <w:rsid w:val="00CA528A"/>
    <w:rsid w:val="00CA5D79"/>
    <w:rsid w:val="00CA5DF2"/>
    <w:rsid w:val="00CA63EF"/>
    <w:rsid w:val="00CA6468"/>
    <w:rsid w:val="00CA7068"/>
    <w:rsid w:val="00CA7D64"/>
    <w:rsid w:val="00CB0776"/>
    <w:rsid w:val="00CB0A94"/>
    <w:rsid w:val="00CB1664"/>
    <w:rsid w:val="00CB18C4"/>
    <w:rsid w:val="00CB1932"/>
    <w:rsid w:val="00CB1994"/>
    <w:rsid w:val="00CB1C6D"/>
    <w:rsid w:val="00CB1CFB"/>
    <w:rsid w:val="00CB1D9A"/>
    <w:rsid w:val="00CB2400"/>
    <w:rsid w:val="00CB3136"/>
    <w:rsid w:val="00CB330A"/>
    <w:rsid w:val="00CB35BA"/>
    <w:rsid w:val="00CB4416"/>
    <w:rsid w:val="00CB4F6A"/>
    <w:rsid w:val="00CB60E1"/>
    <w:rsid w:val="00CB63D2"/>
    <w:rsid w:val="00CB6EF7"/>
    <w:rsid w:val="00CB7E06"/>
    <w:rsid w:val="00CB7EED"/>
    <w:rsid w:val="00CC0945"/>
    <w:rsid w:val="00CC0F43"/>
    <w:rsid w:val="00CC11A2"/>
    <w:rsid w:val="00CC1216"/>
    <w:rsid w:val="00CC1B58"/>
    <w:rsid w:val="00CC2308"/>
    <w:rsid w:val="00CC239E"/>
    <w:rsid w:val="00CC2748"/>
    <w:rsid w:val="00CC2AC2"/>
    <w:rsid w:val="00CC32F5"/>
    <w:rsid w:val="00CC3361"/>
    <w:rsid w:val="00CC36AE"/>
    <w:rsid w:val="00CC3BB6"/>
    <w:rsid w:val="00CC3DC5"/>
    <w:rsid w:val="00CC4602"/>
    <w:rsid w:val="00CC5433"/>
    <w:rsid w:val="00CC5C3B"/>
    <w:rsid w:val="00CC5FE0"/>
    <w:rsid w:val="00CC62AF"/>
    <w:rsid w:val="00CC650F"/>
    <w:rsid w:val="00CC675F"/>
    <w:rsid w:val="00CC695C"/>
    <w:rsid w:val="00CC6D92"/>
    <w:rsid w:val="00CC7365"/>
    <w:rsid w:val="00CC768B"/>
    <w:rsid w:val="00CC7869"/>
    <w:rsid w:val="00CC7A79"/>
    <w:rsid w:val="00CD003D"/>
    <w:rsid w:val="00CD0C62"/>
    <w:rsid w:val="00CD168B"/>
    <w:rsid w:val="00CD1A42"/>
    <w:rsid w:val="00CD2695"/>
    <w:rsid w:val="00CD2843"/>
    <w:rsid w:val="00CD2E44"/>
    <w:rsid w:val="00CD33A1"/>
    <w:rsid w:val="00CD3A24"/>
    <w:rsid w:val="00CD3CCB"/>
    <w:rsid w:val="00CD3F00"/>
    <w:rsid w:val="00CD4686"/>
    <w:rsid w:val="00CD4E7E"/>
    <w:rsid w:val="00CD4F5A"/>
    <w:rsid w:val="00CD5487"/>
    <w:rsid w:val="00CD5AA2"/>
    <w:rsid w:val="00CD5C39"/>
    <w:rsid w:val="00CD5E6F"/>
    <w:rsid w:val="00CD6EA6"/>
    <w:rsid w:val="00CD716D"/>
    <w:rsid w:val="00CD7F75"/>
    <w:rsid w:val="00CE0362"/>
    <w:rsid w:val="00CE048E"/>
    <w:rsid w:val="00CE064B"/>
    <w:rsid w:val="00CE1D91"/>
    <w:rsid w:val="00CE2064"/>
    <w:rsid w:val="00CE2597"/>
    <w:rsid w:val="00CE2623"/>
    <w:rsid w:val="00CE28C5"/>
    <w:rsid w:val="00CE2927"/>
    <w:rsid w:val="00CE2B59"/>
    <w:rsid w:val="00CE3EFE"/>
    <w:rsid w:val="00CE4F37"/>
    <w:rsid w:val="00CE5229"/>
    <w:rsid w:val="00CE548F"/>
    <w:rsid w:val="00CE5C1E"/>
    <w:rsid w:val="00CE64F2"/>
    <w:rsid w:val="00CE6694"/>
    <w:rsid w:val="00CE66BF"/>
    <w:rsid w:val="00CE6A98"/>
    <w:rsid w:val="00CE6FFD"/>
    <w:rsid w:val="00CE78BC"/>
    <w:rsid w:val="00CF03BB"/>
    <w:rsid w:val="00CF0939"/>
    <w:rsid w:val="00CF116E"/>
    <w:rsid w:val="00CF11BE"/>
    <w:rsid w:val="00CF1409"/>
    <w:rsid w:val="00CF3323"/>
    <w:rsid w:val="00CF3BA1"/>
    <w:rsid w:val="00CF4599"/>
    <w:rsid w:val="00CF50D9"/>
    <w:rsid w:val="00CF511E"/>
    <w:rsid w:val="00CF57A6"/>
    <w:rsid w:val="00CF5D79"/>
    <w:rsid w:val="00CF61EE"/>
    <w:rsid w:val="00CF6586"/>
    <w:rsid w:val="00CF716F"/>
    <w:rsid w:val="00CF7A16"/>
    <w:rsid w:val="00CF7E31"/>
    <w:rsid w:val="00D000A7"/>
    <w:rsid w:val="00D002DC"/>
    <w:rsid w:val="00D00FAE"/>
    <w:rsid w:val="00D012E1"/>
    <w:rsid w:val="00D014AA"/>
    <w:rsid w:val="00D01B7C"/>
    <w:rsid w:val="00D0251D"/>
    <w:rsid w:val="00D02C2D"/>
    <w:rsid w:val="00D02D1B"/>
    <w:rsid w:val="00D02E78"/>
    <w:rsid w:val="00D03F7F"/>
    <w:rsid w:val="00D046B1"/>
    <w:rsid w:val="00D0488F"/>
    <w:rsid w:val="00D048D1"/>
    <w:rsid w:val="00D0493E"/>
    <w:rsid w:val="00D04C6E"/>
    <w:rsid w:val="00D06987"/>
    <w:rsid w:val="00D06A3C"/>
    <w:rsid w:val="00D06BAB"/>
    <w:rsid w:val="00D06E2B"/>
    <w:rsid w:val="00D0713E"/>
    <w:rsid w:val="00D07376"/>
    <w:rsid w:val="00D07B83"/>
    <w:rsid w:val="00D1013A"/>
    <w:rsid w:val="00D10C03"/>
    <w:rsid w:val="00D1128D"/>
    <w:rsid w:val="00D11735"/>
    <w:rsid w:val="00D119ED"/>
    <w:rsid w:val="00D1202B"/>
    <w:rsid w:val="00D120C1"/>
    <w:rsid w:val="00D12324"/>
    <w:rsid w:val="00D12407"/>
    <w:rsid w:val="00D12748"/>
    <w:rsid w:val="00D129B0"/>
    <w:rsid w:val="00D12D8E"/>
    <w:rsid w:val="00D131F3"/>
    <w:rsid w:val="00D131FC"/>
    <w:rsid w:val="00D134C8"/>
    <w:rsid w:val="00D13CD2"/>
    <w:rsid w:val="00D1487F"/>
    <w:rsid w:val="00D1576A"/>
    <w:rsid w:val="00D15CED"/>
    <w:rsid w:val="00D162F7"/>
    <w:rsid w:val="00D167F7"/>
    <w:rsid w:val="00D16AC2"/>
    <w:rsid w:val="00D16C61"/>
    <w:rsid w:val="00D16EB4"/>
    <w:rsid w:val="00D171CB"/>
    <w:rsid w:val="00D206E0"/>
    <w:rsid w:val="00D20712"/>
    <w:rsid w:val="00D207ED"/>
    <w:rsid w:val="00D20C20"/>
    <w:rsid w:val="00D2112A"/>
    <w:rsid w:val="00D2165F"/>
    <w:rsid w:val="00D21A42"/>
    <w:rsid w:val="00D21F63"/>
    <w:rsid w:val="00D22666"/>
    <w:rsid w:val="00D22754"/>
    <w:rsid w:val="00D23111"/>
    <w:rsid w:val="00D23438"/>
    <w:rsid w:val="00D23B8D"/>
    <w:rsid w:val="00D24205"/>
    <w:rsid w:val="00D2463C"/>
    <w:rsid w:val="00D24831"/>
    <w:rsid w:val="00D24E20"/>
    <w:rsid w:val="00D25346"/>
    <w:rsid w:val="00D256E8"/>
    <w:rsid w:val="00D25A0F"/>
    <w:rsid w:val="00D2645D"/>
    <w:rsid w:val="00D264C3"/>
    <w:rsid w:val="00D26781"/>
    <w:rsid w:val="00D276AB"/>
    <w:rsid w:val="00D27815"/>
    <w:rsid w:val="00D27E95"/>
    <w:rsid w:val="00D30132"/>
    <w:rsid w:val="00D30CA7"/>
    <w:rsid w:val="00D30DF7"/>
    <w:rsid w:val="00D30DFB"/>
    <w:rsid w:val="00D32502"/>
    <w:rsid w:val="00D32660"/>
    <w:rsid w:val="00D328D2"/>
    <w:rsid w:val="00D3371F"/>
    <w:rsid w:val="00D33A11"/>
    <w:rsid w:val="00D33BE1"/>
    <w:rsid w:val="00D33D08"/>
    <w:rsid w:val="00D33D47"/>
    <w:rsid w:val="00D3416B"/>
    <w:rsid w:val="00D345E9"/>
    <w:rsid w:val="00D3492E"/>
    <w:rsid w:val="00D3520E"/>
    <w:rsid w:val="00D35522"/>
    <w:rsid w:val="00D35AE0"/>
    <w:rsid w:val="00D3605D"/>
    <w:rsid w:val="00D361A3"/>
    <w:rsid w:val="00D36C9B"/>
    <w:rsid w:val="00D37006"/>
    <w:rsid w:val="00D374A7"/>
    <w:rsid w:val="00D37DBA"/>
    <w:rsid w:val="00D407B2"/>
    <w:rsid w:val="00D41464"/>
    <w:rsid w:val="00D41623"/>
    <w:rsid w:val="00D4180C"/>
    <w:rsid w:val="00D41923"/>
    <w:rsid w:val="00D41A2C"/>
    <w:rsid w:val="00D41BFC"/>
    <w:rsid w:val="00D41C8B"/>
    <w:rsid w:val="00D41E7C"/>
    <w:rsid w:val="00D42048"/>
    <w:rsid w:val="00D42075"/>
    <w:rsid w:val="00D42489"/>
    <w:rsid w:val="00D42583"/>
    <w:rsid w:val="00D42E3E"/>
    <w:rsid w:val="00D43A8A"/>
    <w:rsid w:val="00D43B22"/>
    <w:rsid w:val="00D43FFC"/>
    <w:rsid w:val="00D4422C"/>
    <w:rsid w:val="00D44CFC"/>
    <w:rsid w:val="00D500BA"/>
    <w:rsid w:val="00D503D5"/>
    <w:rsid w:val="00D508D4"/>
    <w:rsid w:val="00D5093E"/>
    <w:rsid w:val="00D50BCE"/>
    <w:rsid w:val="00D523CE"/>
    <w:rsid w:val="00D52567"/>
    <w:rsid w:val="00D5268F"/>
    <w:rsid w:val="00D5328A"/>
    <w:rsid w:val="00D536FE"/>
    <w:rsid w:val="00D544CC"/>
    <w:rsid w:val="00D54505"/>
    <w:rsid w:val="00D54810"/>
    <w:rsid w:val="00D55355"/>
    <w:rsid w:val="00D5545A"/>
    <w:rsid w:val="00D554F6"/>
    <w:rsid w:val="00D55CB2"/>
    <w:rsid w:val="00D561A5"/>
    <w:rsid w:val="00D56895"/>
    <w:rsid w:val="00D56D89"/>
    <w:rsid w:val="00D578A2"/>
    <w:rsid w:val="00D60EAC"/>
    <w:rsid w:val="00D61017"/>
    <w:rsid w:val="00D61165"/>
    <w:rsid w:val="00D61438"/>
    <w:rsid w:val="00D61E27"/>
    <w:rsid w:val="00D625F8"/>
    <w:rsid w:val="00D63798"/>
    <w:rsid w:val="00D638B4"/>
    <w:rsid w:val="00D6407D"/>
    <w:rsid w:val="00D643D8"/>
    <w:rsid w:val="00D643F6"/>
    <w:rsid w:val="00D644A0"/>
    <w:rsid w:val="00D64E48"/>
    <w:rsid w:val="00D65DB5"/>
    <w:rsid w:val="00D6601B"/>
    <w:rsid w:val="00D66528"/>
    <w:rsid w:val="00D66DF3"/>
    <w:rsid w:val="00D6755D"/>
    <w:rsid w:val="00D67996"/>
    <w:rsid w:val="00D67DC5"/>
    <w:rsid w:val="00D70903"/>
    <w:rsid w:val="00D70AAB"/>
    <w:rsid w:val="00D70FEE"/>
    <w:rsid w:val="00D720B4"/>
    <w:rsid w:val="00D72484"/>
    <w:rsid w:val="00D72516"/>
    <w:rsid w:val="00D72518"/>
    <w:rsid w:val="00D735EB"/>
    <w:rsid w:val="00D73726"/>
    <w:rsid w:val="00D73DF2"/>
    <w:rsid w:val="00D74178"/>
    <w:rsid w:val="00D7456C"/>
    <w:rsid w:val="00D74F35"/>
    <w:rsid w:val="00D75BD8"/>
    <w:rsid w:val="00D76479"/>
    <w:rsid w:val="00D76997"/>
    <w:rsid w:val="00D76A82"/>
    <w:rsid w:val="00D76CF0"/>
    <w:rsid w:val="00D773D1"/>
    <w:rsid w:val="00D774CF"/>
    <w:rsid w:val="00D77670"/>
    <w:rsid w:val="00D77E8E"/>
    <w:rsid w:val="00D8083E"/>
    <w:rsid w:val="00D8199A"/>
    <w:rsid w:val="00D828FE"/>
    <w:rsid w:val="00D82E9E"/>
    <w:rsid w:val="00D831FF"/>
    <w:rsid w:val="00D83480"/>
    <w:rsid w:val="00D83AE7"/>
    <w:rsid w:val="00D84062"/>
    <w:rsid w:val="00D84975"/>
    <w:rsid w:val="00D84C3E"/>
    <w:rsid w:val="00D85192"/>
    <w:rsid w:val="00D8531C"/>
    <w:rsid w:val="00D85DC2"/>
    <w:rsid w:val="00D86420"/>
    <w:rsid w:val="00D8699A"/>
    <w:rsid w:val="00D86F31"/>
    <w:rsid w:val="00D87983"/>
    <w:rsid w:val="00D902C9"/>
    <w:rsid w:val="00D9263A"/>
    <w:rsid w:val="00D92B2C"/>
    <w:rsid w:val="00D92BC4"/>
    <w:rsid w:val="00D93118"/>
    <w:rsid w:val="00D934FC"/>
    <w:rsid w:val="00D937AF"/>
    <w:rsid w:val="00D93C2C"/>
    <w:rsid w:val="00D940F4"/>
    <w:rsid w:val="00D95810"/>
    <w:rsid w:val="00D95C82"/>
    <w:rsid w:val="00D9607A"/>
    <w:rsid w:val="00D96203"/>
    <w:rsid w:val="00D965FC"/>
    <w:rsid w:val="00D968C3"/>
    <w:rsid w:val="00D973CC"/>
    <w:rsid w:val="00DA0022"/>
    <w:rsid w:val="00DA05CC"/>
    <w:rsid w:val="00DA107E"/>
    <w:rsid w:val="00DA1560"/>
    <w:rsid w:val="00DA2446"/>
    <w:rsid w:val="00DA28A1"/>
    <w:rsid w:val="00DA38E2"/>
    <w:rsid w:val="00DA3CCC"/>
    <w:rsid w:val="00DA3FF2"/>
    <w:rsid w:val="00DA46A3"/>
    <w:rsid w:val="00DA46C2"/>
    <w:rsid w:val="00DA5084"/>
    <w:rsid w:val="00DA56CD"/>
    <w:rsid w:val="00DA5A13"/>
    <w:rsid w:val="00DA5FB6"/>
    <w:rsid w:val="00DA6CD1"/>
    <w:rsid w:val="00DB02AB"/>
    <w:rsid w:val="00DB03D6"/>
    <w:rsid w:val="00DB0546"/>
    <w:rsid w:val="00DB07D9"/>
    <w:rsid w:val="00DB261E"/>
    <w:rsid w:val="00DB3892"/>
    <w:rsid w:val="00DB3E8B"/>
    <w:rsid w:val="00DB4065"/>
    <w:rsid w:val="00DB49DD"/>
    <w:rsid w:val="00DB5505"/>
    <w:rsid w:val="00DB676F"/>
    <w:rsid w:val="00DB7343"/>
    <w:rsid w:val="00DB7385"/>
    <w:rsid w:val="00DB7CE5"/>
    <w:rsid w:val="00DC0359"/>
    <w:rsid w:val="00DC04CE"/>
    <w:rsid w:val="00DC08E8"/>
    <w:rsid w:val="00DC0B01"/>
    <w:rsid w:val="00DC0C91"/>
    <w:rsid w:val="00DC1858"/>
    <w:rsid w:val="00DC1A03"/>
    <w:rsid w:val="00DC1F31"/>
    <w:rsid w:val="00DC236D"/>
    <w:rsid w:val="00DC24E6"/>
    <w:rsid w:val="00DC24F0"/>
    <w:rsid w:val="00DC2F9A"/>
    <w:rsid w:val="00DC35C9"/>
    <w:rsid w:val="00DC3ABB"/>
    <w:rsid w:val="00DC4410"/>
    <w:rsid w:val="00DC460B"/>
    <w:rsid w:val="00DC48F7"/>
    <w:rsid w:val="00DC49AF"/>
    <w:rsid w:val="00DC5670"/>
    <w:rsid w:val="00DC647A"/>
    <w:rsid w:val="00DC69C0"/>
    <w:rsid w:val="00DC6D75"/>
    <w:rsid w:val="00DC6E12"/>
    <w:rsid w:val="00DC6FDA"/>
    <w:rsid w:val="00DC73D3"/>
    <w:rsid w:val="00DC74B7"/>
    <w:rsid w:val="00DC74EF"/>
    <w:rsid w:val="00DC794F"/>
    <w:rsid w:val="00DD0CF8"/>
    <w:rsid w:val="00DD1079"/>
    <w:rsid w:val="00DD12A4"/>
    <w:rsid w:val="00DD17BC"/>
    <w:rsid w:val="00DD1B9F"/>
    <w:rsid w:val="00DD24D2"/>
    <w:rsid w:val="00DD2A3A"/>
    <w:rsid w:val="00DD30B2"/>
    <w:rsid w:val="00DD32CB"/>
    <w:rsid w:val="00DD3351"/>
    <w:rsid w:val="00DD3600"/>
    <w:rsid w:val="00DD39D5"/>
    <w:rsid w:val="00DD4AF9"/>
    <w:rsid w:val="00DD515E"/>
    <w:rsid w:val="00DD552B"/>
    <w:rsid w:val="00DD5532"/>
    <w:rsid w:val="00DD560A"/>
    <w:rsid w:val="00DD629F"/>
    <w:rsid w:val="00DD6582"/>
    <w:rsid w:val="00DD6A16"/>
    <w:rsid w:val="00DD7630"/>
    <w:rsid w:val="00DD7689"/>
    <w:rsid w:val="00DD780D"/>
    <w:rsid w:val="00DD78E3"/>
    <w:rsid w:val="00DD79F8"/>
    <w:rsid w:val="00DD7BB8"/>
    <w:rsid w:val="00DE03FF"/>
    <w:rsid w:val="00DE04B9"/>
    <w:rsid w:val="00DE0F66"/>
    <w:rsid w:val="00DE1128"/>
    <w:rsid w:val="00DE123F"/>
    <w:rsid w:val="00DE1340"/>
    <w:rsid w:val="00DE1774"/>
    <w:rsid w:val="00DE1A7D"/>
    <w:rsid w:val="00DE1B22"/>
    <w:rsid w:val="00DE246F"/>
    <w:rsid w:val="00DE285E"/>
    <w:rsid w:val="00DE2D32"/>
    <w:rsid w:val="00DE2DFB"/>
    <w:rsid w:val="00DE3F8D"/>
    <w:rsid w:val="00DE42BC"/>
    <w:rsid w:val="00DE4378"/>
    <w:rsid w:val="00DE4AB5"/>
    <w:rsid w:val="00DE4AF9"/>
    <w:rsid w:val="00DE4CA4"/>
    <w:rsid w:val="00DE4F74"/>
    <w:rsid w:val="00DE57E5"/>
    <w:rsid w:val="00DE58EE"/>
    <w:rsid w:val="00DE5A5F"/>
    <w:rsid w:val="00DE5A74"/>
    <w:rsid w:val="00DE5CBA"/>
    <w:rsid w:val="00DE5DD8"/>
    <w:rsid w:val="00DE5EC6"/>
    <w:rsid w:val="00DE5F90"/>
    <w:rsid w:val="00DE6237"/>
    <w:rsid w:val="00DE65FC"/>
    <w:rsid w:val="00DE6780"/>
    <w:rsid w:val="00DE6C21"/>
    <w:rsid w:val="00DF088F"/>
    <w:rsid w:val="00DF1738"/>
    <w:rsid w:val="00DF1CAA"/>
    <w:rsid w:val="00DF200B"/>
    <w:rsid w:val="00DF2520"/>
    <w:rsid w:val="00DF2961"/>
    <w:rsid w:val="00DF3533"/>
    <w:rsid w:val="00DF35DB"/>
    <w:rsid w:val="00DF4285"/>
    <w:rsid w:val="00DF4928"/>
    <w:rsid w:val="00DF4A4E"/>
    <w:rsid w:val="00DF4BC1"/>
    <w:rsid w:val="00DF5A6A"/>
    <w:rsid w:val="00DF5D85"/>
    <w:rsid w:val="00DF5E32"/>
    <w:rsid w:val="00DF6387"/>
    <w:rsid w:val="00DF6D23"/>
    <w:rsid w:val="00DF6EAC"/>
    <w:rsid w:val="00DF7117"/>
    <w:rsid w:val="00DF7A6C"/>
    <w:rsid w:val="00DF7A9D"/>
    <w:rsid w:val="00DF7B94"/>
    <w:rsid w:val="00E00402"/>
    <w:rsid w:val="00E004C5"/>
    <w:rsid w:val="00E00BBC"/>
    <w:rsid w:val="00E00CA0"/>
    <w:rsid w:val="00E02794"/>
    <w:rsid w:val="00E029A2"/>
    <w:rsid w:val="00E02B7A"/>
    <w:rsid w:val="00E041E4"/>
    <w:rsid w:val="00E049A3"/>
    <w:rsid w:val="00E05970"/>
    <w:rsid w:val="00E07033"/>
    <w:rsid w:val="00E07240"/>
    <w:rsid w:val="00E0751F"/>
    <w:rsid w:val="00E07DDB"/>
    <w:rsid w:val="00E10414"/>
    <w:rsid w:val="00E10952"/>
    <w:rsid w:val="00E10E78"/>
    <w:rsid w:val="00E10F5F"/>
    <w:rsid w:val="00E11126"/>
    <w:rsid w:val="00E115BB"/>
    <w:rsid w:val="00E124F6"/>
    <w:rsid w:val="00E1290A"/>
    <w:rsid w:val="00E12DB8"/>
    <w:rsid w:val="00E12F21"/>
    <w:rsid w:val="00E13A89"/>
    <w:rsid w:val="00E1472C"/>
    <w:rsid w:val="00E14988"/>
    <w:rsid w:val="00E1520D"/>
    <w:rsid w:val="00E154D3"/>
    <w:rsid w:val="00E1589B"/>
    <w:rsid w:val="00E15D8F"/>
    <w:rsid w:val="00E15D9D"/>
    <w:rsid w:val="00E1638F"/>
    <w:rsid w:val="00E16737"/>
    <w:rsid w:val="00E16B3F"/>
    <w:rsid w:val="00E16D97"/>
    <w:rsid w:val="00E16DBC"/>
    <w:rsid w:val="00E17072"/>
    <w:rsid w:val="00E17117"/>
    <w:rsid w:val="00E17184"/>
    <w:rsid w:val="00E176B6"/>
    <w:rsid w:val="00E17800"/>
    <w:rsid w:val="00E17B6A"/>
    <w:rsid w:val="00E17ED4"/>
    <w:rsid w:val="00E2065F"/>
    <w:rsid w:val="00E20C3C"/>
    <w:rsid w:val="00E2103A"/>
    <w:rsid w:val="00E21276"/>
    <w:rsid w:val="00E2159A"/>
    <w:rsid w:val="00E21CA1"/>
    <w:rsid w:val="00E22B01"/>
    <w:rsid w:val="00E22C42"/>
    <w:rsid w:val="00E23DA5"/>
    <w:rsid w:val="00E23EE0"/>
    <w:rsid w:val="00E2432F"/>
    <w:rsid w:val="00E25D89"/>
    <w:rsid w:val="00E25FB5"/>
    <w:rsid w:val="00E26170"/>
    <w:rsid w:val="00E26FC9"/>
    <w:rsid w:val="00E27869"/>
    <w:rsid w:val="00E30766"/>
    <w:rsid w:val="00E3091D"/>
    <w:rsid w:val="00E30B0E"/>
    <w:rsid w:val="00E3110C"/>
    <w:rsid w:val="00E312F6"/>
    <w:rsid w:val="00E31916"/>
    <w:rsid w:val="00E319FF"/>
    <w:rsid w:val="00E31D4C"/>
    <w:rsid w:val="00E3216D"/>
    <w:rsid w:val="00E3233B"/>
    <w:rsid w:val="00E325F8"/>
    <w:rsid w:val="00E32682"/>
    <w:rsid w:val="00E32A24"/>
    <w:rsid w:val="00E32C44"/>
    <w:rsid w:val="00E32C48"/>
    <w:rsid w:val="00E32CAD"/>
    <w:rsid w:val="00E32F06"/>
    <w:rsid w:val="00E33338"/>
    <w:rsid w:val="00E33E0C"/>
    <w:rsid w:val="00E33FDF"/>
    <w:rsid w:val="00E34698"/>
    <w:rsid w:val="00E349F3"/>
    <w:rsid w:val="00E3527D"/>
    <w:rsid w:val="00E368BC"/>
    <w:rsid w:val="00E373C2"/>
    <w:rsid w:val="00E3786E"/>
    <w:rsid w:val="00E37D06"/>
    <w:rsid w:val="00E40574"/>
    <w:rsid w:val="00E40B1E"/>
    <w:rsid w:val="00E40BE2"/>
    <w:rsid w:val="00E412DC"/>
    <w:rsid w:val="00E4154E"/>
    <w:rsid w:val="00E41BC3"/>
    <w:rsid w:val="00E42647"/>
    <w:rsid w:val="00E427AF"/>
    <w:rsid w:val="00E42B17"/>
    <w:rsid w:val="00E42E6A"/>
    <w:rsid w:val="00E42FB4"/>
    <w:rsid w:val="00E4316B"/>
    <w:rsid w:val="00E4344E"/>
    <w:rsid w:val="00E43B64"/>
    <w:rsid w:val="00E44B9A"/>
    <w:rsid w:val="00E45269"/>
    <w:rsid w:val="00E4653D"/>
    <w:rsid w:val="00E470A2"/>
    <w:rsid w:val="00E47716"/>
    <w:rsid w:val="00E47D4D"/>
    <w:rsid w:val="00E50E58"/>
    <w:rsid w:val="00E50FDD"/>
    <w:rsid w:val="00E515F3"/>
    <w:rsid w:val="00E5247D"/>
    <w:rsid w:val="00E52F9B"/>
    <w:rsid w:val="00E530AE"/>
    <w:rsid w:val="00E536E1"/>
    <w:rsid w:val="00E53717"/>
    <w:rsid w:val="00E53B05"/>
    <w:rsid w:val="00E53EB1"/>
    <w:rsid w:val="00E54D2D"/>
    <w:rsid w:val="00E55118"/>
    <w:rsid w:val="00E555FC"/>
    <w:rsid w:val="00E56581"/>
    <w:rsid w:val="00E56C6F"/>
    <w:rsid w:val="00E56F8A"/>
    <w:rsid w:val="00E60604"/>
    <w:rsid w:val="00E609ED"/>
    <w:rsid w:val="00E60F4D"/>
    <w:rsid w:val="00E61ABD"/>
    <w:rsid w:val="00E622E2"/>
    <w:rsid w:val="00E6245C"/>
    <w:rsid w:val="00E625D7"/>
    <w:rsid w:val="00E62B7B"/>
    <w:rsid w:val="00E63FE2"/>
    <w:rsid w:val="00E64944"/>
    <w:rsid w:val="00E64E68"/>
    <w:rsid w:val="00E651FE"/>
    <w:rsid w:val="00E652CF"/>
    <w:rsid w:val="00E65325"/>
    <w:rsid w:val="00E65BB6"/>
    <w:rsid w:val="00E66008"/>
    <w:rsid w:val="00E6621A"/>
    <w:rsid w:val="00E66735"/>
    <w:rsid w:val="00E66AB2"/>
    <w:rsid w:val="00E66B9A"/>
    <w:rsid w:val="00E67106"/>
    <w:rsid w:val="00E6765E"/>
    <w:rsid w:val="00E67D02"/>
    <w:rsid w:val="00E704A1"/>
    <w:rsid w:val="00E707E8"/>
    <w:rsid w:val="00E707F5"/>
    <w:rsid w:val="00E7145B"/>
    <w:rsid w:val="00E71538"/>
    <w:rsid w:val="00E7180D"/>
    <w:rsid w:val="00E71A00"/>
    <w:rsid w:val="00E72038"/>
    <w:rsid w:val="00E72CD8"/>
    <w:rsid w:val="00E72D19"/>
    <w:rsid w:val="00E73171"/>
    <w:rsid w:val="00E737B6"/>
    <w:rsid w:val="00E73CDB"/>
    <w:rsid w:val="00E73D2E"/>
    <w:rsid w:val="00E73EA2"/>
    <w:rsid w:val="00E73F66"/>
    <w:rsid w:val="00E744B9"/>
    <w:rsid w:val="00E7483E"/>
    <w:rsid w:val="00E7496A"/>
    <w:rsid w:val="00E74A6B"/>
    <w:rsid w:val="00E74E8B"/>
    <w:rsid w:val="00E75132"/>
    <w:rsid w:val="00E7544C"/>
    <w:rsid w:val="00E75915"/>
    <w:rsid w:val="00E76347"/>
    <w:rsid w:val="00E77656"/>
    <w:rsid w:val="00E77738"/>
    <w:rsid w:val="00E80E2E"/>
    <w:rsid w:val="00E8183B"/>
    <w:rsid w:val="00E81D01"/>
    <w:rsid w:val="00E830B8"/>
    <w:rsid w:val="00E834D1"/>
    <w:rsid w:val="00E83F10"/>
    <w:rsid w:val="00E84131"/>
    <w:rsid w:val="00E842D3"/>
    <w:rsid w:val="00E8430A"/>
    <w:rsid w:val="00E84E0C"/>
    <w:rsid w:val="00E8699F"/>
    <w:rsid w:val="00E9022F"/>
    <w:rsid w:val="00E903B2"/>
    <w:rsid w:val="00E9053B"/>
    <w:rsid w:val="00E908C0"/>
    <w:rsid w:val="00E90970"/>
    <w:rsid w:val="00E90D5B"/>
    <w:rsid w:val="00E915F0"/>
    <w:rsid w:val="00E918F7"/>
    <w:rsid w:val="00E9214B"/>
    <w:rsid w:val="00E921B5"/>
    <w:rsid w:val="00E92DF2"/>
    <w:rsid w:val="00E92F40"/>
    <w:rsid w:val="00E93075"/>
    <w:rsid w:val="00E93575"/>
    <w:rsid w:val="00E93776"/>
    <w:rsid w:val="00E938EC"/>
    <w:rsid w:val="00E94430"/>
    <w:rsid w:val="00E94B0C"/>
    <w:rsid w:val="00E96526"/>
    <w:rsid w:val="00E975C2"/>
    <w:rsid w:val="00E97923"/>
    <w:rsid w:val="00E97A3D"/>
    <w:rsid w:val="00E97C5B"/>
    <w:rsid w:val="00E97CD2"/>
    <w:rsid w:val="00E97E8A"/>
    <w:rsid w:val="00E97F5C"/>
    <w:rsid w:val="00E97FB1"/>
    <w:rsid w:val="00EA0EB6"/>
    <w:rsid w:val="00EA0FC7"/>
    <w:rsid w:val="00EA2070"/>
    <w:rsid w:val="00EA267E"/>
    <w:rsid w:val="00EA28F5"/>
    <w:rsid w:val="00EA2F5B"/>
    <w:rsid w:val="00EA32C4"/>
    <w:rsid w:val="00EA330C"/>
    <w:rsid w:val="00EA33BE"/>
    <w:rsid w:val="00EA342A"/>
    <w:rsid w:val="00EA3574"/>
    <w:rsid w:val="00EA3971"/>
    <w:rsid w:val="00EA3A26"/>
    <w:rsid w:val="00EA46BD"/>
    <w:rsid w:val="00EA48EA"/>
    <w:rsid w:val="00EA4BB3"/>
    <w:rsid w:val="00EA526A"/>
    <w:rsid w:val="00EA5BAB"/>
    <w:rsid w:val="00EA61DC"/>
    <w:rsid w:val="00EA69F8"/>
    <w:rsid w:val="00EA6C2D"/>
    <w:rsid w:val="00EA70C9"/>
    <w:rsid w:val="00EA727D"/>
    <w:rsid w:val="00EA7901"/>
    <w:rsid w:val="00EA7A75"/>
    <w:rsid w:val="00EB02BD"/>
    <w:rsid w:val="00EB05D9"/>
    <w:rsid w:val="00EB075E"/>
    <w:rsid w:val="00EB07FF"/>
    <w:rsid w:val="00EB0A05"/>
    <w:rsid w:val="00EB0C78"/>
    <w:rsid w:val="00EB1246"/>
    <w:rsid w:val="00EB1E14"/>
    <w:rsid w:val="00EB2040"/>
    <w:rsid w:val="00EB23AE"/>
    <w:rsid w:val="00EB3CFB"/>
    <w:rsid w:val="00EB40C5"/>
    <w:rsid w:val="00EB4575"/>
    <w:rsid w:val="00EB47FF"/>
    <w:rsid w:val="00EB49FD"/>
    <w:rsid w:val="00EB5200"/>
    <w:rsid w:val="00EB5263"/>
    <w:rsid w:val="00EB6703"/>
    <w:rsid w:val="00EB6909"/>
    <w:rsid w:val="00EB6C87"/>
    <w:rsid w:val="00EB73B0"/>
    <w:rsid w:val="00EB780D"/>
    <w:rsid w:val="00EC000E"/>
    <w:rsid w:val="00EC03B7"/>
    <w:rsid w:val="00EC0716"/>
    <w:rsid w:val="00EC0C73"/>
    <w:rsid w:val="00EC125D"/>
    <w:rsid w:val="00EC13F0"/>
    <w:rsid w:val="00EC2138"/>
    <w:rsid w:val="00EC2554"/>
    <w:rsid w:val="00EC29ED"/>
    <w:rsid w:val="00EC2A6C"/>
    <w:rsid w:val="00EC377D"/>
    <w:rsid w:val="00EC4418"/>
    <w:rsid w:val="00EC4C6E"/>
    <w:rsid w:val="00EC519C"/>
    <w:rsid w:val="00EC5373"/>
    <w:rsid w:val="00EC54B7"/>
    <w:rsid w:val="00EC5837"/>
    <w:rsid w:val="00EC58A1"/>
    <w:rsid w:val="00EC5947"/>
    <w:rsid w:val="00EC5A5C"/>
    <w:rsid w:val="00EC68CA"/>
    <w:rsid w:val="00EC6B34"/>
    <w:rsid w:val="00EC6B4E"/>
    <w:rsid w:val="00EC6BE3"/>
    <w:rsid w:val="00EC7AF3"/>
    <w:rsid w:val="00ED0050"/>
    <w:rsid w:val="00ED0128"/>
    <w:rsid w:val="00ED057F"/>
    <w:rsid w:val="00ED069F"/>
    <w:rsid w:val="00ED1415"/>
    <w:rsid w:val="00ED1502"/>
    <w:rsid w:val="00ED1569"/>
    <w:rsid w:val="00ED1BE1"/>
    <w:rsid w:val="00ED1FC9"/>
    <w:rsid w:val="00ED233F"/>
    <w:rsid w:val="00ED32F9"/>
    <w:rsid w:val="00ED3345"/>
    <w:rsid w:val="00ED37C0"/>
    <w:rsid w:val="00ED39BD"/>
    <w:rsid w:val="00ED39D9"/>
    <w:rsid w:val="00ED49CF"/>
    <w:rsid w:val="00ED4A0B"/>
    <w:rsid w:val="00ED4ACE"/>
    <w:rsid w:val="00ED55E2"/>
    <w:rsid w:val="00ED59C9"/>
    <w:rsid w:val="00ED5ABE"/>
    <w:rsid w:val="00ED621C"/>
    <w:rsid w:val="00ED62CB"/>
    <w:rsid w:val="00ED6607"/>
    <w:rsid w:val="00ED78F2"/>
    <w:rsid w:val="00ED793D"/>
    <w:rsid w:val="00ED7E97"/>
    <w:rsid w:val="00EE0DCB"/>
    <w:rsid w:val="00EE1075"/>
    <w:rsid w:val="00EE115A"/>
    <w:rsid w:val="00EE11E4"/>
    <w:rsid w:val="00EE1202"/>
    <w:rsid w:val="00EE13BC"/>
    <w:rsid w:val="00EE149B"/>
    <w:rsid w:val="00EE18D7"/>
    <w:rsid w:val="00EE2B0E"/>
    <w:rsid w:val="00EE3129"/>
    <w:rsid w:val="00EE3E33"/>
    <w:rsid w:val="00EE4192"/>
    <w:rsid w:val="00EE42D3"/>
    <w:rsid w:val="00EE49B0"/>
    <w:rsid w:val="00EE4C03"/>
    <w:rsid w:val="00EE4F9A"/>
    <w:rsid w:val="00EE54CC"/>
    <w:rsid w:val="00EE577F"/>
    <w:rsid w:val="00EE6C38"/>
    <w:rsid w:val="00EE7567"/>
    <w:rsid w:val="00EF04C0"/>
    <w:rsid w:val="00EF083C"/>
    <w:rsid w:val="00EF0D6A"/>
    <w:rsid w:val="00EF12A7"/>
    <w:rsid w:val="00EF1EC1"/>
    <w:rsid w:val="00EF2793"/>
    <w:rsid w:val="00EF2C0E"/>
    <w:rsid w:val="00EF2C9E"/>
    <w:rsid w:val="00EF2E3F"/>
    <w:rsid w:val="00EF324C"/>
    <w:rsid w:val="00EF324F"/>
    <w:rsid w:val="00EF36DE"/>
    <w:rsid w:val="00EF3CD1"/>
    <w:rsid w:val="00EF40CF"/>
    <w:rsid w:val="00EF4A69"/>
    <w:rsid w:val="00EF4C05"/>
    <w:rsid w:val="00EF4C74"/>
    <w:rsid w:val="00EF500D"/>
    <w:rsid w:val="00EF5371"/>
    <w:rsid w:val="00EF5B57"/>
    <w:rsid w:val="00EF7308"/>
    <w:rsid w:val="00EF743F"/>
    <w:rsid w:val="00EF7867"/>
    <w:rsid w:val="00EF7E37"/>
    <w:rsid w:val="00F001F1"/>
    <w:rsid w:val="00F003F7"/>
    <w:rsid w:val="00F00748"/>
    <w:rsid w:val="00F012BD"/>
    <w:rsid w:val="00F02047"/>
    <w:rsid w:val="00F02250"/>
    <w:rsid w:val="00F0269F"/>
    <w:rsid w:val="00F0275C"/>
    <w:rsid w:val="00F02B9C"/>
    <w:rsid w:val="00F02C12"/>
    <w:rsid w:val="00F0433E"/>
    <w:rsid w:val="00F045CE"/>
    <w:rsid w:val="00F04648"/>
    <w:rsid w:val="00F04A56"/>
    <w:rsid w:val="00F05330"/>
    <w:rsid w:val="00F057EE"/>
    <w:rsid w:val="00F0587E"/>
    <w:rsid w:val="00F062B8"/>
    <w:rsid w:val="00F06456"/>
    <w:rsid w:val="00F06593"/>
    <w:rsid w:val="00F0697D"/>
    <w:rsid w:val="00F06986"/>
    <w:rsid w:val="00F0762E"/>
    <w:rsid w:val="00F076B1"/>
    <w:rsid w:val="00F07BCA"/>
    <w:rsid w:val="00F107E9"/>
    <w:rsid w:val="00F10D63"/>
    <w:rsid w:val="00F112CC"/>
    <w:rsid w:val="00F119BE"/>
    <w:rsid w:val="00F11A80"/>
    <w:rsid w:val="00F1205C"/>
    <w:rsid w:val="00F1245D"/>
    <w:rsid w:val="00F1257B"/>
    <w:rsid w:val="00F12A8F"/>
    <w:rsid w:val="00F135A9"/>
    <w:rsid w:val="00F13D59"/>
    <w:rsid w:val="00F13F09"/>
    <w:rsid w:val="00F143FE"/>
    <w:rsid w:val="00F1448F"/>
    <w:rsid w:val="00F14904"/>
    <w:rsid w:val="00F150CC"/>
    <w:rsid w:val="00F15215"/>
    <w:rsid w:val="00F154CF"/>
    <w:rsid w:val="00F1560C"/>
    <w:rsid w:val="00F15C9C"/>
    <w:rsid w:val="00F16305"/>
    <w:rsid w:val="00F169BC"/>
    <w:rsid w:val="00F16C53"/>
    <w:rsid w:val="00F17213"/>
    <w:rsid w:val="00F176FF"/>
    <w:rsid w:val="00F17A1B"/>
    <w:rsid w:val="00F201B8"/>
    <w:rsid w:val="00F20EE8"/>
    <w:rsid w:val="00F211B7"/>
    <w:rsid w:val="00F215B2"/>
    <w:rsid w:val="00F22350"/>
    <w:rsid w:val="00F224E0"/>
    <w:rsid w:val="00F22663"/>
    <w:rsid w:val="00F22843"/>
    <w:rsid w:val="00F228C9"/>
    <w:rsid w:val="00F228D8"/>
    <w:rsid w:val="00F2327F"/>
    <w:rsid w:val="00F23687"/>
    <w:rsid w:val="00F24B99"/>
    <w:rsid w:val="00F25668"/>
    <w:rsid w:val="00F263CE"/>
    <w:rsid w:val="00F2659C"/>
    <w:rsid w:val="00F2685F"/>
    <w:rsid w:val="00F2688E"/>
    <w:rsid w:val="00F27054"/>
    <w:rsid w:val="00F2714A"/>
    <w:rsid w:val="00F2730B"/>
    <w:rsid w:val="00F2754E"/>
    <w:rsid w:val="00F2784B"/>
    <w:rsid w:val="00F27A65"/>
    <w:rsid w:val="00F27EEF"/>
    <w:rsid w:val="00F302B7"/>
    <w:rsid w:val="00F307E7"/>
    <w:rsid w:val="00F30992"/>
    <w:rsid w:val="00F31C4B"/>
    <w:rsid w:val="00F31D27"/>
    <w:rsid w:val="00F321F9"/>
    <w:rsid w:val="00F326D1"/>
    <w:rsid w:val="00F32FB9"/>
    <w:rsid w:val="00F333D9"/>
    <w:rsid w:val="00F338E8"/>
    <w:rsid w:val="00F33AC6"/>
    <w:rsid w:val="00F34063"/>
    <w:rsid w:val="00F3417B"/>
    <w:rsid w:val="00F3446C"/>
    <w:rsid w:val="00F34E30"/>
    <w:rsid w:val="00F35382"/>
    <w:rsid w:val="00F35856"/>
    <w:rsid w:val="00F358C6"/>
    <w:rsid w:val="00F35D56"/>
    <w:rsid w:val="00F361C1"/>
    <w:rsid w:val="00F364E6"/>
    <w:rsid w:val="00F36CDE"/>
    <w:rsid w:val="00F40004"/>
    <w:rsid w:val="00F40221"/>
    <w:rsid w:val="00F405E1"/>
    <w:rsid w:val="00F40837"/>
    <w:rsid w:val="00F40945"/>
    <w:rsid w:val="00F415E0"/>
    <w:rsid w:val="00F416C0"/>
    <w:rsid w:val="00F42153"/>
    <w:rsid w:val="00F4215E"/>
    <w:rsid w:val="00F423CC"/>
    <w:rsid w:val="00F42476"/>
    <w:rsid w:val="00F425B7"/>
    <w:rsid w:val="00F42AC9"/>
    <w:rsid w:val="00F42C97"/>
    <w:rsid w:val="00F43A10"/>
    <w:rsid w:val="00F43B34"/>
    <w:rsid w:val="00F44382"/>
    <w:rsid w:val="00F44F2C"/>
    <w:rsid w:val="00F45483"/>
    <w:rsid w:val="00F46369"/>
    <w:rsid w:val="00F463FF"/>
    <w:rsid w:val="00F4687E"/>
    <w:rsid w:val="00F46D88"/>
    <w:rsid w:val="00F47A92"/>
    <w:rsid w:val="00F47C1B"/>
    <w:rsid w:val="00F47E96"/>
    <w:rsid w:val="00F47EBF"/>
    <w:rsid w:val="00F50036"/>
    <w:rsid w:val="00F50327"/>
    <w:rsid w:val="00F50576"/>
    <w:rsid w:val="00F50701"/>
    <w:rsid w:val="00F50FF8"/>
    <w:rsid w:val="00F5193B"/>
    <w:rsid w:val="00F51B7E"/>
    <w:rsid w:val="00F51BE6"/>
    <w:rsid w:val="00F51EEA"/>
    <w:rsid w:val="00F51FB2"/>
    <w:rsid w:val="00F526B0"/>
    <w:rsid w:val="00F53242"/>
    <w:rsid w:val="00F53297"/>
    <w:rsid w:val="00F53415"/>
    <w:rsid w:val="00F53C4B"/>
    <w:rsid w:val="00F5497B"/>
    <w:rsid w:val="00F558FE"/>
    <w:rsid w:val="00F55BEA"/>
    <w:rsid w:val="00F56335"/>
    <w:rsid w:val="00F56681"/>
    <w:rsid w:val="00F573CF"/>
    <w:rsid w:val="00F602B8"/>
    <w:rsid w:val="00F617B0"/>
    <w:rsid w:val="00F6191B"/>
    <w:rsid w:val="00F62610"/>
    <w:rsid w:val="00F62BE8"/>
    <w:rsid w:val="00F633E9"/>
    <w:rsid w:val="00F633FD"/>
    <w:rsid w:val="00F64768"/>
    <w:rsid w:val="00F64C0A"/>
    <w:rsid w:val="00F64FFD"/>
    <w:rsid w:val="00F6599F"/>
    <w:rsid w:val="00F65C7E"/>
    <w:rsid w:val="00F66368"/>
    <w:rsid w:val="00F6636A"/>
    <w:rsid w:val="00F66E96"/>
    <w:rsid w:val="00F6751C"/>
    <w:rsid w:val="00F67857"/>
    <w:rsid w:val="00F67916"/>
    <w:rsid w:val="00F67AE5"/>
    <w:rsid w:val="00F7037A"/>
    <w:rsid w:val="00F70BAD"/>
    <w:rsid w:val="00F711F2"/>
    <w:rsid w:val="00F71DBD"/>
    <w:rsid w:val="00F71EC0"/>
    <w:rsid w:val="00F72F99"/>
    <w:rsid w:val="00F7367E"/>
    <w:rsid w:val="00F73A40"/>
    <w:rsid w:val="00F73A4D"/>
    <w:rsid w:val="00F74115"/>
    <w:rsid w:val="00F742E8"/>
    <w:rsid w:val="00F74738"/>
    <w:rsid w:val="00F74865"/>
    <w:rsid w:val="00F74BE7"/>
    <w:rsid w:val="00F75DDE"/>
    <w:rsid w:val="00F76475"/>
    <w:rsid w:val="00F76A55"/>
    <w:rsid w:val="00F80182"/>
    <w:rsid w:val="00F805E3"/>
    <w:rsid w:val="00F80ADB"/>
    <w:rsid w:val="00F80CBF"/>
    <w:rsid w:val="00F81BD5"/>
    <w:rsid w:val="00F81DB8"/>
    <w:rsid w:val="00F82662"/>
    <w:rsid w:val="00F827FB"/>
    <w:rsid w:val="00F836DF"/>
    <w:rsid w:val="00F848D7"/>
    <w:rsid w:val="00F85CA8"/>
    <w:rsid w:val="00F86B26"/>
    <w:rsid w:val="00F86FF9"/>
    <w:rsid w:val="00F8719B"/>
    <w:rsid w:val="00F91377"/>
    <w:rsid w:val="00F92296"/>
    <w:rsid w:val="00F92998"/>
    <w:rsid w:val="00F93F9A"/>
    <w:rsid w:val="00F94DB2"/>
    <w:rsid w:val="00F957E3"/>
    <w:rsid w:val="00F96463"/>
    <w:rsid w:val="00F96E5C"/>
    <w:rsid w:val="00F96F18"/>
    <w:rsid w:val="00F97099"/>
    <w:rsid w:val="00FA003E"/>
    <w:rsid w:val="00FA006D"/>
    <w:rsid w:val="00FA059E"/>
    <w:rsid w:val="00FA0A96"/>
    <w:rsid w:val="00FA0DC9"/>
    <w:rsid w:val="00FA1050"/>
    <w:rsid w:val="00FA29A3"/>
    <w:rsid w:val="00FA2F3F"/>
    <w:rsid w:val="00FA36D6"/>
    <w:rsid w:val="00FA38F0"/>
    <w:rsid w:val="00FA4570"/>
    <w:rsid w:val="00FA46C5"/>
    <w:rsid w:val="00FA4DAB"/>
    <w:rsid w:val="00FA5004"/>
    <w:rsid w:val="00FA5862"/>
    <w:rsid w:val="00FA5BB6"/>
    <w:rsid w:val="00FA5F61"/>
    <w:rsid w:val="00FA64B2"/>
    <w:rsid w:val="00FA6D7C"/>
    <w:rsid w:val="00FA6E3E"/>
    <w:rsid w:val="00FA7687"/>
    <w:rsid w:val="00FA77A0"/>
    <w:rsid w:val="00FA7FA0"/>
    <w:rsid w:val="00FB0476"/>
    <w:rsid w:val="00FB1007"/>
    <w:rsid w:val="00FB1570"/>
    <w:rsid w:val="00FB1624"/>
    <w:rsid w:val="00FB1745"/>
    <w:rsid w:val="00FB17E8"/>
    <w:rsid w:val="00FB1ED7"/>
    <w:rsid w:val="00FB28F3"/>
    <w:rsid w:val="00FB31A4"/>
    <w:rsid w:val="00FB397F"/>
    <w:rsid w:val="00FB3CAB"/>
    <w:rsid w:val="00FB3CAC"/>
    <w:rsid w:val="00FB3F31"/>
    <w:rsid w:val="00FB40FF"/>
    <w:rsid w:val="00FB43D2"/>
    <w:rsid w:val="00FB4A7B"/>
    <w:rsid w:val="00FB4DD2"/>
    <w:rsid w:val="00FB4E3C"/>
    <w:rsid w:val="00FB542F"/>
    <w:rsid w:val="00FB5B5A"/>
    <w:rsid w:val="00FB5D18"/>
    <w:rsid w:val="00FB6612"/>
    <w:rsid w:val="00FB68F9"/>
    <w:rsid w:val="00FB6E22"/>
    <w:rsid w:val="00FB7535"/>
    <w:rsid w:val="00FB7593"/>
    <w:rsid w:val="00FB783C"/>
    <w:rsid w:val="00FB7FAC"/>
    <w:rsid w:val="00FC0A90"/>
    <w:rsid w:val="00FC1507"/>
    <w:rsid w:val="00FC17DA"/>
    <w:rsid w:val="00FC1ACB"/>
    <w:rsid w:val="00FC2143"/>
    <w:rsid w:val="00FC23AF"/>
    <w:rsid w:val="00FC2A62"/>
    <w:rsid w:val="00FC2D36"/>
    <w:rsid w:val="00FC343C"/>
    <w:rsid w:val="00FC362E"/>
    <w:rsid w:val="00FC36CA"/>
    <w:rsid w:val="00FC39DC"/>
    <w:rsid w:val="00FC41FC"/>
    <w:rsid w:val="00FC5DA7"/>
    <w:rsid w:val="00FC643A"/>
    <w:rsid w:val="00FC66C7"/>
    <w:rsid w:val="00FC6B47"/>
    <w:rsid w:val="00FC6EC7"/>
    <w:rsid w:val="00FD0146"/>
    <w:rsid w:val="00FD0627"/>
    <w:rsid w:val="00FD0A27"/>
    <w:rsid w:val="00FD1427"/>
    <w:rsid w:val="00FD1711"/>
    <w:rsid w:val="00FD214C"/>
    <w:rsid w:val="00FD2733"/>
    <w:rsid w:val="00FD2A15"/>
    <w:rsid w:val="00FD2A60"/>
    <w:rsid w:val="00FD344B"/>
    <w:rsid w:val="00FD3CC1"/>
    <w:rsid w:val="00FD3D6B"/>
    <w:rsid w:val="00FD4497"/>
    <w:rsid w:val="00FD485F"/>
    <w:rsid w:val="00FD4AD3"/>
    <w:rsid w:val="00FD4FF4"/>
    <w:rsid w:val="00FD54E8"/>
    <w:rsid w:val="00FD56C1"/>
    <w:rsid w:val="00FD5724"/>
    <w:rsid w:val="00FD6BA3"/>
    <w:rsid w:val="00FD72D5"/>
    <w:rsid w:val="00FD78AB"/>
    <w:rsid w:val="00FE0929"/>
    <w:rsid w:val="00FE2CA1"/>
    <w:rsid w:val="00FE3C13"/>
    <w:rsid w:val="00FE3E01"/>
    <w:rsid w:val="00FE3E4C"/>
    <w:rsid w:val="00FE3F07"/>
    <w:rsid w:val="00FE454B"/>
    <w:rsid w:val="00FE481C"/>
    <w:rsid w:val="00FE49DF"/>
    <w:rsid w:val="00FE4A2A"/>
    <w:rsid w:val="00FE4E0A"/>
    <w:rsid w:val="00FE59CF"/>
    <w:rsid w:val="00FE5A4B"/>
    <w:rsid w:val="00FE5E9F"/>
    <w:rsid w:val="00FE60A5"/>
    <w:rsid w:val="00FE616A"/>
    <w:rsid w:val="00FE6245"/>
    <w:rsid w:val="00FE6630"/>
    <w:rsid w:val="00FE7760"/>
    <w:rsid w:val="00FF0453"/>
    <w:rsid w:val="00FF0980"/>
    <w:rsid w:val="00FF09DE"/>
    <w:rsid w:val="00FF0B77"/>
    <w:rsid w:val="00FF227D"/>
    <w:rsid w:val="00FF2321"/>
    <w:rsid w:val="00FF257B"/>
    <w:rsid w:val="00FF2633"/>
    <w:rsid w:val="00FF272F"/>
    <w:rsid w:val="00FF3A12"/>
    <w:rsid w:val="00FF3DE6"/>
    <w:rsid w:val="00FF424F"/>
    <w:rsid w:val="00FF457C"/>
    <w:rsid w:val="00FF4787"/>
    <w:rsid w:val="00FF47B3"/>
    <w:rsid w:val="00FF5568"/>
    <w:rsid w:val="00FF5C2F"/>
    <w:rsid w:val="00FF71A6"/>
    <w:rsid w:val="00FF7545"/>
    <w:rsid w:val="18B33330"/>
    <w:rsid w:val="2077DE42"/>
    <w:rsid w:val="24E89F44"/>
    <w:rsid w:val="712F51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38222EB"/>
  <w15:chartTrackingRefBased/>
  <w15:docId w15:val="{C43047EB-6690-4FD2-A13C-345482F84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FE"/>
    <w:pPr>
      <w:widowControl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C61E1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61E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61E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61E11"/>
    <w:pPr>
      <w:keepNext/>
      <w:spacing w:before="240" w:after="60"/>
      <w:outlineLvl w:val="3"/>
    </w:pPr>
    <w:rPr>
      <w:b/>
      <w:bCs/>
      <w:sz w:val="28"/>
      <w:szCs w:val="28"/>
    </w:rPr>
  </w:style>
  <w:style w:type="paragraph" w:styleId="Heading5">
    <w:name w:val="heading 5"/>
    <w:basedOn w:val="Normal"/>
    <w:next w:val="Normal"/>
    <w:link w:val="Heading5Char"/>
    <w:qFormat/>
    <w:rsid w:val="00C61E11"/>
    <w:pPr>
      <w:spacing w:before="240" w:after="60"/>
      <w:outlineLvl w:val="4"/>
    </w:pPr>
    <w:rPr>
      <w:b/>
      <w:bCs/>
      <w:i/>
      <w:iCs/>
      <w:sz w:val="26"/>
      <w:szCs w:val="26"/>
    </w:rPr>
  </w:style>
  <w:style w:type="paragraph" w:styleId="Heading6">
    <w:name w:val="heading 6"/>
    <w:basedOn w:val="Normal"/>
    <w:next w:val="Normal"/>
    <w:link w:val="Heading6Char"/>
    <w:qFormat/>
    <w:rsid w:val="00C61E11"/>
    <w:pPr>
      <w:spacing w:before="240" w:after="60"/>
      <w:outlineLvl w:val="5"/>
    </w:pPr>
    <w:rPr>
      <w:b/>
      <w:bCs/>
      <w:sz w:val="22"/>
      <w:szCs w:val="22"/>
    </w:rPr>
  </w:style>
  <w:style w:type="paragraph" w:styleId="Heading7">
    <w:name w:val="heading 7"/>
    <w:basedOn w:val="Normal"/>
    <w:next w:val="Normal"/>
    <w:link w:val="Heading7Char"/>
    <w:qFormat/>
    <w:rsid w:val="00C61E11"/>
    <w:pPr>
      <w:spacing w:before="240" w:after="60"/>
      <w:outlineLvl w:val="6"/>
    </w:pPr>
  </w:style>
  <w:style w:type="paragraph" w:styleId="Heading8">
    <w:name w:val="heading 8"/>
    <w:basedOn w:val="Normal"/>
    <w:next w:val="Normal"/>
    <w:link w:val="Heading8Char"/>
    <w:qFormat/>
    <w:rsid w:val="00C61E11"/>
    <w:pPr>
      <w:spacing w:before="240" w:after="60"/>
      <w:outlineLvl w:val="7"/>
    </w:pPr>
    <w:rPr>
      <w:i/>
      <w:iCs/>
    </w:rPr>
  </w:style>
  <w:style w:type="paragraph" w:styleId="Heading9">
    <w:name w:val="heading 9"/>
    <w:basedOn w:val="Normal"/>
    <w:next w:val="Normal"/>
    <w:link w:val="Heading9Char"/>
    <w:qFormat/>
    <w:rsid w:val="00C61E1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E11"/>
    <w:rPr>
      <w:rFonts w:ascii="Arial" w:eastAsia="Times New Roman" w:hAnsi="Arial" w:cs="Arial"/>
      <w:b/>
      <w:bCs/>
      <w:kern w:val="32"/>
      <w:sz w:val="32"/>
      <w:szCs w:val="32"/>
    </w:rPr>
  </w:style>
  <w:style w:type="character" w:customStyle="1" w:styleId="Heading2Char">
    <w:name w:val="Heading 2 Char"/>
    <w:basedOn w:val="DefaultParagraphFont"/>
    <w:link w:val="Heading2"/>
    <w:rsid w:val="00C61E11"/>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C61E11"/>
    <w:rPr>
      <w:rFonts w:ascii="Arial" w:eastAsia="Times New Roman" w:hAnsi="Arial" w:cs="Arial"/>
      <w:b/>
      <w:bCs/>
      <w:sz w:val="26"/>
      <w:szCs w:val="26"/>
    </w:rPr>
  </w:style>
  <w:style w:type="character" w:customStyle="1" w:styleId="Heading4Char">
    <w:name w:val="Heading 4 Char"/>
    <w:basedOn w:val="DefaultParagraphFont"/>
    <w:link w:val="Heading4"/>
    <w:rsid w:val="00C61E1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61E11"/>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61E11"/>
    <w:rPr>
      <w:rFonts w:ascii="Times New Roman" w:eastAsia="Times New Roman" w:hAnsi="Times New Roman" w:cs="Times New Roman"/>
      <w:b/>
      <w:bCs/>
    </w:rPr>
  </w:style>
  <w:style w:type="character" w:customStyle="1" w:styleId="Heading7Char">
    <w:name w:val="Heading 7 Char"/>
    <w:basedOn w:val="DefaultParagraphFont"/>
    <w:link w:val="Heading7"/>
    <w:rsid w:val="00C61E1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61E1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61E11"/>
    <w:rPr>
      <w:rFonts w:ascii="Arial" w:eastAsia="Times New Roman" w:hAnsi="Arial" w:cs="Arial"/>
    </w:rPr>
  </w:style>
  <w:style w:type="character" w:styleId="FootnoteReference">
    <w:name w:val="footnote reference"/>
    <w:aliases w:val="MC-PRE Footnote Reference"/>
    <w:uiPriority w:val="99"/>
    <w:qFormat/>
    <w:rsid w:val="00CC7365"/>
    <w:rPr>
      <w:vertAlign w:val="superscript"/>
    </w:rPr>
  </w:style>
  <w:style w:type="paragraph" w:customStyle="1" w:styleId="Level1">
    <w:name w:val="Level 1"/>
    <w:basedOn w:val="Normal"/>
    <w:rsid w:val="00C61E11"/>
    <w:pPr>
      <w:ind w:left="1440" w:hanging="720"/>
    </w:pPr>
  </w:style>
  <w:style w:type="paragraph" w:customStyle="1" w:styleId="HHeading2">
    <w:name w:val="HHeading 2"/>
    <w:basedOn w:val="Normal"/>
    <w:rsid w:val="00C61E11"/>
    <w:rPr>
      <w:b/>
      <w:bCs/>
      <w:sz w:val="22"/>
      <w:szCs w:val="22"/>
      <w:u w:val="single"/>
    </w:rPr>
  </w:style>
  <w:style w:type="paragraph" w:customStyle="1" w:styleId="BodyTextI1">
    <w:name w:val="Body Text I1"/>
    <w:basedOn w:val="Normal"/>
    <w:rsid w:val="00C61E11"/>
    <w:pPr>
      <w:ind w:firstLine="720"/>
    </w:pPr>
    <w:rPr>
      <w:sz w:val="22"/>
      <w:szCs w:val="22"/>
    </w:rPr>
  </w:style>
  <w:style w:type="paragraph" w:customStyle="1" w:styleId="BodyTextIn">
    <w:name w:val="Body Text In"/>
    <w:basedOn w:val="Normal"/>
    <w:rsid w:val="00C61E11"/>
    <w:pPr>
      <w:ind w:left="2880" w:hanging="720"/>
    </w:pPr>
    <w:rPr>
      <w:sz w:val="22"/>
      <w:szCs w:val="22"/>
    </w:rPr>
  </w:style>
  <w:style w:type="character" w:customStyle="1" w:styleId="pbllt18312">
    <w:name w:val="pbllt183_12"/>
    <w:rsid w:val="00C61E11"/>
    <w:rPr>
      <w:rFonts w:ascii="Symbol" w:hAnsi="Symbol" w:cs="Symbol"/>
    </w:rPr>
  </w:style>
  <w:style w:type="paragraph" w:customStyle="1" w:styleId="HHeading4">
    <w:name w:val="HHeading 4"/>
    <w:basedOn w:val="Normal"/>
    <w:rsid w:val="00C61E11"/>
    <w:rPr>
      <w:b/>
      <w:bCs/>
      <w:color w:val="000000"/>
      <w:sz w:val="22"/>
      <w:szCs w:val="22"/>
    </w:rPr>
  </w:style>
  <w:style w:type="paragraph" w:customStyle="1" w:styleId="HHeading5">
    <w:name w:val="HHeading 5"/>
    <w:basedOn w:val="Normal"/>
    <w:rsid w:val="00C61E11"/>
    <w:pPr>
      <w:jc w:val="center"/>
    </w:pPr>
    <w:rPr>
      <w:b/>
      <w:bCs/>
      <w:sz w:val="22"/>
      <w:szCs w:val="22"/>
    </w:rPr>
  </w:style>
  <w:style w:type="paragraph" w:customStyle="1" w:styleId="HHeading6">
    <w:name w:val="HHeading 6"/>
    <w:basedOn w:val="Normal"/>
    <w:rsid w:val="00C61E11"/>
    <w:pPr>
      <w:jc w:val="center"/>
    </w:pPr>
    <w:rPr>
      <w:b/>
      <w:bCs/>
      <w:color w:val="000000"/>
      <w:sz w:val="22"/>
      <w:szCs w:val="22"/>
    </w:rPr>
  </w:style>
  <w:style w:type="paragraph" w:customStyle="1" w:styleId="HHeading8">
    <w:name w:val="HHeading 8"/>
    <w:basedOn w:val="Normal"/>
    <w:rsid w:val="00C61E11"/>
    <w:pPr>
      <w:jc w:val="center"/>
    </w:pPr>
    <w:rPr>
      <w:b/>
      <w:bCs/>
    </w:rPr>
  </w:style>
  <w:style w:type="paragraph" w:styleId="Header">
    <w:name w:val="header"/>
    <w:basedOn w:val="Normal"/>
    <w:link w:val="HeaderChar"/>
    <w:rsid w:val="00C61E11"/>
    <w:pPr>
      <w:tabs>
        <w:tab w:val="center" w:pos="4680"/>
        <w:tab w:val="right" w:pos="9360"/>
      </w:tabs>
    </w:pPr>
  </w:style>
  <w:style w:type="character" w:customStyle="1" w:styleId="HeaderChar">
    <w:name w:val="Header Char"/>
    <w:basedOn w:val="DefaultParagraphFont"/>
    <w:link w:val="Header"/>
    <w:rsid w:val="00C61E11"/>
    <w:rPr>
      <w:rFonts w:ascii="Times New Roman" w:eastAsia="Times New Roman" w:hAnsi="Times New Roman" w:cs="Times New Roman"/>
      <w:sz w:val="24"/>
      <w:szCs w:val="24"/>
    </w:rPr>
  </w:style>
  <w:style w:type="paragraph" w:styleId="Footer">
    <w:name w:val="footer"/>
    <w:basedOn w:val="Normal"/>
    <w:link w:val="FooterChar"/>
    <w:rsid w:val="00C61E11"/>
    <w:pPr>
      <w:tabs>
        <w:tab w:val="center" w:pos="4680"/>
        <w:tab w:val="right" w:pos="9360"/>
      </w:tabs>
    </w:pPr>
  </w:style>
  <w:style w:type="character" w:customStyle="1" w:styleId="FooterChar">
    <w:name w:val="Footer Char"/>
    <w:basedOn w:val="DefaultParagraphFont"/>
    <w:link w:val="Footer"/>
    <w:rsid w:val="00C61E11"/>
    <w:rPr>
      <w:rFonts w:ascii="Times New Roman" w:eastAsia="Times New Roman" w:hAnsi="Times New Roman" w:cs="Times New Roman"/>
      <w:sz w:val="24"/>
      <w:szCs w:val="24"/>
    </w:rPr>
  </w:style>
  <w:style w:type="paragraph" w:styleId="CommentText">
    <w:name w:val="annotation text"/>
    <w:basedOn w:val="Normal"/>
    <w:link w:val="CommentTextChar"/>
    <w:uiPriority w:val="99"/>
    <w:rsid w:val="00C61E11"/>
    <w:rPr>
      <w:szCs w:val="20"/>
    </w:rPr>
  </w:style>
  <w:style w:type="character" w:customStyle="1" w:styleId="CommentTextChar">
    <w:name w:val="Comment Text Char"/>
    <w:basedOn w:val="DefaultParagraphFont"/>
    <w:link w:val="CommentText"/>
    <w:uiPriority w:val="99"/>
    <w:rsid w:val="00C61E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61E11"/>
    <w:rPr>
      <w:b/>
      <w:bCs/>
    </w:rPr>
  </w:style>
  <w:style w:type="character" w:customStyle="1" w:styleId="CommentSubjectChar">
    <w:name w:val="Comment Subject Char"/>
    <w:basedOn w:val="CommentTextChar"/>
    <w:link w:val="CommentSubject"/>
    <w:semiHidden/>
    <w:rsid w:val="00C61E11"/>
    <w:rPr>
      <w:rFonts w:ascii="Times New Roman" w:eastAsia="Times New Roman" w:hAnsi="Times New Roman" w:cs="Times New Roman"/>
      <w:b/>
      <w:bCs/>
      <w:sz w:val="20"/>
      <w:szCs w:val="20"/>
    </w:rPr>
  </w:style>
  <w:style w:type="paragraph" w:styleId="MacroText">
    <w:name w:val="macro"/>
    <w:link w:val="MacroTextChar"/>
    <w:semiHidden/>
    <w:rsid w:val="00C61E11"/>
    <w:pPr>
      <w:widowControl w:val="0"/>
      <w:tabs>
        <w:tab w:val="left" w:pos="480"/>
        <w:tab w:val="left" w:pos="960"/>
        <w:tab w:val="left" w:pos="1440"/>
        <w:tab w:val="left" w:pos="1920"/>
        <w:tab w:val="left" w:pos="2400"/>
        <w:tab w:val="left" w:pos="2880"/>
        <w:tab w:val="left" w:pos="3360"/>
        <w:tab w:val="left" w:pos="3840"/>
        <w:tab w:val="left" w:pos="4320"/>
      </w:tabs>
      <w:adjustRightInd w:val="0"/>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C61E11"/>
    <w:rPr>
      <w:rFonts w:ascii="Courier New" w:eastAsia="Times New Roman" w:hAnsi="Courier New" w:cs="Courier New"/>
      <w:sz w:val="20"/>
      <w:szCs w:val="20"/>
    </w:rPr>
  </w:style>
  <w:style w:type="table" w:styleId="TableGrid">
    <w:name w:val="Table Grid"/>
    <w:basedOn w:val="TableNormal"/>
    <w:uiPriority w:val="39"/>
    <w:rsid w:val="00C61E11"/>
    <w:pPr>
      <w:widowControl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61E11"/>
    <w:rPr>
      <w:rFonts w:ascii="Tahoma" w:hAnsi="Tahoma" w:cs="Tahoma"/>
      <w:sz w:val="16"/>
      <w:szCs w:val="16"/>
    </w:rPr>
  </w:style>
  <w:style w:type="character" w:customStyle="1" w:styleId="BalloonTextChar">
    <w:name w:val="Balloon Text Char"/>
    <w:basedOn w:val="DefaultParagraphFont"/>
    <w:link w:val="BalloonText"/>
    <w:semiHidden/>
    <w:rsid w:val="00C61E11"/>
    <w:rPr>
      <w:rFonts w:ascii="Tahoma" w:eastAsia="Times New Roman" w:hAnsi="Tahoma" w:cs="Tahoma"/>
      <w:sz w:val="16"/>
      <w:szCs w:val="16"/>
    </w:rPr>
  </w:style>
  <w:style w:type="character" w:styleId="Hyperlink">
    <w:name w:val="Hyperlink"/>
    <w:basedOn w:val="DefaultParagraphFont"/>
    <w:rsid w:val="00C61E11"/>
    <w:rPr>
      <w:color w:val="0000FF"/>
      <w:u w:val="single"/>
    </w:rPr>
  </w:style>
  <w:style w:type="character" w:styleId="PageNumber">
    <w:name w:val="page number"/>
    <w:basedOn w:val="DefaultParagraphFont"/>
    <w:rsid w:val="00C61E11"/>
  </w:style>
  <w:style w:type="character" w:styleId="CommentReference">
    <w:name w:val="annotation reference"/>
    <w:basedOn w:val="DefaultParagraphFont"/>
    <w:uiPriority w:val="99"/>
    <w:unhideWhenUsed/>
    <w:rsid w:val="00C61E11"/>
    <w:rPr>
      <w:sz w:val="16"/>
      <w:szCs w:val="16"/>
    </w:rPr>
  </w:style>
  <w:style w:type="paragraph" w:styleId="ListParagraph">
    <w:name w:val="List Paragraph"/>
    <w:basedOn w:val="Normal"/>
    <w:uiPriority w:val="34"/>
    <w:qFormat/>
    <w:rsid w:val="00C61E11"/>
    <w:pPr>
      <w:ind w:left="720"/>
      <w:contextualSpacing/>
    </w:pPr>
  </w:style>
  <w:style w:type="paragraph" w:styleId="Revision">
    <w:name w:val="Revision"/>
    <w:hidden/>
    <w:uiPriority w:val="99"/>
    <w:semiHidden/>
    <w:rsid w:val="00C61E11"/>
    <w:pPr>
      <w:spacing w:after="0" w:line="240" w:lineRule="auto"/>
    </w:pPr>
    <w:rPr>
      <w:rFonts w:ascii="Times New Roman" w:eastAsia="Times New Roman" w:hAnsi="Times New Roman" w:cs="Times New Roman"/>
      <w:sz w:val="24"/>
      <w:szCs w:val="24"/>
    </w:rPr>
  </w:style>
  <w:style w:type="paragraph" w:styleId="FootnoteText">
    <w:name w:val="footnote text"/>
    <w:aliases w:val="MC-PRE Footnote Text,MC-PRE,Footnote Text Char Char,Footnote Text Char1 Char Char,Footnote Text Char Char Char Char,Footnote Text Char Char1,ALTS FOOTNOTE,fn,Char,Char4,Footnote Text - Preamble,Char2,Footnote Text - Preamble1,Char3,f,fn1"/>
    <w:basedOn w:val="Normal"/>
    <w:link w:val="FootnoteTextChar"/>
    <w:uiPriority w:val="99"/>
    <w:unhideWhenUsed/>
    <w:qFormat/>
    <w:rsid w:val="00C61E11"/>
    <w:rPr>
      <w:szCs w:val="20"/>
    </w:rPr>
  </w:style>
  <w:style w:type="character" w:customStyle="1" w:styleId="FootnoteTextChar">
    <w:name w:val="Footnote Text Char"/>
    <w:aliases w:val="MC-PRE Footnote Text Char,MC-PRE Char,Footnote Text Char Char Char,Footnote Text Char1 Char Char Char,Footnote Text Char Char Char Char Char,Footnote Text Char Char1 Char,ALTS FOOTNOTE Char,fn Char,Char Char,Char4 Char,Char2 Char"/>
    <w:basedOn w:val="DefaultParagraphFont"/>
    <w:link w:val="FootnoteText"/>
    <w:uiPriority w:val="99"/>
    <w:rsid w:val="00C61E11"/>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61E11"/>
    <w:rPr>
      <w:color w:val="808080"/>
      <w:shd w:val="clear" w:color="auto" w:fill="E6E6E6"/>
    </w:rPr>
  </w:style>
  <w:style w:type="character" w:styleId="FollowedHyperlink">
    <w:name w:val="FollowedHyperlink"/>
    <w:basedOn w:val="DefaultParagraphFont"/>
    <w:uiPriority w:val="99"/>
    <w:semiHidden/>
    <w:unhideWhenUsed/>
    <w:rsid w:val="00C61E11"/>
    <w:rPr>
      <w:color w:val="954F72" w:themeColor="followedHyperlink"/>
      <w:u w:val="single"/>
    </w:rPr>
  </w:style>
  <w:style w:type="character" w:customStyle="1" w:styleId="normaltextrun1">
    <w:name w:val="normaltextrun1"/>
    <w:basedOn w:val="DefaultParagraphFont"/>
    <w:rsid w:val="005B2185"/>
  </w:style>
  <w:style w:type="character" w:styleId="SubtleEmphasis">
    <w:name w:val="Subtle Emphasis"/>
    <w:basedOn w:val="DefaultParagraphFont"/>
    <w:uiPriority w:val="19"/>
    <w:qFormat/>
    <w:rsid w:val="003F24B0"/>
    <w:rPr>
      <w:i/>
      <w:iCs/>
      <w:color w:val="404040" w:themeColor="text1" w:themeTint="BF"/>
    </w:rPr>
  </w:style>
  <w:style w:type="character" w:customStyle="1" w:styleId="normaltextrun">
    <w:name w:val="normaltextrun"/>
    <w:basedOn w:val="DefaultParagraphFont"/>
    <w:rsid w:val="004E7D70"/>
  </w:style>
  <w:style w:type="character" w:styleId="UnresolvedMention">
    <w:name w:val="Unresolved Mention"/>
    <w:basedOn w:val="DefaultParagraphFont"/>
    <w:uiPriority w:val="99"/>
    <w:unhideWhenUsed/>
    <w:rsid w:val="0000367D"/>
    <w:rPr>
      <w:color w:val="605E5C"/>
      <w:shd w:val="clear" w:color="auto" w:fill="E1DFDD"/>
    </w:rPr>
  </w:style>
  <w:style w:type="paragraph" w:styleId="Caption">
    <w:name w:val="caption"/>
    <w:basedOn w:val="Normal"/>
    <w:next w:val="Normal"/>
    <w:uiPriority w:val="35"/>
    <w:unhideWhenUsed/>
    <w:qFormat/>
    <w:rsid w:val="00ED55E2"/>
    <w:pPr>
      <w:spacing w:after="200"/>
    </w:pPr>
    <w:rPr>
      <w:i/>
      <w:iCs/>
      <w:color w:val="44546A" w:themeColor="text2"/>
      <w:sz w:val="18"/>
      <w:szCs w:val="18"/>
    </w:rPr>
  </w:style>
  <w:style w:type="table" w:customStyle="1" w:styleId="TableGridLight1">
    <w:name w:val="Table Grid Light1"/>
    <w:basedOn w:val="TableNormal"/>
    <w:uiPriority w:val="40"/>
    <w:rsid w:val="00A765B2"/>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
    <w:name w:val="Style1"/>
    <w:basedOn w:val="Normal"/>
    <w:link w:val="Style1Char"/>
    <w:qFormat/>
    <w:rsid w:val="00A765B2"/>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pPr>
    <w:rPr>
      <w:sz w:val="22"/>
      <w:szCs w:val="22"/>
      <w:vertAlign w:val="superscript"/>
    </w:rPr>
  </w:style>
  <w:style w:type="character" w:customStyle="1" w:styleId="Style1Char">
    <w:name w:val="Style1 Char"/>
    <w:basedOn w:val="DefaultParagraphFont"/>
    <w:link w:val="Style1"/>
    <w:rsid w:val="00A765B2"/>
    <w:rPr>
      <w:rFonts w:ascii="Times New Roman" w:eastAsia="Times New Roman" w:hAnsi="Times New Roman" w:cs="Times New Roman"/>
      <w:vertAlign w:val="superscript"/>
    </w:rPr>
  </w:style>
  <w:style w:type="character" w:styleId="Mention">
    <w:name w:val="Mention"/>
    <w:basedOn w:val="DefaultParagraphFont"/>
    <w:uiPriority w:val="99"/>
    <w:unhideWhenUsed/>
    <w:rsid w:val="007D6E0D"/>
    <w:rPr>
      <w:color w:val="2B579A"/>
      <w:shd w:val="clear" w:color="auto" w:fill="E1DFDD"/>
    </w:rPr>
  </w:style>
  <w:style w:type="paragraph" w:styleId="NormalWeb">
    <w:name w:val="Normal (Web)"/>
    <w:basedOn w:val="Normal"/>
    <w:uiPriority w:val="99"/>
    <w:semiHidden/>
    <w:unhideWhenUsed/>
    <w:rsid w:val="0092074E"/>
    <w:pPr>
      <w:widowControl/>
      <w:adjustRightInd/>
      <w:spacing w:before="100" w:beforeAutospacing="1" w:after="100" w:afterAutospacing="1"/>
    </w:pPr>
    <w:rPr>
      <w:sz w:val="24"/>
    </w:rPr>
  </w:style>
  <w:style w:type="character" w:customStyle="1" w:styleId="eop">
    <w:name w:val="eop"/>
    <w:basedOn w:val="DefaultParagraphFont"/>
    <w:rsid w:val="00E319FF"/>
  </w:style>
  <w:style w:type="paragraph" w:customStyle="1" w:styleId="Default">
    <w:name w:val="Default"/>
    <w:rsid w:val="0095205C"/>
    <w:pPr>
      <w:autoSpaceDE w:val="0"/>
      <w:autoSpaceDN w:val="0"/>
      <w:adjustRightInd w:val="0"/>
      <w:spacing w:after="0" w:line="240" w:lineRule="auto"/>
    </w:pPr>
    <w:rPr>
      <w:rFonts w:ascii="Calibri" w:hAnsi="Calibri" w:cs="Calibri"/>
      <w:color w:val="000000"/>
      <w:sz w:val="24"/>
      <w:szCs w:val="24"/>
    </w:rPr>
  </w:style>
  <w:style w:type="paragraph" w:styleId="TOC2">
    <w:name w:val="toc 2"/>
    <w:basedOn w:val="Default"/>
    <w:next w:val="Default"/>
    <w:autoRedefine/>
    <w:uiPriority w:val="39"/>
    <w:unhideWhenUsed/>
    <w:qFormat/>
    <w:rsid w:val="00F45483"/>
    <w:pPr>
      <w:tabs>
        <w:tab w:val="right" w:leader="dot" w:pos="9970"/>
      </w:tabs>
      <w:autoSpaceDE/>
      <w:autoSpaceDN/>
      <w:adjustRightInd/>
    </w:pPr>
    <w:rPr>
      <w:rFonts w:ascii="Times New Roman" w:hAnsi="Times New Roman" w:cs="Times New Roman"/>
      <w:noProof/>
      <w:color w:val="auto"/>
      <w:sz w:val="20"/>
      <w:szCs w:val="20"/>
    </w:rPr>
  </w:style>
  <w:style w:type="character" w:styleId="Strong">
    <w:name w:val="Strong"/>
    <w:uiPriority w:val="22"/>
    <w:qFormat/>
    <w:rsid w:val="00F7037A"/>
    <w:rPr>
      <w:b/>
      <w:bCs/>
    </w:rPr>
  </w:style>
  <w:style w:type="paragraph" w:styleId="TOC4">
    <w:name w:val="toc 4"/>
    <w:basedOn w:val="Normal"/>
    <w:next w:val="Normal"/>
    <w:autoRedefine/>
    <w:uiPriority w:val="39"/>
    <w:unhideWhenUsed/>
    <w:rsid w:val="00A37CF8"/>
    <w:pPr>
      <w:spacing w:after="100"/>
    </w:pPr>
    <w:rPr>
      <w:sz w:val="22"/>
      <w:szCs w:val="22"/>
    </w:rPr>
  </w:style>
  <w:style w:type="paragraph" w:styleId="BodyText">
    <w:name w:val="Body Text"/>
    <w:link w:val="BodyTextChar"/>
    <w:uiPriority w:val="99"/>
    <w:qFormat/>
    <w:rsid w:val="00E84131"/>
    <w:pPr>
      <w:tabs>
        <w:tab w:val="left" w:pos="720"/>
        <w:tab w:val="left" w:pos="1627"/>
        <w:tab w:val="left" w:pos="2160"/>
        <w:tab w:val="left" w:pos="2880"/>
      </w:tabs>
      <w:spacing w:after="0" w:line="48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E8413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19498">
      <w:bodyDiv w:val="1"/>
      <w:marLeft w:val="0"/>
      <w:marRight w:val="0"/>
      <w:marTop w:val="0"/>
      <w:marBottom w:val="0"/>
      <w:divBdr>
        <w:top w:val="none" w:sz="0" w:space="0" w:color="auto"/>
        <w:left w:val="none" w:sz="0" w:space="0" w:color="auto"/>
        <w:bottom w:val="none" w:sz="0" w:space="0" w:color="auto"/>
        <w:right w:val="none" w:sz="0" w:space="0" w:color="auto"/>
      </w:divBdr>
    </w:div>
    <w:div w:id="211842393">
      <w:bodyDiv w:val="1"/>
      <w:marLeft w:val="0"/>
      <w:marRight w:val="0"/>
      <w:marTop w:val="0"/>
      <w:marBottom w:val="0"/>
      <w:divBdr>
        <w:top w:val="none" w:sz="0" w:space="0" w:color="auto"/>
        <w:left w:val="none" w:sz="0" w:space="0" w:color="auto"/>
        <w:bottom w:val="none" w:sz="0" w:space="0" w:color="auto"/>
        <w:right w:val="none" w:sz="0" w:space="0" w:color="auto"/>
      </w:divBdr>
    </w:div>
    <w:div w:id="296179361">
      <w:bodyDiv w:val="1"/>
      <w:marLeft w:val="0"/>
      <w:marRight w:val="0"/>
      <w:marTop w:val="0"/>
      <w:marBottom w:val="0"/>
      <w:divBdr>
        <w:top w:val="none" w:sz="0" w:space="0" w:color="auto"/>
        <w:left w:val="none" w:sz="0" w:space="0" w:color="auto"/>
        <w:bottom w:val="none" w:sz="0" w:space="0" w:color="auto"/>
        <w:right w:val="none" w:sz="0" w:space="0" w:color="auto"/>
      </w:divBdr>
    </w:div>
    <w:div w:id="311833588">
      <w:bodyDiv w:val="1"/>
      <w:marLeft w:val="0"/>
      <w:marRight w:val="0"/>
      <w:marTop w:val="0"/>
      <w:marBottom w:val="0"/>
      <w:divBdr>
        <w:top w:val="none" w:sz="0" w:space="0" w:color="auto"/>
        <w:left w:val="none" w:sz="0" w:space="0" w:color="auto"/>
        <w:bottom w:val="none" w:sz="0" w:space="0" w:color="auto"/>
        <w:right w:val="none" w:sz="0" w:space="0" w:color="auto"/>
      </w:divBdr>
    </w:div>
    <w:div w:id="322515482">
      <w:bodyDiv w:val="1"/>
      <w:marLeft w:val="0"/>
      <w:marRight w:val="0"/>
      <w:marTop w:val="0"/>
      <w:marBottom w:val="0"/>
      <w:divBdr>
        <w:top w:val="none" w:sz="0" w:space="0" w:color="auto"/>
        <w:left w:val="none" w:sz="0" w:space="0" w:color="auto"/>
        <w:bottom w:val="none" w:sz="0" w:space="0" w:color="auto"/>
        <w:right w:val="none" w:sz="0" w:space="0" w:color="auto"/>
      </w:divBdr>
    </w:div>
    <w:div w:id="414010701">
      <w:bodyDiv w:val="1"/>
      <w:marLeft w:val="0"/>
      <w:marRight w:val="0"/>
      <w:marTop w:val="0"/>
      <w:marBottom w:val="0"/>
      <w:divBdr>
        <w:top w:val="none" w:sz="0" w:space="0" w:color="auto"/>
        <w:left w:val="none" w:sz="0" w:space="0" w:color="auto"/>
        <w:bottom w:val="none" w:sz="0" w:space="0" w:color="auto"/>
        <w:right w:val="none" w:sz="0" w:space="0" w:color="auto"/>
      </w:divBdr>
    </w:div>
    <w:div w:id="464851888">
      <w:bodyDiv w:val="1"/>
      <w:marLeft w:val="0"/>
      <w:marRight w:val="0"/>
      <w:marTop w:val="0"/>
      <w:marBottom w:val="0"/>
      <w:divBdr>
        <w:top w:val="none" w:sz="0" w:space="0" w:color="auto"/>
        <w:left w:val="none" w:sz="0" w:space="0" w:color="auto"/>
        <w:bottom w:val="none" w:sz="0" w:space="0" w:color="auto"/>
        <w:right w:val="none" w:sz="0" w:space="0" w:color="auto"/>
      </w:divBdr>
    </w:div>
    <w:div w:id="558516711">
      <w:bodyDiv w:val="1"/>
      <w:marLeft w:val="0"/>
      <w:marRight w:val="0"/>
      <w:marTop w:val="0"/>
      <w:marBottom w:val="0"/>
      <w:divBdr>
        <w:top w:val="none" w:sz="0" w:space="0" w:color="auto"/>
        <w:left w:val="none" w:sz="0" w:space="0" w:color="auto"/>
        <w:bottom w:val="none" w:sz="0" w:space="0" w:color="auto"/>
        <w:right w:val="none" w:sz="0" w:space="0" w:color="auto"/>
      </w:divBdr>
    </w:div>
    <w:div w:id="616982575">
      <w:bodyDiv w:val="1"/>
      <w:marLeft w:val="0"/>
      <w:marRight w:val="0"/>
      <w:marTop w:val="0"/>
      <w:marBottom w:val="0"/>
      <w:divBdr>
        <w:top w:val="none" w:sz="0" w:space="0" w:color="auto"/>
        <w:left w:val="none" w:sz="0" w:space="0" w:color="auto"/>
        <w:bottom w:val="none" w:sz="0" w:space="0" w:color="auto"/>
        <w:right w:val="none" w:sz="0" w:space="0" w:color="auto"/>
      </w:divBdr>
    </w:div>
    <w:div w:id="635453989">
      <w:bodyDiv w:val="1"/>
      <w:marLeft w:val="0"/>
      <w:marRight w:val="0"/>
      <w:marTop w:val="0"/>
      <w:marBottom w:val="0"/>
      <w:divBdr>
        <w:top w:val="none" w:sz="0" w:space="0" w:color="auto"/>
        <w:left w:val="none" w:sz="0" w:space="0" w:color="auto"/>
        <w:bottom w:val="none" w:sz="0" w:space="0" w:color="auto"/>
        <w:right w:val="none" w:sz="0" w:space="0" w:color="auto"/>
      </w:divBdr>
    </w:div>
    <w:div w:id="639000231">
      <w:bodyDiv w:val="1"/>
      <w:marLeft w:val="0"/>
      <w:marRight w:val="0"/>
      <w:marTop w:val="0"/>
      <w:marBottom w:val="0"/>
      <w:divBdr>
        <w:top w:val="none" w:sz="0" w:space="0" w:color="auto"/>
        <w:left w:val="none" w:sz="0" w:space="0" w:color="auto"/>
        <w:bottom w:val="none" w:sz="0" w:space="0" w:color="auto"/>
        <w:right w:val="none" w:sz="0" w:space="0" w:color="auto"/>
      </w:divBdr>
    </w:div>
    <w:div w:id="769854887">
      <w:bodyDiv w:val="1"/>
      <w:marLeft w:val="0"/>
      <w:marRight w:val="0"/>
      <w:marTop w:val="0"/>
      <w:marBottom w:val="0"/>
      <w:divBdr>
        <w:top w:val="none" w:sz="0" w:space="0" w:color="auto"/>
        <w:left w:val="none" w:sz="0" w:space="0" w:color="auto"/>
        <w:bottom w:val="none" w:sz="0" w:space="0" w:color="auto"/>
        <w:right w:val="none" w:sz="0" w:space="0" w:color="auto"/>
      </w:divBdr>
    </w:div>
    <w:div w:id="800344768">
      <w:bodyDiv w:val="1"/>
      <w:marLeft w:val="0"/>
      <w:marRight w:val="0"/>
      <w:marTop w:val="0"/>
      <w:marBottom w:val="0"/>
      <w:divBdr>
        <w:top w:val="none" w:sz="0" w:space="0" w:color="auto"/>
        <w:left w:val="none" w:sz="0" w:space="0" w:color="auto"/>
        <w:bottom w:val="none" w:sz="0" w:space="0" w:color="auto"/>
        <w:right w:val="none" w:sz="0" w:space="0" w:color="auto"/>
      </w:divBdr>
    </w:div>
    <w:div w:id="894894677">
      <w:bodyDiv w:val="1"/>
      <w:marLeft w:val="0"/>
      <w:marRight w:val="0"/>
      <w:marTop w:val="0"/>
      <w:marBottom w:val="0"/>
      <w:divBdr>
        <w:top w:val="none" w:sz="0" w:space="0" w:color="auto"/>
        <w:left w:val="none" w:sz="0" w:space="0" w:color="auto"/>
        <w:bottom w:val="none" w:sz="0" w:space="0" w:color="auto"/>
        <w:right w:val="none" w:sz="0" w:space="0" w:color="auto"/>
      </w:divBdr>
    </w:div>
    <w:div w:id="1058357678">
      <w:bodyDiv w:val="1"/>
      <w:marLeft w:val="0"/>
      <w:marRight w:val="0"/>
      <w:marTop w:val="0"/>
      <w:marBottom w:val="0"/>
      <w:divBdr>
        <w:top w:val="none" w:sz="0" w:space="0" w:color="auto"/>
        <w:left w:val="none" w:sz="0" w:space="0" w:color="auto"/>
        <w:bottom w:val="none" w:sz="0" w:space="0" w:color="auto"/>
        <w:right w:val="none" w:sz="0" w:space="0" w:color="auto"/>
      </w:divBdr>
    </w:div>
    <w:div w:id="1182889110">
      <w:bodyDiv w:val="1"/>
      <w:marLeft w:val="0"/>
      <w:marRight w:val="0"/>
      <w:marTop w:val="0"/>
      <w:marBottom w:val="0"/>
      <w:divBdr>
        <w:top w:val="none" w:sz="0" w:space="0" w:color="auto"/>
        <w:left w:val="none" w:sz="0" w:space="0" w:color="auto"/>
        <w:bottom w:val="none" w:sz="0" w:space="0" w:color="auto"/>
        <w:right w:val="none" w:sz="0" w:space="0" w:color="auto"/>
      </w:divBdr>
    </w:div>
    <w:div w:id="1409571716">
      <w:bodyDiv w:val="1"/>
      <w:marLeft w:val="0"/>
      <w:marRight w:val="0"/>
      <w:marTop w:val="0"/>
      <w:marBottom w:val="0"/>
      <w:divBdr>
        <w:top w:val="none" w:sz="0" w:space="0" w:color="auto"/>
        <w:left w:val="none" w:sz="0" w:space="0" w:color="auto"/>
        <w:bottom w:val="none" w:sz="0" w:space="0" w:color="auto"/>
        <w:right w:val="none" w:sz="0" w:space="0" w:color="auto"/>
      </w:divBdr>
    </w:div>
    <w:div w:id="1430856913">
      <w:bodyDiv w:val="1"/>
      <w:marLeft w:val="0"/>
      <w:marRight w:val="0"/>
      <w:marTop w:val="0"/>
      <w:marBottom w:val="0"/>
      <w:divBdr>
        <w:top w:val="none" w:sz="0" w:space="0" w:color="auto"/>
        <w:left w:val="none" w:sz="0" w:space="0" w:color="auto"/>
        <w:bottom w:val="none" w:sz="0" w:space="0" w:color="auto"/>
        <w:right w:val="none" w:sz="0" w:space="0" w:color="auto"/>
      </w:divBdr>
    </w:div>
    <w:div w:id="1460757369">
      <w:bodyDiv w:val="1"/>
      <w:marLeft w:val="0"/>
      <w:marRight w:val="0"/>
      <w:marTop w:val="0"/>
      <w:marBottom w:val="0"/>
      <w:divBdr>
        <w:top w:val="none" w:sz="0" w:space="0" w:color="auto"/>
        <w:left w:val="none" w:sz="0" w:space="0" w:color="auto"/>
        <w:bottom w:val="none" w:sz="0" w:space="0" w:color="auto"/>
        <w:right w:val="none" w:sz="0" w:space="0" w:color="auto"/>
      </w:divBdr>
    </w:div>
    <w:div w:id="1471746480">
      <w:bodyDiv w:val="1"/>
      <w:marLeft w:val="0"/>
      <w:marRight w:val="0"/>
      <w:marTop w:val="0"/>
      <w:marBottom w:val="0"/>
      <w:divBdr>
        <w:top w:val="none" w:sz="0" w:space="0" w:color="auto"/>
        <w:left w:val="none" w:sz="0" w:space="0" w:color="auto"/>
        <w:bottom w:val="none" w:sz="0" w:space="0" w:color="auto"/>
        <w:right w:val="none" w:sz="0" w:space="0" w:color="auto"/>
      </w:divBdr>
    </w:div>
    <w:div w:id="1509907041">
      <w:bodyDiv w:val="1"/>
      <w:marLeft w:val="0"/>
      <w:marRight w:val="0"/>
      <w:marTop w:val="0"/>
      <w:marBottom w:val="0"/>
      <w:divBdr>
        <w:top w:val="none" w:sz="0" w:space="0" w:color="auto"/>
        <w:left w:val="none" w:sz="0" w:space="0" w:color="auto"/>
        <w:bottom w:val="none" w:sz="0" w:space="0" w:color="auto"/>
        <w:right w:val="none" w:sz="0" w:space="0" w:color="auto"/>
      </w:divBdr>
    </w:div>
    <w:div w:id="1532494296">
      <w:bodyDiv w:val="1"/>
      <w:marLeft w:val="0"/>
      <w:marRight w:val="0"/>
      <w:marTop w:val="0"/>
      <w:marBottom w:val="0"/>
      <w:divBdr>
        <w:top w:val="none" w:sz="0" w:space="0" w:color="auto"/>
        <w:left w:val="none" w:sz="0" w:space="0" w:color="auto"/>
        <w:bottom w:val="none" w:sz="0" w:space="0" w:color="auto"/>
        <w:right w:val="none" w:sz="0" w:space="0" w:color="auto"/>
      </w:divBdr>
    </w:div>
    <w:div w:id="1549219675">
      <w:bodyDiv w:val="1"/>
      <w:marLeft w:val="0"/>
      <w:marRight w:val="0"/>
      <w:marTop w:val="0"/>
      <w:marBottom w:val="0"/>
      <w:divBdr>
        <w:top w:val="none" w:sz="0" w:space="0" w:color="auto"/>
        <w:left w:val="none" w:sz="0" w:space="0" w:color="auto"/>
        <w:bottom w:val="none" w:sz="0" w:space="0" w:color="auto"/>
        <w:right w:val="none" w:sz="0" w:space="0" w:color="auto"/>
      </w:divBdr>
    </w:div>
    <w:div w:id="1656841106">
      <w:bodyDiv w:val="1"/>
      <w:marLeft w:val="0"/>
      <w:marRight w:val="0"/>
      <w:marTop w:val="0"/>
      <w:marBottom w:val="0"/>
      <w:divBdr>
        <w:top w:val="none" w:sz="0" w:space="0" w:color="auto"/>
        <w:left w:val="none" w:sz="0" w:space="0" w:color="auto"/>
        <w:bottom w:val="none" w:sz="0" w:space="0" w:color="auto"/>
        <w:right w:val="none" w:sz="0" w:space="0" w:color="auto"/>
      </w:divBdr>
    </w:div>
    <w:div w:id="1664699332">
      <w:bodyDiv w:val="1"/>
      <w:marLeft w:val="0"/>
      <w:marRight w:val="0"/>
      <w:marTop w:val="0"/>
      <w:marBottom w:val="0"/>
      <w:divBdr>
        <w:top w:val="none" w:sz="0" w:space="0" w:color="auto"/>
        <w:left w:val="none" w:sz="0" w:space="0" w:color="auto"/>
        <w:bottom w:val="none" w:sz="0" w:space="0" w:color="auto"/>
        <w:right w:val="none" w:sz="0" w:space="0" w:color="auto"/>
      </w:divBdr>
    </w:div>
    <w:div w:id="1678997136">
      <w:bodyDiv w:val="1"/>
      <w:marLeft w:val="0"/>
      <w:marRight w:val="0"/>
      <w:marTop w:val="0"/>
      <w:marBottom w:val="0"/>
      <w:divBdr>
        <w:top w:val="none" w:sz="0" w:space="0" w:color="auto"/>
        <w:left w:val="none" w:sz="0" w:space="0" w:color="auto"/>
        <w:bottom w:val="none" w:sz="0" w:space="0" w:color="auto"/>
        <w:right w:val="none" w:sz="0" w:space="0" w:color="auto"/>
      </w:divBdr>
    </w:div>
    <w:div w:id="1721395770">
      <w:bodyDiv w:val="1"/>
      <w:marLeft w:val="0"/>
      <w:marRight w:val="0"/>
      <w:marTop w:val="0"/>
      <w:marBottom w:val="0"/>
      <w:divBdr>
        <w:top w:val="none" w:sz="0" w:space="0" w:color="auto"/>
        <w:left w:val="none" w:sz="0" w:space="0" w:color="auto"/>
        <w:bottom w:val="none" w:sz="0" w:space="0" w:color="auto"/>
        <w:right w:val="none" w:sz="0" w:space="0" w:color="auto"/>
      </w:divBdr>
    </w:div>
    <w:div w:id="1897428754">
      <w:bodyDiv w:val="1"/>
      <w:marLeft w:val="0"/>
      <w:marRight w:val="0"/>
      <w:marTop w:val="0"/>
      <w:marBottom w:val="0"/>
      <w:divBdr>
        <w:top w:val="none" w:sz="0" w:space="0" w:color="auto"/>
        <w:left w:val="none" w:sz="0" w:space="0" w:color="auto"/>
        <w:bottom w:val="none" w:sz="0" w:space="0" w:color="auto"/>
        <w:right w:val="none" w:sz="0" w:space="0" w:color="auto"/>
      </w:divBdr>
    </w:div>
    <w:div w:id="2021392907">
      <w:bodyDiv w:val="1"/>
      <w:marLeft w:val="0"/>
      <w:marRight w:val="0"/>
      <w:marTop w:val="0"/>
      <w:marBottom w:val="0"/>
      <w:divBdr>
        <w:top w:val="none" w:sz="0" w:space="0" w:color="auto"/>
        <w:left w:val="none" w:sz="0" w:space="0" w:color="auto"/>
        <w:bottom w:val="none" w:sz="0" w:space="0" w:color="auto"/>
        <w:right w:val="none" w:sz="0" w:space="0" w:color="auto"/>
      </w:divBdr>
    </w:div>
    <w:div w:id="2030451734">
      <w:bodyDiv w:val="1"/>
      <w:marLeft w:val="0"/>
      <w:marRight w:val="0"/>
      <w:marTop w:val="0"/>
      <w:marBottom w:val="0"/>
      <w:divBdr>
        <w:top w:val="none" w:sz="0" w:space="0" w:color="auto"/>
        <w:left w:val="none" w:sz="0" w:space="0" w:color="auto"/>
        <w:bottom w:val="none" w:sz="0" w:space="0" w:color="auto"/>
        <w:right w:val="none" w:sz="0" w:space="0" w:color="auto"/>
      </w:divBdr>
    </w:div>
    <w:div w:id="208306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news.release/ecec.nr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bls.gov/oes/2020/may/oes_nat.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oira_submission@omb.eop.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ulations.go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2020/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2022-03-01T02:40:11+00:00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6F4FF33A1A1F409242C0E212D83C63" ma:contentTypeVersion="12" ma:contentTypeDescription="Create a new document." ma:contentTypeScope="" ma:versionID="a9dd1fbede5cc20b8aee850e6a99fc57">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f681fe1a-6f3a-4bc8-bd95-a336c6044f0b" xmlns:ns6="770616d2-97d1-4359-9fe0-fce270a195bc" targetNamespace="http://schemas.microsoft.com/office/2006/metadata/properties" ma:root="true" ma:fieldsID="c0ab4e7e1e73da055004434776ed820d" ns1:_="" ns2:_="" ns3:_="" ns4:_="" ns5:_="" ns6:_="">
    <xsd:import namespace="http://schemas.microsoft.com/sharepoint/v3"/>
    <xsd:import namespace="4ffa91fb-a0ff-4ac5-b2db-65c790d184a4"/>
    <xsd:import namespace="http://schemas.microsoft.com/sharepoint.v3"/>
    <xsd:import namespace="http://schemas.microsoft.com/sharepoint/v3/fields"/>
    <xsd:import namespace="f681fe1a-6f3a-4bc8-bd95-a336c6044f0b"/>
    <xsd:import namespace="770616d2-97d1-4359-9fe0-fce270a195b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5:MediaLengthInSeconds"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23ce1b3-5a1c-4dcb-8a6d-bf4647a78b84}" ma:internalName="TaxCatchAllLabel" ma:readOnly="true" ma:showField="CatchAllDataLabel" ma:web="770616d2-97d1-4359-9fe0-fce270a195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23ce1b3-5a1c-4dcb-8a6d-bf4647a78b84}" ma:internalName="TaxCatchAll" ma:showField="CatchAllData" ma:web="770616d2-97d1-4359-9fe0-fce270a195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81fe1a-6f3a-4bc8-bd95-a336c6044f0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0616d2-97d1-4359-9fe0-fce270a195bc"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AE393028-A7FC-441F-BB78-5575DC4C9A15}">
  <ds:schemaRefs>
    <ds:schemaRef ds:uri="http://schemas.openxmlformats.org/officeDocument/2006/bibliography"/>
  </ds:schemaRefs>
</ds:datastoreItem>
</file>

<file path=customXml/itemProps2.xml><?xml version="1.0" encoding="utf-8"?>
<ds:datastoreItem xmlns:ds="http://schemas.openxmlformats.org/officeDocument/2006/customXml" ds:itemID="{7F760997-1EF9-42E1-8890-8FCA26C76FC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80CCAFC4-C2B3-4E83-91BE-EE7748936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681fe1a-6f3a-4bc8-bd95-a336c6044f0b"/>
    <ds:schemaRef ds:uri="770616d2-97d1-4359-9fe0-fce270a19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1557DE-FCD4-4EAE-A6A3-3DC813B2662E}">
  <ds:schemaRefs>
    <ds:schemaRef ds:uri="http://schemas.microsoft.com/sharepoint/v3/contenttype/forms"/>
  </ds:schemaRefs>
</ds:datastoreItem>
</file>

<file path=customXml/itemProps5.xml><?xml version="1.0" encoding="utf-8"?>
<ds:datastoreItem xmlns:ds="http://schemas.openxmlformats.org/officeDocument/2006/customXml" ds:itemID="{65843C1E-A670-40A1-965F-DBE312A6D8E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19</Pages>
  <Words>7556</Words>
  <Characters>43074</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50529</CharactersWithSpaces>
  <SharedDoc>false</SharedDoc>
  <HLinks>
    <vt:vector size="78" baseType="variant">
      <vt:variant>
        <vt:i4>4521995</vt:i4>
      </vt:variant>
      <vt:variant>
        <vt:i4>9</vt:i4>
      </vt:variant>
      <vt:variant>
        <vt:i4>0</vt:i4>
      </vt:variant>
      <vt:variant>
        <vt:i4>5</vt:i4>
      </vt:variant>
      <vt:variant>
        <vt:lpwstr>mailto:oira_submission@omb.eop.gov</vt:lpwstr>
      </vt:variant>
      <vt:variant>
        <vt:lpwstr/>
      </vt:variant>
      <vt:variant>
        <vt:i4>2818151</vt:i4>
      </vt:variant>
      <vt:variant>
        <vt:i4>6</vt:i4>
      </vt:variant>
      <vt:variant>
        <vt:i4>0</vt:i4>
      </vt:variant>
      <vt:variant>
        <vt:i4>5</vt:i4>
      </vt:variant>
      <vt:variant>
        <vt:lpwstr>http://www.regulations.gov/</vt:lpwstr>
      </vt:variant>
      <vt:variant>
        <vt:lpwstr/>
      </vt:variant>
      <vt:variant>
        <vt:i4>2490423</vt:i4>
      </vt:variant>
      <vt:variant>
        <vt:i4>3</vt:i4>
      </vt:variant>
      <vt:variant>
        <vt:i4>0</vt:i4>
      </vt:variant>
      <vt:variant>
        <vt:i4>5</vt:i4>
      </vt:variant>
      <vt:variant>
        <vt:lpwstr>https://www.epa.gov/dockets</vt:lpwstr>
      </vt:variant>
      <vt:variant>
        <vt:lpwstr/>
      </vt:variant>
      <vt:variant>
        <vt:i4>2818151</vt:i4>
      </vt:variant>
      <vt:variant>
        <vt:i4>0</vt:i4>
      </vt:variant>
      <vt:variant>
        <vt:i4>0</vt:i4>
      </vt:variant>
      <vt:variant>
        <vt:i4>5</vt:i4>
      </vt:variant>
      <vt:variant>
        <vt:lpwstr>http://www.regulations.gov/</vt:lpwstr>
      </vt:variant>
      <vt:variant>
        <vt:lpwstr/>
      </vt:variant>
      <vt:variant>
        <vt:i4>4194425</vt:i4>
      </vt:variant>
      <vt:variant>
        <vt:i4>9</vt:i4>
      </vt:variant>
      <vt:variant>
        <vt:i4>0</vt:i4>
      </vt:variant>
      <vt:variant>
        <vt:i4>5</vt:i4>
      </vt:variant>
      <vt:variant>
        <vt:lpwstr>https://www.opm.gov/policy-data-oversight/pay-leave/salaries-wages/salary-tables/pdf/2021/DEN_h.pdf</vt:lpwstr>
      </vt:variant>
      <vt:variant>
        <vt:lpwstr/>
      </vt:variant>
      <vt:variant>
        <vt:i4>5046332</vt:i4>
      </vt:variant>
      <vt:variant>
        <vt:i4>6</vt:i4>
      </vt:variant>
      <vt:variant>
        <vt:i4>0</vt:i4>
      </vt:variant>
      <vt:variant>
        <vt:i4>5</vt:i4>
      </vt:variant>
      <vt:variant>
        <vt:lpwstr>https://data.bls.gov/timeseries/CUUR0000SA0?amp%253bdata_tool=XGtable&amp;output_view=data&amp;include_graphs=true.%20%20December%202019=256.974%20and%20December%202021=278.802</vt:lpwstr>
      </vt:variant>
      <vt:variant>
        <vt:lpwstr/>
      </vt:variant>
      <vt:variant>
        <vt:i4>6094932</vt:i4>
      </vt:variant>
      <vt:variant>
        <vt:i4>3</vt:i4>
      </vt:variant>
      <vt:variant>
        <vt:i4>0</vt:i4>
      </vt:variant>
      <vt:variant>
        <vt:i4>5</vt:i4>
      </vt:variant>
      <vt:variant>
        <vt:lpwstr>https://www.bls.gov/news.release/ecec.toc.htm</vt:lpwstr>
      </vt:variant>
      <vt:variant>
        <vt:lpwstr/>
      </vt:variant>
      <vt:variant>
        <vt:i4>6881331</vt:i4>
      </vt:variant>
      <vt:variant>
        <vt:i4>0</vt:i4>
      </vt:variant>
      <vt:variant>
        <vt:i4>0</vt:i4>
      </vt:variant>
      <vt:variant>
        <vt:i4>5</vt:i4>
      </vt:variant>
      <vt:variant>
        <vt:lpwstr>https://www.bls.gov/oes/current/oessrci.htm</vt:lpwstr>
      </vt:variant>
      <vt:variant>
        <vt:lpwstr/>
      </vt:variant>
      <vt:variant>
        <vt:i4>2424953</vt:i4>
      </vt:variant>
      <vt:variant>
        <vt:i4>12</vt:i4>
      </vt:variant>
      <vt:variant>
        <vt:i4>0</vt:i4>
      </vt:variant>
      <vt:variant>
        <vt:i4>5</vt:i4>
      </vt:variant>
      <vt:variant>
        <vt:lpwstr>https://icfonline.sharepoint.com/:x:/r/teams/RMPRulemakingSupport/Shared Documents/RMP Retrospective Rule (2021_2022)/ICR Renewals/2.28.22 Updated Drafts/2022 Consolidated RMP ICR Burden Estimate_20220228.xlsx?d=w5b3f5bb97d7b43f1a78bd7f5d883cd9d&amp;csf=1&amp;web=1&amp;e=WAjAvZ</vt:lpwstr>
      </vt:variant>
      <vt:variant>
        <vt:lpwstr/>
      </vt:variant>
      <vt:variant>
        <vt:i4>3014751</vt:i4>
      </vt:variant>
      <vt:variant>
        <vt:i4>9</vt:i4>
      </vt:variant>
      <vt:variant>
        <vt:i4>0</vt:i4>
      </vt:variant>
      <vt:variant>
        <vt:i4>5</vt:i4>
      </vt:variant>
      <vt:variant>
        <vt:lpwstr>mailto:Joanne.Zulinski@icf.com</vt:lpwstr>
      </vt:variant>
      <vt:variant>
        <vt:lpwstr/>
      </vt:variant>
      <vt:variant>
        <vt:i4>1441914</vt:i4>
      </vt:variant>
      <vt:variant>
        <vt:i4>6</vt:i4>
      </vt:variant>
      <vt:variant>
        <vt:i4>0</vt:i4>
      </vt:variant>
      <vt:variant>
        <vt:i4>5</vt:i4>
      </vt:variant>
      <vt:variant>
        <vt:lpwstr>mailto:Clare.Haffner@icf.com</vt:lpwstr>
      </vt:variant>
      <vt:variant>
        <vt:lpwstr/>
      </vt:variant>
      <vt:variant>
        <vt:i4>3014751</vt:i4>
      </vt:variant>
      <vt:variant>
        <vt:i4>3</vt:i4>
      </vt:variant>
      <vt:variant>
        <vt:i4>0</vt:i4>
      </vt:variant>
      <vt:variant>
        <vt:i4>5</vt:i4>
      </vt:variant>
      <vt:variant>
        <vt:lpwstr>mailto:Joanne.Zulinski@icf.com</vt:lpwstr>
      </vt:variant>
      <vt:variant>
        <vt:lpwstr/>
      </vt:variant>
      <vt:variant>
        <vt:i4>1441914</vt:i4>
      </vt:variant>
      <vt:variant>
        <vt:i4>0</vt:i4>
      </vt:variant>
      <vt:variant>
        <vt:i4>0</vt:i4>
      </vt:variant>
      <vt:variant>
        <vt:i4>5</vt:i4>
      </vt:variant>
      <vt:variant>
        <vt:lpwstr>mailto:Clare.Haffner@icf.com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Haffner, Clare</dc:creator>
  <cp:keywords/>
  <dc:description/>
  <cp:lastModifiedBy>EPA</cp:lastModifiedBy>
  <cp:revision>6</cp:revision>
  <cp:lastPrinted>2022-02-18T23:37:00Z</cp:lastPrinted>
  <dcterms:created xsi:type="dcterms:W3CDTF">2022-08-08T20:22:00Z</dcterms:created>
  <dcterms:modified xsi:type="dcterms:W3CDTF">2022-08-29T16:38:00Z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0x010100196F4FF33A1A1F409242C0E212D83C63</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ies>
</file>