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5A16F5" w:rsidR="005645B8" w:rsidP="002059F4" w:rsidRDefault="005645B8" w14:paraId="5616E8D6" w14:textId="03BDFD68">
      <w:pPr>
        <w:pStyle w:val="Heading3"/>
        <w:numPr>
          <w:ilvl w:val="0"/>
          <w:numId w:val="0"/>
        </w:numPr>
        <w:rPr>
          <w:rFonts w:cs="Arial"/>
        </w:rPr>
      </w:pPr>
      <w:bookmarkStart w:name="_Toc49148153" w:id="1"/>
      <w:r w:rsidRPr="005A16F5">
        <w:rPr>
          <w:rFonts w:cs="Arial"/>
        </w:rPr>
        <w:t>Identification of the Information Collection – Title and Numbers</w:t>
      </w:r>
      <w:bookmarkEnd w:id="1"/>
    </w:p>
    <w:p w:rsidRPr="005A16F5" w:rsidR="005645B8" w:rsidP="009505AD" w:rsidRDefault="009505AD" w14:paraId="47EF360E" w14:textId="7CF36C64">
      <w:pPr>
        <w:pStyle w:val="NoSpacing"/>
        <w:spacing w:after="120"/>
        <w:rPr>
          <w:rFonts w:ascii="Arial" w:hAnsi="Arial" w:cs="Arial"/>
          <w:sz w:val="24"/>
          <w:szCs w:val="24"/>
        </w:rPr>
      </w:pPr>
      <w:r w:rsidRPr="005A16F5">
        <w:rPr>
          <w:rFonts w:ascii="Arial" w:hAnsi="Arial" w:cs="Arial"/>
          <w:sz w:val="24"/>
          <w:szCs w:val="24"/>
        </w:rPr>
        <w:tab/>
      </w:r>
      <w:r w:rsidRPr="005A16F5" w:rsidR="005645B8">
        <w:rPr>
          <w:rFonts w:ascii="Arial" w:hAnsi="Arial" w:cs="Arial"/>
          <w:b/>
          <w:sz w:val="24"/>
          <w:szCs w:val="24"/>
        </w:rPr>
        <w:t xml:space="preserve">Title: </w:t>
      </w:r>
      <w:bookmarkStart w:name="_Hlk85105617" w:id="2"/>
      <w:r w:rsidR="00A27E1A">
        <w:rPr>
          <w:rFonts w:ascii="Arial" w:hAnsi="Arial" w:cs="Arial"/>
          <w:b/>
          <w:sz w:val="24"/>
          <w:szCs w:val="24"/>
        </w:rPr>
        <w:t xml:space="preserve">Consolidation of Certain Reporting and </w:t>
      </w:r>
      <w:r w:rsidRPr="005A16F5" w:rsidR="00645EF4">
        <w:rPr>
          <w:rFonts w:ascii="Arial" w:hAnsi="Arial" w:cs="Arial"/>
          <w:b/>
          <w:bCs/>
          <w:sz w:val="24"/>
          <w:szCs w:val="24"/>
        </w:rPr>
        <w:t>Recordkeeping Under Section 8 of the Toxic Substances Control Act (TSCA)</w:t>
      </w:r>
      <w:bookmarkEnd w:id="2"/>
    </w:p>
    <w:p w:rsidRPr="005A16F5" w:rsidR="009505AD" w:rsidP="005645B8" w:rsidRDefault="005645B8" w14:paraId="1968D082" w14:textId="68C910A4">
      <w:pPr>
        <w:pStyle w:val="NoSpacing"/>
        <w:spacing w:after="120"/>
        <w:rPr>
          <w:rFonts w:ascii="Arial" w:hAnsi="Arial" w:cs="Arial"/>
          <w:sz w:val="24"/>
          <w:szCs w:val="24"/>
        </w:rPr>
      </w:pPr>
      <w:r w:rsidRPr="005A16F5">
        <w:rPr>
          <w:rFonts w:ascii="Arial" w:hAnsi="Arial" w:cs="Arial"/>
          <w:sz w:val="24"/>
          <w:szCs w:val="24"/>
        </w:rPr>
        <w:tab/>
      </w:r>
      <w:r w:rsidRPr="005A16F5" w:rsidR="009505AD">
        <w:rPr>
          <w:rFonts w:ascii="Arial" w:hAnsi="Arial" w:cs="Arial"/>
          <w:b/>
          <w:bCs/>
          <w:sz w:val="24"/>
          <w:szCs w:val="24"/>
        </w:rPr>
        <w:t xml:space="preserve">EPA </w:t>
      </w:r>
      <w:r w:rsidRPr="005A16F5">
        <w:rPr>
          <w:rFonts w:ascii="Arial" w:hAnsi="Arial" w:cs="Arial"/>
          <w:b/>
          <w:bCs/>
          <w:sz w:val="24"/>
          <w:szCs w:val="24"/>
        </w:rPr>
        <w:t>ICR N</w:t>
      </w:r>
      <w:r w:rsidRPr="005A16F5" w:rsidR="009505AD">
        <w:rPr>
          <w:rFonts w:ascii="Arial" w:hAnsi="Arial" w:cs="Arial"/>
          <w:b/>
          <w:bCs/>
          <w:sz w:val="24"/>
          <w:szCs w:val="24"/>
        </w:rPr>
        <w:t>o.</w:t>
      </w:r>
      <w:r w:rsidRPr="005A16F5">
        <w:rPr>
          <w:rFonts w:ascii="Arial" w:hAnsi="Arial" w:cs="Arial"/>
          <w:b/>
          <w:bCs/>
          <w:sz w:val="24"/>
          <w:szCs w:val="24"/>
        </w:rPr>
        <w:t>:</w:t>
      </w:r>
      <w:r w:rsidRPr="005A16F5">
        <w:rPr>
          <w:rFonts w:ascii="Arial" w:hAnsi="Arial" w:cs="Arial"/>
          <w:b/>
          <w:sz w:val="24"/>
          <w:szCs w:val="24"/>
        </w:rPr>
        <w:t xml:space="preserve"> </w:t>
      </w:r>
      <w:r w:rsidRPr="0034191D" w:rsidR="002E7A97">
        <w:rPr>
          <w:rFonts w:ascii="Arial" w:hAnsi="Arial" w:cs="Arial"/>
          <w:bCs/>
          <w:sz w:val="24"/>
          <w:szCs w:val="24"/>
        </w:rPr>
        <w:t>2703.01</w:t>
      </w:r>
    </w:p>
    <w:p w:rsidRPr="005A16F5" w:rsidR="005645B8" w:rsidP="005645B8" w:rsidRDefault="009505AD" w14:paraId="3EF98889" w14:textId="4913E572">
      <w:pPr>
        <w:pStyle w:val="NoSpacing"/>
        <w:spacing w:after="120"/>
        <w:rPr>
          <w:rFonts w:ascii="Arial" w:hAnsi="Arial" w:cs="Arial"/>
          <w:sz w:val="24"/>
          <w:szCs w:val="24"/>
        </w:rPr>
      </w:pPr>
      <w:r w:rsidRPr="005A16F5">
        <w:rPr>
          <w:rFonts w:ascii="Arial" w:hAnsi="Arial" w:cs="Arial"/>
          <w:sz w:val="24"/>
          <w:szCs w:val="24"/>
        </w:rPr>
        <w:tab/>
      </w:r>
      <w:r w:rsidRPr="005A16F5" w:rsidR="005645B8">
        <w:rPr>
          <w:rFonts w:ascii="Arial" w:hAnsi="Arial" w:cs="Arial"/>
          <w:b/>
          <w:bCs/>
          <w:sz w:val="24"/>
          <w:szCs w:val="24"/>
        </w:rPr>
        <w:t>OMB Control No.:</w:t>
      </w:r>
      <w:r w:rsidRPr="005A16F5" w:rsidR="005645B8">
        <w:rPr>
          <w:rFonts w:ascii="Arial" w:hAnsi="Arial" w:cs="Arial"/>
          <w:sz w:val="24"/>
          <w:szCs w:val="24"/>
        </w:rPr>
        <w:t xml:space="preserve"> </w:t>
      </w:r>
      <w:r w:rsidRPr="005A16F5" w:rsidR="007D7596">
        <w:rPr>
          <w:rFonts w:ascii="Arial" w:hAnsi="Arial" w:cs="Arial"/>
          <w:sz w:val="24"/>
          <w:szCs w:val="24"/>
        </w:rPr>
        <w:t>2070</w:t>
      </w:r>
      <w:r w:rsidRPr="005A16F5" w:rsidR="003E2F88">
        <w:rPr>
          <w:rFonts w:ascii="Arial" w:hAnsi="Arial" w:cs="Arial"/>
          <w:sz w:val="24"/>
          <w:szCs w:val="24"/>
        </w:rPr>
        <w:t>-</w:t>
      </w:r>
      <w:r w:rsidR="00AF4C94">
        <w:rPr>
          <w:rFonts w:ascii="Arial" w:hAnsi="Arial" w:cs="Arial"/>
          <w:sz w:val="24"/>
          <w:szCs w:val="24"/>
        </w:rPr>
        <w:t>[</w:t>
      </w:r>
      <w:r w:rsidRPr="005A16F5" w:rsidR="00645EF4">
        <w:rPr>
          <w:rFonts w:ascii="Arial" w:hAnsi="Arial" w:cs="Arial"/>
          <w:sz w:val="24"/>
          <w:szCs w:val="24"/>
        </w:rPr>
        <w:t>NEW</w:t>
      </w:r>
      <w:r w:rsidR="00AF4C94">
        <w:rPr>
          <w:rFonts w:ascii="Arial" w:hAnsi="Arial" w:cs="Arial"/>
          <w:sz w:val="24"/>
          <w:szCs w:val="24"/>
        </w:rPr>
        <w:t>]</w:t>
      </w:r>
    </w:p>
    <w:p w:rsidRPr="005A16F5" w:rsidR="005645B8" w:rsidP="005645B8" w:rsidRDefault="005645B8" w14:paraId="05F7B442" w14:textId="545CF713">
      <w:pPr>
        <w:pStyle w:val="NoSpacing"/>
        <w:spacing w:after="120"/>
        <w:rPr>
          <w:rFonts w:ascii="Arial" w:hAnsi="Arial" w:cs="Arial"/>
          <w:sz w:val="24"/>
          <w:szCs w:val="24"/>
        </w:rPr>
      </w:pPr>
      <w:r w:rsidRPr="005A16F5">
        <w:rPr>
          <w:rFonts w:ascii="Arial" w:hAnsi="Arial" w:cs="Arial"/>
          <w:sz w:val="24"/>
          <w:szCs w:val="24"/>
        </w:rPr>
        <w:tab/>
      </w:r>
      <w:r w:rsidRPr="0D9769CB">
        <w:rPr>
          <w:rFonts w:ascii="Arial" w:hAnsi="Arial" w:cs="Arial"/>
          <w:b/>
          <w:bCs/>
          <w:sz w:val="24"/>
          <w:szCs w:val="24"/>
        </w:rPr>
        <w:t xml:space="preserve">Docket ID No.: </w:t>
      </w:r>
      <w:r w:rsidRPr="005A16F5">
        <w:rPr>
          <w:rFonts w:ascii="Arial" w:hAnsi="Arial" w:cs="Arial"/>
          <w:sz w:val="24"/>
          <w:szCs w:val="24"/>
        </w:rPr>
        <w:t>EPA-HQ-</w:t>
      </w:r>
      <w:r w:rsidRPr="005A16F5" w:rsidR="007D7596">
        <w:rPr>
          <w:rFonts w:ascii="Arial" w:hAnsi="Arial" w:cs="Arial"/>
          <w:sz w:val="24"/>
          <w:szCs w:val="24"/>
        </w:rPr>
        <w:t>OPPT-20</w:t>
      </w:r>
      <w:r w:rsidRPr="005A16F5" w:rsidR="00645EF4">
        <w:rPr>
          <w:rFonts w:ascii="Arial" w:hAnsi="Arial" w:cs="Arial"/>
          <w:sz w:val="24"/>
          <w:szCs w:val="24"/>
        </w:rPr>
        <w:t>21-0728</w:t>
      </w:r>
    </w:p>
    <w:p w:rsidRPr="00BF52B6" w:rsidR="005645B8" w:rsidP="002059F4" w:rsidRDefault="005645B8" w14:paraId="6A1E128E" w14:textId="352364C1">
      <w:pPr>
        <w:pStyle w:val="Heading3"/>
        <w:numPr>
          <w:ilvl w:val="0"/>
          <w:numId w:val="0"/>
        </w:numPr>
      </w:pPr>
      <w:bookmarkStart w:name="_Toc49148156" w:id="3"/>
      <w:r w:rsidRPr="00483711">
        <w:t>Abstract</w:t>
      </w:r>
      <w:bookmarkEnd w:id="3"/>
    </w:p>
    <w:p w:rsidRPr="00645EF4" w:rsidR="00645EF4" w:rsidP="008C6A2E" w:rsidRDefault="00645EF4" w14:paraId="523BFB5B" w14:textId="47C495CB">
      <w:pPr>
        <w:pStyle w:val="NoSpacing"/>
        <w:spacing w:after="200" w:line="276" w:lineRule="auto"/>
        <w:rPr>
          <w:rFonts w:ascii="Arial" w:hAnsi="Arial" w:cs="Arial"/>
          <w:sz w:val="24"/>
          <w:szCs w:val="24"/>
        </w:rPr>
      </w:pPr>
      <w:r w:rsidRPr="00645EF4">
        <w:rPr>
          <w:rFonts w:ascii="Arial" w:hAnsi="Arial" w:cs="Arial"/>
          <w:sz w:val="24"/>
          <w:szCs w:val="24"/>
        </w:rPr>
        <w:t xml:space="preserve">This is a new ICR that consolidates the information collection activities currently covered by several ICRs previously approved by OMB under the separate OMB control numbers identified </w:t>
      </w:r>
      <w:r w:rsidR="00AC440A">
        <w:rPr>
          <w:rFonts w:ascii="Arial" w:hAnsi="Arial" w:cs="Arial"/>
          <w:sz w:val="24"/>
          <w:szCs w:val="24"/>
        </w:rPr>
        <w:t>below.</w:t>
      </w:r>
    </w:p>
    <w:tbl>
      <w:tblPr>
        <w:tblStyle w:val="TableGrid"/>
        <w:tblW w:w="9630" w:type="dxa"/>
        <w:tblInd w:w="-95" w:type="dxa"/>
        <w:tblLook w:val="04A0" w:firstRow="1" w:lastRow="0" w:firstColumn="1" w:lastColumn="0" w:noHBand="0" w:noVBand="1"/>
      </w:tblPr>
      <w:tblGrid>
        <w:gridCol w:w="1240"/>
        <w:gridCol w:w="939"/>
        <w:gridCol w:w="4093"/>
        <w:gridCol w:w="1288"/>
        <w:gridCol w:w="990"/>
        <w:gridCol w:w="1080"/>
      </w:tblGrid>
      <w:tr w:rsidRPr="006974B4" w:rsidR="002B446C" w:rsidTr="003707B0" w14:paraId="63349FAB" w14:textId="119E8795">
        <w:tc>
          <w:tcPr>
            <w:tcW w:w="9630" w:type="dxa"/>
            <w:gridSpan w:val="6"/>
          </w:tcPr>
          <w:p w:rsidRPr="006974B4" w:rsidR="002B446C" w:rsidP="006974B4" w:rsidRDefault="002B446C" w14:paraId="65458D47" w14:textId="2B37B69F">
            <w:pPr>
              <w:pStyle w:val="NoSpacing"/>
              <w:spacing w:line="259" w:lineRule="auto"/>
              <w:rPr>
                <w:rFonts w:ascii="Arial" w:hAnsi="Arial" w:cs="Arial"/>
                <w:b/>
                <w:sz w:val="20"/>
                <w:szCs w:val="20"/>
              </w:rPr>
            </w:pPr>
            <w:bookmarkStart w:name="_Hlk112247513" w:id="4"/>
            <w:r w:rsidRPr="006974B4">
              <w:rPr>
                <w:rFonts w:ascii="Arial" w:hAnsi="Arial" w:cs="Arial"/>
                <w:b/>
                <w:sz w:val="20"/>
                <w:szCs w:val="20"/>
              </w:rPr>
              <w:t>Previously Approved ICRs Being Consolidated</w:t>
            </w:r>
          </w:p>
        </w:tc>
      </w:tr>
      <w:tr w:rsidRPr="006974B4" w:rsidR="00191FFC" w:rsidTr="002B446C" w14:paraId="739D9AD1" w14:textId="6CCF49C9">
        <w:tc>
          <w:tcPr>
            <w:tcW w:w="1240" w:type="dxa"/>
          </w:tcPr>
          <w:p w:rsidRPr="006974B4" w:rsidR="00191FFC" w:rsidP="006974B4" w:rsidRDefault="00191FFC" w14:paraId="74DE4832" w14:textId="77777777">
            <w:pPr>
              <w:pStyle w:val="NoSpacing"/>
              <w:spacing w:line="259" w:lineRule="auto"/>
              <w:rPr>
                <w:rFonts w:ascii="Arial" w:hAnsi="Arial" w:cs="Arial"/>
                <w:b/>
                <w:sz w:val="20"/>
                <w:szCs w:val="20"/>
              </w:rPr>
            </w:pPr>
            <w:r w:rsidRPr="006974B4">
              <w:rPr>
                <w:rFonts w:ascii="Arial" w:hAnsi="Arial" w:cs="Arial"/>
                <w:b/>
                <w:sz w:val="20"/>
                <w:szCs w:val="20"/>
              </w:rPr>
              <w:t xml:space="preserve">OMB Control No. </w:t>
            </w:r>
          </w:p>
        </w:tc>
        <w:tc>
          <w:tcPr>
            <w:tcW w:w="939" w:type="dxa"/>
          </w:tcPr>
          <w:p w:rsidRPr="006974B4" w:rsidR="00191FFC" w:rsidP="006974B4" w:rsidRDefault="00191FFC" w14:paraId="0E84A7A5" w14:textId="77777777">
            <w:pPr>
              <w:pStyle w:val="NoSpacing"/>
              <w:spacing w:line="259" w:lineRule="auto"/>
              <w:rPr>
                <w:rFonts w:ascii="Arial" w:hAnsi="Arial" w:cs="Arial"/>
                <w:b/>
                <w:sz w:val="20"/>
                <w:szCs w:val="20"/>
              </w:rPr>
            </w:pPr>
            <w:r w:rsidRPr="006974B4">
              <w:rPr>
                <w:rFonts w:ascii="Arial" w:hAnsi="Arial" w:cs="Arial"/>
                <w:b/>
                <w:sz w:val="20"/>
                <w:szCs w:val="20"/>
              </w:rPr>
              <w:t>EPA ICR No.</w:t>
            </w:r>
          </w:p>
        </w:tc>
        <w:tc>
          <w:tcPr>
            <w:tcW w:w="4093" w:type="dxa"/>
          </w:tcPr>
          <w:p w:rsidR="00191FFC" w:rsidP="00191FFC" w:rsidRDefault="00191FFC" w14:paraId="4C7B4EC3" w14:textId="77777777">
            <w:pPr>
              <w:pStyle w:val="NoSpacing"/>
              <w:spacing w:line="259" w:lineRule="auto"/>
              <w:rPr>
                <w:rFonts w:ascii="Arial" w:hAnsi="Arial" w:cs="Arial"/>
                <w:b/>
                <w:sz w:val="20"/>
                <w:szCs w:val="20"/>
              </w:rPr>
            </w:pPr>
            <w:r w:rsidRPr="006974B4">
              <w:rPr>
                <w:rFonts w:ascii="Arial" w:hAnsi="Arial" w:cs="Arial"/>
                <w:b/>
                <w:sz w:val="20"/>
                <w:szCs w:val="20"/>
              </w:rPr>
              <w:t>ICR Title</w:t>
            </w:r>
          </w:p>
          <w:p w:rsidRPr="002B446C" w:rsidR="00191FFC" w:rsidP="00191FFC" w:rsidRDefault="00191FFC" w14:paraId="122013A0" w14:textId="10F1FA8C">
            <w:pPr>
              <w:pStyle w:val="NoSpacing"/>
              <w:spacing w:line="259" w:lineRule="auto"/>
              <w:rPr>
                <w:rFonts w:ascii="Arial" w:hAnsi="Arial" w:cs="Arial"/>
                <w:b/>
                <w:sz w:val="18"/>
                <w:szCs w:val="18"/>
              </w:rPr>
            </w:pPr>
            <w:r w:rsidRPr="002B446C">
              <w:rPr>
                <w:rFonts w:ascii="Arial" w:hAnsi="Arial" w:cs="Arial"/>
                <w:b/>
                <w:sz w:val="18"/>
                <w:szCs w:val="18"/>
              </w:rPr>
              <w:t>[ICR Status]</w:t>
            </w:r>
          </w:p>
        </w:tc>
        <w:tc>
          <w:tcPr>
            <w:tcW w:w="1288" w:type="dxa"/>
          </w:tcPr>
          <w:p w:rsidRPr="006974B4" w:rsidR="00191FFC" w:rsidP="006974B4" w:rsidRDefault="00191FFC" w14:paraId="3B6D7593" w14:textId="0F4BD4C3">
            <w:pPr>
              <w:pStyle w:val="NoSpacing"/>
              <w:spacing w:line="259" w:lineRule="auto"/>
              <w:rPr>
                <w:rFonts w:ascii="Arial" w:hAnsi="Arial" w:cs="Arial"/>
                <w:b/>
                <w:sz w:val="20"/>
                <w:szCs w:val="20"/>
              </w:rPr>
            </w:pPr>
            <w:r>
              <w:rPr>
                <w:rFonts w:ascii="Arial" w:hAnsi="Arial" w:cs="Arial"/>
                <w:b/>
                <w:sz w:val="20"/>
                <w:szCs w:val="20"/>
              </w:rPr>
              <w:t>Total Responses</w:t>
            </w:r>
          </w:p>
        </w:tc>
        <w:tc>
          <w:tcPr>
            <w:tcW w:w="990" w:type="dxa"/>
          </w:tcPr>
          <w:p w:rsidRPr="006974B4" w:rsidR="00191FFC" w:rsidP="006974B4" w:rsidRDefault="00191FFC" w14:paraId="1A4871E0" w14:textId="14EAB87F">
            <w:pPr>
              <w:pStyle w:val="NoSpacing"/>
              <w:spacing w:line="259" w:lineRule="auto"/>
              <w:rPr>
                <w:rFonts w:ascii="Arial" w:hAnsi="Arial" w:cs="Arial"/>
                <w:b/>
                <w:sz w:val="20"/>
                <w:szCs w:val="20"/>
              </w:rPr>
            </w:pPr>
            <w:r>
              <w:rPr>
                <w:rFonts w:ascii="Arial" w:hAnsi="Arial" w:cs="Arial"/>
                <w:b/>
                <w:sz w:val="20"/>
                <w:szCs w:val="20"/>
              </w:rPr>
              <w:t>Total Burden (Hours)</w:t>
            </w:r>
          </w:p>
        </w:tc>
        <w:tc>
          <w:tcPr>
            <w:tcW w:w="1080" w:type="dxa"/>
          </w:tcPr>
          <w:p w:rsidR="00191FFC" w:rsidP="006974B4" w:rsidRDefault="00191FFC" w14:paraId="4402E89F" w14:textId="77777777">
            <w:pPr>
              <w:pStyle w:val="NoSpacing"/>
              <w:spacing w:line="259" w:lineRule="auto"/>
              <w:rPr>
                <w:rFonts w:ascii="Arial" w:hAnsi="Arial" w:cs="Arial"/>
                <w:b/>
                <w:sz w:val="20"/>
                <w:szCs w:val="20"/>
              </w:rPr>
            </w:pPr>
            <w:r>
              <w:rPr>
                <w:rFonts w:ascii="Arial" w:hAnsi="Arial" w:cs="Arial"/>
                <w:b/>
                <w:sz w:val="20"/>
                <w:szCs w:val="20"/>
              </w:rPr>
              <w:t>Total Costs</w:t>
            </w:r>
          </w:p>
          <w:p w:rsidRPr="006974B4" w:rsidR="00191FFC" w:rsidP="006974B4" w:rsidRDefault="00191FFC" w14:paraId="781AF92B" w14:textId="1C18EFFF">
            <w:pPr>
              <w:pStyle w:val="NoSpacing"/>
              <w:spacing w:line="259" w:lineRule="auto"/>
              <w:rPr>
                <w:rFonts w:ascii="Arial" w:hAnsi="Arial" w:cs="Arial"/>
                <w:b/>
                <w:sz w:val="20"/>
                <w:szCs w:val="20"/>
              </w:rPr>
            </w:pPr>
            <w:r>
              <w:rPr>
                <w:rFonts w:ascii="Arial" w:hAnsi="Arial" w:cs="Arial"/>
                <w:b/>
                <w:sz w:val="20"/>
                <w:szCs w:val="20"/>
              </w:rPr>
              <w:t>(Dollars)</w:t>
            </w:r>
          </w:p>
        </w:tc>
      </w:tr>
      <w:tr w:rsidRPr="006974B4" w:rsidR="00191FFC" w:rsidTr="002B446C" w14:paraId="4F70E24F" w14:textId="2B3E7C4B">
        <w:tc>
          <w:tcPr>
            <w:tcW w:w="1240" w:type="dxa"/>
          </w:tcPr>
          <w:p w:rsidRPr="006974B4" w:rsidR="00191FFC" w:rsidP="006974B4" w:rsidRDefault="00191FFC" w14:paraId="00493EE3" w14:textId="1FAE7687">
            <w:pPr>
              <w:pStyle w:val="NoSpacing"/>
              <w:spacing w:line="259" w:lineRule="auto"/>
              <w:rPr>
                <w:rFonts w:ascii="Arial" w:hAnsi="Arial" w:cs="Arial"/>
                <w:bCs/>
                <w:sz w:val="20"/>
                <w:szCs w:val="20"/>
              </w:rPr>
            </w:pPr>
            <w:r w:rsidRPr="006974B4">
              <w:rPr>
                <w:rFonts w:ascii="Arial" w:hAnsi="Arial" w:cs="Arial"/>
                <w:bCs/>
                <w:sz w:val="20"/>
                <w:szCs w:val="20"/>
              </w:rPr>
              <w:t>2070-0004</w:t>
            </w:r>
          </w:p>
        </w:tc>
        <w:tc>
          <w:tcPr>
            <w:tcW w:w="939" w:type="dxa"/>
          </w:tcPr>
          <w:p w:rsidRPr="006974B4" w:rsidR="00191FFC" w:rsidP="006974B4" w:rsidRDefault="00191FFC" w14:paraId="14FE40CA" w14:textId="06873E40">
            <w:pPr>
              <w:pStyle w:val="NoSpacing"/>
              <w:spacing w:line="259" w:lineRule="auto"/>
              <w:rPr>
                <w:rFonts w:ascii="Arial" w:hAnsi="Arial" w:cs="Arial"/>
                <w:bCs/>
                <w:sz w:val="20"/>
                <w:szCs w:val="20"/>
              </w:rPr>
            </w:pPr>
            <w:r w:rsidRPr="006974B4">
              <w:rPr>
                <w:rFonts w:ascii="Arial" w:hAnsi="Arial" w:cs="Arial"/>
                <w:bCs/>
                <w:sz w:val="20"/>
                <w:szCs w:val="20"/>
              </w:rPr>
              <w:t>0575.16</w:t>
            </w:r>
          </w:p>
        </w:tc>
        <w:tc>
          <w:tcPr>
            <w:tcW w:w="4093" w:type="dxa"/>
          </w:tcPr>
          <w:p w:rsidR="00191FFC" w:rsidP="006974B4" w:rsidRDefault="00191FFC" w14:paraId="715A0229" w14:textId="77777777">
            <w:pPr>
              <w:pStyle w:val="NoSpacing"/>
              <w:spacing w:line="259" w:lineRule="auto"/>
              <w:rPr>
                <w:rFonts w:ascii="Arial" w:hAnsi="Arial" w:cs="Arial"/>
                <w:bCs/>
                <w:sz w:val="20"/>
                <w:szCs w:val="20"/>
              </w:rPr>
            </w:pPr>
            <w:bookmarkStart w:name="_Hlk85106125" w:id="5"/>
            <w:r w:rsidRPr="006974B4">
              <w:rPr>
                <w:rFonts w:ascii="Arial" w:hAnsi="Arial" w:cs="Arial"/>
                <w:bCs/>
                <w:sz w:val="20"/>
                <w:szCs w:val="20"/>
              </w:rPr>
              <w:t>Health and Safety Data Reporting, Submission of Lists and Copies of Health and Safety Studies</w:t>
            </w:r>
            <w:bookmarkEnd w:id="5"/>
          </w:p>
          <w:p w:rsidRPr="002B446C" w:rsidR="00191FFC" w:rsidP="006974B4" w:rsidRDefault="00191FFC" w14:paraId="7908534E" w14:textId="208A191F">
            <w:pPr>
              <w:pStyle w:val="NoSpacing"/>
              <w:spacing w:line="259" w:lineRule="auto"/>
              <w:rPr>
                <w:rFonts w:ascii="Arial" w:hAnsi="Arial" w:cs="Arial"/>
                <w:bCs/>
                <w:sz w:val="18"/>
                <w:szCs w:val="18"/>
              </w:rPr>
            </w:pPr>
            <w:r w:rsidRPr="002B446C">
              <w:rPr>
                <w:rFonts w:ascii="Arial" w:hAnsi="Arial" w:cs="Arial"/>
                <w:bCs/>
                <w:sz w:val="18"/>
                <w:szCs w:val="18"/>
              </w:rPr>
              <w:t>[Approved through November 30, 2022.]</w:t>
            </w:r>
          </w:p>
        </w:tc>
        <w:tc>
          <w:tcPr>
            <w:tcW w:w="1288" w:type="dxa"/>
          </w:tcPr>
          <w:p w:rsidRPr="006974B4" w:rsidR="00191FFC" w:rsidP="002B446C" w:rsidRDefault="002B446C" w14:paraId="671CB83F" w14:textId="13B67BEA">
            <w:pPr>
              <w:pStyle w:val="NoSpacing"/>
              <w:spacing w:line="259" w:lineRule="auto"/>
              <w:jc w:val="center"/>
              <w:rPr>
                <w:rFonts w:ascii="Arial" w:hAnsi="Arial" w:cs="Arial"/>
                <w:bCs/>
                <w:sz w:val="20"/>
                <w:szCs w:val="20"/>
              </w:rPr>
            </w:pPr>
            <w:r>
              <w:rPr>
                <w:rFonts w:ascii="Arial" w:hAnsi="Arial" w:cs="Arial"/>
                <w:bCs/>
                <w:sz w:val="20"/>
                <w:szCs w:val="20"/>
              </w:rPr>
              <w:t>34</w:t>
            </w:r>
          </w:p>
        </w:tc>
        <w:tc>
          <w:tcPr>
            <w:tcW w:w="990" w:type="dxa"/>
          </w:tcPr>
          <w:p w:rsidRPr="006974B4" w:rsidR="00191FFC" w:rsidP="002B446C" w:rsidRDefault="002B446C" w14:paraId="701A2007" w14:textId="4F47D12B">
            <w:pPr>
              <w:pStyle w:val="NoSpacing"/>
              <w:spacing w:line="259" w:lineRule="auto"/>
              <w:jc w:val="center"/>
              <w:rPr>
                <w:rFonts w:ascii="Arial" w:hAnsi="Arial" w:cs="Arial"/>
                <w:bCs/>
                <w:sz w:val="20"/>
                <w:szCs w:val="20"/>
              </w:rPr>
            </w:pPr>
            <w:r>
              <w:rPr>
                <w:rFonts w:ascii="Arial" w:hAnsi="Arial" w:cs="Arial"/>
                <w:bCs/>
                <w:sz w:val="20"/>
                <w:szCs w:val="20"/>
              </w:rPr>
              <w:t>313</w:t>
            </w:r>
          </w:p>
        </w:tc>
        <w:tc>
          <w:tcPr>
            <w:tcW w:w="1080" w:type="dxa"/>
          </w:tcPr>
          <w:p w:rsidRPr="006974B4" w:rsidR="00191FFC" w:rsidP="002B446C" w:rsidRDefault="002B446C" w14:paraId="17A36DC5" w14:textId="4D131CC9">
            <w:pPr>
              <w:pStyle w:val="NoSpacing"/>
              <w:spacing w:line="259" w:lineRule="auto"/>
              <w:jc w:val="center"/>
              <w:rPr>
                <w:rFonts w:ascii="Arial" w:hAnsi="Arial" w:cs="Arial"/>
                <w:bCs/>
                <w:sz w:val="20"/>
                <w:szCs w:val="20"/>
              </w:rPr>
            </w:pPr>
            <w:r>
              <w:rPr>
                <w:rFonts w:ascii="Arial" w:hAnsi="Arial" w:cs="Arial"/>
                <w:bCs/>
                <w:sz w:val="20"/>
                <w:szCs w:val="20"/>
              </w:rPr>
              <w:t>$ 23,501</w:t>
            </w:r>
          </w:p>
        </w:tc>
      </w:tr>
      <w:tr w:rsidRPr="006974B4" w:rsidR="00191FFC" w:rsidTr="002B446C" w14:paraId="20F9D619" w14:textId="00AB1079">
        <w:tc>
          <w:tcPr>
            <w:tcW w:w="1240" w:type="dxa"/>
          </w:tcPr>
          <w:p w:rsidRPr="006974B4" w:rsidR="00191FFC" w:rsidP="006974B4" w:rsidRDefault="00191FFC" w14:paraId="6F50830E" w14:textId="77777777">
            <w:pPr>
              <w:pStyle w:val="NoSpacing"/>
              <w:spacing w:line="259" w:lineRule="auto"/>
              <w:rPr>
                <w:rFonts w:ascii="Arial" w:hAnsi="Arial" w:cs="Arial"/>
                <w:bCs/>
                <w:sz w:val="20"/>
                <w:szCs w:val="20"/>
              </w:rPr>
            </w:pPr>
            <w:r w:rsidRPr="006974B4">
              <w:rPr>
                <w:rFonts w:ascii="Arial" w:hAnsi="Arial" w:cs="Arial"/>
                <w:bCs/>
                <w:sz w:val="20"/>
                <w:szCs w:val="20"/>
              </w:rPr>
              <w:t>2070-0017</w:t>
            </w:r>
          </w:p>
        </w:tc>
        <w:tc>
          <w:tcPr>
            <w:tcW w:w="939" w:type="dxa"/>
          </w:tcPr>
          <w:p w:rsidRPr="006974B4" w:rsidR="00191FFC" w:rsidP="006974B4" w:rsidRDefault="00191FFC" w14:paraId="7EC096CF" w14:textId="77777777">
            <w:pPr>
              <w:pStyle w:val="NoSpacing"/>
              <w:spacing w:line="259" w:lineRule="auto"/>
              <w:rPr>
                <w:rFonts w:ascii="Arial" w:hAnsi="Arial" w:cs="Arial"/>
                <w:bCs/>
                <w:sz w:val="20"/>
                <w:szCs w:val="20"/>
              </w:rPr>
            </w:pPr>
            <w:r w:rsidRPr="006974B4">
              <w:rPr>
                <w:rFonts w:ascii="Arial" w:hAnsi="Arial" w:cs="Arial"/>
                <w:bCs/>
                <w:sz w:val="20"/>
                <w:szCs w:val="20"/>
              </w:rPr>
              <w:t>1031.12</w:t>
            </w:r>
          </w:p>
        </w:tc>
        <w:tc>
          <w:tcPr>
            <w:tcW w:w="4093" w:type="dxa"/>
          </w:tcPr>
          <w:p w:rsidR="00191FFC" w:rsidP="006974B4" w:rsidRDefault="00191FFC" w14:paraId="4DAD59E0" w14:textId="77777777">
            <w:pPr>
              <w:pStyle w:val="NoSpacing"/>
              <w:spacing w:line="259" w:lineRule="auto"/>
              <w:rPr>
                <w:rFonts w:ascii="Arial" w:hAnsi="Arial" w:cs="Arial"/>
                <w:bCs/>
                <w:sz w:val="20"/>
                <w:szCs w:val="20"/>
              </w:rPr>
            </w:pPr>
            <w:bookmarkStart w:name="_Hlk85106336" w:id="6"/>
            <w:r w:rsidRPr="006974B4">
              <w:rPr>
                <w:rFonts w:ascii="Arial" w:hAnsi="Arial" w:cs="Arial"/>
                <w:bCs/>
                <w:sz w:val="20"/>
                <w:szCs w:val="20"/>
              </w:rPr>
              <w:t>Recordkeeping and Reporting Requirements for Allegations of Significant Adverse Reactions to Human Health or the Environment</w:t>
            </w:r>
            <w:bookmarkEnd w:id="6"/>
          </w:p>
          <w:p w:rsidRPr="002B446C" w:rsidR="00191FFC" w:rsidP="006974B4" w:rsidRDefault="00191FFC" w14:paraId="3D66849A" w14:textId="0A907532">
            <w:pPr>
              <w:pStyle w:val="NoSpacing"/>
              <w:spacing w:line="259" w:lineRule="auto"/>
              <w:rPr>
                <w:rFonts w:ascii="Arial" w:hAnsi="Arial" w:cs="Arial"/>
                <w:bCs/>
                <w:sz w:val="18"/>
                <w:szCs w:val="18"/>
              </w:rPr>
            </w:pPr>
            <w:r w:rsidRPr="002B446C">
              <w:rPr>
                <w:rFonts w:ascii="Arial" w:hAnsi="Arial" w:cs="Arial"/>
                <w:bCs/>
                <w:sz w:val="18"/>
                <w:szCs w:val="18"/>
              </w:rPr>
              <w:t xml:space="preserve">[Renewal is pending at OMB, so existing </w:t>
            </w:r>
            <w:r w:rsidR="006344E9">
              <w:rPr>
                <w:rFonts w:ascii="Arial" w:hAnsi="Arial" w:cs="Arial"/>
                <w:bCs/>
                <w:sz w:val="18"/>
                <w:szCs w:val="18"/>
              </w:rPr>
              <w:t>a</w:t>
            </w:r>
            <w:r w:rsidRPr="002B446C">
              <w:rPr>
                <w:rFonts w:ascii="Arial" w:hAnsi="Arial" w:cs="Arial"/>
                <w:bCs/>
                <w:sz w:val="18"/>
                <w:szCs w:val="18"/>
              </w:rPr>
              <w:t>pproval is extended each month until OMB takes an action on the renewal.]</w:t>
            </w:r>
          </w:p>
        </w:tc>
        <w:tc>
          <w:tcPr>
            <w:tcW w:w="1288" w:type="dxa"/>
          </w:tcPr>
          <w:p w:rsidRPr="006974B4" w:rsidR="00191FFC" w:rsidP="002B446C" w:rsidRDefault="002B446C" w14:paraId="6F3DF201" w14:textId="7101A298">
            <w:pPr>
              <w:pStyle w:val="NoSpacing"/>
              <w:spacing w:line="259" w:lineRule="auto"/>
              <w:jc w:val="center"/>
              <w:rPr>
                <w:rFonts w:ascii="Arial" w:hAnsi="Arial" w:cs="Arial"/>
                <w:bCs/>
                <w:sz w:val="20"/>
                <w:szCs w:val="20"/>
              </w:rPr>
            </w:pPr>
            <w:r>
              <w:rPr>
                <w:rFonts w:ascii="Arial" w:hAnsi="Arial" w:cs="Arial"/>
                <w:bCs/>
                <w:sz w:val="20"/>
                <w:szCs w:val="20"/>
              </w:rPr>
              <w:t>26,336</w:t>
            </w:r>
          </w:p>
        </w:tc>
        <w:tc>
          <w:tcPr>
            <w:tcW w:w="990" w:type="dxa"/>
          </w:tcPr>
          <w:p w:rsidRPr="006974B4" w:rsidR="00191FFC" w:rsidP="002B446C" w:rsidRDefault="002B446C" w14:paraId="61F5B847" w14:textId="5A7D863A">
            <w:pPr>
              <w:pStyle w:val="NoSpacing"/>
              <w:spacing w:line="259" w:lineRule="auto"/>
              <w:jc w:val="center"/>
              <w:rPr>
                <w:rFonts w:ascii="Arial" w:hAnsi="Arial" w:cs="Arial"/>
                <w:bCs/>
                <w:sz w:val="20"/>
                <w:szCs w:val="20"/>
              </w:rPr>
            </w:pPr>
            <w:r>
              <w:rPr>
                <w:rFonts w:ascii="Arial" w:hAnsi="Arial" w:cs="Arial"/>
                <w:bCs/>
                <w:sz w:val="20"/>
                <w:szCs w:val="20"/>
              </w:rPr>
              <w:t>25,527</w:t>
            </w:r>
          </w:p>
        </w:tc>
        <w:tc>
          <w:tcPr>
            <w:tcW w:w="1080" w:type="dxa"/>
          </w:tcPr>
          <w:p w:rsidRPr="006974B4" w:rsidR="00191FFC" w:rsidP="002B446C" w:rsidRDefault="002B446C" w14:paraId="50EB6881" w14:textId="5EBF9829">
            <w:pPr>
              <w:pStyle w:val="NoSpacing"/>
              <w:spacing w:line="259" w:lineRule="auto"/>
              <w:jc w:val="center"/>
              <w:rPr>
                <w:rFonts w:ascii="Arial" w:hAnsi="Arial" w:cs="Arial"/>
                <w:bCs/>
                <w:sz w:val="20"/>
                <w:szCs w:val="20"/>
              </w:rPr>
            </w:pPr>
            <w:r>
              <w:rPr>
                <w:rFonts w:ascii="Arial" w:hAnsi="Arial" w:cs="Arial"/>
                <w:bCs/>
                <w:sz w:val="20"/>
                <w:szCs w:val="20"/>
              </w:rPr>
              <w:t>$ 0</w:t>
            </w:r>
          </w:p>
        </w:tc>
      </w:tr>
      <w:tr w:rsidRPr="006974B4" w:rsidR="00191FFC" w:rsidTr="002B446C" w14:paraId="2210CFC8" w14:textId="35F477B3">
        <w:tc>
          <w:tcPr>
            <w:tcW w:w="1240" w:type="dxa"/>
          </w:tcPr>
          <w:p w:rsidRPr="006974B4" w:rsidR="00191FFC" w:rsidP="006974B4" w:rsidRDefault="00191FFC" w14:paraId="38A6D03C" w14:textId="544C8AD7">
            <w:pPr>
              <w:pStyle w:val="NoSpacing"/>
              <w:spacing w:line="259" w:lineRule="auto"/>
              <w:rPr>
                <w:rFonts w:ascii="Arial" w:hAnsi="Arial" w:cs="Arial"/>
                <w:bCs/>
                <w:sz w:val="20"/>
                <w:szCs w:val="20"/>
              </w:rPr>
            </w:pPr>
            <w:r w:rsidRPr="006974B4">
              <w:rPr>
                <w:rFonts w:ascii="Arial" w:hAnsi="Arial" w:cs="Arial"/>
                <w:bCs/>
                <w:sz w:val="20"/>
                <w:szCs w:val="20"/>
              </w:rPr>
              <w:t>2070-0054</w:t>
            </w:r>
          </w:p>
        </w:tc>
        <w:tc>
          <w:tcPr>
            <w:tcW w:w="939" w:type="dxa"/>
          </w:tcPr>
          <w:p w:rsidRPr="006974B4" w:rsidR="00191FFC" w:rsidP="006974B4" w:rsidRDefault="00191FFC" w14:paraId="728F57F9" w14:textId="4BE538E9">
            <w:pPr>
              <w:pStyle w:val="NoSpacing"/>
              <w:spacing w:line="259" w:lineRule="auto"/>
              <w:rPr>
                <w:rFonts w:ascii="Arial" w:hAnsi="Arial" w:cs="Arial"/>
                <w:bCs/>
                <w:sz w:val="20"/>
                <w:szCs w:val="20"/>
              </w:rPr>
            </w:pPr>
            <w:r w:rsidRPr="006974B4">
              <w:rPr>
                <w:rFonts w:ascii="Arial" w:hAnsi="Arial" w:cs="Arial"/>
                <w:bCs/>
                <w:sz w:val="20"/>
                <w:szCs w:val="20"/>
              </w:rPr>
              <w:t>0586.14</w:t>
            </w:r>
          </w:p>
        </w:tc>
        <w:tc>
          <w:tcPr>
            <w:tcW w:w="4093" w:type="dxa"/>
          </w:tcPr>
          <w:p w:rsidR="00191FFC" w:rsidP="006974B4" w:rsidRDefault="00191FFC" w14:paraId="6638A9BF" w14:textId="77777777">
            <w:pPr>
              <w:pStyle w:val="NoSpacing"/>
              <w:spacing w:line="259" w:lineRule="auto"/>
              <w:rPr>
                <w:rFonts w:ascii="Arial" w:hAnsi="Arial" w:cs="Arial"/>
                <w:bCs/>
                <w:sz w:val="20"/>
                <w:szCs w:val="20"/>
              </w:rPr>
            </w:pPr>
            <w:bookmarkStart w:name="_Hlk85106380" w:id="7"/>
            <w:r w:rsidRPr="006974B4">
              <w:rPr>
                <w:rFonts w:ascii="Arial" w:hAnsi="Arial" w:cs="Arial"/>
                <w:bCs/>
                <w:sz w:val="20"/>
                <w:szCs w:val="20"/>
              </w:rPr>
              <w:t>TSCA Section 8(a) Preliminary Assessment Information Rule (PAIR)</w:t>
            </w:r>
            <w:bookmarkEnd w:id="7"/>
            <w:r w:rsidRPr="006974B4">
              <w:rPr>
                <w:rFonts w:ascii="Arial" w:hAnsi="Arial" w:cs="Arial"/>
                <w:bCs/>
                <w:sz w:val="20"/>
                <w:szCs w:val="20"/>
              </w:rPr>
              <w:t xml:space="preserve"> and Subpart B of 40 CFR part 766</w:t>
            </w:r>
          </w:p>
          <w:p w:rsidRPr="002B446C" w:rsidR="00191FFC" w:rsidP="006974B4" w:rsidRDefault="00191FFC" w14:paraId="002EE4EC" w14:textId="1CFF047A">
            <w:pPr>
              <w:pStyle w:val="NoSpacing"/>
              <w:spacing w:line="259" w:lineRule="auto"/>
              <w:rPr>
                <w:rFonts w:ascii="Arial" w:hAnsi="Arial" w:cs="Arial"/>
                <w:bCs/>
                <w:sz w:val="18"/>
                <w:szCs w:val="18"/>
              </w:rPr>
            </w:pPr>
            <w:r w:rsidRPr="002B446C">
              <w:rPr>
                <w:rFonts w:ascii="Arial" w:hAnsi="Arial" w:cs="Arial"/>
                <w:bCs/>
                <w:sz w:val="18"/>
                <w:szCs w:val="18"/>
              </w:rPr>
              <w:t>[Approved through January 31, 2023]</w:t>
            </w:r>
            <w:r w:rsidR="002B446C">
              <w:rPr>
                <w:rFonts w:ascii="Arial" w:hAnsi="Arial" w:cs="Arial"/>
                <w:bCs/>
                <w:sz w:val="18"/>
                <w:szCs w:val="18"/>
                <w:vertAlign w:val="superscript"/>
              </w:rPr>
              <w:t>*</w:t>
            </w:r>
            <w:r w:rsidRPr="002B446C" w:rsidR="002B446C">
              <w:rPr>
                <w:rFonts w:ascii="Arial" w:hAnsi="Arial" w:cs="Arial"/>
                <w:bCs/>
                <w:sz w:val="18"/>
                <w:szCs w:val="18"/>
                <w:vertAlign w:val="superscript"/>
              </w:rPr>
              <w:t>.</w:t>
            </w:r>
          </w:p>
        </w:tc>
        <w:tc>
          <w:tcPr>
            <w:tcW w:w="1288" w:type="dxa"/>
          </w:tcPr>
          <w:p w:rsidRPr="006974B4" w:rsidR="00191FFC" w:rsidP="002B446C" w:rsidRDefault="002B446C" w14:paraId="2E8EF906" w14:textId="4B248BC3">
            <w:pPr>
              <w:pStyle w:val="NoSpacing"/>
              <w:spacing w:line="259" w:lineRule="auto"/>
              <w:jc w:val="center"/>
              <w:rPr>
                <w:rFonts w:ascii="Arial" w:hAnsi="Arial" w:cs="Arial"/>
                <w:bCs/>
                <w:sz w:val="20"/>
                <w:szCs w:val="20"/>
              </w:rPr>
            </w:pPr>
            <w:r>
              <w:rPr>
                <w:rFonts w:ascii="Arial" w:hAnsi="Arial" w:cs="Arial"/>
                <w:bCs/>
                <w:sz w:val="20"/>
                <w:szCs w:val="20"/>
              </w:rPr>
              <w:t>1</w:t>
            </w:r>
          </w:p>
        </w:tc>
        <w:tc>
          <w:tcPr>
            <w:tcW w:w="990" w:type="dxa"/>
          </w:tcPr>
          <w:p w:rsidRPr="006974B4" w:rsidR="00191FFC" w:rsidP="002B446C" w:rsidRDefault="002B446C" w14:paraId="5437605F" w14:textId="673ACB15">
            <w:pPr>
              <w:pStyle w:val="NoSpacing"/>
              <w:spacing w:line="259" w:lineRule="auto"/>
              <w:jc w:val="center"/>
              <w:rPr>
                <w:rFonts w:ascii="Arial" w:hAnsi="Arial" w:cs="Arial"/>
                <w:bCs/>
                <w:sz w:val="20"/>
                <w:szCs w:val="20"/>
              </w:rPr>
            </w:pPr>
            <w:r>
              <w:rPr>
                <w:rFonts w:ascii="Arial" w:hAnsi="Arial" w:cs="Arial"/>
                <w:bCs/>
                <w:sz w:val="20"/>
                <w:szCs w:val="20"/>
              </w:rPr>
              <w:t>33</w:t>
            </w:r>
          </w:p>
        </w:tc>
        <w:tc>
          <w:tcPr>
            <w:tcW w:w="1080" w:type="dxa"/>
          </w:tcPr>
          <w:p w:rsidRPr="006974B4" w:rsidR="00191FFC" w:rsidP="002B446C" w:rsidRDefault="002B446C" w14:paraId="053F50D8" w14:textId="0526FC6B">
            <w:pPr>
              <w:pStyle w:val="NoSpacing"/>
              <w:spacing w:line="259" w:lineRule="auto"/>
              <w:jc w:val="center"/>
              <w:rPr>
                <w:rFonts w:ascii="Arial" w:hAnsi="Arial" w:cs="Arial"/>
                <w:bCs/>
                <w:sz w:val="20"/>
                <w:szCs w:val="20"/>
              </w:rPr>
            </w:pPr>
            <w:r>
              <w:rPr>
                <w:rFonts w:ascii="Arial" w:hAnsi="Arial" w:cs="Arial"/>
                <w:bCs/>
                <w:sz w:val="20"/>
                <w:szCs w:val="20"/>
              </w:rPr>
              <w:t>$ 0</w:t>
            </w:r>
          </w:p>
        </w:tc>
      </w:tr>
      <w:tr w:rsidRPr="006974B4" w:rsidR="00191FFC" w:rsidTr="002B446C" w14:paraId="02B90F14" w14:textId="27635486">
        <w:tc>
          <w:tcPr>
            <w:tcW w:w="1240" w:type="dxa"/>
          </w:tcPr>
          <w:p w:rsidRPr="006974B4" w:rsidR="00191FFC" w:rsidP="006974B4" w:rsidRDefault="00191FFC" w14:paraId="365AC264" w14:textId="4BB78BE4">
            <w:pPr>
              <w:pStyle w:val="NoSpacing"/>
              <w:spacing w:line="259" w:lineRule="auto"/>
              <w:rPr>
                <w:rFonts w:ascii="Arial" w:hAnsi="Arial" w:cs="Arial"/>
                <w:bCs/>
                <w:sz w:val="20"/>
                <w:szCs w:val="20"/>
              </w:rPr>
            </w:pPr>
            <w:bookmarkStart w:name="_Hlk85106446" w:id="8"/>
            <w:r w:rsidRPr="006974B4">
              <w:rPr>
                <w:rFonts w:ascii="Arial" w:hAnsi="Arial" w:cs="Arial"/>
                <w:bCs/>
                <w:sz w:val="20"/>
                <w:szCs w:val="20"/>
              </w:rPr>
              <w:t>2070-0067</w:t>
            </w:r>
          </w:p>
        </w:tc>
        <w:tc>
          <w:tcPr>
            <w:tcW w:w="939" w:type="dxa"/>
          </w:tcPr>
          <w:p w:rsidRPr="006974B4" w:rsidR="00191FFC" w:rsidP="006974B4" w:rsidRDefault="00191FFC" w14:paraId="52E054A9" w14:textId="637F8051">
            <w:pPr>
              <w:pStyle w:val="NoSpacing"/>
              <w:spacing w:line="259" w:lineRule="auto"/>
              <w:rPr>
                <w:rFonts w:ascii="Arial" w:hAnsi="Arial" w:cs="Arial"/>
                <w:bCs/>
                <w:sz w:val="20"/>
                <w:szCs w:val="20"/>
              </w:rPr>
            </w:pPr>
            <w:r w:rsidRPr="006974B4">
              <w:rPr>
                <w:rFonts w:ascii="Arial" w:hAnsi="Arial" w:cs="Arial"/>
                <w:bCs/>
                <w:sz w:val="20"/>
                <w:szCs w:val="20"/>
              </w:rPr>
              <w:t>1198.10</w:t>
            </w:r>
          </w:p>
        </w:tc>
        <w:tc>
          <w:tcPr>
            <w:tcW w:w="4093" w:type="dxa"/>
          </w:tcPr>
          <w:p w:rsidR="00191FFC" w:rsidP="006974B4" w:rsidRDefault="00191FFC" w14:paraId="2E1DAF91" w14:textId="77777777">
            <w:pPr>
              <w:pStyle w:val="NoSpacing"/>
              <w:spacing w:line="259" w:lineRule="auto"/>
              <w:rPr>
                <w:rFonts w:ascii="Arial" w:hAnsi="Arial" w:cs="Arial"/>
                <w:bCs/>
                <w:sz w:val="20"/>
                <w:szCs w:val="20"/>
              </w:rPr>
            </w:pPr>
            <w:r w:rsidRPr="006974B4">
              <w:rPr>
                <w:rFonts w:ascii="Arial" w:hAnsi="Arial" w:cs="Arial"/>
                <w:bCs/>
                <w:sz w:val="20"/>
                <w:szCs w:val="20"/>
              </w:rPr>
              <w:t>Chemical-Specific Rules, TSCA Section 8(a)</w:t>
            </w:r>
          </w:p>
          <w:p w:rsidRPr="002B446C" w:rsidR="00191FFC" w:rsidP="006974B4" w:rsidRDefault="00191FFC" w14:paraId="031CCB8A" w14:textId="6DDA098D">
            <w:pPr>
              <w:pStyle w:val="NoSpacing"/>
              <w:spacing w:line="259" w:lineRule="auto"/>
              <w:rPr>
                <w:rFonts w:ascii="Arial" w:hAnsi="Arial" w:cs="Arial"/>
                <w:bCs/>
                <w:sz w:val="18"/>
                <w:szCs w:val="18"/>
              </w:rPr>
            </w:pPr>
            <w:r w:rsidRPr="002B446C">
              <w:rPr>
                <w:rFonts w:ascii="Arial" w:hAnsi="Arial" w:cs="Arial"/>
                <w:bCs/>
                <w:sz w:val="18"/>
                <w:szCs w:val="18"/>
              </w:rPr>
              <w:t>[Expired June 30, 2018, pending reinstatement.]</w:t>
            </w:r>
          </w:p>
        </w:tc>
        <w:tc>
          <w:tcPr>
            <w:tcW w:w="1288" w:type="dxa"/>
          </w:tcPr>
          <w:p w:rsidRPr="006974B4" w:rsidR="00191FFC" w:rsidP="002B446C" w:rsidRDefault="002B446C" w14:paraId="6B70B739" w14:textId="46F06DD8">
            <w:pPr>
              <w:pStyle w:val="NoSpacing"/>
              <w:spacing w:line="259" w:lineRule="auto"/>
              <w:jc w:val="center"/>
              <w:rPr>
                <w:rFonts w:ascii="Arial" w:hAnsi="Arial" w:cs="Arial"/>
                <w:bCs/>
                <w:sz w:val="20"/>
                <w:szCs w:val="20"/>
              </w:rPr>
            </w:pPr>
            <w:r>
              <w:rPr>
                <w:rFonts w:ascii="Arial" w:hAnsi="Arial" w:cs="Arial"/>
                <w:bCs/>
                <w:sz w:val="20"/>
                <w:szCs w:val="20"/>
              </w:rPr>
              <w:t>4</w:t>
            </w:r>
          </w:p>
        </w:tc>
        <w:tc>
          <w:tcPr>
            <w:tcW w:w="990" w:type="dxa"/>
          </w:tcPr>
          <w:p w:rsidRPr="006974B4" w:rsidR="00191FFC" w:rsidP="002B446C" w:rsidRDefault="002B446C" w14:paraId="1E3040F7" w14:textId="2F80FF08">
            <w:pPr>
              <w:pStyle w:val="NoSpacing"/>
              <w:spacing w:line="259" w:lineRule="auto"/>
              <w:jc w:val="center"/>
              <w:rPr>
                <w:rFonts w:ascii="Arial" w:hAnsi="Arial" w:cs="Arial"/>
                <w:bCs/>
                <w:sz w:val="20"/>
                <w:szCs w:val="20"/>
              </w:rPr>
            </w:pPr>
            <w:r>
              <w:rPr>
                <w:rFonts w:ascii="Arial" w:hAnsi="Arial" w:cs="Arial"/>
                <w:bCs/>
                <w:sz w:val="20"/>
                <w:szCs w:val="20"/>
              </w:rPr>
              <w:t>275</w:t>
            </w:r>
          </w:p>
        </w:tc>
        <w:tc>
          <w:tcPr>
            <w:tcW w:w="1080" w:type="dxa"/>
          </w:tcPr>
          <w:p w:rsidRPr="006974B4" w:rsidR="00191FFC" w:rsidP="002B446C" w:rsidRDefault="002B446C" w14:paraId="4A3D927D" w14:textId="1B9705E1">
            <w:pPr>
              <w:pStyle w:val="NoSpacing"/>
              <w:spacing w:line="259" w:lineRule="auto"/>
              <w:jc w:val="center"/>
              <w:rPr>
                <w:rFonts w:ascii="Arial" w:hAnsi="Arial" w:cs="Arial"/>
                <w:bCs/>
                <w:sz w:val="20"/>
                <w:szCs w:val="20"/>
              </w:rPr>
            </w:pPr>
            <w:r>
              <w:rPr>
                <w:rFonts w:ascii="Arial" w:hAnsi="Arial" w:cs="Arial"/>
                <w:bCs/>
                <w:sz w:val="20"/>
                <w:szCs w:val="20"/>
              </w:rPr>
              <w:t>$ 0</w:t>
            </w:r>
          </w:p>
        </w:tc>
      </w:tr>
    </w:tbl>
    <w:p w:rsidRPr="002B446C" w:rsidR="00AC440A" w:rsidP="008C6A2E" w:rsidRDefault="002B446C" w14:paraId="0DE6297C" w14:textId="42D501DC">
      <w:pPr>
        <w:rPr>
          <w:sz w:val="16"/>
          <w:szCs w:val="16"/>
        </w:rPr>
      </w:pPr>
      <w:bookmarkStart w:name="_Hlk85106999" w:id="9"/>
      <w:bookmarkEnd w:id="8"/>
      <w:r>
        <w:rPr>
          <w:sz w:val="16"/>
          <w:szCs w:val="16"/>
        </w:rPr>
        <w:t>*</w:t>
      </w:r>
      <w:r w:rsidRPr="002B446C">
        <w:rPr>
          <w:sz w:val="16"/>
          <w:szCs w:val="16"/>
        </w:rPr>
        <w:t xml:space="preserve"> Covers EPA Form Numbers 7710-35 (Manufacturer’s Report Preliminary Assessment Information) and 7710-51 (Dioxin/Furans Report). </w:t>
      </w:r>
    </w:p>
    <w:bookmarkEnd w:id="4"/>
    <w:p w:rsidR="00645EF4" w:rsidP="008C6A2E" w:rsidRDefault="00645EF4" w14:paraId="79FC32E8" w14:textId="08D01FAA">
      <w:r>
        <w:t>These ICRs all involve reporting and recordkeeping activities established under TSCA section 8 for chemical substances</w:t>
      </w:r>
      <w:r w:rsidR="00C2515C">
        <w:t xml:space="preserve"> and </w:t>
      </w:r>
      <w:r w:rsidRPr="00E71577" w:rsidR="00E71577">
        <w:t>Subpart B of 40 CFR part 766</w:t>
      </w:r>
      <w:r w:rsidR="00E71577">
        <w:t xml:space="preserve"> which was previously consolidated with</w:t>
      </w:r>
      <w:r w:rsidR="008221C3">
        <w:t>in</w:t>
      </w:r>
      <w:r w:rsidR="00E71577">
        <w:t xml:space="preserve"> the </w:t>
      </w:r>
      <w:r w:rsidR="00B72177">
        <w:t xml:space="preserve">OMB-approved </w:t>
      </w:r>
      <w:r w:rsidR="00E71577">
        <w:t xml:space="preserve">ICR </w:t>
      </w:r>
      <w:r w:rsidR="00F64841">
        <w:t xml:space="preserve">for </w:t>
      </w:r>
      <w:r w:rsidR="009B3A6D">
        <w:t xml:space="preserve">the TSCA </w:t>
      </w:r>
      <w:r w:rsidRPr="004B47BA" w:rsidR="0004769C">
        <w:rPr>
          <w:rFonts w:cs="Arial"/>
          <w:bCs/>
          <w:szCs w:val="24"/>
        </w:rPr>
        <w:t>Section 8(a) Preliminary Assessment Information Rule (PAIR)</w:t>
      </w:r>
      <w:r>
        <w:t xml:space="preserve">. Although imposed for a specific chemical substance, the activities are already established and only vary based on the </w:t>
      </w:r>
      <w:r>
        <w:lastRenderedPageBreak/>
        <w:t xml:space="preserve">specific authority under TSCA section 8 </w:t>
      </w:r>
      <w:r w:rsidR="006F0977">
        <w:t xml:space="preserve">and </w:t>
      </w:r>
      <w:r w:rsidR="000812E9">
        <w:t xml:space="preserve">40 CFR 766 </w:t>
      </w:r>
      <w:r>
        <w:t xml:space="preserve">and the need for the information for that chemical. </w:t>
      </w:r>
      <w:bookmarkStart w:name="_Hlk85105877" w:id="10"/>
      <w:r>
        <w:t xml:space="preserve">EPA is consolidating these ICRs to streamline the presentation of the paperwork burden estimates for these various activities, which will in turn facilitate and reduce the administrative burden for both the public reviewers and the Agency </w:t>
      </w:r>
      <w:bookmarkEnd w:id="10"/>
      <w:r>
        <w:t xml:space="preserve">in terms of reviewing and updating the ICR every three (3) years as required by the Paperwork Reduction Act (PRA), 44 U.S.C. 3501 </w:t>
      </w:r>
      <w:r w:rsidRPr="003276A5">
        <w:rPr>
          <w:i/>
        </w:rPr>
        <w:t>et seq</w:t>
      </w:r>
      <w:r>
        <w:t>., as well as allow for a better assessment of the paperwork burden and costs associated with reporting and recordkeeping activities established under TSCA section 8 for specific chemical substances.</w:t>
      </w:r>
    </w:p>
    <w:p w:rsidRPr="00AC440A" w:rsidR="00645EF4" w:rsidP="008C6A2E" w:rsidRDefault="2D6BF69A" w14:paraId="5B39D934" w14:textId="2F7C8962">
      <w:r>
        <w:t xml:space="preserve">This information collection request (ICR) covers reporting and recordkeeping requirements imposed under the authorities in section 8 of TSCA, 15 U.S.C. 2607, for persons who manufacture (the term “manufacture” includes import under TSCA) </w:t>
      </w:r>
      <w:r w:rsidR="620DD96D">
        <w:t>(Attachment 1)</w:t>
      </w:r>
      <w:r>
        <w:t xml:space="preserve"> or process </w:t>
      </w:r>
      <w:bookmarkStart w:name="_Hlk21684348" w:id="11"/>
      <w:r>
        <w:t>chemical substances, mixtures, or categories</w:t>
      </w:r>
      <w:bookmarkEnd w:id="11"/>
      <w:r>
        <w:t>, or distribute them in commerce. The purpose of the information collection activities is to collect data that will help the Agency evaluate the potential for human health and environmental risks that may be caused by the manufacture, processing, and distribution in commerce of chemical substances, mixtures, or categories.</w:t>
      </w:r>
    </w:p>
    <w:p w:rsidRPr="00AC440A" w:rsidR="004B47BA" w:rsidP="008C6A2E" w:rsidRDefault="00645EF4" w14:paraId="0E5BC6F9" w14:textId="77777777">
      <w:pPr>
        <w:rPr>
          <w:szCs w:val="24"/>
        </w:rPr>
      </w:pPr>
      <w:r w:rsidRPr="00AC440A">
        <w:rPr>
          <w:szCs w:val="24"/>
        </w:rPr>
        <w:t>This ICR addresses the following four (4) types of information collections (ICs) required by TSCA section 8 and identifies the persons required to keep records and report such information. The ICs are numbered to facilitate the presentation in the ICR and link to supporting information; and the numbering is not otherwise intended to convey any sequencing or prioritization.</w:t>
      </w:r>
    </w:p>
    <w:p w:rsidRPr="00AC440A" w:rsidR="004B47BA" w:rsidP="008C6A2E" w:rsidRDefault="004B47BA" w14:paraId="2D62DFF6" w14:textId="2F8247EC">
      <w:pPr>
        <w:rPr>
          <w:szCs w:val="24"/>
        </w:rPr>
      </w:pPr>
      <w:bookmarkStart w:name="_Hlk85014497" w:id="12"/>
      <w:r w:rsidRPr="00AC440A">
        <w:rPr>
          <w:rFonts w:cs="Arial"/>
          <w:bCs/>
          <w:szCs w:val="24"/>
        </w:rPr>
        <w:t>TSCA Section 8(a) Preliminary Assessment Information Rule (PAIR)</w:t>
      </w:r>
    </w:p>
    <w:bookmarkEnd w:id="12"/>
    <w:p w:rsidR="004B47BA" w:rsidP="008C6A2E" w:rsidRDefault="00645EF4" w14:paraId="4E4EA4E7" w14:textId="10405EA9">
      <w:pPr>
        <w:rPr>
          <w:szCs w:val="24"/>
        </w:rPr>
      </w:pPr>
      <w:r w:rsidRPr="00AC440A">
        <w:rPr>
          <w:szCs w:val="24"/>
        </w:rPr>
        <w:t xml:space="preserve">Under section 8(a), persons who manufacture or import chemical substances </w:t>
      </w:r>
      <w:r w:rsidR="00237226">
        <w:rPr>
          <w:szCs w:val="24"/>
        </w:rPr>
        <w:t xml:space="preserve">listed at 40 CFR 712.30 </w:t>
      </w:r>
      <w:r w:rsidRPr="00AC440A">
        <w:rPr>
          <w:szCs w:val="24"/>
        </w:rPr>
        <w:t>are</w:t>
      </w:r>
      <w:r w:rsidRPr="00ED6146">
        <w:rPr>
          <w:szCs w:val="24"/>
        </w:rPr>
        <w:t xml:space="preserve"> subject to the section 8(a) Preliminary Assessment Information Rule (PAIR)</w:t>
      </w:r>
      <w:r w:rsidR="0034354D">
        <w:rPr>
          <w:szCs w:val="24"/>
        </w:rPr>
        <w:t xml:space="preserve"> requirements</w:t>
      </w:r>
      <w:r w:rsidRPr="00ED6146">
        <w:rPr>
          <w:szCs w:val="24"/>
        </w:rPr>
        <w:t xml:space="preserve">. PAIR requires </w:t>
      </w:r>
      <w:r w:rsidR="00591726">
        <w:rPr>
          <w:szCs w:val="24"/>
        </w:rPr>
        <w:t xml:space="preserve">these </w:t>
      </w:r>
      <w:r w:rsidRPr="00ED6146">
        <w:rPr>
          <w:szCs w:val="24"/>
        </w:rPr>
        <w:t xml:space="preserve">manufacturers </w:t>
      </w:r>
      <w:r>
        <w:rPr>
          <w:szCs w:val="24"/>
        </w:rPr>
        <w:t xml:space="preserve">and importers </w:t>
      </w:r>
      <w:r w:rsidRPr="00ED6146">
        <w:rPr>
          <w:szCs w:val="24"/>
        </w:rPr>
        <w:t xml:space="preserve">to submit information about production, use, </w:t>
      </w:r>
      <w:r>
        <w:rPr>
          <w:szCs w:val="24"/>
        </w:rPr>
        <w:t>and/</w:t>
      </w:r>
      <w:r w:rsidRPr="00ED6146">
        <w:rPr>
          <w:szCs w:val="24"/>
        </w:rPr>
        <w:t>or exposure-related data.</w:t>
      </w:r>
      <w:r w:rsidR="00C6099C">
        <w:rPr>
          <w:szCs w:val="24"/>
        </w:rPr>
        <w:t xml:space="preserve"> </w:t>
      </w:r>
      <w:r w:rsidR="008420C5">
        <w:rPr>
          <w:rFonts w:cs="Arial"/>
          <w:szCs w:val="24"/>
        </w:rPr>
        <w:t>C</w:t>
      </w:r>
      <w:r w:rsidRPr="009F0457" w:rsidR="00C6099C">
        <w:rPr>
          <w:rFonts w:cs="Arial"/>
          <w:szCs w:val="24"/>
        </w:rPr>
        <w:t xml:space="preserve">ertain specific chemical testing and reporting requirements under Subpart B of 40 CFR part 766 (Attachment </w:t>
      </w:r>
      <w:r w:rsidR="00C6099C">
        <w:rPr>
          <w:rFonts w:cs="Arial"/>
          <w:szCs w:val="24"/>
        </w:rPr>
        <w:t>3</w:t>
      </w:r>
      <w:r w:rsidRPr="009F0457" w:rsidR="00C6099C">
        <w:rPr>
          <w:rFonts w:cs="Arial"/>
          <w:szCs w:val="24"/>
        </w:rPr>
        <w:t>) that are very similar to the PAIR requirements</w:t>
      </w:r>
      <w:r w:rsidRPr="008420C5" w:rsidR="008420C5">
        <w:rPr>
          <w:rFonts w:cs="Arial"/>
          <w:szCs w:val="24"/>
        </w:rPr>
        <w:t xml:space="preserve"> </w:t>
      </w:r>
      <w:r w:rsidR="0014716F">
        <w:rPr>
          <w:rFonts w:cs="Arial"/>
          <w:szCs w:val="24"/>
        </w:rPr>
        <w:t>are also covered within t</w:t>
      </w:r>
      <w:r w:rsidRPr="009F0457" w:rsidR="008420C5">
        <w:rPr>
          <w:rFonts w:cs="Arial"/>
          <w:szCs w:val="24"/>
        </w:rPr>
        <w:t>his information collection activity</w:t>
      </w:r>
      <w:r w:rsidRPr="009F0457" w:rsidR="00C6099C">
        <w:rPr>
          <w:rFonts w:cs="Arial"/>
          <w:szCs w:val="24"/>
        </w:rPr>
        <w:t>.</w:t>
      </w:r>
    </w:p>
    <w:p w:rsidR="004B47BA" w:rsidP="008C6A2E" w:rsidRDefault="00AC5254" w14:paraId="701849CC" w14:textId="595FE708">
      <w:pPr>
        <w:rPr>
          <w:szCs w:val="24"/>
        </w:rPr>
      </w:pPr>
      <w:bookmarkStart w:name="_Hlk85014521" w:id="13"/>
      <w:r w:rsidRPr="004B47BA">
        <w:rPr>
          <w:rFonts w:cs="Arial"/>
          <w:bCs/>
          <w:szCs w:val="24"/>
        </w:rPr>
        <w:t>Chemical-Specific Rules, TSCA Section 8(a)</w:t>
      </w:r>
    </w:p>
    <w:bookmarkEnd w:id="13"/>
    <w:p w:rsidR="00AC5254" w:rsidP="008C6A2E" w:rsidRDefault="00645EF4" w14:paraId="6DEA0B9A" w14:textId="0B4608A4">
      <w:pPr>
        <w:rPr>
          <w:szCs w:val="24"/>
        </w:rPr>
      </w:pPr>
      <w:r w:rsidRPr="00ED6146">
        <w:rPr>
          <w:szCs w:val="24"/>
        </w:rPr>
        <w:t>Also</w:t>
      </w:r>
      <w:r>
        <w:rPr>
          <w:szCs w:val="24"/>
        </w:rPr>
        <w:t>,</w:t>
      </w:r>
      <w:r w:rsidRPr="00ED6146">
        <w:rPr>
          <w:szCs w:val="24"/>
        </w:rPr>
        <w:t xml:space="preserve"> under section 8(a), persons </w:t>
      </w:r>
      <w:bookmarkStart w:name="_Hlk21685669" w:id="14"/>
      <w:r w:rsidRPr="00ED6146">
        <w:rPr>
          <w:szCs w:val="24"/>
        </w:rPr>
        <w:t xml:space="preserve">who </w:t>
      </w:r>
      <w:r w:rsidRPr="00AC440A">
        <w:rPr>
          <w:szCs w:val="24"/>
        </w:rPr>
        <w:t>manufacture, import, or process certain chemical substances or mixtures,</w:t>
      </w:r>
      <w:bookmarkEnd w:id="14"/>
      <w:r w:rsidRPr="00AC440A">
        <w:rPr>
          <w:szCs w:val="24"/>
        </w:rPr>
        <w:t xml:space="preserve"> or propose to manufacture</w:t>
      </w:r>
      <w:r w:rsidRPr="00ED6146">
        <w:rPr>
          <w:szCs w:val="24"/>
        </w:rPr>
        <w:t xml:space="preserve">, import, or process certain chemical substances </w:t>
      </w:r>
      <w:r>
        <w:rPr>
          <w:szCs w:val="24"/>
        </w:rPr>
        <w:t xml:space="preserve">or mixtures, </w:t>
      </w:r>
      <w:r w:rsidRPr="00ED6146">
        <w:rPr>
          <w:szCs w:val="24"/>
        </w:rPr>
        <w:t xml:space="preserve">are subject to chemical-specific rules promulgated under section 8(a) of TSCA. </w:t>
      </w:r>
      <w:r>
        <w:rPr>
          <w:szCs w:val="24"/>
        </w:rPr>
        <w:t xml:space="preserve">A chemical-specific 8(a) rule requires more detailed and more types of information than is required by a PAIR rule.  For example, a chemical-specific 8(a) rule might require information that includes, but is not limited to, chemical names, </w:t>
      </w:r>
      <w:r>
        <w:rPr>
          <w:szCs w:val="24"/>
        </w:rPr>
        <w:lastRenderedPageBreak/>
        <w:t xml:space="preserve">categories of use, production volume, byproducts of chemical production, existing data on health and environmental effects, exposure data, and disposal information.  Any chemical covered by TSCA for which OPPT, other EPA offices or another federal agency has a reasonable need for information, and which cannot be satisfied via readily available sources or by use of </w:t>
      </w:r>
      <w:r w:rsidR="0037143C">
        <w:rPr>
          <w:szCs w:val="24"/>
        </w:rPr>
        <w:t>other r</w:t>
      </w:r>
      <w:r w:rsidR="00BC6230">
        <w:rPr>
          <w:szCs w:val="24"/>
        </w:rPr>
        <w:t>ulemakings</w:t>
      </w:r>
      <w:r>
        <w:rPr>
          <w:szCs w:val="24"/>
        </w:rPr>
        <w:t xml:space="preserve">, is a proper potential subject for a </w:t>
      </w:r>
      <w:r w:rsidR="00484D69">
        <w:rPr>
          <w:szCs w:val="24"/>
        </w:rPr>
        <w:t>chemical specific</w:t>
      </w:r>
      <w:r>
        <w:rPr>
          <w:szCs w:val="24"/>
        </w:rPr>
        <w:t xml:space="preserve"> TSCA section 8(a) rulemaking.</w:t>
      </w:r>
    </w:p>
    <w:p w:rsidR="00AC5254" w:rsidP="008C6A2E" w:rsidRDefault="00AC5254" w14:paraId="1969FFA2" w14:textId="6C2A7610">
      <w:pPr>
        <w:rPr>
          <w:szCs w:val="24"/>
        </w:rPr>
      </w:pPr>
      <w:bookmarkStart w:name="_Hlk85014551" w:id="15"/>
      <w:r w:rsidRPr="004B47BA">
        <w:rPr>
          <w:rFonts w:cs="Arial"/>
          <w:bCs/>
          <w:szCs w:val="24"/>
        </w:rPr>
        <w:t>Recordkeeping and Reporting Requirements for Allegations of Significant Adverse Reactions to Human Health or the Environment</w:t>
      </w:r>
    </w:p>
    <w:bookmarkEnd w:id="15"/>
    <w:p w:rsidR="00AC5254" w:rsidP="008C6A2E" w:rsidRDefault="00645EF4" w14:paraId="02F345CB" w14:textId="77777777">
      <w:r w:rsidRPr="001821E4">
        <w:rPr>
          <w:szCs w:val="24"/>
        </w:rPr>
        <w:t xml:space="preserve">Under section 8(c), persons who manufacture, import, process, or distribute in commerce any </w:t>
      </w:r>
      <w:r w:rsidRPr="000E6379">
        <w:rPr>
          <w:szCs w:val="24"/>
        </w:rPr>
        <w:t>chemical substance or mixture</w:t>
      </w:r>
      <w:r w:rsidRPr="001821E4">
        <w:rPr>
          <w:szCs w:val="24"/>
        </w:rPr>
        <w:t xml:space="preserve"> must keep records of significant adverse reactions to health or the environment, as determined by the Administrator by rule, alleged to have been caused by the substance or mixture.  TSCA</w:t>
      </w:r>
      <w:r w:rsidRPr="001821E4">
        <w:t xml:space="preserve"> </w:t>
      </w:r>
      <w:r>
        <w:t>section 8(c) requires that allegations of adverse reactions to the health of employees be kept for thirty years, and all other allegations be kept for five years.  The rule also prescribes the conditions under which a firm must submit or make the records available to a duly designated representative of the Administrator.</w:t>
      </w:r>
    </w:p>
    <w:p w:rsidR="00AC5254" w:rsidP="008C6A2E" w:rsidRDefault="00087619" w14:paraId="479EFD1F" w14:textId="716C803E">
      <w:r w:rsidRPr="004B47BA">
        <w:rPr>
          <w:rFonts w:cs="Arial"/>
          <w:bCs/>
          <w:szCs w:val="24"/>
        </w:rPr>
        <w:t>Health and Safety Data Reporting, Submission of Lists and Copies of Health and Safety Studies</w:t>
      </w:r>
    </w:p>
    <w:p w:rsidR="00AC5254" w:rsidP="008C6A2E" w:rsidRDefault="00645EF4" w14:paraId="15CD4BA7" w14:textId="77777777">
      <w:pPr>
        <w:rPr>
          <w:szCs w:val="24"/>
        </w:rPr>
      </w:pPr>
      <w:r w:rsidRPr="00ED6146">
        <w:rPr>
          <w:szCs w:val="24"/>
        </w:rPr>
        <w:t xml:space="preserve">Under section 8(d), certain persons, who manufacture, import, process, or distribute in commerce (or propose to manufacture, import, process, or distribute in commerce) </w:t>
      </w:r>
      <w:r w:rsidRPr="000E6379">
        <w:rPr>
          <w:szCs w:val="24"/>
        </w:rPr>
        <w:t>chemical substances and mixtures</w:t>
      </w:r>
      <w:r w:rsidRPr="00ED6146">
        <w:rPr>
          <w:szCs w:val="24"/>
        </w:rPr>
        <w:t>, are required to submit to EPA lists and copies of health and safety studies in their possession which relate health and/or environmental effects of the chemical substances and mixtures.</w:t>
      </w:r>
    </w:p>
    <w:bookmarkEnd w:id="9"/>
    <w:p w:rsidR="007A01E7" w:rsidP="002059F4" w:rsidRDefault="007A01E7" w14:paraId="61F105B4" w14:textId="449BFBDC">
      <w:pPr>
        <w:pStyle w:val="Heading3"/>
        <w:numPr>
          <w:ilvl w:val="0"/>
          <w:numId w:val="0"/>
        </w:numPr>
      </w:pPr>
      <w:r>
        <w:t>Summary Total Burden and Costs</w:t>
      </w:r>
    </w:p>
    <w:p w:rsidRPr="00F21A2A" w:rsidR="002D1104" w:rsidP="0034191D" w:rsidRDefault="002D1104" w14:paraId="17DCF1A7" w14:textId="4A2DC670">
      <w:pPr>
        <w:pStyle w:val="Caption"/>
      </w:pPr>
      <w:r>
        <w:t xml:space="preserve">Section 8 Consolidated ICR Summary Responses, Respondents, and Total Burden and Costs </w:t>
      </w:r>
    </w:p>
    <w:tbl>
      <w:tblPr>
        <w:tblW w:w="0" w:type="auto"/>
        <w:tblInd w:w="-5" w:type="dxa"/>
        <w:tblLook w:val="04A0" w:firstRow="1" w:lastRow="0" w:firstColumn="1" w:lastColumn="0" w:noHBand="0" w:noVBand="1"/>
      </w:tblPr>
      <w:tblGrid>
        <w:gridCol w:w="3750"/>
        <w:gridCol w:w="1457"/>
        <w:gridCol w:w="1656"/>
        <w:gridCol w:w="1246"/>
        <w:gridCol w:w="1246"/>
      </w:tblGrid>
      <w:tr w:rsidRPr="003A5D02" w:rsidR="006A008E" w:rsidTr="00F61C06" w14:paraId="4BA26842" w14:textId="77777777">
        <w:trPr>
          <w:trHeight w:val="600"/>
          <w:tblHead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5D02" w:rsidR="006A008E" w:rsidP="003A5D02" w:rsidRDefault="006A008E" w14:paraId="1CCF3CB9" w14:textId="77777777">
            <w:pPr>
              <w:spacing w:after="0" w:line="240" w:lineRule="auto"/>
              <w:jc w:val="center"/>
              <w:rPr>
                <w:rFonts w:eastAsia="Times New Roman" w:cs="Arial"/>
                <w:b/>
                <w:bCs/>
                <w:color w:val="000000"/>
                <w:sz w:val="20"/>
                <w:szCs w:val="20"/>
              </w:rPr>
            </w:pPr>
            <w:r w:rsidRPr="003A5D02">
              <w:rPr>
                <w:rFonts w:eastAsia="Times New Roman" w:cs="Arial"/>
                <w:b/>
                <w:bCs/>
                <w:color w:val="000000"/>
                <w:sz w:val="20"/>
                <w:szCs w:val="20"/>
              </w:rPr>
              <w:t>Activity</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3A5D02" w:rsidR="006A008E" w:rsidP="003A5D02" w:rsidRDefault="006A008E" w14:paraId="5559396E" w14:textId="44DA6C9E">
            <w:pPr>
              <w:spacing w:after="0" w:line="240" w:lineRule="auto"/>
              <w:jc w:val="center"/>
              <w:rPr>
                <w:rFonts w:eastAsia="Times New Roman" w:cs="Arial"/>
                <w:b/>
                <w:bCs/>
                <w:color w:val="000000"/>
                <w:sz w:val="20"/>
                <w:szCs w:val="20"/>
              </w:rPr>
            </w:pPr>
            <w:r>
              <w:rPr>
                <w:rFonts w:eastAsia="Times New Roman" w:cs="Arial"/>
                <w:b/>
                <w:bCs/>
                <w:color w:val="000000"/>
                <w:sz w:val="20"/>
                <w:szCs w:val="20"/>
              </w:rPr>
              <w:t xml:space="preserve">Number of </w:t>
            </w:r>
            <w:r w:rsidRPr="003A5D02">
              <w:rPr>
                <w:rFonts w:eastAsia="Times New Roman" w:cs="Arial"/>
                <w:b/>
                <w:bCs/>
                <w:color w:val="000000"/>
                <w:sz w:val="20"/>
                <w:szCs w:val="20"/>
              </w:rPr>
              <w:t>Responses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3A5D02" w:rsidR="006A008E" w:rsidP="003A5D02" w:rsidRDefault="006A008E" w14:paraId="5AFD21F4" w14:textId="44ACB425">
            <w:pPr>
              <w:spacing w:after="0" w:line="240" w:lineRule="auto"/>
              <w:jc w:val="center"/>
              <w:rPr>
                <w:rFonts w:eastAsia="Times New Roman" w:cs="Arial"/>
                <w:b/>
                <w:bCs/>
                <w:color w:val="000000"/>
                <w:sz w:val="20"/>
                <w:szCs w:val="20"/>
              </w:rPr>
            </w:pPr>
            <w:r>
              <w:rPr>
                <w:rFonts w:eastAsia="Times New Roman" w:cs="Arial"/>
                <w:b/>
                <w:bCs/>
                <w:color w:val="000000"/>
                <w:sz w:val="20"/>
                <w:szCs w:val="20"/>
              </w:rPr>
              <w:t xml:space="preserve">Number of </w:t>
            </w:r>
            <w:r w:rsidRPr="003A5D02">
              <w:rPr>
                <w:rFonts w:eastAsia="Times New Roman" w:cs="Arial"/>
                <w:b/>
                <w:bCs/>
                <w:color w:val="000000"/>
                <w:sz w:val="20"/>
                <w:szCs w:val="20"/>
              </w:rPr>
              <w:t>Respondents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3A5D02" w:rsidR="006A008E" w:rsidP="003A5D02" w:rsidRDefault="006A008E" w14:paraId="3C0C642F" w14:textId="7606425E">
            <w:pPr>
              <w:spacing w:after="0" w:line="240" w:lineRule="auto"/>
              <w:jc w:val="center"/>
              <w:rPr>
                <w:rFonts w:eastAsia="Times New Roman" w:cs="Arial"/>
                <w:b/>
                <w:bCs/>
                <w:color w:val="000000"/>
                <w:sz w:val="20"/>
                <w:szCs w:val="20"/>
              </w:rPr>
            </w:pPr>
            <w:r>
              <w:rPr>
                <w:rFonts w:eastAsia="Times New Roman" w:cs="Arial"/>
                <w:b/>
                <w:bCs/>
                <w:color w:val="000000"/>
                <w:sz w:val="20"/>
                <w:szCs w:val="20"/>
              </w:rPr>
              <w:t xml:space="preserve">Total </w:t>
            </w:r>
            <w:r w:rsidRPr="003A5D02">
              <w:rPr>
                <w:rFonts w:eastAsia="Times New Roman" w:cs="Arial"/>
                <w:b/>
                <w:bCs/>
                <w:color w:val="000000"/>
                <w:sz w:val="20"/>
                <w:szCs w:val="20"/>
              </w:rPr>
              <w:t>Annual Burden</w:t>
            </w:r>
            <w:r>
              <w:rPr>
                <w:rFonts w:eastAsia="Times New Roman" w:cs="Arial"/>
                <w:b/>
                <w:bCs/>
                <w:color w:val="000000"/>
                <w:sz w:val="20"/>
                <w:szCs w:val="20"/>
              </w:rPr>
              <w:t xml:space="preserve"> (hours) </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3A5D02" w:rsidR="006A008E" w:rsidP="003A5D02" w:rsidRDefault="006A008E" w14:paraId="426C310C" w14:textId="2CAB1592">
            <w:pPr>
              <w:spacing w:after="0" w:line="240" w:lineRule="auto"/>
              <w:jc w:val="center"/>
              <w:rPr>
                <w:rFonts w:eastAsia="Times New Roman" w:cs="Arial"/>
                <w:b/>
                <w:bCs/>
                <w:color w:val="000000"/>
                <w:sz w:val="20"/>
                <w:szCs w:val="20"/>
              </w:rPr>
            </w:pPr>
            <w:r w:rsidRPr="003A5D02">
              <w:rPr>
                <w:rFonts w:eastAsia="Times New Roman" w:cs="Arial"/>
                <w:b/>
                <w:bCs/>
                <w:color w:val="000000"/>
                <w:sz w:val="20"/>
                <w:szCs w:val="20"/>
              </w:rPr>
              <w:t>Annual Cost</w:t>
            </w:r>
          </w:p>
        </w:tc>
      </w:tr>
      <w:tr w:rsidRPr="003A5D02" w:rsidR="006A008E" w:rsidTr="00F61C06" w14:paraId="65283103" w14:textId="77777777">
        <w:trPr>
          <w:trHeight w:val="6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3A5D02" w:rsidR="006A008E" w:rsidP="003A5D02" w:rsidRDefault="006A008E" w14:paraId="2FDC95FE" w14:textId="7303941C">
            <w:pPr>
              <w:spacing w:after="0" w:line="240" w:lineRule="auto"/>
              <w:rPr>
                <w:rFonts w:eastAsia="Times New Roman" w:cs="Arial"/>
                <w:b/>
                <w:bCs/>
                <w:color w:val="000000"/>
                <w:sz w:val="20"/>
                <w:szCs w:val="20"/>
              </w:rPr>
            </w:pPr>
            <w:r w:rsidRPr="003A5D02">
              <w:rPr>
                <w:rFonts w:eastAsia="Times New Roman" w:cs="Arial"/>
                <w:b/>
                <w:bCs/>
                <w:color w:val="000000"/>
                <w:sz w:val="20"/>
                <w:szCs w:val="20"/>
              </w:rPr>
              <w:t xml:space="preserve">TSCA </w:t>
            </w:r>
            <w:r>
              <w:rPr>
                <w:rFonts w:eastAsia="Times New Roman" w:cs="Arial"/>
                <w:b/>
                <w:bCs/>
                <w:color w:val="000000"/>
                <w:sz w:val="20"/>
                <w:szCs w:val="20"/>
              </w:rPr>
              <w:t>s</w:t>
            </w:r>
            <w:r w:rsidRPr="003A5D02">
              <w:rPr>
                <w:rFonts w:eastAsia="Times New Roman" w:cs="Arial"/>
                <w:b/>
                <w:bCs/>
                <w:color w:val="000000"/>
                <w:sz w:val="20"/>
                <w:szCs w:val="20"/>
              </w:rPr>
              <w:t>ection 8(a) Preliminary Assessment Information Rule (PAIR)</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3C730C76"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1</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24B1E6E2"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1</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57F321AD"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33</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255FBED1" w14:textId="7FCC9715">
            <w:pPr>
              <w:spacing w:after="0" w:line="240" w:lineRule="auto"/>
              <w:jc w:val="right"/>
              <w:rPr>
                <w:rFonts w:eastAsia="Times New Roman" w:cs="Arial"/>
                <w:color w:val="000000"/>
                <w:sz w:val="20"/>
                <w:szCs w:val="20"/>
              </w:rPr>
            </w:pPr>
            <w:r w:rsidRPr="003A5D02">
              <w:rPr>
                <w:rFonts w:eastAsia="Times New Roman" w:cs="Arial"/>
                <w:color w:val="000000"/>
                <w:sz w:val="20"/>
                <w:szCs w:val="20"/>
              </w:rPr>
              <w:t>$2,82</w:t>
            </w:r>
            <w:r>
              <w:rPr>
                <w:rFonts w:eastAsia="Times New Roman" w:cs="Arial"/>
                <w:color w:val="000000"/>
                <w:sz w:val="20"/>
                <w:szCs w:val="20"/>
              </w:rPr>
              <w:t>4</w:t>
            </w:r>
          </w:p>
        </w:tc>
      </w:tr>
      <w:tr w:rsidRPr="003A5D02" w:rsidR="006A008E" w:rsidTr="00F61C06" w14:paraId="0BD276DD" w14:textId="77777777">
        <w:trPr>
          <w:trHeight w:val="6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3A5D02" w:rsidR="006A008E" w:rsidP="003A5D02" w:rsidRDefault="006A008E" w14:paraId="4A683266" w14:textId="6B55E404">
            <w:pPr>
              <w:spacing w:after="0" w:line="240" w:lineRule="auto"/>
              <w:rPr>
                <w:rFonts w:eastAsia="Times New Roman" w:cs="Arial"/>
                <w:b/>
                <w:bCs/>
                <w:color w:val="000000"/>
                <w:sz w:val="20"/>
                <w:szCs w:val="20"/>
              </w:rPr>
            </w:pPr>
            <w:r w:rsidRPr="003A5D02">
              <w:rPr>
                <w:rFonts w:eastAsia="Times New Roman" w:cs="Arial"/>
                <w:b/>
                <w:bCs/>
                <w:color w:val="000000"/>
                <w:sz w:val="20"/>
                <w:szCs w:val="20"/>
              </w:rPr>
              <w:t>Chemical Specific Rules</w:t>
            </w:r>
            <w:r>
              <w:rPr>
                <w:rFonts w:eastAsia="Times New Roman" w:cs="Arial"/>
                <w:b/>
                <w:bCs/>
                <w:color w:val="000000"/>
                <w:sz w:val="20"/>
                <w:szCs w:val="20"/>
              </w:rPr>
              <w:t xml:space="preserve"> </w:t>
            </w:r>
            <w:r w:rsidRPr="003A5D02">
              <w:rPr>
                <w:rFonts w:eastAsia="Times New Roman" w:cs="Arial"/>
                <w:b/>
                <w:bCs/>
                <w:color w:val="000000"/>
                <w:sz w:val="20"/>
                <w:szCs w:val="20"/>
              </w:rPr>
              <w:t xml:space="preserve">TSCA </w:t>
            </w:r>
            <w:r>
              <w:rPr>
                <w:rFonts w:eastAsia="Times New Roman" w:cs="Arial"/>
                <w:b/>
                <w:bCs/>
                <w:color w:val="000000"/>
                <w:sz w:val="20"/>
                <w:szCs w:val="20"/>
              </w:rPr>
              <w:t>s</w:t>
            </w:r>
            <w:r w:rsidRPr="003A5D02">
              <w:rPr>
                <w:rFonts w:eastAsia="Times New Roman" w:cs="Arial"/>
                <w:b/>
                <w:bCs/>
                <w:color w:val="000000"/>
                <w:sz w:val="20"/>
                <w:szCs w:val="20"/>
              </w:rPr>
              <w:t>ection 8(a)</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1A626207"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47</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4B575A65"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47</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7133A2D7"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192</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64FAFD40" w14:textId="13E1CDDD">
            <w:pPr>
              <w:spacing w:after="0" w:line="240" w:lineRule="auto"/>
              <w:jc w:val="right"/>
              <w:rPr>
                <w:rFonts w:eastAsia="Times New Roman" w:cs="Arial"/>
                <w:color w:val="000000"/>
                <w:sz w:val="20"/>
                <w:szCs w:val="20"/>
              </w:rPr>
            </w:pPr>
            <w:r w:rsidRPr="003A5D02">
              <w:rPr>
                <w:rFonts w:eastAsia="Times New Roman" w:cs="Arial"/>
                <w:color w:val="000000"/>
                <w:sz w:val="20"/>
                <w:szCs w:val="20"/>
              </w:rPr>
              <w:t>$14,79</w:t>
            </w:r>
            <w:r>
              <w:rPr>
                <w:rFonts w:eastAsia="Times New Roman" w:cs="Arial"/>
                <w:color w:val="000000"/>
                <w:sz w:val="20"/>
                <w:szCs w:val="20"/>
              </w:rPr>
              <w:t>0</w:t>
            </w:r>
          </w:p>
        </w:tc>
      </w:tr>
      <w:tr w:rsidRPr="003A5D02" w:rsidR="006A008E" w:rsidTr="00F61C06" w14:paraId="7FB36733" w14:textId="77777777">
        <w:trPr>
          <w:trHeight w:val="6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3A5D02" w:rsidR="006A008E" w:rsidP="003A5D02" w:rsidRDefault="006A008E" w14:paraId="2F1843EA" w14:textId="59195261">
            <w:pPr>
              <w:spacing w:after="0" w:line="240" w:lineRule="auto"/>
              <w:rPr>
                <w:rFonts w:eastAsia="Times New Roman" w:cs="Arial"/>
                <w:b/>
                <w:bCs/>
                <w:color w:val="000000"/>
                <w:sz w:val="20"/>
                <w:szCs w:val="20"/>
              </w:rPr>
            </w:pPr>
            <w:r w:rsidRPr="003A5D02">
              <w:rPr>
                <w:rFonts w:eastAsia="Times New Roman" w:cs="Arial"/>
                <w:b/>
                <w:bCs/>
                <w:color w:val="000000"/>
                <w:sz w:val="20"/>
                <w:szCs w:val="20"/>
              </w:rPr>
              <w:t xml:space="preserve">Recordkeeping and Reporting Requirements for Allegations of Significant Adverse Reactions to Human Health or the Environment TSCA </w:t>
            </w:r>
            <w:r>
              <w:rPr>
                <w:rFonts w:eastAsia="Times New Roman" w:cs="Arial"/>
                <w:b/>
                <w:bCs/>
                <w:color w:val="000000"/>
                <w:sz w:val="20"/>
                <w:szCs w:val="20"/>
              </w:rPr>
              <w:t>s</w:t>
            </w:r>
            <w:r w:rsidRPr="003A5D02">
              <w:rPr>
                <w:rFonts w:eastAsia="Times New Roman" w:cs="Arial"/>
                <w:b/>
                <w:bCs/>
                <w:color w:val="000000"/>
                <w:sz w:val="20"/>
                <w:szCs w:val="20"/>
              </w:rPr>
              <w:t>ection 8(c)</w:t>
            </w:r>
          </w:p>
        </w:tc>
        <w:tc>
          <w:tcPr>
            <w:tcW w:w="0" w:type="auto"/>
            <w:tcBorders>
              <w:top w:val="nil"/>
              <w:left w:val="nil"/>
              <w:bottom w:val="single" w:color="auto" w:sz="4" w:space="0"/>
              <w:right w:val="single" w:color="auto" w:sz="4" w:space="0"/>
            </w:tcBorders>
            <w:shd w:val="clear" w:color="auto" w:fill="auto"/>
            <w:vAlign w:val="center"/>
            <w:hideMark/>
          </w:tcPr>
          <w:p w:rsidRPr="006A008E" w:rsidR="006A008E" w:rsidP="006A008E" w:rsidRDefault="006A008E" w14:paraId="50F22A2B" w14:textId="77777777">
            <w:pPr>
              <w:spacing w:after="0" w:line="240" w:lineRule="auto"/>
              <w:jc w:val="right"/>
              <w:rPr>
                <w:rFonts w:eastAsia="Times New Roman" w:cs="Arial"/>
                <w:color w:val="000000"/>
                <w:sz w:val="20"/>
                <w:szCs w:val="20"/>
              </w:rPr>
            </w:pPr>
            <w:r w:rsidRPr="006A008E">
              <w:rPr>
                <w:rFonts w:eastAsia="Times New Roman" w:cs="Arial"/>
                <w:color w:val="000000"/>
                <w:sz w:val="20"/>
                <w:szCs w:val="20"/>
              </w:rPr>
              <w:t>26,336</w:t>
            </w:r>
          </w:p>
        </w:tc>
        <w:tc>
          <w:tcPr>
            <w:tcW w:w="0" w:type="auto"/>
            <w:tcBorders>
              <w:top w:val="nil"/>
              <w:left w:val="nil"/>
              <w:bottom w:val="single" w:color="auto" w:sz="4" w:space="0"/>
              <w:right w:val="single" w:color="auto" w:sz="4" w:space="0"/>
            </w:tcBorders>
            <w:shd w:val="clear" w:color="auto" w:fill="auto"/>
            <w:vAlign w:val="center"/>
            <w:hideMark/>
          </w:tcPr>
          <w:p w:rsidRPr="006A008E" w:rsidR="006A008E" w:rsidP="006A008E" w:rsidRDefault="006A008E" w14:paraId="56865212" w14:textId="77777777">
            <w:pPr>
              <w:spacing w:after="0" w:line="240" w:lineRule="auto"/>
              <w:jc w:val="right"/>
              <w:rPr>
                <w:rFonts w:eastAsia="Times New Roman" w:cs="Arial"/>
                <w:sz w:val="20"/>
                <w:szCs w:val="20"/>
              </w:rPr>
            </w:pPr>
            <w:r w:rsidRPr="006A008E">
              <w:rPr>
                <w:rFonts w:eastAsia="Times New Roman" w:cs="Arial"/>
                <w:sz w:val="20"/>
                <w:szCs w:val="20"/>
              </w:rPr>
              <w:t>13,160</w:t>
            </w:r>
          </w:p>
          <w:p w:rsidRPr="006A008E" w:rsidR="006A008E" w:rsidP="006A008E" w:rsidRDefault="006A008E" w14:paraId="75489C5E" w14:textId="6264764B">
            <w:pPr>
              <w:spacing w:after="0" w:line="240" w:lineRule="auto"/>
              <w:jc w:val="right"/>
              <w:rPr>
                <w:rFonts w:eastAsia="Times New Roman" w:cs="Arial"/>
                <w:color w:val="000000"/>
                <w:sz w:val="20"/>
                <w:szCs w:val="20"/>
              </w:rPr>
            </w:pP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F55F45" w14:paraId="7DA3BFCD" w14:textId="316B12EF">
            <w:pPr>
              <w:spacing w:after="0" w:line="240" w:lineRule="auto"/>
              <w:jc w:val="right"/>
              <w:rPr>
                <w:rFonts w:eastAsia="Times New Roman" w:cs="Arial"/>
                <w:color w:val="000000"/>
                <w:sz w:val="20"/>
                <w:szCs w:val="20"/>
              </w:rPr>
            </w:pPr>
            <w:r w:rsidRPr="00213FB3">
              <w:rPr>
                <w:rFonts w:eastAsia="Times New Roman" w:cs="Arial"/>
                <w:color w:val="000000"/>
                <w:sz w:val="20"/>
                <w:szCs w:val="20"/>
              </w:rPr>
              <w:t>2</w:t>
            </w:r>
            <w:r>
              <w:rPr>
                <w:rFonts w:eastAsia="Times New Roman" w:cs="Arial"/>
                <w:color w:val="000000"/>
                <w:sz w:val="20"/>
                <w:szCs w:val="20"/>
              </w:rPr>
              <w:t>5</w:t>
            </w:r>
            <w:r w:rsidRPr="00213FB3">
              <w:rPr>
                <w:rFonts w:eastAsia="Times New Roman" w:cs="Arial"/>
                <w:color w:val="000000"/>
                <w:sz w:val="20"/>
                <w:szCs w:val="20"/>
              </w:rPr>
              <w:t>,526</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0E020CD8" w14:textId="092F9A80">
            <w:pPr>
              <w:spacing w:after="0" w:line="240" w:lineRule="auto"/>
              <w:jc w:val="right"/>
              <w:rPr>
                <w:rFonts w:eastAsia="Times New Roman" w:cs="Arial"/>
                <w:color w:val="000000"/>
                <w:sz w:val="20"/>
                <w:szCs w:val="20"/>
              </w:rPr>
            </w:pPr>
            <w:r w:rsidRPr="003A5D02">
              <w:rPr>
                <w:rFonts w:eastAsia="Times New Roman" w:cs="Arial"/>
                <w:color w:val="000000"/>
                <w:sz w:val="20"/>
                <w:szCs w:val="20"/>
              </w:rPr>
              <w:t>$5,050,</w:t>
            </w:r>
            <w:r>
              <w:rPr>
                <w:rFonts w:eastAsia="Times New Roman" w:cs="Arial"/>
                <w:color w:val="000000"/>
                <w:sz w:val="20"/>
                <w:szCs w:val="20"/>
              </w:rPr>
              <w:t>295</w:t>
            </w:r>
          </w:p>
        </w:tc>
      </w:tr>
      <w:tr w:rsidRPr="003A5D02" w:rsidR="006A008E" w:rsidTr="00F61C06" w14:paraId="19204FD1" w14:textId="77777777">
        <w:trPr>
          <w:trHeight w:val="60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3A5D02" w:rsidR="006A008E" w:rsidP="003A5D02" w:rsidRDefault="006A008E" w14:paraId="50353F14" w14:textId="3B7A46DA">
            <w:pPr>
              <w:spacing w:after="0" w:line="240" w:lineRule="auto"/>
              <w:rPr>
                <w:rFonts w:eastAsia="Times New Roman" w:cs="Arial"/>
                <w:b/>
                <w:bCs/>
                <w:color w:val="000000"/>
                <w:sz w:val="20"/>
                <w:szCs w:val="20"/>
              </w:rPr>
            </w:pPr>
            <w:r w:rsidRPr="003A5D02">
              <w:rPr>
                <w:rFonts w:eastAsia="Times New Roman" w:cs="Arial"/>
                <w:b/>
                <w:bCs/>
                <w:color w:val="000000"/>
                <w:sz w:val="20"/>
                <w:szCs w:val="20"/>
              </w:rPr>
              <w:t xml:space="preserve">Health and Safety Data Reporting, Submission of Lists and Copies of Health and Safety Studies TSCA </w:t>
            </w:r>
            <w:r>
              <w:rPr>
                <w:rFonts w:eastAsia="Times New Roman" w:cs="Arial"/>
                <w:b/>
                <w:bCs/>
                <w:color w:val="000000"/>
                <w:sz w:val="20"/>
                <w:szCs w:val="20"/>
              </w:rPr>
              <w:t>s</w:t>
            </w:r>
            <w:r w:rsidRPr="003A5D02">
              <w:rPr>
                <w:rFonts w:eastAsia="Times New Roman" w:cs="Arial"/>
                <w:b/>
                <w:bCs/>
                <w:color w:val="000000"/>
                <w:sz w:val="20"/>
                <w:szCs w:val="20"/>
              </w:rPr>
              <w:t>ection 8(d)</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25C1B80F"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41</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13BEF078"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41</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1F1BD6FB" w14:textId="6258CB34">
            <w:pPr>
              <w:spacing w:after="0" w:line="240" w:lineRule="auto"/>
              <w:jc w:val="right"/>
              <w:rPr>
                <w:rFonts w:eastAsia="Times New Roman" w:cs="Arial"/>
                <w:color w:val="000000"/>
                <w:sz w:val="20"/>
                <w:szCs w:val="20"/>
              </w:rPr>
            </w:pPr>
            <w:r w:rsidRPr="003A5D02">
              <w:rPr>
                <w:rFonts w:eastAsia="Times New Roman" w:cs="Arial"/>
                <w:color w:val="000000"/>
                <w:sz w:val="20"/>
                <w:szCs w:val="20"/>
              </w:rPr>
              <w:t>47</w:t>
            </w:r>
            <w:r>
              <w:rPr>
                <w:rFonts w:eastAsia="Times New Roman" w:cs="Arial"/>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hideMark/>
          </w:tcPr>
          <w:p w:rsidRPr="003A5D02" w:rsidR="006A008E" w:rsidP="003A5D02" w:rsidRDefault="006A008E" w14:paraId="0A13152F" w14:textId="3E8F67CC">
            <w:pPr>
              <w:spacing w:after="0" w:line="240" w:lineRule="auto"/>
              <w:jc w:val="right"/>
              <w:rPr>
                <w:rFonts w:eastAsia="Times New Roman" w:cs="Arial"/>
                <w:color w:val="000000"/>
                <w:sz w:val="20"/>
                <w:szCs w:val="20"/>
              </w:rPr>
            </w:pPr>
            <w:r w:rsidRPr="003A5D02">
              <w:rPr>
                <w:rFonts w:eastAsia="Times New Roman" w:cs="Arial"/>
                <w:color w:val="000000"/>
                <w:sz w:val="20"/>
                <w:szCs w:val="20"/>
              </w:rPr>
              <w:t>$41,</w:t>
            </w:r>
            <w:r>
              <w:rPr>
                <w:rFonts w:eastAsia="Times New Roman" w:cs="Arial"/>
                <w:color w:val="000000"/>
                <w:sz w:val="20"/>
                <w:szCs w:val="20"/>
              </w:rPr>
              <w:t>607</w:t>
            </w:r>
          </w:p>
        </w:tc>
      </w:tr>
      <w:tr w:rsidRPr="003A5D02" w:rsidR="006A008E" w:rsidTr="00F61C06" w14:paraId="76DA4C93" w14:textId="77777777">
        <w:trPr>
          <w:trHeight w:val="6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3A5D02" w:rsidR="006A008E" w:rsidP="003A5D02" w:rsidRDefault="006A008E" w14:paraId="07A2D10F" w14:textId="77777777">
            <w:pPr>
              <w:spacing w:after="0" w:line="240" w:lineRule="auto"/>
              <w:rPr>
                <w:rFonts w:eastAsia="Times New Roman" w:cs="Arial"/>
                <w:b/>
                <w:bCs/>
                <w:color w:val="000000"/>
                <w:sz w:val="20"/>
                <w:szCs w:val="20"/>
              </w:rPr>
            </w:pPr>
            <w:r w:rsidRPr="003A5D02">
              <w:rPr>
                <w:rFonts w:eastAsia="Times New Roman" w:cs="Arial"/>
                <w:b/>
                <w:bCs/>
                <w:color w:val="000000"/>
                <w:sz w:val="20"/>
                <w:szCs w:val="20"/>
              </w:rPr>
              <w:t>Industry total</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34191D" w:rsidRDefault="006A008E" w14:paraId="0C3ACE8C" w14:textId="06A96E49">
            <w:pPr>
              <w:spacing w:after="0" w:line="240" w:lineRule="auto"/>
              <w:jc w:val="right"/>
              <w:rPr>
                <w:rFonts w:eastAsia="Times New Roman" w:cs="Arial"/>
                <w:color w:val="000000"/>
                <w:sz w:val="20"/>
                <w:szCs w:val="20"/>
              </w:rPr>
            </w:pPr>
            <w:r w:rsidRPr="003A5D02">
              <w:rPr>
                <w:rFonts w:eastAsia="Times New Roman" w:cs="Arial"/>
                <w:color w:val="000000"/>
                <w:sz w:val="20"/>
                <w:szCs w:val="20"/>
              </w:rPr>
              <w:t xml:space="preserve">26,425 </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2D48FD" w:rsidRDefault="003C1FFC" w14:paraId="471276C6" w14:textId="38835375">
            <w:pPr>
              <w:spacing w:after="0" w:line="240" w:lineRule="auto"/>
              <w:jc w:val="right"/>
              <w:rPr>
                <w:rFonts w:eastAsia="Times New Roman" w:cs="Arial"/>
                <w:color w:val="000000"/>
                <w:sz w:val="20"/>
                <w:szCs w:val="20"/>
              </w:rPr>
            </w:pPr>
            <w:r>
              <w:rPr>
                <w:rFonts w:eastAsia="Times New Roman" w:cs="Arial"/>
                <w:color w:val="000000"/>
                <w:sz w:val="20"/>
                <w:szCs w:val="20"/>
              </w:rPr>
              <w:t>13,249</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34191D" w:rsidRDefault="00F55F45" w14:paraId="2A636053" w14:textId="73C238B5">
            <w:pPr>
              <w:spacing w:after="0" w:line="240" w:lineRule="auto"/>
              <w:jc w:val="right"/>
              <w:rPr>
                <w:rFonts w:eastAsia="Times New Roman" w:cs="Arial"/>
                <w:color w:val="000000"/>
                <w:sz w:val="20"/>
                <w:szCs w:val="20"/>
              </w:rPr>
            </w:pPr>
            <w:r>
              <w:rPr>
                <w:rFonts w:eastAsia="Times New Roman" w:cs="Arial"/>
                <w:color w:val="000000"/>
                <w:sz w:val="20"/>
                <w:szCs w:val="20"/>
              </w:rPr>
              <w:t>26,226</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2D48FD" w:rsidRDefault="006A008E" w14:paraId="41731430" w14:textId="51E13F07">
            <w:pPr>
              <w:spacing w:after="0" w:line="240" w:lineRule="auto"/>
              <w:jc w:val="right"/>
              <w:rPr>
                <w:rFonts w:eastAsia="Times New Roman" w:cs="Arial"/>
                <w:color w:val="000000"/>
                <w:sz w:val="20"/>
                <w:szCs w:val="20"/>
              </w:rPr>
            </w:pPr>
            <w:bookmarkStart w:name="_Hlk96601427" w:id="16"/>
            <w:r w:rsidRPr="003A5D02">
              <w:rPr>
                <w:rFonts w:eastAsia="Times New Roman" w:cs="Arial"/>
                <w:color w:val="000000"/>
                <w:sz w:val="20"/>
                <w:szCs w:val="20"/>
              </w:rPr>
              <w:t>$5,</w:t>
            </w:r>
            <w:r>
              <w:rPr>
                <w:rFonts w:eastAsia="Times New Roman" w:cs="Arial"/>
                <w:color w:val="000000"/>
                <w:sz w:val="20"/>
                <w:szCs w:val="20"/>
              </w:rPr>
              <w:t>109,515</w:t>
            </w:r>
            <w:bookmarkEnd w:id="16"/>
          </w:p>
        </w:tc>
      </w:tr>
      <w:tr w:rsidRPr="003A5D02" w:rsidR="006A008E" w:rsidTr="00F61C06" w14:paraId="29CAFF3B" w14:textId="77777777">
        <w:trPr>
          <w:trHeight w:val="6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3A5D02" w:rsidR="006A008E" w:rsidP="003A5D02" w:rsidRDefault="006A008E" w14:paraId="2FB8AD1F" w14:textId="77777777">
            <w:pPr>
              <w:spacing w:after="0" w:line="240" w:lineRule="auto"/>
              <w:rPr>
                <w:rFonts w:eastAsia="Times New Roman" w:cs="Arial"/>
                <w:b/>
                <w:bCs/>
                <w:color w:val="000000"/>
                <w:sz w:val="20"/>
                <w:szCs w:val="20"/>
              </w:rPr>
            </w:pPr>
            <w:r w:rsidRPr="003A5D02">
              <w:rPr>
                <w:rFonts w:eastAsia="Times New Roman" w:cs="Arial"/>
                <w:b/>
                <w:bCs/>
                <w:color w:val="000000"/>
                <w:sz w:val="20"/>
                <w:szCs w:val="20"/>
              </w:rPr>
              <w:t>Agency total</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3A5D02" w:rsidRDefault="006A008E" w14:paraId="5AD652B4"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0</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3A5D02" w:rsidRDefault="006A008E" w14:paraId="6B2FB86D" w14:textId="77777777">
            <w:pPr>
              <w:spacing w:after="0" w:line="240" w:lineRule="auto"/>
              <w:jc w:val="right"/>
              <w:rPr>
                <w:rFonts w:eastAsia="Times New Roman" w:cs="Arial"/>
                <w:color w:val="000000"/>
                <w:sz w:val="20"/>
                <w:szCs w:val="20"/>
              </w:rPr>
            </w:pPr>
            <w:r w:rsidRPr="003A5D02">
              <w:rPr>
                <w:rFonts w:eastAsia="Times New Roman" w:cs="Arial"/>
                <w:color w:val="000000"/>
                <w:sz w:val="20"/>
                <w:szCs w:val="20"/>
              </w:rPr>
              <w:t>0</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4B4ECA" w:rsidRDefault="006A008E" w14:paraId="20C3232A" w14:textId="55AF3FE9">
            <w:pPr>
              <w:spacing w:after="0" w:line="240" w:lineRule="auto"/>
              <w:jc w:val="right"/>
              <w:rPr>
                <w:rFonts w:eastAsia="Times New Roman" w:cs="Arial"/>
                <w:color w:val="000000"/>
                <w:sz w:val="20"/>
                <w:szCs w:val="20"/>
              </w:rPr>
            </w:pPr>
            <w:r w:rsidRPr="003A5D02">
              <w:rPr>
                <w:rFonts w:eastAsia="Times New Roman" w:cs="Arial"/>
                <w:color w:val="000000"/>
                <w:sz w:val="20"/>
                <w:szCs w:val="20"/>
              </w:rPr>
              <w:t xml:space="preserve">5,066 </w:t>
            </w:r>
          </w:p>
        </w:tc>
        <w:tc>
          <w:tcPr>
            <w:tcW w:w="0" w:type="auto"/>
            <w:tcBorders>
              <w:top w:val="nil"/>
              <w:left w:val="nil"/>
              <w:bottom w:val="single" w:color="auto" w:sz="4" w:space="0"/>
              <w:right w:val="single" w:color="auto" w:sz="4" w:space="0"/>
            </w:tcBorders>
            <w:shd w:val="clear" w:color="auto" w:fill="auto"/>
            <w:noWrap/>
            <w:vAlign w:val="bottom"/>
            <w:hideMark/>
          </w:tcPr>
          <w:p w:rsidRPr="003A5D02" w:rsidR="006A008E" w:rsidP="003A5D02" w:rsidRDefault="006A008E" w14:paraId="7928B595" w14:textId="4D5D1E2F">
            <w:pPr>
              <w:spacing w:after="0" w:line="240" w:lineRule="auto"/>
              <w:jc w:val="right"/>
              <w:rPr>
                <w:rFonts w:eastAsia="Times New Roman" w:cs="Arial"/>
                <w:color w:val="000000"/>
                <w:sz w:val="20"/>
                <w:szCs w:val="20"/>
              </w:rPr>
            </w:pPr>
            <w:r w:rsidRPr="003A5D02">
              <w:rPr>
                <w:rFonts w:eastAsia="Times New Roman" w:cs="Arial"/>
                <w:color w:val="000000"/>
                <w:sz w:val="20"/>
                <w:szCs w:val="20"/>
              </w:rPr>
              <w:t>$</w:t>
            </w:r>
            <w:r>
              <w:rPr>
                <w:rFonts w:eastAsia="Times New Roman" w:cs="Arial"/>
                <w:color w:val="000000"/>
                <w:sz w:val="20"/>
                <w:szCs w:val="20"/>
              </w:rPr>
              <w:t>425,835</w:t>
            </w:r>
          </w:p>
        </w:tc>
      </w:tr>
    </w:tbl>
    <w:p w:rsidRPr="00A640A9" w:rsidR="00B262D4" w:rsidP="002059F4" w:rsidRDefault="003041B0" w14:paraId="526A56DE" w14:textId="26ABA31A">
      <w:pPr>
        <w:pStyle w:val="Heading1"/>
      </w:pPr>
      <w:r w:rsidRPr="00A640A9">
        <w:t>Supporting Statement</w:t>
      </w:r>
    </w:p>
    <w:p w:rsidR="00897D7E" w:rsidP="00253A81" w:rsidRDefault="00B1352E" w14:paraId="163FE936" w14:textId="231D2DF5">
      <w:pPr>
        <w:pStyle w:val="Heading2"/>
      </w:pPr>
      <w:bookmarkStart w:name="_Toc49148160" w:id="17"/>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85C1F" w:rsidR="00AC5254" w:rsidP="00AC5254" w:rsidRDefault="00AC5254" w14:paraId="15D73494" w14:textId="77777777">
      <w:pPr>
        <w:rPr>
          <w:b/>
          <w:bCs/>
        </w:rPr>
      </w:pPr>
      <w:bookmarkStart w:name="_Hlk85019089" w:id="18"/>
      <w:r w:rsidRPr="00B85C1F">
        <w:rPr>
          <w:b/>
          <w:bCs/>
        </w:rPr>
        <w:t>TSCA Section 8(a) Preliminary Assessment Information Rule (PAIR)</w:t>
      </w:r>
    </w:p>
    <w:bookmarkEnd w:id="18"/>
    <w:p w:rsidR="00085733" w:rsidP="00085733" w:rsidRDefault="00AC5254" w14:paraId="38D3DCCA" w14:textId="540246AC">
      <w:r w:rsidRPr="00B9660A">
        <w:rPr>
          <w:bCs/>
        </w:rPr>
        <w:t xml:space="preserve">EPA </w:t>
      </w:r>
      <w:r w:rsidR="0088652E">
        <w:rPr>
          <w:bCs/>
        </w:rPr>
        <w:t>has in the past used</w:t>
      </w:r>
      <w:r w:rsidRPr="00B9660A" w:rsidR="0088652E">
        <w:rPr>
          <w:bCs/>
        </w:rPr>
        <w:t xml:space="preserve"> </w:t>
      </w:r>
      <w:r w:rsidRPr="00B9660A">
        <w:rPr>
          <w:bCs/>
        </w:rPr>
        <w:t>the TSCA Preliminary Assessment Information Rule (</w:t>
      </w:r>
      <w:r w:rsidRPr="00B9660A">
        <w:t>PAIR) to collect information to help identify, assess, and manage human health and environmental risks from chemical substances, mixtures and categories</w:t>
      </w:r>
      <w:r w:rsidR="001001BA">
        <w:t xml:space="preserve"> listed at 40 CFR 712.30</w:t>
      </w:r>
      <w:r w:rsidRPr="00B9660A">
        <w:t>. PAIR require</w:t>
      </w:r>
      <w:r w:rsidR="00B830D9">
        <w:t>d</w:t>
      </w:r>
      <w:r w:rsidRPr="00B9660A">
        <w:t xml:space="preserve"> </w:t>
      </w:r>
      <w:r w:rsidR="008C772C">
        <w:t xml:space="preserve">these </w:t>
      </w:r>
      <w:r w:rsidRPr="00B9660A">
        <w:t>chemical manufacturers and importers to complete and submit standardized information about production, use, or exposure-related data to help evaluate the potential for human health and environmental risks caused by the manufacture or importation of identified chemical substances, mixtures or categories, or exposure-related data. PAIR is also available to the EPA for the purpose of informing the prioritization and risk evaluation activities required under the 2016 amendments to TSCA enacted when the Frank R. Lautenberg Chemical Safety for the 21st Century Act (LCSA) was signed into law on June 22, 2016.</w:t>
      </w:r>
      <w:r w:rsidR="0020399F">
        <w:t xml:space="preserve"> However, </w:t>
      </w:r>
      <w:r w:rsidR="00780F19">
        <w:t xml:space="preserve">other rulemakings such as the Chemical Data Reporting (CDR) rule </w:t>
      </w:r>
      <w:r w:rsidR="00FE735B">
        <w:t xml:space="preserve">have been </w:t>
      </w:r>
      <w:r w:rsidR="00197700">
        <w:t xml:space="preserve">more recently and regularly </w:t>
      </w:r>
      <w:r w:rsidR="00FE735B">
        <w:t xml:space="preserve">used by the EPA to </w:t>
      </w:r>
      <w:r w:rsidR="004E32DC">
        <w:t>collect similar information under TSCA section 8(a)</w:t>
      </w:r>
      <w:r w:rsidR="00237194">
        <w:t xml:space="preserve"> to in</w:t>
      </w:r>
      <w:r w:rsidR="00695D89">
        <w:t xml:space="preserve">form LCSA activities. </w:t>
      </w:r>
    </w:p>
    <w:p w:rsidRPr="009F0457" w:rsidR="00085733" w:rsidP="00085733" w:rsidRDefault="00085733" w14:paraId="164E28A4" w14:textId="28D6B1B2">
      <w:pPr>
        <w:rPr>
          <w:rFonts w:cs="Arial"/>
        </w:rPr>
      </w:pPr>
      <w:r w:rsidRPr="0D9769CB">
        <w:rPr>
          <w:rFonts w:cs="Arial"/>
        </w:rPr>
        <w:t>EPA promulgated the generic section 8(a) Preliminary Assessment Information Rule (PAIR) (40 CFR part 712) under the TSCA</w:t>
      </w:r>
      <w:r w:rsidR="00E11EED">
        <w:rPr>
          <w:rFonts w:cs="Arial"/>
        </w:rPr>
        <w:t xml:space="preserve"> </w:t>
      </w:r>
      <w:r w:rsidRPr="0D9769CB" w:rsidR="009F0457">
        <w:rPr>
          <w:rFonts w:cs="Arial"/>
        </w:rPr>
        <w:t>(Attachment 2)</w:t>
      </w:r>
      <w:r w:rsidRPr="0D9769CB">
        <w:rPr>
          <w:rFonts w:cs="Arial"/>
        </w:rPr>
        <w:t>. EPA uses PAIR to collect information to help identify, assess, and manage human health and environmental risks from chemical substances, mixtures and categories</w:t>
      </w:r>
      <w:r w:rsidRPr="0D9769CB" w:rsidR="009325DE">
        <w:rPr>
          <w:rFonts w:cs="Arial"/>
        </w:rPr>
        <w:t xml:space="preserve"> listed at 40 CFR 712.30</w:t>
      </w:r>
      <w:r w:rsidRPr="0D9769CB">
        <w:rPr>
          <w:rFonts w:cs="Arial"/>
        </w:rPr>
        <w:t xml:space="preserve">. PAIR requires chemical manufacturers and importers </w:t>
      </w:r>
      <w:r w:rsidRPr="0D9769CB" w:rsidR="003D0BDA">
        <w:rPr>
          <w:rFonts w:cs="Arial"/>
        </w:rPr>
        <w:t xml:space="preserve">of these chemicals </w:t>
      </w:r>
      <w:r w:rsidRPr="0D9769CB">
        <w:rPr>
          <w:rFonts w:cs="Arial"/>
        </w:rPr>
        <w:t>to complete and submit standardized information about production, use, or exposure-related data to help evaluate the potential for human health and environmental risks caused by the manufacture or importation of identified chemical substances, mixtures or categories.</w:t>
      </w:r>
      <w:r w:rsidRPr="0D9769CB">
        <w:rPr>
          <w:rFonts w:cs="Arial"/>
          <w:color w:val="000000" w:themeColor="text1"/>
        </w:rPr>
        <w:t xml:space="preserve"> </w:t>
      </w:r>
    </w:p>
    <w:p w:rsidRPr="009F0457" w:rsidR="00085733" w:rsidP="00085733" w:rsidRDefault="00085733" w14:paraId="0573AD7F" w14:textId="2822D06C">
      <w:pPr>
        <w:rPr>
          <w:rFonts w:cs="Arial"/>
        </w:rPr>
      </w:pPr>
      <w:r w:rsidRPr="11C23176">
        <w:rPr>
          <w:rFonts w:cs="Arial"/>
        </w:rPr>
        <w:t xml:space="preserve">EPA or other federal agencies (e.g., the agencies that are part of the Interagency Testing Committee (ITC) as authorized under TSCA section 4(e)) can identify chemicals for a TSCA section 8(a) PAIR expediated rulemaking that have a justifiable need for production, use, or exposure-related data. </w:t>
      </w:r>
    </w:p>
    <w:p w:rsidRPr="009F0457" w:rsidR="00085733" w:rsidP="00085733" w:rsidRDefault="00085733" w14:paraId="0663E453" w14:textId="091D3C04">
      <w:pPr>
        <w:rPr>
          <w:rFonts w:cs="Arial"/>
        </w:rPr>
      </w:pPr>
      <w:r w:rsidRPr="009F0457">
        <w:rPr>
          <w:rFonts w:cs="Arial"/>
          <w:szCs w:val="24"/>
        </w:rPr>
        <w:t xml:space="preserve">This information collection activity also covers certain specific chemical testing and reporting requirements under Subpart B of 40 CFR part 766 (Attachment </w:t>
      </w:r>
      <w:r w:rsidR="009F0457">
        <w:rPr>
          <w:rFonts w:cs="Arial"/>
          <w:szCs w:val="24"/>
        </w:rPr>
        <w:t>3</w:t>
      </w:r>
      <w:r w:rsidRPr="009F0457">
        <w:rPr>
          <w:rFonts w:cs="Arial"/>
          <w:szCs w:val="24"/>
        </w:rPr>
        <w:t>) that are very similar to the PAIR requirements. The Agency rarely receives submissions of the information required by 40 CFR 766. EPA received less than five submissions over the course of the last OMB approval for this aspect of the information collection. However, collection of this information is covered under the PAIR ICR because the requirements are similar and because the PRA requires that recordkeeping and reporting activities contained in any regulation be approved by OMB even if they involve less than ten respondents or would otherwise not require approval (see 5 CFR 1320.3(c)(4)(i)).</w:t>
      </w:r>
    </w:p>
    <w:p w:rsidRPr="009F0457" w:rsidR="00085733" w:rsidP="00085733" w:rsidRDefault="00085733" w14:paraId="53858209" w14:textId="79A909F0">
      <w:pPr>
        <w:rPr>
          <w:rFonts w:cs="Arial"/>
        </w:rPr>
      </w:pPr>
      <w:r w:rsidRPr="009F0457">
        <w:rPr>
          <w:rFonts w:cs="Arial"/>
          <w:iCs/>
          <w:szCs w:val="24"/>
        </w:rPr>
        <w:t xml:space="preserve">The dibenzo-para-dioxin/dibenzofuran regulations at 40 CFR part 766 require that any person who manufactures, imports, or processes a chemical substance listed at 40 CFR 766.25 test that chemical substance and submit appropriate information to EPA according to the schedules described at 40 CFR 766.35. Persons who commence manufacture, import, or processing of a chemical substance listed at 40 CFR 766.25 must submit a letter of intent to test or an exemption application within 60-days of starting any of those activities. Each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w:t>
      </w:r>
      <w:r w:rsidR="009F0457">
        <w:rPr>
          <w:rFonts w:cs="Arial"/>
          <w:iCs/>
          <w:szCs w:val="24"/>
        </w:rPr>
        <w:t>4</w:t>
      </w:r>
      <w:r w:rsidRPr="009F0457">
        <w:rPr>
          <w:rFonts w:cs="Arial"/>
          <w:iCs/>
          <w:szCs w:val="24"/>
        </w:rPr>
        <w:t>), of all existing test data that show that chemical substance has been tested for the presence of halogenated dibenzodioxins/halogenated dibenzofurans (HDDs/HDFs), as well as any health and safety studies for the chemical substance, as defined in the regulation, no later than 90 days after the date of submission of the positive test result. Additionally, any manufacturer or importer of a chemical substance listed in 40 CFR 766.25 in possession of unpublished health and safety studies on HDDs/HDFs is required to submit copies of such studies to EPA, in accordance with various provisions of 40 CFR 716, no later than 90 days after the person first manufactures or imports the chemical substance.</w:t>
      </w:r>
    </w:p>
    <w:p w:rsidRPr="00B85C1F" w:rsidR="00AC5254" w:rsidP="00AC5254" w:rsidRDefault="00AC5254" w14:paraId="046BECE7" w14:textId="77777777">
      <w:pPr>
        <w:rPr>
          <w:rFonts w:cs="Arial"/>
          <w:b/>
          <w:szCs w:val="24"/>
        </w:rPr>
      </w:pPr>
      <w:r w:rsidRPr="00B85C1F">
        <w:rPr>
          <w:rFonts w:cs="Arial"/>
          <w:b/>
          <w:szCs w:val="24"/>
        </w:rPr>
        <w:t>Chemical-Specific Rules, TSCA Section 8(a)</w:t>
      </w:r>
    </w:p>
    <w:p w:rsidRPr="005A16F5" w:rsidR="00AC5254" w:rsidP="00AC5254" w:rsidRDefault="00AC5254" w14:paraId="4EDAD13B" w14:textId="326724D7">
      <w:pPr>
        <w:rPr>
          <w:rFonts w:cs="Arial"/>
        </w:rPr>
      </w:pPr>
      <w:r w:rsidRPr="009F0457">
        <w:rPr>
          <w:rFonts w:cs="Arial"/>
        </w:rPr>
        <w:t>EPA may need chemical-specific information under TSCA section 8(a) to evaluate the potential for exposure and/or adverse human health and environmental effects caused by the manufacture, processing, use or disposal of identified chemical substances and mixtures. EPA may use TSCA section</w:t>
      </w:r>
      <w:r w:rsidRPr="005A16F5">
        <w:rPr>
          <w:rFonts w:cs="Arial"/>
        </w:rPr>
        <w:t xml:space="preserve"> 8(a) to require such information to assess the need or set priorities for testing and/or further regulatory action.</w:t>
      </w:r>
    </w:p>
    <w:p w:rsidR="00AC5254" w:rsidP="00AC5254" w:rsidRDefault="00AC5254" w14:paraId="11C0D96E" w14:textId="031E6DB0">
      <w:r w:rsidRPr="005A16F5">
        <w:rPr>
          <w:rFonts w:cs="Arial"/>
        </w:rPr>
        <w:t>The information required in TSCA section 8(a) chemical-specific rules can be custom-tailored to aid in achieving EPA’s goals of protecting human health and the environment. Information collected may vary depending on the substance, its current and potential uses and EPA’s concerns about potential human or environmental risks caused by exposures to the substance. As noted above, TSCA section 8(a) rules may require persons manufacturing, or processing the chemical substance, or intending to manufacture or process, to report to</w:t>
      </w:r>
      <w:r>
        <w:t xml:space="preserve"> EPA on specific information </w:t>
      </w:r>
      <w:r w:rsidR="006A12B3">
        <w:t xml:space="preserve">on a chemical listed at </w:t>
      </w:r>
      <w:r w:rsidRPr="00DB1971" w:rsidR="006A12B3">
        <w:t>40 CFR 704, subpart B</w:t>
      </w:r>
      <w:r w:rsidR="006A12B3">
        <w:t xml:space="preserve"> </w:t>
      </w:r>
      <w:r>
        <w:t xml:space="preserve">such as: a chemical’s composition, byproducts, quantity produced, employee exposure and environmental release. </w:t>
      </w:r>
    </w:p>
    <w:p w:rsidR="00AC5254" w:rsidP="00AC5254" w:rsidRDefault="00AC5254" w14:paraId="01510E5D" w14:textId="6716A57D">
      <w:r>
        <w:t>The legal authority for this information collection is TSCA section 8(a), 15 U.S.C. 2607(a</w:t>
      </w:r>
      <w:r w:rsidRPr="00DB1971">
        <w:t xml:space="preserve">) (Attachment 1) and TSCA section 26(p), 15 U.S.C. 2625 (Attachment </w:t>
      </w:r>
      <w:r w:rsidRPr="00DB1971" w:rsidR="009F0457">
        <w:t>5</w:t>
      </w:r>
      <w:r w:rsidRPr="00DB1971">
        <w:t xml:space="preserve">). TSCA section 8(a) chemical-specific rules have been codified at 40 CFR 704, subpart B; see Attachment </w:t>
      </w:r>
      <w:r w:rsidRPr="00DB1971" w:rsidR="00DB1971">
        <w:t>6</w:t>
      </w:r>
      <w:r w:rsidRPr="00DB1971">
        <w:t>.</w:t>
      </w:r>
    </w:p>
    <w:p w:rsidRPr="00B85C1F" w:rsidR="00AC5254" w:rsidP="00AC5254" w:rsidRDefault="00AC5254" w14:paraId="0EE53295" w14:textId="77777777">
      <w:pPr>
        <w:rPr>
          <w:b/>
          <w:szCs w:val="24"/>
        </w:rPr>
      </w:pPr>
      <w:r w:rsidRPr="00B85C1F">
        <w:rPr>
          <w:rFonts w:cs="Arial"/>
          <w:b/>
          <w:szCs w:val="24"/>
        </w:rPr>
        <w:t>Recordkeeping and Reporting Requirements for Allegations of Significant Adverse Reactions to Human Health or the Environment</w:t>
      </w:r>
    </w:p>
    <w:p w:rsidR="00AC5254" w:rsidP="00AC5254" w:rsidRDefault="00AC5254" w14:paraId="39DED1CA" w14:textId="56170D40">
      <w:r>
        <w:t xml:space="preserve">The TSCA section 8(c) reporting and recordkeeping requirements are of central importance in the administration of TSCA section 8 as a whole.  Without the ability to administer these paperwork requirements, EPA would not be able to meet its obligation under TSCA.  </w:t>
      </w:r>
    </w:p>
    <w:p w:rsidR="00AC5254" w:rsidP="00AC5254" w:rsidRDefault="00AC5254" w14:paraId="3F358CE1" w14:textId="6D7EE64B">
      <w:r>
        <w:t>Since the statute does not contain an automatic reporting provision, EPA must either inspect company files or require reporting of records that relate to specific substances of concern in order to obtain and use information about allegations of significant adverse reactions.  EPA’s authority to inspect and require such reporting is codified in 40 CFR 717.17</w:t>
      </w:r>
      <w:r w:rsidR="008C602B">
        <w:t xml:space="preserve"> (</w:t>
      </w:r>
      <w:r w:rsidRPr="00DB1971" w:rsidR="008C602B">
        <w:t xml:space="preserve">Attachment </w:t>
      </w:r>
      <w:r w:rsidRPr="00DB1971" w:rsidR="00DB1971">
        <w:t>7</w:t>
      </w:r>
      <w:r w:rsidR="008C602B">
        <w:t>)</w:t>
      </w:r>
      <w:r>
        <w:t>.  EPA will review relevant TSCA section 8(c) records in connection with its TSCA chemical assessment activities.</w:t>
      </w:r>
    </w:p>
    <w:p w:rsidR="00AC5254" w:rsidP="00AC5254" w:rsidRDefault="00AC5254" w14:paraId="00BE66AB" w14:textId="5AA27A0D">
      <w:pPr>
        <w:rPr>
          <w:color w:val="000000"/>
        </w:rPr>
      </w:pPr>
      <w:r>
        <w:t xml:space="preserve">All studies submitted to EPA will be verified and the contents of the submissions recorded and inspected for the inclusion of confidential business information.  Copies of the documents will then be prepared for inclusion in EPA’s public docket and distributed, as appropriate and based on the associated chemical identity, to program offices at EPA and/or to other federal agencies for scientific analysis. A coding form will be completed to capture certain descriptive information such as identity, document control number, confidentiality indicator, document title, document date, receipt date and chemical identity. </w:t>
      </w:r>
    </w:p>
    <w:p w:rsidRPr="00B85C1F" w:rsidR="00AC5254" w:rsidP="00AC5254" w:rsidRDefault="00087619" w14:paraId="23755A1B" w14:textId="6A80D06B">
      <w:pPr>
        <w:rPr>
          <w:b/>
        </w:rPr>
      </w:pPr>
      <w:r w:rsidRPr="00B85C1F">
        <w:rPr>
          <w:rFonts w:cs="Arial"/>
          <w:b/>
          <w:szCs w:val="24"/>
        </w:rPr>
        <w:t>Health and Safety Data Reporting, Submission of Lists and Copies of Health and Safety Studies</w:t>
      </w:r>
    </w:p>
    <w:p w:rsidR="00B40AA6" w:rsidP="00B40AA6" w:rsidRDefault="00EB1CA3" w14:paraId="26764FB2" w14:textId="4273F615">
      <w:pPr>
        <w:widowControl w:val="0"/>
        <w:rPr>
          <w:color w:val="000000"/>
        </w:rPr>
      </w:pPr>
      <w:r>
        <w:rPr>
          <w:color w:val="000000"/>
        </w:rPr>
        <w:t xml:space="preserve">TSCA section 8(d), 15 U.S.C. 2607(d), </w:t>
      </w:r>
      <w:bookmarkStart w:name="_Hlk530044736" w:id="19"/>
      <w:r>
        <w:rPr>
          <w:color w:val="000000"/>
        </w:rPr>
        <w:t>authorizes EPA to promulgate rules requiring certain persons who manufacture, process or distribute in commerce, or propose to manufacture, process or distribute in commerce chemical substances and mixtures, to submit to EPA lists and copies of health and safety studies in their possession with respect to such chemical substances and mixtures. EPA regulations implementing the statute are codified at 40 CFR Part 716 (</w:t>
      </w:r>
      <w:r w:rsidRPr="00DB1971">
        <w:rPr>
          <w:color w:val="000000"/>
        </w:rPr>
        <w:t xml:space="preserve">Attachment </w:t>
      </w:r>
      <w:r w:rsidR="00DB1971">
        <w:rPr>
          <w:color w:val="000000"/>
        </w:rPr>
        <w:t>8</w:t>
      </w:r>
      <w:r>
        <w:rPr>
          <w:color w:val="000000"/>
        </w:rPr>
        <w:t xml:space="preserve">). </w:t>
      </w:r>
      <w:bookmarkEnd w:id="19"/>
      <w:r>
        <w:rPr>
          <w:color w:val="000000"/>
        </w:rPr>
        <w:t>TSCA as amended by the Lautenberg Chemical Safety for the 21</w:t>
      </w:r>
      <w:r w:rsidRPr="007102D5">
        <w:rPr>
          <w:color w:val="000000"/>
          <w:vertAlign w:val="superscript"/>
        </w:rPr>
        <w:t>st</w:t>
      </w:r>
      <w:r>
        <w:rPr>
          <w:color w:val="000000"/>
        </w:rPr>
        <w:t xml:space="preserve"> Century Act requires EPA to develop a pipeline of chemicals for prioritization and risk evaluation. Information from section 8(d) health and safety studies could help to inform the Agency’s prioritization and risk evaluation work, as well as determine whether additional information on hazard, health or environmental effects, or exposure of the listed chemicals exist is necessary to assess </w:t>
      </w:r>
      <w:proofErr w:type="gramStart"/>
      <w:r>
        <w:rPr>
          <w:color w:val="000000"/>
        </w:rPr>
        <w:t>risks;</w:t>
      </w:r>
      <w:proofErr w:type="gramEnd"/>
      <w:r>
        <w:rPr>
          <w:color w:val="000000"/>
        </w:rPr>
        <w:t xml:space="preserve"> and for considering control actions. Collection of unpublished health and safety studies can reduce the need for testing.  Additionally, other federal agencies use the studies when they are assessing a listed chemical substance for health or environmental effects.</w:t>
      </w:r>
    </w:p>
    <w:p w:rsidR="00B40AA6" w:rsidP="00B40AA6" w:rsidRDefault="00B40AA6" w14:paraId="18E65FA0" w14:textId="77777777">
      <w:pPr>
        <w:widowControl w:val="0"/>
        <w:rPr>
          <w:color w:val="000000"/>
        </w:rPr>
      </w:pPr>
      <w:r>
        <w:t>Responses to the collection of information are mandatory (see 40 CFR part 716).  Respondents may claim all or part of a response confidential. EPA will disclose information that is covered by a claim of confidentiality only to the extent permitted by, and in accordance with, the procedures in TSCA section 14 and 40 CFR part 2.</w:t>
      </w:r>
    </w:p>
    <w:p w:rsidRPr="00B40AA6" w:rsidR="00B40AA6" w:rsidP="00B40AA6" w:rsidRDefault="00B40AA6" w14:paraId="31BF3685" w14:textId="546EF0DB">
      <w:pPr>
        <w:widowControl w:val="0"/>
        <w:rPr>
          <w:color w:val="000000"/>
        </w:rPr>
      </w:pPr>
      <w:r>
        <w:rPr>
          <w:color w:val="000000"/>
        </w:rPr>
        <w:t xml:space="preserve">EPA </w:t>
      </w:r>
      <w:r w:rsidR="008C602B">
        <w:rPr>
          <w:color w:val="000000"/>
        </w:rPr>
        <w:t xml:space="preserve">also </w:t>
      </w:r>
      <w:r>
        <w:rPr>
          <w:color w:val="000000"/>
        </w:rPr>
        <w:t>amends the list of subject chemicals in 40 CFR part 716 periodically to add chemical substances and mixtures. The listed chemical substances and mixtures include chemicals recommended for testing under TSCA section 4 by the Interagency Testing Committee (ITC) and other chemical substances that EPA (particularly the Office of Pollution Prevention and Toxics (OPPT)), or other federal agencies, choose to assess for health or environmental effects.</w:t>
      </w:r>
    </w:p>
    <w:p w:rsidR="000D5E31" w:rsidP="00253A81" w:rsidRDefault="00B262D4" w14:paraId="36FA8BB3" w14:textId="3B091FB6">
      <w:pPr>
        <w:pStyle w:val="Heading2"/>
      </w:pPr>
      <w:r w:rsidRPr="00E00E93">
        <w:t>Indicate how, by whom, and for what purpose the information is to be used.  Except for a new collection, indicate the actual use the Agency has made of the information received from the current collection</w:t>
      </w:r>
      <w:bookmarkEnd w:id="17"/>
    </w:p>
    <w:p w:rsidRPr="00B85C1F" w:rsidR="00064873" w:rsidP="00064873" w:rsidRDefault="00064873" w14:paraId="335609B5" w14:textId="77777777">
      <w:pPr>
        <w:rPr>
          <w:b/>
          <w:bCs/>
        </w:rPr>
      </w:pPr>
      <w:bookmarkStart w:name="_Hlk85020889" w:id="20"/>
      <w:r w:rsidRPr="00B85C1F">
        <w:rPr>
          <w:b/>
          <w:bCs/>
        </w:rPr>
        <w:t>TSCA Section 8(a) Preliminary Assessment Information Rule (PAIR)</w:t>
      </w:r>
    </w:p>
    <w:bookmarkEnd w:id="20"/>
    <w:p w:rsidRPr="001B343F" w:rsidR="00064873" w:rsidP="00064873" w:rsidRDefault="00064873" w14:paraId="15BBEBC5" w14:textId="2F66CE00">
      <w:r w:rsidRPr="001B343F">
        <w:t xml:space="preserve">EPA uses PAIR and subpart B of 40 CFR 766 data to (1) monitor domestic manufacture and/or importation of chemical substances, mixtures and categories, (2) identify possible routes of human or environmental exposure, (3) support regulations designed to prevent possible adverse health effects and (4) support EPA programs. The information provided by PAIR and subpart B of 40 CFR 766 is needed to complete assessments of chemicals of interest and to assist in the development of regulations to control hazardous chemicals. In particular, PAIR can be used to support the activities under TSCA section 6 for risk-based prioritization and risk evaluation of TSCA chemicals. </w:t>
      </w:r>
    </w:p>
    <w:p w:rsidRPr="005A40B0" w:rsidR="00064873" w:rsidP="00064873" w:rsidRDefault="00064873" w14:paraId="60CBA552" w14:textId="77777777">
      <w:r w:rsidRPr="005A40B0">
        <w:t xml:space="preserve">All EPA program offices are potential users of the </w:t>
      </w:r>
      <w:r>
        <w:t xml:space="preserve">PAIR </w:t>
      </w:r>
      <w:r w:rsidRPr="005A40B0">
        <w:t xml:space="preserve">and subpart B of 40 CFR 766. The information helps EPA </w:t>
      </w:r>
      <w:r>
        <w:t xml:space="preserve">prioritize and </w:t>
      </w:r>
      <w:r w:rsidRPr="005A40B0">
        <w:t xml:space="preserve">evaluate the potential for adverse human health or environmental effects caused by the manufacture and importation of the identified chemical substance, mixture or category. </w:t>
      </w:r>
    </w:p>
    <w:p w:rsidR="00064873" w:rsidP="00064873" w:rsidRDefault="00064873" w14:paraId="2472DC0A" w14:textId="77777777">
      <w:r w:rsidRPr="005A40B0">
        <w:t>Other federal agencies, which require data on the human health and environmental effects of a chemical, use PAIR information. States also have access to public portions of PAIR and subpart B of 40 CFR 766 information. Public interest groups use information reported under the public portions of PAIR</w:t>
      </w:r>
      <w:r w:rsidRPr="002E3173">
        <w:t xml:space="preserve"> </w:t>
      </w:r>
      <w:r w:rsidRPr="005A40B0">
        <w:t>and subpart B of 40 CFR 766.</w:t>
      </w:r>
    </w:p>
    <w:p w:rsidRPr="00B85C1F" w:rsidR="00064873" w:rsidP="00064873" w:rsidRDefault="00064873" w14:paraId="3225147B" w14:textId="77777777">
      <w:pPr>
        <w:rPr>
          <w:b/>
          <w:szCs w:val="24"/>
        </w:rPr>
      </w:pPr>
      <w:r w:rsidRPr="00B85C1F">
        <w:rPr>
          <w:rFonts w:cs="Arial"/>
          <w:b/>
          <w:szCs w:val="24"/>
        </w:rPr>
        <w:t>Chemical-Specific Rules, TSCA Section 8(a)</w:t>
      </w:r>
    </w:p>
    <w:p w:rsidR="00064873" w:rsidP="00064873" w:rsidRDefault="00064873" w14:paraId="1B0FB3B5" w14:textId="27A9F2E0">
      <w:r>
        <w:t xml:space="preserve">EPA will also use the information obtained through the TSCA section 8(a) reporting rules to satisfy chemical-specific data needs. The information collected will be relevant to prioritization, all stages of risk evaluation, and/or risk management. Receipt of TSCA section 8(a) information may also give the Agency an opportunity to work with the respondent, if necessary, to minimize exposure risks associated with specific uses. Generally, a specific information collection request would be made by the </w:t>
      </w:r>
      <w:r w:rsidR="00DC571C">
        <w:t>EPA</w:t>
      </w:r>
      <w:r>
        <w:t>. However, other regulatory agencies and departments, such as Occupational Safety and Health Administration (OSHA), the Food and Drug Administration (FDA), and other members of the ITC may also present a need for and subsequently use TSCA section 8(a) data to, for example, assess worker or consumer exposures.</w:t>
      </w:r>
    </w:p>
    <w:p w:rsidRPr="00B85C1F" w:rsidR="00064873" w:rsidP="00064873" w:rsidRDefault="00064873" w14:paraId="5B76DA6C" w14:textId="77777777">
      <w:pPr>
        <w:rPr>
          <w:b/>
          <w:szCs w:val="24"/>
        </w:rPr>
      </w:pPr>
      <w:r w:rsidRPr="00B85C1F">
        <w:rPr>
          <w:rFonts w:cs="Arial"/>
          <w:b/>
          <w:szCs w:val="24"/>
        </w:rPr>
        <w:t>Recordkeeping and Reporting Requirements for Allegations of Significant Adverse Reactions to Human Health or the Environment</w:t>
      </w:r>
    </w:p>
    <w:p w:rsidR="00064873" w:rsidP="00064873" w:rsidRDefault="00064873" w14:paraId="45DE1528" w14:textId="3F3E8E7C">
      <w:r>
        <w:t>By using the TSCA section 8(c) reporting authority, EPA can examine such records whenever a chemical is discovered to present possible risks to human health or the environment. Information contained in the TSCA section 8(c) allegation records will have several uses. The information collected will be used on a case-specific basis to evaluate suspected adverse health or environmental effects of a chemical substance or mixture already under assessment by EPA's Office of Pollution Prevention and Toxics (OPPT). Most of these substances will be “existing” chemicals, e.g., chemicals for test rule consideration, substances that are the subjects of TSCA section 8(e) notices of substantial risk, or substances or mixtures brought to the attention of OPPT by other EPA programs, other government agencies, industry, or the public.  However, TSCA section 8(c) reports also may be required on “new” chemicals as one means of monitoring for any suspected or potential hazards identified during the premanufacture notification (PMN) review period.</w:t>
      </w:r>
    </w:p>
    <w:p w:rsidR="00064873" w:rsidP="00064873" w:rsidRDefault="00064873" w14:paraId="73DE7B2A" w14:textId="5DECFDC4">
      <w:r>
        <w:t>On a case-specific basis, requiring reporting of TSCA section 8(c) records will also serve as a discovery function. It will help identify trends of adverse effects across the industry that may not be apparent to any one company.  It will also serve as a long-term trend identification function because of the 5-year and 30-year recordkeeping feature of the statute.</w:t>
      </w:r>
    </w:p>
    <w:p w:rsidRPr="00B85C1F" w:rsidR="00064873" w:rsidP="00064873" w:rsidRDefault="00064873" w14:paraId="3EB28538" w14:textId="77777777">
      <w:pPr>
        <w:rPr>
          <w:b/>
        </w:rPr>
      </w:pPr>
      <w:r w:rsidRPr="00B85C1F">
        <w:rPr>
          <w:rFonts w:cs="Arial"/>
          <w:b/>
          <w:szCs w:val="24"/>
        </w:rPr>
        <w:t>Health and Safety Data Reporting, Submission of Lists and Copies of Health and Safety Studies</w:t>
      </w:r>
    </w:p>
    <w:p w:rsidR="00064873" w:rsidP="00064873" w:rsidRDefault="00064873" w14:paraId="4E97E8FD" w14:textId="0AF2F10F">
      <w:r>
        <w:t>Studies submitted pursuant to TSCA section 8(d) rules will be evaluated in conjunction with other available data as EPA assesses risks of existing chemicals. EPA and other federal agencies will use the data to construct a complete picture of the known effects of the chemical substance. From this picture, OPPT will be able to determine what kinds of information gaps, if any, exist and whether testing may be needed. The TSCA section 8(d) studies will ensure that OPPT bases its testing decisions on the most complete information available and does not require unnecessary or duplicative testing, which is consistent with the requirements of TSCA section 4(h).</w:t>
      </w:r>
    </w:p>
    <w:p w:rsidR="00064873" w:rsidP="00064873" w:rsidRDefault="00064873" w14:paraId="7ACBA2E4" w14:textId="6E9734A0">
      <w:r w:rsidRPr="00A841EA">
        <w:t xml:space="preserve">In addition, EPA </w:t>
      </w:r>
      <w:r>
        <w:t>may</w:t>
      </w:r>
      <w:r w:rsidRPr="00A841EA">
        <w:t xml:space="preserve"> require that copies of unpublished health and safety studies be submitted on chemicals that are being considered for prioritization under section 6 of TSCA or in the early stages of risk assessment or when action to control exposure is being considered by EPA or another federal agency.</w:t>
      </w:r>
      <w:r>
        <w:t xml:space="preserve"> These chemicals may be ones for which persons have submitted a substantial risk notification under TSCA section 8(e), or other chemicals for which data are needed to support a control measure under sections 5 and 6 of TSCA or under other EPA-administered statutes. If this information collection did not exist, EPA would not be able to obtain the available information on a chemical and evaluate the need for testing or data development under section 4 of TSCA or controlling chemical substances under TSCA sections 5 and 6.</w:t>
      </w:r>
    </w:p>
    <w:p w:rsidR="00064873" w:rsidP="00064873" w:rsidRDefault="00064873" w14:paraId="18B8C4F8" w14:textId="352DA05E">
      <w:r>
        <w:t>In the past, EPA’s Office of Air and Radiation (OAR) has used the submitted studies for developing Tier II analyses</w:t>
      </w:r>
      <w:r w:rsidRPr="00593F6B">
        <w:t xml:space="preserve"> </w:t>
      </w:r>
      <w:r>
        <w:t>and the EPA’s Office of Research and Development (ORD) has used the information for developing extended risk assessments. In addition, other organizations have utilized the submitted studies: the Consumer Product Safety Commission (CPSC) for assessing the hazards of known consumer exposure; the American Council for Government Industrial Hygienists (ACGIH); and the National Institute for Occupational Safety and Health (NIOSH) for developing recommended occupational exposure levels.</w:t>
      </w:r>
    </w:p>
    <w:p w:rsidR="00044532" w:rsidP="00044532" w:rsidRDefault="00044532" w14:paraId="7A8A83C5" w14:textId="77777777">
      <w:pPr>
        <w:autoSpaceDE w:val="0"/>
        <w:autoSpaceDN w:val="0"/>
        <w:adjustRightInd w:val="0"/>
        <w:spacing w:after="0" w:line="240" w:lineRule="auto"/>
        <w:ind w:left="1080"/>
        <w:rPr>
          <w:szCs w:val="24"/>
        </w:rPr>
      </w:pPr>
    </w:p>
    <w:p w:rsidR="000D5E31" w:rsidP="00253A81" w:rsidRDefault="000D5E31" w14:paraId="44CE1C5B" w14:textId="08E46695">
      <w:pPr>
        <w:pStyle w:val="Heading2"/>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306437" w:rsidP="00306437" w:rsidRDefault="00306437" w14:paraId="3205A996" w14:textId="0F01BACC">
      <w:r>
        <w:t xml:space="preserve">TSCA section 8 collections can be submitted electronically via the Agency’s Central Data Exchange (CDX). All information sent by the submitter via CDX is transmitted securely to protect CBI. Furthermore, if anything in the submission is claimed as CBI, a non-CBI copy of the submission must be provided by the submitter. The CDX User Guides (Attachments </w:t>
      </w:r>
      <w:r w:rsidR="00DB1971">
        <w:t>9</w:t>
      </w:r>
      <w:r w:rsidR="00D916E8">
        <w:t xml:space="preserve"> and 10</w:t>
      </w:r>
      <w:r>
        <w:t xml:space="preserve">) instruct users on how to submit and substantiate CBI information using the Chemical Information Submission System (CIS). </w:t>
      </w:r>
    </w:p>
    <w:p w:rsidR="008C2B73" w:rsidP="008C2B73" w:rsidRDefault="008C2B73" w14:paraId="014C08EF" w14:textId="08491807">
      <w:r w:rsidRPr="006916D0">
        <w:t xml:space="preserve">EPA developed </w:t>
      </w:r>
      <w:r>
        <w:t xml:space="preserve">the </w:t>
      </w:r>
      <w:r w:rsidR="00392375">
        <w:t>CDX</w:t>
      </w:r>
      <w:r w:rsidRPr="006916D0" w:rsidR="00392375">
        <w:t xml:space="preserve"> </w:t>
      </w:r>
      <w:r>
        <w:t xml:space="preserve">reporting tool </w:t>
      </w:r>
      <w:r w:rsidRPr="006916D0">
        <w:t>for use in submitting data electronically to the Agency. The tool is available for use with Windows, Macs, Linux, and UNIX based computers, using “Extensible Markup Language” (XML) specifications for efficient data transmission across t</w:t>
      </w:r>
      <w:r>
        <w:t>he Internet. The CIS is a</w:t>
      </w:r>
      <w:r w:rsidRPr="006916D0">
        <w:t xml:space="preserve"> tool that provides user-friendly navigation, works with CDX to secure online communication, creates a com</w:t>
      </w:r>
      <w:r>
        <w:t xml:space="preserve">pleted Portable Document Format </w:t>
      </w:r>
      <w:r w:rsidRPr="006916D0">
        <w:t xml:space="preserve">(PDF) for review prior to submission, and enables data, reports, and other information to be submitted easily as PDF attachments.  </w:t>
      </w:r>
    </w:p>
    <w:p w:rsidR="008C2B73" w:rsidP="008C2B73" w:rsidRDefault="008C2B73" w14:paraId="707A4A7F" w14:textId="77777777">
      <w:pPr>
        <w:rPr>
          <w:i/>
        </w:rPr>
      </w:pPr>
      <w:r w:rsidRPr="006916D0">
        <w:t xml:space="preserve">The Agency ensures secure transmission of the data, reports, and other documents sent from the user's desktop through the Internet via </w:t>
      </w:r>
      <w:r w:rsidRPr="007369A9">
        <w:t>the Transport Layer Security (TLS) 1.0 protocol. TLS 1.0</w:t>
      </w:r>
      <w:r w:rsidRPr="006916D0">
        <w:t xml:space="preserve"> </w:t>
      </w:r>
      <w:r>
        <w:t xml:space="preserve">and subsequent versions updated as needed are widely used approaches </w:t>
      </w:r>
      <w:r w:rsidRPr="006916D0">
        <w:t xml:space="preserve">for securing Internet transactions </w:t>
      </w:r>
      <w:r>
        <w:t xml:space="preserve">by the </w:t>
      </w:r>
      <w:r w:rsidRPr="006916D0">
        <w:t xml:space="preserve">National Institute of Standards and Technology (NIST) as a means for protecting data sent over the Internet.  </w:t>
      </w:r>
    </w:p>
    <w:p w:rsidR="008C2B73" w:rsidP="008C2B73" w:rsidRDefault="008C2B73" w14:paraId="063F5599" w14:textId="03EA3721">
      <w:r w:rsidRPr="006916D0">
        <w:t xml:space="preserve">In addition, </w:t>
      </w:r>
      <w:r w:rsidR="00392375">
        <w:t>CDX</w:t>
      </w:r>
      <w:r w:rsidRPr="006916D0" w:rsidR="00392375">
        <w:t xml:space="preserve"> </w:t>
      </w:r>
      <w:r w:rsidRPr="006916D0">
        <w:t>enables the submitter to electronically sign, encrypt, and transmit submissions</w:t>
      </w:r>
      <w:r>
        <w:t>,</w:t>
      </w:r>
      <w:r w:rsidRPr="006916D0">
        <w:t xml:space="preserve"> which EPA subsequently provides back to the submitter as an unaltered copy of record. This assures the submitter that the Agency has received exactly what the submitter sent to EPA. The </w:t>
      </w:r>
      <w:r w:rsidR="00392375">
        <w:t>CDX</w:t>
      </w:r>
      <w:r w:rsidRPr="006916D0" w:rsidR="00392375">
        <w:t xml:space="preserve"> </w:t>
      </w:r>
      <w:r w:rsidRPr="006916D0">
        <w:t>reporting t</w:t>
      </w:r>
      <w:r w:rsidRPr="007369A9">
        <w:t>ool encrypts using a module based on the 256-bit Advanced Encryption Standard (AES)</w:t>
      </w:r>
      <w:r w:rsidRPr="00041540">
        <w:rPr>
          <w:color w:val="FF0000"/>
        </w:rPr>
        <w:t xml:space="preserve"> </w:t>
      </w:r>
      <w:r w:rsidRPr="006916D0">
        <w:t xml:space="preserve">adopted by NIST. Details about AES can be found </w:t>
      </w:r>
      <w:r>
        <w:t xml:space="preserve">in FIPS 197 pdf </w:t>
      </w:r>
      <w:r w:rsidRPr="006916D0">
        <w:t xml:space="preserve">on the NIST </w:t>
      </w:r>
      <w:r w:rsidRPr="007369A9">
        <w:t xml:space="preserve">website at </w:t>
      </w:r>
      <w:hyperlink w:history="1" r:id="rId12">
        <w:r w:rsidRPr="00703CE8" w:rsidR="00306437">
          <w:rPr>
            <w:rStyle w:val="Hyperlink"/>
          </w:rPr>
          <w:t>http://csrc.nist.gov/publications/PubsFIPS.html</w:t>
        </w:r>
      </w:hyperlink>
      <w:r w:rsidR="00306437">
        <w:t xml:space="preserve"> </w:t>
      </w:r>
      <w:r>
        <w:rPr>
          <w:color w:val="FF0000"/>
        </w:rPr>
        <w:t xml:space="preserve"> </w:t>
      </w:r>
      <w:r w:rsidRPr="006916D0">
        <w:t xml:space="preserve">and EPA may incorporate other encryption modules into future versions of the tool. Information submitted via CDX is processed within EPA by secure systems certified for compliance with Federal Information Processing Standards. </w:t>
      </w:r>
    </w:p>
    <w:p w:rsidR="000D5E31" w:rsidP="00253A81" w:rsidRDefault="003041B0" w14:paraId="3222B018" w14:textId="25DC6624">
      <w:pPr>
        <w:pStyle w:val="Heading2"/>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00D876F0" w:rsidP="00306437" w:rsidRDefault="00D876F0" w14:paraId="55F3A259" w14:textId="4A266233">
      <w:r>
        <w:t>Section 8(a)(5) of TSCA states, “</w:t>
      </w:r>
      <w:r w:rsidRPr="00DB6DC1">
        <w:t>the Administrator shall, to the extent feasible… not require reporting which is unnecessary or duplicative.</w:t>
      </w:r>
      <w:r>
        <w:t>”  The reporting requirements of TSCA section 8(a) rules only require information that EPA believes will assist in a reasoned evaluation of the human health and environmental effects of chemical substances and mixtures. This information is unlikely to be duplicative since, (1) EPA estimates that each</w:t>
      </w:r>
      <w:r w:rsidR="00D14E52">
        <w:t xml:space="preserve"> chemical-specific</w:t>
      </w:r>
      <w:r>
        <w:t xml:space="preserve"> rule will generate only a few submissions, (2) the information required by the TSCA section 8(a) rule is unique to the manufacturer or processor (e.g., the proposed date of production or importation, the amount produced or imported, the chemical composition, and uses of the chemical substance or mixture), (3) the information on employee health effects required by the TSCA section 8(c) rule will be unique for the various affected employees of manufacturers and processors, (4) the studies required by the TSCA section 8(d) rule that </w:t>
      </w:r>
      <w:r w:rsidR="00234DEB">
        <w:t>are unpublished and in the possession of a company are most likely</w:t>
      </w:r>
      <w:r w:rsidR="00CA329F">
        <w:t xml:space="preserve"> proprietary and</w:t>
      </w:r>
      <w:r>
        <w:t xml:space="preserve"> unique for each manufacturer/processor, and (5) EPA thoroughly checks other public and unpublished sources to see if the required data may already be available prior to issuing such rules. If EPA were to become aware of a source of substantially similar information, for example via comments on a proposed rule, EPA would not continue with the information collection.</w:t>
      </w:r>
    </w:p>
    <w:p w:rsidR="000D5E31" w:rsidP="00253A81" w:rsidRDefault="000D5E31" w14:paraId="318B9393" w14:textId="6C03D0FA">
      <w:pPr>
        <w:pStyle w:val="Heading2"/>
      </w:pPr>
      <w:r w:rsidRPr="00E00E93">
        <w:t>If the collection of information impacts small businesses or other small entities, describe the methods used to minimize burden.</w:t>
      </w:r>
    </w:p>
    <w:p w:rsidRPr="00B85C1F" w:rsidR="00B23578" w:rsidP="00B23578" w:rsidRDefault="00B23578" w14:paraId="17F52718" w14:textId="77777777">
      <w:pPr>
        <w:rPr>
          <w:b/>
          <w:bCs/>
        </w:rPr>
      </w:pPr>
      <w:r w:rsidRPr="00B85C1F">
        <w:rPr>
          <w:b/>
          <w:bCs/>
        </w:rPr>
        <w:t>TSCA Section 8(a) Preliminary Assessment Information Rule (PAIR)</w:t>
      </w:r>
    </w:p>
    <w:p w:rsidRPr="002B1D8E" w:rsidR="00B23578" w:rsidP="00B23578" w:rsidRDefault="00B23578" w14:paraId="45F7ECD4" w14:textId="4364AF65">
      <w:r w:rsidRPr="002B1D8E">
        <w:t xml:space="preserve">In accordance with TSCA section 8(a)(1)(B), PAIR contains a small business exemption. A manufacturer or importer is considered a small business if (1) the firm’s total annual sales when combined with those of its parent company (if any) are less than $30 million for the reporting period and (2) its total production and/or importation of the chemical substances, mixture or category, for the reporting period, does not exceed 100,000 pounds (45,400 kilograms) at an individual site owned and controlled by the firm. In accordance with amended TSCA the EPA consulted with the Administrator of the Small Business Administration to review the adequacy of the standards for determining which entities are considered small for the purposes of TSCA section 8(a). The agency determined that a revision of the standard is warranted (82 FR 56824, November 30, 2017) and initiated rulemaking to update the standard. </w:t>
      </w:r>
    </w:p>
    <w:p w:rsidR="00B23578" w:rsidP="00B23578" w:rsidRDefault="00B23578" w14:paraId="2695F6EA" w14:textId="770DE688">
      <w:pPr>
        <w:rPr>
          <w:szCs w:val="24"/>
        </w:rPr>
      </w:pPr>
      <w:r w:rsidRPr="005A40B0">
        <w:rPr>
          <w:szCs w:val="24"/>
        </w:rPr>
        <w:t xml:space="preserve">The small manufacturer/importer exemptions apply to PAIR, regardless of which office or agency nominates a chemical. In some instances, the EPA Administrator can remove these exemptions on a chemical-specific basis, provided notice and comment rulemaking is utilized. EPA expects that those offices that have a critical need for reporting from small businesses usually exempt from PAIR reporting will use other mechanisms to gather the data. EPA does not expect to issue a PAIR rule during the next </w:t>
      </w:r>
      <w:r>
        <w:rPr>
          <w:szCs w:val="24"/>
        </w:rPr>
        <w:t>3 years that would impact</w:t>
      </w:r>
      <w:r w:rsidRPr="005A40B0">
        <w:rPr>
          <w:szCs w:val="24"/>
        </w:rPr>
        <w:t xml:space="preserve"> small businesses.</w:t>
      </w:r>
    </w:p>
    <w:p w:rsidRPr="00B85C1F" w:rsidR="00B23578" w:rsidP="00B23578" w:rsidRDefault="00B23578" w14:paraId="27252DE0" w14:textId="77777777">
      <w:pPr>
        <w:rPr>
          <w:b/>
          <w:szCs w:val="24"/>
        </w:rPr>
      </w:pPr>
      <w:bookmarkStart w:name="_Hlk85021312" w:id="21"/>
      <w:r w:rsidRPr="00B85C1F">
        <w:rPr>
          <w:rFonts w:cs="Arial"/>
          <w:b/>
          <w:szCs w:val="24"/>
        </w:rPr>
        <w:t>Chemical-Specific Rules, TSCA Section 8(a)</w:t>
      </w:r>
    </w:p>
    <w:bookmarkEnd w:id="21"/>
    <w:p w:rsidR="00B23578" w:rsidP="00B23578" w:rsidRDefault="00B23578" w14:paraId="2124073E" w14:textId="61CEBF96">
      <w:r w:rsidRPr="00402E9A">
        <w:t>Section 8(a) of TSCA generally exempts small manufacturers and processors. However, under TSCA section 8(a)(3), EPA may require small manufacturers and processors to report or keep records if the substance or mixture is subject to a rule proposed or promulgated under TSCA sections 4, 5(b)(4), or 6 or with respect to which relief has been granted pursuant to a civil action brought under sections 5 or 7 of TSCA. All respondents to TSCA section 8(a) chemical-specific rules, including small businesses, are granted flexibility in their reporting format.</w:t>
      </w:r>
    </w:p>
    <w:p w:rsidRPr="00B85C1F" w:rsidR="00B23578" w:rsidP="00B23578" w:rsidRDefault="00B23578" w14:paraId="1EA208AD" w14:textId="77777777">
      <w:pPr>
        <w:rPr>
          <w:b/>
          <w:szCs w:val="24"/>
        </w:rPr>
      </w:pPr>
      <w:r w:rsidRPr="00B85C1F">
        <w:rPr>
          <w:rFonts w:cs="Arial"/>
          <w:b/>
          <w:szCs w:val="24"/>
        </w:rPr>
        <w:t>Recordkeeping and Reporting Requirements for Allegations of Significant Adverse Reactions to Human Health or the Environment</w:t>
      </w:r>
    </w:p>
    <w:p w:rsidR="00B23578" w:rsidP="00B23578" w:rsidRDefault="00B23578" w14:paraId="11F27FF8" w14:textId="7FE034DC">
      <w:r>
        <w:t>Unlike TSCA section 8(a) of TSCA, Congress did not include a specific exemption of small businesses in TSCA section 8(c). This rule does not exempt small manufacturers (including importers) or processors of chemicals from its provisions. This is due to EPA’s belief that workers, plant neighbors and consumers may be adversely affected by products, emissions, etc., produced or created by firms of all sizes.</w:t>
      </w:r>
    </w:p>
    <w:p w:rsidR="00B23578" w:rsidP="00B23578" w:rsidRDefault="00B23578" w14:paraId="46614E3E" w14:textId="062FB2E4">
      <w:r>
        <w:t>However, the TSCA section 8(c) rule was written to concentrate the recordkeeping and reporting burdens on those firms generally associated with the mainstream chemical industry. EPA specifically eliminated most distributors and effectively limits the number of processors subject to the rule. By doing so, EPA has eliminated a large number of small businesses from the purview of the rule without compromising its objectives.</w:t>
      </w:r>
    </w:p>
    <w:p w:rsidRPr="00B85C1F" w:rsidR="00B23578" w:rsidP="00B23578" w:rsidRDefault="00B23578" w14:paraId="24DC1E10" w14:textId="77777777">
      <w:pPr>
        <w:rPr>
          <w:b/>
        </w:rPr>
      </w:pPr>
      <w:r w:rsidRPr="00B85C1F">
        <w:rPr>
          <w:rFonts w:cs="Arial"/>
          <w:b/>
          <w:szCs w:val="24"/>
        </w:rPr>
        <w:t>Health and Safety Data Reporting, Submission of Lists and Copies of Health and Safety Studies</w:t>
      </w:r>
    </w:p>
    <w:p w:rsidRPr="00402E9A" w:rsidR="00B23578" w:rsidP="00B23578" w:rsidRDefault="00B23578" w14:paraId="04B9A7A3" w14:textId="5704CB9B">
      <w:r w:rsidRPr="00402E9A">
        <w:t>The TSCA section 8(d) rule applies to all manufacturers and, when specified, processors of chemicals and others in possession of studies, regardless of size. However, EPA does not anticipate that many small businesses possess health and safety studies because they are unlikely to have the financial resources to perform the studies on chemicals subject to the rule. Therefore, the burden on such companies is expected to be minimal.</w:t>
      </w:r>
    </w:p>
    <w:p w:rsidR="00897D7E" w:rsidP="00253A81" w:rsidRDefault="00BE461C" w14:paraId="5F088A3E" w14:textId="23E55172">
      <w:pPr>
        <w:pStyle w:val="Heading2"/>
      </w:pPr>
      <w:r w:rsidRPr="00E00E93">
        <w:t>Describe the consequence to Federal program or policy activities if the collection is not conducted or is conducted less frequently, as well as any technical or legal obstacles to reducing burden.</w:t>
      </w:r>
    </w:p>
    <w:p w:rsidRPr="00B85C1F" w:rsidR="00C915E0" w:rsidP="00C915E0" w:rsidRDefault="00C915E0" w14:paraId="68C7E6E5" w14:textId="77777777">
      <w:pPr>
        <w:rPr>
          <w:b/>
          <w:bCs/>
        </w:rPr>
      </w:pPr>
      <w:r w:rsidRPr="00B85C1F">
        <w:rPr>
          <w:b/>
          <w:bCs/>
        </w:rPr>
        <w:t>TSCA Section 8(a) Preliminary Assessment Information Rule (PAIR)</w:t>
      </w:r>
    </w:p>
    <w:p w:rsidRPr="000003FA" w:rsidR="00C915E0" w:rsidP="00C915E0" w:rsidRDefault="00C915E0" w14:paraId="3B05EA74" w14:textId="3ADDC2B3">
      <w:r w:rsidRPr="000003FA">
        <w:t>Under PAIR or subpart B of 40 CFR 766, persons are required to report only once for a chemical listed in the PAIR or subpart B of 40 CFR 766. However, for PAIR, if information received from the initial report indicates human health and environmental risks, then the Agency may require that additional information be submitted at some future date to monitor any changes pertaining to that chemical. As such, the reporting frequency for PAIR and subpart B of 40 CFR 766 cannot be reduced without effectively suspending the information collection requirement.</w:t>
      </w:r>
    </w:p>
    <w:p w:rsidRPr="00B85C1F" w:rsidR="00C915E0" w:rsidP="00C915E0" w:rsidRDefault="00C915E0" w14:paraId="18ACCB45" w14:textId="77777777">
      <w:pPr>
        <w:rPr>
          <w:b/>
          <w:szCs w:val="24"/>
        </w:rPr>
      </w:pPr>
      <w:r w:rsidRPr="00B85C1F">
        <w:rPr>
          <w:rFonts w:cs="Arial"/>
          <w:b/>
          <w:szCs w:val="24"/>
        </w:rPr>
        <w:t>Chemical-Specific Rules, TSCA Section 8(a)</w:t>
      </w:r>
    </w:p>
    <w:p w:rsidR="00C915E0" w:rsidP="00C915E0" w:rsidRDefault="00C915E0" w14:paraId="3AAD5682" w14:textId="042333DD">
      <w:r>
        <w:t>Generally, companies are required to report only once under a TSCA section 8(a) chemical-specific reporting rule, although EPA may consider requiring reporting on an annual, semiannual, monthly or other basis if the Administrator deems this necessary to protect human health and the environment. EPA tailors each rule to meet chemical-specific information requirements, thus reducing the potential for too frequent data collections.</w:t>
      </w:r>
    </w:p>
    <w:p w:rsidRPr="00B85C1F" w:rsidR="00C915E0" w:rsidP="00C915E0" w:rsidRDefault="00C915E0" w14:paraId="2001EFC2" w14:textId="77777777">
      <w:pPr>
        <w:rPr>
          <w:b/>
          <w:szCs w:val="24"/>
        </w:rPr>
      </w:pPr>
      <w:bookmarkStart w:name="_Hlk85030136" w:id="22"/>
      <w:r w:rsidRPr="00B85C1F">
        <w:rPr>
          <w:rFonts w:cs="Arial"/>
          <w:b/>
          <w:szCs w:val="24"/>
        </w:rPr>
        <w:t>Recordkeeping and Reporting Requirements for Allegations of Significant Adverse Reactions to Human Health or the Environment</w:t>
      </w:r>
    </w:p>
    <w:bookmarkEnd w:id="22"/>
    <w:p w:rsidR="00C915E0" w:rsidP="00C915E0" w:rsidRDefault="00C915E0" w14:paraId="73D82951" w14:textId="672C1B5D">
      <w:r>
        <w:t>Currently, EPA uses its authority to collect information pursuant to the TSCA section 8(c) rule sparingly.</w:t>
      </w:r>
      <w:r w:rsidRPr="00EA6784">
        <w:t xml:space="preserve"> </w:t>
      </w:r>
      <w:r>
        <w:t xml:space="preserve">Currently, EPA anticipates issuing infrequent requests (less than 2 per year) for TSCA section 8(c) reporting. However, reporting requests may occur more frequently because individual notices or letters containing such TSCA section 8(c) requests may be clustered in the same </w:t>
      </w:r>
      <w:r w:rsidRPr="00EA6784">
        <w:t xml:space="preserve">year. </w:t>
      </w:r>
      <w:r>
        <w:t>The information will be collected on a case-specific basis to evaluate suspected adverse health or environmental effects of a chemical substance or mixture already under assessment by OPPT or when a chemical not under assessment by OPPT is discovered to present possible risks to human health or the environment. For example, chemical disasters are obviously unpredictable and OPPT must reserve the capability to require records submission on an as-needed basis in order to gather relevant information related to such matters.  TSCA section 8(c) allegation records are part of such related information.</w:t>
      </w:r>
    </w:p>
    <w:p w:rsidRPr="00B85C1F" w:rsidR="00C915E0" w:rsidP="00C915E0" w:rsidRDefault="00C915E0" w14:paraId="1BA13B25" w14:textId="77777777">
      <w:pPr>
        <w:rPr>
          <w:b/>
        </w:rPr>
      </w:pPr>
      <w:bookmarkStart w:name="_Hlk85030397" w:id="23"/>
      <w:r w:rsidRPr="00B85C1F">
        <w:rPr>
          <w:rFonts w:cs="Arial"/>
          <w:b/>
          <w:szCs w:val="24"/>
        </w:rPr>
        <w:t>Health and Safety Data Reporting, Submission of Lists and Copies of Health and Safety Studies</w:t>
      </w:r>
    </w:p>
    <w:bookmarkEnd w:id="23"/>
    <w:p w:rsidR="00C915E0" w:rsidP="00C915E0" w:rsidRDefault="00C915E0" w14:paraId="4C5409D4" w14:textId="11D41A5E">
      <w:r>
        <w:t>In most instances, respondents will be required to make only initial submissions under the TSCA section 8(d) rule. However, after the initial submission of lists and studies, respondents are required to notify EPA when certain health and safety studies are initiated by submitting a list of newly initiated studies. Because the reporting frequency for the TSCA section 8(d) rule is generally only once, the reporting frequency cannot be reduced. If the information requirement were less frequent, EPA would not be able to obtain the necessary information for evaluating the need for additional information under section 4 of TSCA or evaluating and controlling chemical substances under sections 5 and 6 of TSCA.</w:t>
      </w:r>
    </w:p>
    <w:p w:rsidRPr="00C85DBB" w:rsidR="00C85DBB" w:rsidP="0056068D" w:rsidRDefault="00C85DBB" w14:paraId="67FAC5BB" w14:textId="77777777">
      <w:pPr>
        <w:numPr>
          <w:ilvl w:val="0"/>
          <w:numId w:val="3"/>
        </w:numPr>
        <w:pBdr>
          <w:top w:val="single" w:color="auto" w:sz="4" w:space="1"/>
        </w:pBdr>
        <w:tabs>
          <w:tab w:val="left" w:pos="1080"/>
        </w:tabs>
        <w:spacing w:line="240" w:lineRule="auto"/>
        <w:ind w:left="360"/>
        <w:outlineLvl w:val="1"/>
        <w:rPr>
          <w:rFonts w:eastAsiaTheme="majorEastAsia" w:cstheme="majorBidi"/>
          <w:b/>
          <w:bCs/>
          <w:szCs w:val="26"/>
          <w:lang w:bidi="en-US"/>
        </w:rPr>
      </w:pPr>
      <w:r w:rsidRPr="00C85DBB">
        <w:rPr>
          <w:rFonts w:eastAsiaTheme="majorEastAsia" w:cstheme="majorBidi"/>
          <w:b/>
          <w:bCs/>
          <w:szCs w:val="26"/>
          <w:lang w:bidi="en-US"/>
        </w:rPr>
        <w:t xml:space="preserve">Explain any special circumstances that require the collection to be conducted in a manner: </w:t>
      </w:r>
    </w:p>
    <w:p w:rsidRPr="00C85DBB" w:rsidR="00C85DBB" w:rsidP="0056068D" w:rsidRDefault="00C85DBB" w14:paraId="1A8077F8"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respondents to report information to the agency more often than </w:t>
      </w:r>
      <w:proofErr w:type="gramStart"/>
      <w:r w:rsidRPr="00C85DBB">
        <w:rPr>
          <w:rFonts w:cs="Times New Roman"/>
          <w:b/>
          <w:bCs/>
          <w:szCs w:val="24"/>
        </w:rPr>
        <w:t>quarterly;</w:t>
      </w:r>
      <w:proofErr w:type="gramEnd"/>
      <w:r w:rsidRPr="00C85DBB">
        <w:rPr>
          <w:rFonts w:cs="Times New Roman"/>
          <w:b/>
          <w:bCs/>
          <w:szCs w:val="24"/>
        </w:rPr>
        <w:t xml:space="preserve"> </w:t>
      </w:r>
    </w:p>
    <w:p w:rsidRPr="00C85DBB" w:rsidR="00C85DBB" w:rsidP="0056068D" w:rsidRDefault="00C85DBB" w14:paraId="4D872130"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respondents to prepare a written response to a collection of information in fewer than 30 days after receipt of </w:t>
      </w:r>
      <w:proofErr w:type="gramStart"/>
      <w:r w:rsidRPr="00C85DBB">
        <w:rPr>
          <w:rFonts w:cs="Times New Roman"/>
          <w:b/>
          <w:bCs/>
          <w:szCs w:val="24"/>
        </w:rPr>
        <w:t>it;</w:t>
      </w:r>
      <w:proofErr w:type="gramEnd"/>
      <w:r w:rsidRPr="00C85DBB">
        <w:rPr>
          <w:rFonts w:cs="Times New Roman"/>
          <w:b/>
          <w:bCs/>
          <w:szCs w:val="24"/>
        </w:rPr>
        <w:t xml:space="preserve"> </w:t>
      </w:r>
    </w:p>
    <w:p w:rsidRPr="00C85DBB" w:rsidR="00C85DBB" w:rsidP="0056068D" w:rsidRDefault="00C85DBB" w14:paraId="5410FBD6"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respondents to submit more than an original and two copies of any </w:t>
      </w:r>
      <w:proofErr w:type="gramStart"/>
      <w:r w:rsidRPr="00C85DBB">
        <w:rPr>
          <w:rFonts w:cs="Times New Roman"/>
          <w:b/>
          <w:bCs/>
          <w:szCs w:val="24"/>
        </w:rPr>
        <w:t>document;</w:t>
      </w:r>
      <w:proofErr w:type="gramEnd"/>
      <w:r w:rsidRPr="00C85DBB">
        <w:rPr>
          <w:rFonts w:cs="Times New Roman"/>
          <w:b/>
          <w:bCs/>
          <w:szCs w:val="24"/>
        </w:rPr>
        <w:t xml:space="preserve"> </w:t>
      </w:r>
    </w:p>
    <w:p w:rsidRPr="00C85DBB" w:rsidR="00C85DBB" w:rsidP="0056068D" w:rsidRDefault="00C85DBB" w14:paraId="2A9A32EF"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respondents to retain records, other than health, medical, government contract, grant-in-aid, or tax records, for more than three </w:t>
      </w:r>
      <w:proofErr w:type="gramStart"/>
      <w:r w:rsidRPr="00C85DBB">
        <w:rPr>
          <w:rFonts w:cs="Times New Roman"/>
          <w:b/>
          <w:bCs/>
          <w:szCs w:val="24"/>
        </w:rPr>
        <w:t>years;</w:t>
      </w:r>
      <w:proofErr w:type="gramEnd"/>
      <w:r w:rsidRPr="00C85DBB">
        <w:rPr>
          <w:rFonts w:cs="Times New Roman"/>
          <w:b/>
          <w:bCs/>
          <w:szCs w:val="24"/>
        </w:rPr>
        <w:t xml:space="preserve"> </w:t>
      </w:r>
    </w:p>
    <w:p w:rsidRPr="00C85DBB" w:rsidR="00C85DBB" w:rsidP="0056068D" w:rsidRDefault="00C85DBB" w14:paraId="78A0CDC4"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in connection with a statistical survey, that is not designed to produce valid and reliable results that can be generalized to the universe of </w:t>
      </w:r>
      <w:proofErr w:type="gramStart"/>
      <w:r w:rsidRPr="00C85DBB">
        <w:rPr>
          <w:rFonts w:cs="Times New Roman"/>
          <w:b/>
          <w:bCs/>
          <w:szCs w:val="24"/>
        </w:rPr>
        <w:t>study;</w:t>
      </w:r>
      <w:proofErr w:type="gramEnd"/>
    </w:p>
    <w:p w:rsidRPr="00C85DBB" w:rsidR="00C85DBB" w:rsidP="0056068D" w:rsidRDefault="00C85DBB" w14:paraId="4C02DB54"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the use of a statistical data classification that has not been reviewed and approved by </w:t>
      </w:r>
      <w:proofErr w:type="gramStart"/>
      <w:r w:rsidRPr="00C85DBB">
        <w:rPr>
          <w:rFonts w:cs="Times New Roman"/>
          <w:b/>
          <w:bCs/>
          <w:szCs w:val="24"/>
        </w:rPr>
        <w:t>OMB;</w:t>
      </w:r>
      <w:proofErr w:type="gramEnd"/>
      <w:r w:rsidRPr="00C85DBB">
        <w:rPr>
          <w:rFonts w:cs="Times New Roman"/>
          <w:b/>
          <w:bCs/>
          <w:szCs w:val="24"/>
        </w:rPr>
        <w:t xml:space="preserve"> </w:t>
      </w:r>
    </w:p>
    <w:p w:rsidRPr="00C85DBB" w:rsidR="00C85DBB" w:rsidP="0056068D" w:rsidRDefault="00C85DBB" w14:paraId="24A4FA90"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85DBB" w:rsidR="00C85DBB" w:rsidP="0056068D" w:rsidRDefault="00C85DBB" w14:paraId="682D2001" w14:textId="77777777">
      <w:pPr>
        <w:numPr>
          <w:ilvl w:val="0"/>
          <w:numId w:val="4"/>
        </w:numPr>
        <w:tabs>
          <w:tab w:val="left" w:pos="1710"/>
        </w:tabs>
        <w:autoSpaceDE w:val="0"/>
        <w:autoSpaceDN w:val="0"/>
        <w:adjustRightInd w:val="0"/>
        <w:spacing w:line="240" w:lineRule="auto"/>
        <w:outlineLvl w:val="2"/>
        <w:rPr>
          <w:rFonts w:cs="Times New Roman"/>
          <w:b/>
          <w:bCs/>
          <w:szCs w:val="24"/>
        </w:rPr>
      </w:pPr>
      <w:r w:rsidRPr="00C85DBB">
        <w:rPr>
          <w:rFonts w:cs="Times New Roman"/>
          <w:b/>
          <w:bCs/>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4653C9" w:rsidR="004653C9" w:rsidP="004653C9" w:rsidRDefault="004653C9" w14:paraId="0AF7EBA8" w14:textId="30843C05">
      <w:pPr>
        <w:rPr>
          <w:rFonts w:cs="Arial"/>
        </w:rPr>
      </w:pPr>
      <w:r w:rsidRPr="004653C9">
        <w:rPr>
          <w:rFonts w:cs="Arial"/>
        </w:rPr>
        <w:t>The record retention provisions of TSCA section 8(c) and 40 CFR part 717 exceed the Paperwork Reduction Guidelines (5 CFR 1320.6) in that they require respondents to maintain records other than health, medical, or tax records, for more than three years.  TSCA section 8(c) authorizes EPA to require persons (i.e., manufacturers (including importers), processors, or distributors) to maintain records of adverse reactions to the health of employees for a period of 30 years from the date such reactions were first reported or known to the person maintaining the record. Any other record of such adverse reactions (e.g., to the environment, non-employees) is required to be retained for a period of 5 years. 40 CFR part 717 incorporates these record retention provisions authorized by TSCA.</w:t>
      </w:r>
    </w:p>
    <w:p w:rsidR="00E00E93" w:rsidP="00253A81" w:rsidRDefault="009A7738" w14:paraId="0102AF12" w14:textId="77777777">
      <w:pPr>
        <w:pStyle w:val="Heading2"/>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C85DBB" w:rsidRDefault="009A7738" w14:paraId="4DF9935E" w14:textId="0FE6BFF8">
      <w:pPr>
        <w:pStyle w:val="Heading3"/>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253A81" w:rsidRDefault="00E00E93" w14:paraId="57FCDACA" w14:textId="71A7406F">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062427" w:rsidR="00062427" w:rsidP="00062427" w:rsidRDefault="00D01CBF" w14:paraId="50D4BF8A" w14:textId="77777777">
      <w:pPr>
        <w:pStyle w:val="NoSpacing"/>
        <w:rPr>
          <w:rFonts w:ascii="Arial" w:hAnsi="Arial" w:cs="Arial"/>
          <w:sz w:val="24"/>
          <w:szCs w:val="24"/>
        </w:rPr>
      </w:pPr>
      <w:r>
        <w:rPr>
          <w:rFonts w:ascii="Arial" w:hAnsi="Arial" w:cs="Arial"/>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w:t>
      </w:r>
      <w:r w:rsidRPr="00B51D57">
        <w:rPr>
          <w:rFonts w:ascii="Arial" w:hAnsi="Arial" w:cs="Arial"/>
          <w:sz w:val="24"/>
          <w:szCs w:val="24"/>
        </w:rPr>
        <w:t xml:space="preserve">Attachment </w:t>
      </w:r>
      <w:r>
        <w:rPr>
          <w:rFonts w:ascii="Arial" w:hAnsi="Arial" w:cs="Arial"/>
          <w:sz w:val="24"/>
          <w:szCs w:val="24"/>
        </w:rPr>
        <w:t>1</w:t>
      </w:r>
      <w:r w:rsidR="00CE4E97">
        <w:rPr>
          <w:rFonts w:ascii="Arial" w:hAnsi="Arial" w:cs="Arial"/>
          <w:sz w:val="24"/>
          <w:szCs w:val="24"/>
        </w:rPr>
        <w:t>3</w:t>
      </w:r>
      <w:r>
        <w:rPr>
          <w:rFonts w:ascii="Arial" w:hAnsi="Arial" w:cs="Arial"/>
          <w:sz w:val="24"/>
          <w:szCs w:val="24"/>
        </w:rPr>
        <w:t xml:space="preserve">. The individual entities </w:t>
      </w:r>
      <w:r w:rsidRPr="00062427">
        <w:rPr>
          <w:rFonts w:ascii="Arial" w:hAnsi="Arial" w:cs="Arial"/>
          <w:sz w:val="24"/>
          <w:szCs w:val="24"/>
        </w:rPr>
        <w:t xml:space="preserve">contacted were: </w:t>
      </w:r>
    </w:p>
    <w:p w:rsidRPr="00062427" w:rsidR="00062427" w:rsidP="00062427" w:rsidRDefault="00062427" w14:paraId="665A9BD7" w14:textId="77777777">
      <w:pPr>
        <w:pStyle w:val="NoSpacing"/>
        <w:numPr>
          <w:ilvl w:val="0"/>
          <w:numId w:val="28"/>
        </w:numPr>
        <w:rPr>
          <w:rFonts w:ascii="Arial" w:hAnsi="Arial" w:cs="Arial"/>
          <w:sz w:val="24"/>
          <w:szCs w:val="24"/>
        </w:rPr>
      </w:pPr>
      <w:r w:rsidRPr="00062427">
        <w:rPr>
          <w:rFonts w:ascii="Arial" w:hAnsi="Arial" w:cs="Arial"/>
          <w:sz w:val="24"/>
          <w:szCs w:val="24"/>
        </w:rPr>
        <w:t>American Chemistry Council</w:t>
      </w:r>
    </w:p>
    <w:p w:rsidRPr="00062427" w:rsidR="00062427" w:rsidP="00062427" w:rsidRDefault="00062427" w14:paraId="16C8B410" w14:textId="77777777">
      <w:pPr>
        <w:pStyle w:val="NoSpacing"/>
        <w:numPr>
          <w:ilvl w:val="0"/>
          <w:numId w:val="28"/>
        </w:numPr>
        <w:rPr>
          <w:rFonts w:ascii="Arial" w:hAnsi="Arial" w:cs="Arial"/>
          <w:sz w:val="24"/>
          <w:szCs w:val="24"/>
        </w:rPr>
      </w:pPr>
      <w:r w:rsidRPr="00062427">
        <w:rPr>
          <w:rFonts w:ascii="Arial" w:hAnsi="Arial" w:cs="Arial"/>
          <w:sz w:val="24"/>
          <w:szCs w:val="24"/>
        </w:rPr>
        <w:t>Earthjustice</w:t>
      </w:r>
    </w:p>
    <w:p w:rsidRPr="00062427" w:rsidR="00062427" w:rsidP="00062427" w:rsidRDefault="00062427" w14:paraId="1FF40A91" w14:textId="77777777">
      <w:pPr>
        <w:pStyle w:val="NoSpacing"/>
        <w:numPr>
          <w:ilvl w:val="0"/>
          <w:numId w:val="28"/>
        </w:numPr>
        <w:rPr>
          <w:rFonts w:ascii="Arial" w:hAnsi="Arial" w:cs="Arial"/>
          <w:sz w:val="24"/>
          <w:szCs w:val="24"/>
        </w:rPr>
      </w:pPr>
      <w:r w:rsidRPr="00062427">
        <w:rPr>
          <w:rFonts w:ascii="Arial" w:hAnsi="Arial" w:cs="Arial"/>
          <w:sz w:val="24"/>
          <w:szCs w:val="24"/>
        </w:rPr>
        <w:t>Bergeson &amp; Campbell, P.C.</w:t>
      </w:r>
    </w:p>
    <w:p w:rsidRPr="00062427" w:rsidR="00062427" w:rsidP="00062427" w:rsidRDefault="00062427" w14:paraId="5A4095FE" w14:textId="77777777">
      <w:pPr>
        <w:pStyle w:val="NoSpacing"/>
        <w:numPr>
          <w:ilvl w:val="0"/>
          <w:numId w:val="28"/>
        </w:numPr>
        <w:rPr>
          <w:rFonts w:ascii="Arial" w:hAnsi="Arial" w:cs="Arial"/>
          <w:sz w:val="24"/>
          <w:szCs w:val="24"/>
        </w:rPr>
      </w:pPr>
      <w:r w:rsidRPr="00062427">
        <w:rPr>
          <w:rFonts w:ascii="Arial" w:hAnsi="Arial" w:cs="Arial"/>
          <w:sz w:val="24"/>
          <w:szCs w:val="24"/>
        </w:rPr>
        <w:t>Environmental Defense Fund</w:t>
      </w:r>
    </w:p>
    <w:p w:rsidRPr="00062427" w:rsidR="00062427" w:rsidP="00062427" w:rsidRDefault="00062427" w14:paraId="4CCD8A19" w14:textId="77777777">
      <w:pPr>
        <w:pStyle w:val="NoSpacing"/>
        <w:numPr>
          <w:ilvl w:val="0"/>
          <w:numId w:val="28"/>
        </w:numPr>
        <w:rPr>
          <w:rFonts w:ascii="Arial" w:hAnsi="Arial" w:cs="Arial"/>
          <w:sz w:val="24"/>
          <w:szCs w:val="24"/>
        </w:rPr>
      </w:pPr>
      <w:r w:rsidRPr="00062427">
        <w:rPr>
          <w:rFonts w:ascii="Arial" w:hAnsi="Arial" w:cs="Arial"/>
          <w:sz w:val="24"/>
          <w:szCs w:val="24"/>
        </w:rPr>
        <w:t>Society of Chemical Manufacturers &amp; Affiliates</w:t>
      </w:r>
    </w:p>
    <w:p w:rsidRPr="00062427" w:rsidR="00D01CBF" w:rsidP="00062427" w:rsidRDefault="00062427" w14:paraId="64B0C046" w14:textId="569D25A1">
      <w:pPr>
        <w:pStyle w:val="NoSpacing"/>
        <w:numPr>
          <w:ilvl w:val="0"/>
          <w:numId w:val="28"/>
        </w:numPr>
        <w:rPr>
          <w:rFonts w:ascii="Arial" w:hAnsi="Arial" w:cs="Arial"/>
          <w:sz w:val="24"/>
          <w:szCs w:val="24"/>
        </w:rPr>
      </w:pPr>
      <w:r w:rsidRPr="00062427">
        <w:rPr>
          <w:rFonts w:ascii="Arial" w:hAnsi="Arial" w:cs="Arial"/>
          <w:sz w:val="24"/>
          <w:szCs w:val="24"/>
        </w:rPr>
        <w:t>Natural Resources Defense Council, Ince.</w:t>
      </w:r>
      <w:r w:rsidRPr="00062427" w:rsidR="00D01CBF">
        <w:rPr>
          <w:rFonts w:ascii="Arial" w:hAnsi="Arial" w:eastAsia="Arial" w:cs="Arial"/>
          <w:sz w:val="24"/>
          <w:szCs w:val="24"/>
        </w:rPr>
        <w:t xml:space="preserve"> </w:t>
      </w:r>
    </w:p>
    <w:p w:rsidR="00D01CBF" w:rsidP="00D01CBF" w:rsidRDefault="00D01CBF" w14:paraId="73613C5F" w14:textId="77777777">
      <w:pPr>
        <w:pStyle w:val="NoSpacing"/>
        <w:rPr>
          <w:rFonts w:ascii="Arial" w:hAnsi="Arial" w:cs="Arial"/>
          <w:sz w:val="24"/>
          <w:szCs w:val="24"/>
        </w:rPr>
      </w:pPr>
    </w:p>
    <w:p w:rsidR="00D01CBF" w:rsidP="00D01CBF" w:rsidRDefault="00D01CBF" w14:paraId="7455F7A1" w14:textId="35B67952">
      <w:r w:rsidRPr="00B11683">
        <w:t xml:space="preserve">A copy of EPA’s consultation to the above potential respondents and the response received are in </w:t>
      </w:r>
      <w:r w:rsidRPr="00B51D57">
        <w:t xml:space="preserve">Attachment </w:t>
      </w:r>
      <w:r>
        <w:t>1</w:t>
      </w:r>
      <w:r w:rsidR="00CE4E97">
        <w:t>3</w:t>
      </w:r>
      <w:r w:rsidRPr="00B11683">
        <w:t xml:space="preserve"> and are available in the docket. </w:t>
      </w:r>
      <w:r>
        <w:t xml:space="preserve">EPA did not receive any comments following consultation. </w:t>
      </w:r>
    </w:p>
    <w:p w:rsidRPr="00977E8E" w:rsidR="00D01CBF" w:rsidP="00D01CBF" w:rsidRDefault="00D01CBF" w14:paraId="2109C3B7" w14:textId="3EBF161C">
      <w:pPr>
        <w:rPr>
          <w:rStyle w:val="normaltextrun"/>
          <w:rFonts w:ascii="Yu Gothic Light" w:hAnsi="Yu Gothic Light" w:eastAsia="Yu Gothic Light"/>
          <w:color w:val="000000"/>
          <w:shd w:val="clear" w:color="auto" w:fill="FFFFFF"/>
        </w:rPr>
      </w:pPr>
      <w:r w:rsidRPr="00977E8E">
        <w:rPr>
          <w:rStyle w:val="normaltextrun"/>
          <w:color w:val="000000"/>
          <w:shd w:val="clear" w:color="auto" w:fill="FFFFFF"/>
        </w:rPr>
        <w:t xml:space="preserve">EPA </w:t>
      </w:r>
      <w:r w:rsidR="009B13AC">
        <w:rPr>
          <w:rStyle w:val="normaltextrun"/>
          <w:color w:val="000000"/>
          <w:shd w:val="clear" w:color="auto" w:fill="FFFFFF"/>
        </w:rPr>
        <w:t xml:space="preserve">did not </w:t>
      </w:r>
      <w:r w:rsidRPr="00977E8E">
        <w:rPr>
          <w:rStyle w:val="normaltextrun"/>
          <w:color w:val="000000"/>
          <w:shd w:val="clear" w:color="auto" w:fill="FFFFFF"/>
        </w:rPr>
        <w:t>recei</w:t>
      </w:r>
      <w:r w:rsidR="009B13AC">
        <w:rPr>
          <w:rStyle w:val="normaltextrun"/>
          <w:color w:val="000000"/>
          <w:shd w:val="clear" w:color="auto" w:fill="FFFFFF"/>
        </w:rPr>
        <w:t xml:space="preserve">ve any </w:t>
      </w:r>
      <w:r w:rsidRPr="00977E8E">
        <w:rPr>
          <w:rStyle w:val="normaltextrun"/>
          <w:color w:val="000000"/>
          <w:shd w:val="clear" w:color="auto" w:fill="FFFFFF"/>
        </w:rPr>
        <w:t>comment</w:t>
      </w:r>
      <w:r w:rsidR="009B13AC">
        <w:rPr>
          <w:rStyle w:val="normaltextrun"/>
          <w:color w:val="000000"/>
          <w:shd w:val="clear" w:color="auto" w:fill="FFFFFF"/>
        </w:rPr>
        <w:t>s</w:t>
      </w:r>
      <w:r w:rsidRPr="00977E8E">
        <w:rPr>
          <w:rStyle w:val="normaltextrun"/>
          <w:color w:val="000000"/>
          <w:shd w:val="clear" w:color="auto" w:fill="FFFFFF"/>
        </w:rPr>
        <w:t> in response to the previously provided 60-day public review opportunity (</w:t>
      </w:r>
      <w:r w:rsidR="009B13AC">
        <w:t>87 FR 12954</w:t>
      </w:r>
      <w:r w:rsidRPr="00977E8E">
        <w:rPr>
          <w:rStyle w:val="normaltextrun"/>
          <w:color w:val="000000"/>
          <w:shd w:val="clear" w:color="auto" w:fill="FFFFFF"/>
        </w:rPr>
        <w:t>) (FRL-</w:t>
      </w:r>
      <w:r>
        <w:rPr>
          <w:rStyle w:val="normaltextrun"/>
          <w:color w:val="000000"/>
          <w:shd w:val="clear" w:color="auto" w:fill="FFFFFF"/>
        </w:rPr>
        <w:t>9</w:t>
      </w:r>
      <w:r w:rsidR="009B13AC">
        <w:rPr>
          <w:rStyle w:val="normaltextrun"/>
          <w:color w:val="000000"/>
          <w:shd w:val="clear" w:color="auto" w:fill="FFFFFF"/>
        </w:rPr>
        <w:t>155</w:t>
      </w:r>
      <w:r w:rsidRPr="00977E8E">
        <w:rPr>
          <w:rStyle w:val="normaltextrun"/>
          <w:color w:val="000000"/>
          <w:shd w:val="clear" w:color="auto" w:fill="FFFFFF"/>
        </w:rPr>
        <w:t>-01-OCSPP</w:t>
      </w:r>
      <w:r w:rsidRPr="00977E8E">
        <w:rPr>
          <w:rStyle w:val="normaltextrun"/>
          <w:rFonts w:hint="eastAsia" w:ascii="Yu Gothic Light" w:hAnsi="Yu Gothic Light" w:eastAsia="Yu Gothic Light"/>
          <w:color w:val="000000"/>
          <w:shd w:val="clear" w:color="auto" w:fill="FFFFFF"/>
        </w:rPr>
        <w:t>)</w:t>
      </w:r>
      <w:r w:rsidRPr="00977E8E">
        <w:rPr>
          <w:rStyle w:val="normaltextrun"/>
          <w:rFonts w:ascii="Yu Gothic Light" w:hAnsi="Yu Gothic Light" w:eastAsia="Yu Gothic Light"/>
          <w:color w:val="000000"/>
          <w:shd w:val="clear" w:color="auto" w:fill="FFFFFF"/>
        </w:rPr>
        <w:t xml:space="preserve">. </w:t>
      </w:r>
    </w:p>
    <w:p w:rsidR="009A7738" w:rsidP="00253A81" w:rsidRDefault="009A7738" w14:paraId="68CD10BA" w14:textId="604BCA39">
      <w:pPr>
        <w:pStyle w:val="Heading2"/>
      </w:pPr>
      <w:r>
        <w:t>Explain any decision to provide any payment or gift to respondents, other than remuneration of contractors or grantees.</w:t>
      </w:r>
    </w:p>
    <w:p w:rsidRPr="00C85DBB" w:rsidR="00C85DBB" w:rsidP="00C85DBB" w:rsidRDefault="00C85DBB" w14:paraId="5699CDCB" w14:textId="2F9B12AD">
      <w:pPr>
        <w:rPr>
          <w:lang w:bidi="en-US"/>
        </w:rPr>
      </w:pPr>
      <w:r>
        <w:rPr>
          <w:lang w:bidi="en-US"/>
        </w:rPr>
        <w:t xml:space="preserve">Not applicable. </w:t>
      </w:r>
    </w:p>
    <w:p w:rsidR="009A7738" w:rsidP="00253A81" w:rsidRDefault="009A7738" w14:paraId="1E0798B2" w14:textId="14343F15">
      <w:pPr>
        <w:pStyle w:val="Heading2"/>
      </w:pPr>
      <w:r w:rsidRPr="003041B0">
        <w:t xml:space="preserve">Describe </w:t>
      </w:r>
      <w:r w:rsidRPr="00253A81">
        <w:t>any</w:t>
      </w:r>
      <w:r w:rsidRPr="003041B0">
        <w:t xml:space="preserve">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B23578" w:rsidR="00B23578" w:rsidP="00B23578" w:rsidRDefault="00B23578" w14:paraId="3364CD1D" w14:textId="76EF240F">
      <w:pPr>
        <w:rPr>
          <w:lang w:bidi="en-US"/>
        </w:rPr>
      </w:pPr>
      <w:r>
        <w:rPr>
          <w:szCs w:val="24"/>
        </w:rPr>
        <w:t>Submitters may designate information as confidential, trade secret, or proprietary. EPA has implemented procedures to protect any confidential, trade secret or proprietary information from disclosure. These procedures comply with TSCA section 14 and EPA’s confidentiality regulation, 40 CFR Part 2, Subpart B</w:t>
      </w:r>
      <w:r>
        <w:rPr>
          <w:color w:val="000000"/>
        </w:rPr>
        <w:t xml:space="preserve">. </w:t>
      </w:r>
    </w:p>
    <w:p w:rsidR="00575DC0" w:rsidP="00253A81" w:rsidRDefault="009A7738" w14:paraId="675D5854" w14:textId="6A0F8F37">
      <w:pPr>
        <w:pStyle w:val="Heading2"/>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85DBB" w:rsidR="00C85DBB" w:rsidP="00C85DBB" w:rsidRDefault="00C85DBB" w14:paraId="71F6178E" w14:textId="59DF5EE6">
      <w:pPr>
        <w:rPr>
          <w:lang w:bidi="en-US"/>
        </w:rPr>
      </w:pPr>
      <w:r>
        <w:rPr>
          <w:szCs w:val="24"/>
        </w:rPr>
        <w:t>Under section 8, EPA does not seek submission of information of a sensitive nature.</w:t>
      </w:r>
    </w:p>
    <w:p w:rsidR="00E00E93" w:rsidP="00253A81" w:rsidRDefault="00294EAC" w14:paraId="29AD7DEB" w14:textId="77777777">
      <w:pPr>
        <w:pStyle w:val="Heading2"/>
      </w:pPr>
      <w:r w:rsidRPr="00C42EF5">
        <w:t>Provide estimates of the hour burden of the collection of information.</w:t>
      </w:r>
      <w:r w:rsidR="00E00E93">
        <w:t xml:space="preserve"> The statement should: </w:t>
      </w:r>
    </w:p>
    <w:p w:rsidR="00E00E93" w:rsidP="0056068D" w:rsidRDefault="00E00E93" w14:paraId="7FC47722" w14:textId="77777777">
      <w:pPr>
        <w:pStyle w:val="Heading3"/>
        <w:numPr>
          <w:ilvl w:val="0"/>
          <w:numId w:val="5"/>
        </w:numPr>
        <w:spacing w:line="259" w:lineRule="auto"/>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rsidRDefault="00E00E93" w14:paraId="2E905BB2" w14:textId="08F19DD1">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07475" w:rsidP="0067132F" w:rsidRDefault="00E07475" w14:paraId="00B80DAF" w14:textId="60AED117">
      <w:pPr>
        <w:rPr>
          <w:rFonts w:cs="Arial"/>
          <w:szCs w:val="24"/>
        </w:rPr>
      </w:pPr>
      <w:r w:rsidRPr="008C6A2E">
        <w:rPr>
          <w:rFonts w:cs="Arial"/>
          <w:szCs w:val="24"/>
        </w:rPr>
        <w:t>The North American Industrial Classifications System (NAICS) codes of respondents affected by this collection activity are mainly 325 (</w:t>
      </w:r>
      <w:r w:rsidRPr="008C6A2E">
        <w:rPr>
          <w:rFonts w:cs="Arial"/>
          <w:iCs/>
          <w:szCs w:val="24"/>
        </w:rPr>
        <w:t>Chemicals and Allied Products Manufacturers)</w:t>
      </w:r>
      <w:r w:rsidRPr="008C6A2E">
        <w:rPr>
          <w:rFonts w:cs="Arial"/>
          <w:szCs w:val="24"/>
        </w:rPr>
        <w:t xml:space="preserve"> and 32411 (</w:t>
      </w:r>
      <w:r w:rsidRPr="008C6A2E">
        <w:rPr>
          <w:rFonts w:cs="Arial"/>
          <w:iCs/>
          <w:szCs w:val="24"/>
        </w:rPr>
        <w:t>Petroleum Refining</w:t>
      </w:r>
      <w:r w:rsidRPr="008C6A2E">
        <w:rPr>
          <w:rFonts w:cs="Arial"/>
          <w:szCs w:val="24"/>
        </w:rPr>
        <w:t xml:space="preserve">) for </w:t>
      </w:r>
      <w:r w:rsidRPr="008C6A2E" w:rsidR="00306437">
        <w:rPr>
          <w:rFonts w:cs="Arial"/>
          <w:szCs w:val="24"/>
        </w:rPr>
        <w:t xml:space="preserve">TSCA </w:t>
      </w:r>
      <w:r w:rsidRPr="008C6A2E">
        <w:rPr>
          <w:rFonts w:cs="Arial"/>
          <w:szCs w:val="24"/>
        </w:rPr>
        <w:t>section 8 collection activities.</w:t>
      </w:r>
      <w:r w:rsidR="00420A4C">
        <w:rPr>
          <w:rFonts w:cs="Arial"/>
          <w:szCs w:val="24"/>
        </w:rPr>
        <w:t xml:space="preserve"> </w:t>
      </w:r>
    </w:p>
    <w:p w:rsidR="00CD694A" w:rsidP="0067132F" w:rsidRDefault="007A1885" w14:paraId="700A68C0" w14:textId="7EAAC433">
      <w:pPr>
        <w:pStyle w:val="BodyTextFirstIndent"/>
        <w:spacing w:after="200" w:line="276" w:lineRule="auto"/>
        <w:ind w:firstLine="0"/>
      </w:pPr>
      <w:r>
        <w:t xml:space="preserve">Wage and fringe benefit data for </w:t>
      </w:r>
      <w:r w:rsidR="007C20C3">
        <w:t>each</w:t>
      </w:r>
      <w:r>
        <w:t xml:space="preserve"> labor category (e.g., managerial, professional/technical, clerical</w:t>
      </w:r>
      <w:r w:rsidR="007C20C3">
        <w:t xml:space="preserve">, and attorney </w:t>
      </w:r>
      <w:r>
        <w:t>labor) are taken from the U.S. Bureau of Labor Statistics (BLS) Employer Costs for Employee Compensation (ECEC) Supplementary Tables (BLS 2021)</w:t>
      </w:r>
      <w:r w:rsidR="007C20C3">
        <w:t xml:space="preserve"> or the BLS Occupational Employment Statistics (OES) Estimates (BLS 2020)</w:t>
      </w:r>
      <w:r>
        <w:t>. In the BLS</w:t>
      </w:r>
      <w:r w:rsidR="00B40181">
        <w:t xml:space="preserve"> report</w:t>
      </w:r>
      <w:r w:rsidR="00CD694A">
        <w:t>s</w:t>
      </w:r>
      <w:r>
        <w:t xml:space="preserve">, wages are represented by the “wages and salaries” cost component and fringe </w:t>
      </w:r>
      <w:r w:rsidR="00B40181">
        <w:t xml:space="preserve">benefits </w:t>
      </w:r>
      <w:r>
        <w:t>are represented by “total benefits.”</w:t>
      </w:r>
      <w:r w:rsidR="00CD694A">
        <w:t xml:space="preserve"> </w:t>
      </w:r>
      <w:r>
        <w:t>Overhead costs are assumed to equal 20% of the sum of wages plus fringe benefits. This loading factor</w:t>
      </w:r>
      <w:r w:rsidR="00CD694A">
        <w:t>,</w:t>
      </w:r>
      <w:r>
        <w:t xml:space="preserve"> </w:t>
      </w:r>
      <w:r w:rsidR="00CD694A">
        <w:t>as</w:t>
      </w:r>
      <w:r>
        <w:t xml:space="preserve"> described in Handbook on Valuing Changes in Time Use Induced by Regulatory Requirements and Other U.S. EPA Actions (EPA 2020)</w:t>
      </w:r>
      <w:r w:rsidR="00CD694A">
        <w:t xml:space="preserve">, </w:t>
      </w:r>
      <w:r>
        <w:t xml:space="preserve">is reflective of multiplier values used in prior EPA RIAs and ICRs that are based on industry- and occupation-specific overhead rates affected by EPA </w:t>
      </w:r>
      <w:r w:rsidR="00E11EED">
        <w:t>regulations and</w:t>
      </w:r>
      <w:r w:rsidR="00CD694A">
        <w:t xml:space="preserve"> is </w:t>
      </w:r>
      <w:r w:rsidRPr="1FF9633F" w:rsidR="00CD694A">
        <w:rPr>
          <w:rFonts w:cs="Arial"/>
        </w:rPr>
        <w:t>consistently applied with Office of Pollution Prevention and Toxics economics practices</w:t>
      </w:r>
      <w:r>
        <w:t>. This overhead loading factor is multiplied by the total compensation (</w:t>
      </w:r>
      <w:r w:rsidR="00CD694A">
        <w:t xml:space="preserve">i.e., </w:t>
      </w:r>
      <w:r>
        <w:t>wages plus fringe benefits). For example, the fully loaded wage for professional/technical labor is ($4</w:t>
      </w:r>
      <w:r w:rsidR="00FA4ED1">
        <w:t>4</w:t>
      </w:r>
      <w:r>
        <w:t>.</w:t>
      </w:r>
      <w:r w:rsidR="00FA4ED1">
        <w:t>63</w:t>
      </w:r>
      <w:r>
        <w:t xml:space="preserve"> + $22.</w:t>
      </w:r>
      <w:r w:rsidR="00FA4ED1">
        <w:t>45</w:t>
      </w:r>
      <w:r>
        <w:t>) * 1.2 = $8</w:t>
      </w:r>
      <w:r w:rsidR="00FA4ED1">
        <w:t>0</w:t>
      </w:r>
      <w:r>
        <w:t>.</w:t>
      </w:r>
      <w:r w:rsidR="00FA4ED1">
        <w:t>50</w:t>
      </w:r>
      <w:r>
        <w:t xml:space="preserve">. Fully loaded </w:t>
      </w:r>
      <w:r w:rsidR="00B40181">
        <w:t>costs</w:t>
      </w:r>
      <w:r>
        <w:t xml:space="preserve"> for </w:t>
      </w:r>
      <w:r w:rsidR="002812AF">
        <w:t>additional</w:t>
      </w:r>
      <w:r>
        <w:t xml:space="preserve"> labor </w:t>
      </w:r>
      <w:r w:rsidR="002812AF">
        <w:t xml:space="preserve">categories </w:t>
      </w:r>
      <w:r>
        <w:t xml:space="preserve">are calculated in a similar manner. The calculated overhead costs are shown in </w:t>
      </w:r>
      <w:r w:rsidR="00F85291">
        <w:t xml:space="preserve">Table </w:t>
      </w:r>
      <w:r w:rsidR="00E14C12">
        <w:t>1</w:t>
      </w:r>
      <w:r w:rsidR="00CD694A">
        <w:t xml:space="preserve"> with</w:t>
      </w:r>
      <w:r>
        <w:t xml:space="preserve"> the total hourly loaded wages.</w:t>
      </w:r>
      <w:r w:rsidR="00B40181">
        <w:t xml:space="preserve"> </w:t>
      </w:r>
    </w:p>
    <w:p w:rsidRPr="00CD694A" w:rsidR="00E072DC" w:rsidP="004B4ECA" w:rsidRDefault="00CD694A" w14:paraId="64F5EF63" w14:textId="06B8EA91">
      <w:pPr>
        <w:spacing w:after="160" w:line="259" w:lineRule="auto"/>
        <w:rPr>
          <w:rFonts w:eastAsia="Times New Roman" w:cs="Times New Roman"/>
          <w:szCs w:val="20"/>
        </w:rPr>
      </w:pPr>
      <w:r>
        <w:br w:type="page"/>
      </w:r>
    </w:p>
    <w:p w:rsidRPr="008C6A2E" w:rsidR="00E072DC" w:rsidP="00FE323B" w:rsidRDefault="00FE323B" w14:paraId="3B6EC017" w14:textId="7F0B600A">
      <w:pPr>
        <w:pStyle w:val="Caption"/>
        <w:rPr>
          <w:szCs w:val="24"/>
        </w:rPr>
      </w:pPr>
      <w:bookmarkStart w:name="_Ref94270646" w:id="24"/>
      <w:r>
        <w:t xml:space="preserve">Table </w:t>
      </w:r>
      <w:bookmarkEnd w:id="24"/>
      <w:r w:rsidR="00E14C12">
        <w:t>1</w:t>
      </w:r>
      <w:r>
        <w:t xml:space="preserve">. </w:t>
      </w:r>
      <w:r w:rsidR="00420A4C">
        <w:t>Manufacturing and Legal Services Industry Wage Rates (2020$)</w:t>
      </w:r>
    </w:p>
    <w:tbl>
      <w:tblPr>
        <w:tblW w:w="9760" w:type="dxa"/>
        <w:tblLook w:val="04A0" w:firstRow="1" w:lastRow="0" w:firstColumn="1" w:lastColumn="0" w:noHBand="0" w:noVBand="1"/>
      </w:tblPr>
      <w:tblGrid>
        <w:gridCol w:w="1257"/>
        <w:gridCol w:w="1357"/>
        <w:gridCol w:w="616"/>
        <w:gridCol w:w="767"/>
        <w:gridCol w:w="827"/>
        <w:gridCol w:w="1467"/>
        <w:gridCol w:w="1467"/>
        <w:gridCol w:w="1061"/>
        <w:gridCol w:w="1047"/>
      </w:tblGrid>
      <w:tr w:rsidRPr="008D23C0" w:rsidR="008D23C0" w:rsidTr="0034191D" w14:paraId="692AC7AC" w14:textId="77777777">
        <w:trPr>
          <w:trHeight w:val="1351"/>
        </w:trPr>
        <w:tc>
          <w:tcPr>
            <w:tcW w:w="1232" w:type="dxa"/>
            <w:vMerge w:val="restart"/>
            <w:tcBorders>
              <w:top w:val="single" w:color="auto" w:sz="8" w:space="0"/>
              <w:left w:val="single" w:color="auto" w:sz="8" w:space="0"/>
              <w:bottom w:val="nil"/>
              <w:right w:val="single" w:color="auto" w:sz="8" w:space="0"/>
            </w:tcBorders>
            <w:shd w:val="clear" w:color="000000" w:fill="D9D9D9"/>
            <w:vAlign w:val="center"/>
            <w:hideMark/>
          </w:tcPr>
          <w:p w:rsidRPr="008D23C0" w:rsidR="008D23C0" w:rsidP="008D23C0" w:rsidRDefault="008D23C0" w14:paraId="549397CF"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Labor Category</w:t>
            </w:r>
          </w:p>
        </w:tc>
        <w:tc>
          <w:tcPr>
            <w:tcW w:w="1737" w:type="dxa"/>
            <w:vMerge w:val="restart"/>
            <w:tcBorders>
              <w:top w:val="single" w:color="auto" w:sz="8" w:space="0"/>
              <w:left w:val="single" w:color="auto" w:sz="8" w:space="0"/>
              <w:bottom w:val="nil"/>
              <w:right w:val="single" w:color="auto" w:sz="8" w:space="0"/>
            </w:tcBorders>
            <w:shd w:val="clear" w:color="000000" w:fill="D9D9D9"/>
            <w:vAlign w:val="center"/>
            <w:hideMark/>
          </w:tcPr>
          <w:p w:rsidRPr="008D23C0" w:rsidR="008D23C0" w:rsidP="008D23C0" w:rsidRDefault="008D23C0" w14:paraId="3D33B47E"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Data Series</w:t>
            </w:r>
            <w:r w:rsidRPr="008D23C0">
              <w:rPr>
                <w:rFonts w:eastAsia="Times New Roman" w:cs="Arial"/>
                <w:b/>
                <w:bCs/>
                <w:color w:val="000000"/>
                <w:sz w:val="18"/>
                <w:szCs w:val="18"/>
                <w:vertAlign w:val="superscript"/>
              </w:rPr>
              <w:t xml:space="preserve"> a</w:t>
            </w:r>
          </w:p>
        </w:tc>
        <w:tc>
          <w:tcPr>
            <w:tcW w:w="688" w:type="dxa"/>
            <w:vMerge w:val="restart"/>
            <w:tcBorders>
              <w:top w:val="single" w:color="auto" w:sz="8" w:space="0"/>
              <w:left w:val="single" w:color="auto" w:sz="8" w:space="0"/>
              <w:bottom w:val="nil"/>
              <w:right w:val="single" w:color="auto" w:sz="8" w:space="0"/>
            </w:tcBorders>
            <w:shd w:val="clear" w:color="000000" w:fill="D9D9D9"/>
            <w:vAlign w:val="center"/>
            <w:hideMark/>
          </w:tcPr>
          <w:p w:rsidRPr="008D23C0" w:rsidR="008D23C0" w:rsidP="008D23C0" w:rsidRDefault="008D23C0" w14:paraId="03A02CE1"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Date</w:t>
            </w:r>
          </w:p>
        </w:tc>
        <w:tc>
          <w:tcPr>
            <w:tcW w:w="758" w:type="dxa"/>
            <w:tcBorders>
              <w:top w:val="single" w:color="auto" w:sz="8" w:space="0"/>
              <w:left w:val="nil"/>
              <w:bottom w:val="single" w:color="auto" w:sz="4" w:space="0"/>
              <w:right w:val="single" w:color="auto" w:sz="8" w:space="0"/>
            </w:tcBorders>
            <w:shd w:val="clear" w:color="000000" w:fill="D9D9D9"/>
            <w:vAlign w:val="center"/>
            <w:hideMark/>
          </w:tcPr>
          <w:p w:rsidRPr="008D23C0" w:rsidR="008D23C0" w:rsidP="008D23C0" w:rsidRDefault="008D23C0" w14:paraId="32E664D1"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Wage</w:t>
            </w:r>
          </w:p>
        </w:tc>
        <w:tc>
          <w:tcPr>
            <w:tcW w:w="786" w:type="dxa"/>
            <w:tcBorders>
              <w:top w:val="single" w:color="auto" w:sz="8" w:space="0"/>
              <w:left w:val="nil"/>
              <w:bottom w:val="single" w:color="auto" w:sz="4" w:space="0"/>
              <w:right w:val="single" w:color="auto" w:sz="8" w:space="0"/>
            </w:tcBorders>
            <w:shd w:val="clear" w:color="000000" w:fill="D9D9D9"/>
            <w:vAlign w:val="center"/>
            <w:hideMark/>
          </w:tcPr>
          <w:p w:rsidRPr="008D23C0" w:rsidR="008D23C0" w:rsidP="008D23C0" w:rsidRDefault="008D23C0" w14:paraId="4BB67ECA"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Fringe Benefit</w:t>
            </w:r>
          </w:p>
        </w:tc>
        <w:tc>
          <w:tcPr>
            <w:tcW w:w="1325" w:type="dxa"/>
            <w:tcBorders>
              <w:top w:val="single" w:color="auto" w:sz="8" w:space="0"/>
              <w:left w:val="nil"/>
              <w:bottom w:val="single" w:color="auto" w:sz="4" w:space="0"/>
              <w:right w:val="single" w:color="auto" w:sz="8" w:space="0"/>
            </w:tcBorders>
            <w:shd w:val="clear" w:color="000000" w:fill="D9D9D9"/>
            <w:vAlign w:val="center"/>
            <w:hideMark/>
          </w:tcPr>
          <w:p w:rsidRPr="008D23C0" w:rsidR="008D23C0" w:rsidP="008D23C0" w:rsidRDefault="008D23C0" w14:paraId="332AF58F"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Total Compensation</w:t>
            </w:r>
          </w:p>
        </w:tc>
        <w:tc>
          <w:tcPr>
            <w:tcW w:w="1325" w:type="dxa"/>
            <w:tcBorders>
              <w:top w:val="single" w:color="auto" w:sz="8" w:space="0"/>
              <w:left w:val="nil"/>
              <w:bottom w:val="single" w:color="auto" w:sz="4" w:space="0"/>
              <w:right w:val="single" w:color="auto" w:sz="8" w:space="0"/>
            </w:tcBorders>
            <w:shd w:val="clear" w:color="000000" w:fill="D9D9D9"/>
            <w:vAlign w:val="bottom"/>
            <w:hideMark/>
          </w:tcPr>
          <w:p w:rsidRPr="008D23C0" w:rsidR="008D23C0" w:rsidP="008D23C0" w:rsidRDefault="008D23C0" w14:paraId="121B3130"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 xml:space="preserve">Overhead % of Total Compensation </w:t>
            </w:r>
            <w:r w:rsidRPr="008D23C0">
              <w:rPr>
                <w:rFonts w:eastAsia="Times New Roman" w:cs="Arial"/>
                <w:b/>
                <w:bCs/>
                <w:color w:val="000000"/>
                <w:sz w:val="18"/>
                <w:szCs w:val="18"/>
                <w:vertAlign w:val="superscript"/>
              </w:rPr>
              <w:t>b</w:t>
            </w:r>
          </w:p>
        </w:tc>
        <w:tc>
          <w:tcPr>
            <w:tcW w:w="958" w:type="dxa"/>
            <w:tcBorders>
              <w:top w:val="single" w:color="auto" w:sz="8" w:space="0"/>
              <w:left w:val="nil"/>
              <w:bottom w:val="single" w:color="auto" w:sz="4" w:space="0"/>
              <w:right w:val="single" w:color="auto" w:sz="8" w:space="0"/>
            </w:tcBorders>
            <w:shd w:val="clear" w:color="000000" w:fill="D9D9D9"/>
            <w:vAlign w:val="center"/>
            <w:hideMark/>
          </w:tcPr>
          <w:p w:rsidRPr="008D23C0" w:rsidR="008D23C0" w:rsidP="008D23C0" w:rsidRDefault="008D23C0" w14:paraId="383AC7CB"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Overhead</w:t>
            </w:r>
          </w:p>
        </w:tc>
        <w:tc>
          <w:tcPr>
            <w:tcW w:w="946" w:type="dxa"/>
            <w:tcBorders>
              <w:top w:val="single" w:color="auto" w:sz="8" w:space="0"/>
              <w:left w:val="nil"/>
              <w:bottom w:val="single" w:color="auto" w:sz="4" w:space="0"/>
              <w:right w:val="single" w:color="auto" w:sz="8" w:space="0"/>
            </w:tcBorders>
            <w:shd w:val="clear" w:color="000000" w:fill="D9D9D9"/>
            <w:vAlign w:val="bottom"/>
            <w:hideMark/>
          </w:tcPr>
          <w:p w:rsidRPr="008D23C0" w:rsidR="008D23C0" w:rsidP="008D23C0" w:rsidRDefault="008D23C0" w14:paraId="420F89EB" w14:textId="77777777">
            <w:pPr>
              <w:spacing w:after="0" w:line="240" w:lineRule="auto"/>
              <w:jc w:val="center"/>
              <w:rPr>
                <w:rFonts w:eastAsia="Times New Roman" w:cs="Arial"/>
                <w:b/>
                <w:bCs/>
                <w:color w:val="000000"/>
                <w:sz w:val="18"/>
                <w:szCs w:val="18"/>
              </w:rPr>
            </w:pPr>
            <w:r w:rsidRPr="008D23C0">
              <w:rPr>
                <w:rFonts w:eastAsia="Times New Roman" w:cs="Arial"/>
                <w:b/>
                <w:bCs/>
                <w:color w:val="000000"/>
                <w:sz w:val="18"/>
                <w:szCs w:val="18"/>
              </w:rPr>
              <w:t>Hourly Loaded Wages</w:t>
            </w:r>
            <w:r w:rsidRPr="008D23C0">
              <w:rPr>
                <w:rFonts w:eastAsia="Times New Roman" w:cs="Arial"/>
                <w:b/>
                <w:bCs/>
                <w:color w:val="000000"/>
                <w:sz w:val="18"/>
                <w:szCs w:val="18"/>
                <w:vertAlign w:val="superscript"/>
              </w:rPr>
              <w:t xml:space="preserve"> c</w:t>
            </w:r>
          </w:p>
        </w:tc>
      </w:tr>
      <w:tr w:rsidRPr="008D23C0" w:rsidR="008D23C0" w:rsidTr="0034191D" w14:paraId="061CF872" w14:textId="77777777">
        <w:trPr>
          <w:trHeight w:val="600"/>
        </w:trPr>
        <w:tc>
          <w:tcPr>
            <w:tcW w:w="1232" w:type="dxa"/>
            <w:vMerge/>
            <w:tcBorders>
              <w:top w:val="single" w:color="auto" w:sz="8" w:space="0"/>
              <w:left w:val="single" w:color="auto" w:sz="8" w:space="0"/>
              <w:bottom w:val="nil"/>
              <w:right w:val="single" w:color="auto" w:sz="8" w:space="0"/>
            </w:tcBorders>
            <w:vAlign w:val="center"/>
            <w:hideMark/>
          </w:tcPr>
          <w:p w:rsidRPr="008D23C0" w:rsidR="008D23C0" w:rsidP="008D23C0" w:rsidRDefault="008D23C0" w14:paraId="293B0061" w14:textId="77777777">
            <w:pPr>
              <w:spacing w:after="0" w:line="240" w:lineRule="auto"/>
              <w:rPr>
                <w:rFonts w:eastAsia="Times New Roman" w:cs="Arial"/>
                <w:b/>
                <w:bCs/>
                <w:color w:val="000000"/>
                <w:sz w:val="18"/>
                <w:szCs w:val="18"/>
              </w:rPr>
            </w:pPr>
          </w:p>
        </w:tc>
        <w:tc>
          <w:tcPr>
            <w:tcW w:w="1737" w:type="dxa"/>
            <w:vMerge/>
            <w:tcBorders>
              <w:top w:val="single" w:color="auto" w:sz="8" w:space="0"/>
              <w:left w:val="single" w:color="auto" w:sz="8" w:space="0"/>
              <w:bottom w:val="nil"/>
              <w:right w:val="single" w:color="auto" w:sz="8" w:space="0"/>
            </w:tcBorders>
            <w:vAlign w:val="center"/>
            <w:hideMark/>
          </w:tcPr>
          <w:p w:rsidRPr="008D23C0" w:rsidR="008D23C0" w:rsidP="008D23C0" w:rsidRDefault="008D23C0" w14:paraId="578A5C7C" w14:textId="77777777">
            <w:pPr>
              <w:spacing w:after="0" w:line="240" w:lineRule="auto"/>
              <w:rPr>
                <w:rFonts w:eastAsia="Times New Roman" w:cs="Arial"/>
                <w:b/>
                <w:bCs/>
                <w:color w:val="000000"/>
                <w:sz w:val="18"/>
                <w:szCs w:val="18"/>
              </w:rPr>
            </w:pPr>
          </w:p>
        </w:tc>
        <w:tc>
          <w:tcPr>
            <w:tcW w:w="688" w:type="dxa"/>
            <w:vMerge/>
            <w:tcBorders>
              <w:top w:val="single" w:color="auto" w:sz="8" w:space="0"/>
              <w:left w:val="single" w:color="auto" w:sz="8" w:space="0"/>
              <w:bottom w:val="nil"/>
              <w:right w:val="single" w:color="auto" w:sz="8" w:space="0"/>
            </w:tcBorders>
            <w:vAlign w:val="center"/>
            <w:hideMark/>
          </w:tcPr>
          <w:p w:rsidRPr="008D23C0" w:rsidR="008D23C0" w:rsidP="008D23C0" w:rsidRDefault="008D23C0" w14:paraId="720AD351" w14:textId="77777777">
            <w:pPr>
              <w:spacing w:after="0" w:line="240" w:lineRule="auto"/>
              <w:rPr>
                <w:rFonts w:eastAsia="Times New Roman" w:cs="Arial"/>
                <w:b/>
                <w:bCs/>
                <w:color w:val="000000"/>
                <w:sz w:val="18"/>
                <w:szCs w:val="18"/>
              </w:rPr>
            </w:pPr>
          </w:p>
        </w:tc>
        <w:tc>
          <w:tcPr>
            <w:tcW w:w="758" w:type="dxa"/>
            <w:tcBorders>
              <w:top w:val="nil"/>
              <w:left w:val="nil"/>
              <w:bottom w:val="nil"/>
              <w:right w:val="single" w:color="auto" w:sz="8" w:space="0"/>
            </w:tcBorders>
            <w:shd w:val="clear" w:color="000000" w:fill="D9D9D9"/>
            <w:vAlign w:val="center"/>
            <w:hideMark/>
          </w:tcPr>
          <w:p w:rsidRPr="008D23C0" w:rsidR="008D23C0" w:rsidP="008D23C0" w:rsidRDefault="008D23C0" w14:paraId="2459B533"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(a)</w:t>
            </w:r>
          </w:p>
        </w:tc>
        <w:tc>
          <w:tcPr>
            <w:tcW w:w="786" w:type="dxa"/>
            <w:tcBorders>
              <w:top w:val="nil"/>
              <w:left w:val="nil"/>
              <w:bottom w:val="nil"/>
              <w:right w:val="single" w:color="auto" w:sz="8" w:space="0"/>
            </w:tcBorders>
            <w:shd w:val="clear" w:color="000000" w:fill="D9D9D9"/>
            <w:vAlign w:val="center"/>
            <w:hideMark/>
          </w:tcPr>
          <w:p w:rsidRPr="008D23C0" w:rsidR="008D23C0" w:rsidP="008D23C0" w:rsidRDefault="008D23C0" w14:paraId="20893939"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(b)</w:t>
            </w:r>
          </w:p>
        </w:tc>
        <w:tc>
          <w:tcPr>
            <w:tcW w:w="1325" w:type="dxa"/>
            <w:tcBorders>
              <w:top w:val="nil"/>
              <w:left w:val="nil"/>
              <w:bottom w:val="nil"/>
              <w:right w:val="single" w:color="auto" w:sz="8" w:space="0"/>
            </w:tcBorders>
            <w:shd w:val="clear" w:color="000000" w:fill="D9D9D9"/>
            <w:vAlign w:val="center"/>
            <w:hideMark/>
          </w:tcPr>
          <w:p w:rsidRPr="008D23C0" w:rsidR="008D23C0" w:rsidP="008D23C0" w:rsidRDefault="008D23C0" w14:paraId="4B65156D"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(c) = (a)+(b)</w:t>
            </w:r>
          </w:p>
        </w:tc>
        <w:tc>
          <w:tcPr>
            <w:tcW w:w="1325" w:type="dxa"/>
            <w:tcBorders>
              <w:top w:val="nil"/>
              <w:left w:val="nil"/>
              <w:bottom w:val="nil"/>
              <w:right w:val="single" w:color="auto" w:sz="8" w:space="0"/>
            </w:tcBorders>
            <w:shd w:val="clear" w:color="000000" w:fill="D9D9D9"/>
            <w:vAlign w:val="center"/>
            <w:hideMark/>
          </w:tcPr>
          <w:p w:rsidRPr="008D23C0" w:rsidR="008D23C0" w:rsidP="008D23C0" w:rsidRDefault="008D23C0" w14:paraId="7FF3C8A4"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(d)</w:t>
            </w:r>
          </w:p>
        </w:tc>
        <w:tc>
          <w:tcPr>
            <w:tcW w:w="958" w:type="dxa"/>
            <w:tcBorders>
              <w:top w:val="nil"/>
              <w:left w:val="nil"/>
              <w:bottom w:val="nil"/>
              <w:right w:val="single" w:color="auto" w:sz="8" w:space="0"/>
            </w:tcBorders>
            <w:shd w:val="clear" w:color="000000" w:fill="D9D9D9"/>
            <w:vAlign w:val="center"/>
            <w:hideMark/>
          </w:tcPr>
          <w:p w:rsidRPr="008D23C0" w:rsidR="008D23C0" w:rsidP="008D23C0" w:rsidRDefault="008D23C0" w14:paraId="466537CF"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(e)=(c)*(d)</w:t>
            </w:r>
          </w:p>
        </w:tc>
        <w:tc>
          <w:tcPr>
            <w:tcW w:w="946" w:type="dxa"/>
            <w:tcBorders>
              <w:top w:val="nil"/>
              <w:left w:val="nil"/>
              <w:bottom w:val="nil"/>
              <w:right w:val="single" w:color="auto" w:sz="8" w:space="0"/>
            </w:tcBorders>
            <w:shd w:val="clear" w:color="000000" w:fill="D9D9D9"/>
            <w:vAlign w:val="center"/>
            <w:hideMark/>
          </w:tcPr>
          <w:p w:rsidRPr="008D23C0" w:rsidR="008D23C0" w:rsidP="008D23C0" w:rsidRDefault="008D23C0" w14:paraId="341AE055" w14:textId="77777777">
            <w:pPr>
              <w:spacing w:after="0" w:line="240" w:lineRule="auto"/>
              <w:jc w:val="center"/>
              <w:rPr>
                <w:rFonts w:eastAsia="Times New Roman" w:cs="Arial"/>
                <w:b/>
                <w:bCs/>
                <w:i/>
                <w:iCs/>
                <w:color w:val="000000"/>
                <w:sz w:val="18"/>
                <w:szCs w:val="18"/>
              </w:rPr>
            </w:pPr>
            <w:r w:rsidRPr="008D23C0">
              <w:rPr>
                <w:rFonts w:eastAsia="Times New Roman" w:cs="Arial"/>
                <w:b/>
                <w:bCs/>
                <w:i/>
                <w:iCs/>
                <w:color w:val="000000"/>
                <w:sz w:val="18"/>
                <w:szCs w:val="18"/>
              </w:rPr>
              <w:t>(f)=(c)+(e)</w:t>
            </w:r>
          </w:p>
        </w:tc>
      </w:tr>
      <w:tr w:rsidRPr="008D23C0" w:rsidR="008D23C0" w:rsidTr="008D23C0" w14:paraId="67922385" w14:textId="77777777">
        <w:trPr>
          <w:trHeight w:val="1041"/>
        </w:trPr>
        <w:tc>
          <w:tcPr>
            <w:tcW w:w="1232"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8D23C0" w:rsidR="008D23C0" w:rsidP="008D23C0" w:rsidRDefault="008D23C0" w14:paraId="2073DF8B" w14:textId="77777777">
            <w:pPr>
              <w:spacing w:after="0" w:line="240" w:lineRule="auto"/>
              <w:rPr>
                <w:rFonts w:eastAsia="Times New Roman" w:cs="Arial"/>
                <w:color w:val="000000"/>
                <w:sz w:val="18"/>
                <w:szCs w:val="18"/>
              </w:rPr>
            </w:pPr>
            <w:r w:rsidRPr="008D23C0">
              <w:rPr>
                <w:rFonts w:eastAsia="Times New Roman" w:cs="Arial"/>
                <w:color w:val="000000"/>
                <w:sz w:val="18"/>
                <w:szCs w:val="18"/>
              </w:rPr>
              <w:t>Managerial</w:t>
            </w:r>
          </w:p>
        </w:tc>
        <w:tc>
          <w:tcPr>
            <w:tcW w:w="1737"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18539ED5" w14:textId="77777777">
            <w:pPr>
              <w:spacing w:after="0" w:line="240" w:lineRule="auto"/>
              <w:rPr>
                <w:rFonts w:eastAsia="Times New Roman" w:cs="Arial"/>
                <w:color w:val="000000"/>
                <w:sz w:val="18"/>
                <w:szCs w:val="18"/>
              </w:rPr>
            </w:pPr>
            <w:r w:rsidRPr="008D23C0">
              <w:rPr>
                <w:rFonts w:eastAsia="Times New Roman" w:cs="Arial"/>
                <w:color w:val="000000"/>
                <w:sz w:val="18"/>
                <w:szCs w:val="18"/>
              </w:rPr>
              <w:t>BLS ECEC, Private Manufacturing industries, “Mgt, Business, and Financial”</w:t>
            </w:r>
          </w:p>
        </w:tc>
        <w:tc>
          <w:tcPr>
            <w:tcW w:w="688"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5B0101DB" w14:textId="77777777">
            <w:pPr>
              <w:spacing w:after="0" w:line="240" w:lineRule="auto"/>
              <w:jc w:val="center"/>
              <w:rPr>
                <w:rFonts w:eastAsia="Times New Roman" w:cs="Arial"/>
                <w:color w:val="000000"/>
                <w:sz w:val="18"/>
                <w:szCs w:val="18"/>
              </w:rPr>
            </w:pPr>
            <w:r w:rsidRPr="008D23C0">
              <w:rPr>
                <w:rFonts w:eastAsia="Times New Roman" w:cs="Arial"/>
                <w:color w:val="000000"/>
                <w:sz w:val="18"/>
                <w:szCs w:val="18"/>
              </w:rPr>
              <w:t>Dec-20</w:t>
            </w:r>
          </w:p>
        </w:tc>
        <w:tc>
          <w:tcPr>
            <w:tcW w:w="758"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50B11C67"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$54.32 </w:t>
            </w:r>
          </w:p>
        </w:tc>
        <w:tc>
          <w:tcPr>
            <w:tcW w:w="786"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359B8033"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$24.46 </w:t>
            </w:r>
          </w:p>
        </w:tc>
        <w:tc>
          <w:tcPr>
            <w:tcW w:w="1325"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2991E3C5"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$78.78 </w:t>
            </w:r>
          </w:p>
        </w:tc>
        <w:tc>
          <w:tcPr>
            <w:tcW w:w="1325"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5CDBBBBB"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20%</w:t>
            </w:r>
          </w:p>
        </w:tc>
        <w:tc>
          <w:tcPr>
            <w:tcW w:w="958"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74BDD37D"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$15.76</w:t>
            </w:r>
          </w:p>
        </w:tc>
        <w:tc>
          <w:tcPr>
            <w:tcW w:w="946" w:type="dxa"/>
            <w:tcBorders>
              <w:top w:val="single" w:color="000000" w:sz="8" w:space="0"/>
              <w:left w:val="nil"/>
              <w:bottom w:val="single" w:color="000000" w:sz="8" w:space="0"/>
              <w:right w:val="single" w:color="000000" w:sz="8" w:space="0"/>
            </w:tcBorders>
            <w:shd w:val="clear" w:color="auto" w:fill="auto"/>
            <w:vAlign w:val="center"/>
            <w:hideMark/>
          </w:tcPr>
          <w:p w:rsidRPr="008D23C0" w:rsidR="008D23C0" w:rsidP="008D23C0" w:rsidRDefault="008D23C0" w14:paraId="31676B75"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$94.54 </w:t>
            </w:r>
          </w:p>
        </w:tc>
      </w:tr>
      <w:tr w:rsidRPr="008D23C0" w:rsidR="008D23C0" w:rsidTr="008D23C0" w14:paraId="49EE7239" w14:textId="77777777">
        <w:trPr>
          <w:trHeight w:val="1041"/>
        </w:trPr>
        <w:tc>
          <w:tcPr>
            <w:tcW w:w="1232" w:type="dxa"/>
            <w:tcBorders>
              <w:top w:val="nil"/>
              <w:left w:val="single" w:color="000000" w:sz="8" w:space="0"/>
              <w:bottom w:val="single" w:color="000000" w:sz="8" w:space="0"/>
              <w:right w:val="single" w:color="000000" w:sz="8" w:space="0"/>
            </w:tcBorders>
            <w:shd w:val="clear" w:color="auto" w:fill="auto"/>
            <w:vAlign w:val="center"/>
            <w:hideMark/>
          </w:tcPr>
          <w:p w:rsidRPr="008D23C0" w:rsidR="008D23C0" w:rsidP="008D23C0" w:rsidRDefault="008D23C0" w14:paraId="6C69921C" w14:textId="77777777">
            <w:pPr>
              <w:spacing w:after="0" w:line="240" w:lineRule="auto"/>
              <w:rPr>
                <w:rFonts w:eastAsia="Times New Roman" w:cs="Arial"/>
                <w:color w:val="000000"/>
                <w:sz w:val="18"/>
                <w:szCs w:val="18"/>
              </w:rPr>
            </w:pPr>
            <w:r w:rsidRPr="008D23C0">
              <w:rPr>
                <w:rFonts w:eastAsia="Times New Roman" w:cs="Arial"/>
                <w:color w:val="000000"/>
                <w:sz w:val="18"/>
                <w:szCs w:val="18"/>
              </w:rPr>
              <w:t>Professional/ Technical</w:t>
            </w:r>
          </w:p>
        </w:tc>
        <w:tc>
          <w:tcPr>
            <w:tcW w:w="1737"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2917327C" w14:textId="77777777">
            <w:pPr>
              <w:spacing w:after="0" w:line="240" w:lineRule="auto"/>
              <w:rPr>
                <w:rFonts w:eastAsia="Times New Roman" w:cs="Arial"/>
                <w:color w:val="000000"/>
                <w:sz w:val="18"/>
                <w:szCs w:val="18"/>
              </w:rPr>
            </w:pPr>
            <w:r w:rsidRPr="008D23C0">
              <w:rPr>
                <w:rFonts w:eastAsia="Times New Roman" w:cs="Arial"/>
                <w:color w:val="000000"/>
                <w:sz w:val="18"/>
                <w:szCs w:val="18"/>
              </w:rPr>
              <w:t>BLS ECEC, Private Manufacturing industries, “Professional and related“</w:t>
            </w:r>
          </w:p>
        </w:tc>
        <w:tc>
          <w:tcPr>
            <w:tcW w:w="68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79F891B1" w14:textId="77777777">
            <w:pPr>
              <w:spacing w:after="0" w:line="240" w:lineRule="auto"/>
              <w:jc w:val="center"/>
              <w:rPr>
                <w:rFonts w:eastAsia="Times New Roman" w:cs="Arial"/>
                <w:color w:val="000000"/>
                <w:sz w:val="18"/>
                <w:szCs w:val="18"/>
              </w:rPr>
            </w:pPr>
            <w:r w:rsidRPr="008D23C0">
              <w:rPr>
                <w:rFonts w:eastAsia="Times New Roman" w:cs="Arial"/>
                <w:color w:val="000000"/>
                <w:sz w:val="18"/>
                <w:szCs w:val="18"/>
              </w:rPr>
              <w:t>Dec-20</w:t>
            </w:r>
          </w:p>
        </w:tc>
        <w:tc>
          <w:tcPr>
            <w:tcW w:w="75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FFA1A8D"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$44.63 </w:t>
            </w:r>
          </w:p>
        </w:tc>
        <w:tc>
          <w:tcPr>
            <w:tcW w:w="78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8D978C0"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$22.45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59FA3C4F"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$67.08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6FE88561"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20%</w:t>
            </w:r>
          </w:p>
        </w:tc>
        <w:tc>
          <w:tcPr>
            <w:tcW w:w="95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651BC8B"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$13.42</w:t>
            </w:r>
          </w:p>
        </w:tc>
        <w:tc>
          <w:tcPr>
            <w:tcW w:w="94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8BB0653"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$80.50 </w:t>
            </w:r>
          </w:p>
        </w:tc>
      </w:tr>
      <w:tr w:rsidRPr="008D23C0" w:rsidR="008D23C0" w:rsidTr="008D23C0" w14:paraId="11B6D68C" w14:textId="77777777">
        <w:trPr>
          <w:trHeight w:val="1041"/>
        </w:trPr>
        <w:tc>
          <w:tcPr>
            <w:tcW w:w="1232" w:type="dxa"/>
            <w:tcBorders>
              <w:top w:val="nil"/>
              <w:left w:val="single" w:color="000000" w:sz="8" w:space="0"/>
              <w:bottom w:val="single" w:color="000000" w:sz="8" w:space="0"/>
              <w:right w:val="single" w:color="000000" w:sz="8" w:space="0"/>
            </w:tcBorders>
            <w:shd w:val="clear" w:color="auto" w:fill="auto"/>
            <w:vAlign w:val="center"/>
            <w:hideMark/>
          </w:tcPr>
          <w:p w:rsidRPr="008D23C0" w:rsidR="008D23C0" w:rsidP="008D23C0" w:rsidRDefault="008D23C0" w14:paraId="5BA0C6E7" w14:textId="77777777">
            <w:pPr>
              <w:spacing w:after="0" w:line="240" w:lineRule="auto"/>
              <w:rPr>
                <w:rFonts w:eastAsia="Times New Roman" w:cs="Arial"/>
                <w:color w:val="000000"/>
                <w:sz w:val="18"/>
                <w:szCs w:val="18"/>
              </w:rPr>
            </w:pPr>
            <w:r w:rsidRPr="008D23C0">
              <w:rPr>
                <w:rFonts w:eastAsia="Times New Roman" w:cs="Arial"/>
                <w:color w:val="000000"/>
                <w:sz w:val="18"/>
                <w:szCs w:val="18"/>
              </w:rPr>
              <w:t>Clerical</w:t>
            </w:r>
          </w:p>
        </w:tc>
        <w:tc>
          <w:tcPr>
            <w:tcW w:w="1737"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1FB6FB9" w14:textId="77777777">
            <w:pPr>
              <w:spacing w:after="0" w:line="240" w:lineRule="auto"/>
              <w:rPr>
                <w:rFonts w:eastAsia="Times New Roman" w:cs="Arial"/>
                <w:color w:val="000000"/>
                <w:sz w:val="18"/>
                <w:szCs w:val="18"/>
              </w:rPr>
            </w:pPr>
            <w:r w:rsidRPr="008D23C0">
              <w:rPr>
                <w:rFonts w:eastAsia="Times New Roman" w:cs="Arial"/>
                <w:color w:val="000000"/>
                <w:sz w:val="18"/>
                <w:szCs w:val="18"/>
              </w:rPr>
              <w:t>BLS ECEC, Private Manufacturing industries, “Office and Administrative Support”</w:t>
            </w:r>
          </w:p>
        </w:tc>
        <w:tc>
          <w:tcPr>
            <w:tcW w:w="68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65F9E3F2" w14:textId="77777777">
            <w:pPr>
              <w:spacing w:after="0" w:line="240" w:lineRule="auto"/>
              <w:jc w:val="center"/>
              <w:rPr>
                <w:rFonts w:eastAsia="Times New Roman" w:cs="Arial"/>
                <w:color w:val="000000"/>
                <w:sz w:val="18"/>
                <w:szCs w:val="18"/>
              </w:rPr>
            </w:pPr>
            <w:r w:rsidRPr="008D23C0">
              <w:rPr>
                <w:rFonts w:eastAsia="Times New Roman" w:cs="Arial"/>
                <w:color w:val="000000"/>
                <w:sz w:val="18"/>
                <w:szCs w:val="18"/>
              </w:rPr>
              <w:t>Dec-20</w:t>
            </w:r>
          </w:p>
        </w:tc>
        <w:tc>
          <w:tcPr>
            <w:tcW w:w="758" w:type="dxa"/>
            <w:tcBorders>
              <w:top w:val="nil"/>
              <w:left w:val="nil"/>
              <w:bottom w:val="single" w:color="000000" w:sz="8" w:space="0"/>
              <w:right w:val="single" w:color="000000" w:sz="8" w:space="0"/>
            </w:tcBorders>
            <w:shd w:val="clear" w:color="000000" w:fill="FFFFFF"/>
            <w:vAlign w:val="center"/>
            <w:hideMark/>
          </w:tcPr>
          <w:p w:rsidRPr="008D23C0" w:rsidR="008D23C0" w:rsidP="008D23C0" w:rsidRDefault="008D23C0" w14:paraId="3EAAAFA7"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$20.86 </w:t>
            </w:r>
          </w:p>
        </w:tc>
        <w:tc>
          <w:tcPr>
            <w:tcW w:w="78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3521735C"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$9.62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5F535428"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$30.48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1AD0642A"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20%</w:t>
            </w:r>
          </w:p>
        </w:tc>
        <w:tc>
          <w:tcPr>
            <w:tcW w:w="95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79F6CBC"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$6.10</w:t>
            </w:r>
          </w:p>
        </w:tc>
        <w:tc>
          <w:tcPr>
            <w:tcW w:w="94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A1B3B18"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$36.58 </w:t>
            </w:r>
          </w:p>
        </w:tc>
      </w:tr>
      <w:tr w:rsidRPr="008D23C0" w:rsidR="008D23C0" w:rsidTr="008D23C0" w14:paraId="4A72D97A" w14:textId="77777777">
        <w:trPr>
          <w:trHeight w:val="1041"/>
        </w:trPr>
        <w:tc>
          <w:tcPr>
            <w:tcW w:w="1232" w:type="dxa"/>
            <w:tcBorders>
              <w:top w:val="nil"/>
              <w:left w:val="single" w:color="000000" w:sz="8" w:space="0"/>
              <w:bottom w:val="single" w:color="000000" w:sz="8" w:space="0"/>
              <w:right w:val="single" w:color="000000" w:sz="8" w:space="0"/>
            </w:tcBorders>
            <w:shd w:val="clear" w:color="auto" w:fill="auto"/>
            <w:vAlign w:val="center"/>
            <w:hideMark/>
          </w:tcPr>
          <w:p w:rsidRPr="008D23C0" w:rsidR="008D23C0" w:rsidP="008D23C0" w:rsidRDefault="008D23C0" w14:paraId="2E516FA2" w14:textId="77777777">
            <w:pPr>
              <w:spacing w:after="0" w:line="240" w:lineRule="auto"/>
              <w:rPr>
                <w:rFonts w:eastAsia="Times New Roman" w:cs="Arial"/>
                <w:color w:val="000000"/>
                <w:sz w:val="18"/>
                <w:szCs w:val="18"/>
              </w:rPr>
            </w:pPr>
            <w:r w:rsidRPr="008D23C0">
              <w:rPr>
                <w:rFonts w:eastAsia="Times New Roman" w:cs="Arial"/>
                <w:color w:val="000000"/>
                <w:sz w:val="18"/>
                <w:szCs w:val="18"/>
              </w:rPr>
              <w:t>Attorney</w:t>
            </w:r>
          </w:p>
        </w:tc>
        <w:tc>
          <w:tcPr>
            <w:tcW w:w="1737"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05346B3A" w14:textId="77777777">
            <w:pPr>
              <w:spacing w:after="0" w:line="240" w:lineRule="auto"/>
              <w:rPr>
                <w:rFonts w:eastAsia="Times New Roman" w:cs="Arial"/>
                <w:color w:val="000000"/>
                <w:sz w:val="18"/>
                <w:szCs w:val="18"/>
              </w:rPr>
            </w:pPr>
            <w:r w:rsidRPr="008D23C0">
              <w:rPr>
                <w:rFonts w:eastAsia="Times New Roman" w:cs="Arial"/>
                <w:color w:val="000000"/>
                <w:sz w:val="18"/>
                <w:szCs w:val="18"/>
              </w:rPr>
              <w:t xml:space="preserve">BLS OES "Legal Services - Lawyers," BLS ECEC, "Professional and Business Services </w:t>
            </w:r>
            <w:r w:rsidRPr="008D23C0">
              <w:rPr>
                <w:rFonts w:eastAsia="Times New Roman" w:cs="Arial"/>
                <w:color w:val="000000"/>
                <w:sz w:val="18"/>
                <w:szCs w:val="18"/>
                <w:vertAlign w:val="superscript"/>
              </w:rPr>
              <w:t>d</w:t>
            </w:r>
          </w:p>
        </w:tc>
        <w:tc>
          <w:tcPr>
            <w:tcW w:w="68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47024D96" w14:textId="77777777">
            <w:pPr>
              <w:spacing w:after="0" w:line="240" w:lineRule="auto"/>
              <w:jc w:val="center"/>
              <w:rPr>
                <w:rFonts w:eastAsia="Times New Roman" w:cs="Arial"/>
                <w:color w:val="000000"/>
                <w:sz w:val="18"/>
                <w:szCs w:val="18"/>
              </w:rPr>
            </w:pPr>
            <w:r w:rsidRPr="008D23C0">
              <w:rPr>
                <w:rFonts w:eastAsia="Times New Roman" w:cs="Arial"/>
                <w:color w:val="000000"/>
                <w:sz w:val="18"/>
                <w:szCs w:val="18"/>
              </w:rPr>
              <w:t>May-20</w:t>
            </w:r>
          </w:p>
        </w:tc>
        <w:tc>
          <w:tcPr>
            <w:tcW w:w="758" w:type="dxa"/>
            <w:tcBorders>
              <w:top w:val="nil"/>
              <w:left w:val="nil"/>
              <w:bottom w:val="single" w:color="000000" w:sz="8" w:space="0"/>
              <w:right w:val="single" w:color="000000" w:sz="8" w:space="0"/>
            </w:tcBorders>
            <w:shd w:val="clear" w:color="000000" w:fill="FFFFFF"/>
            <w:vAlign w:val="center"/>
            <w:hideMark/>
          </w:tcPr>
          <w:p w:rsidRPr="008D23C0" w:rsidR="008D23C0" w:rsidP="008D23C0" w:rsidRDefault="008D23C0" w14:paraId="3E675234"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$60.89 </w:t>
            </w:r>
          </w:p>
        </w:tc>
        <w:tc>
          <w:tcPr>
            <w:tcW w:w="78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1CC95F26"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$17.96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7453E881"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$78.85 </w:t>
            </w:r>
          </w:p>
        </w:tc>
        <w:tc>
          <w:tcPr>
            <w:tcW w:w="1325"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520B8370"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20%</w:t>
            </w:r>
          </w:p>
        </w:tc>
        <w:tc>
          <w:tcPr>
            <w:tcW w:w="958"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1EBE5328"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$15.77</w:t>
            </w:r>
          </w:p>
        </w:tc>
        <w:tc>
          <w:tcPr>
            <w:tcW w:w="946" w:type="dxa"/>
            <w:tcBorders>
              <w:top w:val="nil"/>
              <w:left w:val="nil"/>
              <w:bottom w:val="single" w:color="000000" w:sz="8" w:space="0"/>
              <w:right w:val="single" w:color="000000" w:sz="8" w:space="0"/>
            </w:tcBorders>
            <w:shd w:val="clear" w:color="auto" w:fill="auto"/>
            <w:vAlign w:val="center"/>
            <w:hideMark/>
          </w:tcPr>
          <w:p w:rsidRPr="008D23C0" w:rsidR="008D23C0" w:rsidP="008D23C0" w:rsidRDefault="008D23C0" w14:paraId="0688D57D" w14:textId="77777777">
            <w:pPr>
              <w:spacing w:after="0" w:line="240" w:lineRule="auto"/>
              <w:jc w:val="right"/>
              <w:rPr>
                <w:rFonts w:eastAsia="Times New Roman" w:cs="Arial"/>
                <w:color w:val="000000"/>
                <w:sz w:val="18"/>
                <w:szCs w:val="18"/>
              </w:rPr>
            </w:pPr>
            <w:r w:rsidRPr="008D23C0">
              <w:rPr>
                <w:rFonts w:eastAsia="Times New Roman" w:cs="Arial"/>
                <w:color w:val="000000"/>
                <w:sz w:val="18"/>
                <w:szCs w:val="18"/>
              </w:rPr>
              <w:t xml:space="preserve">$94.62 </w:t>
            </w:r>
          </w:p>
        </w:tc>
      </w:tr>
      <w:tr w:rsidRPr="008D23C0" w:rsidR="008D23C0" w:rsidTr="008D23C0" w14:paraId="2E8388BB" w14:textId="77777777">
        <w:trPr>
          <w:trHeight w:val="262"/>
        </w:trPr>
        <w:tc>
          <w:tcPr>
            <w:tcW w:w="1232" w:type="dxa"/>
            <w:tcBorders>
              <w:top w:val="nil"/>
              <w:left w:val="single" w:color="auto" w:sz="8" w:space="0"/>
              <w:bottom w:val="nil"/>
              <w:right w:val="nil"/>
            </w:tcBorders>
            <w:shd w:val="clear" w:color="auto" w:fill="auto"/>
            <w:vAlign w:val="center"/>
            <w:hideMark/>
          </w:tcPr>
          <w:p w:rsidRPr="008D23C0" w:rsidR="008D23C0" w:rsidP="008D23C0" w:rsidRDefault="008D23C0" w14:paraId="330DF896" w14:textId="77777777">
            <w:pPr>
              <w:spacing w:after="0" w:line="240" w:lineRule="auto"/>
              <w:rPr>
                <w:rFonts w:eastAsia="Times New Roman" w:cs="Arial"/>
                <w:color w:val="000000"/>
                <w:sz w:val="18"/>
                <w:szCs w:val="18"/>
              </w:rPr>
            </w:pPr>
            <w:r w:rsidRPr="008D23C0">
              <w:rPr>
                <w:rFonts w:eastAsia="Times New Roman" w:cs="Arial"/>
                <w:color w:val="000000"/>
                <w:sz w:val="18"/>
                <w:szCs w:val="18"/>
              </w:rPr>
              <w:t> </w:t>
            </w:r>
          </w:p>
        </w:tc>
        <w:tc>
          <w:tcPr>
            <w:tcW w:w="1737" w:type="dxa"/>
            <w:tcBorders>
              <w:top w:val="nil"/>
              <w:left w:val="nil"/>
              <w:bottom w:val="nil"/>
              <w:right w:val="nil"/>
            </w:tcBorders>
            <w:shd w:val="clear" w:color="auto" w:fill="auto"/>
            <w:vAlign w:val="center"/>
            <w:hideMark/>
          </w:tcPr>
          <w:p w:rsidRPr="008D23C0" w:rsidR="008D23C0" w:rsidP="008D23C0" w:rsidRDefault="008D23C0" w14:paraId="3A064F1C" w14:textId="77777777">
            <w:pPr>
              <w:spacing w:after="0" w:line="240" w:lineRule="auto"/>
              <w:rPr>
                <w:rFonts w:eastAsia="Times New Roman" w:cs="Arial"/>
                <w:color w:val="000000"/>
                <w:sz w:val="18"/>
                <w:szCs w:val="18"/>
              </w:rPr>
            </w:pPr>
          </w:p>
        </w:tc>
        <w:tc>
          <w:tcPr>
            <w:tcW w:w="688" w:type="dxa"/>
            <w:tcBorders>
              <w:top w:val="nil"/>
              <w:left w:val="nil"/>
              <w:bottom w:val="nil"/>
              <w:right w:val="nil"/>
            </w:tcBorders>
            <w:shd w:val="clear" w:color="auto" w:fill="auto"/>
            <w:vAlign w:val="center"/>
            <w:hideMark/>
          </w:tcPr>
          <w:p w:rsidRPr="008D23C0" w:rsidR="008D23C0" w:rsidP="008D23C0" w:rsidRDefault="008D23C0" w14:paraId="1F15BCFD" w14:textId="77777777">
            <w:pPr>
              <w:spacing w:after="0" w:line="240" w:lineRule="auto"/>
              <w:rPr>
                <w:rFonts w:ascii="Times New Roman" w:hAnsi="Times New Roman" w:eastAsia="Times New Roman" w:cs="Times New Roman"/>
                <w:sz w:val="20"/>
                <w:szCs w:val="20"/>
              </w:rPr>
            </w:pPr>
          </w:p>
        </w:tc>
        <w:tc>
          <w:tcPr>
            <w:tcW w:w="758" w:type="dxa"/>
            <w:tcBorders>
              <w:top w:val="nil"/>
              <w:left w:val="nil"/>
              <w:bottom w:val="nil"/>
              <w:right w:val="nil"/>
            </w:tcBorders>
            <w:shd w:val="clear" w:color="auto" w:fill="auto"/>
            <w:vAlign w:val="center"/>
            <w:hideMark/>
          </w:tcPr>
          <w:p w:rsidRPr="008D23C0" w:rsidR="008D23C0" w:rsidP="008D23C0" w:rsidRDefault="008D23C0" w14:paraId="20000B41" w14:textId="77777777">
            <w:pPr>
              <w:spacing w:after="0" w:line="240" w:lineRule="auto"/>
              <w:jc w:val="center"/>
              <w:rPr>
                <w:rFonts w:ascii="Times New Roman" w:hAnsi="Times New Roman" w:eastAsia="Times New Roman" w:cs="Times New Roman"/>
                <w:sz w:val="20"/>
                <w:szCs w:val="20"/>
              </w:rPr>
            </w:pPr>
          </w:p>
        </w:tc>
        <w:tc>
          <w:tcPr>
            <w:tcW w:w="786" w:type="dxa"/>
            <w:tcBorders>
              <w:top w:val="nil"/>
              <w:left w:val="nil"/>
              <w:bottom w:val="nil"/>
              <w:right w:val="nil"/>
            </w:tcBorders>
            <w:shd w:val="clear" w:color="auto" w:fill="auto"/>
            <w:vAlign w:val="center"/>
            <w:hideMark/>
          </w:tcPr>
          <w:p w:rsidRPr="008D23C0" w:rsidR="008D23C0" w:rsidP="008D23C0" w:rsidRDefault="008D23C0" w14:paraId="3CBC922F" w14:textId="77777777">
            <w:pPr>
              <w:spacing w:after="0" w:line="240" w:lineRule="auto"/>
              <w:jc w:val="center"/>
              <w:rPr>
                <w:rFonts w:ascii="Times New Roman" w:hAnsi="Times New Roman" w:eastAsia="Times New Roman" w:cs="Times New Roman"/>
                <w:sz w:val="20"/>
                <w:szCs w:val="20"/>
              </w:rPr>
            </w:pPr>
          </w:p>
        </w:tc>
        <w:tc>
          <w:tcPr>
            <w:tcW w:w="1325" w:type="dxa"/>
            <w:tcBorders>
              <w:top w:val="nil"/>
              <w:left w:val="nil"/>
              <w:bottom w:val="nil"/>
              <w:right w:val="nil"/>
            </w:tcBorders>
            <w:shd w:val="clear" w:color="auto" w:fill="auto"/>
            <w:vAlign w:val="center"/>
            <w:hideMark/>
          </w:tcPr>
          <w:p w:rsidRPr="008D23C0" w:rsidR="008D23C0" w:rsidP="008D23C0" w:rsidRDefault="008D23C0" w14:paraId="2940D930" w14:textId="77777777">
            <w:pPr>
              <w:spacing w:after="0" w:line="240" w:lineRule="auto"/>
              <w:jc w:val="center"/>
              <w:rPr>
                <w:rFonts w:ascii="Times New Roman" w:hAnsi="Times New Roman" w:eastAsia="Times New Roman" w:cs="Times New Roman"/>
                <w:sz w:val="20"/>
                <w:szCs w:val="20"/>
              </w:rPr>
            </w:pPr>
          </w:p>
        </w:tc>
        <w:tc>
          <w:tcPr>
            <w:tcW w:w="1325" w:type="dxa"/>
            <w:tcBorders>
              <w:top w:val="nil"/>
              <w:left w:val="nil"/>
              <w:bottom w:val="nil"/>
              <w:right w:val="nil"/>
            </w:tcBorders>
            <w:shd w:val="clear" w:color="auto" w:fill="auto"/>
            <w:vAlign w:val="center"/>
            <w:hideMark/>
          </w:tcPr>
          <w:p w:rsidRPr="008D23C0" w:rsidR="008D23C0" w:rsidP="008D23C0" w:rsidRDefault="008D23C0" w14:paraId="37D8BE2F" w14:textId="77777777">
            <w:pPr>
              <w:spacing w:after="0" w:line="240" w:lineRule="auto"/>
              <w:jc w:val="center"/>
              <w:rPr>
                <w:rFonts w:ascii="Times New Roman" w:hAnsi="Times New Roman" w:eastAsia="Times New Roman" w:cs="Times New Roman"/>
                <w:sz w:val="20"/>
                <w:szCs w:val="20"/>
              </w:rPr>
            </w:pPr>
          </w:p>
        </w:tc>
        <w:tc>
          <w:tcPr>
            <w:tcW w:w="958" w:type="dxa"/>
            <w:tcBorders>
              <w:top w:val="nil"/>
              <w:left w:val="nil"/>
              <w:bottom w:val="nil"/>
              <w:right w:val="nil"/>
            </w:tcBorders>
            <w:shd w:val="clear" w:color="auto" w:fill="auto"/>
            <w:vAlign w:val="center"/>
            <w:hideMark/>
          </w:tcPr>
          <w:p w:rsidRPr="008D23C0" w:rsidR="008D23C0" w:rsidP="008D23C0" w:rsidRDefault="008D23C0" w14:paraId="1104F050" w14:textId="77777777">
            <w:pPr>
              <w:spacing w:after="0" w:line="240" w:lineRule="auto"/>
              <w:jc w:val="center"/>
              <w:rPr>
                <w:rFonts w:ascii="Times New Roman" w:hAnsi="Times New Roman" w:eastAsia="Times New Roman" w:cs="Times New Roman"/>
                <w:sz w:val="20"/>
                <w:szCs w:val="20"/>
              </w:rPr>
            </w:pPr>
          </w:p>
        </w:tc>
        <w:tc>
          <w:tcPr>
            <w:tcW w:w="946" w:type="dxa"/>
            <w:tcBorders>
              <w:top w:val="nil"/>
              <w:left w:val="nil"/>
              <w:bottom w:val="nil"/>
              <w:right w:val="single" w:color="auto" w:sz="8" w:space="0"/>
            </w:tcBorders>
            <w:shd w:val="clear" w:color="auto" w:fill="auto"/>
            <w:vAlign w:val="center"/>
            <w:hideMark/>
          </w:tcPr>
          <w:p w:rsidRPr="008D23C0" w:rsidR="008D23C0" w:rsidP="008D23C0" w:rsidRDefault="008D23C0" w14:paraId="0583DB5F" w14:textId="77777777">
            <w:pPr>
              <w:spacing w:after="0" w:line="240" w:lineRule="auto"/>
              <w:jc w:val="center"/>
              <w:rPr>
                <w:rFonts w:eastAsia="Times New Roman" w:cs="Arial"/>
                <w:color w:val="000000"/>
                <w:sz w:val="18"/>
                <w:szCs w:val="18"/>
              </w:rPr>
            </w:pPr>
            <w:r w:rsidRPr="008D23C0">
              <w:rPr>
                <w:rFonts w:eastAsia="Times New Roman" w:cs="Arial"/>
                <w:color w:val="000000"/>
                <w:sz w:val="18"/>
                <w:szCs w:val="18"/>
              </w:rPr>
              <w:t> </w:t>
            </w:r>
          </w:p>
        </w:tc>
      </w:tr>
      <w:tr w:rsidRPr="008D23C0" w:rsidR="008D23C0" w:rsidTr="00683B78" w14:paraId="1F58D04F" w14:textId="77777777">
        <w:trPr>
          <w:trHeight w:val="250"/>
        </w:trPr>
        <w:tc>
          <w:tcPr>
            <w:tcW w:w="9760" w:type="dxa"/>
            <w:gridSpan w:val="9"/>
            <w:tcBorders>
              <w:top w:val="single" w:color="auto" w:sz="8" w:space="0"/>
              <w:left w:val="single" w:color="auto" w:sz="8" w:space="0"/>
              <w:bottom w:val="nil"/>
              <w:right w:val="single" w:color="000000" w:sz="8" w:space="0"/>
            </w:tcBorders>
            <w:shd w:val="clear" w:color="auto" w:fill="auto"/>
            <w:vAlign w:val="center"/>
            <w:hideMark/>
          </w:tcPr>
          <w:p w:rsidRPr="008D23C0" w:rsidR="008D23C0" w:rsidP="008D23C0" w:rsidRDefault="008D23C0" w14:paraId="072130C6" w14:textId="77777777">
            <w:pPr>
              <w:spacing w:after="0" w:line="240" w:lineRule="auto"/>
              <w:rPr>
                <w:rFonts w:eastAsia="Times New Roman" w:cs="Arial"/>
                <w:b/>
                <w:bCs/>
                <w:color w:val="000000"/>
                <w:sz w:val="18"/>
                <w:szCs w:val="18"/>
              </w:rPr>
            </w:pPr>
            <w:r w:rsidRPr="008D23C0">
              <w:rPr>
                <w:rFonts w:eastAsia="Times New Roman" w:cs="Arial"/>
                <w:b/>
                <w:bCs/>
                <w:color w:val="000000"/>
                <w:sz w:val="18"/>
                <w:szCs w:val="18"/>
              </w:rPr>
              <w:t>Footnotes</w:t>
            </w:r>
          </w:p>
        </w:tc>
      </w:tr>
      <w:tr w:rsidRPr="008D23C0" w:rsidR="008D23C0" w:rsidTr="00683B78" w14:paraId="75942437" w14:textId="77777777">
        <w:trPr>
          <w:trHeight w:val="522"/>
        </w:trPr>
        <w:tc>
          <w:tcPr>
            <w:tcW w:w="9760" w:type="dxa"/>
            <w:gridSpan w:val="9"/>
            <w:tcBorders>
              <w:top w:val="nil"/>
              <w:left w:val="single" w:color="auto" w:sz="8" w:space="0"/>
              <w:bottom w:val="nil"/>
              <w:right w:val="single" w:color="000000" w:sz="8" w:space="0"/>
            </w:tcBorders>
            <w:shd w:val="clear" w:color="auto" w:fill="auto"/>
            <w:vAlign w:val="center"/>
            <w:hideMark/>
          </w:tcPr>
          <w:p w:rsidRPr="008D23C0" w:rsidR="008D23C0" w:rsidP="008D23C0" w:rsidRDefault="008D23C0" w14:paraId="2D3C18E7" w14:textId="01FA6AC8">
            <w:pPr>
              <w:spacing w:after="0" w:line="240" w:lineRule="auto"/>
              <w:rPr>
                <w:rFonts w:eastAsia="Times New Roman" w:cs="Arial"/>
                <w:color w:val="000000"/>
                <w:sz w:val="18"/>
                <w:szCs w:val="18"/>
              </w:rPr>
            </w:pPr>
            <w:r w:rsidRPr="008D23C0">
              <w:rPr>
                <w:rFonts w:eastAsia="Times New Roman" w:cs="Arial"/>
                <w:color w:val="000000"/>
                <w:sz w:val="18"/>
                <w:szCs w:val="18"/>
                <w:vertAlign w:val="superscript"/>
              </w:rPr>
              <w:t>a</w:t>
            </w:r>
            <w:r w:rsidRPr="008D23C0">
              <w:rPr>
                <w:rFonts w:eastAsia="Times New Roman" w:cs="Arial"/>
                <w:color w:val="000000"/>
                <w:sz w:val="18"/>
                <w:szCs w:val="18"/>
              </w:rPr>
              <w:t xml:space="preserve"> Source: Employer Costs for Employee Compensation</w:t>
            </w:r>
            <w:r w:rsidR="007C20C3">
              <w:rPr>
                <w:rFonts w:eastAsia="Times New Roman" w:cs="Arial"/>
                <w:color w:val="000000"/>
                <w:sz w:val="18"/>
                <w:szCs w:val="18"/>
              </w:rPr>
              <w:t xml:space="preserve"> (ECEC)</w:t>
            </w:r>
            <w:r w:rsidRPr="008D23C0">
              <w:rPr>
                <w:rFonts w:eastAsia="Times New Roman" w:cs="Arial"/>
                <w:color w:val="000000"/>
                <w:sz w:val="18"/>
                <w:szCs w:val="18"/>
              </w:rPr>
              <w:t xml:space="preserve"> Supplementary Tables: December 2006 – December 2020 (U.S. Bureau of Labor Statistics, 2021).</w:t>
            </w:r>
          </w:p>
        </w:tc>
      </w:tr>
      <w:tr w:rsidRPr="008D23C0" w:rsidR="008D23C0" w:rsidTr="00683B78" w14:paraId="23D29309" w14:textId="77777777">
        <w:trPr>
          <w:trHeight w:val="522"/>
        </w:trPr>
        <w:tc>
          <w:tcPr>
            <w:tcW w:w="9760" w:type="dxa"/>
            <w:gridSpan w:val="9"/>
            <w:tcBorders>
              <w:top w:val="nil"/>
              <w:left w:val="single" w:color="auto" w:sz="8" w:space="0"/>
              <w:bottom w:val="nil"/>
              <w:right w:val="single" w:color="000000" w:sz="8" w:space="0"/>
            </w:tcBorders>
            <w:shd w:val="clear" w:color="auto" w:fill="auto"/>
            <w:vAlign w:val="center"/>
            <w:hideMark/>
          </w:tcPr>
          <w:p w:rsidRPr="008D23C0" w:rsidR="008D23C0" w:rsidP="008D23C0" w:rsidRDefault="008D23C0" w14:paraId="4F3E4B10" w14:textId="77777777">
            <w:pPr>
              <w:spacing w:after="0" w:line="240" w:lineRule="auto"/>
              <w:rPr>
                <w:rFonts w:eastAsia="Times New Roman" w:cs="Arial"/>
                <w:color w:val="000000"/>
                <w:sz w:val="18"/>
                <w:szCs w:val="18"/>
              </w:rPr>
            </w:pPr>
            <w:r w:rsidRPr="008D23C0">
              <w:rPr>
                <w:rFonts w:eastAsia="Times New Roman" w:cs="Arial"/>
                <w:color w:val="000000"/>
                <w:sz w:val="18"/>
                <w:szCs w:val="18"/>
                <w:vertAlign w:val="superscript"/>
              </w:rPr>
              <w:t>b</w:t>
            </w:r>
            <w:r w:rsidRPr="008D23C0">
              <w:rPr>
                <w:rFonts w:eastAsia="Times New Roman" w:cs="Arial"/>
                <w:color w:val="000000"/>
                <w:sz w:val="18"/>
                <w:szCs w:val="18"/>
              </w:rPr>
              <w:t xml:space="preserve"> </w:t>
            </w:r>
            <w:proofErr w:type="gramStart"/>
            <w:r w:rsidRPr="008D23C0">
              <w:rPr>
                <w:rFonts w:eastAsia="Times New Roman" w:cs="Arial"/>
                <w:color w:val="000000"/>
                <w:sz w:val="18"/>
                <w:szCs w:val="18"/>
              </w:rPr>
              <w:t>An</w:t>
            </w:r>
            <w:proofErr w:type="gramEnd"/>
            <w:r w:rsidRPr="008D23C0">
              <w:rPr>
                <w:rFonts w:eastAsia="Times New Roman" w:cs="Arial"/>
                <w:color w:val="000000"/>
                <w:sz w:val="18"/>
                <w:szCs w:val="18"/>
              </w:rPr>
              <w:t xml:space="preserve"> overhead rate of 20% is used based on assumptions in Handbook on Valuing Changes in Time Use Induced by Regulatory Requirements and Other U.S. EPA Actions (EPA 2020)</w:t>
            </w:r>
          </w:p>
        </w:tc>
      </w:tr>
      <w:tr w:rsidRPr="008D23C0" w:rsidR="008D23C0" w:rsidTr="00683B78" w14:paraId="4A04CB41" w14:textId="77777777">
        <w:trPr>
          <w:trHeight w:val="522"/>
        </w:trPr>
        <w:tc>
          <w:tcPr>
            <w:tcW w:w="9760" w:type="dxa"/>
            <w:gridSpan w:val="9"/>
            <w:tcBorders>
              <w:top w:val="nil"/>
              <w:left w:val="single" w:color="auto" w:sz="8" w:space="0"/>
              <w:bottom w:val="nil"/>
              <w:right w:val="single" w:color="000000" w:sz="8" w:space="0"/>
            </w:tcBorders>
            <w:shd w:val="clear" w:color="auto" w:fill="auto"/>
            <w:vAlign w:val="center"/>
            <w:hideMark/>
          </w:tcPr>
          <w:p w:rsidRPr="008D23C0" w:rsidR="008D23C0" w:rsidP="008D23C0" w:rsidRDefault="008D23C0" w14:paraId="605F7B29" w14:textId="77777777">
            <w:pPr>
              <w:spacing w:after="0" w:line="240" w:lineRule="auto"/>
              <w:rPr>
                <w:rFonts w:eastAsia="Times New Roman" w:cs="Arial"/>
                <w:color w:val="000000"/>
                <w:sz w:val="18"/>
                <w:szCs w:val="18"/>
              </w:rPr>
            </w:pPr>
            <w:r w:rsidRPr="008D23C0">
              <w:rPr>
                <w:rFonts w:eastAsia="Times New Roman" w:cs="Arial"/>
                <w:color w:val="000000"/>
                <w:sz w:val="18"/>
                <w:szCs w:val="18"/>
                <w:vertAlign w:val="superscript"/>
              </w:rPr>
              <w:t xml:space="preserve">c </w:t>
            </w:r>
            <w:r w:rsidRPr="008D23C0">
              <w:rPr>
                <w:rFonts w:eastAsia="Times New Roman" w:cs="Arial"/>
                <w:color w:val="000000"/>
                <w:sz w:val="18"/>
                <w:szCs w:val="18"/>
              </w:rPr>
              <w:t>Wage data are rounded to the closest cent in this analysis.</w:t>
            </w:r>
          </w:p>
        </w:tc>
      </w:tr>
      <w:tr w:rsidRPr="008D23C0" w:rsidR="008D23C0" w:rsidTr="00683B78" w14:paraId="6B67BA67" w14:textId="77777777">
        <w:trPr>
          <w:trHeight w:val="522"/>
        </w:trPr>
        <w:tc>
          <w:tcPr>
            <w:tcW w:w="9760" w:type="dxa"/>
            <w:gridSpan w:val="9"/>
            <w:tcBorders>
              <w:top w:val="nil"/>
              <w:left w:val="single" w:color="auto" w:sz="8" w:space="0"/>
              <w:bottom w:val="single" w:color="auto" w:sz="8" w:space="0"/>
              <w:right w:val="single" w:color="000000" w:sz="8" w:space="0"/>
            </w:tcBorders>
            <w:shd w:val="clear" w:color="auto" w:fill="auto"/>
            <w:vAlign w:val="center"/>
            <w:hideMark/>
          </w:tcPr>
          <w:p w:rsidRPr="008D23C0" w:rsidR="008D23C0" w:rsidP="008D23C0" w:rsidRDefault="008D23C0" w14:paraId="34F66404" w14:textId="5469E3F5">
            <w:pPr>
              <w:spacing w:after="0" w:line="240" w:lineRule="auto"/>
              <w:rPr>
                <w:rFonts w:eastAsia="Times New Roman" w:cs="Arial"/>
                <w:color w:val="000000"/>
                <w:sz w:val="18"/>
                <w:szCs w:val="18"/>
              </w:rPr>
            </w:pPr>
            <w:r w:rsidRPr="008D23C0">
              <w:rPr>
                <w:rFonts w:eastAsia="Times New Roman" w:cs="Arial"/>
                <w:color w:val="000000"/>
                <w:sz w:val="18"/>
                <w:szCs w:val="18"/>
                <w:vertAlign w:val="superscript"/>
              </w:rPr>
              <w:t>d</w:t>
            </w:r>
            <w:r w:rsidRPr="008D23C0">
              <w:rPr>
                <w:rFonts w:eastAsia="Times New Roman" w:cs="Arial"/>
                <w:color w:val="000000"/>
                <w:sz w:val="18"/>
                <w:szCs w:val="18"/>
              </w:rPr>
              <w:t xml:space="preserve"> BLS Occupational Employment Statistics (OES) May 2020 National Industry-Specific Occupational Employment and Wage Estimates (BLS, 2020) </w:t>
            </w:r>
          </w:p>
        </w:tc>
      </w:tr>
    </w:tbl>
    <w:p w:rsidRPr="009B1E29" w:rsidR="00420A4C" w:rsidRDefault="00420A4C" w14:paraId="0A870813" w14:textId="77777777"/>
    <w:p w:rsidRPr="00285E59" w:rsidR="00E07475" w:rsidP="008C6A2E" w:rsidRDefault="00E07475" w14:paraId="087C0167" w14:textId="77777777">
      <w:pPr>
        <w:rPr>
          <w:rFonts w:cs="Arial"/>
          <w:b/>
          <w:bCs/>
          <w:szCs w:val="24"/>
        </w:rPr>
      </w:pPr>
      <w:bookmarkStart w:name="_Hlk85120127" w:id="25"/>
      <w:r w:rsidRPr="00285E59">
        <w:rPr>
          <w:rFonts w:cs="Arial"/>
          <w:b/>
          <w:bCs/>
          <w:szCs w:val="24"/>
        </w:rPr>
        <w:t>TSCA Section 8(a) Preliminary Assessment Information Rule (PAIR)</w:t>
      </w:r>
    </w:p>
    <w:bookmarkEnd w:id="25"/>
    <w:p w:rsidRPr="0017004B" w:rsidR="00E07475" w:rsidP="008C6A2E" w:rsidRDefault="00E07475" w14:paraId="3963B3B5" w14:textId="6F596986">
      <w:pPr>
        <w:rPr>
          <w:rFonts w:cs="Arial"/>
          <w:szCs w:val="24"/>
        </w:rPr>
      </w:pPr>
      <w:r w:rsidRPr="008C6A2E">
        <w:rPr>
          <w:rFonts w:cs="Arial"/>
          <w:szCs w:val="24"/>
        </w:rPr>
        <w:t xml:space="preserve">PAIR requires manufacturers (includes importers) of the listed chemical substances, mixtures or categories to report to EPA information such as the substances’ chemical identification, quantity produced or imported, chemical processes, employee exposure, environmental releases, uses and products. Respondents are only required to report </w:t>
      </w:r>
      <w:r w:rsidRPr="008C6A2E">
        <w:rPr>
          <w:rFonts w:cs="Arial"/>
          <w:i/>
          <w:szCs w:val="24"/>
        </w:rPr>
        <w:t xml:space="preserve">information that is known or reasonably </w:t>
      </w:r>
      <w:r w:rsidRPr="0017004B">
        <w:rPr>
          <w:rFonts w:cs="Arial"/>
          <w:i/>
          <w:szCs w:val="24"/>
        </w:rPr>
        <w:t xml:space="preserve">ascertainable by them; </w:t>
      </w:r>
      <w:r w:rsidRPr="0017004B">
        <w:rPr>
          <w:rFonts w:cs="Arial"/>
          <w:szCs w:val="24"/>
        </w:rPr>
        <w:t xml:space="preserve">extensive file searches are not required. The PAIR reporting requirements are included in the PAIR form (EPA Form 7710-35) and instructions (see Attachment </w:t>
      </w:r>
      <w:r w:rsidRPr="0017004B" w:rsidR="00DB1971">
        <w:rPr>
          <w:rFonts w:cs="Arial"/>
          <w:szCs w:val="24"/>
        </w:rPr>
        <w:t>1</w:t>
      </w:r>
      <w:r w:rsidRPr="0017004B" w:rsidR="00D916E8">
        <w:rPr>
          <w:rFonts w:cs="Arial"/>
          <w:szCs w:val="24"/>
        </w:rPr>
        <w:t>1</w:t>
      </w:r>
      <w:r w:rsidRPr="0017004B">
        <w:rPr>
          <w:rFonts w:cs="Arial"/>
          <w:szCs w:val="24"/>
        </w:rPr>
        <w:t xml:space="preserve">). </w:t>
      </w:r>
    </w:p>
    <w:p w:rsidRPr="008C6A2E" w:rsidR="00E07475" w:rsidP="008C6A2E" w:rsidRDefault="00E07475" w14:paraId="06F9DCA7" w14:textId="235F81D2">
      <w:pPr>
        <w:rPr>
          <w:rFonts w:cs="Arial"/>
          <w:szCs w:val="24"/>
        </w:rPr>
      </w:pPr>
      <w:r w:rsidRPr="0017004B">
        <w:rPr>
          <w:rFonts w:cs="Arial"/>
          <w:szCs w:val="24"/>
        </w:rPr>
        <w:t xml:space="preserve">In addition, each person who is manufacturing or processing a chemical listed in 40 CFR 766.25, must submit a protocol for testing according to the schedule at 40 CFR 766.35(a)(2). Persons who manufacture or import a chemical substance listed under 40 CFR 766.25 must report positive test results, using the Dioxin/Furan Report Form (EPA Form 7710-51; see Attachment </w:t>
      </w:r>
      <w:r w:rsidRPr="0017004B" w:rsidR="00D916E8">
        <w:rPr>
          <w:rFonts w:cs="Arial"/>
          <w:szCs w:val="24"/>
        </w:rPr>
        <w:t>5</w:t>
      </w:r>
      <w:r w:rsidRPr="0017004B">
        <w:rPr>
          <w:rFonts w:cs="Arial"/>
          <w:szCs w:val="24"/>
        </w:rPr>
        <w:t>), of all existing test data that show that chemical substance has been tested for the presence of halogenated</w:t>
      </w:r>
      <w:r w:rsidRPr="008C6A2E">
        <w:rPr>
          <w:rFonts w:cs="Arial"/>
          <w:szCs w:val="24"/>
        </w:rPr>
        <w:t xml:space="preserve"> dibenzodioxins/halogenated dibenzofurans (HDDs/HDFs), as well as any health and safety studies for the chemical substance, as defined in the regulation. Additionally, any manufacturer or importer of a chemical substance listed in 40 CFR 766.25 in possession of unpublished health and safety studies on HDDs/HDFs is required to submit copies of such studies to EPA.</w:t>
      </w:r>
    </w:p>
    <w:p w:rsidRPr="008C6A2E" w:rsidR="00E07475" w:rsidP="008C6A2E" w:rsidRDefault="00E07475" w14:paraId="6FE1272E" w14:textId="6901D94A">
      <w:pPr>
        <w:rPr>
          <w:rFonts w:cs="Arial"/>
          <w:szCs w:val="24"/>
        </w:rPr>
      </w:pPr>
      <w:r w:rsidRPr="008C6A2E">
        <w:rPr>
          <w:rFonts w:cs="Arial"/>
          <w:szCs w:val="24"/>
        </w:rPr>
        <w:t>A representative respondent would engage in the following activities:</w:t>
      </w:r>
    </w:p>
    <w:p w:rsidRPr="008C6A2E" w:rsidR="00E07475" w:rsidP="008C6A2E" w:rsidRDefault="00E07475" w14:paraId="0B81A7A0" w14:textId="77777777">
      <w:pPr>
        <w:pStyle w:val="ListParagraph"/>
        <w:numPr>
          <w:ilvl w:val="0"/>
          <w:numId w:val="10"/>
        </w:numPr>
        <w:autoSpaceDE w:val="0"/>
        <w:autoSpaceDN w:val="0"/>
        <w:adjustRightInd w:val="0"/>
        <w:ind w:left="1080"/>
        <w:rPr>
          <w:rFonts w:cs="Arial"/>
          <w:szCs w:val="24"/>
        </w:rPr>
      </w:pPr>
      <w:r w:rsidRPr="008C6A2E">
        <w:rPr>
          <w:rFonts w:cs="Arial"/>
          <w:szCs w:val="24"/>
        </w:rPr>
        <w:t xml:space="preserve">Conduct an initial review of the rule to determine if their company must </w:t>
      </w:r>
      <w:proofErr w:type="gramStart"/>
      <w:r w:rsidRPr="008C6A2E">
        <w:rPr>
          <w:rFonts w:cs="Arial"/>
          <w:szCs w:val="24"/>
        </w:rPr>
        <w:t>report;</w:t>
      </w:r>
      <w:proofErr w:type="gramEnd"/>
    </w:p>
    <w:p w:rsidRPr="008C6A2E" w:rsidR="00E07475" w:rsidP="008C6A2E" w:rsidRDefault="00E07475" w14:paraId="08084D71" w14:textId="77777777">
      <w:pPr>
        <w:pStyle w:val="ListParagraph"/>
        <w:numPr>
          <w:ilvl w:val="0"/>
          <w:numId w:val="10"/>
        </w:numPr>
        <w:autoSpaceDE w:val="0"/>
        <w:autoSpaceDN w:val="0"/>
        <w:adjustRightInd w:val="0"/>
        <w:ind w:left="1080"/>
        <w:rPr>
          <w:rFonts w:cs="Arial"/>
          <w:szCs w:val="24"/>
        </w:rPr>
      </w:pPr>
      <w:r w:rsidRPr="008C6A2E">
        <w:rPr>
          <w:rFonts w:cs="Arial"/>
          <w:szCs w:val="24"/>
        </w:rPr>
        <w:t xml:space="preserve">Familiarize themselves with the PAIR and subpart B of 40 CFR 766 </w:t>
      </w:r>
      <w:proofErr w:type="gramStart"/>
      <w:r w:rsidRPr="008C6A2E">
        <w:rPr>
          <w:rFonts w:cs="Arial"/>
          <w:szCs w:val="24"/>
        </w:rPr>
        <w:t>requirements;</w:t>
      </w:r>
      <w:proofErr w:type="gramEnd"/>
    </w:p>
    <w:p w:rsidRPr="008C6A2E" w:rsidR="00E07475" w:rsidP="008C6A2E" w:rsidRDefault="00E07475" w14:paraId="418F90E3" w14:textId="77777777">
      <w:pPr>
        <w:pStyle w:val="ListParagraph"/>
        <w:numPr>
          <w:ilvl w:val="0"/>
          <w:numId w:val="10"/>
        </w:numPr>
        <w:autoSpaceDE w:val="0"/>
        <w:autoSpaceDN w:val="0"/>
        <w:adjustRightInd w:val="0"/>
        <w:ind w:left="1080"/>
        <w:rPr>
          <w:rFonts w:cs="Arial"/>
          <w:szCs w:val="24"/>
        </w:rPr>
      </w:pPr>
      <w:r w:rsidRPr="008C6A2E">
        <w:rPr>
          <w:rFonts w:cs="Arial"/>
          <w:szCs w:val="24"/>
        </w:rPr>
        <w:t>Complete the PAIR and subpart B of 40 CFR 766 reporting via the Agency’s Central Data Exchange (CDX</w:t>
      </w:r>
      <w:proofErr w:type="gramStart"/>
      <w:r w:rsidRPr="008C6A2E">
        <w:rPr>
          <w:rFonts w:cs="Arial"/>
          <w:szCs w:val="24"/>
        </w:rPr>
        <w:t>);</w:t>
      </w:r>
      <w:proofErr w:type="gramEnd"/>
    </w:p>
    <w:p w:rsidRPr="008C6A2E" w:rsidR="00E07475" w:rsidP="008C6A2E" w:rsidRDefault="00E07475" w14:paraId="3BB62E14" w14:textId="77777777">
      <w:pPr>
        <w:pStyle w:val="ListParagraph"/>
        <w:numPr>
          <w:ilvl w:val="0"/>
          <w:numId w:val="10"/>
        </w:numPr>
        <w:autoSpaceDE w:val="0"/>
        <w:autoSpaceDN w:val="0"/>
        <w:adjustRightInd w:val="0"/>
        <w:ind w:left="1080"/>
        <w:rPr>
          <w:rFonts w:cs="Arial"/>
          <w:szCs w:val="24"/>
        </w:rPr>
      </w:pPr>
      <w:r w:rsidRPr="008C6A2E">
        <w:rPr>
          <w:rFonts w:cs="Arial"/>
          <w:szCs w:val="24"/>
        </w:rPr>
        <w:t xml:space="preserve">Provide trade name </w:t>
      </w:r>
      <w:proofErr w:type="gramStart"/>
      <w:r w:rsidRPr="008C6A2E">
        <w:rPr>
          <w:rFonts w:cs="Arial"/>
          <w:szCs w:val="24"/>
        </w:rPr>
        <w:t>notification;</w:t>
      </w:r>
      <w:proofErr w:type="gramEnd"/>
    </w:p>
    <w:p w:rsidRPr="008C6A2E" w:rsidR="00E07475" w:rsidP="008C6A2E" w:rsidRDefault="00E07475" w14:paraId="57129865" w14:textId="77777777">
      <w:pPr>
        <w:pStyle w:val="ListParagraph"/>
        <w:numPr>
          <w:ilvl w:val="0"/>
          <w:numId w:val="10"/>
        </w:numPr>
        <w:autoSpaceDE w:val="0"/>
        <w:autoSpaceDN w:val="0"/>
        <w:adjustRightInd w:val="0"/>
        <w:ind w:left="1080"/>
        <w:rPr>
          <w:rFonts w:cs="Arial"/>
          <w:szCs w:val="24"/>
        </w:rPr>
      </w:pPr>
      <w:r w:rsidRPr="008C6A2E">
        <w:rPr>
          <w:rFonts w:cs="Arial"/>
          <w:szCs w:val="24"/>
        </w:rPr>
        <w:t>Indicate CBI status if so desired; and</w:t>
      </w:r>
    </w:p>
    <w:p w:rsidRPr="008C6A2E" w:rsidR="00E07475" w:rsidP="008C6A2E" w:rsidRDefault="00E07475" w14:paraId="7CC86644" w14:textId="77777777">
      <w:pPr>
        <w:pStyle w:val="ListParagraph"/>
        <w:numPr>
          <w:ilvl w:val="0"/>
          <w:numId w:val="10"/>
        </w:numPr>
        <w:autoSpaceDE w:val="0"/>
        <w:autoSpaceDN w:val="0"/>
        <w:adjustRightInd w:val="0"/>
        <w:ind w:left="1080"/>
        <w:rPr>
          <w:rFonts w:cs="Arial"/>
          <w:szCs w:val="24"/>
        </w:rPr>
      </w:pPr>
      <w:r w:rsidRPr="008C6A2E">
        <w:rPr>
          <w:rFonts w:cs="Arial"/>
          <w:szCs w:val="24"/>
        </w:rPr>
        <w:t>Keep a copy for recordkeeping requirements.</w:t>
      </w:r>
    </w:p>
    <w:p w:rsidRPr="008C6A2E" w:rsidR="00E07475" w:rsidP="008C6A2E" w:rsidRDefault="00E07475" w14:paraId="68E5275D" w14:textId="77777777">
      <w:pPr>
        <w:pStyle w:val="ListParagraph"/>
        <w:autoSpaceDE w:val="0"/>
        <w:autoSpaceDN w:val="0"/>
        <w:adjustRightInd w:val="0"/>
        <w:ind w:left="0"/>
        <w:rPr>
          <w:rFonts w:cs="Arial"/>
          <w:szCs w:val="24"/>
        </w:rPr>
      </w:pPr>
    </w:p>
    <w:p w:rsidRPr="008C6A2E" w:rsidR="00306437" w:rsidP="008C6A2E" w:rsidRDefault="00E07475" w14:paraId="44CFBD08" w14:textId="77777777">
      <w:pPr>
        <w:pStyle w:val="ListParagraph"/>
        <w:autoSpaceDE w:val="0"/>
        <w:autoSpaceDN w:val="0"/>
        <w:adjustRightInd w:val="0"/>
        <w:ind w:left="0"/>
        <w:rPr>
          <w:rFonts w:cs="Arial"/>
          <w:szCs w:val="24"/>
        </w:rPr>
      </w:pPr>
      <w:r w:rsidRPr="008C6A2E">
        <w:rPr>
          <w:rFonts w:cs="Arial"/>
          <w:szCs w:val="24"/>
        </w:rPr>
        <w:t>The PAIR (40 CFR part 712) and subpart B of 40 CFR 766 generally requires one-time reporting and establishes the reporting period for the listed chemical substances, mixtures or categories. Therefore, a reporting schedule is not required.</w:t>
      </w:r>
    </w:p>
    <w:p w:rsidRPr="008C6A2E" w:rsidR="00306437" w:rsidP="008C6A2E" w:rsidRDefault="00306437" w14:paraId="6ECFA520" w14:textId="77777777">
      <w:pPr>
        <w:pStyle w:val="ListParagraph"/>
        <w:autoSpaceDE w:val="0"/>
        <w:autoSpaceDN w:val="0"/>
        <w:adjustRightInd w:val="0"/>
        <w:ind w:left="0"/>
        <w:rPr>
          <w:rFonts w:cs="Arial"/>
          <w:szCs w:val="24"/>
        </w:rPr>
      </w:pPr>
    </w:p>
    <w:p w:rsidRPr="008C6A2E" w:rsidR="00286491" w:rsidP="008C6A2E" w:rsidRDefault="00FD6FF1" w14:paraId="07E148A6" w14:textId="266F5BC1">
      <w:pPr>
        <w:pStyle w:val="ListParagraph"/>
        <w:autoSpaceDE w:val="0"/>
        <w:autoSpaceDN w:val="0"/>
        <w:adjustRightInd w:val="0"/>
        <w:ind w:left="0"/>
        <w:rPr>
          <w:rFonts w:cs="Arial"/>
          <w:szCs w:val="24"/>
        </w:rPr>
      </w:pPr>
      <w:r w:rsidRPr="008C6A2E">
        <w:rPr>
          <w:rFonts w:cs="Arial"/>
          <w:szCs w:val="24"/>
        </w:rPr>
        <w:t>This section presents the Agency’s estimates of the burden associated with the reporting and recordkeeping requirements under the TSCA section 8(a) PAIR and subpart B of 40 CFR 766. The total annual industry burden for both reporting and recordkeeping is estimated to be 33.0 hours. These estimates are based on the level of PAIR and subpart B of 40 CFR 766 reporting activity expected during the ICR period of FY 2019 through 2021. In conducting any study that will be submitted to EPA under TSCA, the respondent must comply with the Good Laboratory Practice Standards (</w:t>
      </w:r>
      <w:r w:rsidRPr="0017004B">
        <w:rPr>
          <w:rFonts w:cs="Arial"/>
          <w:szCs w:val="24"/>
        </w:rPr>
        <w:t xml:space="preserve">GLPS)at 40 CFR part 792 (see Attachment </w:t>
      </w:r>
      <w:r w:rsidR="00D916E8">
        <w:rPr>
          <w:rFonts w:cs="Arial"/>
          <w:szCs w:val="24"/>
        </w:rPr>
        <w:t>12</w:t>
      </w:r>
      <w:r w:rsidRPr="008C6A2E">
        <w:rPr>
          <w:rFonts w:cs="Arial"/>
          <w:szCs w:val="24"/>
        </w:rPr>
        <w:t>). Since the GLPS represent basic standard practices used by laboratories, any burden and costs related to the GLPS are fully captured in the cost and burden estimates provided below.</w:t>
      </w:r>
    </w:p>
    <w:p w:rsidRPr="008C6A2E" w:rsidR="00286491" w:rsidP="008C6A2E" w:rsidRDefault="00286491" w14:paraId="340B21AE" w14:textId="77777777">
      <w:pPr>
        <w:pStyle w:val="ListParagraph"/>
        <w:autoSpaceDE w:val="0"/>
        <w:autoSpaceDN w:val="0"/>
        <w:adjustRightInd w:val="0"/>
        <w:ind w:left="0"/>
        <w:rPr>
          <w:rFonts w:cs="Arial"/>
          <w:szCs w:val="24"/>
        </w:rPr>
      </w:pPr>
    </w:p>
    <w:p w:rsidR="008C6A2E" w:rsidP="008C6A2E" w:rsidRDefault="00FD6FF1" w14:paraId="3AF8BF5F" w14:textId="77777777">
      <w:pPr>
        <w:pStyle w:val="ListParagraph"/>
        <w:autoSpaceDE w:val="0"/>
        <w:autoSpaceDN w:val="0"/>
        <w:adjustRightInd w:val="0"/>
        <w:ind w:left="0"/>
        <w:rPr>
          <w:rFonts w:cs="Arial"/>
          <w:szCs w:val="24"/>
        </w:rPr>
      </w:pPr>
      <w:r w:rsidRPr="008C6A2E">
        <w:rPr>
          <w:rFonts w:cs="Arial"/>
          <w:szCs w:val="24"/>
        </w:rPr>
        <w:t>The methodology used to develop these cost estimates follows principles that have been used in previous ICRs. The methodology and calculations used in this analysis assume the employee responsible for filling out the form has a reasonable level of familiarity with the company and knowledge of the operation at the site. The analysis deals with the marginal costs of complying with this specific request and not the total costs to the company of initial employee training and costs associated with collecting and storing records or of file maintenance that enable a company to comply with a range of other federal and state environmental, health and safety regulations or accounting requirements that rely on this type of information. Based on conversations with respondents, gathering information for an 8(a) PAIR request is similar to other efforts they perform which require familiarity with EPA, state and other federal agency requests for chemical information and does not involve additional familiarization or training to comply with information requested under this ICR.</w:t>
      </w:r>
    </w:p>
    <w:p w:rsidR="00460E1C" w:rsidP="00460E1C" w:rsidRDefault="00460E1C" w14:paraId="33521490" w14:textId="77777777">
      <w:pPr>
        <w:pStyle w:val="ListParagraph"/>
        <w:autoSpaceDE w:val="0"/>
        <w:autoSpaceDN w:val="0"/>
        <w:adjustRightInd w:val="0"/>
        <w:ind w:left="0"/>
        <w:rPr>
          <w:rFonts w:cs="Arial"/>
          <w:szCs w:val="24"/>
        </w:rPr>
      </w:pPr>
    </w:p>
    <w:p w:rsidRPr="00285E59" w:rsidR="00460E1C" w:rsidP="00460E1C" w:rsidRDefault="00460E1C" w14:paraId="37EAE6B1" w14:textId="1CB0524D">
      <w:pPr>
        <w:pStyle w:val="ListParagraph"/>
        <w:autoSpaceDE w:val="0"/>
        <w:autoSpaceDN w:val="0"/>
        <w:adjustRightInd w:val="0"/>
        <w:ind w:left="0"/>
        <w:rPr>
          <w:rFonts w:cs="Arial"/>
          <w:szCs w:val="24"/>
        </w:rPr>
      </w:pPr>
      <w:r w:rsidRPr="00285E59">
        <w:rPr>
          <w:rFonts w:cs="Arial"/>
          <w:szCs w:val="24"/>
        </w:rPr>
        <w:t>Number of Sites and Reports per Site</w:t>
      </w:r>
    </w:p>
    <w:p w:rsidRPr="00312CA0" w:rsidR="00736ED1" w:rsidP="00312CA0" w:rsidRDefault="00FD6FF1" w14:paraId="7263FE2D" w14:textId="2927FB09">
      <w:pPr>
        <w:autoSpaceDE w:val="0"/>
        <w:autoSpaceDN w:val="0"/>
        <w:adjustRightInd w:val="0"/>
        <w:rPr>
          <w:rFonts w:cs="Arial"/>
          <w:szCs w:val="24"/>
        </w:rPr>
      </w:pPr>
      <w:r w:rsidRPr="008C6A2E">
        <w:rPr>
          <w:rFonts w:cs="Arial"/>
          <w:szCs w:val="24"/>
        </w:rPr>
        <w:t>The burden hour estimates in this analysis are based on an estimate of the level of PAIR and subpart B of 40 CFR 766 reporting activity during the next three-year ICR approval period (FY 20</w:t>
      </w:r>
      <w:r w:rsidR="00736ED1">
        <w:rPr>
          <w:rFonts w:cs="Arial"/>
          <w:szCs w:val="24"/>
        </w:rPr>
        <w:t>2</w:t>
      </w:r>
      <w:r w:rsidR="009E2651">
        <w:rPr>
          <w:rFonts w:cs="Arial"/>
          <w:szCs w:val="24"/>
        </w:rPr>
        <w:t>2</w:t>
      </w:r>
      <w:r w:rsidRPr="008C6A2E">
        <w:rPr>
          <w:rFonts w:cs="Arial"/>
          <w:szCs w:val="24"/>
        </w:rPr>
        <w:t xml:space="preserve"> to FY 202</w:t>
      </w:r>
      <w:r w:rsidR="004D510F">
        <w:rPr>
          <w:rFonts w:cs="Arial"/>
          <w:szCs w:val="24"/>
        </w:rPr>
        <w:t>5</w:t>
      </w:r>
      <w:r w:rsidRPr="008C6A2E">
        <w:rPr>
          <w:rFonts w:cs="Arial"/>
          <w:szCs w:val="24"/>
        </w:rPr>
        <w:t xml:space="preserve">). This, in turn, is related to the number of expected PAIR and subpart B of 40 CFR 766 chemical reports and reporting sites. During fiscal years 2012 to </w:t>
      </w:r>
      <w:r w:rsidRPr="008C6A2E" w:rsidR="00515F36">
        <w:rPr>
          <w:rFonts w:cs="Arial"/>
          <w:szCs w:val="24"/>
        </w:rPr>
        <w:t>20</w:t>
      </w:r>
      <w:r w:rsidR="00515F36">
        <w:rPr>
          <w:rFonts w:cs="Arial"/>
          <w:szCs w:val="24"/>
        </w:rPr>
        <w:t>22</w:t>
      </w:r>
      <w:r w:rsidRPr="008C6A2E">
        <w:rPr>
          <w:rFonts w:cs="Arial"/>
          <w:szCs w:val="24"/>
        </w:rPr>
        <w:t xml:space="preserve">, EPA received </w:t>
      </w:r>
      <w:r w:rsidR="00B2051D">
        <w:rPr>
          <w:rFonts w:cs="Arial"/>
          <w:szCs w:val="24"/>
        </w:rPr>
        <w:t>0</w:t>
      </w:r>
      <w:r w:rsidRPr="008C6A2E" w:rsidR="00B2051D">
        <w:rPr>
          <w:rFonts w:cs="Arial"/>
          <w:szCs w:val="24"/>
        </w:rPr>
        <w:t xml:space="preserve"> </w:t>
      </w:r>
      <w:r w:rsidRPr="008C6A2E">
        <w:rPr>
          <w:rFonts w:cs="Arial"/>
          <w:szCs w:val="24"/>
        </w:rPr>
        <w:t>PAIR submissions. Some PAIR reports submitted during a given fiscal year may be for chemicals added to the PAIR during previous years. EPA received less than five submissions over the course of the last OMB approval for subpart B of 40 CFR 766. For the purposes of this analysis, EPA assumes an annual average of 1 site (respondent) submitting 1 report (form), for an average of 1 report per respondent.</w:t>
      </w:r>
      <w:r w:rsidR="005364D2">
        <w:rPr>
          <w:rFonts w:cs="Arial"/>
          <w:szCs w:val="24"/>
        </w:rPr>
        <w:t xml:space="preserve"> </w:t>
      </w:r>
      <w:r w:rsidR="00F121D8">
        <w:rPr>
          <w:rFonts w:cs="Arial"/>
          <w:szCs w:val="24"/>
        </w:rPr>
        <w:t>This is a</w:t>
      </w:r>
      <w:r w:rsidR="00A61E22">
        <w:rPr>
          <w:rFonts w:cs="Arial"/>
          <w:szCs w:val="24"/>
        </w:rPr>
        <w:t xml:space="preserve"> realistic </w:t>
      </w:r>
      <w:r w:rsidR="00F121D8">
        <w:rPr>
          <w:rFonts w:cs="Arial"/>
          <w:szCs w:val="24"/>
        </w:rPr>
        <w:t xml:space="preserve">estimate as </w:t>
      </w:r>
      <w:r w:rsidR="005364D2">
        <w:rPr>
          <w:rFonts w:cs="Arial"/>
          <w:szCs w:val="24"/>
        </w:rPr>
        <w:t>EPA</w:t>
      </w:r>
      <w:r w:rsidR="001C5239">
        <w:rPr>
          <w:rFonts w:cs="Arial"/>
          <w:szCs w:val="24"/>
        </w:rPr>
        <w:t>, at this time, does not plan to</w:t>
      </w:r>
      <w:r w:rsidR="005364D2">
        <w:rPr>
          <w:rFonts w:cs="Arial"/>
          <w:szCs w:val="24"/>
        </w:rPr>
        <w:t xml:space="preserve"> issue a PAIR rule in this renewal cycle because EPA will most likely use other rulemakings such as the Chemical Data Reporting (CDR) rule to collect similar data</w:t>
      </w:r>
      <w:r w:rsidR="000A51C6">
        <w:rPr>
          <w:rFonts w:cs="Arial"/>
          <w:szCs w:val="24"/>
        </w:rPr>
        <w:t xml:space="preserve"> however</w:t>
      </w:r>
      <w:r w:rsidR="005364D2">
        <w:rPr>
          <w:rFonts w:cs="Arial"/>
          <w:szCs w:val="24"/>
        </w:rPr>
        <w:t xml:space="preserve">, the following describes </w:t>
      </w:r>
      <w:r w:rsidR="000A51C6">
        <w:rPr>
          <w:rFonts w:cs="Arial"/>
          <w:szCs w:val="24"/>
        </w:rPr>
        <w:t xml:space="preserve">respondents’ </w:t>
      </w:r>
      <w:r w:rsidR="005364D2">
        <w:rPr>
          <w:rFonts w:cs="Arial"/>
          <w:szCs w:val="24"/>
        </w:rPr>
        <w:t>burden if such an event were to occur.</w:t>
      </w:r>
    </w:p>
    <w:p w:rsidR="00736ED1" w:rsidP="00736ED1" w:rsidRDefault="00FD6FF1" w14:paraId="71EE27CA" w14:textId="3215DF5C">
      <w:pPr>
        <w:autoSpaceDE w:val="0"/>
        <w:autoSpaceDN w:val="0"/>
        <w:adjustRightInd w:val="0"/>
        <w:rPr>
          <w:rFonts w:cs="Arial"/>
          <w:szCs w:val="24"/>
          <w:u w:val="single"/>
        </w:rPr>
      </w:pPr>
      <w:r w:rsidRPr="008C6A2E">
        <w:rPr>
          <w:rFonts w:cs="Arial"/>
          <w:szCs w:val="24"/>
        </w:rPr>
        <w:t xml:space="preserve">To estimate the burden and costs to industry respondents, several reporting activities (or burden factors) are analyzed. These burden items </w:t>
      </w:r>
      <w:proofErr w:type="gramStart"/>
      <w:r w:rsidRPr="008C6A2E">
        <w:rPr>
          <w:rFonts w:cs="Arial"/>
          <w:szCs w:val="24"/>
        </w:rPr>
        <w:t>include:</w:t>
      </w:r>
      <w:proofErr w:type="gramEnd"/>
      <w:r w:rsidRPr="008C6A2E">
        <w:rPr>
          <w:rFonts w:cs="Arial"/>
          <w:szCs w:val="24"/>
        </w:rPr>
        <w:t xml:space="preserve"> form familiarization; report preparation; trade name notification; CBI substantiation; recordkeeping; CDX registration; and report submission. Each of these activities requires the skills of various labor categories. The section below details each separate activity and presents the estimated labor hours required by each task, by labor category (</w:t>
      </w:r>
      <w:r w:rsidR="00F318AF">
        <w:rPr>
          <w:rFonts w:cs="Arial"/>
          <w:szCs w:val="24"/>
        </w:rPr>
        <w:t xml:space="preserve">i.e., </w:t>
      </w:r>
      <w:r w:rsidRPr="008C6A2E">
        <w:rPr>
          <w:rFonts w:cs="Arial"/>
          <w:szCs w:val="24"/>
        </w:rPr>
        <w:t>clerical, technical and managerial).</w:t>
      </w:r>
    </w:p>
    <w:p w:rsidR="002E1B16" w:rsidP="002E1B16" w:rsidRDefault="00736ED1" w14:paraId="350ED783" w14:textId="70E55A12">
      <w:pPr>
        <w:autoSpaceDE w:val="0"/>
        <w:autoSpaceDN w:val="0"/>
        <w:adjustRightInd w:val="0"/>
        <w:rPr>
          <w:rFonts w:cs="Arial"/>
          <w:szCs w:val="24"/>
        </w:rPr>
      </w:pPr>
      <w:r w:rsidRPr="00736ED1">
        <w:rPr>
          <w:rFonts w:cs="Arial"/>
          <w:szCs w:val="24"/>
        </w:rPr>
        <w:t>A</w:t>
      </w:r>
      <w:r w:rsidRPr="00736ED1" w:rsidR="00FD6FF1">
        <w:rPr>
          <w:rFonts w:cs="Arial"/>
          <w:szCs w:val="24"/>
        </w:rPr>
        <w:t xml:space="preserve">ll </w:t>
      </w:r>
      <w:r w:rsidRPr="008C6A2E" w:rsidR="00FD6FF1">
        <w:rPr>
          <w:rFonts w:cs="Arial"/>
          <w:szCs w:val="24"/>
        </w:rPr>
        <w:t xml:space="preserve">burden estimates are taken from the </w:t>
      </w:r>
      <w:bookmarkStart w:name="_Hlk85197369" w:id="26"/>
      <w:r w:rsidRPr="008C6A2E" w:rsidR="00FD6FF1">
        <w:rPr>
          <w:rFonts w:cs="Arial"/>
          <w:i/>
          <w:color w:val="000000"/>
          <w:szCs w:val="24"/>
        </w:rPr>
        <w:t>Economic Impact and Small Business Definition Analysis for the Final TSCA Section 8(a) Preliminary Assessment Information Rule, Final Report</w:t>
      </w:r>
      <w:r w:rsidRPr="008C6A2E" w:rsidR="00FD6FF1">
        <w:rPr>
          <w:rFonts w:cs="Arial"/>
          <w:color w:val="000000"/>
          <w:szCs w:val="24"/>
        </w:rPr>
        <w:t xml:space="preserve"> (EPA, 1981), previous TSCA Section 8(a) PAIR ICRs updates, and </w:t>
      </w:r>
      <w:r w:rsidRPr="008C6A2E" w:rsidR="00FD6FF1">
        <w:rPr>
          <w:rFonts w:cs="Arial"/>
          <w:szCs w:val="24"/>
        </w:rPr>
        <w:t xml:space="preserve">the </w:t>
      </w:r>
      <w:r w:rsidRPr="008C6A2E" w:rsidR="00FD6FF1">
        <w:rPr>
          <w:rFonts w:cs="Arial"/>
          <w:i/>
          <w:szCs w:val="24"/>
        </w:rPr>
        <w:t>Economic Analysis for the Electronic Reporting under the Toxic Substances Control Act (TSCA) Final Rule</w:t>
      </w:r>
      <w:r w:rsidRPr="008C6A2E" w:rsidR="00FD6FF1">
        <w:rPr>
          <w:rFonts w:cs="Arial"/>
          <w:szCs w:val="24"/>
        </w:rPr>
        <w:t xml:space="preserve"> (EPA, 2012), </w:t>
      </w:r>
      <w:bookmarkEnd w:id="26"/>
      <w:r w:rsidRPr="008C6A2E" w:rsidR="00FD6FF1">
        <w:rPr>
          <w:rFonts w:cs="Arial"/>
          <w:szCs w:val="24"/>
        </w:rPr>
        <w:t>unless otherwise noted</w:t>
      </w:r>
      <w:r w:rsidRPr="008C6A2E" w:rsidR="00FD6FF1">
        <w:rPr>
          <w:rFonts w:cs="Arial"/>
          <w:color w:val="000000"/>
          <w:szCs w:val="24"/>
        </w:rPr>
        <w:t xml:space="preserve">. The 2012 EA estimates the burden associated with electronic PAIR </w:t>
      </w:r>
      <w:r w:rsidRPr="008C6A2E" w:rsidR="00FD6FF1">
        <w:rPr>
          <w:rFonts w:cs="Arial"/>
          <w:szCs w:val="24"/>
        </w:rPr>
        <w:t xml:space="preserve">and subpart B of 40 CFR 766 </w:t>
      </w:r>
      <w:r w:rsidRPr="008C6A2E" w:rsidR="00FD6FF1">
        <w:rPr>
          <w:rFonts w:cs="Arial"/>
          <w:color w:val="000000"/>
          <w:szCs w:val="24"/>
        </w:rPr>
        <w:t>submissions, including the burden associated with CDX registration, the reduction in recordkeeping burden, and the reduction of the clerical burden associated with report submission. This ICR follows the practice of the last ICR update where EPA removed the clerical burden associated with all other PAIR</w:t>
      </w:r>
      <w:r w:rsidRPr="008C6A2E" w:rsidR="00FD6FF1">
        <w:rPr>
          <w:rFonts w:cs="Arial"/>
          <w:szCs w:val="24"/>
        </w:rPr>
        <w:t xml:space="preserve"> and subpart B of 40 CFR 766 </w:t>
      </w:r>
      <w:r w:rsidRPr="008C6A2E" w:rsidR="00FD6FF1">
        <w:rPr>
          <w:rFonts w:cs="Arial"/>
          <w:color w:val="000000"/>
          <w:szCs w:val="24"/>
        </w:rPr>
        <w:t xml:space="preserve">submission activities. This change was made to be consistent with the burden estimates provided for the electronic reporting of TSCA Section 5 Notices in </w:t>
      </w:r>
      <w:r w:rsidRPr="008C6A2E" w:rsidR="00FD6FF1">
        <w:rPr>
          <w:rFonts w:cs="Arial"/>
          <w:i/>
          <w:szCs w:val="24"/>
        </w:rPr>
        <w:t>The Economic Analysis of the Premanufacture Notification Electronic Reporting Rule</w:t>
      </w:r>
      <w:r w:rsidRPr="008C6A2E" w:rsidR="00FD6FF1">
        <w:rPr>
          <w:rFonts w:cs="Arial"/>
          <w:szCs w:val="24"/>
        </w:rPr>
        <w:t xml:space="preserve"> (EPA, 2009) and the electronic submission of TSCA 8(b) Chemical Data Reporting (CDR) submissions in the </w:t>
      </w:r>
      <w:r w:rsidRPr="008C6A2E" w:rsidR="00FD6FF1">
        <w:rPr>
          <w:rFonts w:cs="Arial"/>
          <w:i/>
          <w:szCs w:val="24"/>
        </w:rPr>
        <w:t xml:space="preserve">Economic Analysis for the Final Inventory Update Reporting (IUR) Modifications Rule </w:t>
      </w:r>
      <w:r w:rsidRPr="008C6A2E" w:rsidR="00FD6FF1">
        <w:rPr>
          <w:rFonts w:cs="Arial"/>
          <w:szCs w:val="24"/>
        </w:rPr>
        <w:t>(EPA, 2011).</w:t>
      </w:r>
    </w:p>
    <w:p w:rsidRPr="00285E59" w:rsidR="002E1B16" w:rsidP="002E1B16" w:rsidRDefault="00FD6FF1" w14:paraId="456E1231" w14:textId="29BD49C5">
      <w:pPr>
        <w:autoSpaceDE w:val="0"/>
        <w:autoSpaceDN w:val="0"/>
        <w:adjustRightInd w:val="0"/>
        <w:rPr>
          <w:rFonts w:cs="Arial"/>
          <w:bCs/>
          <w:iCs/>
          <w:szCs w:val="24"/>
        </w:rPr>
      </w:pPr>
      <w:r w:rsidRPr="00285E59">
        <w:rPr>
          <w:rFonts w:cs="Arial"/>
          <w:bCs/>
          <w:iCs/>
          <w:szCs w:val="24"/>
        </w:rPr>
        <w:t>Form Familiarization</w:t>
      </w:r>
    </w:p>
    <w:p w:rsidRPr="002E1B16" w:rsidR="00FD6FF1" w:rsidP="002E1B16" w:rsidRDefault="00FD6FF1" w14:paraId="11AB9BA3" w14:textId="23A05A78">
      <w:pPr>
        <w:autoSpaceDE w:val="0"/>
        <w:autoSpaceDN w:val="0"/>
        <w:adjustRightInd w:val="0"/>
        <w:rPr>
          <w:rFonts w:cs="Arial"/>
          <w:b/>
          <w:i/>
          <w:szCs w:val="24"/>
        </w:rPr>
      </w:pPr>
      <w:r w:rsidRPr="008C6A2E">
        <w:rPr>
          <w:rFonts w:cs="Arial"/>
          <w:szCs w:val="24"/>
        </w:rPr>
        <w:t>In the 1981 PAIR economic analysis</w:t>
      </w:r>
      <w:r w:rsidRPr="008C6A2E">
        <w:rPr>
          <w:rStyle w:val="FootnoteReference"/>
          <w:rFonts w:cs="Arial"/>
          <w:szCs w:val="24"/>
        </w:rPr>
        <w:footnoteReference w:id="2"/>
      </w:r>
      <w:r w:rsidRPr="008C6A2E">
        <w:rPr>
          <w:rFonts w:cs="Arial"/>
          <w:szCs w:val="24"/>
        </w:rPr>
        <w:t xml:space="preserve">, it was estimated that form familiarization would require 3 hours of effort from managerial personnel and 4 hours from technical personnel for a total of 7 hours per site. The estimate includes efforts for rule familiarization and to determine if reporting is required. Because EPA only expects one report from one site in the next ICR cycle, </w:t>
      </w:r>
      <w:r w:rsidR="001562F4">
        <w:rPr>
          <w:rFonts w:cs="Arial"/>
          <w:szCs w:val="24"/>
        </w:rPr>
        <w:t xml:space="preserve">both </w:t>
      </w:r>
      <w:r w:rsidRPr="008C6A2E">
        <w:rPr>
          <w:rFonts w:cs="Arial"/>
          <w:szCs w:val="24"/>
        </w:rPr>
        <w:t xml:space="preserve">the per-report </w:t>
      </w:r>
      <w:r w:rsidR="001562F4">
        <w:rPr>
          <w:rFonts w:cs="Arial"/>
          <w:szCs w:val="24"/>
        </w:rPr>
        <w:t xml:space="preserve">and per-site </w:t>
      </w:r>
      <w:r w:rsidRPr="008C6A2E">
        <w:rPr>
          <w:rFonts w:cs="Arial"/>
          <w:szCs w:val="24"/>
        </w:rPr>
        <w:t>burden is estimated to be 7 hours.</w:t>
      </w:r>
      <w:r w:rsidR="00C16049">
        <w:rPr>
          <w:rFonts w:cs="Arial"/>
          <w:szCs w:val="24"/>
        </w:rPr>
        <w:t xml:space="preserve"> See</w:t>
      </w:r>
      <w:r w:rsidR="00F85291">
        <w:rPr>
          <w:rFonts w:cs="Arial"/>
          <w:szCs w:val="24"/>
        </w:rPr>
        <w:t xml:space="preserve"> Table</w:t>
      </w:r>
      <w:r w:rsidR="00C16049">
        <w:rPr>
          <w:rFonts w:cs="Arial"/>
          <w:szCs w:val="24"/>
        </w:rPr>
        <w:t xml:space="preserve"> </w:t>
      </w:r>
      <w:r w:rsidR="00E14C12">
        <w:rPr>
          <w:rFonts w:cs="Arial"/>
          <w:szCs w:val="24"/>
        </w:rPr>
        <w:t>2</w:t>
      </w:r>
      <w:r w:rsidR="00C16049">
        <w:rPr>
          <w:rFonts w:cs="Arial"/>
          <w:szCs w:val="24"/>
        </w:rPr>
        <w:fldChar w:fldCharType="begin"/>
      </w:r>
      <w:r w:rsidR="00C16049">
        <w:rPr>
          <w:rFonts w:cs="Arial"/>
          <w:szCs w:val="24"/>
        </w:rPr>
        <w:instrText xml:space="preserve"> REF _Ref416443759 \h </w:instrText>
      </w:r>
      <w:r w:rsidR="00C16049">
        <w:rPr>
          <w:rFonts w:cs="Arial"/>
          <w:szCs w:val="24"/>
        </w:rPr>
      </w:r>
      <w:r w:rsidR="00C16049">
        <w:rPr>
          <w:rFonts w:cs="Arial"/>
          <w:szCs w:val="24"/>
        </w:rPr>
        <w:fldChar w:fldCharType="end"/>
      </w:r>
      <w:r w:rsidR="00C16049">
        <w:rPr>
          <w:rFonts w:cs="Arial"/>
          <w:szCs w:val="24"/>
        </w:rPr>
        <w:t xml:space="preserve"> for the summary of estimated annual burden hours.</w:t>
      </w:r>
    </w:p>
    <w:p w:rsidRPr="00285E59" w:rsidR="002E1B16" w:rsidP="002E1B16" w:rsidRDefault="00FD6FF1" w14:paraId="2324A3C8" w14:textId="75C471AD">
      <w:r w:rsidRPr="00285E59">
        <w:t>Report Preparation</w:t>
      </w:r>
    </w:p>
    <w:p w:rsidRPr="002E1B16" w:rsidR="00FD6FF1" w:rsidP="002E1B16" w:rsidRDefault="00FD6FF1" w14:paraId="1851281E" w14:textId="5CD0ED51">
      <w:r w:rsidRPr="008C6A2E">
        <w:t>The 1981 PAIR economic analysis estimated that direct reporting activities would require a total of 16 hours of effort per report. This consists of the burden related to the completion of the PAIR (EPA Form No. 7710-35) or subpart B of 40 CFR 766 form (EPA Form No. 7710-51). As indicated previously, the respondents are not expected to conduct an exhaustive search of their files. Respondents are only required to report what is known or reasonably ascertainable to them (see 40 CFR 712.7). The relative distribution of reporting burden between managerial, technical and clerical personnel was developed for the 1992 PAIR ICR update. For this ICR update, EPA assumes that per-report burden for report preparation is the same as in the prior ICR update</w:t>
      </w:r>
      <w:r w:rsidR="00D54A1F">
        <w:t>.</w:t>
      </w:r>
      <w:r w:rsidR="00CF014F">
        <w:t xml:space="preserve"> </w:t>
      </w:r>
      <w:r w:rsidRPr="008C6A2E" w:rsidR="00CF014F">
        <w:rPr>
          <w:rFonts w:cs="Arial"/>
          <w:szCs w:val="24"/>
        </w:rPr>
        <w:t>EPA only expects one report from one site in the next ICR cycle,</w:t>
      </w:r>
      <w:r w:rsidR="00D54A1F">
        <w:rPr>
          <w:rFonts w:cs="Arial"/>
          <w:szCs w:val="24"/>
        </w:rPr>
        <w:t xml:space="preserve"> and</w:t>
      </w:r>
      <w:r w:rsidRPr="008C6A2E" w:rsidR="00CF014F">
        <w:rPr>
          <w:rFonts w:cs="Arial"/>
          <w:szCs w:val="24"/>
        </w:rPr>
        <w:t xml:space="preserve"> </w:t>
      </w:r>
      <w:r w:rsidR="00CF014F">
        <w:rPr>
          <w:rFonts w:cs="Arial"/>
          <w:szCs w:val="24"/>
        </w:rPr>
        <w:t xml:space="preserve">both </w:t>
      </w:r>
      <w:r w:rsidRPr="008C6A2E" w:rsidR="00CF014F">
        <w:rPr>
          <w:rFonts w:cs="Arial"/>
          <w:szCs w:val="24"/>
        </w:rPr>
        <w:t xml:space="preserve">the per-report </w:t>
      </w:r>
      <w:r w:rsidR="00CF014F">
        <w:rPr>
          <w:rFonts w:cs="Arial"/>
          <w:szCs w:val="24"/>
        </w:rPr>
        <w:t>and per-site</w:t>
      </w:r>
      <w:r w:rsidR="00D54A1F">
        <w:rPr>
          <w:rFonts w:cs="Arial"/>
          <w:szCs w:val="24"/>
        </w:rPr>
        <w:t xml:space="preserve"> </w:t>
      </w:r>
      <w:r w:rsidRPr="008C6A2E">
        <w:t xml:space="preserve">total burden estimate </w:t>
      </w:r>
      <w:r w:rsidR="00D54A1F">
        <w:t>is</w:t>
      </w:r>
      <w:r w:rsidRPr="008C6A2E" w:rsidR="00D54A1F">
        <w:t xml:space="preserve"> </w:t>
      </w:r>
      <w:r w:rsidRPr="008C6A2E">
        <w:t>14.75 hours.</w:t>
      </w:r>
      <w:r w:rsidR="00D54A1F">
        <w:t xml:space="preserve"> See</w:t>
      </w:r>
      <w:r w:rsidR="00F85291">
        <w:t xml:space="preserve"> Table</w:t>
      </w:r>
      <w:r w:rsidR="00D54A1F">
        <w:t xml:space="preserve"> </w:t>
      </w:r>
      <w:r w:rsidR="00E14C12">
        <w:rPr>
          <w:rFonts w:cs="Arial"/>
          <w:szCs w:val="24"/>
        </w:rPr>
        <w:t>2</w:t>
      </w:r>
      <w:r w:rsidR="00D54A1F">
        <w:rPr>
          <w:rFonts w:cs="Arial"/>
          <w:szCs w:val="24"/>
        </w:rPr>
        <w:fldChar w:fldCharType="begin"/>
      </w:r>
      <w:r w:rsidR="00D54A1F">
        <w:rPr>
          <w:rFonts w:cs="Arial"/>
          <w:szCs w:val="24"/>
        </w:rPr>
        <w:instrText xml:space="preserve"> REF _Ref416443759 \h </w:instrText>
      </w:r>
      <w:r w:rsidR="00D54A1F">
        <w:rPr>
          <w:rFonts w:cs="Arial"/>
          <w:szCs w:val="24"/>
        </w:rPr>
      </w:r>
      <w:r w:rsidR="00D54A1F">
        <w:rPr>
          <w:rFonts w:cs="Arial"/>
          <w:szCs w:val="24"/>
        </w:rPr>
        <w:fldChar w:fldCharType="end"/>
      </w:r>
      <w:r w:rsidR="00D54A1F">
        <w:rPr>
          <w:rFonts w:cs="Arial"/>
          <w:szCs w:val="24"/>
        </w:rPr>
        <w:t xml:space="preserve"> for the summary of estimated annual burden hours.</w:t>
      </w:r>
      <w:r w:rsidR="00D54A1F">
        <w:t xml:space="preserve"> </w:t>
      </w:r>
    </w:p>
    <w:p w:rsidRPr="00285E59" w:rsidR="00FD6FF1" w:rsidP="00143A31" w:rsidRDefault="00FD6FF1" w14:paraId="0DC880A6" w14:textId="2C6673DF">
      <w:pPr>
        <w:rPr>
          <w:bCs/>
          <w:iCs/>
        </w:rPr>
      </w:pPr>
      <w:r w:rsidRPr="00285E59">
        <w:rPr>
          <w:bCs/>
          <w:iCs/>
        </w:rPr>
        <w:t>Trade Name Notification</w:t>
      </w:r>
    </w:p>
    <w:p w:rsidR="00143A31" w:rsidP="00143A31" w:rsidRDefault="00FD6FF1" w14:paraId="2822F758" w14:textId="77777777">
      <w:r w:rsidRPr="008C6A2E">
        <w:t>Some companies may report their customers’ uses as “unknown” for more than twenty percent of their volume. These companies must list under Item 10 of the PAIR reporting form the market (trade) name(s) under which they distribute the chemical. This reporting is referred to as trade name notification.</w:t>
      </w:r>
      <w:r w:rsidRPr="008C6A2E">
        <w:rPr>
          <w:rStyle w:val="FootnoteReference"/>
          <w:rFonts w:cs="Arial"/>
          <w:szCs w:val="24"/>
        </w:rPr>
        <w:footnoteReference w:id="3"/>
      </w:r>
    </w:p>
    <w:p w:rsidRPr="00143A31" w:rsidR="00FD6FF1" w:rsidP="00143A31" w:rsidRDefault="00FD6FF1" w14:paraId="7D058153" w14:textId="2DEE403C">
      <w:r w:rsidRPr="008C6A2E">
        <w:rPr>
          <w:rFonts w:cs="Arial"/>
          <w:szCs w:val="24"/>
        </w:rPr>
        <w:t>All commercial manufacturing, importing and processing sites that distribute any of the chemicals subjected to a PAIR reporting rule under a trade name must take steps to ensure that information about the downstream processors is submitted to EPA. Firms may choose among several options to meet trade name notification requirements, including:</w:t>
      </w:r>
    </w:p>
    <w:p w:rsidRPr="000D3957" w:rsidR="00FD6FF1" w:rsidP="008C6A2E" w:rsidRDefault="00FD6FF1" w14:paraId="303D0830" w14:textId="77777777">
      <w:pPr>
        <w:pStyle w:val="ListParagraph"/>
        <w:numPr>
          <w:ilvl w:val="0"/>
          <w:numId w:val="22"/>
        </w:numPr>
        <w:autoSpaceDE w:val="0"/>
        <w:autoSpaceDN w:val="0"/>
        <w:adjustRightInd w:val="0"/>
        <w:rPr>
          <w:rFonts w:cs="Arial"/>
          <w:iCs/>
          <w:szCs w:val="24"/>
        </w:rPr>
      </w:pPr>
      <w:r w:rsidRPr="008C6A2E">
        <w:rPr>
          <w:rFonts w:cs="Arial"/>
          <w:szCs w:val="24"/>
        </w:rPr>
        <w:t xml:space="preserve">Submit trade name data to EPA for listing in the </w:t>
      </w:r>
      <w:r w:rsidRPr="000D3957">
        <w:rPr>
          <w:rFonts w:cs="Arial"/>
          <w:iCs/>
          <w:szCs w:val="24"/>
        </w:rPr>
        <w:t xml:space="preserve">Federal </w:t>
      </w:r>
      <w:proofErr w:type="gramStart"/>
      <w:r w:rsidRPr="000D3957">
        <w:rPr>
          <w:rFonts w:cs="Arial"/>
          <w:iCs/>
          <w:szCs w:val="24"/>
        </w:rPr>
        <w:t>Register;</w:t>
      </w:r>
      <w:proofErr w:type="gramEnd"/>
    </w:p>
    <w:p w:rsidRPr="008C6A2E" w:rsidR="00FD6FF1" w:rsidP="008C6A2E" w:rsidRDefault="00FD6FF1" w14:paraId="306FF680" w14:textId="77777777">
      <w:pPr>
        <w:pStyle w:val="ListParagraph"/>
        <w:numPr>
          <w:ilvl w:val="0"/>
          <w:numId w:val="22"/>
        </w:numPr>
        <w:autoSpaceDE w:val="0"/>
        <w:autoSpaceDN w:val="0"/>
        <w:adjustRightInd w:val="0"/>
        <w:rPr>
          <w:rFonts w:cs="Arial"/>
          <w:szCs w:val="24"/>
        </w:rPr>
      </w:pPr>
      <w:r w:rsidRPr="008C6A2E">
        <w:rPr>
          <w:rFonts w:cs="Arial"/>
          <w:szCs w:val="24"/>
        </w:rPr>
        <w:t>Notify all customers of the need to report; or</w:t>
      </w:r>
    </w:p>
    <w:p w:rsidRPr="008C6A2E" w:rsidR="00FD6FF1" w:rsidP="008C6A2E" w:rsidRDefault="00FD6FF1" w14:paraId="525056E7" w14:textId="77777777">
      <w:pPr>
        <w:pStyle w:val="ListParagraph"/>
        <w:numPr>
          <w:ilvl w:val="0"/>
          <w:numId w:val="22"/>
        </w:numPr>
        <w:autoSpaceDE w:val="0"/>
        <w:autoSpaceDN w:val="0"/>
        <w:adjustRightInd w:val="0"/>
        <w:rPr>
          <w:rFonts w:cs="Arial"/>
          <w:szCs w:val="24"/>
        </w:rPr>
      </w:pPr>
      <w:r w:rsidRPr="008C6A2E">
        <w:rPr>
          <w:rFonts w:cs="Arial"/>
          <w:szCs w:val="24"/>
        </w:rPr>
        <w:t>Complete the reporting requirements for each customer.</w:t>
      </w:r>
    </w:p>
    <w:p w:rsidR="00143A31" w:rsidP="00143A31" w:rsidRDefault="00FD6FF1" w14:paraId="0B509A2F" w14:textId="77777777">
      <w:pPr>
        <w:autoSpaceDE w:val="0"/>
        <w:autoSpaceDN w:val="0"/>
        <w:adjustRightInd w:val="0"/>
        <w:rPr>
          <w:rFonts w:cs="Arial"/>
          <w:szCs w:val="24"/>
        </w:rPr>
      </w:pPr>
      <w:r w:rsidRPr="008C6A2E">
        <w:rPr>
          <w:rFonts w:cs="Arial"/>
          <w:szCs w:val="24"/>
        </w:rPr>
        <w:t xml:space="preserve">This ICR assumes that companies will adopt the least-costly reporting alternative of providing a trade name list to EPA for inclusion in the </w:t>
      </w:r>
      <w:r w:rsidRPr="000D3957">
        <w:rPr>
          <w:rFonts w:cs="Arial"/>
          <w:iCs/>
          <w:szCs w:val="24"/>
        </w:rPr>
        <w:t>Federal Register</w:t>
      </w:r>
      <w:r w:rsidRPr="008C6A2E">
        <w:rPr>
          <w:rFonts w:cs="Arial"/>
          <w:szCs w:val="24"/>
        </w:rPr>
        <w:t>. However, trade name notification is not relevant if processor reporting is not required.</w:t>
      </w:r>
    </w:p>
    <w:p w:rsidRPr="008C6A2E" w:rsidR="00FF7B00" w:rsidP="00FF7B00" w:rsidRDefault="00FD6FF1" w14:paraId="576B1920" w14:textId="211E8D67">
      <w:r w:rsidRPr="008C6A2E">
        <w:rPr>
          <w:rFonts w:cs="Arial"/>
          <w:szCs w:val="24"/>
        </w:rPr>
        <w:t xml:space="preserve">Furthermore, this ICR also assumes that all manufacturers and importers will incur trade name notification </w:t>
      </w:r>
      <w:proofErr w:type="gramStart"/>
      <w:r w:rsidRPr="008C6A2E">
        <w:rPr>
          <w:rFonts w:cs="Arial"/>
          <w:szCs w:val="24"/>
        </w:rPr>
        <w:t>costs, but</w:t>
      </w:r>
      <w:proofErr w:type="gramEnd"/>
      <w:r w:rsidRPr="008C6A2E">
        <w:rPr>
          <w:rFonts w:cs="Arial"/>
          <w:szCs w:val="24"/>
        </w:rPr>
        <w:t xml:space="preserve"> does not address processors due to the lack of data on processor reporting. In the 1994 EPA PAIR ICR,</w:t>
      </w:r>
      <w:r w:rsidRPr="008C6A2E">
        <w:rPr>
          <w:rStyle w:val="FootnoteReference"/>
          <w:rFonts w:cs="Arial"/>
          <w:szCs w:val="24"/>
        </w:rPr>
        <w:footnoteReference w:id="4"/>
      </w:r>
      <w:r w:rsidRPr="008C6A2E">
        <w:rPr>
          <w:rFonts w:cs="Arial"/>
          <w:szCs w:val="24"/>
        </w:rPr>
        <w:t xml:space="preserve"> the unit burden of trade name notification was given as 3.2 hours (i.e., 2.2 hours managerial and 1.0 hours clerical), for this analysis the 1.0 hours of clerical burden is removed to adjust for electronic submissions, for a total burden of 2.2 hours per report.</w:t>
      </w:r>
      <w:r w:rsidR="00CF014F">
        <w:rPr>
          <w:rFonts w:cs="Arial"/>
          <w:szCs w:val="24"/>
        </w:rPr>
        <w:t xml:space="preserve"> </w:t>
      </w:r>
      <w:r w:rsidRPr="008C6A2E" w:rsidR="00CF014F">
        <w:rPr>
          <w:rFonts w:cs="Arial"/>
          <w:szCs w:val="24"/>
        </w:rPr>
        <w:t xml:space="preserve">Because EPA only expects one report from one site in the next ICR cycle, </w:t>
      </w:r>
      <w:r w:rsidR="00CF014F">
        <w:rPr>
          <w:rFonts w:cs="Arial"/>
          <w:szCs w:val="24"/>
        </w:rPr>
        <w:t xml:space="preserve">both </w:t>
      </w:r>
      <w:r w:rsidRPr="008C6A2E" w:rsidR="00CF014F">
        <w:rPr>
          <w:rFonts w:cs="Arial"/>
          <w:szCs w:val="24"/>
        </w:rPr>
        <w:t xml:space="preserve">the per-report </w:t>
      </w:r>
      <w:r w:rsidR="00CF014F">
        <w:rPr>
          <w:rFonts w:cs="Arial"/>
          <w:szCs w:val="24"/>
        </w:rPr>
        <w:t>and per-site burden is 2.2 hours.</w:t>
      </w:r>
      <w:r w:rsidR="00FF7B00">
        <w:rPr>
          <w:rFonts w:cs="Arial"/>
          <w:szCs w:val="24"/>
        </w:rPr>
        <w:t xml:space="preserve"> See</w:t>
      </w:r>
      <w:r w:rsidR="00F85291">
        <w:rPr>
          <w:rFonts w:cs="Arial"/>
          <w:szCs w:val="24"/>
        </w:rPr>
        <w:t xml:space="preserve"> Table </w:t>
      </w:r>
      <w:r w:rsidR="00E14C12">
        <w:rPr>
          <w:rFonts w:cs="Arial"/>
          <w:szCs w:val="24"/>
        </w:rPr>
        <w:t>2</w:t>
      </w:r>
      <w:r w:rsidR="00FF7B00">
        <w:rPr>
          <w:rFonts w:cs="Arial"/>
          <w:szCs w:val="24"/>
        </w:rPr>
        <w:fldChar w:fldCharType="begin"/>
      </w:r>
      <w:r w:rsidR="00FF7B00">
        <w:rPr>
          <w:rFonts w:cs="Arial"/>
          <w:szCs w:val="24"/>
        </w:rPr>
        <w:instrText xml:space="preserve"> REF _Ref416443759 \h </w:instrText>
      </w:r>
      <w:r w:rsidR="00FF7B00">
        <w:rPr>
          <w:rFonts w:cs="Arial"/>
          <w:szCs w:val="24"/>
        </w:rPr>
      </w:r>
      <w:r w:rsidR="00FF7B00">
        <w:rPr>
          <w:rFonts w:cs="Arial"/>
          <w:szCs w:val="24"/>
        </w:rPr>
        <w:fldChar w:fldCharType="end"/>
      </w:r>
      <w:r w:rsidR="00FF7B00">
        <w:rPr>
          <w:rFonts w:cs="Arial"/>
          <w:szCs w:val="24"/>
        </w:rPr>
        <w:t xml:space="preserve"> for the summary of estimated annual burden hours.</w:t>
      </w:r>
    </w:p>
    <w:p w:rsidRPr="00143A31" w:rsidR="00143A31" w:rsidP="00143A31" w:rsidRDefault="00FD6FF1" w14:paraId="50E53752" w14:textId="0FDB31AB">
      <w:pPr>
        <w:autoSpaceDE w:val="0"/>
        <w:autoSpaceDN w:val="0"/>
        <w:adjustRightInd w:val="0"/>
        <w:rPr>
          <w:rFonts w:cs="Arial"/>
          <w:iCs/>
          <w:szCs w:val="24"/>
        </w:rPr>
      </w:pPr>
      <w:r w:rsidRPr="00143A31">
        <w:rPr>
          <w:rFonts w:cs="Arial"/>
          <w:iCs/>
          <w:szCs w:val="24"/>
        </w:rPr>
        <w:t>CBI Substantiation</w:t>
      </w:r>
    </w:p>
    <w:p w:rsidR="00143A31" w:rsidP="00143A31" w:rsidRDefault="00FD6FF1" w14:paraId="1D85A6BC" w14:textId="77777777">
      <w:pPr>
        <w:autoSpaceDE w:val="0"/>
        <w:autoSpaceDN w:val="0"/>
        <w:adjustRightInd w:val="0"/>
        <w:rPr>
          <w:rFonts w:cs="Arial"/>
          <w:b/>
          <w:i/>
          <w:szCs w:val="24"/>
        </w:rPr>
      </w:pPr>
      <w:r w:rsidRPr="008C6A2E">
        <w:rPr>
          <w:rFonts w:cs="Arial"/>
          <w:szCs w:val="24"/>
        </w:rPr>
        <w:t xml:space="preserve">A company may make claims of confidentiality for any data element contained in its submission. For each CBI (confidential business information) claim, generic information must be supplied for a non-CBI copy of the submission (i.e., a sanitized version must also be submitted). It is assumed that most of the time required for CBI substantiation involves managerial staff discussion of whether or not to make a CBI claim. Furthermore, it is assumed that all firms will review their submissions for CBI content. </w:t>
      </w:r>
    </w:p>
    <w:p w:rsidRPr="00143A31" w:rsidR="00FD6FF1" w:rsidP="00143A31" w:rsidRDefault="00FD6FF1" w14:paraId="0D92D9F4" w14:textId="65C9D604">
      <w:pPr>
        <w:autoSpaceDE w:val="0"/>
        <w:autoSpaceDN w:val="0"/>
        <w:adjustRightInd w:val="0"/>
        <w:rPr>
          <w:rFonts w:cs="Arial"/>
          <w:b/>
          <w:i/>
          <w:szCs w:val="24"/>
        </w:rPr>
      </w:pPr>
      <w:r w:rsidRPr="008C6A2E">
        <w:rPr>
          <w:rFonts w:cs="Arial"/>
          <w:szCs w:val="24"/>
        </w:rPr>
        <w:t>The Lautenberg Act, passed in 2016 reformed TSCA and increased requirements for TSCA CBI substantiation claims. These changes significantly change the CBI substantiation burden from prior ICR updates. The previous ICR assumed that all CBI substantiation burden was a managerial decision. The Lautenberg Act changed TSCA to require a statement that the submitter has (1) taken reasonable measures to protect the confidentiality of the information, (2) determined that the information is not required to be disclosed or otherwise made available to the public under any other Federal law, (3) has a reasonable basis to conclude that disclosure of the information is likely to cause substantial harm to the competitive position of the person; and (4) has a reasonable basis to believe that the information is not readily discoverable through reverse engineering.</w:t>
      </w:r>
      <w:r w:rsidRPr="008C6A2E">
        <w:rPr>
          <w:rStyle w:val="FootnoteReference"/>
          <w:rFonts w:cs="Arial"/>
          <w:szCs w:val="24"/>
        </w:rPr>
        <w:footnoteReference w:id="5"/>
      </w:r>
      <w:r w:rsidRPr="008C6A2E">
        <w:rPr>
          <w:rFonts w:cs="Arial"/>
          <w:szCs w:val="24"/>
        </w:rPr>
        <w:t xml:space="preserve"> These additional questions make CBI substantiation more a technical than a managerial decision. </w:t>
      </w:r>
      <w:r w:rsidR="00D54A1F">
        <w:rPr>
          <w:rFonts w:cs="Arial"/>
          <w:szCs w:val="24"/>
        </w:rPr>
        <w:t>T</w:t>
      </w:r>
      <w:r w:rsidRPr="008C6A2E">
        <w:rPr>
          <w:rFonts w:cs="Arial"/>
          <w:szCs w:val="24"/>
        </w:rPr>
        <w:t xml:space="preserve">his update </w:t>
      </w:r>
      <w:r w:rsidR="00D54A1F">
        <w:rPr>
          <w:rFonts w:cs="Arial"/>
          <w:szCs w:val="24"/>
        </w:rPr>
        <w:t xml:space="preserve">uses the previous ICR update </w:t>
      </w:r>
      <w:r w:rsidRPr="008C6A2E">
        <w:rPr>
          <w:rFonts w:cs="Arial"/>
          <w:szCs w:val="24"/>
        </w:rPr>
        <w:t>estimates 1.27 hours of managerial time and 4.</w:t>
      </w:r>
      <w:r w:rsidRPr="008C6A2E" w:rsidR="00D929C2">
        <w:rPr>
          <w:rFonts w:cs="Arial"/>
          <w:szCs w:val="24"/>
        </w:rPr>
        <w:t>0</w:t>
      </w:r>
      <w:r w:rsidR="00D929C2">
        <w:rPr>
          <w:rFonts w:cs="Arial"/>
          <w:szCs w:val="24"/>
        </w:rPr>
        <w:t>8</w:t>
      </w:r>
      <w:r w:rsidRPr="008C6A2E" w:rsidR="00D929C2">
        <w:rPr>
          <w:rFonts w:cs="Arial"/>
          <w:szCs w:val="24"/>
        </w:rPr>
        <w:t xml:space="preserve"> </w:t>
      </w:r>
      <w:r w:rsidRPr="008C6A2E">
        <w:rPr>
          <w:rFonts w:cs="Arial"/>
          <w:szCs w:val="24"/>
        </w:rPr>
        <w:t xml:space="preserve">hours of technical time per report for a total of </w:t>
      </w:r>
      <w:r w:rsidRPr="008C6A2E" w:rsidR="00D929C2">
        <w:rPr>
          <w:rFonts w:cs="Arial"/>
          <w:szCs w:val="24"/>
        </w:rPr>
        <w:t>3</w:t>
      </w:r>
      <w:r w:rsidR="00D929C2">
        <w:rPr>
          <w:rFonts w:cs="Arial"/>
          <w:szCs w:val="24"/>
        </w:rPr>
        <w:t>5</w:t>
      </w:r>
      <w:r w:rsidRPr="008C6A2E" w:rsidR="00D929C2">
        <w:rPr>
          <w:rFonts w:cs="Arial"/>
          <w:szCs w:val="24"/>
        </w:rPr>
        <w:t xml:space="preserve"> </w:t>
      </w:r>
      <w:r w:rsidRPr="008C6A2E">
        <w:rPr>
          <w:rFonts w:cs="Arial"/>
          <w:szCs w:val="24"/>
        </w:rPr>
        <w:t>hours per report.</w:t>
      </w:r>
    </w:p>
    <w:p w:rsidRPr="001562F4" w:rsidR="00143A31" w:rsidP="00E14C12" w:rsidRDefault="00FD6FF1" w14:paraId="7ADFC38A" w14:textId="0D9D5889">
      <w:r w:rsidRPr="008C6A2E">
        <w:rPr>
          <w:rFonts w:cs="Arial"/>
          <w:szCs w:val="24"/>
        </w:rPr>
        <w:t>Based on an analysis of CBI claims for reporting to the TSCA Inventory (discussed in the 1986 CAIR economic analysis), only 75 percent of reports are expected to make CBI claims. The burden distributed across all reports is 5.</w:t>
      </w:r>
      <w:r w:rsidRPr="008C6A2E" w:rsidR="00D929C2">
        <w:rPr>
          <w:rFonts w:cs="Arial"/>
          <w:szCs w:val="24"/>
        </w:rPr>
        <w:t>3</w:t>
      </w:r>
      <w:r w:rsidR="00D929C2">
        <w:rPr>
          <w:rFonts w:cs="Arial"/>
          <w:szCs w:val="24"/>
        </w:rPr>
        <w:t>5</w:t>
      </w:r>
      <w:r w:rsidRPr="008C6A2E" w:rsidR="00D929C2">
        <w:rPr>
          <w:rFonts w:cs="Arial"/>
          <w:szCs w:val="24"/>
        </w:rPr>
        <w:t xml:space="preserve"> </w:t>
      </w:r>
      <w:r w:rsidRPr="008C6A2E">
        <w:rPr>
          <w:rFonts w:cs="Arial"/>
          <w:szCs w:val="24"/>
        </w:rPr>
        <w:t xml:space="preserve">hours x 0.75, or 4.01 hours. </w:t>
      </w:r>
      <w:r w:rsidRPr="008C6A2E" w:rsidR="00CF014F">
        <w:rPr>
          <w:rFonts w:cs="Arial"/>
          <w:szCs w:val="24"/>
        </w:rPr>
        <w:t xml:space="preserve">Because EPA only expects one report from one site in the next ICR cycle, </w:t>
      </w:r>
      <w:r w:rsidR="00CF014F">
        <w:rPr>
          <w:rFonts w:cs="Arial"/>
          <w:szCs w:val="24"/>
        </w:rPr>
        <w:t xml:space="preserve">both </w:t>
      </w:r>
      <w:r w:rsidRPr="008C6A2E" w:rsidR="00CF014F">
        <w:rPr>
          <w:rFonts w:cs="Arial"/>
          <w:szCs w:val="24"/>
        </w:rPr>
        <w:t xml:space="preserve">the per-report </w:t>
      </w:r>
      <w:r w:rsidR="00CF014F">
        <w:rPr>
          <w:rFonts w:cs="Arial"/>
          <w:szCs w:val="24"/>
        </w:rPr>
        <w:t xml:space="preserve">and per-site burden is 4.01 hours. </w:t>
      </w:r>
      <w:r w:rsidR="001562F4">
        <w:rPr>
          <w:rFonts w:cs="Arial"/>
          <w:szCs w:val="24"/>
        </w:rPr>
        <w:t xml:space="preserve">See </w:t>
      </w:r>
      <w:r w:rsidR="007B04B7">
        <w:rPr>
          <w:rFonts w:cs="Arial"/>
          <w:szCs w:val="24"/>
        </w:rPr>
        <w:fldChar w:fldCharType="begin"/>
      </w:r>
      <w:r w:rsidR="007B04B7">
        <w:rPr>
          <w:rFonts w:cs="Arial"/>
          <w:szCs w:val="24"/>
        </w:rPr>
        <w:instrText xml:space="preserve"> REF _Ref95745701 \h </w:instrText>
      </w:r>
      <w:r w:rsidR="007B04B7">
        <w:rPr>
          <w:rFonts w:cs="Arial"/>
          <w:szCs w:val="24"/>
        </w:rPr>
      </w:r>
      <w:r w:rsidR="007B04B7">
        <w:rPr>
          <w:rFonts w:cs="Arial"/>
          <w:szCs w:val="24"/>
        </w:rPr>
        <w:fldChar w:fldCharType="separate"/>
      </w:r>
      <w:r w:rsidR="000234CF">
        <w:t xml:space="preserve">Table </w:t>
      </w:r>
      <w:r w:rsidR="007B04B7">
        <w:rPr>
          <w:rFonts w:cs="Arial"/>
          <w:szCs w:val="24"/>
        </w:rPr>
        <w:fldChar w:fldCharType="end"/>
      </w:r>
      <w:r w:rsidR="00E14C12">
        <w:rPr>
          <w:rFonts w:cs="Arial"/>
          <w:szCs w:val="24"/>
        </w:rPr>
        <w:t>2</w:t>
      </w:r>
      <w:r w:rsidR="001562F4">
        <w:rPr>
          <w:rFonts w:cs="Arial"/>
          <w:szCs w:val="24"/>
        </w:rPr>
        <w:fldChar w:fldCharType="begin"/>
      </w:r>
      <w:r w:rsidR="001562F4">
        <w:rPr>
          <w:rFonts w:cs="Arial"/>
          <w:szCs w:val="24"/>
        </w:rPr>
        <w:instrText xml:space="preserve"> REF _Ref416443759 \h </w:instrText>
      </w:r>
      <w:r w:rsidR="001562F4">
        <w:rPr>
          <w:rFonts w:cs="Arial"/>
          <w:szCs w:val="24"/>
        </w:rPr>
      </w:r>
      <w:r w:rsidR="001562F4">
        <w:rPr>
          <w:rFonts w:cs="Arial"/>
          <w:szCs w:val="24"/>
        </w:rPr>
        <w:fldChar w:fldCharType="end"/>
      </w:r>
      <w:r w:rsidR="001562F4">
        <w:rPr>
          <w:rFonts w:cs="Arial"/>
          <w:szCs w:val="24"/>
        </w:rPr>
        <w:t xml:space="preserve"> for the summary of estimated annual burden hours.</w:t>
      </w:r>
    </w:p>
    <w:p w:rsidRPr="00143A31" w:rsidR="00143A31" w:rsidP="00143A31" w:rsidRDefault="00FD6FF1" w14:paraId="7DF176E6" w14:textId="77777777">
      <w:pPr>
        <w:autoSpaceDE w:val="0"/>
        <w:autoSpaceDN w:val="0"/>
        <w:adjustRightInd w:val="0"/>
        <w:rPr>
          <w:rFonts w:cs="Arial"/>
          <w:iCs/>
          <w:szCs w:val="24"/>
        </w:rPr>
      </w:pPr>
      <w:r w:rsidRPr="00143A31">
        <w:rPr>
          <w:rFonts w:cs="Arial"/>
          <w:iCs/>
          <w:szCs w:val="24"/>
        </w:rPr>
        <w:t>Recordkeeping</w:t>
      </w:r>
    </w:p>
    <w:p w:rsidRPr="008C6A2E" w:rsidR="00FD6FF1" w:rsidP="00143A31" w:rsidRDefault="00FD6FF1" w14:paraId="291D50A6" w14:textId="3E55D5A2">
      <w:pPr>
        <w:autoSpaceDE w:val="0"/>
        <w:autoSpaceDN w:val="0"/>
        <w:adjustRightInd w:val="0"/>
        <w:rPr>
          <w:rFonts w:cs="Arial"/>
          <w:szCs w:val="24"/>
        </w:rPr>
      </w:pPr>
      <w:r w:rsidRPr="008C6A2E">
        <w:rPr>
          <w:rFonts w:cs="Arial"/>
          <w:szCs w:val="24"/>
        </w:rPr>
        <w:t>Pursuant to TSCA section 8(a), the manufacturer/importer or processors of the chemical substances identified under PAIR must also maintain records of the information submitted to EPA. In addition, since manufacturer/importer or processors that submit data to EPA must comply with the GLPS in 40 CFR 792, this ICR also generally covers the burden associated with maintaining records as required under the GLPS. These records are used for compliance monitoring and enforcement purposes.</w:t>
      </w:r>
    </w:p>
    <w:p w:rsidRPr="00383553" w:rsidR="00FD6FF1" w:rsidP="008C6A2E" w:rsidRDefault="00FD6FF1" w14:paraId="64ABC32C" w14:textId="685A3EDB">
      <w:r w:rsidRPr="008C6A2E">
        <w:rPr>
          <w:rFonts w:cs="Arial"/>
          <w:szCs w:val="24"/>
        </w:rPr>
        <w:t xml:space="preserve">EPA estimates that the recordkeeping burden associated with this ICR involves about half an hour of time for both the clerical and the technical labor category, based on the </w:t>
      </w:r>
      <w:r w:rsidRPr="008C6A2E">
        <w:rPr>
          <w:rFonts w:cs="Arial"/>
          <w:i/>
          <w:szCs w:val="24"/>
        </w:rPr>
        <w:t>Economic Analysis for the Electronic Reporting under the Toxic Substances Control Act (TSCA) Final Rule</w:t>
      </w:r>
      <w:r w:rsidRPr="008C6A2E">
        <w:rPr>
          <w:rFonts w:cs="Arial"/>
          <w:szCs w:val="24"/>
        </w:rPr>
        <w:t xml:space="preserve"> (EPA, 2012). This burden estimate represents the time necessary for the individuals to identify the information, determine the appropriate location for the record to be kept, and placing the record in such a location. The per-report recordkeeping burden is therefore estimated to be 1.00 hour.</w:t>
      </w:r>
      <w:r w:rsidR="009F389D">
        <w:rPr>
          <w:rFonts w:cs="Arial"/>
          <w:szCs w:val="24"/>
        </w:rPr>
        <w:t xml:space="preserve"> </w:t>
      </w:r>
      <w:r w:rsidRPr="008C6A2E" w:rsidR="009F389D">
        <w:rPr>
          <w:rFonts w:cs="Arial"/>
          <w:szCs w:val="24"/>
        </w:rPr>
        <w:t xml:space="preserve">Because EPA only expects one report from one site in the next ICR cycle, </w:t>
      </w:r>
      <w:r w:rsidR="009F389D">
        <w:rPr>
          <w:rFonts w:cs="Arial"/>
          <w:szCs w:val="24"/>
        </w:rPr>
        <w:t xml:space="preserve">both </w:t>
      </w:r>
      <w:r w:rsidRPr="008C6A2E" w:rsidR="009F389D">
        <w:rPr>
          <w:rFonts w:cs="Arial"/>
          <w:szCs w:val="24"/>
        </w:rPr>
        <w:t xml:space="preserve">the per-report </w:t>
      </w:r>
      <w:r w:rsidR="009F389D">
        <w:rPr>
          <w:rFonts w:cs="Arial"/>
          <w:szCs w:val="24"/>
        </w:rPr>
        <w:t xml:space="preserve">and per-site burden is 1.00 hour. See </w:t>
      </w:r>
      <w:r w:rsidR="0034191D">
        <w:rPr>
          <w:rFonts w:cs="Arial"/>
          <w:szCs w:val="24"/>
        </w:rPr>
        <w:t>Table 2</w:t>
      </w:r>
      <w:r w:rsidR="009F389D">
        <w:rPr>
          <w:rFonts w:cs="Arial"/>
          <w:szCs w:val="24"/>
        </w:rPr>
        <w:fldChar w:fldCharType="begin"/>
      </w:r>
      <w:r w:rsidR="009F389D">
        <w:rPr>
          <w:rFonts w:cs="Arial"/>
          <w:szCs w:val="24"/>
        </w:rPr>
        <w:instrText xml:space="preserve"> REF _Ref416443759 \h </w:instrText>
      </w:r>
      <w:r w:rsidR="009F389D">
        <w:rPr>
          <w:rFonts w:cs="Arial"/>
          <w:szCs w:val="24"/>
        </w:rPr>
      </w:r>
      <w:r w:rsidR="009F389D">
        <w:rPr>
          <w:rFonts w:cs="Arial"/>
          <w:szCs w:val="24"/>
        </w:rPr>
        <w:fldChar w:fldCharType="end"/>
      </w:r>
      <w:r w:rsidR="009F389D">
        <w:rPr>
          <w:rFonts w:cs="Arial"/>
          <w:szCs w:val="24"/>
        </w:rPr>
        <w:t xml:space="preserve"> for the summary of estimated annual burden hours.</w:t>
      </w:r>
    </w:p>
    <w:p w:rsidRPr="007B04B7" w:rsidR="00FD6FF1" w:rsidP="00143A31" w:rsidRDefault="00FD6FF1" w14:paraId="261DE4DC" w14:textId="47454B4D">
      <w:pPr>
        <w:rPr>
          <w:bCs/>
        </w:rPr>
      </w:pPr>
      <w:r w:rsidRPr="007B04B7">
        <w:rPr>
          <w:bCs/>
        </w:rPr>
        <w:t>CDX Registration</w:t>
      </w:r>
      <w:r w:rsidR="00171F86">
        <w:rPr>
          <w:bCs/>
        </w:rPr>
        <w:t>, Electronic Signature, and Rule Familiarization</w:t>
      </w:r>
    </w:p>
    <w:p w:rsidRPr="008C6A2E" w:rsidR="00FD6FF1" w:rsidP="00143A31" w:rsidRDefault="00FD6FF1" w14:paraId="5F5F6104" w14:textId="288CAB3C">
      <w:pPr>
        <w:rPr>
          <w:b/>
          <w:bCs/>
        </w:rPr>
      </w:pPr>
      <w:r w:rsidRPr="008C6A2E">
        <w:t xml:space="preserve">As part of EPA’s electronic reporting requirements, submitters of PAIR and subpart B of 40 CFR 766 reports are required to register and submit information electronically with EPA’s CDX system. EPA estimates that companies registering with CDX for the first time would incur a one-time burden to complete CDX registration activities, obtain a CDX electronic signature, and familiarize themselves with electronic reporting requirements. The total burden associated with CDX registration is </w:t>
      </w:r>
      <w:r w:rsidR="00257308">
        <w:t xml:space="preserve">available at </w:t>
      </w:r>
      <w:hyperlink w:history="1" r:id="rId13">
        <w:r w:rsidRPr="00257308" w:rsidR="00257308">
          <w:rPr>
            <w:rStyle w:val="Hyperlink"/>
          </w:rPr>
          <w:t>www.cdx.epa.gov</w:t>
        </w:r>
      </w:hyperlink>
      <w:r w:rsidR="005967C8">
        <w:t>, which is informed by the CR</w:t>
      </w:r>
      <w:r w:rsidR="00592C48">
        <w:t>OMERR cost benefit analysis (EPA</w:t>
      </w:r>
      <w:r w:rsidR="00257308">
        <w:t xml:space="preserve"> </w:t>
      </w:r>
      <w:r w:rsidR="00592C48">
        <w:t>2021</w:t>
      </w:r>
      <w:bookmarkStart w:name="_Hlk85198416" w:id="27"/>
      <w:r w:rsidRPr="008C6A2E">
        <w:t xml:space="preserve">) </w:t>
      </w:r>
      <w:bookmarkEnd w:id="27"/>
      <w:r w:rsidRPr="008C6A2E">
        <w:t>and is estimated to be 3.48 hours per company</w:t>
      </w:r>
      <w:r w:rsidR="00C133FD">
        <w:t>. This</w:t>
      </w:r>
      <w:r w:rsidRPr="008C6A2E">
        <w:t xml:space="preserve"> </w:t>
      </w:r>
      <w:r w:rsidRPr="008C6A2E" w:rsidR="00C133FD">
        <w:t>includ</w:t>
      </w:r>
      <w:r w:rsidR="00C133FD">
        <w:t>es</w:t>
      </w:r>
      <w:r w:rsidRPr="008C6A2E" w:rsidR="00C133FD">
        <w:t xml:space="preserve"> </w:t>
      </w:r>
      <w:r w:rsidRPr="008C6A2E">
        <w:t>0.91 hours for CDX Registration</w:t>
      </w:r>
      <w:r w:rsidR="00C133FD">
        <w:t xml:space="preserve"> assuming 1 managerial staff and 4 technical staff</w:t>
      </w:r>
      <w:r w:rsidRPr="008C6A2E">
        <w:t>, 1.75 hours for completing electronic signature agreements, and 0.82 hours for rule familiarization.</w:t>
      </w:r>
    </w:p>
    <w:p w:rsidRPr="008C6A2E" w:rsidR="00FD6FF1" w:rsidP="00143A31" w:rsidRDefault="00FD6FF1" w14:paraId="20497DD2" w14:textId="78D087D3">
      <w:r w:rsidRPr="008C6A2E">
        <w:t>For the purposes of this analysis EPA assumes that the one site submitting PAIR or subpart B of 40 CFR 766 data will register with CDX, for a total per-site burden of 3.48 hours.</w:t>
      </w:r>
      <w:r w:rsidR="00383553">
        <w:t xml:space="preserve"> </w:t>
      </w:r>
      <w:r w:rsidR="00383553">
        <w:rPr>
          <w:rFonts w:cs="Arial"/>
          <w:szCs w:val="24"/>
        </w:rPr>
        <w:t>See</w:t>
      </w:r>
      <w:r w:rsidR="00F85291">
        <w:rPr>
          <w:rFonts w:cs="Arial"/>
          <w:szCs w:val="24"/>
        </w:rPr>
        <w:t xml:space="preserve"> Table</w:t>
      </w:r>
      <w:r w:rsidR="00383553">
        <w:rPr>
          <w:rFonts w:cs="Arial"/>
          <w:szCs w:val="24"/>
        </w:rPr>
        <w:t xml:space="preserve"> </w:t>
      </w:r>
      <w:r w:rsidR="00E14C12">
        <w:rPr>
          <w:rFonts w:cs="Arial"/>
          <w:szCs w:val="24"/>
        </w:rPr>
        <w:t>2</w:t>
      </w:r>
      <w:r w:rsidR="00383553">
        <w:rPr>
          <w:rFonts w:cs="Arial"/>
          <w:szCs w:val="24"/>
        </w:rPr>
        <w:fldChar w:fldCharType="begin"/>
      </w:r>
      <w:r w:rsidR="00383553">
        <w:rPr>
          <w:rFonts w:cs="Arial"/>
          <w:szCs w:val="24"/>
        </w:rPr>
        <w:instrText xml:space="preserve"> REF _Ref416443759 \h </w:instrText>
      </w:r>
      <w:r w:rsidR="00383553">
        <w:rPr>
          <w:rFonts w:cs="Arial"/>
          <w:szCs w:val="24"/>
        </w:rPr>
      </w:r>
      <w:r w:rsidR="00383553">
        <w:rPr>
          <w:rFonts w:cs="Arial"/>
          <w:szCs w:val="24"/>
        </w:rPr>
        <w:fldChar w:fldCharType="end"/>
      </w:r>
      <w:r w:rsidR="00383553">
        <w:rPr>
          <w:rFonts w:cs="Arial"/>
          <w:szCs w:val="24"/>
        </w:rPr>
        <w:t xml:space="preserve"> for the summary of estimated annual burden hours.</w:t>
      </w:r>
    </w:p>
    <w:p w:rsidRPr="00143A31" w:rsidR="00FD6FF1" w:rsidP="00143A31" w:rsidRDefault="00FD6FF1" w14:paraId="3E6CA673" w14:textId="77777777">
      <w:pPr>
        <w:rPr>
          <w:bCs/>
          <w:iCs/>
        </w:rPr>
      </w:pPr>
      <w:r w:rsidRPr="00143A31">
        <w:rPr>
          <w:bCs/>
          <w:iCs/>
        </w:rPr>
        <w:t>Report Submission</w:t>
      </w:r>
    </w:p>
    <w:p w:rsidR="00143A31" w:rsidP="00143A31" w:rsidRDefault="00FD6FF1" w14:paraId="45770BED" w14:textId="77777777">
      <w:r w:rsidRPr="008C6A2E">
        <w:t>Report submission consists of the preparation, review and electronic submission of a report in accordance with 40 CFR Part 712, Subpart B, as amended by 78 FR 72818 (December 4, 2013), which required electronic submission.</w:t>
      </w:r>
    </w:p>
    <w:p w:rsidRPr="00143A31" w:rsidR="00FD6FF1" w:rsidP="00143A31" w:rsidRDefault="00FD6FF1" w14:paraId="3D9B29CC" w14:textId="72F79A57">
      <w:r w:rsidRPr="008C6A2E">
        <w:rPr>
          <w:rFonts w:cs="Arial"/>
          <w:szCs w:val="24"/>
        </w:rPr>
        <w:t xml:space="preserve">EPA estimates that the per-report submission will require 0.05 hours of clerical time and 0.5 hours of managerial time for a total of 0.55 hours. The clerical burden is taken from the </w:t>
      </w:r>
      <w:r w:rsidRPr="008C6A2E">
        <w:rPr>
          <w:rFonts w:cs="Arial"/>
          <w:bCs/>
          <w:i/>
          <w:szCs w:val="24"/>
        </w:rPr>
        <w:t xml:space="preserve">Economic Analysis for the Electronic Reporting under the Toxic Substances Control Act (TSCA) Final Rule </w:t>
      </w:r>
      <w:r w:rsidRPr="008C6A2E">
        <w:rPr>
          <w:rFonts w:cs="Arial"/>
          <w:bCs/>
          <w:szCs w:val="24"/>
        </w:rPr>
        <w:t xml:space="preserve">(EPA, 2012) and includes time to </w:t>
      </w:r>
      <w:r w:rsidRPr="008C6A2E">
        <w:rPr>
          <w:rFonts w:cs="Arial"/>
          <w:szCs w:val="24"/>
        </w:rPr>
        <w:t>prepare and submit a report electronically. The managerial time assumes an involvement in the preparation of the transmittal letter and review of the report package before it is submitted to EPA.</w:t>
      </w:r>
      <w:r w:rsidR="00383553">
        <w:rPr>
          <w:rFonts w:cs="Arial"/>
          <w:szCs w:val="24"/>
        </w:rPr>
        <w:t xml:space="preserve"> </w:t>
      </w:r>
      <w:r w:rsidRPr="008C6A2E" w:rsidR="00383553">
        <w:rPr>
          <w:rFonts w:cs="Arial"/>
          <w:szCs w:val="24"/>
        </w:rPr>
        <w:t xml:space="preserve">Because EPA only expects one report from one site in the next ICR cycle, </w:t>
      </w:r>
      <w:r w:rsidR="00383553">
        <w:rPr>
          <w:rFonts w:cs="Arial"/>
          <w:szCs w:val="24"/>
        </w:rPr>
        <w:t xml:space="preserve">both </w:t>
      </w:r>
      <w:r w:rsidRPr="008C6A2E" w:rsidR="00383553">
        <w:rPr>
          <w:rFonts w:cs="Arial"/>
          <w:szCs w:val="24"/>
        </w:rPr>
        <w:t xml:space="preserve">the per-report </w:t>
      </w:r>
      <w:r w:rsidR="00383553">
        <w:rPr>
          <w:rFonts w:cs="Arial"/>
          <w:szCs w:val="24"/>
        </w:rPr>
        <w:t>and per-site burden of 0.55 hours. See</w:t>
      </w:r>
      <w:r w:rsidR="00F85291">
        <w:rPr>
          <w:rFonts w:cs="Arial"/>
          <w:szCs w:val="24"/>
        </w:rPr>
        <w:t xml:space="preserve"> Table</w:t>
      </w:r>
      <w:r w:rsidR="00383553">
        <w:rPr>
          <w:rFonts w:cs="Arial"/>
          <w:szCs w:val="24"/>
        </w:rPr>
        <w:t xml:space="preserve"> </w:t>
      </w:r>
      <w:r w:rsidR="00E14C12">
        <w:rPr>
          <w:rFonts w:cs="Arial"/>
          <w:szCs w:val="24"/>
        </w:rPr>
        <w:t>2</w:t>
      </w:r>
      <w:r w:rsidR="00383553">
        <w:rPr>
          <w:rFonts w:cs="Arial"/>
          <w:szCs w:val="24"/>
        </w:rPr>
        <w:fldChar w:fldCharType="begin"/>
      </w:r>
      <w:r w:rsidR="00383553">
        <w:rPr>
          <w:rFonts w:cs="Arial"/>
          <w:szCs w:val="24"/>
        </w:rPr>
        <w:instrText xml:space="preserve"> REF _Ref416443759 \h </w:instrText>
      </w:r>
      <w:r w:rsidR="00383553">
        <w:rPr>
          <w:rFonts w:cs="Arial"/>
          <w:szCs w:val="24"/>
        </w:rPr>
      </w:r>
      <w:r w:rsidR="00383553">
        <w:rPr>
          <w:rFonts w:cs="Arial"/>
          <w:szCs w:val="24"/>
        </w:rPr>
        <w:fldChar w:fldCharType="end"/>
      </w:r>
      <w:r w:rsidR="00383553">
        <w:rPr>
          <w:rFonts w:cs="Arial"/>
          <w:szCs w:val="24"/>
        </w:rPr>
        <w:t xml:space="preserve"> for the summary of estimated annual burden hours.</w:t>
      </w:r>
    </w:p>
    <w:p w:rsidRPr="0049040D" w:rsidR="0049040D" w:rsidP="0049040D" w:rsidRDefault="00FD6FF1" w14:paraId="4E3049A6" w14:textId="77777777">
      <w:r w:rsidRPr="0049040D">
        <w:t>Total Industry Burden Estimates</w:t>
      </w:r>
    </w:p>
    <w:p w:rsidR="00FD6FF1" w:rsidP="0049040D" w:rsidRDefault="00F85291" w14:paraId="3511371B" w14:textId="4E152999">
      <w:r>
        <w:t xml:space="preserve">Table </w:t>
      </w:r>
      <w:r w:rsidR="00E14C12">
        <w:t>2</w:t>
      </w:r>
      <w:r w:rsidRPr="008C6A2E" w:rsidR="00FD6FF1">
        <w:fldChar w:fldCharType="begin"/>
      </w:r>
      <w:r w:rsidRPr="008C6A2E" w:rsidR="00FD6FF1">
        <w:instrText xml:space="preserve"> REF _Ref416443759 \h  \* MERGEFORMAT </w:instrText>
      </w:r>
      <w:r w:rsidRPr="008C6A2E" w:rsidR="00FD6FF1">
        <w:fldChar w:fldCharType="end"/>
      </w:r>
      <w:r w:rsidRPr="008C6A2E" w:rsidR="00FD6FF1">
        <w:t xml:space="preserve"> presents the </w:t>
      </w:r>
      <w:r w:rsidR="00B2051D">
        <w:t>summary</w:t>
      </w:r>
      <w:r w:rsidRPr="008C6A2E" w:rsidR="00B2051D">
        <w:t xml:space="preserve"> </w:t>
      </w:r>
      <w:r w:rsidRPr="008C6A2E" w:rsidR="00FD6FF1">
        <w:t>of the annual burden hour estimates for respondents.</w:t>
      </w:r>
    </w:p>
    <w:p w:rsidRPr="0067132F" w:rsidR="00D34190" w:rsidP="004B4ECA" w:rsidRDefault="00A83AD4" w14:paraId="2491F737" w14:textId="216D1C1D">
      <w:pPr>
        <w:spacing w:after="160" w:line="259" w:lineRule="auto"/>
        <w:rPr>
          <w:b/>
          <w:bCs/>
          <w:u w:val="single"/>
        </w:rPr>
      </w:pPr>
      <w:r>
        <w:br w:type="page"/>
      </w:r>
      <w:r w:rsidRPr="0067132F" w:rsidR="00D34190">
        <w:rPr>
          <w:b/>
          <w:bCs/>
        </w:rPr>
        <w:t>Table</w:t>
      </w:r>
      <w:bookmarkStart w:name="_Ref95745701" w:id="28"/>
      <w:r w:rsidRPr="0067132F" w:rsidR="0067132F">
        <w:rPr>
          <w:b/>
          <w:bCs/>
        </w:rPr>
        <w:t xml:space="preserve"> </w:t>
      </w:r>
      <w:r w:rsidRPr="0067132F" w:rsidR="00E14C12">
        <w:rPr>
          <w:b/>
          <w:bCs/>
        </w:rPr>
        <w:t>2</w:t>
      </w:r>
      <w:bookmarkEnd w:id="28"/>
      <w:r w:rsidRPr="0067132F" w:rsidR="00D34190">
        <w:rPr>
          <w:b/>
          <w:bCs/>
        </w:rPr>
        <w:t>. Estimated Annual Burden Hours (assuming 1 report per site and a total of 1 report per year) for Section 8(a) PA</w:t>
      </w:r>
      <w:r w:rsidRPr="0067132F" w:rsidR="0067132F">
        <w:rPr>
          <w:b/>
          <w:bCs/>
        </w:rPr>
        <w:t>I</w:t>
      </w:r>
      <w:r w:rsidRPr="0067132F" w:rsidR="00D34190">
        <w:rPr>
          <w:b/>
          <w:bCs/>
        </w:rPr>
        <w:t>R</w:t>
      </w:r>
    </w:p>
    <w:tbl>
      <w:tblPr>
        <w:tblW w:w="9696" w:type="dxa"/>
        <w:tblInd w:w="20" w:type="dxa"/>
        <w:tblLook w:val="04A0" w:firstRow="1" w:lastRow="0" w:firstColumn="1" w:lastColumn="0" w:noHBand="0" w:noVBand="1"/>
      </w:tblPr>
      <w:tblGrid>
        <w:gridCol w:w="1699"/>
        <w:gridCol w:w="1261"/>
        <w:gridCol w:w="1139"/>
        <w:gridCol w:w="1067"/>
        <w:gridCol w:w="861"/>
        <w:gridCol w:w="1023"/>
        <w:gridCol w:w="878"/>
        <w:gridCol w:w="972"/>
        <w:gridCol w:w="894"/>
      </w:tblGrid>
      <w:tr w:rsidRPr="00D34190" w:rsidR="00D34190" w:rsidTr="00BF4AF7" w14:paraId="2C783E72" w14:textId="77777777">
        <w:trPr>
          <w:trHeight w:val="1158"/>
        </w:trPr>
        <w:tc>
          <w:tcPr>
            <w:tcW w:w="1785"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3882A471"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Burden Item</w:t>
            </w:r>
          </w:p>
        </w:tc>
        <w:tc>
          <w:tcPr>
            <w:tcW w:w="1215"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06EB472A"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Managerial</w:t>
            </w:r>
          </w:p>
        </w:tc>
        <w:tc>
          <w:tcPr>
            <w:tcW w:w="1098"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0B15CE02"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Technical</w:t>
            </w:r>
          </w:p>
        </w:tc>
        <w:tc>
          <w:tcPr>
            <w:tcW w:w="1067"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5E8CDB98"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Clerical</w:t>
            </w:r>
          </w:p>
        </w:tc>
        <w:tc>
          <w:tcPr>
            <w:tcW w:w="830"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5CD15140"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Hours Per Report</w:t>
            </w:r>
          </w:p>
        </w:tc>
        <w:tc>
          <w:tcPr>
            <w:tcW w:w="1023"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6526E7D4"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Total Number of Reports per Site</w:t>
            </w:r>
          </w:p>
        </w:tc>
        <w:tc>
          <w:tcPr>
            <w:tcW w:w="878"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20989938"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Hours Per Site</w:t>
            </w:r>
          </w:p>
        </w:tc>
        <w:tc>
          <w:tcPr>
            <w:tcW w:w="937"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193AADB9"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Total Number of Sites</w:t>
            </w:r>
          </w:p>
        </w:tc>
        <w:tc>
          <w:tcPr>
            <w:tcW w:w="861" w:type="dxa"/>
            <w:tcBorders>
              <w:top w:val="single" w:color="auto" w:sz="4" w:space="0"/>
              <w:left w:val="nil"/>
              <w:bottom w:val="single" w:color="auto" w:sz="8" w:space="0"/>
              <w:right w:val="single" w:color="auto" w:sz="8" w:space="0"/>
            </w:tcBorders>
            <w:shd w:val="clear" w:color="auto" w:fill="auto"/>
            <w:vAlign w:val="center"/>
            <w:hideMark/>
          </w:tcPr>
          <w:p w:rsidRPr="00D34190" w:rsidR="00D34190" w:rsidP="00D34190" w:rsidRDefault="00D34190" w14:paraId="7B274468"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Total Annual Hours</w:t>
            </w:r>
          </w:p>
        </w:tc>
      </w:tr>
      <w:tr w:rsidRPr="00D34190" w:rsidR="00D34190" w:rsidTr="004B4ECA" w14:paraId="79989E89"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1C006E36" w14:textId="77777777">
            <w:pPr>
              <w:spacing w:after="0" w:line="240" w:lineRule="auto"/>
              <w:rPr>
                <w:rFonts w:eastAsia="Times New Roman" w:cs="Arial"/>
                <w:color w:val="000000"/>
                <w:sz w:val="20"/>
                <w:szCs w:val="20"/>
              </w:rPr>
            </w:pPr>
            <w:r w:rsidRPr="00D34190">
              <w:rPr>
                <w:rFonts w:eastAsia="Times New Roman" w:cs="Arial"/>
                <w:color w:val="000000"/>
                <w:sz w:val="20"/>
                <w:szCs w:val="20"/>
              </w:rPr>
              <w:t>Form Familiarization</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790DC7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3.00</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B65B82F"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4.00</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857DACF"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D721B3B"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7.00</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D8B6CB8"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8D690DB"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7.00</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A7FFC5F"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B01A80C"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7.00</w:t>
            </w:r>
          </w:p>
        </w:tc>
      </w:tr>
      <w:tr w:rsidRPr="00D34190" w:rsidR="00D34190" w:rsidTr="004B4ECA" w14:paraId="6316BE5E"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6F06E73A" w14:textId="77777777">
            <w:pPr>
              <w:spacing w:after="0" w:line="240" w:lineRule="auto"/>
              <w:rPr>
                <w:rFonts w:eastAsia="Times New Roman" w:cs="Arial"/>
                <w:color w:val="000000"/>
                <w:sz w:val="20"/>
                <w:szCs w:val="20"/>
              </w:rPr>
            </w:pPr>
            <w:r w:rsidRPr="00D34190">
              <w:rPr>
                <w:rFonts w:eastAsia="Times New Roman" w:cs="Arial"/>
                <w:color w:val="000000"/>
                <w:sz w:val="20"/>
                <w:szCs w:val="20"/>
              </w:rPr>
              <w:t>Report Preparation</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6E186D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5.50</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4FEE02A"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9.25</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0EA810E"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F65A8BD"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14.75</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A072C6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03F7D9A"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14.75</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EC26565"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2B8B57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14.75</w:t>
            </w:r>
          </w:p>
        </w:tc>
      </w:tr>
      <w:tr w:rsidRPr="00D34190" w:rsidR="00D34190" w:rsidTr="004B4ECA" w14:paraId="616E8B4B"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7A920D10" w14:textId="77777777">
            <w:pPr>
              <w:spacing w:after="0" w:line="240" w:lineRule="auto"/>
              <w:rPr>
                <w:rFonts w:eastAsia="Times New Roman" w:cs="Arial"/>
                <w:color w:val="000000"/>
                <w:sz w:val="20"/>
                <w:szCs w:val="20"/>
              </w:rPr>
            </w:pPr>
            <w:r w:rsidRPr="00D34190">
              <w:rPr>
                <w:rFonts w:eastAsia="Times New Roman" w:cs="Arial"/>
                <w:color w:val="000000"/>
                <w:sz w:val="20"/>
                <w:szCs w:val="20"/>
              </w:rPr>
              <w:t xml:space="preserve">Trade Name Notification </w:t>
            </w:r>
            <w:r w:rsidRPr="00D34190">
              <w:rPr>
                <w:rFonts w:eastAsia="Times New Roman" w:cs="Arial"/>
                <w:color w:val="000000"/>
                <w:sz w:val="20"/>
                <w:szCs w:val="20"/>
                <w:vertAlign w:val="superscript"/>
              </w:rPr>
              <w:t>1</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00C14C0"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2.20</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A84DFFD"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691EFBC"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7A6DED5"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2.20</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7BF5B90"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328500C"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2.20</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C93A0B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688995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2.20</w:t>
            </w:r>
          </w:p>
        </w:tc>
      </w:tr>
      <w:tr w:rsidRPr="00D34190" w:rsidR="00D34190" w:rsidTr="004B4ECA" w14:paraId="6CD2E90B"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68E2B866" w14:textId="77777777">
            <w:pPr>
              <w:spacing w:after="0" w:line="240" w:lineRule="auto"/>
              <w:rPr>
                <w:rFonts w:eastAsia="Times New Roman" w:cs="Arial"/>
                <w:color w:val="000000"/>
                <w:sz w:val="20"/>
                <w:szCs w:val="20"/>
              </w:rPr>
            </w:pPr>
            <w:r w:rsidRPr="00D34190">
              <w:rPr>
                <w:rFonts w:eastAsia="Times New Roman" w:cs="Arial"/>
                <w:color w:val="000000"/>
                <w:sz w:val="20"/>
                <w:szCs w:val="20"/>
              </w:rPr>
              <w:t xml:space="preserve">CBI Substantiation </w:t>
            </w:r>
            <w:r w:rsidRPr="00D34190">
              <w:rPr>
                <w:rFonts w:eastAsia="Times New Roman" w:cs="Arial"/>
                <w:color w:val="000000"/>
                <w:sz w:val="20"/>
                <w:szCs w:val="20"/>
                <w:vertAlign w:val="superscript"/>
              </w:rPr>
              <w:t>2</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CC9206E"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0.95</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AEE141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3.06</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A84D6E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534FFA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4.01</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D40C285"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873572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4.01</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BE2A61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109B78A"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4.01</w:t>
            </w:r>
          </w:p>
        </w:tc>
      </w:tr>
      <w:tr w:rsidRPr="00D34190" w:rsidR="00D34190" w:rsidTr="004B4ECA" w14:paraId="0C065300"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724348E0" w14:textId="77777777">
            <w:pPr>
              <w:spacing w:after="0" w:line="240" w:lineRule="auto"/>
              <w:rPr>
                <w:rFonts w:eastAsia="Times New Roman" w:cs="Arial"/>
                <w:color w:val="000000"/>
                <w:sz w:val="20"/>
                <w:szCs w:val="20"/>
              </w:rPr>
            </w:pPr>
            <w:r w:rsidRPr="00D34190">
              <w:rPr>
                <w:rFonts w:eastAsia="Times New Roman" w:cs="Arial"/>
                <w:color w:val="000000"/>
                <w:sz w:val="20"/>
                <w:szCs w:val="20"/>
              </w:rPr>
              <w:t>Recordkeeping</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A4FA4C0"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C70187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0.50</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367685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11ACD0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1.00</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C37CC3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3A28244"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1.00</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C6C698E"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61A5A4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1.00</w:t>
            </w:r>
          </w:p>
        </w:tc>
      </w:tr>
      <w:tr w:rsidRPr="00D34190" w:rsidR="00D34190" w:rsidTr="004B4ECA" w14:paraId="073FB52F"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69AAEE7B" w14:textId="77777777">
            <w:pPr>
              <w:spacing w:after="0" w:line="240" w:lineRule="auto"/>
              <w:rPr>
                <w:rFonts w:eastAsia="Times New Roman" w:cs="Arial"/>
                <w:color w:val="000000"/>
                <w:sz w:val="20"/>
                <w:szCs w:val="20"/>
              </w:rPr>
            </w:pPr>
            <w:r w:rsidRPr="00D34190">
              <w:rPr>
                <w:rFonts w:eastAsia="Times New Roman" w:cs="Arial"/>
                <w:color w:val="000000"/>
                <w:sz w:val="20"/>
                <w:szCs w:val="20"/>
              </w:rPr>
              <w:t xml:space="preserve">CDX Registration </w:t>
            </w:r>
            <w:r w:rsidRPr="00D34190">
              <w:rPr>
                <w:rFonts w:eastAsia="Times New Roman" w:cs="Arial"/>
                <w:color w:val="000000"/>
                <w:sz w:val="20"/>
                <w:szCs w:val="20"/>
                <w:vertAlign w:val="superscript"/>
              </w:rPr>
              <w:t>3</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D8BC97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0.18</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6BC9978"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0.73</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C587620"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8B861D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48D97F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70BE76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0.91</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EB919E2"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E22C72C"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0.91</w:t>
            </w:r>
          </w:p>
        </w:tc>
      </w:tr>
      <w:tr w:rsidRPr="00D34190" w:rsidR="00D34190" w:rsidTr="004B4ECA" w14:paraId="723CD2A8"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32168984" w14:textId="77777777">
            <w:pPr>
              <w:spacing w:after="0" w:line="240" w:lineRule="auto"/>
              <w:rPr>
                <w:rFonts w:eastAsia="Times New Roman" w:cs="Arial"/>
                <w:color w:val="000000"/>
                <w:sz w:val="20"/>
                <w:szCs w:val="20"/>
              </w:rPr>
            </w:pPr>
            <w:r w:rsidRPr="00D34190">
              <w:rPr>
                <w:rFonts w:eastAsia="Times New Roman" w:cs="Arial"/>
                <w:color w:val="000000"/>
                <w:sz w:val="20"/>
                <w:szCs w:val="20"/>
              </w:rPr>
              <w:t xml:space="preserve">CDX Electronic Signature </w:t>
            </w:r>
            <w:r w:rsidRPr="00D34190">
              <w:rPr>
                <w:rFonts w:eastAsia="Times New Roman" w:cs="Arial"/>
                <w:color w:val="000000"/>
                <w:sz w:val="20"/>
                <w:szCs w:val="20"/>
                <w:vertAlign w:val="superscript"/>
              </w:rPr>
              <w:t>3</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5A664B2"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0.75</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B71CF0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1.00</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8208C52"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3B40FF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DD538F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7F74B7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1.75</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5164DF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3B92E9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1.75</w:t>
            </w:r>
          </w:p>
        </w:tc>
      </w:tr>
      <w:tr w:rsidRPr="00D34190" w:rsidR="00D34190" w:rsidTr="004B4ECA" w14:paraId="63951936"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226A70A4" w14:textId="77777777">
            <w:pPr>
              <w:spacing w:after="0" w:line="240" w:lineRule="auto"/>
              <w:rPr>
                <w:rFonts w:eastAsia="Times New Roman" w:cs="Arial"/>
                <w:color w:val="000000"/>
                <w:sz w:val="20"/>
                <w:szCs w:val="20"/>
              </w:rPr>
            </w:pPr>
            <w:r w:rsidRPr="00D34190">
              <w:rPr>
                <w:rFonts w:eastAsia="Times New Roman" w:cs="Arial"/>
                <w:color w:val="000000"/>
                <w:sz w:val="20"/>
                <w:szCs w:val="20"/>
              </w:rPr>
              <w:t xml:space="preserve">Rule Familiarization </w:t>
            </w:r>
            <w:r w:rsidRPr="00D34190">
              <w:rPr>
                <w:rFonts w:eastAsia="Times New Roman" w:cs="Arial"/>
                <w:color w:val="000000"/>
                <w:sz w:val="20"/>
                <w:szCs w:val="20"/>
                <w:vertAlign w:val="superscript"/>
              </w:rPr>
              <w:t>3</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87015EC"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0.55</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F05F07A"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0.27</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1E747D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0BB1269"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3BE3F2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N/A</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489A27E"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0.82</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F2BA81E"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8DD79C3"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0.82</w:t>
            </w:r>
          </w:p>
        </w:tc>
      </w:tr>
      <w:tr w:rsidRPr="00D34190" w:rsidR="00D34190" w:rsidTr="004B4ECA" w14:paraId="103D8346"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69F511B1" w14:textId="77777777">
            <w:pPr>
              <w:spacing w:after="0" w:line="240" w:lineRule="auto"/>
              <w:rPr>
                <w:rFonts w:eastAsia="Times New Roman" w:cs="Arial"/>
                <w:color w:val="000000"/>
                <w:sz w:val="20"/>
                <w:szCs w:val="20"/>
              </w:rPr>
            </w:pPr>
            <w:r w:rsidRPr="00D34190">
              <w:rPr>
                <w:rFonts w:eastAsia="Times New Roman" w:cs="Arial"/>
                <w:color w:val="000000"/>
                <w:sz w:val="20"/>
                <w:szCs w:val="20"/>
              </w:rPr>
              <w:t>Report Submission</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79B4B4C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0.50</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4880B5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0.00</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227C26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0.05</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A58B871"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0.55</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8A8792D"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523DA10B"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0.55</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157F9D7"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1</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7187496" w14:textId="77777777">
            <w:pPr>
              <w:spacing w:after="0" w:line="240" w:lineRule="auto"/>
              <w:jc w:val="center"/>
              <w:rPr>
                <w:rFonts w:eastAsia="Times New Roman" w:cs="Arial"/>
                <w:color w:val="000000"/>
                <w:sz w:val="20"/>
                <w:szCs w:val="20"/>
              </w:rPr>
            </w:pPr>
            <w:r w:rsidRPr="00D34190">
              <w:rPr>
                <w:rFonts w:eastAsia="Times New Roman" w:cs="Arial"/>
                <w:color w:val="000000"/>
                <w:sz w:val="20"/>
                <w:szCs w:val="20"/>
              </w:rPr>
              <w:t>0.55</w:t>
            </w:r>
          </w:p>
        </w:tc>
      </w:tr>
      <w:tr w:rsidRPr="00D34190" w:rsidR="00D34190" w:rsidTr="004B4ECA" w14:paraId="6FD31798" w14:textId="77777777">
        <w:trPr>
          <w:trHeight w:val="757"/>
        </w:trPr>
        <w:tc>
          <w:tcPr>
            <w:tcW w:w="1785" w:type="dxa"/>
            <w:tcBorders>
              <w:top w:val="nil"/>
              <w:left w:val="single" w:color="auto" w:sz="8" w:space="0"/>
              <w:bottom w:val="single" w:color="auto" w:sz="8" w:space="0"/>
              <w:right w:val="single" w:color="auto" w:sz="8" w:space="0"/>
            </w:tcBorders>
            <w:shd w:val="clear" w:color="auto" w:fill="auto"/>
            <w:vAlign w:val="center"/>
            <w:hideMark/>
          </w:tcPr>
          <w:p w:rsidRPr="00D34190" w:rsidR="00D34190" w:rsidP="00D34190" w:rsidRDefault="00D34190" w14:paraId="22E1D3AC" w14:textId="77777777">
            <w:pPr>
              <w:spacing w:after="0" w:line="240" w:lineRule="auto"/>
              <w:rPr>
                <w:rFonts w:eastAsia="Times New Roman" w:cs="Arial"/>
                <w:b/>
                <w:bCs/>
                <w:color w:val="000000"/>
                <w:sz w:val="20"/>
                <w:szCs w:val="20"/>
              </w:rPr>
            </w:pPr>
            <w:r w:rsidRPr="00D34190">
              <w:rPr>
                <w:rFonts w:eastAsia="Times New Roman" w:cs="Arial"/>
                <w:b/>
                <w:bCs/>
                <w:color w:val="000000"/>
                <w:sz w:val="20"/>
                <w:szCs w:val="20"/>
              </w:rPr>
              <w:t>Totals</w:t>
            </w:r>
          </w:p>
        </w:tc>
        <w:tc>
          <w:tcPr>
            <w:tcW w:w="1215"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4C822CA6"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13.63</w:t>
            </w:r>
          </w:p>
        </w:tc>
        <w:tc>
          <w:tcPr>
            <w:tcW w:w="109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8F7BADD"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18.81</w:t>
            </w:r>
          </w:p>
        </w:tc>
        <w:tc>
          <w:tcPr>
            <w:tcW w:w="106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12C892F8"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0.55</w:t>
            </w:r>
          </w:p>
        </w:tc>
        <w:tc>
          <w:tcPr>
            <w:tcW w:w="830"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3BAF00A"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29.51</w:t>
            </w:r>
          </w:p>
        </w:tc>
        <w:tc>
          <w:tcPr>
            <w:tcW w:w="1023"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25976F19"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N/A</w:t>
            </w:r>
          </w:p>
        </w:tc>
        <w:tc>
          <w:tcPr>
            <w:tcW w:w="878"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3D8DE627"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32.99</w:t>
            </w:r>
          </w:p>
        </w:tc>
        <w:tc>
          <w:tcPr>
            <w:tcW w:w="937"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07C3385E"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N/A</w:t>
            </w:r>
          </w:p>
        </w:tc>
        <w:tc>
          <w:tcPr>
            <w:tcW w:w="861" w:type="dxa"/>
            <w:tcBorders>
              <w:top w:val="nil"/>
              <w:left w:val="nil"/>
              <w:bottom w:val="single" w:color="auto" w:sz="8" w:space="0"/>
              <w:right w:val="single" w:color="auto" w:sz="8" w:space="0"/>
            </w:tcBorders>
            <w:shd w:val="clear" w:color="auto" w:fill="auto"/>
            <w:vAlign w:val="center"/>
            <w:hideMark/>
          </w:tcPr>
          <w:p w:rsidRPr="00D34190" w:rsidR="00D34190" w:rsidP="00D34190" w:rsidRDefault="00D34190" w14:paraId="67562B96" w14:textId="77777777">
            <w:pPr>
              <w:spacing w:after="0" w:line="240" w:lineRule="auto"/>
              <w:jc w:val="center"/>
              <w:rPr>
                <w:rFonts w:eastAsia="Times New Roman" w:cs="Arial"/>
                <w:b/>
                <w:bCs/>
                <w:color w:val="000000"/>
                <w:sz w:val="20"/>
                <w:szCs w:val="20"/>
              </w:rPr>
            </w:pPr>
            <w:r w:rsidRPr="00D34190">
              <w:rPr>
                <w:rFonts w:eastAsia="Times New Roman" w:cs="Arial"/>
                <w:b/>
                <w:bCs/>
                <w:color w:val="000000"/>
                <w:sz w:val="20"/>
                <w:szCs w:val="20"/>
              </w:rPr>
              <w:t>32.99</w:t>
            </w:r>
          </w:p>
        </w:tc>
      </w:tr>
      <w:tr w:rsidRPr="00D34190" w:rsidR="00D34190" w:rsidTr="004B4ECA" w14:paraId="285E7B57" w14:textId="77777777">
        <w:trPr>
          <w:trHeight w:val="312"/>
        </w:trPr>
        <w:tc>
          <w:tcPr>
            <w:tcW w:w="4099" w:type="dxa"/>
            <w:gridSpan w:val="3"/>
            <w:tcBorders>
              <w:top w:val="single" w:color="auto" w:sz="8" w:space="0"/>
              <w:left w:val="single" w:color="auto" w:sz="8" w:space="0"/>
              <w:bottom w:val="nil"/>
              <w:right w:val="nil"/>
            </w:tcBorders>
            <w:shd w:val="clear" w:color="auto" w:fill="auto"/>
            <w:noWrap/>
            <w:vAlign w:val="center"/>
            <w:hideMark/>
          </w:tcPr>
          <w:p w:rsidRPr="00D34190" w:rsidR="00D34190" w:rsidP="00D34190" w:rsidRDefault="00D34190" w14:paraId="103D16F6" w14:textId="77777777">
            <w:pPr>
              <w:spacing w:after="0" w:line="240" w:lineRule="auto"/>
              <w:rPr>
                <w:rFonts w:eastAsia="Times New Roman" w:cs="Arial"/>
                <w:color w:val="000000"/>
                <w:sz w:val="16"/>
                <w:szCs w:val="16"/>
              </w:rPr>
            </w:pPr>
            <w:r w:rsidRPr="00D34190">
              <w:rPr>
                <w:rFonts w:eastAsia="Times New Roman" w:cs="Arial"/>
                <w:color w:val="000000"/>
                <w:sz w:val="16"/>
                <w:szCs w:val="16"/>
                <w:vertAlign w:val="superscript"/>
              </w:rPr>
              <w:t>1</w:t>
            </w:r>
            <w:r w:rsidRPr="00D34190">
              <w:rPr>
                <w:rFonts w:eastAsia="Times New Roman" w:cs="Arial"/>
                <w:color w:val="000000"/>
                <w:sz w:val="16"/>
                <w:szCs w:val="16"/>
              </w:rPr>
              <w:t xml:space="preserve"> Clerical burden is removed to adjust for electronic submission.</w:t>
            </w:r>
          </w:p>
        </w:tc>
        <w:tc>
          <w:tcPr>
            <w:tcW w:w="1067" w:type="dxa"/>
            <w:tcBorders>
              <w:top w:val="nil"/>
              <w:left w:val="nil"/>
              <w:bottom w:val="nil"/>
              <w:right w:val="nil"/>
            </w:tcBorders>
            <w:shd w:val="clear" w:color="auto" w:fill="auto"/>
            <w:noWrap/>
            <w:vAlign w:val="bottom"/>
            <w:hideMark/>
          </w:tcPr>
          <w:p w:rsidRPr="00D34190" w:rsidR="00D34190" w:rsidP="00D34190" w:rsidRDefault="00D34190" w14:paraId="12A68ED9"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830" w:type="dxa"/>
            <w:tcBorders>
              <w:top w:val="nil"/>
              <w:left w:val="nil"/>
              <w:bottom w:val="nil"/>
              <w:right w:val="nil"/>
            </w:tcBorders>
            <w:shd w:val="clear" w:color="auto" w:fill="auto"/>
            <w:noWrap/>
            <w:vAlign w:val="bottom"/>
            <w:hideMark/>
          </w:tcPr>
          <w:p w:rsidRPr="00D34190" w:rsidR="00D34190" w:rsidP="00D34190" w:rsidRDefault="00D34190" w14:paraId="1AC2C625"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1023" w:type="dxa"/>
            <w:tcBorders>
              <w:top w:val="nil"/>
              <w:left w:val="nil"/>
              <w:bottom w:val="nil"/>
              <w:right w:val="nil"/>
            </w:tcBorders>
            <w:shd w:val="clear" w:color="auto" w:fill="auto"/>
            <w:noWrap/>
            <w:vAlign w:val="bottom"/>
            <w:hideMark/>
          </w:tcPr>
          <w:p w:rsidRPr="00D34190" w:rsidR="00D34190" w:rsidP="00D34190" w:rsidRDefault="00D34190" w14:paraId="3D382C78"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878" w:type="dxa"/>
            <w:tcBorders>
              <w:top w:val="nil"/>
              <w:left w:val="nil"/>
              <w:bottom w:val="nil"/>
              <w:right w:val="nil"/>
            </w:tcBorders>
            <w:shd w:val="clear" w:color="auto" w:fill="auto"/>
            <w:noWrap/>
            <w:vAlign w:val="bottom"/>
            <w:hideMark/>
          </w:tcPr>
          <w:p w:rsidRPr="00D34190" w:rsidR="00D34190" w:rsidP="00D34190" w:rsidRDefault="00D34190" w14:paraId="2F0EC5D2"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937" w:type="dxa"/>
            <w:tcBorders>
              <w:top w:val="nil"/>
              <w:left w:val="nil"/>
              <w:bottom w:val="nil"/>
              <w:right w:val="nil"/>
            </w:tcBorders>
            <w:shd w:val="clear" w:color="auto" w:fill="auto"/>
            <w:noWrap/>
            <w:vAlign w:val="bottom"/>
            <w:hideMark/>
          </w:tcPr>
          <w:p w:rsidRPr="00D34190" w:rsidR="00D34190" w:rsidP="00D34190" w:rsidRDefault="00D34190" w14:paraId="64C7D50A"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861" w:type="dxa"/>
            <w:tcBorders>
              <w:top w:val="nil"/>
              <w:left w:val="nil"/>
              <w:bottom w:val="nil"/>
              <w:right w:val="single" w:color="auto" w:sz="8" w:space="0"/>
            </w:tcBorders>
            <w:shd w:val="clear" w:color="auto" w:fill="auto"/>
            <w:noWrap/>
            <w:vAlign w:val="bottom"/>
            <w:hideMark/>
          </w:tcPr>
          <w:p w:rsidRPr="00D34190" w:rsidR="00D34190" w:rsidP="00D34190" w:rsidRDefault="00D34190" w14:paraId="6144D2F9"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r>
      <w:tr w:rsidRPr="00D34190" w:rsidR="00D34190" w:rsidTr="00D34190" w14:paraId="54CAE96F" w14:textId="77777777">
        <w:trPr>
          <w:trHeight w:val="312"/>
        </w:trPr>
        <w:tc>
          <w:tcPr>
            <w:tcW w:w="7898" w:type="dxa"/>
            <w:gridSpan w:val="7"/>
            <w:tcBorders>
              <w:top w:val="nil"/>
              <w:left w:val="single" w:color="auto" w:sz="8" w:space="0"/>
              <w:bottom w:val="nil"/>
              <w:right w:val="nil"/>
            </w:tcBorders>
            <w:shd w:val="clear" w:color="auto" w:fill="auto"/>
            <w:noWrap/>
            <w:vAlign w:val="center"/>
            <w:hideMark/>
          </w:tcPr>
          <w:p w:rsidRPr="00D34190" w:rsidR="00D34190" w:rsidP="00D34190" w:rsidRDefault="00D34190" w14:paraId="4BAE8D20" w14:textId="77777777">
            <w:pPr>
              <w:spacing w:after="0" w:line="240" w:lineRule="auto"/>
              <w:rPr>
                <w:rFonts w:eastAsia="Times New Roman" w:cs="Arial"/>
                <w:color w:val="000000"/>
                <w:sz w:val="16"/>
                <w:szCs w:val="16"/>
              </w:rPr>
            </w:pPr>
            <w:r w:rsidRPr="00D34190">
              <w:rPr>
                <w:rFonts w:eastAsia="Times New Roman" w:cs="Arial"/>
                <w:color w:val="000000"/>
                <w:sz w:val="16"/>
                <w:szCs w:val="16"/>
                <w:vertAlign w:val="superscript"/>
              </w:rPr>
              <w:t>2</w:t>
            </w:r>
            <w:r w:rsidRPr="00D34190">
              <w:rPr>
                <w:rFonts w:eastAsia="Times New Roman" w:cs="Arial"/>
                <w:color w:val="000000"/>
                <w:sz w:val="16"/>
                <w:szCs w:val="16"/>
              </w:rPr>
              <w:t xml:space="preserve"> Burden hours per report for each labor category are scaled by 75% to account for number of CBI claims based on past data. </w:t>
            </w:r>
          </w:p>
        </w:tc>
        <w:tc>
          <w:tcPr>
            <w:tcW w:w="937" w:type="dxa"/>
            <w:tcBorders>
              <w:top w:val="nil"/>
              <w:left w:val="nil"/>
              <w:bottom w:val="nil"/>
              <w:right w:val="nil"/>
            </w:tcBorders>
            <w:shd w:val="clear" w:color="auto" w:fill="auto"/>
            <w:noWrap/>
            <w:vAlign w:val="bottom"/>
            <w:hideMark/>
          </w:tcPr>
          <w:p w:rsidRPr="00D34190" w:rsidR="00D34190" w:rsidP="00D34190" w:rsidRDefault="00D34190" w14:paraId="0268DA46" w14:textId="77777777">
            <w:pPr>
              <w:spacing w:after="0" w:line="240" w:lineRule="auto"/>
              <w:rPr>
                <w:rFonts w:eastAsia="Times New Roman" w:cs="Arial"/>
                <w:color w:val="000000"/>
                <w:sz w:val="16"/>
                <w:szCs w:val="16"/>
              </w:rPr>
            </w:pPr>
          </w:p>
        </w:tc>
        <w:tc>
          <w:tcPr>
            <w:tcW w:w="861" w:type="dxa"/>
            <w:tcBorders>
              <w:top w:val="nil"/>
              <w:left w:val="nil"/>
              <w:bottom w:val="nil"/>
              <w:right w:val="single" w:color="auto" w:sz="8" w:space="0"/>
            </w:tcBorders>
            <w:shd w:val="clear" w:color="auto" w:fill="auto"/>
            <w:noWrap/>
            <w:vAlign w:val="bottom"/>
            <w:hideMark/>
          </w:tcPr>
          <w:p w:rsidRPr="00D34190" w:rsidR="00D34190" w:rsidP="00D34190" w:rsidRDefault="00D34190" w14:paraId="0B8A5426"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r>
      <w:tr w:rsidRPr="00D34190" w:rsidR="00D34190" w:rsidTr="00D34190" w14:paraId="12DAA5BC" w14:textId="77777777">
        <w:trPr>
          <w:trHeight w:val="325"/>
        </w:trPr>
        <w:tc>
          <w:tcPr>
            <w:tcW w:w="7898" w:type="dxa"/>
            <w:gridSpan w:val="7"/>
            <w:tcBorders>
              <w:top w:val="nil"/>
              <w:left w:val="single" w:color="auto" w:sz="8" w:space="0"/>
              <w:bottom w:val="single" w:color="auto" w:sz="8" w:space="0"/>
              <w:right w:val="nil"/>
            </w:tcBorders>
            <w:shd w:val="clear" w:color="auto" w:fill="auto"/>
            <w:noWrap/>
            <w:vAlign w:val="bottom"/>
            <w:hideMark/>
          </w:tcPr>
          <w:p w:rsidRPr="00D34190" w:rsidR="00D34190" w:rsidP="00D34190" w:rsidRDefault="00D34190" w14:paraId="076A1791" w14:textId="77777777">
            <w:pPr>
              <w:spacing w:after="0" w:line="240" w:lineRule="auto"/>
              <w:rPr>
                <w:rFonts w:eastAsia="Times New Roman" w:cs="Arial"/>
                <w:color w:val="000000"/>
                <w:sz w:val="16"/>
                <w:szCs w:val="16"/>
              </w:rPr>
            </w:pPr>
            <w:r w:rsidRPr="00D34190">
              <w:rPr>
                <w:rFonts w:eastAsia="Times New Roman" w:cs="Arial"/>
                <w:color w:val="000000"/>
                <w:sz w:val="16"/>
                <w:szCs w:val="16"/>
                <w:vertAlign w:val="superscript"/>
              </w:rPr>
              <w:t>3</w:t>
            </w:r>
            <w:r w:rsidRPr="00D34190">
              <w:rPr>
                <w:rFonts w:eastAsia="Times New Roman" w:cs="Arial"/>
                <w:color w:val="000000"/>
                <w:sz w:val="16"/>
                <w:szCs w:val="16"/>
              </w:rPr>
              <w:t xml:space="preserve"> CDX activities include CDX Registration, CDX Electronic Signature and Rule Familiarization are assumed to occur at the site level only. </w:t>
            </w:r>
          </w:p>
        </w:tc>
        <w:tc>
          <w:tcPr>
            <w:tcW w:w="937" w:type="dxa"/>
            <w:tcBorders>
              <w:top w:val="nil"/>
              <w:left w:val="nil"/>
              <w:bottom w:val="single" w:color="auto" w:sz="8" w:space="0"/>
              <w:right w:val="nil"/>
            </w:tcBorders>
            <w:shd w:val="clear" w:color="auto" w:fill="auto"/>
            <w:noWrap/>
            <w:vAlign w:val="bottom"/>
            <w:hideMark/>
          </w:tcPr>
          <w:p w:rsidRPr="00D34190" w:rsidR="00D34190" w:rsidP="00D34190" w:rsidRDefault="00D34190" w14:paraId="0C16CE7A"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c>
          <w:tcPr>
            <w:tcW w:w="861" w:type="dxa"/>
            <w:tcBorders>
              <w:top w:val="nil"/>
              <w:left w:val="nil"/>
              <w:bottom w:val="single" w:color="auto" w:sz="8" w:space="0"/>
              <w:right w:val="single" w:color="auto" w:sz="8" w:space="0"/>
            </w:tcBorders>
            <w:shd w:val="clear" w:color="auto" w:fill="auto"/>
            <w:noWrap/>
            <w:vAlign w:val="bottom"/>
            <w:hideMark/>
          </w:tcPr>
          <w:p w:rsidRPr="00D34190" w:rsidR="00D34190" w:rsidP="00D34190" w:rsidRDefault="00D34190" w14:paraId="61FBC5A8" w14:textId="77777777">
            <w:pPr>
              <w:spacing w:after="0" w:line="240" w:lineRule="auto"/>
              <w:rPr>
                <w:rFonts w:ascii="Calibri" w:hAnsi="Calibri" w:eastAsia="Times New Roman" w:cs="Calibri"/>
                <w:color w:val="000000"/>
                <w:sz w:val="22"/>
              </w:rPr>
            </w:pPr>
            <w:r w:rsidRPr="00D34190">
              <w:rPr>
                <w:rFonts w:ascii="Calibri" w:hAnsi="Calibri" w:eastAsia="Times New Roman" w:cs="Calibri"/>
                <w:color w:val="000000"/>
                <w:sz w:val="22"/>
              </w:rPr>
              <w:t> </w:t>
            </w:r>
          </w:p>
        </w:tc>
      </w:tr>
    </w:tbl>
    <w:p w:rsidR="0049040D" w:rsidP="007B04B7" w:rsidRDefault="0049040D" w14:paraId="66729185" w14:textId="77777777">
      <w:pPr>
        <w:autoSpaceDE w:val="0"/>
        <w:autoSpaceDN w:val="0"/>
        <w:adjustRightInd w:val="0"/>
        <w:rPr>
          <w:rFonts w:cs="Arial"/>
          <w:szCs w:val="24"/>
        </w:rPr>
      </w:pPr>
    </w:p>
    <w:p w:rsidRPr="008C6A2E" w:rsidR="00FD6FF1" w:rsidP="0049040D" w:rsidRDefault="00FD6FF1" w14:paraId="15B3A97F" w14:textId="3EF83F92">
      <w:r w:rsidRPr="008C6A2E">
        <w:t>In summary, an average of one respondent per year would be required to spend an estimated total of 32.99 hours each year to respond to PAIR and subpart B of 40 CFR 766 rules during the period of FY 20</w:t>
      </w:r>
      <w:r w:rsidR="000D3957">
        <w:t>21</w:t>
      </w:r>
      <w:r w:rsidRPr="008C6A2E">
        <w:t xml:space="preserve"> through FY 202</w:t>
      </w:r>
      <w:r w:rsidR="000D3957">
        <w:t>3</w:t>
      </w:r>
      <w:r w:rsidRPr="008C6A2E">
        <w:t>, resulting in an average burden of 32.99 hours per response.</w:t>
      </w:r>
    </w:p>
    <w:p w:rsidR="0049040D" w:rsidP="0049040D" w:rsidRDefault="00FD6FF1" w14:paraId="0B8F39CF" w14:textId="77777777">
      <w:r w:rsidRPr="008C6A2E">
        <w:t>Estimating Respondent Costs</w:t>
      </w:r>
    </w:p>
    <w:p w:rsidR="0049040D" w:rsidP="0049040D" w:rsidRDefault="00FD6FF1" w14:paraId="11DEE413" w14:textId="66105317">
      <w:r w:rsidRPr="008C6A2E">
        <w:rPr>
          <w:rFonts w:cs="Arial"/>
          <w:szCs w:val="24"/>
        </w:rPr>
        <w:t>This section presents estimates of the cost expected to be incurred due to reporting under the TSCA section 8(a) PAIR and subpart B of 40 CFR 766. The total annual industry cost for both reporting and recordkeeping is estimated to be $</w:t>
      </w:r>
      <w:r w:rsidR="00D11965">
        <w:rPr>
          <w:rFonts w:cs="Arial"/>
          <w:szCs w:val="24"/>
        </w:rPr>
        <w:t>2,82</w:t>
      </w:r>
      <w:r w:rsidR="003563C6">
        <w:rPr>
          <w:rFonts w:cs="Arial"/>
          <w:szCs w:val="24"/>
        </w:rPr>
        <w:t>4</w:t>
      </w:r>
      <w:r w:rsidRPr="008C6A2E">
        <w:rPr>
          <w:rFonts w:cs="Arial"/>
          <w:szCs w:val="24"/>
        </w:rPr>
        <w:t>. This estimate is based on the cost of the burden estimate provided above, and includes other costs associated with this ICR.</w:t>
      </w:r>
    </w:p>
    <w:p w:rsidRPr="008C6A2E" w:rsidR="00FD6FF1" w:rsidP="0049040D" w:rsidRDefault="004321C4" w14:paraId="07C8C48A" w14:textId="110FD34C">
      <w:pPr>
        <w:autoSpaceDE w:val="0"/>
        <w:autoSpaceDN w:val="0"/>
        <w:adjustRightInd w:val="0"/>
        <w:rPr>
          <w:rFonts w:cs="Arial"/>
          <w:szCs w:val="24"/>
        </w:rPr>
      </w:pPr>
      <w:r>
        <w:rPr>
          <w:rFonts w:cs="Arial"/>
          <w:szCs w:val="24"/>
        </w:rPr>
        <w:t>L</w:t>
      </w:r>
      <w:r w:rsidRPr="008C6A2E" w:rsidR="00FD6FF1">
        <w:rPr>
          <w:rFonts w:cs="Arial"/>
          <w:szCs w:val="24"/>
        </w:rPr>
        <w:t>abor costs</w:t>
      </w:r>
      <w:r>
        <w:rPr>
          <w:rFonts w:cs="Arial"/>
          <w:szCs w:val="24"/>
        </w:rPr>
        <w:t xml:space="preserve"> </w:t>
      </w:r>
      <w:r w:rsidR="00592C48">
        <w:rPr>
          <w:rFonts w:cs="Arial"/>
          <w:szCs w:val="24"/>
        </w:rPr>
        <w:t xml:space="preserve">in </w:t>
      </w:r>
      <w:r w:rsidR="00E14C12">
        <w:rPr>
          <w:rFonts w:cs="Arial"/>
          <w:szCs w:val="24"/>
        </w:rPr>
        <w:t>1</w:t>
      </w:r>
      <w:r>
        <w:rPr>
          <w:rFonts w:cs="Arial"/>
          <w:szCs w:val="24"/>
        </w:rPr>
        <w:t>)</w:t>
      </w:r>
      <w:r w:rsidRPr="008C6A2E" w:rsidR="00FD6FF1">
        <w:rPr>
          <w:rFonts w:cs="Arial"/>
          <w:szCs w:val="24"/>
        </w:rPr>
        <w:t xml:space="preserve"> are multiplied by the estimated burden hours per activity and added to any non-labor costs to develop total unit costs per report </w:t>
      </w:r>
      <w:r w:rsidRPr="004321C4">
        <w:rPr>
          <w:rFonts w:cs="Arial"/>
          <w:szCs w:val="24"/>
        </w:rPr>
        <w:t xml:space="preserve">in </w:t>
      </w:r>
      <w:r w:rsidR="0034191D">
        <w:rPr>
          <w:rFonts w:cs="Arial"/>
          <w:szCs w:val="24"/>
        </w:rPr>
        <w:t>Table 33</w:t>
      </w:r>
      <w:r w:rsidRPr="004321C4">
        <w:rPr>
          <w:rFonts w:cs="Arial"/>
          <w:szCs w:val="24"/>
        </w:rPr>
        <w:fldChar w:fldCharType="begin"/>
      </w:r>
      <w:r w:rsidRPr="004321C4">
        <w:rPr>
          <w:rFonts w:cs="Arial"/>
          <w:szCs w:val="24"/>
        </w:rPr>
        <w:instrText xml:space="preserve"> REF _Ref94280284 \h  \* MERGEFORMAT </w:instrText>
      </w:r>
      <w:r w:rsidRPr="004321C4">
        <w:rPr>
          <w:rFonts w:cs="Arial"/>
          <w:szCs w:val="24"/>
        </w:rPr>
      </w:r>
      <w:r w:rsidRPr="004321C4">
        <w:rPr>
          <w:rFonts w:cs="Arial"/>
          <w:szCs w:val="24"/>
        </w:rPr>
        <w:fldChar w:fldCharType="end"/>
      </w:r>
      <w:r w:rsidRPr="008C6A2E" w:rsidR="00FD6FF1">
        <w:rPr>
          <w:rFonts w:cs="Arial"/>
          <w:szCs w:val="24"/>
        </w:rPr>
        <w:t>.</w:t>
      </w:r>
      <w:r w:rsidRPr="004321C4">
        <w:rPr>
          <w:rFonts w:cs="Arial"/>
          <w:szCs w:val="24"/>
        </w:rPr>
        <w:fldChar w:fldCharType="begin"/>
      </w:r>
      <w:r w:rsidRPr="004321C4">
        <w:rPr>
          <w:rFonts w:cs="Arial"/>
          <w:szCs w:val="24"/>
        </w:rPr>
        <w:instrText xml:space="preserve"> REF _Ref94280284 \h  \* MERGEFORMAT </w:instrText>
      </w:r>
      <w:r w:rsidRPr="004321C4">
        <w:rPr>
          <w:rFonts w:cs="Arial"/>
          <w:szCs w:val="24"/>
        </w:rPr>
      </w:r>
      <w:r w:rsidRPr="004321C4">
        <w:rPr>
          <w:rFonts w:cs="Arial"/>
          <w:szCs w:val="24"/>
        </w:rPr>
        <w:fldChar w:fldCharType="end"/>
      </w:r>
      <w:r w:rsidRPr="008C6A2E" w:rsidR="00FD6FF1">
        <w:rPr>
          <w:rFonts w:cs="Arial"/>
          <w:szCs w:val="24"/>
        </w:rPr>
        <w:t>. It is estimated that only the CDX registration task will require expenditures other than labor.</w:t>
      </w:r>
    </w:p>
    <w:p w:rsidRPr="008C6A2E" w:rsidR="00FD6FF1" w:rsidP="0049040D" w:rsidRDefault="00FD6FF1" w14:paraId="7D4244DB" w14:textId="0705CDEB">
      <w:pPr>
        <w:rPr>
          <w:rFonts w:cs="Arial"/>
          <w:szCs w:val="24"/>
        </w:rPr>
      </w:pPr>
      <w:r w:rsidRPr="008C6A2E">
        <w:rPr>
          <w:rFonts w:cs="Arial"/>
          <w:szCs w:val="24"/>
        </w:rPr>
        <w:t>Total non-burden costs per report are estimated to be $</w:t>
      </w:r>
      <w:r w:rsidR="00D11965">
        <w:rPr>
          <w:rFonts w:cs="Arial"/>
          <w:szCs w:val="24"/>
        </w:rPr>
        <w:t>2.90</w:t>
      </w:r>
      <w:r w:rsidRPr="008C6A2E">
        <w:rPr>
          <w:rFonts w:cs="Arial"/>
          <w:szCs w:val="24"/>
        </w:rPr>
        <w:t xml:space="preserve"> associated with mailing CDX electronic signature forms to EPA. With an annual estimate of 1 report expected, the total annual non-burden cost for this ICR is $</w:t>
      </w:r>
      <w:r w:rsidR="00D11965">
        <w:rPr>
          <w:rFonts w:cs="Arial"/>
          <w:szCs w:val="24"/>
        </w:rPr>
        <w:t>2.90</w:t>
      </w:r>
      <w:r w:rsidRPr="008C6A2E">
        <w:rPr>
          <w:rFonts w:cs="Arial"/>
          <w:szCs w:val="24"/>
        </w:rPr>
        <w:t>. Finally, unit costs per report are multiplied by the number of reports per site per year to arrive at unit costs per site (</w:t>
      </w:r>
      <w:r w:rsidR="00592C48">
        <w:rPr>
          <w:rFonts w:cs="Arial"/>
          <w:szCs w:val="24"/>
        </w:rPr>
        <w:t xml:space="preserve">i.e., </w:t>
      </w:r>
      <w:r w:rsidRPr="008C6A2E">
        <w:rPr>
          <w:rFonts w:cs="Arial"/>
          <w:szCs w:val="24"/>
        </w:rPr>
        <w:t xml:space="preserve">respondent costs), and are summarized in </w:t>
      </w:r>
      <w:r w:rsidR="0034191D">
        <w:rPr>
          <w:rFonts w:cs="Arial"/>
          <w:szCs w:val="24"/>
        </w:rPr>
        <w:t>Table 3</w:t>
      </w:r>
      <w:r w:rsidRPr="004321C4" w:rsidR="004321C4">
        <w:rPr>
          <w:rFonts w:cs="Arial"/>
          <w:szCs w:val="24"/>
        </w:rPr>
        <w:fldChar w:fldCharType="begin"/>
      </w:r>
      <w:r w:rsidRPr="004321C4" w:rsidR="004321C4">
        <w:rPr>
          <w:rFonts w:cs="Arial"/>
          <w:szCs w:val="24"/>
        </w:rPr>
        <w:instrText xml:space="preserve"> REF _Ref94280284 \h  \* MERGEFORMAT </w:instrText>
      </w:r>
      <w:r w:rsidRPr="004321C4" w:rsidR="004321C4">
        <w:rPr>
          <w:rFonts w:cs="Arial"/>
          <w:szCs w:val="24"/>
        </w:rPr>
      </w:r>
      <w:r w:rsidRPr="004321C4" w:rsidR="004321C4">
        <w:rPr>
          <w:rFonts w:cs="Arial"/>
          <w:szCs w:val="24"/>
        </w:rPr>
        <w:fldChar w:fldCharType="end"/>
      </w:r>
      <w:r w:rsidRPr="008C6A2E">
        <w:rPr>
          <w:rFonts w:cs="Arial"/>
          <w:szCs w:val="24"/>
        </w:rPr>
        <w:t>.</w:t>
      </w:r>
      <w:bookmarkStart w:name="_Ref295819308" w:id="29"/>
    </w:p>
    <w:p w:rsidRPr="008C6A2E" w:rsidR="00FD6FF1" w:rsidP="008C6A2E" w:rsidRDefault="00FD6FF1" w14:paraId="48D11E6E" w14:textId="77777777">
      <w:pPr>
        <w:ind w:firstLine="720"/>
        <w:rPr>
          <w:rFonts w:cs="Arial"/>
          <w:b/>
          <w:bCs/>
          <w:szCs w:val="24"/>
        </w:rPr>
        <w:sectPr w:rsidRPr="008C6A2E" w:rsidR="00FD6FF1" w:rsidSect="00FD6FF1">
          <w:headerReference w:type="default" r:id="rId14"/>
          <w:footerReference w:type="default" r:id="rId15"/>
          <w:pgSz w:w="12240" w:h="15840"/>
          <w:pgMar w:top="1440" w:right="1440" w:bottom="1440" w:left="1440" w:header="720" w:footer="720" w:gutter="0"/>
          <w:cols w:space="720"/>
          <w:docGrid w:linePitch="360"/>
        </w:sectPr>
      </w:pPr>
    </w:p>
    <w:p w:rsidR="00D11965" w:rsidP="00D11965" w:rsidRDefault="00D11965" w14:paraId="57AFBA92" w14:textId="21D0D3B8">
      <w:pPr>
        <w:pStyle w:val="Caption"/>
      </w:pPr>
      <w:bookmarkStart w:name="_Ref96086116" w:id="30"/>
      <w:r>
        <w:t>Table</w:t>
      </w:r>
      <w:r w:rsidR="00E14C12">
        <w:t>3</w:t>
      </w:r>
      <w:bookmarkEnd w:id="30"/>
      <w:r>
        <w:t xml:space="preserve">. </w:t>
      </w:r>
      <w:r w:rsidRPr="00D11965">
        <w:t>Reporting Costs by Labor Category and Reporting Activity TSCA Section 8(a) PAIR (assuming 1 report per site and a total of 1 report per year)</w:t>
      </w:r>
    </w:p>
    <w:tbl>
      <w:tblPr>
        <w:tblW w:w="13420" w:type="dxa"/>
        <w:tblLook w:val="04A0" w:firstRow="1" w:lastRow="0" w:firstColumn="1" w:lastColumn="0" w:noHBand="0" w:noVBand="1"/>
      </w:tblPr>
      <w:tblGrid>
        <w:gridCol w:w="2183"/>
        <w:gridCol w:w="1261"/>
        <w:gridCol w:w="1158"/>
        <w:gridCol w:w="1135"/>
        <w:gridCol w:w="955"/>
        <w:gridCol w:w="945"/>
        <w:gridCol w:w="940"/>
        <w:gridCol w:w="949"/>
        <w:gridCol w:w="972"/>
        <w:gridCol w:w="945"/>
        <w:gridCol w:w="972"/>
        <w:gridCol w:w="1005"/>
      </w:tblGrid>
      <w:tr w:rsidRPr="00D11965" w:rsidR="00D11965" w:rsidTr="00B81E9F" w14:paraId="6BC4A2EA" w14:textId="77777777">
        <w:trPr>
          <w:trHeight w:val="1068"/>
        </w:trPr>
        <w:tc>
          <w:tcPr>
            <w:tcW w:w="2183"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61EB069C"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Cost Element</w:t>
            </w:r>
          </w:p>
        </w:tc>
        <w:tc>
          <w:tcPr>
            <w:tcW w:w="1261" w:type="dxa"/>
            <w:tcBorders>
              <w:top w:val="single" w:color="auto" w:sz="8" w:space="0"/>
              <w:left w:val="nil"/>
              <w:bottom w:val="nil"/>
              <w:right w:val="single" w:color="auto" w:sz="8" w:space="0"/>
            </w:tcBorders>
            <w:shd w:val="clear" w:color="auto" w:fill="auto"/>
            <w:vAlign w:val="center"/>
            <w:hideMark/>
          </w:tcPr>
          <w:p w:rsidRPr="00D11965" w:rsidR="00D11965" w:rsidP="00D11965" w:rsidRDefault="00D11965" w14:paraId="10697075"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Managerial</w:t>
            </w:r>
          </w:p>
        </w:tc>
        <w:tc>
          <w:tcPr>
            <w:tcW w:w="1158" w:type="dxa"/>
            <w:tcBorders>
              <w:top w:val="single" w:color="auto" w:sz="8" w:space="0"/>
              <w:left w:val="nil"/>
              <w:bottom w:val="nil"/>
              <w:right w:val="single" w:color="auto" w:sz="8" w:space="0"/>
            </w:tcBorders>
            <w:shd w:val="clear" w:color="auto" w:fill="auto"/>
            <w:vAlign w:val="center"/>
            <w:hideMark/>
          </w:tcPr>
          <w:p w:rsidRPr="00D11965" w:rsidR="00D11965" w:rsidP="00D11965" w:rsidRDefault="00D11965" w14:paraId="380BED8E"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Technical</w:t>
            </w:r>
          </w:p>
        </w:tc>
        <w:tc>
          <w:tcPr>
            <w:tcW w:w="1135" w:type="dxa"/>
            <w:tcBorders>
              <w:top w:val="single" w:color="auto" w:sz="8" w:space="0"/>
              <w:left w:val="nil"/>
              <w:bottom w:val="nil"/>
              <w:right w:val="single" w:color="auto" w:sz="8" w:space="0"/>
            </w:tcBorders>
            <w:shd w:val="clear" w:color="auto" w:fill="auto"/>
            <w:vAlign w:val="center"/>
            <w:hideMark/>
          </w:tcPr>
          <w:p w:rsidRPr="00D11965" w:rsidR="00D11965" w:rsidP="00D11965" w:rsidRDefault="00D11965" w14:paraId="3CA52B24"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Clerical</w:t>
            </w:r>
          </w:p>
        </w:tc>
        <w:tc>
          <w:tcPr>
            <w:tcW w:w="95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2774D3A7"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Annual Burden Hours</w:t>
            </w:r>
          </w:p>
        </w:tc>
        <w:tc>
          <w:tcPr>
            <w:tcW w:w="94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47E883C3"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Labor Costs</w:t>
            </w:r>
          </w:p>
        </w:tc>
        <w:tc>
          <w:tcPr>
            <w:tcW w:w="9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3E139E5D"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Other Direct Costs</w:t>
            </w:r>
          </w:p>
        </w:tc>
        <w:tc>
          <w:tcPr>
            <w:tcW w:w="94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11AF3D6A"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Cost Per Report</w:t>
            </w:r>
          </w:p>
        </w:tc>
        <w:tc>
          <w:tcPr>
            <w:tcW w:w="97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0AD3C701"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Number of Reports</w:t>
            </w:r>
          </w:p>
        </w:tc>
        <w:tc>
          <w:tcPr>
            <w:tcW w:w="94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79862D61"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Cost Per Site</w:t>
            </w:r>
          </w:p>
        </w:tc>
        <w:tc>
          <w:tcPr>
            <w:tcW w:w="97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2B87CF09"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Number of Sites</w:t>
            </w:r>
          </w:p>
        </w:tc>
        <w:tc>
          <w:tcPr>
            <w:tcW w:w="100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11965" w:rsidR="00D11965" w:rsidP="00D11965" w:rsidRDefault="00D11965" w14:paraId="141E5C39"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Total Annual Industry Cost</w:t>
            </w:r>
          </w:p>
        </w:tc>
      </w:tr>
      <w:tr w:rsidRPr="00D11965" w:rsidR="00D11965" w:rsidTr="00B81E9F" w14:paraId="1F485E63" w14:textId="77777777">
        <w:trPr>
          <w:trHeight w:val="300"/>
        </w:trPr>
        <w:tc>
          <w:tcPr>
            <w:tcW w:w="2183"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71AACB4A" w14:textId="77777777">
            <w:pPr>
              <w:spacing w:after="0" w:line="240" w:lineRule="auto"/>
              <w:rPr>
                <w:rFonts w:eastAsia="Times New Roman" w:cs="Arial"/>
                <w:b/>
                <w:bCs/>
                <w:color w:val="000000"/>
                <w:sz w:val="20"/>
                <w:szCs w:val="20"/>
              </w:rPr>
            </w:pP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045BF75"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 xml:space="preserve">$94.54 </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ECEC2CB"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 xml:space="preserve">$80.50 </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D13D709"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 xml:space="preserve">$36.58 </w:t>
            </w:r>
          </w:p>
        </w:tc>
        <w:tc>
          <w:tcPr>
            <w:tcW w:w="955"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2D2D66B0" w14:textId="77777777">
            <w:pPr>
              <w:spacing w:after="0" w:line="240" w:lineRule="auto"/>
              <w:rPr>
                <w:rFonts w:eastAsia="Times New Roman" w:cs="Arial"/>
                <w:b/>
                <w:bCs/>
                <w:color w:val="000000"/>
                <w:sz w:val="20"/>
                <w:szCs w:val="20"/>
              </w:rPr>
            </w:pPr>
          </w:p>
        </w:tc>
        <w:tc>
          <w:tcPr>
            <w:tcW w:w="945"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41C92F80" w14:textId="77777777">
            <w:pPr>
              <w:spacing w:after="0" w:line="240" w:lineRule="auto"/>
              <w:rPr>
                <w:rFonts w:eastAsia="Times New Roman" w:cs="Arial"/>
                <w:b/>
                <w:bCs/>
                <w:color w:val="000000"/>
                <w:sz w:val="20"/>
                <w:szCs w:val="20"/>
              </w:rPr>
            </w:pPr>
          </w:p>
        </w:tc>
        <w:tc>
          <w:tcPr>
            <w:tcW w:w="940"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5E3018DD" w14:textId="77777777">
            <w:pPr>
              <w:spacing w:after="0" w:line="240" w:lineRule="auto"/>
              <w:rPr>
                <w:rFonts w:eastAsia="Times New Roman" w:cs="Arial"/>
                <w:b/>
                <w:bCs/>
                <w:color w:val="000000"/>
                <w:sz w:val="20"/>
                <w:szCs w:val="20"/>
              </w:rPr>
            </w:pPr>
          </w:p>
        </w:tc>
        <w:tc>
          <w:tcPr>
            <w:tcW w:w="949"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7636CE8B" w14:textId="77777777">
            <w:pPr>
              <w:spacing w:after="0" w:line="240" w:lineRule="auto"/>
              <w:rPr>
                <w:rFonts w:eastAsia="Times New Roman" w:cs="Arial"/>
                <w:b/>
                <w:bCs/>
                <w:color w:val="000000"/>
                <w:sz w:val="20"/>
                <w:szCs w:val="20"/>
              </w:rPr>
            </w:pPr>
          </w:p>
        </w:tc>
        <w:tc>
          <w:tcPr>
            <w:tcW w:w="972"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2F9E98CB" w14:textId="77777777">
            <w:pPr>
              <w:spacing w:after="0" w:line="240" w:lineRule="auto"/>
              <w:rPr>
                <w:rFonts w:eastAsia="Times New Roman" w:cs="Arial"/>
                <w:b/>
                <w:bCs/>
                <w:color w:val="000000"/>
                <w:sz w:val="20"/>
                <w:szCs w:val="20"/>
              </w:rPr>
            </w:pPr>
          </w:p>
        </w:tc>
        <w:tc>
          <w:tcPr>
            <w:tcW w:w="945"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7258659B" w14:textId="77777777">
            <w:pPr>
              <w:spacing w:after="0" w:line="240" w:lineRule="auto"/>
              <w:rPr>
                <w:rFonts w:eastAsia="Times New Roman" w:cs="Arial"/>
                <w:b/>
                <w:bCs/>
                <w:color w:val="000000"/>
                <w:sz w:val="20"/>
                <w:szCs w:val="20"/>
              </w:rPr>
            </w:pPr>
          </w:p>
        </w:tc>
        <w:tc>
          <w:tcPr>
            <w:tcW w:w="972"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443EDE8C" w14:textId="77777777">
            <w:pPr>
              <w:spacing w:after="0" w:line="240" w:lineRule="auto"/>
              <w:rPr>
                <w:rFonts w:eastAsia="Times New Roman" w:cs="Arial"/>
                <w:b/>
                <w:bCs/>
                <w:color w:val="000000"/>
                <w:sz w:val="20"/>
                <w:szCs w:val="20"/>
              </w:rPr>
            </w:pPr>
          </w:p>
        </w:tc>
        <w:tc>
          <w:tcPr>
            <w:tcW w:w="1005" w:type="dxa"/>
            <w:vMerge/>
            <w:tcBorders>
              <w:top w:val="single" w:color="auto" w:sz="8" w:space="0"/>
              <w:left w:val="single" w:color="auto" w:sz="8" w:space="0"/>
              <w:bottom w:val="single" w:color="000000" w:sz="8" w:space="0"/>
              <w:right w:val="single" w:color="auto" w:sz="8" w:space="0"/>
            </w:tcBorders>
            <w:vAlign w:val="center"/>
            <w:hideMark/>
          </w:tcPr>
          <w:p w:rsidRPr="00D11965" w:rsidR="00D11965" w:rsidP="00D11965" w:rsidRDefault="00D11965" w14:paraId="3AEC88C9" w14:textId="77777777">
            <w:pPr>
              <w:spacing w:after="0" w:line="240" w:lineRule="auto"/>
              <w:rPr>
                <w:rFonts w:eastAsia="Times New Roman" w:cs="Arial"/>
                <w:b/>
                <w:bCs/>
                <w:color w:val="000000"/>
                <w:sz w:val="20"/>
                <w:szCs w:val="20"/>
              </w:rPr>
            </w:pPr>
          </w:p>
        </w:tc>
      </w:tr>
      <w:tr w:rsidRPr="00D11965" w:rsidR="00D11965" w:rsidTr="00B81E9F" w14:paraId="15CAE227"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3659CDDD" w14:textId="77777777">
            <w:pPr>
              <w:spacing w:after="0" w:line="240" w:lineRule="auto"/>
              <w:rPr>
                <w:rFonts w:eastAsia="Times New Roman" w:cs="Arial"/>
                <w:color w:val="000000"/>
                <w:sz w:val="20"/>
                <w:szCs w:val="20"/>
              </w:rPr>
            </w:pPr>
            <w:r w:rsidRPr="00D11965">
              <w:rPr>
                <w:rFonts w:eastAsia="Times New Roman" w:cs="Arial"/>
                <w:color w:val="000000"/>
                <w:sz w:val="20"/>
                <w:szCs w:val="20"/>
              </w:rPr>
              <w:t>Form Familiarization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E3B5F3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3.00</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6C0A93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4.00</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828232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6D890C3"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7.00</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D3678A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$606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DBEB8FE"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8CBAF74"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$606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916E469"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E455FD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$606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667BABAD"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175F87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$606 </w:t>
            </w:r>
          </w:p>
        </w:tc>
      </w:tr>
      <w:tr w:rsidRPr="00D11965" w:rsidR="00D11965" w:rsidTr="00B81E9F" w14:paraId="1974805B"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2352A69F" w14:textId="77777777">
            <w:pPr>
              <w:spacing w:after="0" w:line="240" w:lineRule="auto"/>
              <w:rPr>
                <w:rFonts w:eastAsia="Times New Roman" w:cs="Arial"/>
                <w:color w:val="000000"/>
                <w:sz w:val="20"/>
                <w:szCs w:val="20"/>
              </w:rPr>
            </w:pPr>
            <w:r w:rsidRPr="00D11965">
              <w:rPr>
                <w:rFonts w:eastAsia="Times New Roman" w:cs="Arial"/>
                <w:color w:val="000000"/>
                <w:sz w:val="20"/>
                <w:szCs w:val="20"/>
              </w:rPr>
              <w:t>Reporting</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4CEDAE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5.50</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EB1CD00"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9.25</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6127276"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CBDDD4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14.75</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ADEC069"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$1,265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E887141"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36DC73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$1,265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5808BE2"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F831D1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$1,265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03FFD9D8"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954E8D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$1,265 </w:t>
            </w:r>
          </w:p>
        </w:tc>
      </w:tr>
      <w:tr w:rsidRPr="00D11965" w:rsidR="00D11965" w:rsidTr="00B81E9F" w14:paraId="05A2ABAF"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256CE226" w14:textId="77777777">
            <w:pPr>
              <w:spacing w:after="0" w:line="240" w:lineRule="auto"/>
              <w:rPr>
                <w:rFonts w:eastAsia="Times New Roman" w:cs="Arial"/>
                <w:color w:val="000000"/>
                <w:sz w:val="20"/>
                <w:szCs w:val="20"/>
              </w:rPr>
            </w:pPr>
            <w:r w:rsidRPr="00D11965">
              <w:rPr>
                <w:rFonts w:eastAsia="Times New Roman" w:cs="Arial"/>
                <w:color w:val="000000"/>
                <w:sz w:val="20"/>
                <w:szCs w:val="20"/>
              </w:rPr>
              <w:t>Trade Name Notification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D2CA36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2.20</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485407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70803B4"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982F9BD"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2.20</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0B3B05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$208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880A390"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A0FC0BA"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$208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9616B40"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95C3B4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$208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125A37FC"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A226C54"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$208 </w:t>
            </w:r>
          </w:p>
        </w:tc>
      </w:tr>
      <w:tr w:rsidRPr="00D11965" w:rsidR="00D11965" w:rsidTr="00B81E9F" w14:paraId="404F9636"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4CA111E5" w14:textId="77777777">
            <w:pPr>
              <w:spacing w:after="0" w:line="240" w:lineRule="auto"/>
              <w:rPr>
                <w:rFonts w:eastAsia="Times New Roman" w:cs="Arial"/>
                <w:color w:val="000000"/>
                <w:sz w:val="20"/>
                <w:szCs w:val="20"/>
              </w:rPr>
            </w:pPr>
            <w:r w:rsidRPr="00D11965">
              <w:rPr>
                <w:rFonts w:eastAsia="Times New Roman" w:cs="Arial"/>
                <w:color w:val="000000"/>
                <w:sz w:val="20"/>
                <w:szCs w:val="20"/>
              </w:rPr>
              <w:t>CBI Substantiation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A38564E"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0.95</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E53DF8E"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3.06</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2B40FAC"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0C9FF1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4.01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04C0BB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$336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06B5191"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024DD79"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$336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15154D5"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8303C1C"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$336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0D7EB1A7"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071FEFA"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$336 </w:t>
            </w:r>
          </w:p>
        </w:tc>
      </w:tr>
      <w:tr w:rsidRPr="00D11965" w:rsidR="00D11965" w:rsidTr="00B81E9F" w14:paraId="7668370F"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484263D8" w14:textId="77777777">
            <w:pPr>
              <w:spacing w:after="0" w:line="240" w:lineRule="auto"/>
              <w:rPr>
                <w:rFonts w:eastAsia="Times New Roman" w:cs="Arial"/>
                <w:color w:val="000000"/>
                <w:sz w:val="20"/>
                <w:szCs w:val="20"/>
              </w:rPr>
            </w:pPr>
            <w:r w:rsidRPr="00D11965">
              <w:rPr>
                <w:rFonts w:eastAsia="Times New Roman" w:cs="Arial"/>
                <w:color w:val="000000"/>
                <w:sz w:val="20"/>
                <w:szCs w:val="20"/>
              </w:rPr>
              <w:t>Recordkeeping</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5FD2139"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AF053A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0.50</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0C74176"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0.50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726FA0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1.00</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D528DD3"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$59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317AE5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E8845E0"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$59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CED8F65"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0A2FA8C"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$59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27729312"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180D494"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$59 </w:t>
            </w:r>
          </w:p>
        </w:tc>
      </w:tr>
      <w:tr w:rsidRPr="00D11965" w:rsidR="00D11965" w:rsidTr="00B81E9F" w14:paraId="056D3E5F"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1715400D" w14:textId="77777777">
            <w:pPr>
              <w:spacing w:after="0" w:line="240" w:lineRule="auto"/>
              <w:rPr>
                <w:rFonts w:eastAsia="Times New Roman" w:cs="Arial"/>
                <w:color w:val="000000"/>
                <w:sz w:val="20"/>
                <w:szCs w:val="20"/>
              </w:rPr>
            </w:pPr>
            <w:r w:rsidRPr="00D11965">
              <w:rPr>
                <w:rFonts w:eastAsia="Times New Roman" w:cs="Arial"/>
                <w:color w:val="000000"/>
                <w:sz w:val="20"/>
                <w:szCs w:val="20"/>
              </w:rPr>
              <w:t>CDX Registration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546E11B"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0.18</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B368CF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0.73</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6CBD15A"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42B44C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0.91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AFB8E3D"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$76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F8CC09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5C4E8D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$76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E269D90"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A775C2D"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$76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60181365"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6ACFCDC"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$76 </w:t>
            </w:r>
          </w:p>
        </w:tc>
      </w:tr>
      <w:tr w:rsidRPr="00D11965" w:rsidR="00D11965" w:rsidTr="00B81E9F" w14:paraId="30F001A2"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7762CB" w:rsidR="00D11965" w:rsidP="00D11965" w:rsidRDefault="00D11965" w14:paraId="4AFE69B3" w14:textId="345D50BF">
            <w:pPr>
              <w:spacing w:after="0" w:line="240" w:lineRule="auto"/>
              <w:rPr>
                <w:rFonts w:cs="Arial"/>
                <w:color w:val="000000"/>
                <w:sz w:val="20"/>
                <w:szCs w:val="20"/>
              </w:rPr>
            </w:pPr>
            <w:r>
              <w:rPr>
                <w:rFonts w:cs="Arial"/>
                <w:color w:val="000000"/>
                <w:sz w:val="20"/>
                <w:szCs w:val="20"/>
              </w:rPr>
              <w:t>CDX Electronic Signature</w:t>
            </w:r>
            <w:r w:rsidR="00B81E9F">
              <w:rPr>
                <w:rFonts w:cs="Arial"/>
                <w:color w:val="000000"/>
                <w:sz w:val="20"/>
                <w:szCs w:val="20"/>
              </w:rPr>
              <w:t xml:space="preserve"> </w:t>
            </w:r>
            <w:r w:rsidR="00B81E9F">
              <w:rPr>
                <w:rFonts w:cs="Arial"/>
                <w:color w:val="000000"/>
                <w:sz w:val="20"/>
                <w:szCs w:val="20"/>
                <w:vertAlign w:val="superscript"/>
              </w:rPr>
              <w:t>a</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D29D1CB"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0.75</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8622373"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1.00</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7F6D04A"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2A174BB"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1.75</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7081F9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$151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DB004C5"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$2.90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74B3E682"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$154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49F0D7A"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4D4CBB9"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$154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02986036"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AAFAF97"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$154 </w:t>
            </w:r>
          </w:p>
        </w:tc>
      </w:tr>
      <w:tr w:rsidRPr="00D11965" w:rsidR="00D11965" w:rsidTr="00B81E9F" w14:paraId="05B48118"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027B832A" w14:textId="77777777">
            <w:pPr>
              <w:spacing w:after="0" w:line="240" w:lineRule="auto"/>
              <w:rPr>
                <w:rFonts w:eastAsia="Times New Roman" w:cs="Arial"/>
                <w:color w:val="000000"/>
                <w:sz w:val="20"/>
                <w:szCs w:val="20"/>
              </w:rPr>
            </w:pPr>
            <w:r w:rsidRPr="00D11965">
              <w:rPr>
                <w:rFonts w:eastAsia="Times New Roman" w:cs="Arial"/>
                <w:color w:val="000000"/>
                <w:sz w:val="20"/>
                <w:szCs w:val="20"/>
              </w:rPr>
              <w:t>Rule Familiarization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763978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0.55</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2B91BD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0.27</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26EEDDD"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4A8056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0.82</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CE55E79"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$74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666180F"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5B5B19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$74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66AEC43"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EF68A3A"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$74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73219C46"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B751506"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$74 </w:t>
            </w:r>
          </w:p>
        </w:tc>
      </w:tr>
      <w:tr w:rsidRPr="00D11965" w:rsidR="00D11965" w:rsidTr="00B81E9F" w14:paraId="011723D6" w14:textId="77777777">
        <w:trPr>
          <w:trHeight w:val="600"/>
        </w:trPr>
        <w:tc>
          <w:tcPr>
            <w:tcW w:w="2183"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78C91735" w14:textId="77777777">
            <w:pPr>
              <w:spacing w:after="0" w:line="240" w:lineRule="auto"/>
              <w:rPr>
                <w:rFonts w:eastAsia="Times New Roman" w:cs="Arial"/>
                <w:color w:val="000000"/>
                <w:sz w:val="20"/>
                <w:szCs w:val="20"/>
              </w:rPr>
            </w:pPr>
            <w:r w:rsidRPr="00D11965">
              <w:rPr>
                <w:rFonts w:eastAsia="Times New Roman" w:cs="Arial"/>
                <w:color w:val="000000"/>
                <w:sz w:val="20"/>
                <w:szCs w:val="20"/>
              </w:rPr>
              <w:t>Report Submission</w:t>
            </w:r>
          </w:p>
        </w:tc>
        <w:tc>
          <w:tcPr>
            <w:tcW w:w="1261"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58C53E0"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0.50</w:t>
            </w:r>
          </w:p>
        </w:tc>
        <w:tc>
          <w:tcPr>
            <w:tcW w:w="1158"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37A8987"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0.00</w:t>
            </w:r>
          </w:p>
        </w:tc>
        <w:tc>
          <w:tcPr>
            <w:tcW w:w="113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0EFAA8A8"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0.05</w:t>
            </w:r>
          </w:p>
        </w:tc>
        <w:tc>
          <w:tcPr>
            <w:tcW w:w="95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124F9BE"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0.55</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28DB727"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$49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1B837CC"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34164C7"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$49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EC3EDB4"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5D82C9D6"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$49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7D860076" w14:textId="77777777">
            <w:pPr>
              <w:spacing w:after="0" w:line="240" w:lineRule="auto"/>
              <w:jc w:val="center"/>
              <w:rPr>
                <w:rFonts w:eastAsia="Times New Roman" w:cs="Arial"/>
                <w:color w:val="000000"/>
                <w:sz w:val="20"/>
                <w:szCs w:val="20"/>
              </w:rPr>
            </w:pPr>
            <w:r w:rsidRPr="00D11965">
              <w:rPr>
                <w:rFonts w:eastAsia="Times New Roman" w:cs="Arial"/>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8CCBA63" w14:textId="77777777">
            <w:pPr>
              <w:spacing w:after="0" w:line="240" w:lineRule="auto"/>
              <w:jc w:val="right"/>
              <w:rPr>
                <w:rFonts w:eastAsia="Times New Roman" w:cs="Arial"/>
                <w:color w:val="000000"/>
                <w:sz w:val="20"/>
                <w:szCs w:val="20"/>
              </w:rPr>
            </w:pPr>
            <w:r w:rsidRPr="00D11965">
              <w:rPr>
                <w:rFonts w:eastAsia="Times New Roman" w:cs="Arial"/>
                <w:color w:val="000000"/>
                <w:sz w:val="20"/>
                <w:szCs w:val="20"/>
              </w:rPr>
              <w:t xml:space="preserve">$49 </w:t>
            </w:r>
          </w:p>
        </w:tc>
      </w:tr>
      <w:tr w:rsidRPr="00D11965" w:rsidR="00D11965" w:rsidTr="00B81E9F" w14:paraId="69FF8E3E" w14:textId="77777777">
        <w:trPr>
          <w:trHeight w:val="540"/>
        </w:trPr>
        <w:tc>
          <w:tcPr>
            <w:tcW w:w="2183" w:type="dxa"/>
            <w:tcBorders>
              <w:top w:val="nil"/>
              <w:left w:val="single" w:color="auto" w:sz="8" w:space="0"/>
              <w:bottom w:val="single" w:color="auto" w:sz="8" w:space="0"/>
              <w:right w:val="nil"/>
            </w:tcBorders>
            <w:shd w:val="clear" w:color="auto" w:fill="auto"/>
            <w:vAlign w:val="center"/>
            <w:hideMark/>
          </w:tcPr>
          <w:p w:rsidRPr="00D11965" w:rsidR="00D11965" w:rsidP="00D11965" w:rsidRDefault="00D11965" w14:paraId="6FC6813C"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TOTAL</w:t>
            </w:r>
          </w:p>
        </w:tc>
        <w:tc>
          <w:tcPr>
            <w:tcW w:w="1261" w:type="dxa"/>
            <w:tcBorders>
              <w:top w:val="nil"/>
              <w:left w:val="single" w:color="auto" w:sz="8" w:space="0"/>
              <w:bottom w:val="single" w:color="auto" w:sz="8" w:space="0"/>
              <w:right w:val="nil"/>
            </w:tcBorders>
            <w:shd w:val="clear" w:color="auto" w:fill="auto"/>
            <w:vAlign w:val="center"/>
            <w:hideMark/>
          </w:tcPr>
          <w:p w:rsidRPr="00D11965" w:rsidR="00D11965" w:rsidP="00D11965" w:rsidRDefault="00D11965" w14:paraId="2D58D95A"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13.63</w:t>
            </w:r>
          </w:p>
        </w:tc>
        <w:tc>
          <w:tcPr>
            <w:tcW w:w="1158" w:type="dxa"/>
            <w:tcBorders>
              <w:top w:val="nil"/>
              <w:left w:val="single" w:color="auto" w:sz="8" w:space="0"/>
              <w:bottom w:val="single" w:color="auto" w:sz="8" w:space="0"/>
              <w:right w:val="nil"/>
            </w:tcBorders>
            <w:shd w:val="clear" w:color="auto" w:fill="auto"/>
            <w:vAlign w:val="center"/>
            <w:hideMark/>
          </w:tcPr>
          <w:p w:rsidRPr="00D11965" w:rsidR="00D11965" w:rsidP="00D11965" w:rsidRDefault="00D11965" w14:paraId="44972F22"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18.81</w:t>
            </w:r>
          </w:p>
        </w:tc>
        <w:tc>
          <w:tcPr>
            <w:tcW w:w="1135" w:type="dxa"/>
            <w:tcBorders>
              <w:top w:val="nil"/>
              <w:left w:val="single" w:color="auto" w:sz="8" w:space="0"/>
              <w:bottom w:val="single" w:color="auto" w:sz="8" w:space="0"/>
              <w:right w:val="nil"/>
            </w:tcBorders>
            <w:shd w:val="clear" w:color="auto" w:fill="auto"/>
            <w:vAlign w:val="center"/>
            <w:hideMark/>
          </w:tcPr>
          <w:p w:rsidRPr="00D11965" w:rsidR="00D11965" w:rsidP="00D11965" w:rsidRDefault="00D11965" w14:paraId="76F7F23B"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0.55</w:t>
            </w:r>
          </w:p>
        </w:tc>
        <w:tc>
          <w:tcPr>
            <w:tcW w:w="955" w:type="dxa"/>
            <w:tcBorders>
              <w:top w:val="nil"/>
              <w:left w:val="single" w:color="auto" w:sz="8" w:space="0"/>
              <w:bottom w:val="single" w:color="auto" w:sz="8" w:space="0"/>
              <w:right w:val="single" w:color="auto" w:sz="8" w:space="0"/>
            </w:tcBorders>
            <w:shd w:val="clear" w:color="auto" w:fill="auto"/>
            <w:vAlign w:val="center"/>
            <w:hideMark/>
          </w:tcPr>
          <w:p w:rsidRPr="00D11965" w:rsidR="00D11965" w:rsidP="00D11965" w:rsidRDefault="00D11965" w14:paraId="2114BB32"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32.99</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35E2716" w14:textId="73FA1BDA">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$2,82</w:t>
            </w:r>
            <w:r w:rsidR="003563C6">
              <w:rPr>
                <w:rFonts w:eastAsia="Times New Roman" w:cs="Arial"/>
                <w:b/>
                <w:bCs/>
                <w:color w:val="000000"/>
                <w:sz w:val="20"/>
                <w:szCs w:val="20"/>
              </w:rPr>
              <w:t>4</w:t>
            </w:r>
            <w:r w:rsidRPr="00D11965">
              <w:rPr>
                <w:rFonts w:eastAsia="Times New Roman" w:cs="Arial"/>
                <w:b/>
                <w:bCs/>
                <w:color w:val="000000"/>
                <w:sz w:val="20"/>
                <w:szCs w:val="20"/>
              </w:rPr>
              <w:t xml:space="preserve"> </w:t>
            </w:r>
          </w:p>
        </w:tc>
        <w:tc>
          <w:tcPr>
            <w:tcW w:w="940"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3E0E3A21" w14:textId="77777777">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 xml:space="preserve">$2.90 </w:t>
            </w:r>
          </w:p>
        </w:tc>
        <w:tc>
          <w:tcPr>
            <w:tcW w:w="949"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42D8D43D" w14:textId="71CF953F">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$2,82</w:t>
            </w:r>
            <w:r w:rsidR="00B81E9F">
              <w:rPr>
                <w:rFonts w:eastAsia="Times New Roman" w:cs="Arial"/>
                <w:b/>
                <w:bCs/>
                <w:color w:val="000000"/>
                <w:sz w:val="20"/>
                <w:szCs w:val="20"/>
              </w:rPr>
              <w:t>4</w:t>
            </w:r>
            <w:r w:rsidRPr="00D11965">
              <w:rPr>
                <w:rFonts w:eastAsia="Times New Roman" w:cs="Arial"/>
                <w:b/>
                <w:bCs/>
                <w:color w:val="000000"/>
                <w:sz w:val="20"/>
                <w:szCs w:val="20"/>
              </w:rPr>
              <w:t xml:space="preserve"> </w:t>
            </w:r>
          </w:p>
        </w:tc>
        <w:tc>
          <w:tcPr>
            <w:tcW w:w="972"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1352F03F"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1</w:t>
            </w:r>
          </w:p>
        </w:tc>
        <w:tc>
          <w:tcPr>
            <w:tcW w:w="94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6FD74A52" w14:textId="1142366D">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$2,82</w:t>
            </w:r>
            <w:r w:rsidR="003563C6">
              <w:rPr>
                <w:rFonts w:eastAsia="Times New Roman" w:cs="Arial"/>
                <w:b/>
                <w:bCs/>
                <w:color w:val="000000"/>
                <w:sz w:val="20"/>
                <w:szCs w:val="20"/>
              </w:rPr>
              <w:t>7</w:t>
            </w:r>
            <w:r w:rsidRPr="00D11965">
              <w:rPr>
                <w:rFonts w:eastAsia="Times New Roman" w:cs="Arial"/>
                <w:b/>
                <w:bCs/>
                <w:color w:val="000000"/>
                <w:sz w:val="20"/>
                <w:szCs w:val="20"/>
              </w:rPr>
              <w:t xml:space="preserve"> </w:t>
            </w:r>
          </w:p>
        </w:tc>
        <w:tc>
          <w:tcPr>
            <w:tcW w:w="972" w:type="dxa"/>
            <w:tcBorders>
              <w:top w:val="nil"/>
              <w:left w:val="nil"/>
              <w:bottom w:val="single" w:color="auto" w:sz="8" w:space="0"/>
              <w:right w:val="single" w:color="auto" w:sz="8" w:space="0"/>
            </w:tcBorders>
            <w:shd w:val="clear" w:color="auto" w:fill="auto"/>
            <w:noWrap/>
            <w:vAlign w:val="center"/>
            <w:hideMark/>
          </w:tcPr>
          <w:p w:rsidRPr="00D11965" w:rsidR="00D11965" w:rsidP="00D11965" w:rsidRDefault="00D11965" w14:paraId="314B16CA" w14:textId="77777777">
            <w:pPr>
              <w:spacing w:after="0" w:line="240" w:lineRule="auto"/>
              <w:jc w:val="center"/>
              <w:rPr>
                <w:rFonts w:eastAsia="Times New Roman" w:cs="Arial"/>
                <w:b/>
                <w:bCs/>
                <w:color w:val="000000"/>
                <w:sz w:val="20"/>
                <w:szCs w:val="20"/>
              </w:rPr>
            </w:pPr>
            <w:r w:rsidRPr="00D11965">
              <w:rPr>
                <w:rFonts w:eastAsia="Times New Roman" w:cs="Arial"/>
                <w:b/>
                <w:bCs/>
                <w:color w:val="000000"/>
                <w:sz w:val="20"/>
                <w:szCs w:val="20"/>
              </w:rPr>
              <w:t>1</w:t>
            </w:r>
          </w:p>
        </w:tc>
        <w:tc>
          <w:tcPr>
            <w:tcW w:w="1005" w:type="dxa"/>
            <w:tcBorders>
              <w:top w:val="nil"/>
              <w:left w:val="nil"/>
              <w:bottom w:val="single" w:color="auto" w:sz="8" w:space="0"/>
              <w:right w:val="single" w:color="auto" w:sz="8" w:space="0"/>
            </w:tcBorders>
            <w:shd w:val="clear" w:color="auto" w:fill="auto"/>
            <w:vAlign w:val="center"/>
            <w:hideMark/>
          </w:tcPr>
          <w:p w:rsidRPr="00D11965" w:rsidR="00D11965" w:rsidP="00D11965" w:rsidRDefault="00D11965" w14:paraId="28B6058C" w14:textId="4C69B242">
            <w:pPr>
              <w:spacing w:after="0" w:line="240" w:lineRule="auto"/>
              <w:jc w:val="right"/>
              <w:rPr>
                <w:rFonts w:eastAsia="Times New Roman" w:cs="Arial"/>
                <w:b/>
                <w:bCs/>
                <w:color w:val="000000"/>
                <w:sz w:val="20"/>
                <w:szCs w:val="20"/>
              </w:rPr>
            </w:pPr>
            <w:r w:rsidRPr="00D11965">
              <w:rPr>
                <w:rFonts w:eastAsia="Times New Roman" w:cs="Arial"/>
                <w:b/>
                <w:bCs/>
                <w:color w:val="000000"/>
                <w:sz w:val="20"/>
                <w:szCs w:val="20"/>
              </w:rPr>
              <w:t>$2,82</w:t>
            </w:r>
            <w:r w:rsidR="00B81E9F">
              <w:rPr>
                <w:rFonts w:eastAsia="Times New Roman" w:cs="Arial"/>
                <w:b/>
                <w:bCs/>
                <w:color w:val="000000"/>
                <w:sz w:val="20"/>
                <w:szCs w:val="20"/>
              </w:rPr>
              <w:t>4</w:t>
            </w:r>
            <w:r w:rsidRPr="00D11965">
              <w:rPr>
                <w:rFonts w:eastAsia="Times New Roman" w:cs="Arial"/>
                <w:b/>
                <w:bCs/>
                <w:color w:val="000000"/>
                <w:sz w:val="20"/>
                <w:szCs w:val="20"/>
              </w:rPr>
              <w:t xml:space="preserve"> </w:t>
            </w:r>
          </w:p>
        </w:tc>
      </w:tr>
    </w:tbl>
    <w:p w:rsidRPr="00B81E9F" w:rsidR="00B81E9F" w:rsidP="00B81E9F" w:rsidRDefault="00B81E9F" w14:paraId="7C489D2D" w14:textId="77777777">
      <w:pPr>
        <w:spacing w:after="0" w:line="240" w:lineRule="auto"/>
        <w:rPr>
          <w:rFonts w:eastAsia="Times New Roman" w:cs="Arial"/>
          <w:color w:val="000000"/>
          <w:sz w:val="16"/>
          <w:szCs w:val="16"/>
        </w:rPr>
      </w:pPr>
      <w:proofErr w:type="spellStart"/>
      <w:proofErr w:type="gramStart"/>
      <w:r w:rsidRPr="00B81E9F">
        <w:rPr>
          <w:rFonts w:eastAsia="Times New Roman" w:cs="Arial"/>
          <w:color w:val="000000"/>
          <w:sz w:val="16"/>
          <w:szCs w:val="16"/>
          <w:vertAlign w:val="superscript"/>
        </w:rPr>
        <w:t>a</w:t>
      </w:r>
      <w:proofErr w:type="spellEnd"/>
      <w:proofErr w:type="gramEnd"/>
      <w:r w:rsidRPr="00B81E9F">
        <w:rPr>
          <w:rFonts w:eastAsia="Times New Roman" w:cs="Arial"/>
          <w:color w:val="000000"/>
          <w:sz w:val="16"/>
          <w:szCs w:val="16"/>
        </w:rPr>
        <w:t xml:space="preserve"> Other direct costs related are excluded from total annual industry cost</w:t>
      </w:r>
    </w:p>
    <w:p w:rsidRPr="008C6A2E" w:rsidR="00FD6FF1" w:rsidP="004B4ECA" w:rsidRDefault="00FD6FF1" w14:paraId="19895055" w14:textId="235D91D1">
      <w:pPr>
        <w:pStyle w:val="Caption"/>
        <w:rPr>
          <w:szCs w:val="24"/>
        </w:rPr>
      </w:pP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r w:rsidRPr="008C6A2E">
        <w:rPr>
          <w:szCs w:val="24"/>
        </w:rPr>
        <w:tab/>
      </w:r>
    </w:p>
    <w:p w:rsidRPr="008C6A2E" w:rsidR="00FD6FF1" w:rsidP="008C6A2E" w:rsidRDefault="00FD6FF1" w14:paraId="7F1BB73E" w14:textId="77777777">
      <w:pPr>
        <w:rPr>
          <w:rFonts w:cs="Arial"/>
          <w:b/>
          <w:bCs/>
          <w:szCs w:val="24"/>
        </w:rPr>
        <w:sectPr w:rsidRPr="008C6A2E" w:rsidR="00FD6FF1" w:rsidSect="00FD6FF1">
          <w:pgSz w:w="15840" w:h="12240" w:orient="landscape"/>
          <w:pgMar w:top="1440" w:right="1440" w:bottom="1440" w:left="1440" w:header="720" w:footer="720" w:gutter="0"/>
          <w:cols w:space="720"/>
          <w:docGrid w:linePitch="360"/>
        </w:sectPr>
      </w:pPr>
    </w:p>
    <w:bookmarkEnd w:id="29"/>
    <w:p w:rsidRPr="008C6A2E" w:rsidR="006419DB" w:rsidP="0049040D" w:rsidRDefault="00FD6FF1" w14:paraId="1AFFB6E4" w14:textId="649CCCE2">
      <w:pPr>
        <w:autoSpaceDE w:val="0"/>
        <w:autoSpaceDN w:val="0"/>
        <w:adjustRightInd w:val="0"/>
        <w:rPr>
          <w:rFonts w:cs="Arial"/>
          <w:szCs w:val="24"/>
        </w:rPr>
      </w:pPr>
      <w:r w:rsidRPr="008C6A2E">
        <w:rPr>
          <w:rFonts w:cs="Arial"/>
          <w:szCs w:val="24"/>
        </w:rPr>
        <w:t>The average respondent is assumed to spend $</w:t>
      </w:r>
      <w:r w:rsidR="00297E60">
        <w:rPr>
          <w:rFonts w:cs="Arial"/>
          <w:szCs w:val="24"/>
        </w:rPr>
        <w:t>2,82</w:t>
      </w:r>
      <w:r w:rsidR="007762CB">
        <w:rPr>
          <w:rFonts w:cs="Arial"/>
          <w:szCs w:val="24"/>
        </w:rPr>
        <w:t>4</w:t>
      </w:r>
      <w:r w:rsidRPr="008C6A2E">
        <w:rPr>
          <w:rFonts w:cs="Arial"/>
          <w:szCs w:val="24"/>
        </w:rPr>
        <w:t xml:space="preserve"> per report, or $</w:t>
      </w:r>
      <w:r w:rsidR="00297E60">
        <w:rPr>
          <w:rFonts w:cs="Arial"/>
          <w:szCs w:val="24"/>
        </w:rPr>
        <w:t>2,82</w:t>
      </w:r>
      <w:r w:rsidR="007762CB">
        <w:rPr>
          <w:rFonts w:cs="Arial"/>
          <w:szCs w:val="24"/>
        </w:rPr>
        <w:t>4</w:t>
      </w:r>
      <w:r w:rsidRPr="008C6A2E">
        <w:rPr>
          <w:rFonts w:cs="Arial"/>
          <w:szCs w:val="24"/>
        </w:rPr>
        <w:t xml:space="preserve"> in total per respondent per year. As noted earlier, the Agency is estimating an average of 1 reporting sites and 1 report per year. As a result, total industry cost for complying with PAIR and subpart B of 40 CFR 766 rules is estimated to be $</w:t>
      </w:r>
      <w:r w:rsidR="00297E60">
        <w:rPr>
          <w:rFonts w:cs="Arial"/>
          <w:szCs w:val="24"/>
        </w:rPr>
        <w:t>2,82</w:t>
      </w:r>
      <w:r w:rsidR="007762CB">
        <w:rPr>
          <w:rFonts w:cs="Arial"/>
          <w:szCs w:val="24"/>
        </w:rPr>
        <w:t>4</w:t>
      </w:r>
      <w:r w:rsidRPr="008C6A2E">
        <w:rPr>
          <w:rFonts w:cs="Arial"/>
          <w:szCs w:val="24"/>
        </w:rPr>
        <w:t xml:space="preserve"> per year during the period of FY 20</w:t>
      </w:r>
      <w:r w:rsidR="00815AE6">
        <w:rPr>
          <w:rFonts w:cs="Arial"/>
          <w:szCs w:val="24"/>
        </w:rPr>
        <w:t>22</w:t>
      </w:r>
      <w:r w:rsidRPr="008C6A2E">
        <w:rPr>
          <w:rFonts w:cs="Arial"/>
          <w:szCs w:val="24"/>
        </w:rPr>
        <w:t xml:space="preserve"> through FY 20</w:t>
      </w:r>
      <w:r w:rsidR="00815AE6">
        <w:rPr>
          <w:rFonts w:cs="Arial"/>
          <w:szCs w:val="24"/>
        </w:rPr>
        <w:t>25</w:t>
      </w:r>
      <w:r w:rsidRPr="008C6A2E">
        <w:rPr>
          <w:rFonts w:cs="Arial"/>
          <w:szCs w:val="24"/>
        </w:rPr>
        <w:t>.</w:t>
      </w:r>
    </w:p>
    <w:p w:rsidRPr="009C2235" w:rsidR="00E07475" w:rsidP="008C6A2E" w:rsidRDefault="00E07475" w14:paraId="786D4402" w14:textId="77777777">
      <w:pPr>
        <w:rPr>
          <w:rFonts w:cs="Arial"/>
          <w:b/>
          <w:szCs w:val="24"/>
        </w:rPr>
      </w:pPr>
      <w:r w:rsidRPr="009C2235">
        <w:rPr>
          <w:rFonts w:cs="Arial"/>
          <w:b/>
          <w:szCs w:val="24"/>
        </w:rPr>
        <w:t>Chemical-Specific Rules, TSCA Section 8(a)</w:t>
      </w:r>
    </w:p>
    <w:p w:rsidRPr="008C6A2E" w:rsidR="005359F0" w:rsidP="008C6A2E" w:rsidRDefault="008A52DE" w14:paraId="73E34832" w14:textId="54D7BED3">
      <w:pPr>
        <w:pStyle w:val="ListParagraph"/>
        <w:autoSpaceDE w:val="0"/>
        <w:autoSpaceDN w:val="0"/>
        <w:adjustRightInd w:val="0"/>
        <w:ind w:left="0"/>
        <w:rPr>
          <w:rFonts w:cs="Arial"/>
          <w:szCs w:val="24"/>
        </w:rPr>
      </w:pPr>
      <w:r w:rsidRPr="008C6A2E">
        <w:rPr>
          <w:rFonts w:cs="Arial"/>
          <w:szCs w:val="24"/>
        </w:rPr>
        <w:t xml:space="preserve">Items requested of manufacturers or processors of certain chemicals vary with each collection </w:t>
      </w:r>
      <w:proofErr w:type="gramStart"/>
      <w:r w:rsidRPr="008C6A2E">
        <w:rPr>
          <w:rFonts w:cs="Arial"/>
          <w:szCs w:val="24"/>
        </w:rPr>
        <w:t>request, but</w:t>
      </w:r>
      <w:proofErr w:type="gramEnd"/>
      <w:r w:rsidRPr="008C6A2E">
        <w:rPr>
          <w:rFonts w:cs="Arial"/>
          <w:szCs w:val="24"/>
        </w:rPr>
        <w:t xml:space="preserve"> will not repeat information previously requested through other information gathering tools. Some data items requested under TSCA section 8(a) chemical-specific rules in the past include: notification and description of changes in the end use of identified substances and mixtures, information on planned manufacturing and on-site processing, and notification of changes to the method of manufacturing the substance (see 40 CFR </w:t>
      </w:r>
      <w:r w:rsidR="009C2235">
        <w:rPr>
          <w:rFonts w:cs="Arial"/>
          <w:szCs w:val="24"/>
        </w:rPr>
        <w:t xml:space="preserve">704 </w:t>
      </w:r>
      <w:r w:rsidRPr="008C6A2E">
        <w:rPr>
          <w:rFonts w:cs="Arial"/>
          <w:szCs w:val="24"/>
        </w:rPr>
        <w:t>subpart B).</w:t>
      </w:r>
    </w:p>
    <w:p w:rsidRPr="008C6A2E" w:rsidR="005359F0" w:rsidP="008C6A2E" w:rsidRDefault="005359F0" w14:paraId="7A35FFFF" w14:textId="695B3604">
      <w:pPr>
        <w:pStyle w:val="ListParagraph"/>
        <w:autoSpaceDE w:val="0"/>
        <w:autoSpaceDN w:val="0"/>
        <w:adjustRightInd w:val="0"/>
        <w:ind w:left="0"/>
        <w:rPr>
          <w:rFonts w:cs="Arial"/>
        </w:rPr>
      </w:pPr>
    </w:p>
    <w:p w:rsidRPr="008C6A2E" w:rsidR="00743AF8" w:rsidP="008C6A2E" w:rsidRDefault="00E8164B" w14:paraId="2D6970CF" w14:textId="04B95BD5">
      <w:pPr>
        <w:pStyle w:val="ListParagraph"/>
        <w:autoSpaceDE w:val="0"/>
        <w:autoSpaceDN w:val="0"/>
        <w:adjustRightInd w:val="0"/>
        <w:ind w:left="0"/>
        <w:rPr>
          <w:rFonts w:cs="Arial"/>
          <w:szCs w:val="24"/>
        </w:rPr>
      </w:pPr>
      <w:r w:rsidRPr="58486886">
        <w:rPr>
          <w:rFonts w:cs="Arial"/>
        </w:rPr>
        <w:t xml:space="preserve">An example of a </w:t>
      </w:r>
      <w:r w:rsidRPr="58486886" w:rsidR="005E2847">
        <w:rPr>
          <w:rFonts w:cs="Arial"/>
        </w:rPr>
        <w:t xml:space="preserve">TSCA section 8(a) </w:t>
      </w:r>
      <w:r w:rsidRPr="58486886" w:rsidR="66373A7A">
        <w:rPr>
          <w:rFonts w:cs="Arial"/>
        </w:rPr>
        <w:t>chemical-specific</w:t>
      </w:r>
      <w:r w:rsidRPr="58486886" w:rsidR="005E2847">
        <w:rPr>
          <w:rFonts w:cs="Arial"/>
        </w:rPr>
        <w:t xml:space="preserve"> </w:t>
      </w:r>
      <w:r w:rsidRPr="58486886" w:rsidR="002B60D6">
        <w:rPr>
          <w:rFonts w:cs="Arial"/>
        </w:rPr>
        <w:t>rule</w:t>
      </w:r>
      <w:r w:rsidRPr="58486886" w:rsidR="00FD4C05">
        <w:rPr>
          <w:rFonts w:cs="Arial"/>
        </w:rPr>
        <w:t xml:space="preserve"> is </w:t>
      </w:r>
      <w:r w:rsidRPr="58486886" w:rsidR="00B852D8">
        <w:rPr>
          <w:rFonts w:cs="Arial"/>
        </w:rPr>
        <w:t>on</w:t>
      </w:r>
      <w:r w:rsidRPr="58486886" w:rsidR="6310A2B9">
        <w:rPr>
          <w:rFonts w:cs="Arial"/>
        </w:rPr>
        <w:t>e issued on</w:t>
      </w:r>
      <w:r w:rsidRPr="58486886" w:rsidR="00B852D8">
        <w:rPr>
          <w:rFonts w:cs="Arial"/>
        </w:rPr>
        <w:t xml:space="preserve"> </w:t>
      </w:r>
      <w:r w:rsidRPr="58486886" w:rsidR="2DF6CA29">
        <w:rPr>
          <w:rFonts w:cs="Arial"/>
        </w:rPr>
        <w:t xml:space="preserve">certain </w:t>
      </w:r>
      <w:r w:rsidRPr="58486886" w:rsidR="00B852D8">
        <w:rPr>
          <w:rFonts w:cs="Arial"/>
        </w:rPr>
        <w:t>nano</w:t>
      </w:r>
      <w:r w:rsidRPr="58486886" w:rsidR="5F1B262B">
        <w:rPr>
          <w:rFonts w:cs="Arial"/>
        </w:rPr>
        <w:t>scale</w:t>
      </w:r>
      <w:r w:rsidRPr="58486886" w:rsidR="00B852D8">
        <w:rPr>
          <w:rFonts w:cs="Arial"/>
        </w:rPr>
        <w:t xml:space="preserve"> materials</w:t>
      </w:r>
      <w:r w:rsidRPr="58486886" w:rsidR="009D3ECF">
        <w:rPr>
          <w:rFonts w:cs="Arial"/>
        </w:rPr>
        <w:t xml:space="preserve">. It requires </w:t>
      </w:r>
      <w:r w:rsidRPr="58486886" w:rsidR="00815E9C">
        <w:rPr>
          <w:rFonts w:cs="Arial"/>
        </w:rPr>
        <w:t xml:space="preserve">persons that manufacture (includes import), </w:t>
      </w:r>
      <w:r w:rsidRPr="58486886" w:rsidR="00A901AA">
        <w:rPr>
          <w:rFonts w:cs="Arial"/>
        </w:rPr>
        <w:t>or processe</w:t>
      </w:r>
      <w:r w:rsidRPr="58486886" w:rsidR="00DD4FD4">
        <w:rPr>
          <w:rFonts w:cs="Arial"/>
        </w:rPr>
        <w:t xml:space="preserve">s </w:t>
      </w:r>
      <w:r w:rsidRPr="58486886" w:rsidR="32C2B368">
        <w:rPr>
          <w:rFonts w:cs="Arial"/>
        </w:rPr>
        <w:t xml:space="preserve">certain </w:t>
      </w:r>
      <w:r w:rsidRPr="58486886" w:rsidR="0089155D">
        <w:rPr>
          <w:rFonts w:cs="Arial"/>
        </w:rPr>
        <w:t xml:space="preserve">nanoscale </w:t>
      </w:r>
      <w:r w:rsidRPr="58486886" w:rsidR="2754322F">
        <w:rPr>
          <w:rFonts w:cs="Arial"/>
        </w:rPr>
        <w:t>materials</w:t>
      </w:r>
      <w:r w:rsidRPr="58486886" w:rsidR="0089155D">
        <w:rPr>
          <w:rFonts w:cs="Arial"/>
        </w:rPr>
        <w:t xml:space="preserve"> </w:t>
      </w:r>
      <w:r w:rsidRPr="58486886" w:rsidR="00B35FB5">
        <w:rPr>
          <w:rFonts w:cs="Arial"/>
        </w:rPr>
        <w:t>to report</w:t>
      </w:r>
      <w:r w:rsidRPr="58486886" w:rsidR="009D3ECF">
        <w:rPr>
          <w:rFonts w:cs="Arial"/>
        </w:rPr>
        <w:t xml:space="preserve"> </w:t>
      </w:r>
      <w:r w:rsidRPr="58486886" w:rsidR="00C54353">
        <w:rPr>
          <w:rFonts w:cs="Arial"/>
        </w:rPr>
        <w:t xml:space="preserve">to EPA </w:t>
      </w:r>
      <w:r w:rsidRPr="58486886" w:rsidR="00CB3DAF">
        <w:rPr>
          <w:rFonts w:cs="Arial"/>
        </w:rPr>
        <w:t>information on chemical identity</w:t>
      </w:r>
      <w:r w:rsidRPr="58486886" w:rsidR="00E600E3">
        <w:rPr>
          <w:rFonts w:cs="Arial"/>
        </w:rPr>
        <w:t>; production volume;</w:t>
      </w:r>
      <w:r w:rsidRPr="58486886" w:rsidR="002B60D6">
        <w:rPr>
          <w:rFonts w:cs="Arial"/>
        </w:rPr>
        <w:t xml:space="preserve"> </w:t>
      </w:r>
      <w:r w:rsidRPr="58486886" w:rsidR="00247B34">
        <w:rPr>
          <w:rFonts w:cs="Arial"/>
        </w:rPr>
        <w:t>methods of manufacture and processing</w:t>
      </w:r>
      <w:r w:rsidRPr="58486886" w:rsidR="007C4077">
        <w:rPr>
          <w:rFonts w:cs="Arial"/>
        </w:rPr>
        <w:t xml:space="preserve">; </w:t>
      </w:r>
      <w:r w:rsidRPr="58486886" w:rsidR="00B04088">
        <w:rPr>
          <w:rFonts w:cs="Arial"/>
        </w:rPr>
        <w:t>exposure and release information</w:t>
      </w:r>
      <w:r w:rsidRPr="58486886" w:rsidR="003C265E">
        <w:rPr>
          <w:rFonts w:cs="Arial"/>
        </w:rPr>
        <w:t>;</w:t>
      </w:r>
      <w:r w:rsidRPr="58486886" w:rsidR="00545100">
        <w:rPr>
          <w:rFonts w:cs="Arial"/>
        </w:rPr>
        <w:t xml:space="preserve"> and environmental and health effects. </w:t>
      </w:r>
      <w:r w:rsidRPr="58486886" w:rsidR="003C265E">
        <w:rPr>
          <w:rFonts w:cs="Arial"/>
        </w:rPr>
        <w:t xml:space="preserve"> </w:t>
      </w:r>
      <w:r w:rsidRPr="58486886" w:rsidR="002B60D6">
        <w:rPr>
          <w:rFonts w:cs="Arial"/>
        </w:rPr>
        <w:t xml:space="preserve"> </w:t>
      </w:r>
    </w:p>
    <w:p w:rsidRPr="008C6A2E" w:rsidR="00E07475" w:rsidP="008C6A2E" w:rsidRDefault="00E07475" w14:paraId="7745CC21" w14:textId="01F4B610">
      <w:pPr>
        <w:rPr>
          <w:rFonts w:cs="Arial"/>
        </w:rPr>
      </w:pPr>
      <w:r w:rsidRPr="58486886">
        <w:rPr>
          <w:rFonts w:cs="Arial"/>
        </w:rPr>
        <w:t>Activities a respondent may be required to perform as a result of a TSCA section 8(a) chemical-specific rule are as follows</w:t>
      </w:r>
      <w:r w:rsidR="000C36B4">
        <w:rPr>
          <w:rFonts w:cs="Arial"/>
        </w:rPr>
        <w:t xml:space="preserve">. </w:t>
      </w:r>
      <w:r w:rsidRPr="008C6A2E" w:rsidR="000C36B4">
        <w:rPr>
          <w:rFonts w:cs="Arial"/>
          <w:szCs w:val="24"/>
        </w:rPr>
        <w:t>However, as discussed at the end of this section, not all respondents are likely to be required to perform all tasks under each labor category. Therefore, the ranges of labor hours presented for each labor category (e.g., 9</w:t>
      </w:r>
      <w:r w:rsidR="000C36B4">
        <w:rPr>
          <w:rFonts w:cs="Arial"/>
          <w:szCs w:val="24"/>
        </w:rPr>
        <w:t>.5</w:t>
      </w:r>
      <w:r w:rsidR="006C4AF5">
        <w:rPr>
          <w:rFonts w:cs="Arial"/>
          <w:szCs w:val="24"/>
        </w:rPr>
        <w:t>0</w:t>
      </w:r>
      <w:r w:rsidRPr="008C6A2E" w:rsidR="000C36B4">
        <w:rPr>
          <w:rFonts w:cs="Arial"/>
          <w:szCs w:val="24"/>
        </w:rPr>
        <w:t xml:space="preserve"> to 29.5</w:t>
      </w:r>
      <w:r w:rsidR="006C4AF5">
        <w:rPr>
          <w:rFonts w:cs="Arial"/>
          <w:szCs w:val="24"/>
        </w:rPr>
        <w:t>0</w:t>
      </w:r>
      <w:r w:rsidRPr="008C6A2E" w:rsidR="000C36B4">
        <w:rPr>
          <w:rFonts w:cs="Arial"/>
          <w:szCs w:val="24"/>
        </w:rPr>
        <w:t xml:space="preserve"> hours for managers) are the maximums and </w:t>
      </w:r>
      <w:proofErr w:type="gramStart"/>
      <w:r w:rsidRPr="008C6A2E" w:rsidR="000C36B4">
        <w:rPr>
          <w:rFonts w:cs="Arial"/>
          <w:szCs w:val="24"/>
        </w:rPr>
        <w:t>are based on the assumption</w:t>
      </w:r>
      <w:proofErr w:type="gramEnd"/>
      <w:r w:rsidRPr="008C6A2E" w:rsidR="000C36B4">
        <w:rPr>
          <w:rFonts w:cs="Arial"/>
          <w:szCs w:val="24"/>
        </w:rPr>
        <w:t xml:space="preserve"> that all tasks are performed for each notice.</w:t>
      </w:r>
    </w:p>
    <w:p w:rsidRPr="008C6A2E" w:rsidR="00E07475" w:rsidP="00E14C12" w:rsidRDefault="00E07475" w14:paraId="7CC8B5B7" w14:textId="1F847B0B">
      <w:pPr>
        <w:rPr>
          <w:rFonts w:cs="Arial"/>
        </w:rPr>
      </w:pPr>
      <w:r w:rsidRPr="7D627497">
        <w:rPr>
          <w:rFonts w:cs="Arial"/>
        </w:rPr>
        <w:t>0.75 Hours of Attorney Labor</w:t>
      </w:r>
    </w:p>
    <w:p w:rsidRPr="008C6A2E" w:rsidR="008A52DE" w:rsidP="00E14C12" w:rsidRDefault="00E07475" w14:paraId="02EF2E1C" w14:textId="72A172AE">
      <w:pPr>
        <w:pStyle w:val="ListParagraph"/>
        <w:numPr>
          <w:ilvl w:val="0"/>
          <w:numId w:val="11"/>
        </w:numPr>
        <w:rPr>
          <w:rFonts w:cs="Arial"/>
          <w:szCs w:val="24"/>
        </w:rPr>
      </w:pPr>
      <w:r w:rsidRPr="008C6A2E">
        <w:rPr>
          <w:rFonts w:cs="Arial"/>
          <w:szCs w:val="24"/>
        </w:rPr>
        <w:t>Gather and prepare information to substantiate a claim of confidentiality.</w:t>
      </w:r>
    </w:p>
    <w:p w:rsidRPr="008C6A2E" w:rsidR="00E07475" w:rsidP="008C6A2E" w:rsidRDefault="006C4AF5" w14:paraId="623D9C68" w14:textId="4E4389C3">
      <w:pPr>
        <w:rPr>
          <w:rFonts w:cs="Arial"/>
          <w:szCs w:val="24"/>
        </w:rPr>
      </w:pPr>
      <w:r>
        <w:rPr>
          <w:rFonts w:cs="Arial"/>
          <w:szCs w:val="24"/>
        </w:rPr>
        <w:t>9.50</w:t>
      </w:r>
      <w:r w:rsidRPr="008C6A2E" w:rsidR="00E07475">
        <w:rPr>
          <w:rFonts w:cs="Arial"/>
          <w:szCs w:val="24"/>
        </w:rPr>
        <w:t xml:space="preserve"> to </w:t>
      </w:r>
      <w:r>
        <w:rPr>
          <w:rFonts w:cs="Arial"/>
          <w:szCs w:val="24"/>
        </w:rPr>
        <w:t>29.50</w:t>
      </w:r>
      <w:r w:rsidRPr="008C6A2E" w:rsidR="00E07475">
        <w:rPr>
          <w:rFonts w:cs="Arial"/>
          <w:szCs w:val="24"/>
        </w:rPr>
        <w:t xml:space="preserve"> Hours of Managerial Labor</w:t>
      </w:r>
    </w:p>
    <w:p w:rsidRPr="008C6A2E" w:rsidR="008A52DE" w:rsidP="008C6A2E" w:rsidRDefault="00E07475" w14:paraId="7DA860B8" w14:textId="77320A45">
      <w:pPr>
        <w:pStyle w:val="ListParagraph"/>
        <w:numPr>
          <w:ilvl w:val="0"/>
          <w:numId w:val="11"/>
        </w:numPr>
        <w:rPr>
          <w:rFonts w:cs="Arial"/>
          <w:szCs w:val="24"/>
        </w:rPr>
      </w:pPr>
      <w:r w:rsidRPr="008C6A2E">
        <w:rPr>
          <w:rFonts w:cs="Arial"/>
          <w:szCs w:val="24"/>
        </w:rPr>
        <w:t xml:space="preserve">Identify listed </w:t>
      </w:r>
      <w:proofErr w:type="gramStart"/>
      <w:r w:rsidRPr="008C6A2E">
        <w:rPr>
          <w:rFonts w:cs="Arial"/>
          <w:szCs w:val="24"/>
        </w:rPr>
        <w:t>chemicals;</w:t>
      </w:r>
      <w:proofErr w:type="gramEnd"/>
    </w:p>
    <w:p w:rsidRPr="008C6A2E" w:rsidR="008A52DE" w:rsidP="008C6A2E" w:rsidRDefault="00E07475" w14:paraId="448D4EBE" w14:textId="7C12A81C">
      <w:pPr>
        <w:pStyle w:val="ListParagraph"/>
        <w:numPr>
          <w:ilvl w:val="0"/>
          <w:numId w:val="11"/>
        </w:numPr>
        <w:rPr>
          <w:rFonts w:cs="Arial"/>
          <w:szCs w:val="24"/>
        </w:rPr>
      </w:pPr>
      <w:r w:rsidRPr="008C6A2E">
        <w:rPr>
          <w:rFonts w:cs="Arial"/>
          <w:szCs w:val="24"/>
        </w:rPr>
        <w:t xml:space="preserve">Assign principal technical contact </w:t>
      </w:r>
      <w:proofErr w:type="gramStart"/>
      <w:r w:rsidRPr="008C6A2E">
        <w:rPr>
          <w:rFonts w:cs="Arial"/>
          <w:szCs w:val="24"/>
        </w:rPr>
        <w:t>person</w:t>
      </w:r>
      <w:r w:rsidRPr="008C6A2E" w:rsidR="008A52DE">
        <w:rPr>
          <w:rFonts w:cs="Arial"/>
          <w:szCs w:val="24"/>
        </w:rPr>
        <w:t>;</w:t>
      </w:r>
      <w:proofErr w:type="gramEnd"/>
    </w:p>
    <w:p w:rsidRPr="008C6A2E" w:rsidR="008A52DE" w:rsidP="008C6A2E" w:rsidRDefault="00E07475" w14:paraId="416A0DD9" w14:textId="77777777">
      <w:pPr>
        <w:pStyle w:val="ListParagraph"/>
        <w:numPr>
          <w:ilvl w:val="0"/>
          <w:numId w:val="11"/>
        </w:numPr>
        <w:rPr>
          <w:rFonts w:cs="Arial"/>
          <w:szCs w:val="24"/>
        </w:rPr>
      </w:pPr>
      <w:r w:rsidRPr="008C6A2E">
        <w:rPr>
          <w:rFonts w:cs="Arial"/>
          <w:szCs w:val="24"/>
        </w:rPr>
        <w:t xml:space="preserve">Identify by-product; impurities; physical </w:t>
      </w:r>
      <w:proofErr w:type="gramStart"/>
      <w:r w:rsidRPr="008C6A2E">
        <w:rPr>
          <w:rFonts w:cs="Arial"/>
          <w:szCs w:val="24"/>
        </w:rPr>
        <w:t>properties;</w:t>
      </w:r>
      <w:proofErr w:type="gramEnd"/>
    </w:p>
    <w:p w:rsidRPr="008C6A2E" w:rsidR="008A52DE" w:rsidP="008C6A2E" w:rsidRDefault="00E07475" w14:paraId="2C52D76E" w14:textId="77777777">
      <w:pPr>
        <w:pStyle w:val="ListParagraph"/>
        <w:numPr>
          <w:ilvl w:val="0"/>
          <w:numId w:val="11"/>
        </w:numPr>
        <w:rPr>
          <w:rFonts w:cs="Arial"/>
          <w:szCs w:val="24"/>
        </w:rPr>
      </w:pPr>
      <w:r w:rsidRPr="008C6A2E">
        <w:rPr>
          <w:rFonts w:cs="Arial"/>
          <w:szCs w:val="24"/>
        </w:rPr>
        <w:t xml:space="preserve">Review marketing </w:t>
      </w:r>
      <w:proofErr w:type="gramStart"/>
      <w:r w:rsidRPr="008C6A2E">
        <w:rPr>
          <w:rFonts w:cs="Arial"/>
          <w:szCs w:val="24"/>
        </w:rPr>
        <w:t>data;</w:t>
      </w:r>
      <w:proofErr w:type="gramEnd"/>
    </w:p>
    <w:p w:rsidRPr="008C6A2E" w:rsidR="008A52DE" w:rsidP="008C6A2E" w:rsidRDefault="00E07475" w14:paraId="17D4F3A1" w14:textId="77777777">
      <w:pPr>
        <w:pStyle w:val="ListParagraph"/>
        <w:numPr>
          <w:ilvl w:val="0"/>
          <w:numId w:val="11"/>
        </w:numPr>
        <w:rPr>
          <w:rFonts w:cs="Arial"/>
          <w:szCs w:val="24"/>
        </w:rPr>
      </w:pPr>
      <w:r w:rsidRPr="008C6A2E">
        <w:rPr>
          <w:rFonts w:cs="Arial"/>
          <w:szCs w:val="24"/>
        </w:rPr>
        <w:t xml:space="preserve">Research the date of the initiation of manufacture of the </w:t>
      </w:r>
      <w:proofErr w:type="gramStart"/>
      <w:r w:rsidRPr="008C6A2E">
        <w:rPr>
          <w:rFonts w:cs="Arial"/>
          <w:szCs w:val="24"/>
        </w:rPr>
        <w:t>chemical;</w:t>
      </w:r>
      <w:proofErr w:type="gramEnd"/>
    </w:p>
    <w:p w:rsidRPr="008C6A2E" w:rsidR="008A52DE" w:rsidP="008C6A2E" w:rsidRDefault="00E07475" w14:paraId="3EE3B491" w14:textId="77777777">
      <w:pPr>
        <w:pStyle w:val="ListParagraph"/>
        <w:numPr>
          <w:ilvl w:val="0"/>
          <w:numId w:val="11"/>
        </w:numPr>
        <w:rPr>
          <w:rFonts w:cs="Arial"/>
          <w:szCs w:val="24"/>
        </w:rPr>
      </w:pPr>
      <w:r w:rsidRPr="008C6A2E">
        <w:rPr>
          <w:rFonts w:cs="Arial"/>
          <w:szCs w:val="24"/>
        </w:rPr>
        <w:t>Research occupational exposure, environmental release, health and environmental information, disposal methods; risk management practices; and</w:t>
      </w:r>
    </w:p>
    <w:p w:rsidRPr="008C6A2E" w:rsidR="008A52DE" w:rsidP="008C6A2E" w:rsidRDefault="00E07475" w14:paraId="12623E4B" w14:textId="535DF64D">
      <w:pPr>
        <w:pStyle w:val="ListParagraph"/>
        <w:numPr>
          <w:ilvl w:val="0"/>
          <w:numId w:val="11"/>
        </w:numPr>
        <w:rPr>
          <w:rFonts w:cs="Arial"/>
          <w:szCs w:val="24"/>
        </w:rPr>
      </w:pPr>
      <w:r w:rsidRPr="008C6A2E">
        <w:rPr>
          <w:rFonts w:cs="Arial"/>
          <w:szCs w:val="24"/>
        </w:rPr>
        <w:t>Process, compile, and review information for accuracy, substantiate a claim of confidential business information.</w:t>
      </w:r>
    </w:p>
    <w:p w:rsidRPr="008C6A2E" w:rsidR="008A52DE" w:rsidP="008C6A2E" w:rsidRDefault="008A52DE" w14:paraId="56BEBA78" w14:textId="77777777">
      <w:pPr>
        <w:pStyle w:val="ListParagraph"/>
        <w:ind w:left="1080"/>
        <w:rPr>
          <w:rFonts w:cs="Arial"/>
          <w:szCs w:val="24"/>
        </w:rPr>
      </w:pPr>
    </w:p>
    <w:p w:rsidRPr="008C6A2E" w:rsidR="00E07475" w:rsidP="008C6A2E" w:rsidRDefault="00E07475" w14:paraId="717A199A" w14:textId="1008E013">
      <w:pPr>
        <w:pStyle w:val="ListParagraph"/>
        <w:ind w:left="90"/>
        <w:rPr>
          <w:rFonts w:cs="Arial"/>
        </w:rPr>
      </w:pPr>
      <w:r w:rsidRPr="4F3C852C">
        <w:rPr>
          <w:rFonts w:cs="Arial"/>
        </w:rPr>
        <w:t xml:space="preserve">17.5 to </w:t>
      </w:r>
      <w:r w:rsidRPr="4F3C852C" w:rsidR="00A9704D">
        <w:rPr>
          <w:rFonts w:cs="Arial"/>
        </w:rPr>
        <w:t xml:space="preserve">110 </w:t>
      </w:r>
      <w:r w:rsidRPr="4F3C852C">
        <w:rPr>
          <w:rFonts w:cs="Arial"/>
        </w:rPr>
        <w:t>Hours of Technical Labor</w:t>
      </w:r>
    </w:p>
    <w:p w:rsidRPr="008C6A2E" w:rsidR="00E07475" w:rsidP="008C6A2E" w:rsidRDefault="00E07475" w14:paraId="33E6263E" w14:textId="77777777">
      <w:pPr>
        <w:pStyle w:val="ListParagraph"/>
        <w:numPr>
          <w:ilvl w:val="0"/>
          <w:numId w:val="12"/>
        </w:numPr>
        <w:rPr>
          <w:rFonts w:cs="Arial"/>
          <w:szCs w:val="24"/>
        </w:rPr>
      </w:pPr>
      <w:r w:rsidRPr="008C6A2E">
        <w:rPr>
          <w:rFonts w:cs="Arial"/>
          <w:szCs w:val="24"/>
        </w:rPr>
        <w:t xml:space="preserve">Identify chemical and trade name and chemical </w:t>
      </w:r>
      <w:proofErr w:type="gramStart"/>
      <w:r w:rsidRPr="008C6A2E">
        <w:rPr>
          <w:rFonts w:cs="Arial"/>
          <w:szCs w:val="24"/>
        </w:rPr>
        <w:t>composition;</w:t>
      </w:r>
      <w:proofErr w:type="gramEnd"/>
    </w:p>
    <w:p w:rsidRPr="008C6A2E" w:rsidR="00E07475" w:rsidP="008C6A2E" w:rsidRDefault="00E07475" w14:paraId="1F55F091" w14:textId="77777777">
      <w:pPr>
        <w:pStyle w:val="ListParagraph"/>
        <w:numPr>
          <w:ilvl w:val="0"/>
          <w:numId w:val="12"/>
        </w:numPr>
        <w:rPr>
          <w:rFonts w:cs="Arial"/>
          <w:szCs w:val="24"/>
        </w:rPr>
      </w:pPr>
      <w:r w:rsidRPr="008C6A2E">
        <w:rPr>
          <w:rFonts w:cs="Arial"/>
          <w:szCs w:val="24"/>
        </w:rPr>
        <w:t xml:space="preserve">Identify by-product; impurities; physical </w:t>
      </w:r>
      <w:proofErr w:type="gramStart"/>
      <w:r w:rsidRPr="008C6A2E">
        <w:rPr>
          <w:rFonts w:cs="Arial"/>
          <w:szCs w:val="24"/>
        </w:rPr>
        <w:t>properties;</w:t>
      </w:r>
      <w:proofErr w:type="gramEnd"/>
    </w:p>
    <w:p w:rsidRPr="008C6A2E" w:rsidR="00E07475" w:rsidP="008C6A2E" w:rsidRDefault="00E07475" w14:paraId="3EFAAE90" w14:textId="77777777">
      <w:pPr>
        <w:pStyle w:val="ListParagraph"/>
        <w:numPr>
          <w:ilvl w:val="0"/>
          <w:numId w:val="12"/>
        </w:numPr>
        <w:rPr>
          <w:rFonts w:cs="Arial"/>
          <w:szCs w:val="24"/>
        </w:rPr>
      </w:pPr>
      <w:r w:rsidRPr="008C6A2E">
        <w:rPr>
          <w:rFonts w:cs="Arial"/>
          <w:szCs w:val="24"/>
        </w:rPr>
        <w:t xml:space="preserve">Describe use of </w:t>
      </w:r>
      <w:proofErr w:type="gramStart"/>
      <w:r w:rsidRPr="008C6A2E">
        <w:rPr>
          <w:rFonts w:cs="Arial"/>
          <w:szCs w:val="24"/>
        </w:rPr>
        <w:t>chemical;</w:t>
      </w:r>
      <w:proofErr w:type="gramEnd"/>
    </w:p>
    <w:p w:rsidRPr="008C6A2E" w:rsidR="00E07475" w:rsidP="008C6A2E" w:rsidRDefault="00E07475" w14:paraId="32079385" w14:textId="7B150949">
      <w:pPr>
        <w:pStyle w:val="ListParagraph"/>
        <w:numPr>
          <w:ilvl w:val="0"/>
          <w:numId w:val="12"/>
        </w:numPr>
        <w:rPr>
          <w:rFonts w:cs="Arial"/>
          <w:szCs w:val="24"/>
        </w:rPr>
      </w:pPr>
      <w:r w:rsidRPr="008C6A2E">
        <w:rPr>
          <w:rFonts w:cs="Arial"/>
          <w:szCs w:val="24"/>
        </w:rPr>
        <w:t>Report quantity manufactured</w:t>
      </w:r>
      <w:r w:rsidR="00CC60FC">
        <w:rPr>
          <w:rFonts w:cs="Arial"/>
          <w:szCs w:val="24"/>
        </w:rPr>
        <w:t xml:space="preserve"> or </w:t>
      </w:r>
      <w:proofErr w:type="gramStart"/>
      <w:r w:rsidR="00CC60FC">
        <w:rPr>
          <w:rFonts w:cs="Arial"/>
          <w:szCs w:val="24"/>
        </w:rPr>
        <w:t>imported</w:t>
      </w:r>
      <w:r w:rsidRPr="008C6A2E">
        <w:rPr>
          <w:rFonts w:cs="Arial"/>
          <w:szCs w:val="24"/>
        </w:rPr>
        <w:t>;</w:t>
      </w:r>
      <w:proofErr w:type="gramEnd"/>
    </w:p>
    <w:p w:rsidRPr="008C6A2E" w:rsidR="00E07475" w:rsidP="008C6A2E" w:rsidRDefault="00E07475" w14:paraId="67B31A8C" w14:textId="3F88F166">
      <w:pPr>
        <w:pStyle w:val="ListParagraph"/>
        <w:numPr>
          <w:ilvl w:val="0"/>
          <w:numId w:val="12"/>
        </w:numPr>
        <w:rPr>
          <w:rFonts w:cs="Arial"/>
          <w:szCs w:val="24"/>
        </w:rPr>
      </w:pPr>
      <w:r w:rsidRPr="008C6A2E">
        <w:rPr>
          <w:rFonts w:cs="Arial"/>
          <w:szCs w:val="24"/>
        </w:rPr>
        <w:t xml:space="preserve">Research </w:t>
      </w:r>
      <w:r w:rsidR="00836825">
        <w:rPr>
          <w:rFonts w:cs="Arial"/>
          <w:szCs w:val="24"/>
        </w:rPr>
        <w:t>occupational</w:t>
      </w:r>
      <w:r w:rsidRPr="008C6A2E" w:rsidR="00836825">
        <w:rPr>
          <w:rFonts w:cs="Arial"/>
          <w:szCs w:val="24"/>
        </w:rPr>
        <w:t xml:space="preserve"> </w:t>
      </w:r>
      <w:r w:rsidRPr="008C6A2E">
        <w:rPr>
          <w:rFonts w:cs="Arial"/>
          <w:szCs w:val="24"/>
        </w:rPr>
        <w:t>exposures, environmental releases, health and environmental information, and disposal methods; risk management practices; and</w:t>
      </w:r>
    </w:p>
    <w:p w:rsidRPr="008C6A2E" w:rsidR="00E07475" w:rsidP="008C6A2E" w:rsidRDefault="00E07475" w14:paraId="5D0E66C4" w14:textId="77777777">
      <w:pPr>
        <w:pStyle w:val="ListParagraph"/>
        <w:numPr>
          <w:ilvl w:val="0"/>
          <w:numId w:val="12"/>
        </w:numPr>
        <w:rPr>
          <w:rFonts w:cs="Arial"/>
          <w:szCs w:val="24"/>
        </w:rPr>
      </w:pPr>
      <w:r w:rsidRPr="008C6A2E">
        <w:rPr>
          <w:rFonts w:cs="Arial"/>
          <w:szCs w:val="24"/>
        </w:rPr>
        <w:t>Provide occupational description.</w:t>
      </w:r>
    </w:p>
    <w:p w:rsidRPr="008C6A2E" w:rsidR="008A52DE" w:rsidP="008C6A2E" w:rsidRDefault="008A52DE" w14:paraId="1719640F" w14:textId="77777777">
      <w:pPr>
        <w:pStyle w:val="ListParagraph"/>
        <w:ind w:left="180" w:firstLine="900"/>
        <w:rPr>
          <w:rFonts w:cs="Arial"/>
          <w:szCs w:val="24"/>
        </w:rPr>
      </w:pPr>
    </w:p>
    <w:p w:rsidRPr="008C6A2E" w:rsidR="00E07475" w:rsidP="008C6A2E" w:rsidRDefault="00E07475" w14:paraId="0C823FA0" w14:textId="2697580B">
      <w:pPr>
        <w:pStyle w:val="ListParagraph"/>
        <w:ind w:left="180" w:hanging="90"/>
        <w:rPr>
          <w:rFonts w:cs="Arial"/>
        </w:rPr>
      </w:pPr>
      <w:r w:rsidRPr="25E886C1">
        <w:rPr>
          <w:rFonts w:cs="Arial"/>
        </w:rPr>
        <w:t>7 to 21 Hours of Clerical Labor (0.5 - 1.5 Hours for Electronic Reporting)</w:t>
      </w:r>
    </w:p>
    <w:p w:rsidRPr="008C6A2E" w:rsidR="008A52DE" w:rsidP="008C6A2E" w:rsidRDefault="00E07475" w14:paraId="4E78D822" w14:textId="33250103">
      <w:pPr>
        <w:pStyle w:val="ListParagraph"/>
        <w:numPr>
          <w:ilvl w:val="0"/>
          <w:numId w:val="15"/>
        </w:numPr>
        <w:rPr>
          <w:rFonts w:cs="Arial"/>
          <w:szCs w:val="24"/>
        </w:rPr>
      </w:pPr>
      <w:r w:rsidRPr="008C6A2E">
        <w:rPr>
          <w:rFonts w:cs="Arial"/>
          <w:szCs w:val="24"/>
        </w:rPr>
        <w:t xml:space="preserve">Format research on occupational exposures, environmental releases, health and environmental information; risk management </w:t>
      </w:r>
      <w:proofErr w:type="gramStart"/>
      <w:r w:rsidRPr="008C6A2E">
        <w:rPr>
          <w:rFonts w:cs="Arial"/>
          <w:szCs w:val="24"/>
        </w:rPr>
        <w:t>practices</w:t>
      </w:r>
      <w:r w:rsidRPr="008C6A2E" w:rsidR="008A52DE">
        <w:rPr>
          <w:rFonts w:cs="Arial"/>
          <w:szCs w:val="24"/>
        </w:rPr>
        <w:t>;</w:t>
      </w:r>
      <w:proofErr w:type="gramEnd"/>
      <w:r w:rsidRPr="008C6A2E" w:rsidR="008A52DE">
        <w:rPr>
          <w:rFonts w:cs="Arial"/>
          <w:szCs w:val="24"/>
        </w:rPr>
        <w:t xml:space="preserve"> </w:t>
      </w:r>
    </w:p>
    <w:p w:rsidRPr="008C6A2E" w:rsidR="008A52DE" w:rsidP="008C6A2E" w:rsidRDefault="00E07475" w14:paraId="41B98518" w14:textId="77777777">
      <w:pPr>
        <w:pStyle w:val="ListParagraph"/>
        <w:numPr>
          <w:ilvl w:val="0"/>
          <w:numId w:val="15"/>
        </w:numPr>
        <w:rPr>
          <w:rFonts w:cs="Arial"/>
          <w:szCs w:val="24"/>
        </w:rPr>
      </w:pPr>
      <w:r w:rsidRPr="008C6A2E">
        <w:rPr>
          <w:rFonts w:cs="Arial"/>
          <w:szCs w:val="24"/>
        </w:rPr>
        <w:t xml:space="preserve">Format </w:t>
      </w:r>
      <w:proofErr w:type="gramStart"/>
      <w:r w:rsidRPr="008C6A2E">
        <w:rPr>
          <w:rFonts w:cs="Arial"/>
          <w:szCs w:val="24"/>
        </w:rPr>
        <w:t>attachments;</w:t>
      </w:r>
      <w:proofErr w:type="gramEnd"/>
    </w:p>
    <w:p w:rsidRPr="008C6A2E" w:rsidR="008A52DE" w:rsidP="4F3C852C" w:rsidRDefault="00E07475" w14:paraId="16552CC9" w14:textId="0D78F432">
      <w:pPr>
        <w:pStyle w:val="ListParagraph"/>
        <w:numPr>
          <w:ilvl w:val="0"/>
          <w:numId w:val="15"/>
        </w:numPr>
        <w:rPr>
          <w:rFonts w:cs="Arial"/>
        </w:rPr>
      </w:pPr>
      <w:r w:rsidRPr="4F3C852C">
        <w:rPr>
          <w:rFonts w:cs="Arial"/>
        </w:rPr>
        <w:t xml:space="preserve">Prepare </w:t>
      </w:r>
      <w:proofErr w:type="gramStart"/>
      <w:r w:rsidRPr="4F3C852C">
        <w:rPr>
          <w:rFonts w:cs="Arial"/>
        </w:rPr>
        <w:t>notice;</w:t>
      </w:r>
      <w:proofErr w:type="gramEnd"/>
    </w:p>
    <w:p w:rsidRPr="008C6A2E" w:rsidR="008A52DE" w:rsidP="4F3C852C" w:rsidRDefault="7423083B" w14:paraId="34C8171E" w14:textId="73F6C092">
      <w:pPr>
        <w:pStyle w:val="ListParagraph"/>
        <w:numPr>
          <w:ilvl w:val="0"/>
          <w:numId w:val="15"/>
        </w:numPr>
      </w:pPr>
      <w:r w:rsidRPr="4F3C852C">
        <w:rPr>
          <w:rFonts w:eastAsia="Calibri" w:cs="Arial"/>
          <w:szCs w:val="24"/>
        </w:rPr>
        <w:t>E-</w:t>
      </w:r>
      <w:proofErr w:type="gramStart"/>
      <w:r w:rsidRPr="4F3C852C">
        <w:rPr>
          <w:rFonts w:eastAsia="Calibri" w:cs="Arial"/>
          <w:szCs w:val="24"/>
        </w:rPr>
        <w:t>Reporting;</w:t>
      </w:r>
      <w:proofErr w:type="gramEnd"/>
    </w:p>
    <w:p w:rsidRPr="008C6A2E" w:rsidR="008A52DE" w:rsidP="008C6A2E" w:rsidRDefault="78E1B651" w14:paraId="5DFF5A26" w14:textId="03A1AE40">
      <w:pPr>
        <w:pStyle w:val="ListParagraph"/>
        <w:numPr>
          <w:ilvl w:val="0"/>
          <w:numId w:val="15"/>
        </w:numPr>
      </w:pPr>
      <w:r w:rsidRPr="4F3C852C">
        <w:rPr>
          <w:rFonts w:cs="Arial"/>
        </w:rPr>
        <w:t xml:space="preserve">CBI </w:t>
      </w:r>
      <w:r w:rsidRPr="4F3C852C" w:rsidR="513C46FB">
        <w:rPr>
          <w:rFonts w:cs="Arial"/>
        </w:rPr>
        <w:t>substantiation</w:t>
      </w:r>
      <w:r w:rsidRPr="4F3C852C" w:rsidR="00E07475">
        <w:rPr>
          <w:rFonts w:cs="Arial"/>
        </w:rPr>
        <w:t xml:space="preserve"> and</w:t>
      </w:r>
    </w:p>
    <w:p w:rsidRPr="008C6A2E" w:rsidR="00E07475" w:rsidP="008C6A2E" w:rsidRDefault="00E07475" w14:paraId="54E8BC11" w14:textId="37F21AEA">
      <w:pPr>
        <w:pStyle w:val="ListParagraph"/>
        <w:numPr>
          <w:ilvl w:val="0"/>
          <w:numId w:val="15"/>
        </w:numPr>
        <w:rPr>
          <w:rFonts w:cs="Arial"/>
          <w:szCs w:val="24"/>
        </w:rPr>
      </w:pPr>
      <w:r w:rsidRPr="008C6A2E">
        <w:rPr>
          <w:rFonts w:cs="Arial"/>
          <w:szCs w:val="24"/>
        </w:rPr>
        <w:t>Recordkeeping.</w:t>
      </w:r>
    </w:p>
    <w:p w:rsidRPr="008C6A2E" w:rsidR="008A52DE" w:rsidP="008C6A2E" w:rsidRDefault="008A52DE" w14:paraId="235ED00C" w14:textId="24FCAF70">
      <w:pPr>
        <w:rPr>
          <w:rFonts w:cs="Arial"/>
          <w:szCs w:val="24"/>
        </w:rPr>
      </w:pPr>
      <w:r w:rsidRPr="008C6A2E">
        <w:rPr>
          <w:rFonts w:cs="Arial"/>
          <w:szCs w:val="24"/>
        </w:rPr>
        <w:t xml:space="preserve">Recordkeeping </w:t>
      </w:r>
    </w:p>
    <w:p w:rsidRPr="008C6A2E" w:rsidR="008A52DE" w:rsidP="008C6A2E" w:rsidRDefault="008A52DE" w14:paraId="3C3D75E4" w14:textId="695B3604">
      <w:pPr>
        <w:rPr>
          <w:rFonts w:cs="Arial"/>
        </w:rPr>
      </w:pPr>
      <w:r w:rsidRPr="1CF3855C">
        <w:rPr>
          <w:rFonts w:cs="Arial"/>
        </w:rPr>
        <w:t>TSCA section 8(a) chemical-specific rules may contain recordkeeping requirements. The recordkeeping estimate is reasonably related to the maximum reporting burden. EPA estimates that recordkeeping will account for approximately four percent of the reporting burden for paper-based submission and less than one percent for electronic submission.</w:t>
      </w:r>
    </w:p>
    <w:p w:rsidRPr="008C6A2E" w:rsidR="00140972" w:rsidP="1CF3855C" w:rsidRDefault="002D1999" w14:paraId="5832883C" w14:textId="5595AD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rPr>
      </w:pPr>
      <w:r w:rsidRPr="1CF3855C">
        <w:rPr>
          <w:rFonts w:cs="Arial"/>
        </w:rPr>
        <w:t>Loaded hourly w</w:t>
      </w:r>
      <w:r w:rsidRPr="1CF3855C" w:rsidR="00140972">
        <w:rPr>
          <w:rFonts w:cs="Arial"/>
        </w:rPr>
        <w:t>age rates</w:t>
      </w:r>
      <w:r w:rsidRPr="1CF3855C">
        <w:rPr>
          <w:rFonts w:cs="Arial"/>
        </w:rPr>
        <w:t xml:space="preserve"> </w:t>
      </w:r>
      <w:r w:rsidRPr="1CF3855C" w:rsidR="0048277F">
        <w:rPr>
          <w:rFonts w:cs="Arial"/>
        </w:rPr>
        <w:t>are</w:t>
      </w:r>
      <w:r w:rsidRPr="1CF3855C" w:rsidR="00140972">
        <w:rPr>
          <w:rFonts w:cs="Arial"/>
        </w:rPr>
        <w:t xml:space="preserve"> shown in</w:t>
      </w:r>
      <w:r w:rsidRPr="1CF3855C" w:rsidR="0048277F">
        <w:rPr>
          <w:rFonts w:cs="Arial"/>
        </w:rPr>
        <w:t xml:space="preserve"> </w:t>
      </w:r>
      <w:r w:rsidRPr="1CF3855C" w:rsidR="0048277F">
        <w:rPr>
          <w:rFonts w:cs="Arial"/>
        </w:rPr>
        <w:fldChar w:fldCharType="begin"/>
      </w:r>
      <w:r w:rsidR="0048277F">
        <w:rPr>
          <w:rFonts w:cs="Arial"/>
          <w:szCs w:val="24"/>
        </w:rPr>
        <w:instrText xml:space="preserve"> REF _Ref94270646 \h </w:instrText>
      </w:r>
      <w:r w:rsidRPr="1CF3855C" w:rsidR="0048277F">
        <w:rPr>
          <w:rFonts w:cs="Arial"/>
        </w:rPr>
      </w:r>
      <w:r w:rsidRPr="1CF3855C" w:rsidR="0048277F">
        <w:rPr>
          <w:rFonts w:cs="Arial"/>
        </w:rPr>
        <w:fldChar w:fldCharType="separate"/>
      </w:r>
      <w:r w:rsidR="000234CF">
        <w:t xml:space="preserve">Table </w:t>
      </w:r>
      <w:r w:rsidR="000234CF">
        <w:rPr>
          <w:noProof/>
        </w:rPr>
        <w:t>2</w:t>
      </w:r>
      <w:r w:rsidRPr="1CF3855C" w:rsidR="0048277F">
        <w:rPr>
          <w:rFonts w:cs="Arial"/>
        </w:rPr>
        <w:fldChar w:fldCharType="end"/>
      </w:r>
      <w:r w:rsidRPr="1CF3855C" w:rsidR="006C4AF5">
        <w:rPr>
          <w:rFonts w:cs="Arial"/>
        </w:rPr>
        <w:t xml:space="preserve"> and are utilized with the burden estimates contained in </w:t>
      </w:r>
      <w:r w:rsidRPr="1CF3855C" w:rsidR="006C4AF5">
        <w:rPr>
          <w:rFonts w:cs="Arial"/>
        </w:rPr>
        <w:fldChar w:fldCharType="begin"/>
      </w:r>
      <w:r w:rsidRPr="1CF3855C" w:rsidR="006C4AF5">
        <w:rPr>
          <w:rFonts w:cs="Arial"/>
        </w:rPr>
        <w:instrText xml:space="preserve"> REF _Ref96089936 \h </w:instrText>
      </w:r>
      <w:r w:rsidRPr="1CF3855C" w:rsidR="006C4AF5">
        <w:rPr>
          <w:rFonts w:cs="Arial"/>
        </w:rPr>
      </w:r>
      <w:r w:rsidRPr="1CF3855C" w:rsidR="006C4AF5">
        <w:rPr>
          <w:rFonts w:cs="Arial"/>
        </w:rPr>
        <w:fldChar w:fldCharType="separate"/>
      </w:r>
      <w:r w:rsidR="001E292F">
        <w:t xml:space="preserve">Table </w:t>
      </w:r>
      <w:r w:rsidR="001E292F">
        <w:rPr>
          <w:noProof/>
        </w:rPr>
        <w:t>5</w:t>
      </w:r>
      <w:r w:rsidRPr="1CF3855C" w:rsidR="006C4AF5">
        <w:rPr>
          <w:rFonts w:cs="Arial"/>
        </w:rPr>
        <w:fldChar w:fldCharType="end"/>
      </w:r>
      <w:r w:rsidRPr="1CF3855C" w:rsidR="006C4AF5">
        <w:rPr>
          <w:rFonts w:cs="Arial"/>
        </w:rPr>
        <w:t xml:space="preserve"> to derive annual burden and costs</w:t>
      </w:r>
      <w:r w:rsidRPr="1CF3855C" w:rsidR="00140972">
        <w:rPr>
          <w:rFonts w:cs="Arial"/>
        </w:rPr>
        <w:t>.</w:t>
      </w:r>
    </w:p>
    <w:p w:rsidRPr="008C6A2E" w:rsidR="00140972" w:rsidP="008C6A2E" w:rsidRDefault="00140972" w14:paraId="2864E745" w14:textId="5F11227E">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8C6A2E">
        <w:rPr>
          <w:rFonts w:cs="Arial"/>
          <w:szCs w:val="24"/>
        </w:rPr>
        <w:t>This ICR maintains the assumption of the previous ICR that, on average, four notices per year are submitted in response to one section 8(a) chemical-specific rule per year. Current labor rates and burden hours used to calculate the cost to respondents are listed below.</w:t>
      </w:r>
    </w:p>
    <w:p w:rsidRPr="008C6A2E" w:rsidR="00140972" w:rsidP="1CF3855C" w:rsidRDefault="00140972" w14:paraId="48027D7A" w14:textId="09BDAB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08C6A2E">
        <w:rPr>
          <w:rFonts w:cs="Arial"/>
          <w:szCs w:val="24"/>
        </w:rPr>
        <w:t xml:space="preserve">The cost to a respondent for filing a TSCA section 8(a) notice depends upon the various tasks performed. These tasks could include gathering the required data, preparing and submitting the TSCA section 8(a) notice, and possibly keeping records. Based on promulgated TSCA section 8(a) rules, EPA estimates that each respondent will submit one notice per TSCA section 8(a) chemical-specific rule. EPA anticipates </w:t>
      </w:r>
      <w:r w:rsidR="002859DE">
        <w:rPr>
          <w:rFonts w:cs="Arial"/>
          <w:szCs w:val="24"/>
        </w:rPr>
        <w:t>an average of</w:t>
      </w:r>
      <w:r w:rsidRPr="008C6A2E">
        <w:rPr>
          <w:rFonts w:cs="Arial"/>
          <w:szCs w:val="24"/>
        </w:rPr>
        <w:t xml:space="preserve"> one TSCA section 8(a) rule per year and expects to receive an average of four </w:t>
      </w:r>
      <w:r w:rsidRPr="008C6A2E" w:rsidR="00EC5BB0">
        <w:rPr>
          <w:rFonts w:cs="Arial"/>
          <w:szCs w:val="24"/>
        </w:rPr>
        <w:t>noti</w:t>
      </w:r>
      <w:r w:rsidR="00EC5BB0">
        <w:rPr>
          <w:rFonts w:cs="Arial"/>
          <w:szCs w:val="24"/>
        </w:rPr>
        <w:t>ces per year</w:t>
      </w:r>
      <w:r w:rsidRPr="1CF3855C">
        <w:rPr>
          <w:rFonts w:cs="Arial"/>
        </w:rPr>
        <w:t>.</w:t>
      </w:r>
    </w:p>
    <w:p w:rsidR="006C4AF5" w:rsidP="1CF3855C" w:rsidRDefault="00140972" w14:paraId="6C67AECB" w14:textId="695B36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1CF3855C">
        <w:rPr>
          <w:rFonts w:cs="Arial"/>
        </w:rPr>
        <w:t>The cost to a respondent for submitting a TSCA section 8(a) notice is a function of the number of hours and the hourly labor costs for the individuals developing and preparing the notice.</w:t>
      </w:r>
    </w:p>
    <w:p w:rsidR="006C4AF5" w:rsidP="1CF3855C" w:rsidRDefault="006C4AF5" w14:paraId="783778BE" w14:textId="4C62B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1CF3855C">
        <w:rPr>
          <w:rFonts w:cs="Arial"/>
        </w:rPr>
        <w:t>Total annual burden hours range from 70 – 314 hours and total annual costs range from $5,</w:t>
      </w:r>
      <w:r>
        <w:rPr>
          <w:rFonts w:cs="Arial"/>
          <w:szCs w:val="24"/>
        </w:rPr>
        <w:t>31</w:t>
      </w:r>
      <w:r w:rsidR="009D59D5">
        <w:rPr>
          <w:rFonts w:cs="Arial"/>
          <w:szCs w:val="24"/>
        </w:rPr>
        <w:t>1</w:t>
      </w:r>
      <w:r w:rsidRPr="1CF3855C">
        <w:rPr>
          <w:rFonts w:cs="Arial"/>
        </w:rPr>
        <w:t xml:space="preserve"> - $24,268 (</w:t>
      </w:r>
      <w:r w:rsidR="0034191D">
        <w:rPr>
          <w:rFonts w:cs="Arial"/>
        </w:rPr>
        <w:t>Table 4</w:t>
      </w:r>
      <w:r w:rsidRPr="1CF3855C">
        <w:rPr>
          <w:rFonts w:cs="Arial"/>
        </w:rPr>
        <w:t>) and each range represents expected maximums.</w:t>
      </w:r>
      <w:r w:rsidRPr="1CF3855C" w:rsidR="009D59D5">
        <w:rPr>
          <w:rFonts w:cs="Arial"/>
        </w:rPr>
        <w:t xml:space="preserve"> </w:t>
      </w:r>
      <w:r w:rsidR="009D59D5">
        <w:rPr>
          <w:rFonts w:cs="Arial"/>
          <w:szCs w:val="24"/>
        </w:rPr>
        <w:t xml:space="preserve">The midpoint for total annual burden hours is 192 hours and for total annual burden costs is $14,791.  </w:t>
      </w:r>
      <w:r>
        <w:rPr>
          <w:rFonts w:cs="Arial"/>
          <w:szCs w:val="24"/>
        </w:rPr>
        <w:t xml:space="preserve"> </w:t>
      </w:r>
    </w:p>
    <w:p w:rsidR="00DF3DC6" w:rsidP="00DF3DC6" w:rsidRDefault="00140972" w14:paraId="71BE22C5" w14:textId="74583D6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8C6A2E">
        <w:rPr>
          <w:rFonts w:cs="Arial"/>
          <w:szCs w:val="24"/>
        </w:rPr>
        <w:t xml:space="preserve"> </w:t>
      </w:r>
    </w:p>
    <w:p w:rsidR="00DF3DC6" w:rsidP="00DF3DC6" w:rsidRDefault="00DF3DC6" w14:paraId="1D84BFA8"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sectPr w:rsidR="00DF3DC6" w:rsidSect="002059F4">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00140972" w:rsidP="00DF3DC6" w:rsidRDefault="00DF3DC6" w14:paraId="27D32255" w14:textId="2C8D6633">
      <w:pPr>
        <w:pStyle w:val="Caption"/>
      </w:pPr>
      <w:bookmarkStart w:name="_Ref96089936" w:id="31"/>
      <w:r>
        <w:t xml:space="preserve">Table </w:t>
      </w:r>
      <w:bookmarkEnd w:id="31"/>
      <w:r w:rsidR="000E72EF">
        <w:t>4</w:t>
      </w:r>
      <w:r>
        <w:t xml:space="preserve">. </w:t>
      </w:r>
      <w:r w:rsidRPr="00DF3DC6">
        <w:t>Total Annual Respondent Burden and Costs Associated with Preparing and Filing a TSCA Section 8(a) Notice</w:t>
      </w:r>
    </w:p>
    <w:tbl>
      <w:tblPr>
        <w:tblW w:w="13961" w:type="dxa"/>
        <w:tblLook w:val="04A0" w:firstRow="1" w:lastRow="0" w:firstColumn="1" w:lastColumn="0" w:noHBand="0" w:noVBand="1"/>
      </w:tblPr>
      <w:tblGrid>
        <w:gridCol w:w="1797"/>
        <w:gridCol w:w="959"/>
        <w:gridCol w:w="906"/>
        <w:gridCol w:w="906"/>
        <w:gridCol w:w="906"/>
        <w:gridCol w:w="906"/>
        <w:gridCol w:w="905"/>
        <w:gridCol w:w="906"/>
        <w:gridCol w:w="905"/>
        <w:gridCol w:w="942"/>
        <w:gridCol w:w="905"/>
        <w:gridCol w:w="905"/>
        <w:gridCol w:w="1053"/>
        <w:gridCol w:w="1060"/>
      </w:tblGrid>
      <w:tr w:rsidRPr="00DF3DC6" w:rsidR="00DF3DC6" w:rsidTr="000E72EF" w14:paraId="5F358A3F" w14:textId="77777777">
        <w:trPr>
          <w:trHeight w:val="800"/>
        </w:trPr>
        <w:tc>
          <w:tcPr>
            <w:tcW w:w="1797"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DF3DC6" w:rsidR="00DF3DC6" w:rsidP="00DF3DC6" w:rsidRDefault="00DF3DC6" w14:paraId="7E1ECED7"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Activity</w:t>
            </w:r>
          </w:p>
        </w:tc>
        <w:tc>
          <w:tcPr>
            <w:tcW w:w="1865" w:type="dxa"/>
            <w:gridSpan w:val="2"/>
            <w:tcBorders>
              <w:top w:val="single" w:color="auto"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7EF1FE6B"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Managerial</w:t>
            </w:r>
          </w:p>
        </w:tc>
        <w:tc>
          <w:tcPr>
            <w:tcW w:w="1812" w:type="dxa"/>
            <w:gridSpan w:val="2"/>
            <w:tcBorders>
              <w:top w:val="single" w:color="auto"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24BA59D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Technical</w:t>
            </w:r>
          </w:p>
        </w:tc>
        <w:tc>
          <w:tcPr>
            <w:tcW w:w="1811" w:type="dxa"/>
            <w:gridSpan w:val="2"/>
            <w:tcBorders>
              <w:top w:val="single" w:color="auto"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1C164B07"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Clerical</w:t>
            </w:r>
          </w:p>
        </w:tc>
        <w:tc>
          <w:tcPr>
            <w:tcW w:w="1811" w:type="dxa"/>
            <w:gridSpan w:val="2"/>
            <w:tcBorders>
              <w:top w:val="single" w:color="auto"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1E4919EC"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Attorney</w:t>
            </w:r>
          </w:p>
        </w:tc>
        <w:tc>
          <w:tcPr>
            <w:tcW w:w="942"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hideMark/>
          </w:tcPr>
          <w:p w:rsidRPr="00DF3DC6" w:rsidR="00DF3DC6" w:rsidP="00DF3DC6" w:rsidRDefault="00DF3DC6" w14:paraId="7574260F"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Notices per Year</w:t>
            </w:r>
          </w:p>
        </w:tc>
        <w:tc>
          <w:tcPr>
            <w:tcW w:w="1810" w:type="dxa"/>
            <w:gridSpan w:val="2"/>
            <w:vMerge w:val="restart"/>
            <w:tcBorders>
              <w:top w:val="single" w:color="auto" w:sz="8" w:space="0"/>
              <w:left w:val="single" w:color="000000" w:sz="8" w:space="0"/>
              <w:bottom w:val="single" w:color="000000" w:sz="8" w:space="0"/>
              <w:right w:val="single" w:color="000000" w:sz="8" w:space="0"/>
            </w:tcBorders>
            <w:shd w:val="clear" w:color="auto" w:fill="auto"/>
            <w:vAlign w:val="center"/>
            <w:hideMark/>
          </w:tcPr>
          <w:p w:rsidRPr="00DF3DC6" w:rsidR="00DF3DC6" w:rsidP="00DF3DC6" w:rsidRDefault="00DF3DC6" w14:paraId="03E4F78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Annual Burden Hours</w:t>
            </w:r>
          </w:p>
        </w:tc>
        <w:tc>
          <w:tcPr>
            <w:tcW w:w="2113" w:type="dxa"/>
            <w:gridSpan w:val="2"/>
            <w:vMerge w:val="restart"/>
            <w:tcBorders>
              <w:top w:val="single" w:color="auto" w:sz="8" w:space="0"/>
              <w:left w:val="single" w:color="000000" w:sz="8" w:space="0"/>
              <w:bottom w:val="single" w:color="000000" w:sz="8" w:space="0"/>
              <w:right w:val="single" w:color="000000" w:sz="8" w:space="0"/>
            </w:tcBorders>
            <w:shd w:val="clear" w:color="auto" w:fill="auto"/>
            <w:vAlign w:val="center"/>
            <w:hideMark/>
          </w:tcPr>
          <w:p w:rsidRPr="00DF3DC6" w:rsidR="00DF3DC6" w:rsidP="00DF3DC6" w:rsidRDefault="00DF3DC6" w14:paraId="01F9977F"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Annual Costs</w:t>
            </w:r>
          </w:p>
        </w:tc>
      </w:tr>
      <w:tr w:rsidRPr="00DF3DC6" w:rsidR="00B03E52" w:rsidTr="004B4ECA" w14:paraId="7D69E94F" w14:textId="77777777">
        <w:trPr>
          <w:trHeight w:val="298"/>
          <w:tblHeader/>
        </w:trPr>
        <w:tc>
          <w:tcPr>
            <w:tcW w:w="1797" w:type="dxa"/>
            <w:vMerge/>
            <w:tcBorders>
              <w:top w:val="single" w:color="auto" w:sz="8" w:space="0"/>
              <w:left w:val="single" w:color="auto" w:sz="8" w:space="0"/>
              <w:bottom w:val="single" w:color="000000" w:sz="8" w:space="0"/>
              <w:right w:val="single" w:color="auto" w:sz="8" w:space="0"/>
            </w:tcBorders>
            <w:vAlign w:val="center"/>
            <w:hideMark/>
          </w:tcPr>
          <w:p w:rsidRPr="00DF3DC6" w:rsidR="00DF3DC6" w:rsidP="00DF3DC6" w:rsidRDefault="00DF3DC6" w14:paraId="24058C0D" w14:textId="77777777">
            <w:pPr>
              <w:spacing w:after="0" w:line="240" w:lineRule="auto"/>
              <w:rPr>
                <w:rFonts w:eastAsia="Times New Roman" w:cs="Arial"/>
                <w:b/>
                <w:bCs/>
                <w:color w:val="000000"/>
                <w:sz w:val="20"/>
                <w:szCs w:val="20"/>
              </w:rPr>
            </w:pPr>
          </w:p>
        </w:tc>
        <w:tc>
          <w:tcPr>
            <w:tcW w:w="959" w:type="dxa"/>
            <w:tcBorders>
              <w:top w:val="nil"/>
              <w:left w:val="nil"/>
              <w:bottom w:val="single" w:color="000000" w:sz="8" w:space="0"/>
              <w:right w:val="nil"/>
            </w:tcBorders>
            <w:shd w:val="clear" w:color="auto" w:fill="auto"/>
            <w:vAlign w:val="center"/>
            <w:hideMark/>
          </w:tcPr>
          <w:p w:rsidRPr="00DF3DC6" w:rsidR="00DF3DC6" w:rsidP="00DF3DC6" w:rsidRDefault="00DF3DC6" w14:paraId="03DA8E31"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 xml:space="preserve">$94.54 </w:t>
            </w:r>
          </w:p>
        </w:tc>
        <w:tc>
          <w:tcPr>
            <w:tcW w:w="906" w:type="dxa"/>
            <w:tcBorders>
              <w:top w:val="nil"/>
              <w:left w:val="nil"/>
              <w:bottom w:val="single" w:color="000000" w:sz="8" w:space="0"/>
              <w:right w:val="single" w:color="auto" w:sz="8" w:space="0"/>
            </w:tcBorders>
            <w:shd w:val="clear" w:color="auto" w:fill="auto"/>
            <w:vAlign w:val="center"/>
            <w:hideMark/>
          </w:tcPr>
          <w:p w:rsidRPr="00DF3DC6" w:rsidR="00DF3DC6" w:rsidP="00DF3DC6" w:rsidRDefault="00DF3DC6" w14:paraId="728D9B81" w14:textId="77777777">
            <w:pPr>
              <w:spacing w:after="0" w:line="240" w:lineRule="auto"/>
              <w:rPr>
                <w:rFonts w:eastAsia="Times New Roman" w:cs="Arial"/>
                <w:b/>
                <w:bCs/>
                <w:color w:val="000000"/>
                <w:sz w:val="20"/>
                <w:szCs w:val="20"/>
              </w:rPr>
            </w:pPr>
            <w:r w:rsidRPr="00DF3DC6">
              <w:rPr>
                <w:rFonts w:eastAsia="Times New Roman" w:cs="Arial"/>
                <w:b/>
                <w:bCs/>
                <w:color w:val="000000"/>
                <w:sz w:val="20"/>
                <w:szCs w:val="20"/>
              </w:rPr>
              <w:t>per hour</w:t>
            </w:r>
          </w:p>
        </w:tc>
        <w:tc>
          <w:tcPr>
            <w:tcW w:w="906" w:type="dxa"/>
            <w:tcBorders>
              <w:top w:val="nil"/>
              <w:left w:val="nil"/>
              <w:bottom w:val="nil"/>
              <w:right w:val="nil"/>
            </w:tcBorders>
            <w:shd w:val="clear" w:color="auto" w:fill="auto"/>
            <w:vAlign w:val="center"/>
            <w:hideMark/>
          </w:tcPr>
          <w:p w:rsidRPr="00DF3DC6" w:rsidR="00DF3DC6" w:rsidP="00DF3DC6" w:rsidRDefault="00DF3DC6" w14:paraId="3D939C6C"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 xml:space="preserve">$80.50 </w:t>
            </w:r>
          </w:p>
        </w:tc>
        <w:tc>
          <w:tcPr>
            <w:tcW w:w="906" w:type="dxa"/>
            <w:tcBorders>
              <w:top w:val="nil"/>
              <w:left w:val="nil"/>
              <w:bottom w:val="single" w:color="000000" w:sz="8" w:space="0"/>
              <w:right w:val="single" w:color="000000" w:sz="8" w:space="0"/>
            </w:tcBorders>
            <w:shd w:val="clear" w:color="auto" w:fill="auto"/>
            <w:vAlign w:val="center"/>
            <w:hideMark/>
          </w:tcPr>
          <w:p w:rsidRPr="00DF3DC6" w:rsidR="00DF3DC6" w:rsidP="00DF3DC6" w:rsidRDefault="00DF3DC6" w14:paraId="62E4BF1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per hour</w:t>
            </w:r>
          </w:p>
        </w:tc>
        <w:tc>
          <w:tcPr>
            <w:tcW w:w="906" w:type="dxa"/>
            <w:tcBorders>
              <w:top w:val="nil"/>
              <w:left w:val="nil"/>
              <w:bottom w:val="nil"/>
              <w:right w:val="nil"/>
            </w:tcBorders>
            <w:shd w:val="clear" w:color="auto" w:fill="auto"/>
            <w:vAlign w:val="center"/>
            <w:hideMark/>
          </w:tcPr>
          <w:p w:rsidRPr="00DF3DC6" w:rsidR="00DF3DC6" w:rsidP="00DF3DC6" w:rsidRDefault="00DF3DC6" w14:paraId="7C849A3E"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 xml:space="preserve">$36.58 </w:t>
            </w:r>
          </w:p>
        </w:tc>
        <w:tc>
          <w:tcPr>
            <w:tcW w:w="905" w:type="dxa"/>
            <w:tcBorders>
              <w:top w:val="nil"/>
              <w:left w:val="nil"/>
              <w:bottom w:val="single" w:color="000000" w:sz="8" w:space="0"/>
              <w:right w:val="single" w:color="000000" w:sz="8" w:space="0"/>
            </w:tcBorders>
            <w:shd w:val="clear" w:color="auto" w:fill="auto"/>
            <w:vAlign w:val="center"/>
            <w:hideMark/>
          </w:tcPr>
          <w:p w:rsidRPr="00DF3DC6" w:rsidR="00DF3DC6" w:rsidP="00DF3DC6" w:rsidRDefault="00DF3DC6" w14:paraId="061E2D25"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per hour</w:t>
            </w:r>
          </w:p>
        </w:tc>
        <w:tc>
          <w:tcPr>
            <w:tcW w:w="906" w:type="dxa"/>
            <w:tcBorders>
              <w:top w:val="nil"/>
              <w:left w:val="nil"/>
              <w:bottom w:val="nil"/>
              <w:right w:val="nil"/>
            </w:tcBorders>
            <w:shd w:val="clear" w:color="auto" w:fill="auto"/>
            <w:vAlign w:val="center"/>
            <w:hideMark/>
          </w:tcPr>
          <w:p w:rsidRPr="00DF3DC6" w:rsidR="00DF3DC6" w:rsidP="00DF3DC6" w:rsidRDefault="00DF3DC6" w14:paraId="4EB69837"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 xml:space="preserve">$94.62 </w:t>
            </w:r>
          </w:p>
        </w:tc>
        <w:tc>
          <w:tcPr>
            <w:tcW w:w="905" w:type="dxa"/>
            <w:tcBorders>
              <w:top w:val="nil"/>
              <w:left w:val="nil"/>
              <w:bottom w:val="single" w:color="000000" w:sz="8" w:space="0"/>
              <w:right w:val="single" w:color="000000" w:sz="8" w:space="0"/>
            </w:tcBorders>
            <w:shd w:val="clear" w:color="auto" w:fill="auto"/>
            <w:vAlign w:val="center"/>
            <w:hideMark/>
          </w:tcPr>
          <w:p w:rsidRPr="00DF3DC6" w:rsidR="00DF3DC6" w:rsidP="00DF3DC6" w:rsidRDefault="00DF3DC6" w14:paraId="4DFA6386"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per hour</w:t>
            </w:r>
          </w:p>
        </w:tc>
        <w:tc>
          <w:tcPr>
            <w:tcW w:w="942" w:type="dxa"/>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19C8FAF3" w14:textId="77777777">
            <w:pPr>
              <w:spacing w:after="0" w:line="240" w:lineRule="auto"/>
              <w:rPr>
                <w:rFonts w:eastAsia="Times New Roman" w:cs="Arial"/>
                <w:b/>
                <w:bCs/>
                <w:color w:val="000000"/>
                <w:sz w:val="20"/>
                <w:szCs w:val="20"/>
              </w:rPr>
            </w:pPr>
          </w:p>
        </w:tc>
        <w:tc>
          <w:tcPr>
            <w:tcW w:w="1810" w:type="dxa"/>
            <w:gridSpan w:val="2"/>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4E500C00" w14:textId="77777777">
            <w:pPr>
              <w:spacing w:after="0" w:line="240" w:lineRule="auto"/>
              <w:rPr>
                <w:rFonts w:eastAsia="Times New Roman" w:cs="Arial"/>
                <w:b/>
                <w:bCs/>
                <w:color w:val="000000"/>
                <w:sz w:val="20"/>
                <w:szCs w:val="20"/>
              </w:rPr>
            </w:pPr>
          </w:p>
        </w:tc>
        <w:tc>
          <w:tcPr>
            <w:tcW w:w="2113" w:type="dxa"/>
            <w:gridSpan w:val="2"/>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6FE94007" w14:textId="77777777">
            <w:pPr>
              <w:spacing w:after="0" w:line="240" w:lineRule="auto"/>
              <w:rPr>
                <w:rFonts w:eastAsia="Times New Roman" w:cs="Arial"/>
                <w:b/>
                <w:bCs/>
                <w:color w:val="000000"/>
                <w:sz w:val="20"/>
                <w:szCs w:val="20"/>
              </w:rPr>
            </w:pPr>
          </w:p>
        </w:tc>
      </w:tr>
      <w:tr w:rsidRPr="00DF3DC6" w:rsidR="00DF3DC6" w:rsidTr="004B4ECA" w14:paraId="0AF8FA9C" w14:textId="77777777">
        <w:trPr>
          <w:trHeight w:val="298"/>
          <w:tblHeader/>
        </w:trPr>
        <w:tc>
          <w:tcPr>
            <w:tcW w:w="1797" w:type="dxa"/>
            <w:vMerge/>
            <w:tcBorders>
              <w:top w:val="single" w:color="auto" w:sz="8" w:space="0"/>
              <w:left w:val="single" w:color="auto" w:sz="8" w:space="0"/>
              <w:bottom w:val="single" w:color="000000" w:sz="8" w:space="0"/>
              <w:right w:val="single" w:color="auto" w:sz="8" w:space="0"/>
            </w:tcBorders>
            <w:vAlign w:val="center"/>
            <w:hideMark/>
          </w:tcPr>
          <w:p w:rsidRPr="00DF3DC6" w:rsidR="00DF3DC6" w:rsidP="00DF3DC6" w:rsidRDefault="00DF3DC6" w14:paraId="5480CEF6" w14:textId="77777777">
            <w:pPr>
              <w:spacing w:after="0" w:line="240" w:lineRule="auto"/>
              <w:rPr>
                <w:rFonts w:eastAsia="Times New Roman" w:cs="Arial"/>
                <w:b/>
                <w:bCs/>
                <w:color w:val="000000"/>
                <w:sz w:val="20"/>
                <w:szCs w:val="20"/>
              </w:rPr>
            </w:pPr>
          </w:p>
        </w:tc>
        <w:tc>
          <w:tcPr>
            <w:tcW w:w="1865" w:type="dxa"/>
            <w:gridSpan w:val="2"/>
            <w:tcBorders>
              <w:top w:val="single" w:color="000000"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6C909C1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Total burden hours</w:t>
            </w:r>
          </w:p>
        </w:tc>
        <w:tc>
          <w:tcPr>
            <w:tcW w:w="1812" w:type="dxa"/>
            <w:gridSpan w:val="2"/>
            <w:tcBorders>
              <w:top w:val="single" w:color="000000"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02C20232"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Total burden hours</w:t>
            </w:r>
          </w:p>
        </w:tc>
        <w:tc>
          <w:tcPr>
            <w:tcW w:w="1811" w:type="dxa"/>
            <w:gridSpan w:val="2"/>
            <w:tcBorders>
              <w:top w:val="single" w:color="000000"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67DADCC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Total burden hours</w:t>
            </w:r>
          </w:p>
        </w:tc>
        <w:tc>
          <w:tcPr>
            <w:tcW w:w="1811" w:type="dxa"/>
            <w:gridSpan w:val="2"/>
            <w:tcBorders>
              <w:top w:val="single" w:color="000000" w:sz="8" w:space="0"/>
              <w:left w:val="nil"/>
              <w:bottom w:val="single" w:color="000000" w:sz="8" w:space="0"/>
              <w:right w:val="single" w:color="000000" w:sz="8" w:space="0"/>
            </w:tcBorders>
            <w:shd w:val="clear" w:color="auto" w:fill="auto"/>
            <w:vAlign w:val="center"/>
            <w:hideMark/>
          </w:tcPr>
          <w:p w:rsidRPr="00DF3DC6" w:rsidR="00DF3DC6" w:rsidP="00DF3DC6" w:rsidRDefault="00DF3DC6" w14:paraId="52559DDC"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Total burden hours</w:t>
            </w:r>
          </w:p>
        </w:tc>
        <w:tc>
          <w:tcPr>
            <w:tcW w:w="942" w:type="dxa"/>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3995D54B" w14:textId="77777777">
            <w:pPr>
              <w:spacing w:after="0" w:line="240" w:lineRule="auto"/>
              <w:rPr>
                <w:rFonts w:eastAsia="Times New Roman" w:cs="Arial"/>
                <w:b/>
                <w:bCs/>
                <w:color w:val="000000"/>
                <w:sz w:val="20"/>
                <w:szCs w:val="20"/>
              </w:rPr>
            </w:pPr>
          </w:p>
        </w:tc>
        <w:tc>
          <w:tcPr>
            <w:tcW w:w="1810" w:type="dxa"/>
            <w:gridSpan w:val="2"/>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442465F4" w14:textId="77777777">
            <w:pPr>
              <w:spacing w:after="0" w:line="240" w:lineRule="auto"/>
              <w:rPr>
                <w:rFonts w:eastAsia="Times New Roman" w:cs="Arial"/>
                <w:b/>
                <w:bCs/>
                <w:color w:val="000000"/>
                <w:sz w:val="20"/>
                <w:szCs w:val="20"/>
              </w:rPr>
            </w:pPr>
          </w:p>
        </w:tc>
        <w:tc>
          <w:tcPr>
            <w:tcW w:w="2113" w:type="dxa"/>
            <w:gridSpan w:val="2"/>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436814F6" w14:textId="77777777">
            <w:pPr>
              <w:spacing w:after="0" w:line="240" w:lineRule="auto"/>
              <w:rPr>
                <w:rFonts w:eastAsia="Times New Roman" w:cs="Arial"/>
                <w:b/>
                <w:bCs/>
                <w:color w:val="000000"/>
                <w:sz w:val="20"/>
                <w:szCs w:val="20"/>
              </w:rPr>
            </w:pPr>
          </w:p>
        </w:tc>
      </w:tr>
      <w:tr w:rsidRPr="00DF3DC6" w:rsidR="00AD2856" w:rsidTr="00846D0C" w14:paraId="6333E353" w14:textId="77777777">
        <w:trPr>
          <w:trHeight w:val="549"/>
          <w:tblHeader/>
        </w:trPr>
        <w:tc>
          <w:tcPr>
            <w:tcW w:w="1797" w:type="dxa"/>
            <w:vMerge/>
            <w:tcBorders>
              <w:top w:val="single" w:color="auto" w:sz="8" w:space="0"/>
              <w:left w:val="single" w:color="auto" w:sz="8" w:space="0"/>
              <w:bottom w:val="single" w:color="000000" w:sz="8" w:space="0"/>
              <w:right w:val="single" w:color="auto" w:sz="8" w:space="0"/>
            </w:tcBorders>
            <w:vAlign w:val="center"/>
            <w:hideMark/>
          </w:tcPr>
          <w:p w:rsidRPr="00DF3DC6" w:rsidR="00DF3DC6" w:rsidP="00DF3DC6" w:rsidRDefault="00DF3DC6" w14:paraId="0CB2F2F7" w14:textId="77777777">
            <w:pPr>
              <w:spacing w:after="0" w:line="240" w:lineRule="auto"/>
              <w:rPr>
                <w:rFonts w:eastAsia="Times New Roman" w:cs="Arial"/>
                <w:b/>
                <w:bCs/>
                <w:color w:val="000000"/>
                <w:sz w:val="20"/>
                <w:szCs w:val="20"/>
              </w:rPr>
            </w:pPr>
          </w:p>
        </w:tc>
        <w:tc>
          <w:tcPr>
            <w:tcW w:w="959" w:type="dxa"/>
            <w:tcBorders>
              <w:top w:val="nil"/>
              <w:left w:val="nil"/>
              <w:bottom w:val="single" w:color="000000" w:sz="8" w:space="0"/>
              <w:right w:val="single" w:color="auto" w:sz="4" w:space="0"/>
            </w:tcBorders>
            <w:shd w:val="clear" w:color="auto" w:fill="auto"/>
            <w:vAlign w:val="center"/>
            <w:hideMark/>
          </w:tcPr>
          <w:p w:rsidRPr="00DF3DC6" w:rsidR="00DF3DC6" w:rsidP="00DF3DC6" w:rsidRDefault="00DF3DC6" w14:paraId="481F9B5D"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906" w:type="dxa"/>
            <w:tcBorders>
              <w:top w:val="nil"/>
              <w:left w:val="single" w:color="auto" w:sz="4" w:space="0"/>
              <w:bottom w:val="single" w:color="000000" w:sz="8" w:space="0"/>
              <w:right w:val="single" w:color="000000" w:sz="8" w:space="0"/>
            </w:tcBorders>
            <w:shd w:val="clear" w:color="auto" w:fill="auto"/>
            <w:vAlign w:val="center"/>
            <w:hideMark/>
          </w:tcPr>
          <w:p w:rsidRPr="00DF3DC6" w:rsidR="00DF3DC6" w:rsidP="00DF3DC6" w:rsidRDefault="00DF3DC6" w14:paraId="7F980A02"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c>
          <w:tcPr>
            <w:tcW w:w="906" w:type="dxa"/>
            <w:tcBorders>
              <w:top w:val="nil"/>
              <w:left w:val="nil"/>
              <w:bottom w:val="nil"/>
              <w:right w:val="single" w:color="000000" w:sz="8" w:space="0"/>
            </w:tcBorders>
            <w:shd w:val="clear" w:color="auto" w:fill="auto"/>
            <w:vAlign w:val="center"/>
            <w:hideMark/>
          </w:tcPr>
          <w:p w:rsidRPr="00DF3DC6" w:rsidR="00DF3DC6" w:rsidP="00DF3DC6" w:rsidRDefault="00DF3DC6" w14:paraId="06C4FD05"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906" w:type="dxa"/>
            <w:tcBorders>
              <w:top w:val="nil"/>
              <w:left w:val="nil"/>
              <w:bottom w:val="nil"/>
              <w:right w:val="single" w:color="000000" w:sz="8" w:space="0"/>
            </w:tcBorders>
            <w:shd w:val="clear" w:color="auto" w:fill="auto"/>
            <w:vAlign w:val="center"/>
            <w:hideMark/>
          </w:tcPr>
          <w:p w:rsidRPr="00DF3DC6" w:rsidR="00DF3DC6" w:rsidP="00DF3DC6" w:rsidRDefault="00DF3DC6" w14:paraId="4E2B59E5"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c>
          <w:tcPr>
            <w:tcW w:w="906" w:type="dxa"/>
            <w:tcBorders>
              <w:top w:val="nil"/>
              <w:left w:val="nil"/>
              <w:bottom w:val="nil"/>
              <w:right w:val="single" w:color="000000" w:sz="8" w:space="0"/>
            </w:tcBorders>
            <w:shd w:val="clear" w:color="auto" w:fill="auto"/>
            <w:vAlign w:val="center"/>
            <w:hideMark/>
          </w:tcPr>
          <w:p w:rsidRPr="00DF3DC6" w:rsidR="00DF3DC6" w:rsidP="00DF3DC6" w:rsidRDefault="00DF3DC6" w14:paraId="70247F0E"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905" w:type="dxa"/>
            <w:tcBorders>
              <w:top w:val="nil"/>
              <w:left w:val="nil"/>
              <w:bottom w:val="nil"/>
              <w:right w:val="single" w:color="000000" w:sz="8" w:space="0"/>
            </w:tcBorders>
            <w:shd w:val="clear" w:color="auto" w:fill="auto"/>
            <w:vAlign w:val="center"/>
            <w:hideMark/>
          </w:tcPr>
          <w:p w:rsidRPr="00DF3DC6" w:rsidR="00DF3DC6" w:rsidP="00DF3DC6" w:rsidRDefault="00DF3DC6" w14:paraId="432B2642"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c>
          <w:tcPr>
            <w:tcW w:w="906" w:type="dxa"/>
            <w:tcBorders>
              <w:top w:val="nil"/>
              <w:left w:val="nil"/>
              <w:bottom w:val="nil"/>
              <w:right w:val="single" w:color="000000" w:sz="8" w:space="0"/>
            </w:tcBorders>
            <w:shd w:val="clear" w:color="auto" w:fill="auto"/>
            <w:vAlign w:val="center"/>
            <w:hideMark/>
          </w:tcPr>
          <w:p w:rsidRPr="00DF3DC6" w:rsidR="00DF3DC6" w:rsidP="00DF3DC6" w:rsidRDefault="00DF3DC6" w14:paraId="69679AA6"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905" w:type="dxa"/>
            <w:tcBorders>
              <w:top w:val="nil"/>
              <w:left w:val="nil"/>
              <w:bottom w:val="nil"/>
              <w:right w:val="single" w:color="000000" w:sz="8" w:space="0"/>
            </w:tcBorders>
            <w:shd w:val="clear" w:color="auto" w:fill="auto"/>
            <w:vAlign w:val="center"/>
            <w:hideMark/>
          </w:tcPr>
          <w:p w:rsidRPr="00DF3DC6" w:rsidR="00DF3DC6" w:rsidP="00DF3DC6" w:rsidRDefault="00DF3DC6" w14:paraId="46A4C8FE"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c>
          <w:tcPr>
            <w:tcW w:w="942" w:type="dxa"/>
            <w:vMerge/>
            <w:tcBorders>
              <w:top w:val="single" w:color="auto" w:sz="8" w:space="0"/>
              <w:left w:val="single" w:color="000000" w:sz="8" w:space="0"/>
              <w:bottom w:val="single" w:color="000000" w:sz="8" w:space="0"/>
              <w:right w:val="single" w:color="000000" w:sz="8" w:space="0"/>
            </w:tcBorders>
            <w:vAlign w:val="center"/>
            <w:hideMark/>
          </w:tcPr>
          <w:p w:rsidRPr="00DF3DC6" w:rsidR="00DF3DC6" w:rsidP="00DF3DC6" w:rsidRDefault="00DF3DC6" w14:paraId="3ABF8753" w14:textId="77777777">
            <w:pPr>
              <w:spacing w:after="0" w:line="240" w:lineRule="auto"/>
              <w:rPr>
                <w:rFonts w:eastAsia="Times New Roman" w:cs="Arial"/>
                <w:b/>
                <w:bCs/>
                <w:color w:val="000000"/>
                <w:sz w:val="20"/>
                <w:szCs w:val="20"/>
              </w:rPr>
            </w:pPr>
          </w:p>
        </w:tc>
        <w:tc>
          <w:tcPr>
            <w:tcW w:w="905" w:type="dxa"/>
            <w:tcBorders>
              <w:top w:val="nil"/>
              <w:left w:val="nil"/>
              <w:bottom w:val="nil"/>
              <w:right w:val="single" w:color="000000" w:sz="8" w:space="0"/>
            </w:tcBorders>
            <w:shd w:val="clear" w:color="auto" w:fill="auto"/>
            <w:vAlign w:val="center"/>
            <w:hideMark/>
          </w:tcPr>
          <w:p w:rsidRPr="00DF3DC6" w:rsidR="00DF3DC6" w:rsidP="00DF3DC6" w:rsidRDefault="00DF3DC6" w14:paraId="60B746D4"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905" w:type="dxa"/>
            <w:tcBorders>
              <w:top w:val="nil"/>
              <w:left w:val="nil"/>
              <w:bottom w:val="nil"/>
              <w:right w:val="single" w:color="000000" w:sz="8" w:space="0"/>
            </w:tcBorders>
            <w:shd w:val="clear" w:color="auto" w:fill="auto"/>
            <w:vAlign w:val="center"/>
            <w:hideMark/>
          </w:tcPr>
          <w:p w:rsidRPr="00DF3DC6" w:rsidR="00DF3DC6" w:rsidP="00DF3DC6" w:rsidRDefault="00DF3DC6" w14:paraId="72251E63"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150BA0F9"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Lower Max</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7A2B1E3C" w14:textId="77777777">
            <w:pPr>
              <w:spacing w:after="0" w:line="240" w:lineRule="auto"/>
              <w:jc w:val="center"/>
              <w:rPr>
                <w:rFonts w:eastAsia="Times New Roman" w:cs="Arial"/>
                <w:b/>
                <w:bCs/>
                <w:color w:val="000000"/>
                <w:sz w:val="20"/>
                <w:szCs w:val="20"/>
              </w:rPr>
            </w:pPr>
            <w:r w:rsidRPr="00DF3DC6">
              <w:rPr>
                <w:rFonts w:eastAsia="Times New Roman" w:cs="Arial"/>
                <w:b/>
                <w:bCs/>
                <w:color w:val="000000"/>
                <w:sz w:val="20"/>
                <w:szCs w:val="20"/>
              </w:rPr>
              <w:t>Upper Max</w:t>
            </w:r>
          </w:p>
        </w:tc>
      </w:tr>
      <w:tr w:rsidRPr="00DF3DC6" w:rsidR="00AD2856" w:rsidTr="00846D0C" w14:paraId="4B4222D6"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58A4C6FC" w14:textId="77777777">
            <w:pPr>
              <w:spacing w:after="0" w:line="240" w:lineRule="auto"/>
              <w:rPr>
                <w:rFonts w:eastAsia="Times New Roman" w:cs="Arial"/>
                <w:color w:val="000000"/>
                <w:sz w:val="20"/>
                <w:szCs w:val="20"/>
              </w:rPr>
            </w:pPr>
            <w:r w:rsidRPr="00DF3DC6">
              <w:rPr>
                <w:rFonts w:eastAsia="Times New Roman" w:cs="Arial"/>
                <w:color w:val="000000"/>
                <w:sz w:val="20"/>
                <w:szCs w:val="20"/>
              </w:rPr>
              <w:t>Manufacturer ID and Principal Technical Contact</w:t>
            </w:r>
          </w:p>
        </w:tc>
        <w:tc>
          <w:tcPr>
            <w:tcW w:w="959"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4472979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B2EB18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95E80C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97F5D9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63610A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32A4D6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8E86E1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7D443F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154146B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4435D8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7671B7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16</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3994A86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$378</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170C3B0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$1,513</w:t>
            </w:r>
          </w:p>
        </w:tc>
      </w:tr>
      <w:tr w:rsidRPr="00DF3DC6" w:rsidR="00AD2856" w:rsidTr="00846D0C" w14:paraId="23958551"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433F3FA9" w14:textId="77777777">
            <w:pPr>
              <w:spacing w:after="0" w:line="240" w:lineRule="auto"/>
              <w:rPr>
                <w:rFonts w:eastAsia="Times New Roman" w:cs="Arial"/>
                <w:color w:val="000000"/>
                <w:sz w:val="20"/>
                <w:szCs w:val="20"/>
              </w:rPr>
            </w:pPr>
            <w:r w:rsidRPr="00DF3DC6">
              <w:rPr>
                <w:rFonts w:eastAsia="Times New Roman" w:cs="Arial"/>
                <w:color w:val="000000"/>
                <w:sz w:val="20"/>
                <w:szCs w:val="20"/>
              </w:rPr>
              <w:t>Chemical and Trade Name</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C7A210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451828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6083FA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57E59E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B4CFA1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324380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F852F7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379DAE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4D02D5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167E60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9F1683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15</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5D37407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$241</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2BB0400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$1,207</w:t>
            </w:r>
          </w:p>
        </w:tc>
      </w:tr>
      <w:tr w:rsidRPr="00DF3DC6" w:rsidR="00AD2856" w:rsidTr="00846D0C" w14:paraId="0764848D"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3A284B6B" w14:textId="77777777">
            <w:pPr>
              <w:spacing w:after="0" w:line="240" w:lineRule="auto"/>
              <w:rPr>
                <w:rFonts w:eastAsia="Times New Roman" w:cs="Arial"/>
                <w:color w:val="000000"/>
                <w:sz w:val="20"/>
                <w:szCs w:val="20"/>
              </w:rPr>
            </w:pPr>
            <w:r w:rsidRPr="00DF3DC6">
              <w:rPr>
                <w:rFonts w:eastAsia="Times New Roman" w:cs="Arial"/>
                <w:color w:val="000000"/>
                <w:sz w:val="20"/>
                <w:szCs w:val="20"/>
              </w:rPr>
              <w:t>Chemical Composition</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6E21D4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B8A7C6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AD3FB3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0.5</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159983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6</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5306B8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D99670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111E9E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74740D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39091E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C399A5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8E3C70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24</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2556A72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$161</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0856DCE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$1,932</w:t>
            </w:r>
          </w:p>
        </w:tc>
      </w:tr>
      <w:tr w:rsidRPr="00DF3DC6" w:rsidR="00AD2856" w:rsidTr="00846D0C" w14:paraId="42BD0193"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363DBC69" w14:textId="77777777">
            <w:pPr>
              <w:spacing w:after="0" w:line="240" w:lineRule="auto"/>
              <w:rPr>
                <w:rFonts w:eastAsia="Times New Roman" w:cs="Arial"/>
                <w:color w:val="000000"/>
                <w:sz w:val="20"/>
                <w:szCs w:val="20"/>
              </w:rPr>
            </w:pPr>
            <w:r w:rsidRPr="00DF3DC6">
              <w:rPr>
                <w:rFonts w:eastAsia="Times New Roman" w:cs="Arial"/>
                <w:color w:val="000000"/>
                <w:sz w:val="20"/>
                <w:szCs w:val="20"/>
              </w:rPr>
              <w:t>Byproduct ID</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971E1E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0F4725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CD39DE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D5E153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D5FC3F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DED489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306F11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C5B111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CAA5E4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EEF2D2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8A4BBF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12</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32CCABE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$350</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70ECAD3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$994</w:t>
            </w:r>
          </w:p>
        </w:tc>
      </w:tr>
      <w:tr w:rsidRPr="00DF3DC6" w:rsidR="00AD2856" w:rsidTr="00846D0C" w14:paraId="3AAF4E58"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67F2370C" w14:textId="77777777">
            <w:pPr>
              <w:spacing w:after="0" w:line="240" w:lineRule="auto"/>
              <w:rPr>
                <w:rFonts w:eastAsia="Times New Roman" w:cs="Arial"/>
                <w:color w:val="000000"/>
                <w:sz w:val="20"/>
                <w:szCs w:val="20"/>
              </w:rPr>
            </w:pPr>
            <w:r w:rsidRPr="00DF3DC6">
              <w:rPr>
                <w:rFonts w:eastAsia="Times New Roman" w:cs="Arial"/>
                <w:color w:val="000000"/>
                <w:sz w:val="20"/>
                <w:szCs w:val="20"/>
              </w:rPr>
              <w:t>Use Description</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236AE9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6D57C0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704CF5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E934DE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420056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B7B6D7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92391E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4A00CD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B18DB4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3A24BA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43E0DE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20</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5BA9346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$322</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054B740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$1,610</w:t>
            </w:r>
          </w:p>
        </w:tc>
      </w:tr>
      <w:tr w:rsidRPr="00DF3DC6" w:rsidR="00AD2856" w:rsidTr="00846D0C" w14:paraId="28B17174"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725D4DF9" w14:textId="77777777">
            <w:pPr>
              <w:spacing w:after="0" w:line="240" w:lineRule="auto"/>
              <w:rPr>
                <w:rFonts w:eastAsia="Times New Roman" w:cs="Arial"/>
                <w:color w:val="000000"/>
                <w:sz w:val="20"/>
                <w:szCs w:val="20"/>
              </w:rPr>
            </w:pPr>
            <w:r w:rsidRPr="00DF3DC6">
              <w:rPr>
                <w:rFonts w:eastAsia="Times New Roman" w:cs="Arial"/>
                <w:color w:val="000000"/>
                <w:sz w:val="20"/>
                <w:szCs w:val="20"/>
              </w:rPr>
              <w:t>Quantity Manufactured or Imported</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08538A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1DB276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F84426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FF3A16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082B40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1426CE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C593DD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6A52CD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9B709B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DFD8BF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2EEBF8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20</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3C362DC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$322</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05870AA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$1,610</w:t>
            </w:r>
          </w:p>
        </w:tc>
      </w:tr>
      <w:tr w:rsidRPr="00DF3DC6" w:rsidR="00AD2856" w:rsidTr="0067132F" w14:paraId="42B874BC" w14:textId="77777777">
        <w:trPr>
          <w:trHeight w:val="800"/>
        </w:trPr>
        <w:tc>
          <w:tcPr>
            <w:tcW w:w="1797" w:type="dxa"/>
            <w:tcBorders>
              <w:top w:val="nil"/>
              <w:left w:val="single" w:color="auto" w:sz="8" w:space="0"/>
              <w:bottom w:val="single" w:color="auto" w:sz="4" w:space="0"/>
              <w:right w:val="single" w:color="000000" w:sz="8" w:space="0"/>
            </w:tcBorders>
            <w:shd w:val="clear" w:color="auto" w:fill="auto"/>
            <w:vAlign w:val="center"/>
            <w:hideMark/>
          </w:tcPr>
          <w:p w:rsidRPr="00DF3DC6" w:rsidR="00DF3DC6" w:rsidP="00DF3DC6" w:rsidRDefault="00DF3DC6" w14:paraId="3A5A4A7B" w14:textId="77777777">
            <w:pPr>
              <w:spacing w:after="0" w:line="240" w:lineRule="auto"/>
              <w:rPr>
                <w:rFonts w:eastAsia="Times New Roman" w:cs="Arial"/>
                <w:color w:val="000000"/>
                <w:sz w:val="20"/>
                <w:szCs w:val="20"/>
              </w:rPr>
            </w:pPr>
            <w:r w:rsidRPr="00DF3DC6">
              <w:rPr>
                <w:rFonts w:eastAsia="Times New Roman" w:cs="Arial"/>
                <w:color w:val="000000"/>
                <w:sz w:val="20"/>
                <w:szCs w:val="20"/>
              </w:rPr>
              <w:t>Marketing Data</w:t>
            </w:r>
          </w:p>
        </w:tc>
        <w:tc>
          <w:tcPr>
            <w:tcW w:w="959"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34E8144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465E6EC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6"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2FCC048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40D7B3F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2E21138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45F61BD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0D97217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79EB663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56BDF8B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50FC6F0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4" w:space="0"/>
              <w:right w:val="single" w:color="000000" w:sz="8" w:space="0"/>
            </w:tcBorders>
            <w:shd w:val="clear" w:color="auto" w:fill="auto"/>
            <w:vAlign w:val="center"/>
            <w:hideMark/>
          </w:tcPr>
          <w:p w:rsidRPr="00DF3DC6" w:rsidR="00DF3DC6" w:rsidP="00DF3DC6" w:rsidRDefault="00DF3DC6" w14:paraId="7F3D6AB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1053" w:type="dxa"/>
            <w:tcBorders>
              <w:top w:val="nil"/>
              <w:left w:val="nil"/>
              <w:bottom w:val="single" w:color="auto" w:sz="4" w:space="0"/>
              <w:right w:val="single" w:color="000000" w:sz="8" w:space="0"/>
            </w:tcBorders>
            <w:shd w:val="clear" w:color="auto" w:fill="auto"/>
            <w:vAlign w:val="center"/>
            <w:hideMark/>
          </w:tcPr>
          <w:p w:rsidRPr="00DF3DC6" w:rsidR="00DF3DC6" w:rsidP="00DF3DC6" w:rsidRDefault="00DF3DC6" w14:paraId="7233C74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$189</w:t>
            </w:r>
          </w:p>
        </w:tc>
        <w:tc>
          <w:tcPr>
            <w:tcW w:w="1059" w:type="dxa"/>
            <w:tcBorders>
              <w:top w:val="nil"/>
              <w:left w:val="nil"/>
              <w:bottom w:val="single" w:color="auto" w:sz="4" w:space="0"/>
              <w:right w:val="single" w:color="auto" w:sz="8" w:space="0"/>
            </w:tcBorders>
            <w:shd w:val="clear" w:color="auto" w:fill="auto"/>
            <w:vAlign w:val="center"/>
            <w:hideMark/>
          </w:tcPr>
          <w:p w:rsidRPr="00DF3DC6" w:rsidR="00DF3DC6" w:rsidP="00DF3DC6" w:rsidRDefault="00DF3DC6" w14:paraId="4770855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$378</w:t>
            </w:r>
          </w:p>
        </w:tc>
      </w:tr>
      <w:tr w:rsidRPr="00DF3DC6" w:rsidR="00AD2856" w:rsidTr="0067132F" w14:paraId="1F59CC51" w14:textId="77777777">
        <w:trPr>
          <w:trHeight w:val="800"/>
        </w:trPr>
        <w:tc>
          <w:tcPr>
            <w:tcW w:w="17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39631C20" w14:textId="77777777">
            <w:pPr>
              <w:spacing w:after="0" w:line="240" w:lineRule="auto"/>
              <w:rPr>
                <w:rFonts w:eastAsia="Times New Roman" w:cs="Arial"/>
                <w:color w:val="000000"/>
                <w:sz w:val="20"/>
                <w:szCs w:val="20"/>
              </w:rPr>
            </w:pPr>
            <w:r w:rsidRPr="00DF3DC6">
              <w:rPr>
                <w:rFonts w:eastAsia="Times New Roman" w:cs="Arial"/>
                <w:color w:val="000000"/>
                <w:sz w:val="20"/>
                <w:szCs w:val="20"/>
              </w:rPr>
              <w:t>Date of Initiation of  Manufacture or Importation</w:t>
            </w:r>
          </w:p>
        </w:tc>
        <w:tc>
          <w:tcPr>
            <w:tcW w:w="9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2A3ACA9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0.5</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2C7A1FC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0.5</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6422D05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26A0784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7532CBE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38C538C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01201ED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484AAFF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744E26A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752D73E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6BC4A81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7271F46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$189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F3DC6" w:rsidR="00DF3DC6" w:rsidP="00DF3DC6" w:rsidRDefault="00DF3DC6" w14:paraId="18B97F6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$189</w:t>
            </w:r>
          </w:p>
        </w:tc>
      </w:tr>
      <w:tr w:rsidRPr="00DF3DC6" w:rsidR="00AD2856" w:rsidTr="0067132F" w14:paraId="04A699FA" w14:textId="77777777">
        <w:trPr>
          <w:trHeight w:val="800"/>
        </w:trPr>
        <w:tc>
          <w:tcPr>
            <w:tcW w:w="1797" w:type="dxa"/>
            <w:tcBorders>
              <w:top w:val="single" w:color="auto" w:sz="4" w:space="0"/>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53000BDA" w14:textId="77777777">
            <w:pPr>
              <w:spacing w:after="0" w:line="240" w:lineRule="auto"/>
              <w:rPr>
                <w:rFonts w:eastAsia="Times New Roman" w:cs="Arial"/>
                <w:color w:val="000000"/>
                <w:sz w:val="20"/>
                <w:szCs w:val="20"/>
              </w:rPr>
            </w:pPr>
            <w:r w:rsidRPr="00DF3DC6">
              <w:rPr>
                <w:rFonts w:eastAsia="Times New Roman" w:cs="Arial"/>
                <w:color w:val="000000"/>
                <w:sz w:val="20"/>
                <w:szCs w:val="20"/>
              </w:rPr>
              <w:t>Occupational Exposure</w:t>
            </w:r>
          </w:p>
        </w:tc>
        <w:tc>
          <w:tcPr>
            <w:tcW w:w="959"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43D38E8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260F8CD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6"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3D9AC5A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6"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759CB42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17</w:t>
            </w:r>
          </w:p>
        </w:tc>
        <w:tc>
          <w:tcPr>
            <w:tcW w:w="906"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17B880B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1C2E645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6"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3ACB329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2061C44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61B361F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39C2CEF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w:t>
            </w:r>
          </w:p>
        </w:tc>
        <w:tc>
          <w:tcPr>
            <w:tcW w:w="905"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018BED4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48</w:t>
            </w:r>
          </w:p>
        </w:tc>
        <w:tc>
          <w:tcPr>
            <w:tcW w:w="1053" w:type="dxa"/>
            <w:tcBorders>
              <w:top w:val="single" w:color="auto" w:sz="4" w:space="0"/>
              <w:left w:val="nil"/>
              <w:bottom w:val="single" w:color="auto" w:sz="8" w:space="0"/>
              <w:right w:val="single" w:color="000000" w:sz="8" w:space="0"/>
            </w:tcBorders>
            <w:shd w:val="clear" w:color="auto" w:fill="auto"/>
            <w:vAlign w:val="center"/>
            <w:hideMark/>
          </w:tcPr>
          <w:p w:rsidRPr="00DF3DC6" w:rsidR="00DF3DC6" w:rsidP="00DF3DC6" w:rsidRDefault="00DF3DC6" w14:paraId="701B3C3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$584</w:t>
            </w:r>
          </w:p>
        </w:tc>
        <w:tc>
          <w:tcPr>
            <w:tcW w:w="1059" w:type="dxa"/>
            <w:tcBorders>
              <w:top w:val="single" w:color="auto" w:sz="4" w:space="0"/>
              <w:left w:val="nil"/>
              <w:bottom w:val="single" w:color="auto" w:sz="8" w:space="0"/>
              <w:right w:val="single" w:color="auto" w:sz="8" w:space="0"/>
            </w:tcBorders>
            <w:shd w:val="clear" w:color="auto" w:fill="auto"/>
            <w:vAlign w:val="center"/>
            <w:hideMark/>
          </w:tcPr>
          <w:p w:rsidRPr="00DF3DC6" w:rsidR="00DF3DC6" w:rsidP="00DF3DC6" w:rsidRDefault="00DF3DC6" w14:paraId="5FE238B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$3,713</w:t>
            </w:r>
          </w:p>
        </w:tc>
      </w:tr>
      <w:tr w:rsidRPr="00DF3DC6" w:rsidR="00AD2856" w:rsidTr="00846D0C" w14:paraId="3D66127B"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066DC8F7" w14:textId="77777777">
            <w:pPr>
              <w:spacing w:after="0" w:line="240" w:lineRule="auto"/>
              <w:rPr>
                <w:rFonts w:eastAsia="Times New Roman" w:cs="Arial"/>
                <w:color w:val="000000"/>
                <w:sz w:val="20"/>
                <w:szCs w:val="20"/>
              </w:rPr>
            </w:pPr>
            <w:r w:rsidRPr="00DF3DC6">
              <w:rPr>
                <w:rFonts w:eastAsia="Times New Roman" w:cs="Arial"/>
                <w:color w:val="000000"/>
                <w:sz w:val="20"/>
                <w:szCs w:val="20"/>
              </w:rPr>
              <w:t>Environmental Release</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CC3679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F6A377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8DDC23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E71965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9</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6A1954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FE94A9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3DF75B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EB3FF3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A52C5F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48228B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6</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05FE77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32</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0A3F9FE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$423</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45E6AC2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$2,425</w:t>
            </w:r>
          </w:p>
        </w:tc>
      </w:tr>
      <w:tr w:rsidRPr="00DF3DC6" w:rsidR="00AD2856" w:rsidTr="00846D0C" w14:paraId="2056E92B"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0FDFBDC5" w14:textId="77777777">
            <w:pPr>
              <w:spacing w:after="0" w:line="240" w:lineRule="auto"/>
              <w:rPr>
                <w:rFonts w:eastAsia="Times New Roman" w:cs="Arial"/>
                <w:color w:val="000000"/>
                <w:sz w:val="20"/>
                <w:szCs w:val="20"/>
              </w:rPr>
            </w:pPr>
            <w:r w:rsidRPr="00DF3DC6">
              <w:rPr>
                <w:rFonts w:eastAsia="Times New Roman" w:cs="Arial"/>
                <w:color w:val="000000"/>
                <w:sz w:val="20"/>
                <w:szCs w:val="20"/>
              </w:rPr>
              <w:t>Occupational Description</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57FF42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8C7325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CE4400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B7A0EE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499DDF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DE58C8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A4DB0B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18094B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CD5706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346871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3B995D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11</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71B5FEB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$80</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6DF9B9B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$885</w:t>
            </w:r>
          </w:p>
        </w:tc>
      </w:tr>
      <w:tr w:rsidRPr="00DF3DC6" w:rsidR="00AD2856" w:rsidTr="00846D0C" w14:paraId="2A57A2D1"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413BCCF2" w14:textId="77777777">
            <w:pPr>
              <w:spacing w:after="0" w:line="240" w:lineRule="auto"/>
              <w:rPr>
                <w:rFonts w:eastAsia="Times New Roman" w:cs="Arial"/>
                <w:color w:val="000000"/>
                <w:sz w:val="20"/>
                <w:szCs w:val="20"/>
              </w:rPr>
            </w:pPr>
            <w:r w:rsidRPr="00DF3DC6">
              <w:rPr>
                <w:rFonts w:eastAsia="Times New Roman" w:cs="Arial"/>
                <w:color w:val="000000"/>
                <w:sz w:val="20"/>
                <w:szCs w:val="20"/>
              </w:rPr>
              <w:t>Health and Environmental Data</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E322DD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615675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E2A9DC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3F4542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F4C589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EEF9A8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909238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EA5127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DC234F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E76205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4C2E60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52</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23FF2DC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$870</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0F8CDF1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$4,166</w:t>
            </w:r>
          </w:p>
        </w:tc>
      </w:tr>
      <w:tr w:rsidRPr="00DF3DC6" w:rsidR="00AD2856" w:rsidTr="00846D0C" w14:paraId="2ADB7F11"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7F0DF281" w14:textId="77777777">
            <w:pPr>
              <w:spacing w:after="0" w:line="240" w:lineRule="auto"/>
              <w:rPr>
                <w:rFonts w:eastAsia="Times New Roman" w:cs="Arial"/>
                <w:color w:val="000000"/>
                <w:sz w:val="20"/>
                <w:szCs w:val="20"/>
              </w:rPr>
            </w:pPr>
            <w:r w:rsidRPr="00DF3DC6">
              <w:rPr>
                <w:rFonts w:eastAsia="Times New Roman" w:cs="Arial"/>
                <w:color w:val="000000"/>
                <w:sz w:val="20"/>
                <w:szCs w:val="20"/>
              </w:rPr>
              <w:t>Disposal Methods</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51D431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EA479F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6E6D43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06713C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7</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D6E60B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E80C81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D87CC2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DAFD2C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D36EC2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F0D3F9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A4D9E5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9</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5EC0F7B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$175</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2BEC7F4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$753</w:t>
            </w:r>
          </w:p>
        </w:tc>
      </w:tr>
      <w:tr w:rsidRPr="00DF3DC6" w:rsidR="00AD2856" w:rsidTr="00846D0C" w14:paraId="59DC71F6"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41A67276" w14:textId="77777777">
            <w:pPr>
              <w:spacing w:after="0" w:line="240" w:lineRule="auto"/>
              <w:rPr>
                <w:rFonts w:eastAsia="Times New Roman" w:cs="Arial"/>
                <w:color w:val="000000"/>
                <w:sz w:val="20"/>
                <w:szCs w:val="20"/>
              </w:rPr>
            </w:pPr>
            <w:r w:rsidRPr="00DF3DC6">
              <w:rPr>
                <w:rFonts w:eastAsia="Times New Roman" w:cs="Arial"/>
                <w:color w:val="000000"/>
                <w:sz w:val="20"/>
                <w:szCs w:val="20"/>
              </w:rPr>
              <w:t>Attachments</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981F70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9EF93E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70ABBA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1CD8CF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5A5F2D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A6104F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6</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708EEE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CC2903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F22E4D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8B2170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32A11E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6</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1FFCB04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$73</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3C02FE2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$219</w:t>
            </w:r>
          </w:p>
        </w:tc>
      </w:tr>
      <w:tr w:rsidRPr="00DF3DC6" w:rsidR="00AD2856" w:rsidTr="00846D0C" w14:paraId="2F72DEC2"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790CBDC2" w14:textId="77777777">
            <w:pPr>
              <w:spacing w:after="0" w:line="240" w:lineRule="auto"/>
              <w:rPr>
                <w:rFonts w:eastAsia="Times New Roman" w:cs="Arial"/>
                <w:color w:val="000000"/>
                <w:sz w:val="20"/>
                <w:szCs w:val="20"/>
              </w:rPr>
            </w:pPr>
            <w:r w:rsidRPr="00DF3DC6">
              <w:rPr>
                <w:rFonts w:eastAsia="Times New Roman" w:cs="Arial"/>
                <w:color w:val="000000"/>
                <w:sz w:val="20"/>
                <w:szCs w:val="20"/>
              </w:rPr>
              <w:t>Preparation of Notice</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8D8C20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E9928E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4C2874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5CC571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B36760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35A046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F68409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D835BF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36AFA0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A06B17E"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DD3E52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12</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250B9DE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$146</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49B492D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$439</w:t>
            </w:r>
          </w:p>
        </w:tc>
      </w:tr>
      <w:tr w:rsidRPr="00DF3DC6" w:rsidR="00AD2856" w:rsidTr="00846D0C" w14:paraId="2A1E7C1E"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64D89456" w14:textId="77777777">
            <w:pPr>
              <w:spacing w:after="0" w:line="240" w:lineRule="auto"/>
              <w:rPr>
                <w:rFonts w:eastAsia="Times New Roman" w:cs="Arial"/>
                <w:color w:val="000000"/>
                <w:sz w:val="20"/>
                <w:szCs w:val="20"/>
              </w:rPr>
            </w:pPr>
            <w:r w:rsidRPr="00DF3DC6">
              <w:rPr>
                <w:rFonts w:eastAsia="Times New Roman" w:cs="Arial"/>
                <w:color w:val="000000"/>
                <w:sz w:val="20"/>
                <w:szCs w:val="20"/>
              </w:rPr>
              <w:t>Managerial/Legal Review of Submission</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3BF9B9B"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8C16685"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E86D4A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59910C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C25F47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720665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10269F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0.75</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4A85DE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0.75</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A276F10"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5DC9FB1"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7</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BE70BD6"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19</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19BDF5F9"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$662</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27921438"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$1,796</w:t>
            </w:r>
          </w:p>
        </w:tc>
      </w:tr>
      <w:tr w:rsidRPr="00DF3DC6" w:rsidR="00AD2856" w:rsidTr="00846D0C" w14:paraId="66CB3D8B"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6E8C4138" w14:textId="77777777">
            <w:pPr>
              <w:spacing w:after="0" w:line="240" w:lineRule="auto"/>
              <w:rPr>
                <w:rFonts w:eastAsia="Times New Roman" w:cs="Arial"/>
                <w:color w:val="000000"/>
                <w:sz w:val="20"/>
                <w:szCs w:val="20"/>
              </w:rPr>
            </w:pPr>
            <w:r w:rsidRPr="00DF3DC6">
              <w:rPr>
                <w:rFonts w:eastAsia="Times New Roman" w:cs="Arial"/>
                <w:color w:val="000000"/>
                <w:sz w:val="20"/>
                <w:szCs w:val="20"/>
              </w:rPr>
              <w:t>Recordkeeping</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5AEF5A3"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4121E1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6195B2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5CBD33F"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773E22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3B75924"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3</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BE3A0A7"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6971A22"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0</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2DD260A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7AD3638C"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A9EF37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12</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5EEFBF2D"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$146</w:t>
            </w:r>
          </w:p>
        </w:tc>
        <w:tc>
          <w:tcPr>
            <w:tcW w:w="1059" w:type="dxa"/>
            <w:tcBorders>
              <w:top w:val="nil"/>
              <w:left w:val="nil"/>
              <w:bottom w:val="single" w:color="auto" w:sz="8" w:space="0"/>
              <w:right w:val="single" w:color="auto" w:sz="8" w:space="0"/>
            </w:tcBorders>
            <w:shd w:val="clear" w:color="auto" w:fill="auto"/>
            <w:vAlign w:val="center"/>
            <w:hideMark/>
          </w:tcPr>
          <w:p w:rsidRPr="00DF3DC6" w:rsidR="00DF3DC6" w:rsidP="00DF3DC6" w:rsidRDefault="00DF3DC6" w14:paraId="2E86071A" w14:textId="77777777">
            <w:pPr>
              <w:spacing w:after="0" w:line="240" w:lineRule="auto"/>
              <w:jc w:val="right"/>
              <w:rPr>
                <w:rFonts w:eastAsia="Times New Roman" w:cs="Arial"/>
                <w:color w:val="000000"/>
                <w:sz w:val="20"/>
                <w:szCs w:val="20"/>
              </w:rPr>
            </w:pPr>
            <w:r w:rsidRPr="00DF3DC6">
              <w:rPr>
                <w:rFonts w:eastAsia="Times New Roman" w:cs="Arial"/>
                <w:color w:val="000000"/>
                <w:sz w:val="20"/>
                <w:szCs w:val="20"/>
              </w:rPr>
              <w:t>$439</w:t>
            </w:r>
          </w:p>
        </w:tc>
      </w:tr>
      <w:tr w:rsidRPr="00DF3DC6" w:rsidR="00AD2856" w:rsidTr="00846D0C" w14:paraId="36F8C501" w14:textId="77777777">
        <w:trPr>
          <w:trHeight w:val="800"/>
        </w:trPr>
        <w:tc>
          <w:tcPr>
            <w:tcW w:w="1797" w:type="dxa"/>
            <w:tcBorders>
              <w:top w:val="nil"/>
              <w:left w:val="single" w:color="auto" w:sz="8" w:space="0"/>
              <w:bottom w:val="single" w:color="auto" w:sz="8" w:space="0"/>
              <w:right w:val="single" w:color="000000" w:sz="8" w:space="0"/>
            </w:tcBorders>
            <w:shd w:val="clear" w:color="auto" w:fill="auto"/>
            <w:vAlign w:val="center"/>
            <w:hideMark/>
          </w:tcPr>
          <w:p w:rsidRPr="00DF3DC6" w:rsidR="00DF3DC6" w:rsidP="00DF3DC6" w:rsidRDefault="00DF3DC6" w14:paraId="1E04FA2E" w14:textId="77777777">
            <w:pPr>
              <w:spacing w:after="0" w:line="240" w:lineRule="auto"/>
              <w:rPr>
                <w:rFonts w:eastAsia="Times New Roman" w:cs="Arial"/>
                <w:b/>
                <w:bCs/>
                <w:color w:val="000000"/>
                <w:sz w:val="20"/>
                <w:szCs w:val="20"/>
              </w:rPr>
            </w:pPr>
            <w:r w:rsidRPr="00DF3DC6">
              <w:rPr>
                <w:rFonts w:eastAsia="Times New Roman" w:cs="Arial"/>
                <w:b/>
                <w:bCs/>
                <w:color w:val="000000"/>
                <w:sz w:val="20"/>
                <w:szCs w:val="20"/>
              </w:rPr>
              <w:t>TOTAL</w:t>
            </w:r>
          </w:p>
        </w:tc>
        <w:tc>
          <w:tcPr>
            <w:tcW w:w="959"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FFE73C7"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9.50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FAC748F"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29.50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6004E91"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17.50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44D2E87E"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111.00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A2DFF1D"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7.00</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01A0F778"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21.00</w:t>
            </w:r>
          </w:p>
        </w:tc>
        <w:tc>
          <w:tcPr>
            <w:tcW w:w="906"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17427AB5"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0.75</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6C6A2980"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0.75</w:t>
            </w:r>
          </w:p>
        </w:tc>
        <w:tc>
          <w:tcPr>
            <w:tcW w:w="942"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3FC6FE3C"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47</w:t>
            </w:r>
          </w:p>
        </w:tc>
        <w:tc>
          <w:tcPr>
            <w:tcW w:w="905" w:type="dxa"/>
            <w:tcBorders>
              <w:top w:val="single" w:color="000000" w:sz="8" w:space="0"/>
              <w:left w:val="nil"/>
              <w:bottom w:val="single" w:color="auto" w:sz="8" w:space="0"/>
              <w:right w:val="single" w:color="000000" w:sz="8" w:space="0"/>
            </w:tcBorders>
            <w:shd w:val="clear" w:color="auto" w:fill="auto"/>
            <w:vAlign w:val="center"/>
            <w:hideMark/>
          </w:tcPr>
          <w:p w:rsidRPr="00DF3DC6" w:rsidR="00DF3DC6" w:rsidP="00DF3DC6" w:rsidRDefault="00DF3DC6" w14:paraId="5014273A"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70</w:t>
            </w:r>
          </w:p>
        </w:tc>
        <w:tc>
          <w:tcPr>
            <w:tcW w:w="905"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3031B756"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314</w:t>
            </w:r>
          </w:p>
        </w:tc>
        <w:tc>
          <w:tcPr>
            <w:tcW w:w="1053" w:type="dxa"/>
            <w:tcBorders>
              <w:top w:val="nil"/>
              <w:left w:val="nil"/>
              <w:bottom w:val="single" w:color="auto" w:sz="8" w:space="0"/>
              <w:right w:val="single" w:color="000000" w:sz="8" w:space="0"/>
            </w:tcBorders>
            <w:shd w:val="clear" w:color="auto" w:fill="auto"/>
            <w:vAlign w:val="center"/>
            <w:hideMark/>
          </w:tcPr>
          <w:p w:rsidRPr="00DF3DC6" w:rsidR="00DF3DC6" w:rsidP="00DF3DC6" w:rsidRDefault="00DF3DC6" w14:paraId="7E531ADB"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$5,313</w:t>
            </w:r>
          </w:p>
        </w:tc>
        <w:tc>
          <w:tcPr>
            <w:tcW w:w="1059" w:type="dxa"/>
            <w:tcBorders>
              <w:top w:val="nil"/>
              <w:left w:val="nil"/>
              <w:bottom w:val="single" w:color="auto" w:sz="8" w:space="0"/>
              <w:right w:val="single" w:color="auto" w:sz="8" w:space="0"/>
            </w:tcBorders>
            <w:shd w:val="clear" w:color="auto" w:fill="auto"/>
            <w:noWrap/>
            <w:vAlign w:val="center"/>
            <w:hideMark/>
          </w:tcPr>
          <w:p w:rsidRPr="00DF3DC6" w:rsidR="00DF3DC6" w:rsidP="00DF3DC6" w:rsidRDefault="00DF3DC6" w14:paraId="553A41BD" w14:textId="77777777">
            <w:pPr>
              <w:spacing w:after="0" w:line="240" w:lineRule="auto"/>
              <w:jc w:val="right"/>
              <w:rPr>
                <w:rFonts w:eastAsia="Times New Roman" w:cs="Arial"/>
                <w:b/>
                <w:bCs/>
                <w:color w:val="000000"/>
                <w:sz w:val="20"/>
                <w:szCs w:val="20"/>
              </w:rPr>
            </w:pPr>
            <w:r w:rsidRPr="00DF3DC6">
              <w:rPr>
                <w:rFonts w:eastAsia="Times New Roman" w:cs="Arial"/>
                <w:b/>
                <w:bCs/>
                <w:color w:val="000000"/>
                <w:sz w:val="20"/>
                <w:szCs w:val="20"/>
              </w:rPr>
              <w:t>$24,268</w:t>
            </w:r>
          </w:p>
        </w:tc>
      </w:tr>
    </w:tbl>
    <w:p w:rsidRPr="00DF3DC6" w:rsidR="00DF3DC6" w:rsidP="000E72EF" w:rsidRDefault="00DF3DC6" w14:paraId="19F8EACB" w14:textId="77777777"/>
    <w:p w:rsidR="00DF3DC6" w:rsidP="008C6A2E" w:rsidRDefault="00DF3DC6" w14:paraId="2F7C6B37" w14:textId="77777777">
      <w:pPr>
        <w:rPr>
          <w:rFonts w:cs="Arial"/>
          <w:b/>
          <w:szCs w:val="24"/>
        </w:rPr>
        <w:sectPr w:rsidR="00DF3DC6" w:rsidSect="00DF3DC6">
          <w:pgSz w:w="15840" w:h="12240" w:orient="landscape"/>
          <w:pgMar w:top="1440" w:right="1440" w:bottom="1440" w:left="1440" w:header="720" w:footer="720" w:gutter="0"/>
          <w:cols w:space="720"/>
          <w:titlePg/>
          <w:docGrid w:linePitch="360"/>
        </w:sectPr>
      </w:pPr>
    </w:p>
    <w:p w:rsidRPr="009C2235" w:rsidR="005359F0" w:rsidP="008C6A2E" w:rsidRDefault="005359F0" w14:paraId="0D14C570" w14:textId="56923744">
      <w:pPr>
        <w:rPr>
          <w:rFonts w:cs="Arial"/>
          <w:b/>
          <w:szCs w:val="24"/>
        </w:rPr>
      </w:pPr>
      <w:r w:rsidRPr="009C2235">
        <w:rPr>
          <w:rFonts w:cs="Arial"/>
          <w:b/>
          <w:szCs w:val="24"/>
        </w:rPr>
        <w:t>Recordkeeping and Reporting Requirements for Allegations of Significant Adverse Reactions to Human Health or the Environment</w:t>
      </w:r>
    </w:p>
    <w:p w:rsidRPr="008C6A2E" w:rsidR="00E07475" w:rsidP="008C6A2E" w:rsidRDefault="005359F0" w14:paraId="64DABF69" w14:textId="78E0BB42">
      <w:pPr>
        <w:rPr>
          <w:rFonts w:cs="Arial"/>
          <w:b/>
          <w:bCs/>
          <w:szCs w:val="24"/>
        </w:rPr>
      </w:pPr>
      <w:r w:rsidRPr="008C6A2E">
        <w:rPr>
          <w:rFonts w:cs="Arial"/>
          <w:szCs w:val="24"/>
        </w:rPr>
        <w:t xml:space="preserve">Required data elements for allegations of adverse effects </w:t>
      </w:r>
      <w:r w:rsidRPr="008C6A2E" w:rsidR="00DF540F">
        <w:rPr>
          <w:rFonts w:cs="Arial"/>
          <w:szCs w:val="24"/>
        </w:rPr>
        <w:t>include</w:t>
      </w:r>
      <w:r w:rsidRPr="008C6A2E">
        <w:rPr>
          <w:rFonts w:cs="Arial"/>
          <w:szCs w:val="24"/>
        </w:rPr>
        <w:t xml:space="preserve"> r</w:t>
      </w:r>
      <w:r w:rsidRPr="008C6A2E" w:rsidR="00E07475">
        <w:rPr>
          <w:rFonts w:cs="Arial"/>
          <w:szCs w:val="24"/>
        </w:rPr>
        <w:t>ecords that are responsive to TSCA 8(c) are maintained pursuant to 40 CFR Part 717 and must consist of the following:</w:t>
      </w:r>
    </w:p>
    <w:p w:rsidRPr="008C6A2E" w:rsidR="005359F0" w:rsidP="008C6A2E" w:rsidRDefault="00E07475" w14:paraId="7980BB14" w14:textId="77777777">
      <w:pPr>
        <w:pStyle w:val="ListParagraph"/>
        <w:numPr>
          <w:ilvl w:val="0"/>
          <w:numId w:val="16"/>
        </w:numPr>
        <w:rPr>
          <w:rFonts w:cs="Arial"/>
          <w:szCs w:val="24"/>
        </w:rPr>
      </w:pPr>
      <w:r w:rsidRPr="008C6A2E">
        <w:rPr>
          <w:rFonts w:cs="Arial"/>
          <w:szCs w:val="24"/>
        </w:rPr>
        <w:t>The original health effects allegation as received.</w:t>
      </w:r>
    </w:p>
    <w:p w:rsidRPr="008C6A2E" w:rsidR="005359F0" w:rsidP="008C6A2E" w:rsidRDefault="00E07475" w14:paraId="6DFC7DC9" w14:textId="77777777">
      <w:pPr>
        <w:pStyle w:val="ListParagraph"/>
        <w:numPr>
          <w:ilvl w:val="0"/>
          <w:numId w:val="16"/>
        </w:numPr>
        <w:rPr>
          <w:rFonts w:cs="Arial"/>
          <w:szCs w:val="24"/>
        </w:rPr>
      </w:pPr>
      <w:r w:rsidRPr="008C6A2E">
        <w:rPr>
          <w:rFonts w:cs="Arial"/>
          <w:szCs w:val="24"/>
        </w:rPr>
        <w:t>An abstract of the allegation and other pertinent information as follows</w:t>
      </w:r>
      <w:r w:rsidRPr="008C6A2E" w:rsidR="005359F0">
        <w:rPr>
          <w:rFonts w:cs="Arial"/>
          <w:szCs w:val="24"/>
        </w:rPr>
        <w:t xml:space="preserve">: </w:t>
      </w:r>
    </w:p>
    <w:p w:rsidRPr="008C6A2E" w:rsidR="005359F0" w:rsidP="008C6A2E" w:rsidRDefault="00E07475" w14:paraId="2D56EFDC" w14:textId="77777777">
      <w:pPr>
        <w:pStyle w:val="ListParagraph"/>
        <w:numPr>
          <w:ilvl w:val="1"/>
          <w:numId w:val="16"/>
        </w:numPr>
        <w:rPr>
          <w:rFonts w:cs="Arial"/>
          <w:szCs w:val="24"/>
        </w:rPr>
      </w:pPr>
      <w:r w:rsidRPr="008C6A2E">
        <w:rPr>
          <w:rFonts w:cs="Arial"/>
          <w:szCs w:val="24"/>
        </w:rPr>
        <w:t>The name and address of the plant site that received the allegation.</w:t>
      </w:r>
    </w:p>
    <w:p w:rsidRPr="008C6A2E" w:rsidR="005359F0" w:rsidP="008C6A2E" w:rsidRDefault="00E07475" w14:paraId="2A6A0294" w14:textId="77777777">
      <w:pPr>
        <w:pStyle w:val="ListParagraph"/>
        <w:numPr>
          <w:ilvl w:val="1"/>
          <w:numId w:val="16"/>
        </w:numPr>
        <w:rPr>
          <w:rFonts w:cs="Arial"/>
          <w:szCs w:val="24"/>
        </w:rPr>
      </w:pPr>
      <w:r w:rsidRPr="008C6A2E">
        <w:rPr>
          <w:rFonts w:cs="Arial"/>
          <w:szCs w:val="24"/>
        </w:rPr>
        <w:t>The date the allegation was received at that site.</w:t>
      </w:r>
    </w:p>
    <w:p w:rsidRPr="008C6A2E" w:rsidR="005359F0" w:rsidP="008C6A2E" w:rsidRDefault="00E07475" w14:paraId="3EB7FB3F" w14:textId="77777777">
      <w:pPr>
        <w:pStyle w:val="ListParagraph"/>
        <w:numPr>
          <w:ilvl w:val="1"/>
          <w:numId w:val="16"/>
        </w:numPr>
        <w:rPr>
          <w:rFonts w:cs="Arial"/>
          <w:szCs w:val="24"/>
        </w:rPr>
      </w:pPr>
      <w:r w:rsidRPr="008C6A2E">
        <w:rPr>
          <w:rFonts w:cs="Arial"/>
          <w:szCs w:val="24"/>
        </w:rPr>
        <w:t>The implicated substance, mixture, article, company process or operation, or site discharge</w:t>
      </w:r>
    </w:p>
    <w:p w:rsidRPr="008C6A2E" w:rsidR="005359F0" w:rsidP="008C6A2E" w:rsidRDefault="00E07475" w14:paraId="434064BE" w14:textId="77777777">
      <w:pPr>
        <w:pStyle w:val="ListParagraph"/>
        <w:numPr>
          <w:ilvl w:val="1"/>
          <w:numId w:val="16"/>
        </w:numPr>
        <w:rPr>
          <w:rFonts w:cs="Arial"/>
          <w:szCs w:val="24"/>
        </w:rPr>
      </w:pPr>
      <w:r w:rsidRPr="008C6A2E">
        <w:rPr>
          <w:rFonts w:cs="Arial"/>
          <w:szCs w:val="24"/>
        </w:rPr>
        <w:t>A description of the alleger (e.g., employee, neighbor), including age and sex, if ascertainable.</w:t>
      </w:r>
    </w:p>
    <w:p w:rsidRPr="008C6A2E" w:rsidR="005359F0" w:rsidP="008C6A2E" w:rsidRDefault="00E07475" w14:paraId="4E41E88E" w14:textId="77777777">
      <w:pPr>
        <w:pStyle w:val="ListParagraph"/>
        <w:numPr>
          <w:ilvl w:val="1"/>
          <w:numId w:val="16"/>
        </w:numPr>
        <w:rPr>
          <w:rFonts w:cs="Arial"/>
          <w:szCs w:val="24"/>
        </w:rPr>
      </w:pPr>
      <w:r w:rsidRPr="008C6A2E">
        <w:rPr>
          <w:rFonts w:cs="Arial"/>
          <w:szCs w:val="24"/>
        </w:rPr>
        <w:t>A description of the health effects, including explanation of how the effects became known and the route of exposure, if explained in the allegation.</w:t>
      </w:r>
    </w:p>
    <w:p w:rsidRPr="008C6A2E" w:rsidR="005359F0" w:rsidP="008C6A2E" w:rsidRDefault="00E07475" w14:paraId="18767C46" w14:textId="148A3F62">
      <w:pPr>
        <w:pStyle w:val="ListParagraph"/>
        <w:numPr>
          <w:ilvl w:val="0"/>
          <w:numId w:val="16"/>
        </w:numPr>
        <w:rPr>
          <w:rFonts w:cs="Arial"/>
          <w:szCs w:val="24"/>
        </w:rPr>
      </w:pPr>
      <w:r w:rsidRPr="008C6A2E">
        <w:rPr>
          <w:rFonts w:cs="Arial"/>
          <w:szCs w:val="24"/>
        </w:rPr>
        <w:t>The results of any self-initiated investigation with respect to an allegation.  (EPA does not require such investigation under the TSCA section 8(c) rule.</w:t>
      </w:r>
      <w:r w:rsidRPr="008C6A2E" w:rsidR="005359F0">
        <w:rPr>
          <w:rFonts w:cs="Arial"/>
          <w:szCs w:val="24"/>
        </w:rPr>
        <w:t xml:space="preserve"> </w:t>
      </w:r>
      <w:r w:rsidRPr="008C6A2E">
        <w:rPr>
          <w:rFonts w:cs="Arial"/>
          <w:szCs w:val="24"/>
        </w:rPr>
        <w:t>Copies of any further required records relating to the allegation (e.g., records required under OSHA).</w:t>
      </w:r>
    </w:p>
    <w:p w:rsidRPr="008C6A2E" w:rsidR="005359F0" w:rsidP="008C6A2E" w:rsidRDefault="00E07475" w14:paraId="55EB6577" w14:textId="77777777">
      <w:pPr>
        <w:pStyle w:val="ListParagraph"/>
        <w:numPr>
          <w:ilvl w:val="0"/>
          <w:numId w:val="16"/>
        </w:numPr>
        <w:rPr>
          <w:rFonts w:cs="Arial"/>
          <w:szCs w:val="24"/>
        </w:rPr>
      </w:pPr>
      <w:r w:rsidRPr="008C6A2E">
        <w:rPr>
          <w:rFonts w:cs="Arial"/>
          <w:szCs w:val="24"/>
        </w:rPr>
        <w:t xml:space="preserve">Each person who is required to keep records under this part must submit copies of those records to EPA as required by the Administrator or appropriate designee.  EPA will notify those responsible for reporting by letter or will announce any such requirements by notice in the </w:t>
      </w:r>
      <w:r w:rsidRPr="00996E5D">
        <w:rPr>
          <w:rFonts w:cs="Arial"/>
          <w:szCs w:val="24"/>
        </w:rPr>
        <w:t>Federal Register.</w:t>
      </w:r>
    </w:p>
    <w:p w:rsidRPr="008C6A2E" w:rsidR="005359F0" w:rsidP="008C6A2E" w:rsidRDefault="005359F0" w14:paraId="1D5606EE" w14:textId="77777777">
      <w:pPr>
        <w:pStyle w:val="ListParagraph"/>
        <w:ind w:left="1080"/>
        <w:rPr>
          <w:rFonts w:cs="Arial"/>
          <w:szCs w:val="24"/>
        </w:rPr>
      </w:pPr>
    </w:p>
    <w:p w:rsidRPr="008C6A2E" w:rsidR="005359F0" w:rsidP="008C6A2E" w:rsidRDefault="005359F0" w14:paraId="7620C820" w14:textId="77777777">
      <w:pPr>
        <w:pStyle w:val="ListParagraph"/>
        <w:ind w:left="0"/>
        <w:rPr>
          <w:rFonts w:cs="Arial"/>
          <w:szCs w:val="24"/>
        </w:rPr>
      </w:pPr>
      <w:r w:rsidRPr="008C6A2E">
        <w:rPr>
          <w:rFonts w:cs="Arial"/>
          <w:szCs w:val="24"/>
        </w:rPr>
        <w:t>Respondents must do two things: (1) maintain records of allegations of significant adverse reactions, and (2) submit copies of these allegation records when required by EPA.  Entities subject to the rule must record significant reactions alleged to have been caused by substances or mixtures that they manufacture, import, or process.  These firms must establish a recordkeeping system for such allegations and monitor incoming complaints to determine if they meet the criteria for filing.  Allegations that are filed must be retained for 30 years if they are employee-related and for 5 years for all other types/sources of allegations.</w:t>
      </w:r>
    </w:p>
    <w:p w:rsidRPr="008C6A2E" w:rsidR="005359F0" w:rsidP="008C6A2E" w:rsidRDefault="005359F0" w14:paraId="3F27A967" w14:textId="77777777">
      <w:pPr>
        <w:pStyle w:val="ListParagraph"/>
        <w:ind w:left="0"/>
        <w:rPr>
          <w:rFonts w:cs="Arial"/>
          <w:szCs w:val="24"/>
        </w:rPr>
      </w:pPr>
    </w:p>
    <w:p w:rsidRPr="008C6A2E" w:rsidR="005359F0" w:rsidP="008C6A2E" w:rsidRDefault="005359F0" w14:paraId="7EB44E3D" w14:textId="7EDED9DB">
      <w:pPr>
        <w:pStyle w:val="ListParagraph"/>
        <w:ind w:left="0"/>
        <w:rPr>
          <w:rFonts w:cs="Arial"/>
          <w:szCs w:val="24"/>
        </w:rPr>
      </w:pPr>
      <w:r w:rsidRPr="008C6A2E">
        <w:rPr>
          <w:rFonts w:cs="Arial"/>
          <w:szCs w:val="24"/>
        </w:rPr>
        <w:t>Firms subject to the rule must keep their TSCA section 8(c) records at company headquarters or at a site central to their chemical operations.  A multi-site company will usually require the responsible official at the individual plant site to forward potentially recordable TSCA section 8(c) allegations to a designated TSCA coordinator at their operations headquarters.  Depending on the size of the company, such allegations will be reviewed by a committee to determine if the allegations relate to the company’s product, operations, or discharges.  If so, the effects cited in the allegation are compared against the rule’s definition and examples of “significant adverse reaction.”  If the allegation meets this test, it is recorded. The actual allegation record is to be comprised of an abstract of the allegation along with a record of any company-initiated investigation and other pertinent documents.  The rule does not require further investigation.  EPA requires that allegations be filed so that they may be readily retrievable by the alleged “cause” of the reaction.  EPA does not, however, require a specific form under this rule.</w:t>
      </w:r>
    </w:p>
    <w:p w:rsidRPr="008C6A2E" w:rsidR="005359F0" w:rsidP="008C6A2E" w:rsidRDefault="005359F0" w14:paraId="07B34761" w14:textId="77777777">
      <w:pPr>
        <w:pStyle w:val="ListParagraph"/>
        <w:ind w:left="0"/>
        <w:rPr>
          <w:rFonts w:cs="Arial"/>
          <w:szCs w:val="24"/>
        </w:rPr>
      </w:pPr>
    </w:p>
    <w:p w:rsidRPr="008C6A2E" w:rsidR="005359F0" w:rsidP="008C6A2E" w:rsidRDefault="005359F0" w14:paraId="31B6A8C7" w14:textId="68DAD294">
      <w:pPr>
        <w:pStyle w:val="ListParagraph"/>
        <w:ind w:left="0"/>
        <w:rPr>
          <w:rFonts w:cs="Arial"/>
          <w:szCs w:val="24"/>
        </w:rPr>
      </w:pPr>
      <w:r w:rsidRPr="008C6A2E">
        <w:rPr>
          <w:rFonts w:cs="Arial"/>
          <w:szCs w:val="24"/>
        </w:rPr>
        <w:t xml:space="preserve">Firms subject to this rule must maintain an awareness of their reporting requirements.  A reporting requirement will take the form of a letter directed to selected respondents or it will be a notice in the </w:t>
      </w:r>
      <w:r w:rsidRPr="00996E5D">
        <w:rPr>
          <w:rFonts w:cs="Arial"/>
          <w:szCs w:val="24"/>
        </w:rPr>
        <w:t>Federal Register.</w:t>
      </w:r>
      <w:r w:rsidRPr="008C6A2E">
        <w:rPr>
          <w:rFonts w:cs="Arial"/>
          <w:szCs w:val="24"/>
        </w:rPr>
        <w:t xml:space="preserve"> Respondents are responsible for monitoring the </w:t>
      </w:r>
      <w:r w:rsidRPr="00996E5D">
        <w:rPr>
          <w:rFonts w:cs="Arial"/>
          <w:szCs w:val="24"/>
        </w:rPr>
        <w:t>Federal Register</w:t>
      </w:r>
      <w:r w:rsidRPr="008C6A2E">
        <w:rPr>
          <w:rFonts w:cs="Arial"/>
          <w:szCs w:val="24"/>
        </w:rPr>
        <w:t xml:space="preserve"> for such notices. Whenever feasible, EPA will also notify those companies that can be identified with the production, importation or processing of a substance or mixture in question. Respondents then must determine if they manufacture or process the chemical substance or mixture. If so, they must conduct a search of their TSCA section 8(c) files to determine if there are any relevant records of significant adverse reactions alleged to have been caused by the substance or mixture. If such records are present, they must </w:t>
      </w:r>
      <w:r w:rsidR="00373556">
        <w:rPr>
          <w:rFonts w:cs="Arial"/>
          <w:szCs w:val="24"/>
        </w:rPr>
        <w:t>submit those records</w:t>
      </w:r>
      <w:r w:rsidRPr="008C6A2E">
        <w:rPr>
          <w:rFonts w:cs="Arial"/>
          <w:szCs w:val="24"/>
        </w:rPr>
        <w:t xml:space="preserve"> to EPA. The company should note that they have submitted such records to EPA so that future duplicative reporting will not occur.</w:t>
      </w:r>
    </w:p>
    <w:p w:rsidRPr="008C6A2E" w:rsidR="005C3BF0" w:rsidP="008C6A2E" w:rsidRDefault="005C3BF0" w14:paraId="6C84C909" w14:textId="47B38842">
      <w:pPr>
        <w:numPr>
          <w:ilvl w:val="12"/>
          <w:numId w:val="0"/>
        </w:numPr>
        <w:rPr>
          <w:rFonts w:cs="Arial"/>
          <w:szCs w:val="24"/>
        </w:rPr>
      </w:pPr>
      <w:r w:rsidRPr="008C6A2E">
        <w:rPr>
          <w:rFonts w:cs="Arial"/>
          <w:szCs w:val="24"/>
        </w:rPr>
        <w:t>Based on the original TSCA section 8(c) analysis, EPA estimates that a firm’s TSCA section 8(c) coordinator will spend 2 to 3 hours to determine the status of an allegation.</w:t>
      </w:r>
      <w:r w:rsidRPr="008C6A2E">
        <w:rPr>
          <w:rStyle w:val="FootnoteReference"/>
          <w:rFonts w:cs="Arial"/>
          <w:szCs w:val="24"/>
        </w:rPr>
        <w:footnoteReference w:id="6"/>
      </w:r>
      <w:r w:rsidRPr="008C6A2E">
        <w:rPr>
          <w:rFonts w:cs="Arial"/>
          <w:szCs w:val="24"/>
        </w:rPr>
        <w:t xml:space="preserve"> For the purposes of this analysis, it is assumed that 3 hours are needed.  This level of effort will occur for all allegations received.  If the allegation is found to be recordable, the coordinator completes a form, has it typed, and checks it for accuracy.  This requires 0.5 hours of clerical time and an additional 0.5 hours of managerial time.  Assuming that all allegations are recordable, a total of 4 hours are expended per allegation (3.5 hours managerial plus 0.5 hours clerical). Storage costs for the allegations are believed to be negligible. The unit cost per allegation is $</w:t>
      </w:r>
      <w:r w:rsidR="00C80701">
        <w:rPr>
          <w:rFonts w:cs="Arial"/>
          <w:szCs w:val="24"/>
        </w:rPr>
        <w:t>349.16</w:t>
      </w:r>
      <w:r w:rsidRPr="008C6A2E">
        <w:rPr>
          <w:rFonts w:cs="Arial"/>
          <w:szCs w:val="24"/>
        </w:rPr>
        <w:t xml:space="preserve">. </w:t>
      </w:r>
    </w:p>
    <w:p w:rsidRPr="008C6A2E" w:rsidR="005C3BF0" w:rsidP="008C6A2E" w:rsidRDefault="005C3BF0" w14:paraId="3D216178" w14:textId="77777777">
      <w:pPr>
        <w:rPr>
          <w:rFonts w:cs="Arial"/>
          <w:szCs w:val="24"/>
        </w:rPr>
      </w:pPr>
      <w:r w:rsidRPr="008C6A2E">
        <w:rPr>
          <w:rFonts w:cs="Arial"/>
          <w:szCs w:val="24"/>
        </w:rPr>
        <w:t xml:space="preserve">Based on the original TSCA section 8(c) analysis, EPA estimates that a management level company official will spend one hour reviewing the </w:t>
      </w:r>
      <w:r w:rsidRPr="00996E5D">
        <w:rPr>
          <w:rFonts w:cs="Arial"/>
          <w:szCs w:val="24"/>
        </w:rPr>
        <w:t xml:space="preserve">Federal Register </w:t>
      </w:r>
      <w:r w:rsidRPr="008C6A2E">
        <w:rPr>
          <w:rFonts w:cs="Arial"/>
          <w:szCs w:val="24"/>
        </w:rPr>
        <w:t>notice or letter from EPA to determine whether the company manufactures (including imports) or processes substances subject to the reporting requirement.</w:t>
      </w:r>
    </w:p>
    <w:p w:rsidRPr="008C6A2E" w:rsidR="005C3BF0" w:rsidP="008C6A2E" w:rsidRDefault="005C3BF0" w14:paraId="44A51488" w14:textId="4D7F352D">
      <w:pPr>
        <w:numPr>
          <w:ilvl w:val="12"/>
          <w:numId w:val="0"/>
        </w:numPr>
        <w:rPr>
          <w:rFonts w:cs="Arial"/>
          <w:szCs w:val="24"/>
        </w:rPr>
      </w:pPr>
      <w:r w:rsidRPr="008C6A2E">
        <w:rPr>
          <w:rFonts w:cs="Arial"/>
          <w:szCs w:val="24"/>
        </w:rPr>
        <w:t>Technical personnel would then spend an estimated two hours conducting a search of the company’s TSCA section 8(c) files for any relevant allegation records.  Once the file search is complete, EPA estimates that a managerial employee would spend two hours preparing a transmittal letter and other explanatory material to accompany the allegation records.  An upper-level management official would spend an additional two hours reviewing these materials.  One hour of clerical labor would be required to prepare and mail the response.  A total of eight hours is expended per report (five managerial hours, two technical hours and one clerical hour). The unit cost for reporting, per report, is $</w:t>
      </w:r>
      <w:r w:rsidR="00D63A83">
        <w:rPr>
          <w:rFonts w:cs="Arial"/>
          <w:szCs w:val="24"/>
        </w:rPr>
        <w:t>670.25</w:t>
      </w:r>
      <w:r w:rsidRPr="008C6A2E">
        <w:rPr>
          <w:rFonts w:cs="Arial"/>
          <w:szCs w:val="24"/>
        </w:rPr>
        <w:t>.</w:t>
      </w:r>
    </w:p>
    <w:p w:rsidRPr="008C6A2E" w:rsidR="005C3BF0" w:rsidP="008C6A2E" w:rsidRDefault="005C3BF0" w14:paraId="0C117A61" w14:textId="2F5AC932">
      <w:pPr>
        <w:numPr>
          <w:ilvl w:val="12"/>
          <w:numId w:val="0"/>
        </w:numPr>
        <w:rPr>
          <w:rFonts w:cs="Arial"/>
          <w:szCs w:val="24"/>
        </w:rPr>
      </w:pPr>
      <w:r w:rsidRPr="008C6A2E">
        <w:rPr>
          <w:rFonts w:cs="Arial"/>
          <w:szCs w:val="24"/>
        </w:rPr>
        <w:t xml:space="preserve">Based on the original TSCA section 8(c) analysis, EPA estimates that 0.25 hour of managerial labor would be required to review each </w:t>
      </w:r>
      <w:r w:rsidRPr="00996E5D">
        <w:rPr>
          <w:rFonts w:cs="Arial"/>
          <w:szCs w:val="24"/>
        </w:rPr>
        <w:t>Federal Register</w:t>
      </w:r>
      <w:r w:rsidRPr="008C6A2E">
        <w:rPr>
          <w:rFonts w:cs="Arial"/>
          <w:szCs w:val="24"/>
        </w:rPr>
        <w:t xml:space="preserve"> notice</w:t>
      </w:r>
      <w:r w:rsidR="00B26B4B">
        <w:rPr>
          <w:rFonts w:cs="Arial"/>
          <w:szCs w:val="24"/>
        </w:rPr>
        <w:t xml:space="preserve"> </w:t>
      </w:r>
      <w:r w:rsidR="0034191D">
        <w:rPr>
          <w:rFonts w:cs="Arial"/>
          <w:szCs w:val="24"/>
        </w:rPr>
        <w:t xml:space="preserve">Table </w:t>
      </w:r>
      <w:r w:rsidR="000E72EF">
        <w:rPr>
          <w:rFonts w:cs="Arial"/>
          <w:szCs w:val="24"/>
        </w:rPr>
        <w:t>5</w:t>
      </w:r>
      <w:r w:rsidRPr="008C6A2E">
        <w:rPr>
          <w:rFonts w:cs="Arial"/>
          <w:szCs w:val="24"/>
        </w:rPr>
        <w:t xml:space="preserve">.  The unit cost for </w:t>
      </w:r>
      <w:r w:rsidRPr="00996E5D">
        <w:rPr>
          <w:rFonts w:cs="Arial"/>
          <w:szCs w:val="24"/>
        </w:rPr>
        <w:t>Federal Register</w:t>
      </w:r>
      <w:r w:rsidRPr="008C6A2E">
        <w:rPr>
          <w:rFonts w:cs="Arial"/>
          <w:b/>
          <w:bCs/>
          <w:szCs w:val="24"/>
        </w:rPr>
        <w:t xml:space="preserve"> </w:t>
      </w:r>
      <w:r w:rsidRPr="008C6A2E">
        <w:rPr>
          <w:rFonts w:cs="Arial"/>
          <w:szCs w:val="24"/>
        </w:rPr>
        <w:t>notice review is $</w:t>
      </w:r>
      <w:r w:rsidR="00D63A83">
        <w:rPr>
          <w:rFonts w:cs="Arial"/>
          <w:szCs w:val="24"/>
        </w:rPr>
        <w:t>23.63</w:t>
      </w:r>
      <w:r w:rsidRPr="008C6A2E">
        <w:rPr>
          <w:rFonts w:cs="Arial"/>
          <w:szCs w:val="24"/>
        </w:rPr>
        <w:t>.</w:t>
      </w:r>
    </w:p>
    <w:p w:rsidRPr="008C6A2E" w:rsidR="00D63A83" w:rsidP="008C6A2E" w:rsidRDefault="00D63A83" w14:paraId="6D02E52E" w14:textId="69F6E96B">
      <w:pPr>
        <w:numPr>
          <w:ilvl w:val="12"/>
          <w:numId w:val="0"/>
        </w:numPr>
        <w:rPr>
          <w:rFonts w:cs="Arial"/>
          <w:szCs w:val="24"/>
        </w:rPr>
      </w:pPr>
      <w:r>
        <w:rPr>
          <w:rFonts w:cs="Arial"/>
          <w:szCs w:val="24"/>
        </w:rPr>
        <w:fldChar w:fldCharType="begin"/>
      </w:r>
      <w:r>
        <w:rPr>
          <w:rFonts w:cs="Arial"/>
          <w:szCs w:val="24"/>
        </w:rPr>
        <w:instrText xml:space="preserve"> REF _Ref95748817 \h </w:instrText>
      </w:r>
      <w:r>
        <w:rPr>
          <w:rFonts w:cs="Arial"/>
          <w:szCs w:val="24"/>
        </w:rPr>
      </w:r>
      <w:r>
        <w:rPr>
          <w:rFonts w:cs="Arial"/>
          <w:szCs w:val="24"/>
        </w:rPr>
        <w:fldChar w:fldCharType="separate"/>
      </w:r>
      <w:r w:rsidR="001E292F">
        <w:t xml:space="preserve">Table </w:t>
      </w:r>
      <w:r>
        <w:rPr>
          <w:rFonts w:cs="Arial"/>
          <w:szCs w:val="24"/>
        </w:rPr>
        <w:fldChar w:fldCharType="end"/>
      </w:r>
      <w:r w:rsidR="0034191D">
        <w:rPr>
          <w:rFonts w:cs="Arial"/>
          <w:szCs w:val="24"/>
        </w:rPr>
        <w:t>5</w:t>
      </w:r>
      <w:r>
        <w:rPr>
          <w:rFonts w:cs="Arial"/>
          <w:szCs w:val="24"/>
        </w:rPr>
        <w:t xml:space="preserve"> summaries the unit burden hours and costs for the activities described. </w:t>
      </w:r>
    </w:p>
    <w:p w:rsidR="00581457" w:rsidP="004B4ECA" w:rsidRDefault="00581457" w14:paraId="6F5A316F" w14:textId="5AF31A23">
      <w:pPr>
        <w:pStyle w:val="Caption"/>
        <w:rPr>
          <w:szCs w:val="24"/>
        </w:rPr>
      </w:pPr>
      <w:bookmarkStart w:name="_Ref95748817" w:id="32"/>
      <w:r>
        <w:t xml:space="preserve">Table </w:t>
      </w:r>
      <w:bookmarkEnd w:id="32"/>
      <w:r w:rsidR="000E72EF">
        <w:t>5</w:t>
      </w:r>
      <w:r>
        <w:t>. Summary Unit Respondent Burden and Cost Estimates for TSCA Section 8(c)</w:t>
      </w:r>
      <w:r w:rsidR="00C96748">
        <w:t xml:space="preserve"> (2021$)</w:t>
      </w:r>
    </w:p>
    <w:tbl>
      <w:tblPr>
        <w:tblW w:w="9309" w:type="dxa"/>
        <w:tblCellMar>
          <w:left w:w="0" w:type="dxa"/>
          <w:right w:w="0" w:type="dxa"/>
        </w:tblCellMar>
        <w:tblLook w:val="04A0" w:firstRow="1" w:lastRow="0" w:firstColumn="1" w:lastColumn="0" w:noHBand="0" w:noVBand="1"/>
      </w:tblPr>
      <w:tblGrid>
        <w:gridCol w:w="1686"/>
        <w:gridCol w:w="851"/>
        <w:gridCol w:w="871"/>
        <w:gridCol w:w="886"/>
        <w:gridCol w:w="854"/>
        <w:gridCol w:w="992"/>
        <w:gridCol w:w="852"/>
        <w:gridCol w:w="1085"/>
        <w:gridCol w:w="1203"/>
        <w:gridCol w:w="29"/>
      </w:tblGrid>
      <w:tr w:rsidR="00581457" w:rsidTr="00581457" w14:paraId="2B4BAD9F" w14:textId="77777777">
        <w:trPr>
          <w:gridAfter w:val="1"/>
          <w:trHeight w:val="324"/>
        </w:trPr>
        <w:tc>
          <w:tcPr>
            <w:tcW w:w="1686" w:type="dxa"/>
            <w:vMerge w:val="restart"/>
            <w:tcBorders>
              <w:top w:val="double" w:color="000000" w:sz="6" w:space="0"/>
              <w:left w:val="double" w:color="000000" w:sz="6" w:space="0"/>
              <w:bottom w:val="single" w:color="000000" w:sz="8" w:space="0"/>
              <w:right w:val="single" w:color="000000" w:sz="8" w:space="0"/>
            </w:tcBorders>
            <w:shd w:val="clear" w:color="000000" w:fill="D9D9D9"/>
            <w:vAlign w:val="center"/>
            <w:hideMark/>
          </w:tcPr>
          <w:p w:rsidR="00581457" w:rsidRDefault="00581457" w14:paraId="28860BB4" w14:textId="77777777">
            <w:pPr>
              <w:spacing w:after="0" w:line="240" w:lineRule="auto"/>
              <w:jc w:val="center"/>
              <w:rPr>
                <w:rFonts w:cs="Arial"/>
                <w:b/>
                <w:bCs/>
                <w:color w:val="000000"/>
                <w:sz w:val="20"/>
                <w:szCs w:val="20"/>
              </w:rPr>
            </w:pPr>
            <w:r>
              <w:rPr>
                <w:rFonts w:cs="Arial"/>
                <w:b/>
                <w:bCs/>
                <w:color w:val="000000"/>
                <w:sz w:val="20"/>
                <w:szCs w:val="20"/>
              </w:rPr>
              <w:t>Activity</w:t>
            </w:r>
          </w:p>
        </w:tc>
        <w:tc>
          <w:tcPr>
            <w:tcW w:w="1722" w:type="dxa"/>
            <w:gridSpan w:val="2"/>
            <w:tcBorders>
              <w:top w:val="double" w:color="000000" w:sz="6" w:space="0"/>
              <w:left w:val="nil"/>
              <w:bottom w:val="nil"/>
              <w:right w:val="single" w:color="000000" w:sz="8" w:space="0"/>
            </w:tcBorders>
            <w:shd w:val="clear" w:color="000000" w:fill="D9D9D9"/>
            <w:vAlign w:val="center"/>
            <w:hideMark/>
          </w:tcPr>
          <w:p w:rsidR="00581457" w:rsidRDefault="00581457" w14:paraId="397BCD83" w14:textId="77777777">
            <w:pPr>
              <w:jc w:val="center"/>
              <w:rPr>
                <w:rFonts w:cs="Arial"/>
                <w:b/>
                <w:bCs/>
                <w:color w:val="000000"/>
                <w:sz w:val="20"/>
                <w:szCs w:val="20"/>
              </w:rPr>
            </w:pPr>
            <w:r>
              <w:rPr>
                <w:rFonts w:cs="Arial"/>
                <w:b/>
                <w:bCs/>
                <w:color w:val="000000"/>
                <w:sz w:val="20"/>
                <w:szCs w:val="20"/>
              </w:rPr>
              <w:t>Managerial</w:t>
            </w:r>
          </w:p>
        </w:tc>
        <w:tc>
          <w:tcPr>
            <w:tcW w:w="1740" w:type="dxa"/>
            <w:gridSpan w:val="2"/>
            <w:tcBorders>
              <w:top w:val="double" w:color="000000" w:sz="6" w:space="0"/>
              <w:left w:val="nil"/>
              <w:bottom w:val="nil"/>
              <w:right w:val="single" w:color="000000" w:sz="8" w:space="0"/>
            </w:tcBorders>
            <w:shd w:val="clear" w:color="000000" w:fill="D9D9D9"/>
            <w:vAlign w:val="center"/>
            <w:hideMark/>
          </w:tcPr>
          <w:p w:rsidR="00581457" w:rsidRDefault="00581457" w14:paraId="5D87DB40" w14:textId="77777777">
            <w:pPr>
              <w:jc w:val="center"/>
              <w:rPr>
                <w:rFonts w:cs="Arial"/>
                <w:b/>
                <w:bCs/>
                <w:color w:val="000000"/>
                <w:sz w:val="20"/>
                <w:szCs w:val="20"/>
              </w:rPr>
            </w:pPr>
            <w:r>
              <w:rPr>
                <w:rFonts w:cs="Arial"/>
                <w:b/>
                <w:bCs/>
                <w:color w:val="000000"/>
                <w:sz w:val="20"/>
                <w:szCs w:val="20"/>
              </w:rPr>
              <w:t>Technical</w:t>
            </w:r>
          </w:p>
        </w:tc>
        <w:tc>
          <w:tcPr>
            <w:tcW w:w="1844" w:type="dxa"/>
            <w:gridSpan w:val="2"/>
            <w:tcBorders>
              <w:top w:val="double" w:color="000000" w:sz="6" w:space="0"/>
              <w:left w:val="nil"/>
              <w:bottom w:val="nil"/>
              <w:right w:val="single" w:color="000000" w:sz="8" w:space="0"/>
            </w:tcBorders>
            <w:shd w:val="clear" w:color="000000" w:fill="D9D9D9"/>
            <w:vAlign w:val="center"/>
            <w:hideMark/>
          </w:tcPr>
          <w:p w:rsidR="00581457" w:rsidRDefault="00581457" w14:paraId="3FF31D16" w14:textId="77777777">
            <w:pPr>
              <w:jc w:val="center"/>
              <w:rPr>
                <w:rFonts w:cs="Arial"/>
                <w:b/>
                <w:bCs/>
                <w:color w:val="000000"/>
                <w:sz w:val="20"/>
                <w:szCs w:val="20"/>
              </w:rPr>
            </w:pPr>
            <w:r>
              <w:rPr>
                <w:rFonts w:cs="Arial"/>
                <w:b/>
                <w:bCs/>
                <w:color w:val="000000"/>
                <w:sz w:val="20"/>
                <w:szCs w:val="20"/>
              </w:rPr>
              <w:t>Clerical</w:t>
            </w:r>
          </w:p>
        </w:tc>
        <w:tc>
          <w:tcPr>
            <w:tcW w:w="2288" w:type="dxa"/>
            <w:gridSpan w:val="2"/>
            <w:tcBorders>
              <w:top w:val="double" w:color="000000" w:sz="6" w:space="0"/>
              <w:left w:val="nil"/>
              <w:bottom w:val="nil"/>
              <w:right w:val="single" w:color="000000" w:sz="8" w:space="0"/>
            </w:tcBorders>
            <w:shd w:val="clear" w:color="000000" w:fill="D9D9D9"/>
            <w:vAlign w:val="center"/>
            <w:hideMark/>
          </w:tcPr>
          <w:p w:rsidR="00581457" w:rsidRDefault="00581457" w14:paraId="6CAFB1FA" w14:textId="77777777">
            <w:pPr>
              <w:jc w:val="center"/>
              <w:rPr>
                <w:rFonts w:cs="Arial"/>
                <w:b/>
                <w:bCs/>
                <w:color w:val="000000"/>
                <w:sz w:val="20"/>
                <w:szCs w:val="20"/>
              </w:rPr>
            </w:pPr>
            <w:r>
              <w:rPr>
                <w:rFonts w:cs="Arial"/>
                <w:b/>
                <w:bCs/>
                <w:color w:val="000000"/>
                <w:sz w:val="20"/>
                <w:szCs w:val="20"/>
              </w:rPr>
              <w:t>Total</w:t>
            </w:r>
          </w:p>
        </w:tc>
      </w:tr>
      <w:tr w:rsidR="00021E86" w:rsidTr="00581457" w14:paraId="6E5F6E76" w14:textId="77777777">
        <w:trPr>
          <w:gridAfter w:val="1"/>
          <w:trHeight w:val="324"/>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581457" w:rsidRDefault="00581457" w14:paraId="11507286" w14:textId="77777777">
            <w:pPr>
              <w:rPr>
                <w:rFonts w:cs="Arial"/>
                <w:b/>
                <w:bCs/>
                <w:color w:val="000000"/>
                <w:sz w:val="20"/>
                <w:szCs w:val="20"/>
              </w:rPr>
            </w:pPr>
          </w:p>
        </w:tc>
        <w:tc>
          <w:tcPr>
            <w:tcW w:w="851" w:type="dxa"/>
            <w:tcBorders>
              <w:top w:val="nil"/>
              <w:left w:val="nil"/>
              <w:bottom w:val="nil"/>
              <w:right w:val="nil"/>
            </w:tcBorders>
            <w:shd w:val="clear" w:color="000000" w:fill="D9D9D9"/>
            <w:vAlign w:val="center"/>
            <w:hideMark/>
          </w:tcPr>
          <w:p w:rsidR="00581457" w:rsidRDefault="00581457" w14:paraId="56463647" w14:textId="77777777">
            <w:pPr>
              <w:jc w:val="center"/>
              <w:rPr>
                <w:rFonts w:cs="Arial"/>
                <w:b/>
                <w:bCs/>
                <w:color w:val="000000"/>
                <w:sz w:val="20"/>
                <w:szCs w:val="20"/>
              </w:rPr>
            </w:pPr>
            <w:r>
              <w:rPr>
                <w:rFonts w:cs="Arial"/>
                <w:b/>
                <w:bCs/>
                <w:color w:val="000000"/>
                <w:sz w:val="20"/>
                <w:szCs w:val="20"/>
              </w:rPr>
              <w:t xml:space="preserve">$94.54 </w:t>
            </w:r>
          </w:p>
        </w:tc>
        <w:tc>
          <w:tcPr>
            <w:tcW w:w="871" w:type="dxa"/>
            <w:tcBorders>
              <w:top w:val="nil"/>
              <w:left w:val="nil"/>
              <w:bottom w:val="single" w:color="000000" w:sz="8" w:space="0"/>
              <w:right w:val="single" w:color="000000" w:sz="8" w:space="0"/>
            </w:tcBorders>
            <w:shd w:val="clear" w:color="000000" w:fill="D9D9D9"/>
            <w:vAlign w:val="center"/>
            <w:hideMark/>
          </w:tcPr>
          <w:p w:rsidR="00581457" w:rsidRDefault="00581457" w14:paraId="5E9D1317" w14:textId="77777777">
            <w:pPr>
              <w:jc w:val="center"/>
              <w:rPr>
                <w:rFonts w:cs="Arial"/>
                <w:b/>
                <w:bCs/>
                <w:color w:val="000000"/>
                <w:sz w:val="20"/>
                <w:szCs w:val="20"/>
              </w:rPr>
            </w:pPr>
            <w:r>
              <w:rPr>
                <w:rFonts w:cs="Arial"/>
                <w:b/>
                <w:bCs/>
                <w:color w:val="000000"/>
                <w:sz w:val="20"/>
                <w:szCs w:val="20"/>
              </w:rPr>
              <w:t>per hour</w:t>
            </w:r>
          </w:p>
        </w:tc>
        <w:tc>
          <w:tcPr>
            <w:tcW w:w="886" w:type="dxa"/>
            <w:tcBorders>
              <w:top w:val="nil"/>
              <w:left w:val="nil"/>
              <w:bottom w:val="nil"/>
              <w:right w:val="nil"/>
            </w:tcBorders>
            <w:shd w:val="clear" w:color="000000" w:fill="D9D9D9"/>
            <w:vAlign w:val="center"/>
            <w:hideMark/>
          </w:tcPr>
          <w:p w:rsidR="00581457" w:rsidRDefault="00581457" w14:paraId="4AF23644" w14:textId="77777777">
            <w:pPr>
              <w:jc w:val="center"/>
              <w:rPr>
                <w:rFonts w:cs="Arial"/>
                <w:b/>
                <w:bCs/>
                <w:color w:val="000000"/>
                <w:sz w:val="20"/>
                <w:szCs w:val="20"/>
              </w:rPr>
            </w:pPr>
            <w:r>
              <w:rPr>
                <w:rFonts w:cs="Arial"/>
                <w:b/>
                <w:bCs/>
                <w:color w:val="000000"/>
                <w:sz w:val="20"/>
                <w:szCs w:val="20"/>
              </w:rPr>
              <w:t xml:space="preserve">$80.50 </w:t>
            </w:r>
          </w:p>
        </w:tc>
        <w:tc>
          <w:tcPr>
            <w:tcW w:w="854" w:type="dxa"/>
            <w:tcBorders>
              <w:top w:val="nil"/>
              <w:left w:val="nil"/>
              <w:bottom w:val="single" w:color="000000" w:sz="8" w:space="0"/>
              <w:right w:val="single" w:color="000000" w:sz="8" w:space="0"/>
            </w:tcBorders>
            <w:shd w:val="clear" w:color="000000" w:fill="D9D9D9"/>
            <w:vAlign w:val="center"/>
            <w:hideMark/>
          </w:tcPr>
          <w:p w:rsidR="00581457" w:rsidRDefault="00581457" w14:paraId="4918B189" w14:textId="77777777">
            <w:pPr>
              <w:jc w:val="center"/>
              <w:rPr>
                <w:rFonts w:cs="Arial"/>
                <w:b/>
                <w:bCs/>
                <w:color w:val="000000"/>
                <w:sz w:val="20"/>
                <w:szCs w:val="20"/>
              </w:rPr>
            </w:pPr>
            <w:r>
              <w:rPr>
                <w:rFonts w:cs="Arial"/>
                <w:b/>
                <w:bCs/>
                <w:color w:val="000000"/>
                <w:sz w:val="20"/>
                <w:szCs w:val="20"/>
              </w:rPr>
              <w:t>per hour</w:t>
            </w:r>
          </w:p>
        </w:tc>
        <w:tc>
          <w:tcPr>
            <w:tcW w:w="992" w:type="dxa"/>
            <w:tcBorders>
              <w:top w:val="nil"/>
              <w:left w:val="nil"/>
              <w:bottom w:val="nil"/>
              <w:right w:val="nil"/>
            </w:tcBorders>
            <w:shd w:val="clear" w:color="000000" w:fill="D9D9D9"/>
            <w:vAlign w:val="center"/>
            <w:hideMark/>
          </w:tcPr>
          <w:p w:rsidR="00581457" w:rsidRDefault="00581457" w14:paraId="535F9EA6" w14:textId="77777777">
            <w:pPr>
              <w:jc w:val="center"/>
              <w:rPr>
                <w:rFonts w:cs="Arial"/>
                <w:b/>
                <w:bCs/>
                <w:color w:val="000000"/>
                <w:sz w:val="20"/>
                <w:szCs w:val="20"/>
              </w:rPr>
            </w:pPr>
            <w:r>
              <w:rPr>
                <w:rFonts w:cs="Arial"/>
                <w:b/>
                <w:bCs/>
                <w:color w:val="000000"/>
                <w:sz w:val="20"/>
                <w:szCs w:val="20"/>
              </w:rPr>
              <w:t xml:space="preserve">$36.58 </w:t>
            </w:r>
          </w:p>
        </w:tc>
        <w:tc>
          <w:tcPr>
            <w:tcW w:w="852" w:type="dxa"/>
            <w:tcBorders>
              <w:top w:val="nil"/>
              <w:left w:val="nil"/>
              <w:bottom w:val="single" w:color="000000" w:sz="8" w:space="0"/>
              <w:right w:val="single" w:color="000000" w:sz="8" w:space="0"/>
            </w:tcBorders>
            <w:shd w:val="clear" w:color="000000" w:fill="D9D9D9"/>
            <w:vAlign w:val="center"/>
            <w:hideMark/>
          </w:tcPr>
          <w:p w:rsidR="00581457" w:rsidRDefault="00581457" w14:paraId="165623E5" w14:textId="77777777">
            <w:pPr>
              <w:jc w:val="center"/>
              <w:rPr>
                <w:rFonts w:cs="Arial"/>
                <w:b/>
                <w:bCs/>
                <w:color w:val="000000"/>
                <w:sz w:val="20"/>
                <w:szCs w:val="20"/>
              </w:rPr>
            </w:pPr>
            <w:r>
              <w:rPr>
                <w:rFonts w:cs="Arial"/>
                <w:b/>
                <w:bCs/>
                <w:color w:val="000000"/>
                <w:sz w:val="20"/>
                <w:szCs w:val="20"/>
              </w:rPr>
              <w:t>per hour</w:t>
            </w:r>
          </w:p>
        </w:tc>
        <w:tc>
          <w:tcPr>
            <w:tcW w:w="1085" w:type="dxa"/>
            <w:tcBorders>
              <w:top w:val="nil"/>
              <w:left w:val="nil"/>
              <w:bottom w:val="nil"/>
              <w:right w:val="nil"/>
            </w:tcBorders>
            <w:shd w:val="clear" w:color="000000" w:fill="D9D9D9"/>
            <w:vAlign w:val="center"/>
            <w:hideMark/>
          </w:tcPr>
          <w:p w:rsidR="00581457" w:rsidRDefault="00581457" w14:paraId="01ABB6A7" w14:textId="77777777">
            <w:pPr>
              <w:jc w:val="center"/>
              <w:rPr>
                <w:rFonts w:cs="Arial"/>
                <w:b/>
                <w:bCs/>
                <w:color w:val="000000"/>
                <w:sz w:val="20"/>
                <w:szCs w:val="20"/>
              </w:rPr>
            </w:pPr>
            <w:r>
              <w:rPr>
                <w:rFonts w:cs="Arial"/>
                <w:b/>
                <w:bCs/>
                <w:color w:val="000000"/>
                <w:sz w:val="20"/>
                <w:szCs w:val="20"/>
              </w:rPr>
              <w:t> </w:t>
            </w:r>
          </w:p>
        </w:tc>
        <w:tc>
          <w:tcPr>
            <w:tcW w:w="1203" w:type="dxa"/>
            <w:tcBorders>
              <w:top w:val="nil"/>
              <w:left w:val="nil"/>
              <w:bottom w:val="single" w:color="000000" w:sz="8" w:space="0"/>
              <w:right w:val="single" w:color="000000" w:sz="8" w:space="0"/>
            </w:tcBorders>
            <w:shd w:val="clear" w:color="000000" w:fill="D9D9D9"/>
            <w:vAlign w:val="center"/>
            <w:hideMark/>
          </w:tcPr>
          <w:p w:rsidR="00581457" w:rsidRDefault="00581457" w14:paraId="338AC975" w14:textId="77777777">
            <w:pPr>
              <w:jc w:val="center"/>
              <w:rPr>
                <w:rFonts w:cs="Arial"/>
                <w:b/>
                <w:bCs/>
                <w:color w:val="000000"/>
                <w:sz w:val="20"/>
                <w:szCs w:val="20"/>
              </w:rPr>
            </w:pPr>
            <w:r>
              <w:rPr>
                <w:rFonts w:cs="Arial"/>
                <w:b/>
                <w:bCs/>
                <w:color w:val="000000"/>
                <w:sz w:val="20"/>
                <w:szCs w:val="20"/>
              </w:rPr>
              <w:t> </w:t>
            </w:r>
          </w:p>
        </w:tc>
      </w:tr>
      <w:tr w:rsidR="00021E86" w:rsidTr="00581457" w14:paraId="40326FF9" w14:textId="77777777">
        <w:trPr>
          <w:gridAfter w:val="1"/>
          <w:trHeight w:val="458"/>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581457" w:rsidRDefault="00581457" w14:paraId="5E1D975B" w14:textId="77777777">
            <w:pPr>
              <w:rPr>
                <w:rFonts w:cs="Arial"/>
                <w:b/>
                <w:bCs/>
                <w:color w:val="000000"/>
                <w:sz w:val="20"/>
                <w:szCs w:val="20"/>
              </w:rPr>
            </w:pPr>
          </w:p>
        </w:tc>
        <w:tc>
          <w:tcPr>
            <w:tcW w:w="851"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00581457" w:rsidRDefault="00581457" w14:paraId="30446CE1" w14:textId="77777777">
            <w:pPr>
              <w:jc w:val="center"/>
              <w:rPr>
                <w:rFonts w:cs="Arial"/>
                <w:b/>
                <w:bCs/>
                <w:color w:val="000000"/>
                <w:sz w:val="20"/>
                <w:szCs w:val="20"/>
              </w:rPr>
            </w:pPr>
            <w:r>
              <w:rPr>
                <w:rFonts w:cs="Arial"/>
                <w:b/>
                <w:bCs/>
                <w:color w:val="000000"/>
                <w:sz w:val="20"/>
                <w:szCs w:val="20"/>
              </w:rPr>
              <w:t>Hours</w:t>
            </w:r>
          </w:p>
        </w:tc>
        <w:tc>
          <w:tcPr>
            <w:tcW w:w="871" w:type="dxa"/>
            <w:vMerge w:val="restart"/>
            <w:tcBorders>
              <w:top w:val="nil"/>
              <w:left w:val="single" w:color="000000" w:sz="8" w:space="0"/>
              <w:bottom w:val="single" w:color="000000" w:sz="8" w:space="0"/>
              <w:right w:val="single" w:color="000000" w:sz="8" w:space="0"/>
            </w:tcBorders>
            <w:shd w:val="clear" w:color="000000" w:fill="D9D9D9"/>
            <w:vAlign w:val="center"/>
            <w:hideMark/>
          </w:tcPr>
          <w:p w:rsidR="00581457" w:rsidRDefault="00581457" w14:paraId="4C11C004" w14:textId="77777777">
            <w:pPr>
              <w:jc w:val="center"/>
              <w:rPr>
                <w:rFonts w:cs="Arial"/>
                <w:b/>
                <w:bCs/>
                <w:color w:val="000000"/>
                <w:sz w:val="20"/>
                <w:szCs w:val="20"/>
              </w:rPr>
            </w:pPr>
            <w:r>
              <w:rPr>
                <w:rFonts w:cs="Arial"/>
                <w:b/>
                <w:bCs/>
                <w:color w:val="000000"/>
                <w:sz w:val="20"/>
                <w:szCs w:val="20"/>
              </w:rPr>
              <w:t>Cost</w:t>
            </w:r>
          </w:p>
        </w:tc>
        <w:tc>
          <w:tcPr>
            <w:tcW w:w="886"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00581457" w:rsidRDefault="00581457" w14:paraId="60002FD8" w14:textId="77777777">
            <w:pPr>
              <w:jc w:val="center"/>
              <w:rPr>
                <w:rFonts w:cs="Arial"/>
                <w:b/>
                <w:bCs/>
                <w:color w:val="000000"/>
                <w:sz w:val="20"/>
                <w:szCs w:val="20"/>
              </w:rPr>
            </w:pPr>
            <w:r>
              <w:rPr>
                <w:rFonts w:cs="Arial"/>
                <w:b/>
                <w:bCs/>
                <w:color w:val="000000"/>
                <w:sz w:val="20"/>
                <w:szCs w:val="20"/>
              </w:rPr>
              <w:t>Hours</w:t>
            </w:r>
          </w:p>
        </w:tc>
        <w:tc>
          <w:tcPr>
            <w:tcW w:w="854" w:type="dxa"/>
            <w:vMerge w:val="restart"/>
            <w:tcBorders>
              <w:top w:val="nil"/>
              <w:left w:val="single" w:color="000000" w:sz="8" w:space="0"/>
              <w:bottom w:val="single" w:color="000000" w:sz="8" w:space="0"/>
              <w:right w:val="single" w:color="000000" w:sz="8" w:space="0"/>
            </w:tcBorders>
            <w:shd w:val="clear" w:color="000000" w:fill="D9D9D9"/>
            <w:vAlign w:val="center"/>
            <w:hideMark/>
          </w:tcPr>
          <w:p w:rsidR="00581457" w:rsidRDefault="00581457" w14:paraId="02385BDF" w14:textId="77777777">
            <w:pPr>
              <w:jc w:val="center"/>
              <w:rPr>
                <w:rFonts w:cs="Arial"/>
                <w:b/>
                <w:bCs/>
                <w:color w:val="000000"/>
                <w:sz w:val="20"/>
                <w:szCs w:val="20"/>
              </w:rPr>
            </w:pPr>
            <w:r>
              <w:rPr>
                <w:rFonts w:cs="Arial"/>
                <w:b/>
                <w:bCs/>
                <w:color w:val="000000"/>
                <w:sz w:val="20"/>
                <w:szCs w:val="20"/>
              </w:rPr>
              <w:t>Cost</w:t>
            </w:r>
          </w:p>
        </w:tc>
        <w:tc>
          <w:tcPr>
            <w:tcW w:w="992"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00581457" w:rsidRDefault="00581457" w14:paraId="47292ACA" w14:textId="77777777">
            <w:pPr>
              <w:jc w:val="center"/>
              <w:rPr>
                <w:rFonts w:cs="Arial"/>
                <w:b/>
                <w:bCs/>
                <w:color w:val="000000"/>
                <w:sz w:val="20"/>
                <w:szCs w:val="20"/>
              </w:rPr>
            </w:pPr>
            <w:r>
              <w:rPr>
                <w:rFonts w:cs="Arial"/>
                <w:b/>
                <w:bCs/>
                <w:color w:val="000000"/>
                <w:sz w:val="20"/>
                <w:szCs w:val="20"/>
              </w:rPr>
              <w:t>Hours</w:t>
            </w:r>
          </w:p>
        </w:tc>
        <w:tc>
          <w:tcPr>
            <w:tcW w:w="852" w:type="dxa"/>
            <w:vMerge w:val="restart"/>
            <w:tcBorders>
              <w:top w:val="nil"/>
              <w:left w:val="single" w:color="000000" w:sz="8" w:space="0"/>
              <w:bottom w:val="single" w:color="000000" w:sz="8" w:space="0"/>
              <w:right w:val="single" w:color="000000" w:sz="8" w:space="0"/>
            </w:tcBorders>
            <w:shd w:val="clear" w:color="000000" w:fill="D9D9D9"/>
            <w:vAlign w:val="center"/>
            <w:hideMark/>
          </w:tcPr>
          <w:p w:rsidR="00581457" w:rsidRDefault="00581457" w14:paraId="115B6ABE" w14:textId="77777777">
            <w:pPr>
              <w:jc w:val="center"/>
              <w:rPr>
                <w:rFonts w:cs="Arial"/>
                <w:b/>
                <w:bCs/>
                <w:color w:val="000000"/>
                <w:sz w:val="20"/>
                <w:szCs w:val="20"/>
              </w:rPr>
            </w:pPr>
            <w:r>
              <w:rPr>
                <w:rFonts w:cs="Arial"/>
                <w:b/>
                <w:bCs/>
                <w:color w:val="000000"/>
                <w:sz w:val="20"/>
                <w:szCs w:val="20"/>
              </w:rPr>
              <w:t>Cost</w:t>
            </w:r>
          </w:p>
        </w:tc>
        <w:tc>
          <w:tcPr>
            <w:tcW w:w="1085" w:type="dxa"/>
            <w:vMerge w:val="restart"/>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00581457" w:rsidRDefault="00581457" w14:paraId="7B1ABFF4" w14:textId="77777777">
            <w:pPr>
              <w:jc w:val="center"/>
              <w:rPr>
                <w:rFonts w:cs="Arial"/>
                <w:b/>
                <w:bCs/>
                <w:color w:val="000000"/>
                <w:sz w:val="20"/>
                <w:szCs w:val="20"/>
              </w:rPr>
            </w:pPr>
            <w:r>
              <w:rPr>
                <w:rFonts w:cs="Arial"/>
                <w:b/>
                <w:bCs/>
                <w:color w:val="000000"/>
                <w:sz w:val="20"/>
                <w:szCs w:val="20"/>
              </w:rPr>
              <w:t>Hours</w:t>
            </w:r>
          </w:p>
        </w:tc>
        <w:tc>
          <w:tcPr>
            <w:tcW w:w="1203" w:type="dxa"/>
            <w:vMerge w:val="restart"/>
            <w:tcBorders>
              <w:top w:val="nil"/>
              <w:left w:val="single" w:color="000000" w:sz="8" w:space="0"/>
              <w:bottom w:val="single" w:color="000000" w:sz="8" w:space="0"/>
              <w:right w:val="double" w:color="000000" w:sz="6" w:space="0"/>
            </w:tcBorders>
            <w:shd w:val="clear" w:color="000000" w:fill="D9D9D9"/>
            <w:vAlign w:val="center"/>
            <w:hideMark/>
          </w:tcPr>
          <w:p w:rsidR="00581457" w:rsidRDefault="00581457" w14:paraId="4C42F80A" w14:textId="77777777">
            <w:pPr>
              <w:jc w:val="center"/>
              <w:rPr>
                <w:rFonts w:cs="Arial"/>
                <w:b/>
                <w:bCs/>
                <w:color w:val="000000"/>
                <w:sz w:val="20"/>
                <w:szCs w:val="20"/>
              </w:rPr>
            </w:pPr>
            <w:r>
              <w:rPr>
                <w:rFonts w:cs="Arial"/>
                <w:b/>
                <w:bCs/>
                <w:color w:val="000000"/>
                <w:sz w:val="20"/>
                <w:szCs w:val="20"/>
              </w:rPr>
              <w:t>Cost</w:t>
            </w:r>
          </w:p>
        </w:tc>
      </w:tr>
      <w:tr w:rsidR="00581457" w:rsidTr="00581457" w14:paraId="34010AA6" w14:textId="77777777">
        <w:trPr>
          <w:trHeight w:val="312"/>
        </w:trPr>
        <w:tc>
          <w:tcPr>
            <w:tcW w:w="0" w:type="auto"/>
            <w:vMerge/>
            <w:tcBorders>
              <w:top w:val="double" w:color="000000" w:sz="6" w:space="0"/>
              <w:left w:val="double" w:color="000000" w:sz="6" w:space="0"/>
              <w:bottom w:val="single" w:color="000000" w:sz="8" w:space="0"/>
              <w:right w:val="single" w:color="000000" w:sz="8" w:space="0"/>
            </w:tcBorders>
            <w:vAlign w:val="center"/>
            <w:hideMark/>
          </w:tcPr>
          <w:p w:rsidR="00581457" w:rsidRDefault="00581457" w14:paraId="69FE8337" w14:textId="77777777">
            <w:pPr>
              <w:rPr>
                <w:rFonts w:cs="Arial"/>
                <w:b/>
                <w:bCs/>
                <w:color w:val="000000"/>
                <w:sz w:val="20"/>
                <w:szCs w:val="20"/>
              </w:rPr>
            </w:pPr>
          </w:p>
        </w:tc>
        <w:tc>
          <w:tcPr>
            <w:tcW w:w="0" w:type="auto"/>
            <w:vMerge/>
            <w:tcBorders>
              <w:top w:val="single" w:color="000000" w:sz="8" w:space="0"/>
              <w:left w:val="single" w:color="000000" w:sz="8" w:space="0"/>
              <w:bottom w:val="single" w:color="000000" w:sz="8" w:space="0"/>
              <w:right w:val="single" w:color="000000" w:sz="8" w:space="0"/>
            </w:tcBorders>
            <w:vAlign w:val="center"/>
            <w:hideMark/>
          </w:tcPr>
          <w:p w:rsidR="00581457" w:rsidRDefault="00581457" w14:paraId="63FCB410" w14:textId="77777777">
            <w:pPr>
              <w:rPr>
                <w:rFonts w:cs="Arial"/>
                <w:b/>
                <w:bCs/>
                <w:color w:val="000000"/>
                <w:sz w:val="20"/>
                <w:szCs w:val="20"/>
              </w:rPr>
            </w:pPr>
          </w:p>
        </w:tc>
        <w:tc>
          <w:tcPr>
            <w:tcW w:w="0" w:type="auto"/>
            <w:vMerge/>
            <w:tcBorders>
              <w:top w:val="nil"/>
              <w:left w:val="single" w:color="000000" w:sz="8" w:space="0"/>
              <w:bottom w:val="single" w:color="000000" w:sz="8" w:space="0"/>
              <w:right w:val="single" w:color="000000" w:sz="8" w:space="0"/>
            </w:tcBorders>
            <w:vAlign w:val="center"/>
            <w:hideMark/>
          </w:tcPr>
          <w:p w:rsidR="00581457" w:rsidRDefault="00581457" w14:paraId="7094B6E8" w14:textId="77777777">
            <w:pPr>
              <w:rPr>
                <w:rFonts w:cs="Arial"/>
                <w:b/>
                <w:bCs/>
                <w:color w:val="000000"/>
                <w:sz w:val="20"/>
                <w:szCs w:val="20"/>
              </w:rPr>
            </w:pPr>
          </w:p>
        </w:tc>
        <w:tc>
          <w:tcPr>
            <w:tcW w:w="0" w:type="auto"/>
            <w:vMerge/>
            <w:tcBorders>
              <w:top w:val="single" w:color="000000" w:sz="8" w:space="0"/>
              <w:left w:val="single" w:color="000000" w:sz="8" w:space="0"/>
              <w:bottom w:val="single" w:color="000000" w:sz="8" w:space="0"/>
              <w:right w:val="single" w:color="000000" w:sz="8" w:space="0"/>
            </w:tcBorders>
            <w:vAlign w:val="center"/>
            <w:hideMark/>
          </w:tcPr>
          <w:p w:rsidR="00581457" w:rsidRDefault="00581457" w14:paraId="1439CE1B" w14:textId="77777777">
            <w:pPr>
              <w:rPr>
                <w:rFonts w:cs="Arial"/>
                <w:b/>
                <w:bCs/>
                <w:color w:val="000000"/>
                <w:sz w:val="20"/>
                <w:szCs w:val="20"/>
              </w:rPr>
            </w:pPr>
          </w:p>
        </w:tc>
        <w:tc>
          <w:tcPr>
            <w:tcW w:w="0" w:type="auto"/>
            <w:vMerge/>
            <w:tcBorders>
              <w:top w:val="nil"/>
              <w:left w:val="single" w:color="000000" w:sz="8" w:space="0"/>
              <w:bottom w:val="single" w:color="000000" w:sz="8" w:space="0"/>
              <w:right w:val="single" w:color="000000" w:sz="8" w:space="0"/>
            </w:tcBorders>
            <w:vAlign w:val="center"/>
            <w:hideMark/>
          </w:tcPr>
          <w:p w:rsidR="00581457" w:rsidRDefault="00581457" w14:paraId="08A4A3F9" w14:textId="77777777">
            <w:pPr>
              <w:rPr>
                <w:rFonts w:cs="Arial"/>
                <w:b/>
                <w:bCs/>
                <w:color w:val="000000"/>
                <w:sz w:val="20"/>
                <w:szCs w:val="20"/>
              </w:rPr>
            </w:pPr>
          </w:p>
        </w:tc>
        <w:tc>
          <w:tcPr>
            <w:tcW w:w="0" w:type="auto"/>
            <w:vMerge/>
            <w:tcBorders>
              <w:top w:val="single" w:color="000000" w:sz="8" w:space="0"/>
              <w:left w:val="single" w:color="000000" w:sz="8" w:space="0"/>
              <w:bottom w:val="single" w:color="000000" w:sz="8" w:space="0"/>
              <w:right w:val="single" w:color="000000" w:sz="8" w:space="0"/>
            </w:tcBorders>
            <w:vAlign w:val="center"/>
            <w:hideMark/>
          </w:tcPr>
          <w:p w:rsidR="00581457" w:rsidRDefault="00581457" w14:paraId="2F3349D8" w14:textId="77777777">
            <w:pPr>
              <w:rPr>
                <w:rFonts w:cs="Arial"/>
                <w:b/>
                <w:bCs/>
                <w:color w:val="000000"/>
                <w:sz w:val="20"/>
                <w:szCs w:val="20"/>
              </w:rPr>
            </w:pPr>
          </w:p>
        </w:tc>
        <w:tc>
          <w:tcPr>
            <w:tcW w:w="0" w:type="auto"/>
            <w:vMerge/>
            <w:tcBorders>
              <w:top w:val="nil"/>
              <w:left w:val="single" w:color="000000" w:sz="8" w:space="0"/>
              <w:bottom w:val="single" w:color="000000" w:sz="8" w:space="0"/>
              <w:right w:val="single" w:color="000000" w:sz="8" w:space="0"/>
            </w:tcBorders>
            <w:vAlign w:val="center"/>
            <w:hideMark/>
          </w:tcPr>
          <w:p w:rsidR="00581457" w:rsidRDefault="00581457" w14:paraId="5DA4BAC2" w14:textId="77777777">
            <w:pPr>
              <w:rPr>
                <w:rFonts w:cs="Arial"/>
                <w:b/>
                <w:bCs/>
                <w:color w:val="000000"/>
                <w:sz w:val="20"/>
                <w:szCs w:val="20"/>
              </w:rPr>
            </w:pPr>
          </w:p>
        </w:tc>
        <w:tc>
          <w:tcPr>
            <w:tcW w:w="1085" w:type="dxa"/>
            <w:vMerge/>
            <w:tcBorders>
              <w:top w:val="single" w:color="000000" w:sz="8" w:space="0"/>
              <w:left w:val="single" w:color="000000" w:sz="8" w:space="0"/>
              <w:bottom w:val="single" w:color="000000" w:sz="8" w:space="0"/>
              <w:right w:val="single" w:color="000000" w:sz="8" w:space="0"/>
            </w:tcBorders>
            <w:vAlign w:val="center"/>
            <w:hideMark/>
          </w:tcPr>
          <w:p w:rsidR="00581457" w:rsidRDefault="00581457" w14:paraId="139D95C5" w14:textId="77777777">
            <w:pPr>
              <w:rPr>
                <w:rFonts w:cs="Arial"/>
                <w:b/>
                <w:bCs/>
                <w:color w:val="000000"/>
                <w:sz w:val="20"/>
                <w:szCs w:val="20"/>
              </w:rPr>
            </w:pPr>
          </w:p>
        </w:tc>
        <w:tc>
          <w:tcPr>
            <w:tcW w:w="1203" w:type="dxa"/>
            <w:vMerge/>
            <w:tcBorders>
              <w:top w:val="nil"/>
              <w:left w:val="single" w:color="000000" w:sz="8" w:space="0"/>
              <w:bottom w:val="single" w:color="000000" w:sz="8" w:space="0"/>
              <w:right w:val="double" w:color="000000" w:sz="6" w:space="0"/>
            </w:tcBorders>
            <w:vAlign w:val="center"/>
            <w:hideMark/>
          </w:tcPr>
          <w:p w:rsidR="00581457" w:rsidRDefault="00581457" w14:paraId="1F87729F" w14:textId="77777777">
            <w:pPr>
              <w:rPr>
                <w:rFonts w:cs="Arial"/>
                <w:b/>
                <w:bCs/>
                <w:color w:val="000000"/>
                <w:sz w:val="20"/>
                <w:szCs w:val="20"/>
              </w:rPr>
            </w:pPr>
          </w:p>
        </w:tc>
        <w:tc>
          <w:tcPr>
            <w:tcW w:w="0" w:type="auto"/>
            <w:tcBorders>
              <w:top w:val="nil"/>
              <w:left w:val="nil"/>
              <w:bottom w:val="nil"/>
              <w:right w:val="nil"/>
            </w:tcBorders>
            <w:shd w:val="clear" w:color="auto" w:fill="auto"/>
            <w:noWrap/>
            <w:vAlign w:val="bottom"/>
            <w:hideMark/>
          </w:tcPr>
          <w:p w:rsidR="00581457" w:rsidRDefault="00581457" w14:paraId="2A44FF40" w14:textId="77777777">
            <w:pPr>
              <w:jc w:val="center"/>
              <w:rPr>
                <w:rFonts w:cs="Arial"/>
                <w:b/>
                <w:bCs/>
                <w:color w:val="000000"/>
                <w:sz w:val="20"/>
                <w:szCs w:val="20"/>
              </w:rPr>
            </w:pPr>
          </w:p>
        </w:tc>
      </w:tr>
      <w:tr w:rsidR="00581457" w:rsidTr="00581457" w14:paraId="73CF79B2" w14:textId="77777777">
        <w:trPr>
          <w:trHeight w:val="561"/>
        </w:trPr>
        <w:tc>
          <w:tcPr>
            <w:tcW w:w="1686" w:type="dxa"/>
            <w:tcBorders>
              <w:top w:val="nil"/>
              <w:left w:val="double" w:color="000000" w:sz="6" w:space="0"/>
              <w:bottom w:val="single" w:color="000000" w:sz="8" w:space="0"/>
              <w:right w:val="single" w:color="000000" w:sz="8" w:space="0"/>
            </w:tcBorders>
            <w:shd w:val="clear" w:color="auto" w:fill="auto"/>
            <w:vAlign w:val="center"/>
            <w:hideMark/>
          </w:tcPr>
          <w:p w:rsidR="00581457" w:rsidRDefault="00581457" w14:paraId="27025853" w14:textId="77777777">
            <w:pPr>
              <w:rPr>
                <w:rFonts w:cs="Arial"/>
                <w:color w:val="000000"/>
                <w:sz w:val="20"/>
                <w:szCs w:val="20"/>
              </w:rPr>
            </w:pPr>
            <w:r>
              <w:rPr>
                <w:rFonts w:cs="Arial"/>
                <w:color w:val="000000"/>
                <w:sz w:val="20"/>
                <w:szCs w:val="20"/>
              </w:rPr>
              <w:t>Recordkeeping, per allegation</w:t>
            </w:r>
          </w:p>
        </w:tc>
        <w:tc>
          <w:tcPr>
            <w:tcW w:w="851" w:type="dxa"/>
            <w:tcBorders>
              <w:top w:val="nil"/>
              <w:left w:val="nil"/>
              <w:bottom w:val="single" w:color="000000" w:sz="8" w:space="0"/>
              <w:right w:val="single" w:color="000000" w:sz="8" w:space="0"/>
            </w:tcBorders>
            <w:shd w:val="clear" w:color="auto" w:fill="auto"/>
            <w:vAlign w:val="center"/>
            <w:hideMark/>
          </w:tcPr>
          <w:p w:rsidR="00581457" w:rsidRDefault="00581457" w14:paraId="20032FB6" w14:textId="77777777">
            <w:pPr>
              <w:jc w:val="right"/>
              <w:rPr>
                <w:rFonts w:cs="Arial"/>
                <w:color w:val="000000"/>
                <w:sz w:val="20"/>
                <w:szCs w:val="20"/>
              </w:rPr>
            </w:pPr>
            <w:r>
              <w:rPr>
                <w:rFonts w:cs="Arial"/>
                <w:color w:val="000000"/>
                <w:sz w:val="20"/>
                <w:szCs w:val="20"/>
              </w:rPr>
              <w:t>3.5</w:t>
            </w:r>
          </w:p>
        </w:tc>
        <w:tc>
          <w:tcPr>
            <w:tcW w:w="871" w:type="dxa"/>
            <w:tcBorders>
              <w:top w:val="nil"/>
              <w:left w:val="nil"/>
              <w:bottom w:val="single" w:color="000000" w:sz="8" w:space="0"/>
              <w:right w:val="single" w:color="000000" w:sz="8" w:space="0"/>
            </w:tcBorders>
            <w:shd w:val="clear" w:color="auto" w:fill="auto"/>
            <w:vAlign w:val="center"/>
            <w:hideMark/>
          </w:tcPr>
          <w:p w:rsidR="00581457" w:rsidRDefault="00581457" w14:paraId="354A1E80" w14:textId="77777777">
            <w:pPr>
              <w:jc w:val="right"/>
              <w:rPr>
                <w:rFonts w:cs="Arial"/>
                <w:color w:val="000000"/>
                <w:sz w:val="20"/>
                <w:szCs w:val="20"/>
              </w:rPr>
            </w:pPr>
            <w:r>
              <w:rPr>
                <w:rFonts w:cs="Arial"/>
                <w:color w:val="000000"/>
                <w:sz w:val="20"/>
                <w:szCs w:val="20"/>
              </w:rPr>
              <w:t xml:space="preserve">$330.88 </w:t>
            </w:r>
          </w:p>
        </w:tc>
        <w:tc>
          <w:tcPr>
            <w:tcW w:w="886" w:type="dxa"/>
            <w:tcBorders>
              <w:top w:val="nil"/>
              <w:left w:val="nil"/>
              <w:bottom w:val="single" w:color="000000" w:sz="8" w:space="0"/>
              <w:right w:val="single" w:color="000000" w:sz="8" w:space="0"/>
            </w:tcBorders>
            <w:shd w:val="clear" w:color="auto" w:fill="auto"/>
            <w:vAlign w:val="center"/>
            <w:hideMark/>
          </w:tcPr>
          <w:p w:rsidR="00581457" w:rsidRDefault="00581457" w14:paraId="7780F5FB" w14:textId="77777777">
            <w:pPr>
              <w:jc w:val="right"/>
              <w:rPr>
                <w:rFonts w:cs="Arial"/>
                <w:color w:val="000000"/>
                <w:sz w:val="20"/>
                <w:szCs w:val="20"/>
              </w:rPr>
            </w:pPr>
            <w:r>
              <w:rPr>
                <w:rFonts w:cs="Arial"/>
                <w:color w:val="000000"/>
                <w:sz w:val="20"/>
                <w:szCs w:val="20"/>
              </w:rPr>
              <w:t>0</w:t>
            </w:r>
          </w:p>
        </w:tc>
        <w:tc>
          <w:tcPr>
            <w:tcW w:w="854" w:type="dxa"/>
            <w:tcBorders>
              <w:top w:val="nil"/>
              <w:left w:val="nil"/>
              <w:bottom w:val="single" w:color="000000" w:sz="8" w:space="0"/>
              <w:right w:val="single" w:color="000000" w:sz="8" w:space="0"/>
            </w:tcBorders>
            <w:shd w:val="clear" w:color="auto" w:fill="auto"/>
            <w:vAlign w:val="center"/>
            <w:hideMark/>
          </w:tcPr>
          <w:p w:rsidR="00581457" w:rsidRDefault="00581457" w14:paraId="29698416" w14:textId="77777777">
            <w:pPr>
              <w:jc w:val="right"/>
              <w:rPr>
                <w:rFonts w:cs="Arial"/>
                <w:color w:val="000000"/>
                <w:sz w:val="20"/>
                <w:szCs w:val="20"/>
              </w:rPr>
            </w:pPr>
            <w:r>
              <w:rPr>
                <w:rFonts w:cs="Arial"/>
                <w:color w:val="000000"/>
                <w:sz w:val="20"/>
                <w:szCs w:val="20"/>
              </w:rPr>
              <w:t xml:space="preserve">$0.00 </w:t>
            </w:r>
          </w:p>
        </w:tc>
        <w:tc>
          <w:tcPr>
            <w:tcW w:w="992" w:type="dxa"/>
            <w:tcBorders>
              <w:top w:val="nil"/>
              <w:left w:val="nil"/>
              <w:bottom w:val="single" w:color="000000" w:sz="8" w:space="0"/>
              <w:right w:val="single" w:color="000000" w:sz="8" w:space="0"/>
            </w:tcBorders>
            <w:shd w:val="clear" w:color="auto" w:fill="auto"/>
            <w:vAlign w:val="center"/>
            <w:hideMark/>
          </w:tcPr>
          <w:p w:rsidR="00581457" w:rsidRDefault="00581457" w14:paraId="4FFD1B08" w14:textId="77777777">
            <w:pPr>
              <w:jc w:val="right"/>
              <w:rPr>
                <w:rFonts w:cs="Arial"/>
                <w:color w:val="000000"/>
                <w:sz w:val="20"/>
                <w:szCs w:val="20"/>
              </w:rPr>
            </w:pPr>
            <w:r>
              <w:rPr>
                <w:rFonts w:cs="Arial"/>
                <w:color w:val="000000"/>
                <w:sz w:val="20"/>
                <w:szCs w:val="20"/>
              </w:rPr>
              <w:t>0.5</w:t>
            </w:r>
          </w:p>
        </w:tc>
        <w:tc>
          <w:tcPr>
            <w:tcW w:w="852" w:type="dxa"/>
            <w:tcBorders>
              <w:top w:val="nil"/>
              <w:left w:val="nil"/>
              <w:bottom w:val="single" w:color="000000" w:sz="8" w:space="0"/>
              <w:right w:val="single" w:color="000000" w:sz="8" w:space="0"/>
            </w:tcBorders>
            <w:shd w:val="clear" w:color="auto" w:fill="auto"/>
            <w:vAlign w:val="center"/>
            <w:hideMark/>
          </w:tcPr>
          <w:p w:rsidR="00581457" w:rsidRDefault="00581457" w14:paraId="3C02CFFB" w14:textId="77777777">
            <w:pPr>
              <w:jc w:val="right"/>
              <w:rPr>
                <w:rFonts w:cs="Arial"/>
                <w:color w:val="000000"/>
                <w:sz w:val="20"/>
                <w:szCs w:val="20"/>
              </w:rPr>
            </w:pPr>
            <w:r>
              <w:rPr>
                <w:rFonts w:cs="Arial"/>
                <w:color w:val="000000"/>
                <w:sz w:val="20"/>
                <w:szCs w:val="20"/>
              </w:rPr>
              <w:t xml:space="preserve">$18.29 </w:t>
            </w:r>
          </w:p>
        </w:tc>
        <w:tc>
          <w:tcPr>
            <w:tcW w:w="1085" w:type="dxa"/>
            <w:tcBorders>
              <w:top w:val="nil"/>
              <w:left w:val="nil"/>
              <w:bottom w:val="single" w:color="000000" w:sz="8" w:space="0"/>
              <w:right w:val="single" w:color="000000" w:sz="8" w:space="0"/>
            </w:tcBorders>
            <w:shd w:val="clear" w:color="auto" w:fill="auto"/>
            <w:vAlign w:val="center"/>
            <w:hideMark/>
          </w:tcPr>
          <w:p w:rsidR="00581457" w:rsidRDefault="00581457" w14:paraId="52F1B45D" w14:textId="77777777">
            <w:pPr>
              <w:jc w:val="right"/>
              <w:rPr>
                <w:rFonts w:cs="Arial"/>
                <w:b/>
                <w:bCs/>
                <w:color w:val="000000"/>
                <w:sz w:val="20"/>
                <w:szCs w:val="20"/>
              </w:rPr>
            </w:pPr>
            <w:r>
              <w:rPr>
                <w:rFonts w:cs="Arial"/>
                <w:b/>
                <w:bCs/>
                <w:color w:val="000000"/>
                <w:sz w:val="20"/>
                <w:szCs w:val="20"/>
              </w:rPr>
              <w:t>4</w:t>
            </w:r>
          </w:p>
        </w:tc>
        <w:tc>
          <w:tcPr>
            <w:tcW w:w="1203" w:type="dxa"/>
            <w:tcBorders>
              <w:top w:val="nil"/>
              <w:left w:val="nil"/>
              <w:bottom w:val="single" w:color="000000" w:sz="8" w:space="0"/>
              <w:right w:val="double" w:color="000000" w:sz="6" w:space="0"/>
            </w:tcBorders>
            <w:shd w:val="clear" w:color="auto" w:fill="auto"/>
            <w:vAlign w:val="center"/>
            <w:hideMark/>
          </w:tcPr>
          <w:p w:rsidR="00581457" w:rsidRDefault="00581457" w14:paraId="1DA12802" w14:textId="7861AC9B">
            <w:pPr>
              <w:jc w:val="right"/>
              <w:rPr>
                <w:rFonts w:cs="Arial"/>
                <w:b/>
                <w:bCs/>
                <w:color w:val="000000"/>
                <w:sz w:val="20"/>
                <w:szCs w:val="20"/>
              </w:rPr>
            </w:pPr>
            <w:r>
              <w:rPr>
                <w:rFonts w:cs="Arial"/>
                <w:b/>
                <w:bCs/>
                <w:color w:val="000000"/>
                <w:sz w:val="20"/>
                <w:szCs w:val="20"/>
              </w:rPr>
              <w:t>$349.1</w:t>
            </w:r>
            <w:r w:rsidR="00D63A83">
              <w:rPr>
                <w:rFonts w:cs="Arial"/>
                <w:b/>
                <w:bCs/>
                <w:color w:val="000000"/>
                <w:sz w:val="20"/>
                <w:szCs w:val="20"/>
              </w:rPr>
              <w:t>7</w:t>
            </w:r>
            <w:r>
              <w:rPr>
                <w:rFonts w:cs="Arial"/>
                <w:b/>
                <w:bCs/>
                <w:color w:val="000000"/>
                <w:sz w:val="20"/>
                <w:szCs w:val="20"/>
              </w:rPr>
              <w:t xml:space="preserve"> </w:t>
            </w:r>
          </w:p>
        </w:tc>
        <w:tc>
          <w:tcPr>
            <w:tcW w:w="0" w:type="auto"/>
            <w:vAlign w:val="center"/>
            <w:hideMark/>
          </w:tcPr>
          <w:p w:rsidR="00581457" w:rsidRDefault="00581457" w14:paraId="4A888E7F" w14:textId="77777777">
            <w:pPr>
              <w:rPr>
                <w:sz w:val="20"/>
                <w:szCs w:val="20"/>
              </w:rPr>
            </w:pPr>
          </w:p>
        </w:tc>
      </w:tr>
      <w:tr w:rsidR="00581457" w:rsidTr="00581457" w14:paraId="46D3D90E" w14:textId="77777777">
        <w:trPr>
          <w:trHeight w:val="561"/>
        </w:trPr>
        <w:tc>
          <w:tcPr>
            <w:tcW w:w="1686" w:type="dxa"/>
            <w:tcBorders>
              <w:top w:val="nil"/>
              <w:left w:val="double" w:color="000000" w:sz="6" w:space="0"/>
              <w:bottom w:val="single" w:color="000000" w:sz="8" w:space="0"/>
              <w:right w:val="single" w:color="000000" w:sz="8" w:space="0"/>
            </w:tcBorders>
            <w:shd w:val="clear" w:color="auto" w:fill="auto"/>
            <w:vAlign w:val="center"/>
            <w:hideMark/>
          </w:tcPr>
          <w:p w:rsidR="00581457" w:rsidRDefault="00581457" w14:paraId="797CA084" w14:textId="77777777">
            <w:pPr>
              <w:rPr>
                <w:rFonts w:cs="Arial"/>
                <w:color w:val="000000"/>
                <w:sz w:val="20"/>
                <w:szCs w:val="20"/>
              </w:rPr>
            </w:pPr>
            <w:r>
              <w:rPr>
                <w:rFonts w:cs="Arial"/>
                <w:color w:val="000000"/>
                <w:sz w:val="20"/>
                <w:szCs w:val="20"/>
              </w:rPr>
              <w:t>Reporting, per report</w:t>
            </w:r>
          </w:p>
        </w:tc>
        <w:tc>
          <w:tcPr>
            <w:tcW w:w="851" w:type="dxa"/>
            <w:tcBorders>
              <w:top w:val="nil"/>
              <w:left w:val="nil"/>
              <w:bottom w:val="single" w:color="000000" w:sz="8" w:space="0"/>
              <w:right w:val="single" w:color="000000" w:sz="8" w:space="0"/>
            </w:tcBorders>
            <w:shd w:val="clear" w:color="auto" w:fill="auto"/>
            <w:vAlign w:val="center"/>
            <w:hideMark/>
          </w:tcPr>
          <w:p w:rsidR="00581457" w:rsidRDefault="00581457" w14:paraId="3D26D5B9" w14:textId="77777777">
            <w:pPr>
              <w:jc w:val="right"/>
              <w:rPr>
                <w:rFonts w:cs="Arial"/>
                <w:color w:val="000000"/>
                <w:sz w:val="20"/>
                <w:szCs w:val="20"/>
              </w:rPr>
            </w:pPr>
            <w:r>
              <w:rPr>
                <w:rFonts w:cs="Arial"/>
                <w:color w:val="000000"/>
                <w:sz w:val="20"/>
                <w:szCs w:val="20"/>
              </w:rPr>
              <w:t>5</w:t>
            </w:r>
          </w:p>
        </w:tc>
        <w:tc>
          <w:tcPr>
            <w:tcW w:w="871" w:type="dxa"/>
            <w:tcBorders>
              <w:top w:val="nil"/>
              <w:left w:val="nil"/>
              <w:bottom w:val="single" w:color="000000" w:sz="8" w:space="0"/>
              <w:right w:val="single" w:color="000000" w:sz="8" w:space="0"/>
            </w:tcBorders>
            <w:shd w:val="clear" w:color="auto" w:fill="auto"/>
            <w:vAlign w:val="center"/>
            <w:hideMark/>
          </w:tcPr>
          <w:p w:rsidR="00581457" w:rsidRDefault="00581457" w14:paraId="15E1F818" w14:textId="77777777">
            <w:pPr>
              <w:jc w:val="right"/>
              <w:rPr>
                <w:rFonts w:cs="Arial"/>
                <w:color w:val="000000"/>
                <w:sz w:val="20"/>
                <w:szCs w:val="20"/>
              </w:rPr>
            </w:pPr>
            <w:r>
              <w:rPr>
                <w:rFonts w:cs="Arial"/>
                <w:color w:val="000000"/>
                <w:sz w:val="20"/>
                <w:szCs w:val="20"/>
              </w:rPr>
              <w:t xml:space="preserve">$472.68 </w:t>
            </w:r>
          </w:p>
        </w:tc>
        <w:tc>
          <w:tcPr>
            <w:tcW w:w="886" w:type="dxa"/>
            <w:tcBorders>
              <w:top w:val="nil"/>
              <w:left w:val="nil"/>
              <w:bottom w:val="single" w:color="000000" w:sz="8" w:space="0"/>
              <w:right w:val="single" w:color="000000" w:sz="8" w:space="0"/>
            </w:tcBorders>
            <w:shd w:val="clear" w:color="auto" w:fill="auto"/>
            <w:vAlign w:val="center"/>
            <w:hideMark/>
          </w:tcPr>
          <w:p w:rsidR="00581457" w:rsidRDefault="00581457" w14:paraId="18F77B0D" w14:textId="77777777">
            <w:pPr>
              <w:jc w:val="right"/>
              <w:rPr>
                <w:rFonts w:cs="Arial"/>
                <w:color w:val="000000"/>
                <w:sz w:val="20"/>
                <w:szCs w:val="20"/>
              </w:rPr>
            </w:pPr>
            <w:r>
              <w:rPr>
                <w:rFonts w:cs="Arial"/>
                <w:color w:val="000000"/>
                <w:sz w:val="20"/>
                <w:szCs w:val="20"/>
              </w:rPr>
              <w:t>2</w:t>
            </w:r>
          </w:p>
        </w:tc>
        <w:tc>
          <w:tcPr>
            <w:tcW w:w="854" w:type="dxa"/>
            <w:tcBorders>
              <w:top w:val="nil"/>
              <w:left w:val="nil"/>
              <w:bottom w:val="single" w:color="000000" w:sz="8" w:space="0"/>
              <w:right w:val="single" w:color="000000" w:sz="8" w:space="0"/>
            </w:tcBorders>
            <w:shd w:val="clear" w:color="auto" w:fill="auto"/>
            <w:vAlign w:val="center"/>
            <w:hideMark/>
          </w:tcPr>
          <w:p w:rsidR="00581457" w:rsidRDefault="00581457" w14:paraId="69385C64" w14:textId="77777777">
            <w:pPr>
              <w:jc w:val="right"/>
              <w:rPr>
                <w:rFonts w:cs="Arial"/>
                <w:color w:val="000000"/>
                <w:sz w:val="20"/>
                <w:szCs w:val="20"/>
              </w:rPr>
            </w:pPr>
            <w:r>
              <w:rPr>
                <w:rFonts w:cs="Arial"/>
                <w:color w:val="000000"/>
                <w:sz w:val="20"/>
                <w:szCs w:val="20"/>
              </w:rPr>
              <w:t xml:space="preserve">$160.99 </w:t>
            </w:r>
          </w:p>
        </w:tc>
        <w:tc>
          <w:tcPr>
            <w:tcW w:w="992" w:type="dxa"/>
            <w:tcBorders>
              <w:top w:val="nil"/>
              <w:left w:val="nil"/>
              <w:bottom w:val="single" w:color="000000" w:sz="8" w:space="0"/>
              <w:right w:val="single" w:color="000000" w:sz="8" w:space="0"/>
            </w:tcBorders>
            <w:shd w:val="clear" w:color="auto" w:fill="auto"/>
            <w:vAlign w:val="center"/>
            <w:hideMark/>
          </w:tcPr>
          <w:p w:rsidR="00581457" w:rsidRDefault="00581457" w14:paraId="323D4AC9" w14:textId="77777777">
            <w:pPr>
              <w:jc w:val="right"/>
              <w:rPr>
                <w:rFonts w:cs="Arial"/>
                <w:color w:val="000000"/>
                <w:sz w:val="20"/>
                <w:szCs w:val="20"/>
              </w:rPr>
            </w:pPr>
            <w:r>
              <w:rPr>
                <w:rFonts w:cs="Arial"/>
                <w:color w:val="000000"/>
                <w:sz w:val="20"/>
                <w:szCs w:val="20"/>
              </w:rPr>
              <w:t>1</w:t>
            </w:r>
          </w:p>
        </w:tc>
        <w:tc>
          <w:tcPr>
            <w:tcW w:w="852" w:type="dxa"/>
            <w:tcBorders>
              <w:top w:val="nil"/>
              <w:left w:val="nil"/>
              <w:bottom w:val="single" w:color="000000" w:sz="8" w:space="0"/>
              <w:right w:val="single" w:color="000000" w:sz="8" w:space="0"/>
            </w:tcBorders>
            <w:shd w:val="clear" w:color="auto" w:fill="auto"/>
            <w:vAlign w:val="center"/>
            <w:hideMark/>
          </w:tcPr>
          <w:p w:rsidR="00581457" w:rsidRDefault="00581457" w14:paraId="746ACE6B" w14:textId="77777777">
            <w:pPr>
              <w:jc w:val="right"/>
              <w:rPr>
                <w:rFonts w:cs="Arial"/>
                <w:color w:val="000000"/>
                <w:sz w:val="20"/>
                <w:szCs w:val="20"/>
              </w:rPr>
            </w:pPr>
            <w:r>
              <w:rPr>
                <w:rFonts w:cs="Arial"/>
                <w:color w:val="000000"/>
                <w:sz w:val="20"/>
                <w:szCs w:val="20"/>
              </w:rPr>
              <w:t xml:space="preserve">$36.58 </w:t>
            </w:r>
          </w:p>
        </w:tc>
        <w:tc>
          <w:tcPr>
            <w:tcW w:w="1085" w:type="dxa"/>
            <w:tcBorders>
              <w:top w:val="nil"/>
              <w:left w:val="nil"/>
              <w:bottom w:val="single" w:color="000000" w:sz="8" w:space="0"/>
              <w:right w:val="single" w:color="000000" w:sz="8" w:space="0"/>
            </w:tcBorders>
            <w:shd w:val="clear" w:color="auto" w:fill="auto"/>
            <w:vAlign w:val="center"/>
            <w:hideMark/>
          </w:tcPr>
          <w:p w:rsidR="00581457" w:rsidRDefault="00581457" w14:paraId="407DD110" w14:textId="77777777">
            <w:pPr>
              <w:jc w:val="right"/>
              <w:rPr>
                <w:rFonts w:cs="Arial"/>
                <w:b/>
                <w:bCs/>
                <w:color w:val="000000"/>
                <w:sz w:val="20"/>
                <w:szCs w:val="20"/>
              </w:rPr>
            </w:pPr>
            <w:r>
              <w:rPr>
                <w:rFonts w:cs="Arial"/>
                <w:b/>
                <w:bCs/>
                <w:color w:val="000000"/>
                <w:sz w:val="20"/>
                <w:szCs w:val="20"/>
              </w:rPr>
              <w:t>8</w:t>
            </w:r>
          </w:p>
        </w:tc>
        <w:tc>
          <w:tcPr>
            <w:tcW w:w="1203" w:type="dxa"/>
            <w:tcBorders>
              <w:top w:val="nil"/>
              <w:left w:val="nil"/>
              <w:bottom w:val="single" w:color="000000" w:sz="8" w:space="0"/>
              <w:right w:val="double" w:color="000000" w:sz="6" w:space="0"/>
            </w:tcBorders>
            <w:shd w:val="clear" w:color="auto" w:fill="auto"/>
            <w:vAlign w:val="center"/>
            <w:hideMark/>
          </w:tcPr>
          <w:p w:rsidR="00581457" w:rsidRDefault="00581457" w14:paraId="35CA25C2" w14:textId="77777777">
            <w:pPr>
              <w:jc w:val="right"/>
              <w:rPr>
                <w:rFonts w:cs="Arial"/>
                <w:b/>
                <w:bCs/>
                <w:color w:val="000000"/>
                <w:sz w:val="20"/>
                <w:szCs w:val="20"/>
              </w:rPr>
            </w:pPr>
            <w:r>
              <w:rPr>
                <w:rFonts w:cs="Arial"/>
                <w:b/>
                <w:bCs/>
                <w:color w:val="000000"/>
                <w:sz w:val="20"/>
                <w:szCs w:val="20"/>
              </w:rPr>
              <w:t xml:space="preserve">$670.25 </w:t>
            </w:r>
          </w:p>
        </w:tc>
        <w:tc>
          <w:tcPr>
            <w:tcW w:w="0" w:type="auto"/>
            <w:vAlign w:val="center"/>
            <w:hideMark/>
          </w:tcPr>
          <w:p w:rsidR="00581457" w:rsidRDefault="00581457" w14:paraId="2717603D" w14:textId="77777777">
            <w:pPr>
              <w:rPr>
                <w:sz w:val="20"/>
                <w:szCs w:val="20"/>
              </w:rPr>
            </w:pPr>
          </w:p>
        </w:tc>
      </w:tr>
      <w:tr w:rsidR="00581457" w:rsidTr="00581457" w14:paraId="2294726A" w14:textId="77777777">
        <w:trPr>
          <w:trHeight w:val="836"/>
        </w:trPr>
        <w:tc>
          <w:tcPr>
            <w:tcW w:w="1686" w:type="dxa"/>
            <w:tcBorders>
              <w:top w:val="nil"/>
              <w:left w:val="double" w:color="000000" w:sz="6" w:space="0"/>
              <w:bottom w:val="single" w:color="000000" w:sz="8" w:space="0"/>
              <w:right w:val="single" w:color="000000" w:sz="8" w:space="0"/>
            </w:tcBorders>
            <w:shd w:val="clear" w:color="auto" w:fill="auto"/>
            <w:vAlign w:val="center"/>
            <w:hideMark/>
          </w:tcPr>
          <w:p w:rsidR="00581457" w:rsidRDefault="00581457" w14:paraId="483AC035" w14:textId="77777777">
            <w:pPr>
              <w:rPr>
                <w:rFonts w:cs="Arial"/>
                <w:color w:val="000000"/>
                <w:sz w:val="20"/>
                <w:szCs w:val="20"/>
              </w:rPr>
            </w:pPr>
            <w:r>
              <w:rPr>
                <w:rFonts w:cs="Arial"/>
                <w:color w:val="000000"/>
                <w:sz w:val="20"/>
                <w:szCs w:val="20"/>
              </w:rPr>
              <w:t>Federal Register notice review, per notice</w:t>
            </w:r>
          </w:p>
        </w:tc>
        <w:tc>
          <w:tcPr>
            <w:tcW w:w="851" w:type="dxa"/>
            <w:tcBorders>
              <w:top w:val="nil"/>
              <w:left w:val="nil"/>
              <w:bottom w:val="single" w:color="000000" w:sz="8" w:space="0"/>
              <w:right w:val="single" w:color="000000" w:sz="8" w:space="0"/>
            </w:tcBorders>
            <w:shd w:val="clear" w:color="auto" w:fill="auto"/>
            <w:vAlign w:val="center"/>
            <w:hideMark/>
          </w:tcPr>
          <w:p w:rsidR="00581457" w:rsidRDefault="00581457" w14:paraId="10EC8E18" w14:textId="77777777">
            <w:pPr>
              <w:jc w:val="right"/>
              <w:rPr>
                <w:rFonts w:cs="Arial"/>
                <w:color w:val="000000"/>
                <w:sz w:val="20"/>
                <w:szCs w:val="20"/>
              </w:rPr>
            </w:pPr>
            <w:r>
              <w:rPr>
                <w:rFonts w:cs="Arial"/>
                <w:color w:val="000000"/>
                <w:sz w:val="20"/>
                <w:szCs w:val="20"/>
              </w:rPr>
              <w:t>0.25</w:t>
            </w:r>
          </w:p>
        </w:tc>
        <w:tc>
          <w:tcPr>
            <w:tcW w:w="871" w:type="dxa"/>
            <w:tcBorders>
              <w:top w:val="nil"/>
              <w:left w:val="nil"/>
              <w:bottom w:val="single" w:color="000000" w:sz="8" w:space="0"/>
              <w:right w:val="single" w:color="000000" w:sz="8" w:space="0"/>
            </w:tcBorders>
            <w:shd w:val="clear" w:color="auto" w:fill="auto"/>
            <w:vAlign w:val="center"/>
            <w:hideMark/>
          </w:tcPr>
          <w:p w:rsidR="00581457" w:rsidRDefault="00581457" w14:paraId="5E13E437" w14:textId="77777777">
            <w:pPr>
              <w:jc w:val="right"/>
              <w:rPr>
                <w:rFonts w:cs="Arial"/>
                <w:color w:val="000000"/>
                <w:sz w:val="20"/>
                <w:szCs w:val="20"/>
              </w:rPr>
            </w:pPr>
            <w:r>
              <w:rPr>
                <w:rFonts w:cs="Arial"/>
                <w:color w:val="000000"/>
                <w:sz w:val="20"/>
                <w:szCs w:val="20"/>
              </w:rPr>
              <w:t xml:space="preserve">$23.63 </w:t>
            </w:r>
          </w:p>
        </w:tc>
        <w:tc>
          <w:tcPr>
            <w:tcW w:w="886" w:type="dxa"/>
            <w:tcBorders>
              <w:top w:val="nil"/>
              <w:left w:val="nil"/>
              <w:bottom w:val="single" w:color="000000" w:sz="8" w:space="0"/>
              <w:right w:val="single" w:color="000000" w:sz="8" w:space="0"/>
            </w:tcBorders>
            <w:shd w:val="clear" w:color="auto" w:fill="auto"/>
            <w:vAlign w:val="center"/>
            <w:hideMark/>
          </w:tcPr>
          <w:p w:rsidR="00581457" w:rsidRDefault="00581457" w14:paraId="3C270658" w14:textId="77777777">
            <w:pPr>
              <w:jc w:val="right"/>
              <w:rPr>
                <w:rFonts w:cs="Arial"/>
                <w:color w:val="000000"/>
                <w:sz w:val="20"/>
                <w:szCs w:val="20"/>
              </w:rPr>
            </w:pPr>
            <w:r>
              <w:rPr>
                <w:rFonts w:cs="Arial"/>
                <w:color w:val="000000"/>
                <w:sz w:val="20"/>
                <w:szCs w:val="20"/>
              </w:rPr>
              <w:t>0</w:t>
            </w:r>
          </w:p>
        </w:tc>
        <w:tc>
          <w:tcPr>
            <w:tcW w:w="854" w:type="dxa"/>
            <w:tcBorders>
              <w:top w:val="nil"/>
              <w:left w:val="nil"/>
              <w:bottom w:val="single" w:color="000000" w:sz="8" w:space="0"/>
              <w:right w:val="single" w:color="000000" w:sz="8" w:space="0"/>
            </w:tcBorders>
            <w:shd w:val="clear" w:color="auto" w:fill="auto"/>
            <w:vAlign w:val="center"/>
            <w:hideMark/>
          </w:tcPr>
          <w:p w:rsidR="00581457" w:rsidRDefault="00581457" w14:paraId="402B3B2E" w14:textId="77777777">
            <w:pPr>
              <w:jc w:val="right"/>
              <w:rPr>
                <w:rFonts w:cs="Arial"/>
                <w:color w:val="000000"/>
                <w:sz w:val="20"/>
                <w:szCs w:val="20"/>
              </w:rPr>
            </w:pPr>
            <w:r>
              <w:rPr>
                <w:rFonts w:cs="Arial"/>
                <w:color w:val="000000"/>
                <w:sz w:val="20"/>
                <w:szCs w:val="20"/>
              </w:rPr>
              <w:t xml:space="preserve">$0.00 </w:t>
            </w:r>
          </w:p>
        </w:tc>
        <w:tc>
          <w:tcPr>
            <w:tcW w:w="992" w:type="dxa"/>
            <w:tcBorders>
              <w:top w:val="nil"/>
              <w:left w:val="nil"/>
              <w:bottom w:val="single" w:color="000000" w:sz="8" w:space="0"/>
              <w:right w:val="single" w:color="000000" w:sz="8" w:space="0"/>
            </w:tcBorders>
            <w:shd w:val="clear" w:color="auto" w:fill="auto"/>
            <w:vAlign w:val="center"/>
            <w:hideMark/>
          </w:tcPr>
          <w:p w:rsidR="00581457" w:rsidRDefault="00581457" w14:paraId="558A2C0D" w14:textId="77777777">
            <w:pPr>
              <w:jc w:val="right"/>
              <w:rPr>
                <w:rFonts w:cs="Arial"/>
                <w:color w:val="000000"/>
                <w:sz w:val="20"/>
                <w:szCs w:val="20"/>
              </w:rPr>
            </w:pPr>
            <w:r>
              <w:rPr>
                <w:rFonts w:cs="Arial"/>
                <w:color w:val="000000"/>
                <w:sz w:val="20"/>
                <w:szCs w:val="20"/>
              </w:rPr>
              <w:t>0</w:t>
            </w:r>
          </w:p>
        </w:tc>
        <w:tc>
          <w:tcPr>
            <w:tcW w:w="852" w:type="dxa"/>
            <w:tcBorders>
              <w:top w:val="nil"/>
              <w:left w:val="nil"/>
              <w:bottom w:val="single" w:color="000000" w:sz="8" w:space="0"/>
              <w:right w:val="single" w:color="000000" w:sz="8" w:space="0"/>
            </w:tcBorders>
            <w:shd w:val="clear" w:color="auto" w:fill="auto"/>
            <w:vAlign w:val="center"/>
            <w:hideMark/>
          </w:tcPr>
          <w:p w:rsidR="00581457" w:rsidRDefault="00581457" w14:paraId="30C8CE7B" w14:textId="77777777">
            <w:pPr>
              <w:jc w:val="right"/>
              <w:rPr>
                <w:rFonts w:cs="Arial"/>
                <w:color w:val="000000"/>
                <w:sz w:val="20"/>
                <w:szCs w:val="20"/>
              </w:rPr>
            </w:pPr>
            <w:r>
              <w:rPr>
                <w:rFonts w:cs="Arial"/>
                <w:color w:val="000000"/>
                <w:sz w:val="20"/>
                <w:szCs w:val="20"/>
              </w:rPr>
              <w:t xml:space="preserve">$0.00 </w:t>
            </w:r>
          </w:p>
        </w:tc>
        <w:tc>
          <w:tcPr>
            <w:tcW w:w="1085" w:type="dxa"/>
            <w:tcBorders>
              <w:top w:val="nil"/>
              <w:left w:val="nil"/>
              <w:bottom w:val="single" w:color="000000" w:sz="8" w:space="0"/>
              <w:right w:val="single" w:color="000000" w:sz="8" w:space="0"/>
            </w:tcBorders>
            <w:shd w:val="clear" w:color="auto" w:fill="auto"/>
            <w:vAlign w:val="center"/>
            <w:hideMark/>
          </w:tcPr>
          <w:p w:rsidR="00581457" w:rsidRDefault="00581457" w14:paraId="22A623C5" w14:textId="77777777">
            <w:pPr>
              <w:jc w:val="right"/>
              <w:rPr>
                <w:rFonts w:cs="Arial"/>
                <w:b/>
                <w:bCs/>
                <w:color w:val="000000"/>
                <w:sz w:val="20"/>
                <w:szCs w:val="20"/>
              </w:rPr>
            </w:pPr>
            <w:r>
              <w:rPr>
                <w:rFonts w:cs="Arial"/>
                <w:b/>
                <w:bCs/>
                <w:color w:val="000000"/>
                <w:sz w:val="20"/>
                <w:szCs w:val="20"/>
              </w:rPr>
              <w:t>0.25</w:t>
            </w:r>
          </w:p>
        </w:tc>
        <w:tc>
          <w:tcPr>
            <w:tcW w:w="1203" w:type="dxa"/>
            <w:tcBorders>
              <w:top w:val="nil"/>
              <w:left w:val="nil"/>
              <w:bottom w:val="single" w:color="000000" w:sz="8" w:space="0"/>
              <w:right w:val="double" w:color="000000" w:sz="6" w:space="0"/>
            </w:tcBorders>
            <w:shd w:val="clear" w:color="auto" w:fill="auto"/>
            <w:vAlign w:val="center"/>
            <w:hideMark/>
          </w:tcPr>
          <w:p w:rsidR="00581457" w:rsidRDefault="00581457" w14:paraId="5AB7034C" w14:textId="77777777">
            <w:pPr>
              <w:jc w:val="right"/>
              <w:rPr>
                <w:rFonts w:cs="Arial"/>
                <w:b/>
                <w:bCs/>
                <w:color w:val="000000"/>
                <w:sz w:val="20"/>
                <w:szCs w:val="20"/>
              </w:rPr>
            </w:pPr>
            <w:r>
              <w:rPr>
                <w:rFonts w:cs="Arial"/>
                <w:b/>
                <w:bCs/>
                <w:color w:val="000000"/>
                <w:sz w:val="20"/>
                <w:szCs w:val="20"/>
              </w:rPr>
              <w:t xml:space="preserve">$23.63 </w:t>
            </w:r>
          </w:p>
        </w:tc>
        <w:tc>
          <w:tcPr>
            <w:tcW w:w="0" w:type="auto"/>
            <w:vAlign w:val="center"/>
            <w:hideMark/>
          </w:tcPr>
          <w:p w:rsidR="00581457" w:rsidRDefault="00581457" w14:paraId="3A06666F" w14:textId="77777777">
            <w:pPr>
              <w:rPr>
                <w:sz w:val="20"/>
                <w:szCs w:val="20"/>
              </w:rPr>
            </w:pPr>
          </w:p>
        </w:tc>
      </w:tr>
      <w:tr w:rsidR="00581457" w:rsidTr="00581457" w14:paraId="1AD4EF39" w14:textId="77777777">
        <w:trPr>
          <w:trHeight w:val="312"/>
        </w:trPr>
        <w:tc>
          <w:tcPr>
            <w:tcW w:w="1686" w:type="dxa"/>
            <w:tcBorders>
              <w:top w:val="nil"/>
              <w:left w:val="double" w:color="000000" w:sz="6" w:space="0"/>
              <w:bottom w:val="double" w:color="000000" w:sz="6" w:space="0"/>
              <w:right w:val="single" w:color="000000" w:sz="8" w:space="0"/>
            </w:tcBorders>
            <w:shd w:val="clear" w:color="auto" w:fill="auto"/>
            <w:vAlign w:val="center"/>
            <w:hideMark/>
          </w:tcPr>
          <w:p w:rsidR="00581457" w:rsidRDefault="00581457" w14:paraId="33F607ED" w14:textId="77777777">
            <w:pPr>
              <w:rPr>
                <w:rFonts w:cs="Arial"/>
                <w:b/>
                <w:bCs/>
                <w:color w:val="000000"/>
                <w:sz w:val="20"/>
                <w:szCs w:val="20"/>
              </w:rPr>
            </w:pPr>
            <w:r>
              <w:rPr>
                <w:rFonts w:cs="Arial"/>
                <w:b/>
                <w:bCs/>
                <w:color w:val="000000"/>
                <w:sz w:val="20"/>
                <w:szCs w:val="20"/>
              </w:rPr>
              <w:t>Unit totals</w:t>
            </w:r>
          </w:p>
        </w:tc>
        <w:tc>
          <w:tcPr>
            <w:tcW w:w="851" w:type="dxa"/>
            <w:tcBorders>
              <w:top w:val="nil"/>
              <w:left w:val="nil"/>
              <w:bottom w:val="double" w:color="000000" w:sz="6" w:space="0"/>
              <w:right w:val="single" w:color="000000" w:sz="8" w:space="0"/>
            </w:tcBorders>
            <w:shd w:val="clear" w:color="auto" w:fill="auto"/>
            <w:vAlign w:val="center"/>
            <w:hideMark/>
          </w:tcPr>
          <w:p w:rsidR="00581457" w:rsidRDefault="00581457" w14:paraId="009AEA84" w14:textId="77777777">
            <w:pPr>
              <w:jc w:val="right"/>
              <w:rPr>
                <w:rFonts w:cs="Arial"/>
                <w:color w:val="000000"/>
                <w:sz w:val="20"/>
                <w:szCs w:val="20"/>
              </w:rPr>
            </w:pPr>
            <w:r>
              <w:rPr>
                <w:rFonts w:cs="Arial"/>
                <w:color w:val="000000"/>
                <w:sz w:val="20"/>
                <w:szCs w:val="20"/>
              </w:rPr>
              <w:t>8.75</w:t>
            </w:r>
          </w:p>
        </w:tc>
        <w:tc>
          <w:tcPr>
            <w:tcW w:w="871" w:type="dxa"/>
            <w:tcBorders>
              <w:top w:val="nil"/>
              <w:left w:val="nil"/>
              <w:bottom w:val="double" w:color="000000" w:sz="6" w:space="0"/>
              <w:right w:val="single" w:color="000000" w:sz="8" w:space="0"/>
            </w:tcBorders>
            <w:shd w:val="clear" w:color="auto" w:fill="auto"/>
            <w:vAlign w:val="center"/>
            <w:hideMark/>
          </w:tcPr>
          <w:p w:rsidR="00581457" w:rsidRDefault="00581457" w14:paraId="52236E25" w14:textId="77777777">
            <w:pPr>
              <w:jc w:val="right"/>
              <w:rPr>
                <w:rFonts w:cs="Arial"/>
                <w:color w:val="000000"/>
                <w:sz w:val="20"/>
                <w:szCs w:val="20"/>
              </w:rPr>
            </w:pPr>
            <w:r>
              <w:rPr>
                <w:rFonts w:cs="Arial"/>
                <w:color w:val="000000"/>
                <w:sz w:val="20"/>
                <w:szCs w:val="20"/>
              </w:rPr>
              <w:t xml:space="preserve">$827.19 </w:t>
            </w:r>
          </w:p>
        </w:tc>
        <w:tc>
          <w:tcPr>
            <w:tcW w:w="886" w:type="dxa"/>
            <w:tcBorders>
              <w:top w:val="nil"/>
              <w:left w:val="nil"/>
              <w:bottom w:val="double" w:color="000000" w:sz="6" w:space="0"/>
              <w:right w:val="single" w:color="000000" w:sz="8" w:space="0"/>
            </w:tcBorders>
            <w:shd w:val="clear" w:color="auto" w:fill="auto"/>
            <w:vAlign w:val="center"/>
            <w:hideMark/>
          </w:tcPr>
          <w:p w:rsidR="00581457" w:rsidRDefault="00581457" w14:paraId="34455104" w14:textId="77777777">
            <w:pPr>
              <w:jc w:val="right"/>
              <w:rPr>
                <w:rFonts w:cs="Arial"/>
                <w:color w:val="000000"/>
                <w:sz w:val="20"/>
                <w:szCs w:val="20"/>
              </w:rPr>
            </w:pPr>
            <w:r>
              <w:rPr>
                <w:rFonts w:cs="Arial"/>
                <w:color w:val="000000"/>
                <w:sz w:val="20"/>
                <w:szCs w:val="20"/>
              </w:rPr>
              <w:t>2</w:t>
            </w:r>
          </w:p>
        </w:tc>
        <w:tc>
          <w:tcPr>
            <w:tcW w:w="854" w:type="dxa"/>
            <w:tcBorders>
              <w:top w:val="nil"/>
              <w:left w:val="nil"/>
              <w:bottom w:val="double" w:color="000000" w:sz="6" w:space="0"/>
              <w:right w:val="single" w:color="000000" w:sz="8" w:space="0"/>
            </w:tcBorders>
            <w:shd w:val="clear" w:color="auto" w:fill="auto"/>
            <w:vAlign w:val="center"/>
            <w:hideMark/>
          </w:tcPr>
          <w:p w:rsidR="00581457" w:rsidRDefault="00581457" w14:paraId="6241E802" w14:textId="77777777">
            <w:pPr>
              <w:jc w:val="right"/>
              <w:rPr>
                <w:rFonts w:cs="Arial"/>
                <w:color w:val="000000"/>
                <w:sz w:val="20"/>
                <w:szCs w:val="20"/>
              </w:rPr>
            </w:pPr>
            <w:r>
              <w:rPr>
                <w:rFonts w:cs="Arial"/>
                <w:color w:val="000000"/>
                <w:sz w:val="20"/>
                <w:szCs w:val="20"/>
              </w:rPr>
              <w:t xml:space="preserve">$160.99 </w:t>
            </w:r>
          </w:p>
        </w:tc>
        <w:tc>
          <w:tcPr>
            <w:tcW w:w="992" w:type="dxa"/>
            <w:tcBorders>
              <w:top w:val="nil"/>
              <w:left w:val="nil"/>
              <w:bottom w:val="double" w:color="000000" w:sz="6" w:space="0"/>
              <w:right w:val="single" w:color="000000" w:sz="8" w:space="0"/>
            </w:tcBorders>
            <w:shd w:val="clear" w:color="auto" w:fill="auto"/>
            <w:vAlign w:val="center"/>
            <w:hideMark/>
          </w:tcPr>
          <w:p w:rsidR="00581457" w:rsidRDefault="00581457" w14:paraId="156E819A" w14:textId="77777777">
            <w:pPr>
              <w:jc w:val="right"/>
              <w:rPr>
                <w:rFonts w:cs="Arial"/>
                <w:color w:val="000000"/>
                <w:sz w:val="20"/>
                <w:szCs w:val="20"/>
              </w:rPr>
            </w:pPr>
            <w:r>
              <w:rPr>
                <w:rFonts w:cs="Arial"/>
                <w:color w:val="000000"/>
                <w:sz w:val="20"/>
                <w:szCs w:val="20"/>
              </w:rPr>
              <w:t>1.5</w:t>
            </w:r>
          </w:p>
        </w:tc>
        <w:tc>
          <w:tcPr>
            <w:tcW w:w="852" w:type="dxa"/>
            <w:tcBorders>
              <w:top w:val="nil"/>
              <w:left w:val="nil"/>
              <w:bottom w:val="double" w:color="000000" w:sz="6" w:space="0"/>
              <w:right w:val="single" w:color="000000" w:sz="8" w:space="0"/>
            </w:tcBorders>
            <w:shd w:val="clear" w:color="auto" w:fill="auto"/>
            <w:vAlign w:val="center"/>
            <w:hideMark/>
          </w:tcPr>
          <w:p w:rsidR="00581457" w:rsidRDefault="00581457" w14:paraId="4B6EA180" w14:textId="6423FACA">
            <w:pPr>
              <w:jc w:val="right"/>
              <w:rPr>
                <w:rFonts w:cs="Arial"/>
                <w:color w:val="000000"/>
                <w:sz w:val="20"/>
                <w:szCs w:val="20"/>
              </w:rPr>
            </w:pPr>
            <w:r>
              <w:rPr>
                <w:rFonts w:cs="Arial"/>
                <w:color w:val="000000"/>
                <w:sz w:val="20"/>
                <w:szCs w:val="20"/>
              </w:rPr>
              <w:t>$54.8</w:t>
            </w:r>
            <w:r w:rsidR="00D63A83">
              <w:rPr>
                <w:rFonts w:cs="Arial"/>
                <w:color w:val="000000"/>
                <w:sz w:val="20"/>
                <w:szCs w:val="20"/>
              </w:rPr>
              <w:t>7</w:t>
            </w:r>
            <w:r>
              <w:rPr>
                <w:rFonts w:cs="Arial"/>
                <w:color w:val="000000"/>
                <w:sz w:val="20"/>
                <w:szCs w:val="20"/>
              </w:rPr>
              <w:t xml:space="preserve"> </w:t>
            </w:r>
          </w:p>
        </w:tc>
        <w:tc>
          <w:tcPr>
            <w:tcW w:w="1085" w:type="dxa"/>
            <w:tcBorders>
              <w:top w:val="nil"/>
              <w:left w:val="nil"/>
              <w:bottom w:val="double" w:color="000000" w:sz="6" w:space="0"/>
              <w:right w:val="single" w:color="000000" w:sz="8" w:space="0"/>
            </w:tcBorders>
            <w:shd w:val="clear" w:color="auto" w:fill="auto"/>
            <w:vAlign w:val="center"/>
            <w:hideMark/>
          </w:tcPr>
          <w:p w:rsidR="00581457" w:rsidRDefault="00581457" w14:paraId="6E3679F3" w14:textId="77777777">
            <w:pPr>
              <w:jc w:val="right"/>
              <w:rPr>
                <w:rFonts w:cs="Arial"/>
                <w:b/>
                <w:bCs/>
                <w:color w:val="000000"/>
                <w:sz w:val="20"/>
                <w:szCs w:val="20"/>
              </w:rPr>
            </w:pPr>
            <w:r>
              <w:rPr>
                <w:rFonts w:cs="Arial"/>
                <w:b/>
                <w:bCs/>
                <w:color w:val="000000"/>
                <w:sz w:val="20"/>
                <w:szCs w:val="20"/>
              </w:rPr>
              <w:t>12.25</w:t>
            </w:r>
          </w:p>
        </w:tc>
        <w:tc>
          <w:tcPr>
            <w:tcW w:w="1203" w:type="dxa"/>
            <w:tcBorders>
              <w:top w:val="nil"/>
              <w:left w:val="nil"/>
              <w:bottom w:val="double" w:color="000000" w:sz="6" w:space="0"/>
              <w:right w:val="double" w:color="000000" w:sz="6" w:space="0"/>
            </w:tcBorders>
            <w:shd w:val="clear" w:color="auto" w:fill="auto"/>
            <w:vAlign w:val="center"/>
            <w:hideMark/>
          </w:tcPr>
          <w:p w:rsidR="00581457" w:rsidRDefault="00581457" w14:paraId="3AF13FEF" w14:textId="77777777">
            <w:pPr>
              <w:jc w:val="right"/>
              <w:rPr>
                <w:rFonts w:cs="Arial"/>
                <w:b/>
                <w:bCs/>
                <w:color w:val="000000"/>
                <w:sz w:val="20"/>
                <w:szCs w:val="20"/>
              </w:rPr>
            </w:pPr>
            <w:r>
              <w:rPr>
                <w:rFonts w:cs="Arial"/>
                <w:b/>
                <w:bCs/>
                <w:color w:val="000000"/>
                <w:sz w:val="20"/>
                <w:szCs w:val="20"/>
              </w:rPr>
              <w:t xml:space="preserve">$1,043.05 </w:t>
            </w:r>
          </w:p>
        </w:tc>
        <w:tc>
          <w:tcPr>
            <w:tcW w:w="0" w:type="auto"/>
            <w:vAlign w:val="center"/>
            <w:hideMark/>
          </w:tcPr>
          <w:p w:rsidR="00581457" w:rsidRDefault="00581457" w14:paraId="542E99F3" w14:textId="77777777">
            <w:pPr>
              <w:rPr>
                <w:sz w:val="20"/>
                <w:szCs w:val="20"/>
              </w:rPr>
            </w:pPr>
          </w:p>
        </w:tc>
      </w:tr>
    </w:tbl>
    <w:p w:rsidRPr="004F2814" w:rsidR="005C3BF0" w:rsidP="008C6A2E" w:rsidRDefault="00581457" w14:paraId="15908DF8" w14:textId="545C2E5B">
      <w:pPr>
        <w:rPr>
          <w:rFonts w:cs="Arial"/>
          <w:b/>
          <w:bCs/>
          <w:szCs w:val="24"/>
        </w:rPr>
      </w:pPr>
      <w:r w:rsidRPr="004F2814" w:rsidDel="00581457">
        <w:rPr>
          <w:rFonts w:cs="Arial"/>
          <w:b/>
          <w:bCs/>
          <w:szCs w:val="24"/>
        </w:rPr>
        <w:t xml:space="preserve"> </w:t>
      </w:r>
    </w:p>
    <w:p w:rsidRPr="008C6A2E" w:rsidR="005C3BF0" w:rsidP="008C6A2E" w:rsidRDefault="005C3BF0" w14:paraId="3D603CF2" w14:textId="1A9B4BCA">
      <w:pPr>
        <w:numPr>
          <w:ilvl w:val="12"/>
          <w:numId w:val="0"/>
        </w:numPr>
        <w:rPr>
          <w:rFonts w:cs="Arial"/>
          <w:szCs w:val="24"/>
        </w:rPr>
      </w:pPr>
      <w:r w:rsidRPr="008C6A2E">
        <w:rPr>
          <w:rFonts w:cs="Arial"/>
          <w:szCs w:val="24"/>
        </w:rPr>
        <w:t xml:space="preserve">The unit burden for recordkeeping is multiplied by the total number of allegations.  Total annual recordkeeping burden is </w:t>
      </w:r>
      <w:r w:rsidR="002512B6">
        <w:rPr>
          <w:rFonts w:cs="Arial"/>
          <w:szCs w:val="24"/>
        </w:rPr>
        <w:t>2</w:t>
      </w:r>
      <w:r w:rsidR="00C96748">
        <w:rPr>
          <w:rFonts w:cs="Arial"/>
          <w:szCs w:val="24"/>
        </w:rPr>
        <w:t>2,108</w:t>
      </w:r>
      <w:r w:rsidRPr="008C6A2E">
        <w:rPr>
          <w:rFonts w:cs="Arial"/>
          <w:szCs w:val="24"/>
        </w:rPr>
        <w:t xml:space="preserve"> hours. The unit cost for recordkeeping of $3</w:t>
      </w:r>
      <w:r w:rsidR="002512B6">
        <w:rPr>
          <w:rFonts w:cs="Arial"/>
          <w:szCs w:val="24"/>
        </w:rPr>
        <w:t>49</w:t>
      </w:r>
      <w:r w:rsidRPr="008C6A2E">
        <w:rPr>
          <w:rFonts w:cs="Arial"/>
          <w:szCs w:val="24"/>
        </w:rPr>
        <w:t xml:space="preserve"> is multiplied by the average annual number of allegations per year (5,527) and the total annual recordkeeping cost is $1,</w:t>
      </w:r>
      <w:r w:rsidR="002512B6">
        <w:rPr>
          <w:rFonts w:cs="Arial"/>
          <w:szCs w:val="24"/>
        </w:rPr>
        <w:t>929,863</w:t>
      </w:r>
      <w:r w:rsidR="00C96748">
        <w:rPr>
          <w:rFonts w:cs="Arial"/>
          <w:szCs w:val="24"/>
        </w:rPr>
        <w:t xml:space="preserve"> </w:t>
      </w:r>
      <w:r w:rsidR="008600C0">
        <w:rPr>
          <w:rFonts w:cs="Arial"/>
          <w:szCs w:val="24"/>
        </w:rPr>
        <w:t xml:space="preserve">shown in </w:t>
      </w:r>
      <w:r w:rsidR="00F85291">
        <w:rPr>
          <w:rFonts w:cs="Arial"/>
          <w:szCs w:val="24"/>
        </w:rPr>
        <w:t xml:space="preserve">Table </w:t>
      </w:r>
      <w:r w:rsidR="0034191D">
        <w:rPr>
          <w:rFonts w:cs="Arial"/>
          <w:szCs w:val="24"/>
        </w:rPr>
        <w:t>6</w:t>
      </w:r>
      <w:r w:rsidRPr="008C6A2E">
        <w:rPr>
          <w:rFonts w:cs="Arial"/>
          <w:szCs w:val="24"/>
        </w:rPr>
        <w:t xml:space="preserve">.  </w:t>
      </w:r>
    </w:p>
    <w:p w:rsidR="00C96748" w:rsidP="00C96748" w:rsidRDefault="00C96748" w14:paraId="1C3B7DF6" w14:textId="083FB307">
      <w:pPr>
        <w:pStyle w:val="Caption"/>
      </w:pPr>
      <w:bookmarkStart w:name="_Ref96091723" w:id="33"/>
      <w:r>
        <w:t xml:space="preserve">Table </w:t>
      </w:r>
      <w:bookmarkEnd w:id="33"/>
      <w:r w:rsidR="0034191D">
        <w:t>6</w:t>
      </w:r>
      <w:r>
        <w:t>. Summary of Total Annual Respondent Burden and Cost for TSCA Section 8(c) (2021$)</w:t>
      </w:r>
    </w:p>
    <w:tbl>
      <w:tblPr>
        <w:tblW w:w="9360" w:type="dxa"/>
        <w:tblLook w:val="04A0" w:firstRow="1" w:lastRow="0" w:firstColumn="1" w:lastColumn="0" w:noHBand="0" w:noVBand="1"/>
      </w:tblPr>
      <w:tblGrid>
        <w:gridCol w:w="1617"/>
        <w:gridCol w:w="916"/>
        <w:gridCol w:w="661"/>
        <w:gridCol w:w="717"/>
        <w:gridCol w:w="2210"/>
        <w:gridCol w:w="1120"/>
        <w:gridCol w:w="916"/>
        <w:gridCol w:w="1480"/>
      </w:tblGrid>
      <w:tr w:rsidRPr="00581457" w:rsidR="00C96748" w:rsidTr="00100288" w14:paraId="408BA24A" w14:textId="77777777">
        <w:trPr>
          <w:trHeight w:val="1272"/>
        </w:trPr>
        <w:tc>
          <w:tcPr>
            <w:tcW w:w="1601" w:type="dxa"/>
            <w:tcBorders>
              <w:top w:val="double" w:color="auto" w:sz="6" w:space="0"/>
              <w:left w:val="double" w:color="000000" w:sz="6" w:space="0"/>
              <w:bottom w:val="single" w:color="000000" w:sz="8" w:space="0"/>
              <w:right w:val="nil"/>
            </w:tcBorders>
            <w:shd w:val="clear" w:color="000000" w:fill="D9D9D9"/>
            <w:vAlign w:val="center"/>
            <w:hideMark/>
          </w:tcPr>
          <w:p w:rsidRPr="00581457" w:rsidR="00C96748" w:rsidP="00100288" w:rsidRDefault="00C96748" w14:paraId="315C15F1"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Activity</w:t>
            </w:r>
          </w:p>
        </w:tc>
        <w:tc>
          <w:tcPr>
            <w:tcW w:w="805" w:type="dxa"/>
            <w:tcBorders>
              <w:top w:val="double" w:color="auto" w:sz="6" w:space="0"/>
              <w:left w:val="single" w:color="000000" w:sz="8" w:space="0"/>
              <w:bottom w:val="nil"/>
              <w:right w:val="nil"/>
            </w:tcBorders>
            <w:shd w:val="clear" w:color="000000" w:fill="D9D9D9"/>
            <w:vAlign w:val="center"/>
            <w:hideMark/>
          </w:tcPr>
          <w:p w:rsidRPr="00581457" w:rsidR="00C96748" w:rsidP="00100288" w:rsidRDefault="00C96748" w14:paraId="34C294A5"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Unit Burden Hours</w:t>
            </w:r>
          </w:p>
        </w:tc>
        <w:tc>
          <w:tcPr>
            <w:tcW w:w="648" w:type="dxa"/>
            <w:tcBorders>
              <w:top w:val="double" w:color="auto" w:sz="6" w:space="0"/>
              <w:left w:val="single" w:color="000000" w:sz="8" w:space="0"/>
              <w:bottom w:val="nil"/>
              <w:right w:val="single" w:color="000000" w:sz="8" w:space="0"/>
            </w:tcBorders>
            <w:shd w:val="clear" w:color="000000" w:fill="D9D9D9"/>
            <w:vAlign w:val="center"/>
            <w:hideMark/>
          </w:tcPr>
          <w:p w:rsidRPr="00581457" w:rsidR="00C96748" w:rsidP="00100288" w:rsidRDefault="00C96748" w14:paraId="27CD4C78"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Unit Cost</w:t>
            </w:r>
          </w:p>
        </w:tc>
        <w:tc>
          <w:tcPr>
            <w:tcW w:w="2901" w:type="dxa"/>
            <w:gridSpan w:val="2"/>
            <w:tcBorders>
              <w:top w:val="double" w:color="000000" w:sz="6" w:space="0"/>
              <w:left w:val="nil"/>
              <w:bottom w:val="single" w:color="000000" w:sz="8" w:space="0"/>
              <w:right w:val="single" w:color="000000" w:sz="8" w:space="0"/>
            </w:tcBorders>
            <w:shd w:val="clear" w:color="000000" w:fill="D9D9D9"/>
            <w:noWrap/>
            <w:vAlign w:val="center"/>
            <w:hideMark/>
          </w:tcPr>
          <w:p w:rsidRPr="00581457" w:rsidR="00C96748" w:rsidP="00100288" w:rsidRDefault="00C96748" w14:paraId="09FB58DC"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Applicable # and Unit</w:t>
            </w:r>
          </w:p>
        </w:tc>
        <w:tc>
          <w:tcPr>
            <w:tcW w:w="1120" w:type="dxa"/>
            <w:tcBorders>
              <w:top w:val="double" w:color="000000" w:sz="6" w:space="0"/>
              <w:left w:val="nil"/>
              <w:bottom w:val="single" w:color="000000" w:sz="8" w:space="0"/>
              <w:right w:val="single" w:color="000000" w:sz="8" w:space="0"/>
            </w:tcBorders>
            <w:shd w:val="clear" w:color="000000" w:fill="D9D9D9"/>
            <w:noWrap/>
            <w:vAlign w:val="center"/>
            <w:hideMark/>
          </w:tcPr>
          <w:p w:rsidRPr="00581457" w:rsidR="00C96748" w:rsidP="00100288" w:rsidRDefault="00C96748" w14:paraId="0A8CAB6B"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 Firms</w:t>
            </w:r>
          </w:p>
        </w:tc>
        <w:tc>
          <w:tcPr>
            <w:tcW w:w="805" w:type="dxa"/>
            <w:tcBorders>
              <w:top w:val="double" w:color="000000" w:sz="6" w:space="0"/>
              <w:left w:val="nil"/>
              <w:bottom w:val="single" w:color="000000" w:sz="8" w:space="0"/>
              <w:right w:val="single" w:color="000000" w:sz="8" w:space="0"/>
            </w:tcBorders>
            <w:shd w:val="clear" w:color="000000" w:fill="D9D9D9"/>
            <w:vAlign w:val="center"/>
            <w:hideMark/>
          </w:tcPr>
          <w:p w:rsidRPr="00581457" w:rsidR="00C96748" w:rsidP="00100288" w:rsidRDefault="00C96748" w14:paraId="5198E3E3"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Burden Hours</w:t>
            </w:r>
          </w:p>
        </w:tc>
        <w:tc>
          <w:tcPr>
            <w:tcW w:w="1480" w:type="dxa"/>
            <w:tcBorders>
              <w:top w:val="double" w:color="000000" w:sz="6" w:space="0"/>
              <w:left w:val="nil"/>
              <w:bottom w:val="single" w:color="000000" w:sz="8" w:space="0"/>
              <w:right w:val="double" w:color="000000" w:sz="6" w:space="0"/>
            </w:tcBorders>
            <w:shd w:val="clear" w:color="000000" w:fill="D9D9D9"/>
            <w:noWrap/>
            <w:vAlign w:val="center"/>
            <w:hideMark/>
          </w:tcPr>
          <w:p w:rsidRPr="00581457" w:rsidR="00C96748" w:rsidP="00100288" w:rsidRDefault="00C96748" w14:paraId="716B6842" w14:textId="77777777">
            <w:pPr>
              <w:spacing w:after="0" w:line="240" w:lineRule="auto"/>
              <w:jc w:val="center"/>
              <w:rPr>
                <w:rFonts w:eastAsia="Times New Roman" w:cs="Arial"/>
                <w:b/>
                <w:bCs/>
                <w:color w:val="000000"/>
                <w:sz w:val="20"/>
                <w:szCs w:val="20"/>
              </w:rPr>
            </w:pPr>
            <w:r w:rsidRPr="00581457">
              <w:rPr>
                <w:rFonts w:eastAsia="Times New Roman" w:cs="Arial"/>
                <w:b/>
                <w:bCs/>
                <w:color w:val="000000"/>
                <w:sz w:val="20"/>
                <w:szCs w:val="20"/>
              </w:rPr>
              <w:t>Cost</w:t>
            </w:r>
          </w:p>
        </w:tc>
      </w:tr>
      <w:tr w:rsidRPr="00581457" w:rsidR="00C96748" w:rsidTr="00100288" w14:paraId="020E2E2F" w14:textId="77777777">
        <w:trPr>
          <w:trHeight w:val="540"/>
        </w:trPr>
        <w:tc>
          <w:tcPr>
            <w:tcW w:w="1601" w:type="dxa"/>
            <w:tcBorders>
              <w:top w:val="nil"/>
              <w:left w:val="double" w:color="000000" w:sz="6" w:space="0"/>
              <w:bottom w:val="nil"/>
              <w:right w:val="nil"/>
            </w:tcBorders>
            <w:shd w:val="clear" w:color="auto" w:fill="auto"/>
            <w:vAlign w:val="center"/>
            <w:hideMark/>
          </w:tcPr>
          <w:p w:rsidRPr="00581457" w:rsidR="00C96748" w:rsidP="00100288" w:rsidRDefault="00C96748" w14:paraId="47DDC387" w14:textId="77777777">
            <w:pPr>
              <w:spacing w:after="0" w:line="240" w:lineRule="auto"/>
              <w:rPr>
                <w:rFonts w:eastAsia="Times New Roman" w:cs="Arial"/>
                <w:color w:val="000000"/>
                <w:sz w:val="20"/>
                <w:szCs w:val="20"/>
              </w:rPr>
            </w:pPr>
            <w:r w:rsidRPr="00581457">
              <w:rPr>
                <w:rFonts w:eastAsia="Times New Roman" w:cs="Arial"/>
                <w:color w:val="000000"/>
                <w:sz w:val="20"/>
                <w:szCs w:val="20"/>
              </w:rPr>
              <w:t>Recordkeeping, per allegation</w:t>
            </w:r>
          </w:p>
        </w:tc>
        <w:tc>
          <w:tcPr>
            <w:tcW w:w="805" w:type="dxa"/>
            <w:tcBorders>
              <w:top w:val="single" w:color="000000" w:sz="8" w:space="0"/>
              <w:left w:val="single" w:color="000000" w:sz="8" w:space="0"/>
              <w:bottom w:val="nil"/>
              <w:right w:val="nil"/>
            </w:tcBorders>
            <w:shd w:val="clear" w:color="auto" w:fill="auto"/>
            <w:vAlign w:val="center"/>
            <w:hideMark/>
          </w:tcPr>
          <w:p w:rsidRPr="00581457" w:rsidR="00C96748" w:rsidP="00100288" w:rsidRDefault="00C96748" w14:paraId="21A2F94C"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4</w:t>
            </w:r>
          </w:p>
        </w:tc>
        <w:tc>
          <w:tcPr>
            <w:tcW w:w="648" w:type="dxa"/>
            <w:tcBorders>
              <w:top w:val="single" w:color="000000" w:sz="8" w:space="0"/>
              <w:left w:val="single" w:color="000000" w:sz="8" w:space="0"/>
              <w:bottom w:val="nil"/>
              <w:right w:val="single" w:color="000000" w:sz="8" w:space="0"/>
            </w:tcBorders>
            <w:shd w:val="clear" w:color="auto" w:fill="auto"/>
            <w:vAlign w:val="center"/>
            <w:hideMark/>
          </w:tcPr>
          <w:p w:rsidRPr="00581457" w:rsidR="00C96748" w:rsidP="00100288" w:rsidRDefault="00C96748" w14:paraId="044297A1"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 xml:space="preserve">$349 </w:t>
            </w:r>
          </w:p>
        </w:tc>
        <w:tc>
          <w:tcPr>
            <w:tcW w:w="691" w:type="dxa"/>
            <w:tcBorders>
              <w:top w:val="nil"/>
              <w:left w:val="nil"/>
              <w:bottom w:val="single" w:color="auto" w:sz="8" w:space="0"/>
              <w:right w:val="single" w:color="auto" w:sz="8" w:space="0"/>
            </w:tcBorders>
            <w:shd w:val="clear" w:color="auto" w:fill="auto"/>
            <w:noWrap/>
            <w:vAlign w:val="center"/>
            <w:hideMark/>
          </w:tcPr>
          <w:p w:rsidRPr="00581457" w:rsidR="00C96748" w:rsidP="00100288" w:rsidRDefault="00C96748" w14:paraId="09BFA5C0"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5,527</w:t>
            </w:r>
          </w:p>
        </w:tc>
        <w:tc>
          <w:tcPr>
            <w:tcW w:w="2210" w:type="dxa"/>
            <w:tcBorders>
              <w:top w:val="nil"/>
              <w:left w:val="nil"/>
              <w:bottom w:val="single" w:color="auto" w:sz="8" w:space="0"/>
              <w:right w:val="nil"/>
            </w:tcBorders>
            <w:shd w:val="clear" w:color="auto" w:fill="auto"/>
            <w:noWrap/>
            <w:vAlign w:val="center"/>
            <w:hideMark/>
          </w:tcPr>
          <w:p w:rsidRPr="00581457" w:rsidR="00C96748" w:rsidP="00100288" w:rsidRDefault="00C96748" w14:paraId="18467B50"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Allegations per year</w:t>
            </w:r>
          </w:p>
        </w:tc>
        <w:tc>
          <w:tcPr>
            <w:tcW w:w="1120" w:type="dxa"/>
            <w:tcBorders>
              <w:top w:val="nil"/>
              <w:left w:val="single" w:color="000000" w:sz="8" w:space="0"/>
              <w:bottom w:val="single" w:color="auto" w:sz="8" w:space="0"/>
              <w:right w:val="single" w:color="000000" w:sz="8" w:space="0"/>
            </w:tcBorders>
            <w:shd w:val="clear" w:color="auto" w:fill="auto"/>
            <w:noWrap/>
            <w:vAlign w:val="center"/>
            <w:hideMark/>
          </w:tcPr>
          <w:p w:rsidRPr="00581457" w:rsidR="00C96748" w:rsidP="00100288" w:rsidRDefault="00C96748" w14:paraId="62F56741"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N/A</w:t>
            </w:r>
          </w:p>
        </w:tc>
        <w:tc>
          <w:tcPr>
            <w:tcW w:w="805" w:type="dxa"/>
            <w:tcBorders>
              <w:top w:val="nil"/>
              <w:left w:val="nil"/>
              <w:bottom w:val="single" w:color="auto" w:sz="8" w:space="0"/>
              <w:right w:val="single" w:color="000000" w:sz="8" w:space="0"/>
            </w:tcBorders>
            <w:shd w:val="clear" w:color="auto" w:fill="auto"/>
            <w:noWrap/>
            <w:vAlign w:val="center"/>
            <w:hideMark/>
          </w:tcPr>
          <w:p w:rsidRPr="00581457" w:rsidR="00C96748" w:rsidP="00100288" w:rsidRDefault="00C96748" w14:paraId="7B87157B"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22,108</w:t>
            </w:r>
          </w:p>
        </w:tc>
        <w:tc>
          <w:tcPr>
            <w:tcW w:w="1480" w:type="dxa"/>
            <w:tcBorders>
              <w:top w:val="nil"/>
              <w:left w:val="nil"/>
              <w:bottom w:val="single" w:color="auto" w:sz="8" w:space="0"/>
              <w:right w:val="double" w:color="000000" w:sz="6" w:space="0"/>
            </w:tcBorders>
            <w:shd w:val="clear" w:color="auto" w:fill="auto"/>
            <w:noWrap/>
            <w:vAlign w:val="center"/>
            <w:hideMark/>
          </w:tcPr>
          <w:p w:rsidRPr="00581457" w:rsidR="00C96748" w:rsidP="00100288" w:rsidRDefault="00C96748" w14:paraId="08500CF8"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$1,929,8</w:t>
            </w:r>
            <w:r>
              <w:rPr>
                <w:rFonts w:eastAsia="Times New Roman" w:cs="Arial"/>
                <w:color w:val="000000"/>
                <w:sz w:val="20"/>
                <w:szCs w:val="20"/>
              </w:rPr>
              <w:t>63</w:t>
            </w:r>
            <w:r w:rsidRPr="00581457">
              <w:rPr>
                <w:rFonts w:eastAsia="Times New Roman" w:cs="Arial"/>
                <w:color w:val="000000"/>
                <w:sz w:val="20"/>
                <w:szCs w:val="20"/>
              </w:rPr>
              <w:t xml:space="preserve"> </w:t>
            </w:r>
          </w:p>
        </w:tc>
      </w:tr>
      <w:tr w:rsidRPr="00581457" w:rsidR="00C96748" w:rsidTr="00100288" w14:paraId="19662846" w14:textId="77777777">
        <w:trPr>
          <w:trHeight w:val="540"/>
        </w:trPr>
        <w:tc>
          <w:tcPr>
            <w:tcW w:w="1601" w:type="dxa"/>
            <w:tcBorders>
              <w:top w:val="single" w:color="000000" w:sz="8" w:space="0"/>
              <w:left w:val="double" w:color="000000" w:sz="6" w:space="0"/>
              <w:bottom w:val="nil"/>
              <w:right w:val="nil"/>
            </w:tcBorders>
            <w:shd w:val="clear" w:color="auto" w:fill="auto"/>
            <w:vAlign w:val="center"/>
            <w:hideMark/>
          </w:tcPr>
          <w:p w:rsidRPr="00581457" w:rsidR="00C96748" w:rsidP="00100288" w:rsidRDefault="00C96748" w14:paraId="750E7B5E" w14:textId="77777777">
            <w:pPr>
              <w:spacing w:after="0" w:line="240" w:lineRule="auto"/>
              <w:rPr>
                <w:rFonts w:eastAsia="Times New Roman" w:cs="Arial"/>
                <w:color w:val="000000"/>
                <w:sz w:val="20"/>
                <w:szCs w:val="20"/>
              </w:rPr>
            </w:pPr>
            <w:r w:rsidRPr="00581457">
              <w:rPr>
                <w:rFonts w:eastAsia="Times New Roman" w:cs="Arial"/>
                <w:color w:val="000000"/>
                <w:sz w:val="20"/>
                <w:szCs w:val="20"/>
              </w:rPr>
              <w:t>Reporting, per report</w:t>
            </w:r>
          </w:p>
        </w:tc>
        <w:tc>
          <w:tcPr>
            <w:tcW w:w="805" w:type="dxa"/>
            <w:tcBorders>
              <w:top w:val="single" w:color="000000" w:sz="8" w:space="0"/>
              <w:left w:val="single" w:color="000000" w:sz="8" w:space="0"/>
              <w:bottom w:val="nil"/>
              <w:right w:val="nil"/>
            </w:tcBorders>
            <w:shd w:val="clear" w:color="auto" w:fill="auto"/>
            <w:vAlign w:val="center"/>
            <w:hideMark/>
          </w:tcPr>
          <w:p w:rsidRPr="00581457" w:rsidR="00C96748" w:rsidP="00100288" w:rsidRDefault="00C96748" w14:paraId="479FAB21"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8</w:t>
            </w:r>
          </w:p>
        </w:tc>
        <w:tc>
          <w:tcPr>
            <w:tcW w:w="648" w:type="dxa"/>
            <w:tcBorders>
              <w:top w:val="single" w:color="000000" w:sz="8" w:space="0"/>
              <w:left w:val="single" w:color="000000" w:sz="8" w:space="0"/>
              <w:bottom w:val="nil"/>
              <w:right w:val="single" w:color="000000" w:sz="8" w:space="0"/>
            </w:tcBorders>
            <w:shd w:val="clear" w:color="auto" w:fill="auto"/>
            <w:vAlign w:val="center"/>
            <w:hideMark/>
          </w:tcPr>
          <w:p w:rsidRPr="00581457" w:rsidR="00C96748" w:rsidP="00100288" w:rsidRDefault="00C96748" w14:paraId="5374E3A2"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 xml:space="preserve">$670 </w:t>
            </w:r>
          </w:p>
        </w:tc>
        <w:tc>
          <w:tcPr>
            <w:tcW w:w="691" w:type="dxa"/>
            <w:tcBorders>
              <w:top w:val="nil"/>
              <w:left w:val="nil"/>
              <w:bottom w:val="single" w:color="auto" w:sz="8" w:space="0"/>
              <w:right w:val="single" w:color="auto" w:sz="8" w:space="0"/>
            </w:tcBorders>
            <w:shd w:val="clear" w:color="auto" w:fill="auto"/>
            <w:noWrap/>
            <w:vAlign w:val="center"/>
            <w:hideMark/>
          </w:tcPr>
          <w:p w:rsidRPr="00581457" w:rsidR="00C96748" w:rsidP="00100288" w:rsidRDefault="00C96748" w14:paraId="464DA51A"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16</w:t>
            </w:r>
          </w:p>
        </w:tc>
        <w:tc>
          <w:tcPr>
            <w:tcW w:w="2210" w:type="dxa"/>
            <w:tcBorders>
              <w:top w:val="nil"/>
              <w:left w:val="nil"/>
              <w:bottom w:val="single" w:color="auto" w:sz="8" w:space="0"/>
              <w:right w:val="nil"/>
            </w:tcBorders>
            <w:shd w:val="clear" w:color="auto" w:fill="auto"/>
            <w:noWrap/>
            <w:vAlign w:val="center"/>
            <w:hideMark/>
          </w:tcPr>
          <w:p w:rsidRPr="00581457" w:rsidR="00C96748" w:rsidP="00100288" w:rsidRDefault="00C96748" w14:paraId="2BC3BBD3"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Reports per year</w:t>
            </w:r>
          </w:p>
        </w:tc>
        <w:tc>
          <w:tcPr>
            <w:tcW w:w="1120" w:type="dxa"/>
            <w:tcBorders>
              <w:top w:val="nil"/>
              <w:left w:val="single" w:color="000000" w:sz="8" w:space="0"/>
              <w:bottom w:val="single" w:color="auto" w:sz="8" w:space="0"/>
              <w:right w:val="single" w:color="000000" w:sz="8" w:space="0"/>
            </w:tcBorders>
            <w:shd w:val="clear" w:color="auto" w:fill="auto"/>
            <w:noWrap/>
            <w:vAlign w:val="center"/>
            <w:hideMark/>
          </w:tcPr>
          <w:p w:rsidRPr="00581457" w:rsidR="00C96748" w:rsidP="00100288" w:rsidRDefault="00C96748" w14:paraId="0F095E47"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N/A</w:t>
            </w:r>
          </w:p>
        </w:tc>
        <w:tc>
          <w:tcPr>
            <w:tcW w:w="805" w:type="dxa"/>
            <w:tcBorders>
              <w:top w:val="nil"/>
              <w:left w:val="nil"/>
              <w:bottom w:val="single" w:color="auto" w:sz="8" w:space="0"/>
              <w:right w:val="single" w:color="000000" w:sz="8" w:space="0"/>
            </w:tcBorders>
            <w:shd w:val="clear" w:color="auto" w:fill="auto"/>
            <w:noWrap/>
            <w:vAlign w:val="center"/>
            <w:hideMark/>
          </w:tcPr>
          <w:p w:rsidRPr="00581457" w:rsidR="00C96748" w:rsidP="00100288" w:rsidRDefault="00C96748" w14:paraId="75728E59"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128</w:t>
            </w:r>
          </w:p>
        </w:tc>
        <w:tc>
          <w:tcPr>
            <w:tcW w:w="1480" w:type="dxa"/>
            <w:tcBorders>
              <w:top w:val="nil"/>
              <w:left w:val="nil"/>
              <w:bottom w:val="single" w:color="auto" w:sz="8" w:space="0"/>
              <w:right w:val="double" w:color="000000" w:sz="6" w:space="0"/>
            </w:tcBorders>
            <w:shd w:val="clear" w:color="auto" w:fill="auto"/>
            <w:noWrap/>
            <w:vAlign w:val="center"/>
            <w:hideMark/>
          </w:tcPr>
          <w:p w:rsidRPr="00581457" w:rsidR="00C96748" w:rsidP="00100288" w:rsidRDefault="00C96748" w14:paraId="46CBF440"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 xml:space="preserve">$10,724 </w:t>
            </w:r>
          </w:p>
        </w:tc>
      </w:tr>
      <w:tr w:rsidRPr="00581457" w:rsidR="00C96748" w:rsidTr="00100288" w14:paraId="609D62A3" w14:textId="77777777">
        <w:trPr>
          <w:trHeight w:val="804"/>
        </w:trPr>
        <w:tc>
          <w:tcPr>
            <w:tcW w:w="1601" w:type="dxa"/>
            <w:tcBorders>
              <w:top w:val="single" w:color="000000" w:sz="8" w:space="0"/>
              <w:left w:val="double" w:color="000000" w:sz="6" w:space="0"/>
              <w:bottom w:val="nil"/>
              <w:right w:val="nil"/>
            </w:tcBorders>
            <w:shd w:val="clear" w:color="auto" w:fill="auto"/>
            <w:vAlign w:val="center"/>
            <w:hideMark/>
          </w:tcPr>
          <w:p w:rsidRPr="00581457" w:rsidR="00C96748" w:rsidP="00100288" w:rsidRDefault="00C96748" w14:paraId="7F23C3EB" w14:textId="77777777">
            <w:pPr>
              <w:spacing w:after="0" w:line="240" w:lineRule="auto"/>
              <w:rPr>
                <w:rFonts w:eastAsia="Times New Roman" w:cs="Arial"/>
                <w:color w:val="000000"/>
                <w:sz w:val="20"/>
                <w:szCs w:val="20"/>
              </w:rPr>
            </w:pPr>
            <w:r w:rsidRPr="00581457">
              <w:rPr>
                <w:rFonts w:eastAsia="Times New Roman" w:cs="Arial"/>
                <w:color w:val="000000"/>
                <w:sz w:val="20"/>
                <w:szCs w:val="20"/>
              </w:rPr>
              <w:t>Federal Register Notice review, per Notice</w:t>
            </w:r>
          </w:p>
        </w:tc>
        <w:tc>
          <w:tcPr>
            <w:tcW w:w="805" w:type="dxa"/>
            <w:tcBorders>
              <w:top w:val="single" w:color="000000" w:sz="8" w:space="0"/>
              <w:left w:val="single" w:color="000000" w:sz="8" w:space="0"/>
              <w:bottom w:val="nil"/>
              <w:right w:val="nil"/>
            </w:tcBorders>
            <w:shd w:val="clear" w:color="auto" w:fill="auto"/>
            <w:vAlign w:val="center"/>
            <w:hideMark/>
          </w:tcPr>
          <w:p w:rsidRPr="00581457" w:rsidR="00C96748" w:rsidP="00100288" w:rsidRDefault="00C96748" w14:paraId="1A1FFAF2"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0.25</w:t>
            </w:r>
          </w:p>
        </w:tc>
        <w:tc>
          <w:tcPr>
            <w:tcW w:w="648" w:type="dxa"/>
            <w:tcBorders>
              <w:top w:val="single" w:color="000000" w:sz="8" w:space="0"/>
              <w:left w:val="single" w:color="000000" w:sz="8" w:space="0"/>
              <w:bottom w:val="nil"/>
              <w:right w:val="single" w:color="000000" w:sz="8" w:space="0"/>
            </w:tcBorders>
            <w:shd w:val="clear" w:color="auto" w:fill="auto"/>
            <w:vAlign w:val="center"/>
            <w:hideMark/>
          </w:tcPr>
          <w:p w:rsidRPr="00581457" w:rsidR="00C96748" w:rsidP="00100288" w:rsidRDefault="00C96748" w14:paraId="57EAD108"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 xml:space="preserve">$24 </w:t>
            </w:r>
          </w:p>
        </w:tc>
        <w:tc>
          <w:tcPr>
            <w:tcW w:w="691" w:type="dxa"/>
            <w:tcBorders>
              <w:top w:val="nil"/>
              <w:left w:val="nil"/>
              <w:bottom w:val="nil"/>
              <w:right w:val="single" w:color="auto" w:sz="8" w:space="0"/>
            </w:tcBorders>
            <w:shd w:val="clear" w:color="auto" w:fill="auto"/>
            <w:noWrap/>
            <w:vAlign w:val="center"/>
            <w:hideMark/>
          </w:tcPr>
          <w:p w:rsidRPr="00581457" w:rsidR="00C96748" w:rsidP="00100288" w:rsidRDefault="00C96748" w14:paraId="666205CF"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10</w:t>
            </w:r>
          </w:p>
        </w:tc>
        <w:tc>
          <w:tcPr>
            <w:tcW w:w="2210" w:type="dxa"/>
            <w:tcBorders>
              <w:top w:val="nil"/>
              <w:left w:val="nil"/>
              <w:bottom w:val="nil"/>
              <w:right w:val="nil"/>
            </w:tcBorders>
            <w:shd w:val="clear" w:color="auto" w:fill="auto"/>
            <w:noWrap/>
            <w:vAlign w:val="center"/>
            <w:hideMark/>
          </w:tcPr>
          <w:p w:rsidRPr="00581457" w:rsidR="00C96748" w:rsidP="00100288" w:rsidRDefault="00C96748" w14:paraId="5985B13C"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Notices per year per firm</w:t>
            </w:r>
          </w:p>
        </w:tc>
        <w:tc>
          <w:tcPr>
            <w:tcW w:w="1120" w:type="dxa"/>
            <w:tcBorders>
              <w:top w:val="nil"/>
              <w:left w:val="single" w:color="000000" w:sz="8" w:space="0"/>
              <w:bottom w:val="nil"/>
              <w:right w:val="single" w:color="000000" w:sz="8" w:space="0"/>
            </w:tcBorders>
            <w:shd w:val="clear" w:color="auto" w:fill="auto"/>
            <w:noWrap/>
            <w:vAlign w:val="center"/>
            <w:hideMark/>
          </w:tcPr>
          <w:p w:rsidRPr="00581457" w:rsidR="00C96748" w:rsidP="00100288" w:rsidRDefault="00C96748" w14:paraId="78ED3F3B"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13,160</w:t>
            </w:r>
          </w:p>
        </w:tc>
        <w:tc>
          <w:tcPr>
            <w:tcW w:w="805" w:type="dxa"/>
            <w:tcBorders>
              <w:top w:val="nil"/>
              <w:left w:val="nil"/>
              <w:bottom w:val="nil"/>
              <w:right w:val="single" w:color="000000" w:sz="8" w:space="0"/>
            </w:tcBorders>
            <w:shd w:val="clear" w:color="auto" w:fill="auto"/>
            <w:noWrap/>
            <w:vAlign w:val="center"/>
            <w:hideMark/>
          </w:tcPr>
          <w:p w:rsidRPr="00581457" w:rsidR="00C96748" w:rsidP="00100288" w:rsidRDefault="00C96748" w14:paraId="409FC4FA"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3,290</w:t>
            </w:r>
          </w:p>
        </w:tc>
        <w:tc>
          <w:tcPr>
            <w:tcW w:w="1480" w:type="dxa"/>
            <w:tcBorders>
              <w:top w:val="nil"/>
              <w:left w:val="nil"/>
              <w:bottom w:val="nil"/>
              <w:right w:val="double" w:color="000000" w:sz="6" w:space="0"/>
            </w:tcBorders>
            <w:shd w:val="clear" w:color="auto" w:fill="auto"/>
            <w:noWrap/>
            <w:vAlign w:val="center"/>
            <w:hideMark/>
          </w:tcPr>
          <w:p w:rsidRPr="00581457" w:rsidR="00C96748" w:rsidP="00100288" w:rsidRDefault="00C96748" w14:paraId="4C547F1D" w14:textId="77777777">
            <w:pPr>
              <w:spacing w:after="0" w:line="240" w:lineRule="auto"/>
              <w:jc w:val="right"/>
              <w:rPr>
                <w:rFonts w:eastAsia="Times New Roman" w:cs="Arial"/>
                <w:color w:val="000000"/>
                <w:sz w:val="20"/>
                <w:szCs w:val="20"/>
              </w:rPr>
            </w:pPr>
            <w:r w:rsidRPr="00581457">
              <w:rPr>
                <w:rFonts w:eastAsia="Times New Roman" w:cs="Arial"/>
                <w:color w:val="000000"/>
                <w:sz w:val="20"/>
                <w:szCs w:val="20"/>
              </w:rPr>
              <w:t>$3,1</w:t>
            </w:r>
            <w:r>
              <w:rPr>
                <w:rFonts w:eastAsia="Times New Roman" w:cs="Arial"/>
                <w:color w:val="000000"/>
                <w:sz w:val="20"/>
                <w:szCs w:val="20"/>
              </w:rPr>
              <w:t>09</w:t>
            </w:r>
            <w:r w:rsidRPr="00581457">
              <w:rPr>
                <w:rFonts w:eastAsia="Times New Roman" w:cs="Arial"/>
                <w:color w:val="000000"/>
                <w:sz w:val="20"/>
                <w:szCs w:val="20"/>
              </w:rPr>
              <w:t>,</w:t>
            </w:r>
            <w:r>
              <w:rPr>
                <w:rFonts w:eastAsia="Times New Roman" w:cs="Arial"/>
                <w:color w:val="000000"/>
                <w:sz w:val="20"/>
                <w:szCs w:val="20"/>
              </w:rPr>
              <w:t>708</w:t>
            </w:r>
            <w:r w:rsidRPr="00581457">
              <w:rPr>
                <w:rFonts w:eastAsia="Times New Roman" w:cs="Arial"/>
                <w:color w:val="000000"/>
                <w:sz w:val="20"/>
                <w:szCs w:val="20"/>
              </w:rPr>
              <w:t xml:space="preserve"> </w:t>
            </w:r>
          </w:p>
        </w:tc>
      </w:tr>
      <w:tr w:rsidRPr="00581457" w:rsidR="00C96748" w:rsidTr="00100288" w14:paraId="23BA64B3" w14:textId="77777777">
        <w:trPr>
          <w:trHeight w:val="324"/>
        </w:trPr>
        <w:tc>
          <w:tcPr>
            <w:tcW w:w="1601" w:type="dxa"/>
            <w:tcBorders>
              <w:top w:val="single" w:color="000000" w:sz="8" w:space="0"/>
              <w:left w:val="double" w:color="000000" w:sz="6" w:space="0"/>
              <w:bottom w:val="double" w:color="000000" w:sz="6" w:space="0"/>
              <w:right w:val="nil"/>
            </w:tcBorders>
            <w:shd w:val="clear" w:color="auto" w:fill="auto"/>
            <w:vAlign w:val="center"/>
            <w:hideMark/>
          </w:tcPr>
          <w:p w:rsidRPr="00581457" w:rsidR="00C96748" w:rsidP="00100288" w:rsidRDefault="00C96748" w14:paraId="10DDDEA9" w14:textId="77777777">
            <w:pPr>
              <w:spacing w:after="0" w:line="240" w:lineRule="auto"/>
              <w:rPr>
                <w:rFonts w:eastAsia="Times New Roman" w:cs="Arial"/>
                <w:b/>
                <w:bCs/>
                <w:color w:val="000000"/>
                <w:sz w:val="20"/>
                <w:szCs w:val="20"/>
              </w:rPr>
            </w:pPr>
            <w:r w:rsidRPr="00581457">
              <w:rPr>
                <w:rFonts w:eastAsia="Times New Roman" w:cs="Arial"/>
                <w:b/>
                <w:bCs/>
                <w:color w:val="000000"/>
                <w:sz w:val="20"/>
                <w:szCs w:val="20"/>
              </w:rPr>
              <w:t>Total Burden/Cost</w:t>
            </w:r>
          </w:p>
        </w:tc>
        <w:tc>
          <w:tcPr>
            <w:tcW w:w="805" w:type="dxa"/>
            <w:tcBorders>
              <w:top w:val="single" w:color="000000" w:sz="8" w:space="0"/>
              <w:left w:val="nil"/>
              <w:bottom w:val="double" w:color="000000" w:sz="6" w:space="0"/>
              <w:right w:val="nil"/>
            </w:tcBorders>
            <w:shd w:val="clear" w:color="auto" w:fill="auto"/>
            <w:vAlign w:val="center"/>
            <w:hideMark/>
          </w:tcPr>
          <w:p w:rsidRPr="00581457" w:rsidR="00C96748" w:rsidP="00100288" w:rsidRDefault="00C96748" w14:paraId="2AB3ABE6"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 </w:t>
            </w:r>
          </w:p>
        </w:tc>
        <w:tc>
          <w:tcPr>
            <w:tcW w:w="648" w:type="dxa"/>
            <w:tcBorders>
              <w:top w:val="single" w:color="000000" w:sz="8" w:space="0"/>
              <w:left w:val="nil"/>
              <w:bottom w:val="double" w:color="000000" w:sz="6" w:space="0"/>
              <w:right w:val="nil"/>
            </w:tcBorders>
            <w:shd w:val="clear" w:color="auto" w:fill="auto"/>
            <w:vAlign w:val="center"/>
            <w:hideMark/>
          </w:tcPr>
          <w:p w:rsidRPr="00581457" w:rsidR="00C96748" w:rsidP="00100288" w:rsidRDefault="00C96748" w14:paraId="49D65A5D"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 </w:t>
            </w:r>
          </w:p>
        </w:tc>
        <w:tc>
          <w:tcPr>
            <w:tcW w:w="691" w:type="dxa"/>
            <w:tcBorders>
              <w:top w:val="single" w:color="000000" w:sz="8" w:space="0"/>
              <w:left w:val="nil"/>
              <w:bottom w:val="double" w:color="000000" w:sz="6" w:space="0"/>
              <w:right w:val="nil"/>
            </w:tcBorders>
            <w:shd w:val="clear" w:color="auto" w:fill="auto"/>
            <w:vAlign w:val="center"/>
            <w:hideMark/>
          </w:tcPr>
          <w:p w:rsidRPr="00581457" w:rsidR="00C96748" w:rsidP="00100288" w:rsidRDefault="00C96748" w14:paraId="3F558A63"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 </w:t>
            </w:r>
          </w:p>
        </w:tc>
        <w:tc>
          <w:tcPr>
            <w:tcW w:w="2210" w:type="dxa"/>
            <w:tcBorders>
              <w:top w:val="single" w:color="000000" w:sz="8" w:space="0"/>
              <w:left w:val="nil"/>
              <w:bottom w:val="double" w:color="000000" w:sz="6" w:space="0"/>
              <w:right w:val="nil"/>
            </w:tcBorders>
            <w:shd w:val="clear" w:color="auto" w:fill="auto"/>
            <w:vAlign w:val="center"/>
            <w:hideMark/>
          </w:tcPr>
          <w:p w:rsidRPr="00581457" w:rsidR="00C96748" w:rsidP="00100288" w:rsidRDefault="00C96748" w14:paraId="4FAAC152"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 </w:t>
            </w:r>
          </w:p>
        </w:tc>
        <w:tc>
          <w:tcPr>
            <w:tcW w:w="1120" w:type="dxa"/>
            <w:tcBorders>
              <w:top w:val="single" w:color="000000" w:sz="8" w:space="0"/>
              <w:left w:val="nil"/>
              <w:bottom w:val="double" w:color="000000" w:sz="6" w:space="0"/>
              <w:right w:val="single" w:color="000000" w:sz="8" w:space="0"/>
            </w:tcBorders>
            <w:shd w:val="clear" w:color="auto" w:fill="auto"/>
            <w:vAlign w:val="center"/>
            <w:hideMark/>
          </w:tcPr>
          <w:p w:rsidRPr="00581457" w:rsidR="00C96748" w:rsidP="00100288" w:rsidRDefault="00C96748" w14:paraId="64C739F5"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 </w:t>
            </w:r>
          </w:p>
        </w:tc>
        <w:tc>
          <w:tcPr>
            <w:tcW w:w="805" w:type="dxa"/>
            <w:tcBorders>
              <w:top w:val="single" w:color="000000" w:sz="8" w:space="0"/>
              <w:left w:val="nil"/>
              <w:bottom w:val="double" w:color="000000" w:sz="6" w:space="0"/>
              <w:right w:val="single" w:color="000000" w:sz="8" w:space="0"/>
            </w:tcBorders>
            <w:shd w:val="clear" w:color="auto" w:fill="auto"/>
            <w:noWrap/>
            <w:vAlign w:val="center"/>
            <w:hideMark/>
          </w:tcPr>
          <w:p w:rsidRPr="00581457" w:rsidR="00C96748" w:rsidP="00100288" w:rsidRDefault="00C96748" w14:paraId="4A075DAB"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25,526</w:t>
            </w:r>
          </w:p>
        </w:tc>
        <w:tc>
          <w:tcPr>
            <w:tcW w:w="1480" w:type="dxa"/>
            <w:tcBorders>
              <w:top w:val="single" w:color="000000" w:sz="8" w:space="0"/>
              <w:left w:val="nil"/>
              <w:bottom w:val="double" w:color="000000" w:sz="6" w:space="0"/>
              <w:right w:val="double" w:color="000000" w:sz="6" w:space="0"/>
            </w:tcBorders>
            <w:shd w:val="clear" w:color="auto" w:fill="auto"/>
            <w:noWrap/>
            <w:vAlign w:val="center"/>
            <w:hideMark/>
          </w:tcPr>
          <w:p w:rsidRPr="00581457" w:rsidR="00C96748" w:rsidP="00100288" w:rsidRDefault="00C96748" w14:paraId="17A15805" w14:textId="77777777">
            <w:pPr>
              <w:spacing w:after="0" w:line="240" w:lineRule="auto"/>
              <w:jc w:val="right"/>
              <w:rPr>
                <w:rFonts w:eastAsia="Times New Roman" w:cs="Arial"/>
                <w:b/>
                <w:bCs/>
                <w:color w:val="000000"/>
                <w:sz w:val="20"/>
                <w:szCs w:val="20"/>
              </w:rPr>
            </w:pPr>
            <w:r w:rsidRPr="00581457">
              <w:rPr>
                <w:rFonts w:eastAsia="Times New Roman" w:cs="Arial"/>
                <w:b/>
                <w:bCs/>
                <w:color w:val="000000"/>
                <w:sz w:val="20"/>
                <w:szCs w:val="20"/>
              </w:rPr>
              <w:t>$5,050,</w:t>
            </w:r>
            <w:r>
              <w:rPr>
                <w:rFonts w:eastAsia="Times New Roman" w:cs="Arial"/>
                <w:b/>
                <w:bCs/>
                <w:color w:val="000000"/>
                <w:sz w:val="20"/>
                <w:szCs w:val="20"/>
              </w:rPr>
              <w:t>295</w:t>
            </w:r>
            <w:r w:rsidRPr="00581457">
              <w:rPr>
                <w:rFonts w:eastAsia="Times New Roman" w:cs="Arial"/>
                <w:b/>
                <w:bCs/>
                <w:color w:val="000000"/>
                <w:sz w:val="20"/>
                <w:szCs w:val="20"/>
              </w:rPr>
              <w:t xml:space="preserve"> </w:t>
            </w:r>
          </w:p>
        </w:tc>
      </w:tr>
    </w:tbl>
    <w:p w:rsidR="00C96748" w:rsidP="008C6A2E" w:rsidRDefault="00C96748" w14:paraId="758E8770" w14:textId="77777777">
      <w:pPr>
        <w:numPr>
          <w:ilvl w:val="12"/>
          <w:numId w:val="0"/>
        </w:numPr>
        <w:rPr>
          <w:rFonts w:cs="Arial"/>
          <w:szCs w:val="24"/>
        </w:rPr>
      </w:pPr>
    </w:p>
    <w:p w:rsidRPr="008C6A2E" w:rsidR="005C3BF0" w:rsidP="008C6A2E" w:rsidRDefault="005C3BF0" w14:paraId="300EEA5B" w14:textId="0500A840">
      <w:pPr>
        <w:numPr>
          <w:ilvl w:val="12"/>
          <w:numId w:val="0"/>
        </w:numPr>
        <w:rPr>
          <w:rFonts w:cs="Arial"/>
          <w:szCs w:val="24"/>
        </w:rPr>
      </w:pPr>
      <w:r w:rsidRPr="008C6A2E">
        <w:rPr>
          <w:rFonts w:cs="Arial"/>
          <w:szCs w:val="24"/>
        </w:rPr>
        <w:t xml:space="preserve">Despite the infrequency with which the Agency actually publishes TSCA section 8(c) notices, EPA conservatively assumes that 16 TSCA section 8(c) reports will be submitted annually, in response to the publication of a single, assumed TSCA section 8(c) notice per year. </w:t>
      </w:r>
    </w:p>
    <w:p w:rsidRPr="008C6A2E" w:rsidR="005C3BF0" w:rsidP="008C6A2E" w:rsidRDefault="005C3BF0" w14:paraId="474161C0" w14:textId="29E47A5D">
      <w:pPr>
        <w:numPr>
          <w:ilvl w:val="12"/>
          <w:numId w:val="0"/>
        </w:numPr>
        <w:rPr>
          <w:rFonts w:cs="Arial"/>
          <w:szCs w:val="24"/>
        </w:rPr>
      </w:pPr>
      <w:r w:rsidRPr="008C6A2E">
        <w:rPr>
          <w:rFonts w:cs="Arial"/>
          <w:szCs w:val="24"/>
        </w:rPr>
        <w:t xml:space="preserve">Historically, the Agency has published an average of only 0.08 notices each year since 1983, as EPA has published only two notices to date. In light of that history, EPA conservatively assumes that it will publish a single, TSCA section 8(c) notice each year. </w:t>
      </w:r>
    </w:p>
    <w:p w:rsidRPr="008C6A2E" w:rsidR="005C3BF0" w:rsidP="008C6A2E" w:rsidRDefault="005C3BF0" w14:paraId="324FE189" w14:textId="500A26DB">
      <w:pPr>
        <w:numPr>
          <w:ilvl w:val="12"/>
          <w:numId w:val="0"/>
        </w:numPr>
        <w:rPr>
          <w:rFonts w:cs="Arial"/>
          <w:szCs w:val="24"/>
        </w:rPr>
      </w:pPr>
      <w:r w:rsidRPr="008C6A2E">
        <w:rPr>
          <w:rFonts w:cs="Arial"/>
          <w:szCs w:val="24"/>
        </w:rPr>
        <w:t xml:space="preserve">The total paperwork burden on the regulated community imposed by TSCA section 8(c) is the sum of the three components identified above (recordkeeping, reporting, and </w:t>
      </w:r>
      <w:r w:rsidRPr="00BD443C">
        <w:rPr>
          <w:rFonts w:cs="Arial"/>
          <w:szCs w:val="24"/>
        </w:rPr>
        <w:t>Federal Register</w:t>
      </w:r>
      <w:r w:rsidRPr="008C6A2E">
        <w:rPr>
          <w:rFonts w:cs="Arial"/>
          <w:szCs w:val="24"/>
        </w:rPr>
        <w:t xml:space="preserve"> notice review) and estimated at 25,</w:t>
      </w:r>
      <w:r w:rsidRPr="008C6A2E" w:rsidR="00C96748">
        <w:rPr>
          <w:rFonts w:cs="Arial"/>
          <w:szCs w:val="24"/>
        </w:rPr>
        <w:t>52</w:t>
      </w:r>
      <w:r w:rsidR="00C96748">
        <w:rPr>
          <w:rFonts w:cs="Arial"/>
          <w:szCs w:val="24"/>
        </w:rPr>
        <w:t>6</w:t>
      </w:r>
      <w:r w:rsidRPr="008C6A2E" w:rsidR="00C96748">
        <w:rPr>
          <w:rFonts w:cs="Arial"/>
          <w:szCs w:val="24"/>
        </w:rPr>
        <w:t xml:space="preserve"> </w:t>
      </w:r>
      <w:r w:rsidRPr="008C6A2E">
        <w:rPr>
          <w:rFonts w:cs="Arial"/>
          <w:szCs w:val="24"/>
        </w:rPr>
        <w:t>hours annually with an associated annual cost of $</w:t>
      </w:r>
      <w:r w:rsidR="00C96748">
        <w:rPr>
          <w:rFonts w:cs="Arial"/>
          <w:szCs w:val="24"/>
        </w:rPr>
        <w:t>5,050,295</w:t>
      </w:r>
      <w:r w:rsidRPr="008C6A2E">
        <w:rPr>
          <w:rFonts w:cs="Arial"/>
          <w:szCs w:val="24"/>
        </w:rPr>
        <w:t>. These totals, shown in</w:t>
      </w:r>
      <w:r w:rsidR="00567DD9">
        <w:rPr>
          <w:rFonts w:cs="Arial"/>
          <w:szCs w:val="24"/>
        </w:rPr>
        <w:t xml:space="preserve"> </w:t>
      </w:r>
      <w:r w:rsidR="0034191D">
        <w:rPr>
          <w:rFonts w:cs="Arial"/>
          <w:szCs w:val="24"/>
        </w:rPr>
        <w:t>Table 7</w:t>
      </w:r>
      <w:r w:rsidRPr="008C6A2E">
        <w:rPr>
          <w:rFonts w:cs="Arial"/>
          <w:szCs w:val="24"/>
        </w:rPr>
        <w:t>, is the estimated annual burden and burden costs for each of the three years covered by this ICR. There are no separate or additional costs associated with maintenance and operations (i.e., non-burden costs)</w:t>
      </w:r>
      <w:r w:rsidR="00567DD9">
        <w:rPr>
          <w:rFonts w:cs="Arial"/>
          <w:szCs w:val="24"/>
        </w:rPr>
        <w:t>.</w:t>
      </w:r>
    </w:p>
    <w:p w:rsidRPr="004F2814" w:rsidR="005C3BF0" w:rsidP="000E72EF" w:rsidRDefault="00B26B4B" w14:paraId="3D8C15FE" w14:textId="5629E141">
      <w:pPr>
        <w:pStyle w:val="Caption"/>
        <w:rPr>
          <w:szCs w:val="24"/>
        </w:rPr>
      </w:pPr>
      <w:bookmarkStart w:name="_Ref96091941" w:id="34"/>
      <w:r>
        <w:t xml:space="preserve">Table </w:t>
      </w:r>
      <w:bookmarkEnd w:id="34"/>
      <w:r w:rsidR="000E72EF">
        <w:t>7</w:t>
      </w:r>
      <w:r>
        <w:t>. Overall Total Industry Burden and Cost for TSCA Section 8(c)</w:t>
      </w:r>
      <w:r w:rsidR="00567DD9">
        <w:t xml:space="preserve"> (2021$)</w:t>
      </w:r>
    </w:p>
    <w:tbl>
      <w:tblPr>
        <w:tblW w:w="8320" w:type="dxa"/>
        <w:tblCellMar>
          <w:left w:w="0" w:type="dxa"/>
          <w:right w:w="0" w:type="dxa"/>
        </w:tblCellMar>
        <w:tblLook w:val="04A0" w:firstRow="1" w:lastRow="0" w:firstColumn="1" w:lastColumn="0" w:noHBand="0" w:noVBand="1"/>
      </w:tblPr>
      <w:tblGrid>
        <w:gridCol w:w="2420"/>
        <w:gridCol w:w="1900"/>
        <w:gridCol w:w="1480"/>
        <w:gridCol w:w="2520"/>
      </w:tblGrid>
      <w:tr w:rsidR="00B26B4B" w:rsidTr="00B26B4B" w14:paraId="7584E098" w14:textId="77777777">
        <w:trPr>
          <w:trHeight w:val="1272"/>
        </w:trPr>
        <w:tc>
          <w:tcPr>
            <w:tcW w:w="2420" w:type="dxa"/>
            <w:tcBorders>
              <w:top w:val="double" w:color="000000" w:sz="6" w:space="0"/>
              <w:left w:val="double" w:color="000000" w:sz="6" w:space="0"/>
              <w:bottom w:val="single" w:color="auto" w:sz="8" w:space="0"/>
              <w:right w:val="single" w:color="auto" w:sz="8" w:space="0"/>
            </w:tcBorders>
            <w:shd w:val="clear" w:color="000000" w:fill="D9D9D9"/>
            <w:vAlign w:val="center"/>
            <w:hideMark/>
          </w:tcPr>
          <w:p w:rsidR="00B26B4B" w:rsidRDefault="00B26B4B" w14:paraId="66FC7352" w14:textId="77777777">
            <w:pPr>
              <w:spacing w:after="0" w:line="240" w:lineRule="auto"/>
              <w:jc w:val="center"/>
              <w:rPr>
                <w:rFonts w:cs="Arial"/>
                <w:b/>
                <w:bCs/>
                <w:color w:val="000000"/>
              </w:rPr>
            </w:pPr>
            <w:r>
              <w:rPr>
                <w:rFonts w:cs="Arial"/>
                <w:b/>
                <w:bCs/>
                <w:color w:val="000000"/>
              </w:rPr>
              <w:t>Collection Activity</w:t>
            </w:r>
          </w:p>
        </w:tc>
        <w:tc>
          <w:tcPr>
            <w:tcW w:w="1900" w:type="dxa"/>
            <w:tcBorders>
              <w:top w:val="double" w:color="000000" w:sz="6" w:space="0"/>
              <w:left w:val="nil"/>
              <w:bottom w:val="single" w:color="auto" w:sz="8" w:space="0"/>
              <w:right w:val="single" w:color="auto" w:sz="8" w:space="0"/>
            </w:tcBorders>
            <w:shd w:val="clear" w:color="000000" w:fill="D9D9D9"/>
            <w:vAlign w:val="center"/>
            <w:hideMark/>
          </w:tcPr>
          <w:p w:rsidR="00B26B4B" w:rsidRDefault="00B26B4B" w14:paraId="7DE0ED9F" w14:textId="77777777">
            <w:pPr>
              <w:jc w:val="center"/>
              <w:rPr>
                <w:rFonts w:cs="Arial"/>
                <w:b/>
                <w:bCs/>
                <w:color w:val="000000"/>
              </w:rPr>
            </w:pPr>
            <w:r>
              <w:rPr>
                <w:rFonts w:cs="Arial"/>
                <w:b/>
                <w:bCs/>
                <w:color w:val="000000"/>
              </w:rPr>
              <w:t>Number of Responses</w:t>
            </w:r>
          </w:p>
        </w:tc>
        <w:tc>
          <w:tcPr>
            <w:tcW w:w="1480" w:type="dxa"/>
            <w:tcBorders>
              <w:top w:val="double" w:color="000000" w:sz="6" w:space="0"/>
              <w:left w:val="nil"/>
              <w:bottom w:val="single" w:color="auto" w:sz="8" w:space="0"/>
              <w:right w:val="single" w:color="auto" w:sz="8" w:space="0"/>
            </w:tcBorders>
            <w:shd w:val="clear" w:color="000000" w:fill="D9D9D9"/>
            <w:vAlign w:val="center"/>
            <w:hideMark/>
          </w:tcPr>
          <w:p w:rsidR="00B26B4B" w:rsidRDefault="00B26B4B" w14:paraId="3908EEFD" w14:textId="77777777">
            <w:pPr>
              <w:jc w:val="center"/>
              <w:rPr>
                <w:rFonts w:cs="Arial"/>
                <w:b/>
                <w:bCs/>
                <w:color w:val="000000"/>
              </w:rPr>
            </w:pPr>
            <w:r>
              <w:rPr>
                <w:rFonts w:cs="Arial"/>
                <w:b/>
                <w:bCs/>
                <w:color w:val="000000"/>
              </w:rPr>
              <w:t>Total Annual Burden Hours</w:t>
            </w:r>
          </w:p>
        </w:tc>
        <w:tc>
          <w:tcPr>
            <w:tcW w:w="2520" w:type="dxa"/>
            <w:tcBorders>
              <w:top w:val="double" w:color="000000" w:sz="6" w:space="0"/>
              <w:left w:val="nil"/>
              <w:bottom w:val="single" w:color="auto" w:sz="8" w:space="0"/>
              <w:right w:val="double" w:color="000000" w:sz="6" w:space="0"/>
            </w:tcBorders>
            <w:shd w:val="clear" w:color="000000" w:fill="D9D9D9"/>
            <w:vAlign w:val="center"/>
            <w:hideMark/>
          </w:tcPr>
          <w:p w:rsidR="00B26B4B" w:rsidRDefault="00B26B4B" w14:paraId="26C52E10" w14:textId="77777777">
            <w:pPr>
              <w:jc w:val="center"/>
              <w:rPr>
                <w:rFonts w:cs="Arial"/>
                <w:b/>
                <w:bCs/>
                <w:color w:val="000000"/>
              </w:rPr>
            </w:pPr>
            <w:r>
              <w:rPr>
                <w:rFonts w:cs="Arial"/>
                <w:b/>
                <w:bCs/>
                <w:color w:val="000000"/>
              </w:rPr>
              <w:t>Total Annual Burden Cost</w:t>
            </w:r>
          </w:p>
        </w:tc>
      </w:tr>
      <w:tr w:rsidR="00B26B4B" w:rsidTr="00B26B4B" w14:paraId="3768E41B" w14:textId="77777777">
        <w:trPr>
          <w:trHeight w:val="540"/>
        </w:trPr>
        <w:tc>
          <w:tcPr>
            <w:tcW w:w="2420" w:type="dxa"/>
            <w:tcBorders>
              <w:top w:val="nil"/>
              <w:left w:val="double" w:color="000000" w:sz="6" w:space="0"/>
              <w:bottom w:val="single" w:color="auto" w:sz="8" w:space="0"/>
              <w:right w:val="single" w:color="auto" w:sz="8" w:space="0"/>
            </w:tcBorders>
            <w:shd w:val="clear" w:color="auto" w:fill="auto"/>
            <w:vAlign w:val="center"/>
            <w:hideMark/>
          </w:tcPr>
          <w:p w:rsidR="00B26B4B" w:rsidRDefault="00B26B4B" w14:paraId="05A91DAF" w14:textId="77777777">
            <w:pPr>
              <w:rPr>
                <w:rFonts w:cs="Arial"/>
                <w:color w:val="000000"/>
              </w:rPr>
            </w:pPr>
            <w:r>
              <w:rPr>
                <w:rFonts w:cs="Arial"/>
                <w:color w:val="000000"/>
              </w:rPr>
              <w:t>Recordkeeping</w:t>
            </w:r>
          </w:p>
        </w:tc>
        <w:tc>
          <w:tcPr>
            <w:tcW w:w="1900" w:type="dxa"/>
            <w:tcBorders>
              <w:top w:val="nil"/>
              <w:left w:val="nil"/>
              <w:bottom w:val="single" w:color="auto" w:sz="8" w:space="0"/>
              <w:right w:val="single" w:color="auto" w:sz="8" w:space="0"/>
            </w:tcBorders>
            <w:shd w:val="clear" w:color="auto" w:fill="auto"/>
            <w:vAlign w:val="center"/>
            <w:hideMark/>
          </w:tcPr>
          <w:p w:rsidR="00B26B4B" w:rsidRDefault="00B26B4B" w14:paraId="43E47CCB" w14:textId="77777777">
            <w:pPr>
              <w:jc w:val="right"/>
              <w:rPr>
                <w:rFonts w:cs="Arial"/>
                <w:color w:val="000000"/>
              </w:rPr>
            </w:pPr>
            <w:r>
              <w:rPr>
                <w:rFonts w:cs="Arial"/>
                <w:color w:val="000000"/>
              </w:rPr>
              <w:t>13,160</w:t>
            </w:r>
          </w:p>
        </w:tc>
        <w:tc>
          <w:tcPr>
            <w:tcW w:w="1480" w:type="dxa"/>
            <w:tcBorders>
              <w:top w:val="nil"/>
              <w:left w:val="nil"/>
              <w:bottom w:val="single" w:color="auto" w:sz="8" w:space="0"/>
              <w:right w:val="single" w:color="auto" w:sz="8" w:space="0"/>
            </w:tcBorders>
            <w:shd w:val="clear" w:color="auto" w:fill="auto"/>
            <w:vAlign w:val="center"/>
            <w:hideMark/>
          </w:tcPr>
          <w:p w:rsidR="00B26B4B" w:rsidRDefault="00B26B4B" w14:paraId="2F9456C2" w14:textId="77777777">
            <w:pPr>
              <w:jc w:val="right"/>
              <w:rPr>
                <w:rFonts w:cs="Arial"/>
                <w:color w:val="000000"/>
              </w:rPr>
            </w:pPr>
            <w:r>
              <w:rPr>
                <w:rFonts w:cs="Arial"/>
                <w:color w:val="000000"/>
              </w:rPr>
              <w:t>22,108</w:t>
            </w:r>
          </w:p>
        </w:tc>
        <w:tc>
          <w:tcPr>
            <w:tcW w:w="2520" w:type="dxa"/>
            <w:tcBorders>
              <w:top w:val="nil"/>
              <w:left w:val="nil"/>
              <w:bottom w:val="single" w:color="auto" w:sz="8" w:space="0"/>
              <w:right w:val="double" w:color="000000" w:sz="6" w:space="0"/>
            </w:tcBorders>
            <w:shd w:val="clear" w:color="auto" w:fill="auto"/>
            <w:vAlign w:val="center"/>
            <w:hideMark/>
          </w:tcPr>
          <w:p w:rsidR="00B26B4B" w:rsidRDefault="00B26B4B" w14:paraId="68D1103D" w14:textId="57DA71F4">
            <w:pPr>
              <w:jc w:val="right"/>
              <w:rPr>
                <w:rFonts w:cs="Arial"/>
                <w:color w:val="000000"/>
              </w:rPr>
            </w:pPr>
            <w:r>
              <w:rPr>
                <w:rFonts w:cs="Arial"/>
                <w:color w:val="000000"/>
              </w:rPr>
              <w:t>$1,929,8</w:t>
            </w:r>
            <w:r w:rsidR="00567DD9">
              <w:rPr>
                <w:rFonts w:cs="Arial"/>
                <w:color w:val="000000"/>
              </w:rPr>
              <w:t>63</w:t>
            </w:r>
            <w:r>
              <w:rPr>
                <w:rFonts w:cs="Arial"/>
                <w:color w:val="000000"/>
              </w:rPr>
              <w:t xml:space="preserve"> </w:t>
            </w:r>
          </w:p>
        </w:tc>
      </w:tr>
      <w:tr w:rsidR="00B26B4B" w:rsidTr="00B26B4B" w14:paraId="1284A447" w14:textId="77777777">
        <w:trPr>
          <w:trHeight w:val="540"/>
        </w:trPr>
        <w:tc>
          <w:tcPr>
            <w:tcW w:w="2420" w:type="dxa"/>
            <w:tcBorders>
              <w:top w:val="nil"/>
              <w:left w:val="double" w:color="000000" w:sz="6" w:space="0"/>
              <w:bottom w:val="single" w:color="auto" w:sz="8" w:space="0"/>
              <w:right w:val="single" w:color="auto" w:sz="8" w:space="0"/>
            </w:tcBorders>
            <w:shd w:val="clear" w:color="auto" w:fill="auto"/>
            <w:vAlign w:val="center"/>
            <w:hideMark/>
          </w:tcPr>
          <w:p w:rsidR="00B26B4B" w:rsidRDefault="00B26B4B" w14:paraId="4E03A185" w14:textId="77777777">
            <w:pPr>
              <w:rPr>
                <w:rFonts w:cs="Arial"/>
                <w:color w:val="000000"/>
              </w:rPr>
            </w:pPr>
            <w:r>
              <w:rPr>
                <w:rFonts w:cs="Arial"/>
                <w:color w:val="000000"/>
              </w:rPr>
              <w:t>Reporting</w:t>
            </w:r>
          </w:p>
        </w:tc>
        <w:tc>
          <w:tcPr>
            <w:tcW w:w="1900" w:type="dxa"/>
            <w:tcBorders>
              <w:top w:val="nil"/>
              <w:left w:val="nil"/>
              <w:bottom w:val="single" w:color="auto" w:sz="8" w:space="0"/>
              <w:right w:val="single" w:color="auto" w:sz="8" w:space="0"/>
            </w:tcBorders>
            <w:shd w:val="clear" w:color="auto" w:fill="auto"/>
            <w:vAlign w:val="center"/>
            <w:hideMark/>
          </w:tcPr>
          <w:p w:rsidR="00B26B4B" w:rsidRDefault="00B26B4B" w14:paraId="7C58509E" w14:textId="77777777">
            <w:pPr>
              <w:jc w:val="right"/>
              <w:rPr>
                <w:rFonts w:cs="Arial"/>
                <w:color w:val="000000"/>
              </w:rPr>
            </w:pPr>
            <w:r>
              <w:rPr>
                <w:rFonts w:cs="Arial"/>
                <w:color w:val="000000"/>
              </w:rPr>
              <w:t>16</w:t>
            </w:r>
          </w:p>
        </w:tc>
        <w:tc>
          <w:tcPr>
            <w:tcW w:w="1480" w:type="dxa"/>
            <w:tcBorders>
              <w:top w:val="nil"/>
              <w:left w:val="nil"/>
              <w:bottom w:val="single" w:color="auto" w:sz="8" w:space="0"/>
              <w:right w:val="single" w:color="auto" w:sz="8" w:space="0"/>
            </w:tcBorders>
            <w:shd w:val="clear" w:color="auto" w:fill="auto"/>
            <w:vAlign w:val="center"/>
            <w:hideMark/>
          </w:tcPr>
          <w:p w:rsidR="00B26B4B" w:rsidRDefault="00B26B4B" w14:paraId="6319AD6A" w14:textId="77777777">
            <w:pPr>
              <w:jc w:val="right"/>
              <w:rPr>
                <w:rFonts w:cs="Arial"/>
                <w:color w:val="000000"/>
              </w:rPr>
            </w:pPr>
            <w:r>
              <w:rPr>
                <w:rFonts w:cs="Arial"/>
                <w:color w:val="000000"/>
              </w:rPr>
              <w:t>128</w:t>
            </w:r>
          </w:p>
        </w:tc>
        <w:tc>
          <w:tcPr>
            <w:tcW w:w="2520" w:type="dxa"/>
            <w:tcBorders>
              <w:top w:val="nil"/>
              <w:left w:val="nil"/>
              <w:bottom w:val="single" w:color="auto" w:sz="8" w:space="0"/>
              <w:right w:val="double" w:color="000000" w:sz="6" w:space="0"/>
            </w:tcBorders>
            <w:shd w:val="clear" w:color="auto" w:fill="auto"/>
            <w:vAlign w:val="center"/>
            <w:hideMark/>
          </w:tcPr>
          <w:p w:rsidR="00B26B4B" w:rsidRDefault="00B26B4B" w14:paraId="6B1EAAA0" w14:textId="77777777">
            <w:pPr>
              <w:jc w:val="right"/>
              <w:rPr>
                <w:rFonts w:cs="Arial"/>
                <w:color w:val="000000"/>
              </w:rPr>
            </w:pPr>
            <w:r>
              <w:rPr>
                <w:rFonts w:cs="Arial"/>
                <w:color w:val="000000"/>
              </w:rPr>
              <w:t xml:space="preserve">$10,724 </w:t>
            </w:r>
          </w:p>
        </w:tc>
      </w:tr>
      <w:tr w:rsidR="00B26B4B" w:rsidTr="00B26B4B" w14:paraId="16ABC88B" w14:textId="77777777">
        <w:trPr>
          <w:trHeight w:val="804"/>
        </w:trPr>
        <w:tc>
          <w:tcPr>
            <w:tcW w:w="2420" w:type="dxa"/>
            <w:tcBorders>
              <w:top w:val="nil"/>
              <w:left w:val="double" w:color="000000" w:sz="6" w:space="0"/>
              <w:bottom w:val="single" w:color="auto" w:sz="8" w:space="0"/>
              <w:right w:val="single" w:color="auto" w:sz="8" w:space="0"/>
            </w:tcBorders>
            <w:shd w:val="clear" w:color="auto" w:fill="auto"/>
            <w:vAlign w:val="center"/>
            <w:hideMark/>
          </w:tcPr>
          <w:p w:rsidR="00B26B4B" w:rsidRDefault="00B26B4B" w14:paraId="059EFDDB" w14:textId="77777777">
            <w:pPr>
              <w:rPr>
                <w:rFonts w:cs="Arial"/>
                <w:b/>
                <w:bCs/>
                <w:color w:val="000000"/>
              </w:rPr>
            </w:pPr>
            <w:r>
              <w:rPr>
                <w:rFonts w:cs="Arial"/>
                <w:b/>
                <w:bCs/>
                <w:color w:val="000000"/>
              </w:rPr>
              <w:t>Federal Register</w:t>
            </w:r>
            <w:r>
              <w:rPr>
                <w:rFonts w:cs="Arial"/>
                <w:color w:val="000000"/>
              </w:rPr>
              <w:t xml:space="preserve"> Review </w:t>
            </w:r>
            <w:r>
              <w:rPr>
                <w:rFonts w:cs="Arial"/>
                <w:color w:val="000000"/>
                <w:vertAlign w:val="superscript"/>
              </w:rPr>
              <w:t>1</w:t>
            </w:r>
          </w:p>
        </w:tc>
        <w:tc>
          <w:tcPr>
            <w:tcW w:w="1900" w:type="dxa"/>
            <w:tcBorders>
              <w:top w:val="nil"/>
              <w:left w:val="nil"/>
              <w:bottom w:val="single" w:color="auto" w:sz="8" w:space="0"/>
              <w:right w:val="single" w:color="auto" w:sz="8" w:space="0"/>
            </w:tcBorders>
            <w:shd w:val="clear" w:color="auto" w:fill="auto"/>
            <w:vAlign w:val="center"/>
            <w:hideMark/>
          </w:tcPr>
          <w:p w:rsidR="00B26B4B" w:rsidRDefault="00B26B4B" w14:paraId="3F7D67AA" w14:textId="77777777">
            <w:pPr>
              <w:jc w:val="right"/>
              <w:rPr>
                <w:rFonts w:cs="Arial"/>
                <w:color w:val="000000"/>
              </w:rPr>
            </w:pPr>
            <w:r>
              <w:rPr>
                <w:rFonts w:cs="Arial"/>
                <w:color w:val="000000"/>
              </w:rPr>
              <w:t>13,160</w:t>
            </w:r>
          </w:p>
        </w:tc>
        <w:tc>
          <w:tcPr>
            <w:tcW w:w="1480" w:type="dxa"/>
            <w:tcBorders>
              <w:top w:val="nil"/>
              <w:left w:val="nil"/>
              <w:bottom w:val="single" w:color="auto" w:sz="8" w:space="0"/>
              <w:right w:val="single" w:color="auto" w:sz="8" w:space="0"/>
            </w:tcBorders>
            <w:shd w:val="clear" w:color="auto" w:fill="auto"/>
            <w:vAlign w:val="center"/>
            <w:hideMark/>
          </w:tcPr>
          <w:p w:rsidR="00B26B4B" w:rsidRDefault="00B26B4B" w14:paraId="48FECBEF" w14:textId="77777777">
            <w:pPr>
              <w:jc w:val="right"/>
              <w:rPr>
                <w:rFonts w:cs="Arial"/>
                <w:color w:val="000000"/>
              </w:rPr>
            </w:pPr>
            <w:r>
              <w:rPr>
                <w:rFonts w:cs="Arial"/>
                <w:color w:val="000000"/>
              </w:rPr>
              <w:t>3,290</w:t>
            </w:r>
          </w:p>
        </w:tc>
        <w:tc>
          <w:tcPr>
            <w:tcW w:w="2520" w:type="dxa"/>
            <w:tcBorders>
              <w:top w:val="nil"/>
              <w:left w:val="nil"/>
              <w:bottom w:val="single" w:color="auto" w:sz="8" w:space="0"/>
              <w:right w:val="double" w:color="000000" w:sz="6" w:space="0"/>
            </w:tcBorders>
            <w:shd w:val="clear" w:color="auto" w:fill="auto"/>
            <w:vAlign w:val="center"/>
            <w:hideMark/>
          </w:tcPr>
          <w:p w:rsidR="00B26B4B" w:rsidRDefault="00B26B4B" w14:paraId="71E26E3B" w14:textId="30D05478">
            <w:pPr>
              <w:jc w:val="right"/>
              <w:rPr>
                <w:rFonts w:cs="Arial"/>
                <w:color w:val="000000"/>
              </w:rPr>
            </w:pPr>
            <w:r>
              <w:rPr>
                <w:rFonts w:cs="Arial"/>
                <w:color w:val="000000"/>
              </w:rPr>
              <w:t>$3,1</w:t>
            </w:r>
            <w:r w:rsidR="00567DD9">
              <w:rPr>
                <w:rFonts w:cs="Arial"/>
                <w:color w:val="000000"/>
              </w:rPr>
              <w:t>09</w:t>
            </w:r>
            <w:r>
              <w:rPr>
                <w:rFonts w:cs="Arial"/>
                <w:color w:val="000000"/>
              </w:rPr>
              <w:t>,</w:t>
            </w:r>
            <w:r w:rsidR="00567DD9">
              <w:rPr>
                <w:rFonts w:cs="Arial"/>
                <w:color w:val="000000"/>
              </w:rPr>
              <w:t>708</w:t>
            </w:r>
            <w:r>
              <w:rPr>
                <w:rFonts w:cs="Arial"/>
                <w:color w:val="000000"/>
              </w:rPr>
              <w:t xml:space="preserve"> </w:t>
            </w:r>
          </w:p>
        </w:tc>
      </w:tr>
      <w:tr w:rsidR="00B26B4B" w:rsidTr="00B26B4B" w14:paraId="78AE1AA3" w14:textId="77777777">
        <w:trPr>
          <w:trHeight w:val="324"/>
        </w:trPr>
        <w:tc>
          <w:tcPr>
            <w:tcW w:w="2420" w:type="dxa"/>
            <w:tcBorders>
              <w:top w:val="nil"/>
              <w:left w:val="double" w:color="000000" w:sz="6" w:space="0"/>
              <w:bottom w:val="single" w:color="000000" w:sz="8" w:space="0"/>
              <w:right w:val="single" w:color="auto" w:sz="8" w:space="0"/>
            </w:tcBorders>
            <w:shd w:val="clear" w:color="auto" w:fill="auto"/>
            <w:vAlign w:val="center"/>
            <w:hideMark/>
          </w:tcPr>
          <w:p w:rsidR="00B26B4B" w:rsidRDefault="00B26B4B" w14:paraId="573940C1" w14:textId="77777777">
            <w:pPr>
              <w:rPr>
                <w:rFonts w:cs="Arial"/>
                <w:b/>
                <w:bCs/>
                <w:color w:val="000000"/>
              </w:rPr>
            </w:pPr>
            <w:r>
              <w:rPr>
                <w:rFonts w:cs="Arial"/>
                <w:b/>
                <w:bCs/>
                <w:color w:val="000000"/>
              </w:rPr>
              <w:t>Total/Overall</w:t>
            </w:r>
          </w:p>
        </w:tc>
        <w:tc>
          <w:tcPr>
            <w:tcW w:w="1900" w:type="dxa"/>
            <w:tcBorders>
              <w:top w:val="nil"/>
              <w:left w:val="nil"/>
              <w:bottom w:val="single" w:color="000000" w:sz="8" w:space="0"/>
              <w:right w:val="single" w:color="auto" w:sz="8" w:space="0"/>
            </w:tcBorders>
            <w:shd w:val="clear" w:color="auto" w:fill="auto"/>
            <w:vAlign w:val="center"/>
            <w:hideMark/>
          </w:tcPr>
          <w:p w:rsidR="00B26B4B" w:rsidRDefault="00B26B4B" w14:paraId="4A761829" w14:textId="77777777">
            <w:pPr>
              <w:jc w:val="right"/>
              <w:rPr>
                <w:rFonts w:cs="Arial"/>
                <w:b/>
                <w:bCs/>
                <w:color w:val="000000"/>
              </w:rPr>
            </w:pPr>
            <w:r>
              <w:rPr>
                <w:rFonts w:cs="Arial"/>
                <w:b/>
                <w:bCs/>
                <w:color w:val="000000"/>
              </w:rPr>
              <w:t>26,336</w:t>
            </w:r>
          </w:p>
        </w:tc>
        <w:tc>
          <w:tcPr>
            <w:tcW w:w="1480" w:type="dxa"/>
            <w:tcBorders>
              <w:top w:val="nil"/>
              <w:left w:val="nil"/>
              <w:bottom w:val="single" w:color="000000" w:sz="8" w:space="0"/>
              <w:right w:val="single" w:color="auto" w:sz="8" w:space="0"/>
            </w:tcBorders>
            <w:shd w:val="clear" w:color="auto" w:fill="auto"/>
            <w:vAlign w:val="center"/>
            <w:hideMark/>
          </w:tcPr>
          <w:p w:rsidR="00B26B4B" w:rsidRDefault="00B26B4B" w14:paraId="2F89B3E3" w14:textId="77777777">
            <w:pPr>
              <w:jc w:val="right"/>
              <w:rPr>
                <w:rFonts w:cs="Arial"/>
                <w:b/>
                <w:bCs/>
                <w:color w:val="000000"/>
              </w:rPr>
            </w:pPr>
            <w:r>
              <w:rPr>
                <w:rFonts w:cs="Arial"/>
                <w:b/>
                <w:bCs/>
                <w:color w:val="000000"/>
              </w:rPr>
              <w:t>25,526</w:t>
            </w:r>
          </w:p>
        </w:tc>
        <w:tc>
          <w:tcPr>
            <w:tcW w:w="2520" w:type="dxa"/>
            <w:tcBorders>
              <w:top w:val="nil"/>
              <w:left w:val="nil"/>
              <w:bottom w:val="single" w:color="000000" w:sz="8" w:space="0"/>
              <w:right w:val="double" w:color="000000" w:sz="6" w:space="0"/>
            </w:tcBorders>
            <w:shd w:val="clear" w:color="auto" w:fill="auto"/>
            <w:vAlign w:val="center"/>
            <w:hideMark/>
          </w:tcPr>
          <w:p w:rsidR="00B26B4B" w:rsidRDefault="00B26B4B" w14:paraId="50C6E0E2" w14:textId="19D17E8C">
            <w:pPr>
              <w:jc w:val="right"/>
              <w:rPr>
                <w:rFonts w:cs="Arial"/>
                <w:b/>
                <w:bCs/>
                <w:color w:val="000000"/>
              </w:rPr>
            </w:pPr>
            <w:r>
              <w:rPr>
                <w:rFonts w:cs="Arial"/>
                <w:b/>
                <w:bCs/>
                <w:color w:val="000000"/>
              </w:rPr>
              <w:t>$5,050,</w:t>
            </w:r>
            <w:r w:rsidR="00567DD9">
              <w:rPr>
                <w:rFonts w:cs="Arial"/>
                <w:b/>
                <w:bCs/>
                <w:color w:val="000000"/>
              </w:rPr>
              <w:t>295</w:t>
            </w:r>
            <w:r>
              <w:rPr>
                <w:rFonts w:cs="Arial"/>
                <w:b/>
                <w:bCs/>
                <w:color w:val="000000"/>
              </w:rPr>
              <w:t xml:space="preserve"> </w:t>
            </w:r>
          </w:p>
        </w:tc>
      </w:tr>
      <w:tr w:rsidR="00B26B4B" w:rsidTr="00B26B4B" w14:paraId="31E82A50" w14:textId="77777777">
        <w:trPr>
          <w:trHeight w:val="324"/>
        </w:trPr>
        <w:tc>
          <w:tcPr>
            <w:tcW w:w="8320" w:type="dxa"/>
            <w:gridSpan w:val="4"/>
            <w:tcBorders>
              <w:top w:val="single" w:color="000000" w:sz="8" w:space="0"/>
              <w:left w:val="double" w:color="000000" w:sz="6" w:space="0"/>
              <w:bottom w:val="double" w:color="000000" w:sz="6" w:space="0"/>
              <w:right w:val="double" w:color="000000" w:sz="6" w:space="0"/>
            </w:tcBorders>
            <w:shd w:val="clear" w:color="auto" w:fill="auto"/>
            <w:vAlign w:val="center"/>
            <w:hideMark/>
          </w:tcPr>
          <w:p w:rsidR="00B26B4B" w:rsidRDefault="00B26B4B" w14:paraId="4A40C591" w14:textId="77777777">
            <w:pPr>
              <w:rPr>
                <w:rFonts w:cs="Arial"/>
                <w:b/>
                <w:bCs/>
                <w:color w:val="000000"/>
                <w:sz w:val="22"/>
              </w:rPr>
            </w:pPr>
            <w:r>
              <w:rPr>
                <w:rFonts w:cs="Arial"/>
                <w:b/>
                <w:bCs/>
                <w:color w:val="000000"/>
                <w:sz w:val="22"/>
                <w:vertAlign w:val="superscript"/>
              </w:rPr>
              <w:t>1</w:t>
            </w:r>
            <w:r>
              <w:rPr>
                <w:rFonts w:cs="Arial"/>
                <w:b/>
                <w:bCs/>
                <w:color w:val="000000"/>
                <w:sz w:val="22"/>
              </w:rPr>
              <w:t xml:space="preserve"> </w:t>
            </w:r>
            <w:r>
              <w:rPr>
                <w:rFonts w:cs="Arial"/>
                <w:color w:val="000000"/>
                <w:sz w:val="22"/>
              </w:rPr>
              <w:t>Compliance Determination</w:t>
            </w:r>
          </w:p>
        </w:tc>
      </w:tr>
    </w:tbl>
    <w:p w:rsidRPr="008C6A2E" w:rsidR="00B26B4B" w:rsidP="008C6A2E" w:rsidRDefault="00B26B4B" w14:paraId="526DE9F2" w14:textId="531C30A3">
      <w:pPr>
        <w:rPr>
          <w:rFonts w:cs="Arial"/>
          <w:szCs w:val="24"/>
        </w:rPr>
      </w:pPr>
      <w:r w:rsidRPr="008C6A2E" w:rsidDel="00B26B4B">
        <w:rPr>
          <w:rFonts w:cs="Arial"/>
          <w:szCs w:val="24"/>
          <w:vertAlign w:val="superscript"/>
        </w:rPr>
        <w:t xml:space="preserve"> </w:t>
      </w:r>
    </w:p>
    <w:p w:rsidR="005C3BF0" w:rsidP="008C6A2E" w:rsidRDefault="0034191D" w14:paraId="5FA5FB02" w14:textId="02C53765">
      <w:pPr>
        <w:rPr>
          <w:rFonts w:cs="Arial"/>
          <w:szCs w:val="24"/>
        </w:rPr>
      </w:pPr>
      <w:r>
        <w:rPr>
          <w:rFonts w:cs="Arial"/>
          <w:szCs w:val="24"/>
        </w:rPr>
        <w:t xml:space="preserve">Table </w:t>
      </w:r>
      <w:r w:rsidR="000E72EF">
        <w:rPr>
          <w:rFonts w:cs="Arial"/>
          <w:szCs w:val="24"/>
        </w:rPr>
        <w:t>8</w:t>
      </w:r>
      <w:r w:rsidR="00B26B4B">
        <w:rPr>
          <w:rFonts w:cs="Arial"/>
          <w:szCs w:val="24"/>
        </w:rPr>
        <w:t xml:space="preserve"> </w:t>
      </w:r>
      <w:r w:rsidRPr="008C6A2E" w:rsidR="005C3BF0">
        <w:rPr>
          <w:rFonts w:cs="Arial"/>
          <w:szCs w:val="24"/>
        </w:rPr>
        <w:t>presents the average annual cost and burden per respondent. On average each firm will spend a total of 1.94 hours and $</w:t>
      </w:r>
      <w:r w:rsidR="00D9774E">
        <w:rPr>
          <w:rFonts w:cs="Arial"/>
          <w:szCs w:val="24"/>
        </w:rPr>
        <w:t>165.16</w:t>
      </w:r>
      <w:r w:rsidRPr="008C6A2E" w:rsidR="005C3BF0">
        <w:rPr>
          <w:rFonts w:cs="Arial"/>
          <w:szCs w:val="24"/>
        </w:rPr>
        <w:t xml:space="preserve"> annually to complete TSCA 8(c) information collection activities.</w:t>
      </w:r>
    </w:p>
    <w:p w:rsidRPr="008C6A2E" w:rsidR="00B26B4B" w:rsidP="000E72EF" w:rsidRDefault="00B26B4B" w14:paraId="7E6EEE48" w14:textId="63C3832D">
      <w:pPr>
        <w:pStyle w:val="Caption"/>
        <w:rPr>
          <w:szCs w:val="24"/>
        </w:rPr>
      </w:pPr>
      <w:bookmarkStart w:name="_Ref95748901" w:id="35"/>
      <w:r>
        <w:t>Table</w:t>
      </w:r>
      <w:r w:rsidR="000E72EF">
        <w:t>8</w:t>
      </w:r>
      <w:bookmarkEnd w:id="35"/>
      <w:r>
        <w:t>. Average Annual Cost and Burden per Respondent TSCA Section 8(c)</w:t>
      </w:r>
    </w:p>
    <w:tbl>
      <w:tblPr>
        <w:tblW w:w="9267" w:type="dxa"/>
        <w:tblCellMar>
          <w:left w:w="0" w:type="dxa"/>
          <w:right w:w="0" w:type="dxa"/>
        </w:tblCellMar>
        <w:tblLook w:val="04A0" w:firstRow="1" w:lastRow="0" w:firstColumn="1" w:lastColumn="0" w:noHBand="0" w:noVBand="1"/>
      </w:tblPr>
      <w:tblGrid>
        <w:gridCol w:w="2140"/>
        <w:gridCol w:w="1680"/>
        <w:gridCol w:w="1308"/>
        <w:gridCol w:w="2228"/>
        <w:gridCol w:w="1911"/>
      </w:tblGrid>
      <w:tr w:rsidR="00B26B4B" w:rsidTr="004B4ECA" w14:paraId="4B598ED3" w14:textId="77777777">
        <w:trPr>
          <w:trHeight w:val="384"/>
        </w:trPr>
        <w:tc>
          <w:tcPr>
            <w:tcW w:w="2140" w:type="dxa"/>
            <w:vMerge w:val="restart"/>
            <w:tcBorders>
              <w:top w:val="double" w:color="auto" w:sz="6" w:space="0"/>
              <w:left w:val="double" w:color="auto" w:sz="6" w:space="0"/>
              <w:bottom w:val="single" w:color="000000" w:sz="8" w:space="0"/>
              <w:right w:val="single" w:color="auto" w:sz="8" w:space="0"/>
            </w:tcBorders>
            <w:shd w:val="clear" w:color="000000" w:fill="D9D9D9"/>
            <w:vAlign w:val="center"/>
            <w:hideMark/>
          </w:tcPr>
          <w:p w:rsidR="00B26B4B" w:rsidRDefault="00B26B4B" w14:paraId="7092F637" w14:textId="77777777">
            <w:pPr>
              <w:spacing w:after="0" w:line="240" w:lineRule="auto"/>
              <w:jc w:val="center"/>
              <w:rPr>
                <w:rFonts w:cs="Arial"/>
                <w:b/>
                <w:bCs/>
                <w:color w:val="000000"/>
              </w:rPr>
            </w:pPr>
            <w:r>
              <w:rPr>
                <w:rFonts w:cs="Arial"/>
                <w:b/>
                <w:bCs/>
                <w:color w:val="000000"/>
              </w:rPr>
              <w:t>Activity</w:t>
            </w:r>
          </w:p>
        </w:tc>
        <w:tc>
          <w:tcPr>
            <w:tcW w:w="1680" w:type="dxa"/>
            <w:tcBorders>
              <w:top w:val="double" w:color="auto" w:sz="6" w:space="0"/>
              <w:left w:val="nil"/>
              <w:bottom w:val="nil"/>
              <w:right w:val="single" w:color="auto" w:sz="8" w:space="0"/>
            </w:tcBorders>
            <w:shd w:val="clear" w:color="000000" w:fill="D9D9D9"/>
            <w:vAlign w:val="center"/>
            <w:hideMark/>
          </w:tcPr>
          <w:p w:rsidR="00B26B4B" w:rsidRDefault="00B26B4B" w14:paraId="50FC931E" w14:textId="77777777">
            <w:pPr>
              <w:jc w:val="center"/>
              <w:rPr>
                <w:rFonts w:cs="Arial"/>
                <w:b/>
                <w:bCs/>
                <w:color w:val="000000"/>
              </w:rPr>
            </w:pPr>
            <w:r>
              <w:rPr>
                <w:rFonts w:cs="Arial"/>
                <w:b/>
                <w:bCs/>
                <w:color w:val="000000"/>
              </w:rPr>
              <w:t>Hours/</w:t>
            </w:r>
          </w:p>
        </w:tc>
        <w:tc>
          <w:tcPr>
            <w:tcW w:w="1308" w:type="dxa"/>
            <w:tcBorders>
              <w:top w:val="double" w:color="auto" w:sz="6" w:space="0"/>
              <w:left w:val="nil"/>
              <w:bottom w:val="nil"/>
              <w:right w:val="single" w:color="auto" w:sz="8" w:space="0"/>
            </w:tcBorders>
            <w:shd w:val="clear" w:color="000000" w:fill="D9D9D9"/>
            <w:vAlign w:val="center"/>
            <w:hideMark/>
          </w:tcPr>
          <w:p w:rsidR="00B26B4B" w:rsidRDefault="00B26B4B" w14:paraId="04A4B88C" w14:textId="77777777">
            <w:pPr>
              <w:jc w:val="center"/>
              <w:rPr>
                <w:rFonts w:cs="Arial"/>
                <w:b/>
                <w:bCs/>
                <w:color w:val="000000"/>
              </w:rPr>
            </w:pPr>
            <w:r>
              <w:rPr>
                <w:rFonts w:cs="Arial"/>
                <w:b/>
                <w:bCs/>
                <w:color w:val="000000"/>
              </w:rPr>
              <w:t>Hours/</w:t>
            </w:r>
          </w:p>
        </w:tc>
        <w:tc>
          <w:tcPr>
            <w:tcW w:w="2228" w:type="dxa"/>
            <w:vMerge w:val="restart"/>
            <w:tcBorders>
              <w:top w:val="double" w:color="auto" w:sz="6" w:space="0"/>
              <w:left w:val="single" w:color="auto" w:sz="8" w:space="0"/>
              <w:bottom w:val="single" w:color="000000" w:sz="8" w:space="0"/>
              <w:right w:val="single" w:color="auto" w:sz="8" w:space="0"/>
            </w:tcBorders>
            <w:shd w:val="clear" w:color="000000" w:fill="D9D9D9"/>
            <w:vAlign w:val="center"/>
            <w:hideMark/>
          </w:tcPr>
          <w:p w:rsidR="00B26B4B" w:rsidRDefault="00B26B4B" w14:paraId="3E4893BF" w14:textId="77777777">
            <w:pPr>
              <w:jc w:val="center"/>
              <w:rPr>
                <w:rFonts w:cs="Arial"/>
                <w:b/>
                <w:bCs/>
                <w:color w:val="000000"/>
              </w:rPr>
            </w:pPr>
            <w:r>
              <w:rPr>
                <w:rFonts w:cs="Arial"/>
                <w:b/>
                <w:bCs/>
                <w:color w:val="000000"/>
              </w:rPr>
              <w:t>Cost/Respondent</w:t>
            </w:r>
          </w:p>
        </w:tc>
        <w:tc>
          <w:tcPr>
            <w:tcW w:w="1910" w:type="dxa"/>
            <w:vMerge w:val="restart"/>
            <w:tcBorders>
              <w:top w:val="double" w:color="auto" w:sz="6" w:space="0"/>
              <w:left w:val="single" w:color="auto" w:sz="8" w:space="0"/>
              <w:bottom w:val="single" w:color="000000" w:sz="8" w:space="0"/>
              <w:right w:val="double" w:color="auto" w:sz="6" w:space="0"/>
            </w:tcBorders>
            <w:shd w:val="clear" w:color="000000" w:fill="D9D9D9"/>
            <w:vAlign w:val="center"/>
            <w:hideMark/>
          </w:tcPr>
          <w:p w:rsidR="00B26B4B" w:rsidRDefault="00B26B4B" w14:paraId="0158EBC5" w14:textId="77777777">
            <w:pPr>
              <w:jc w:val="center"/>
              <w:rPr>
                <w:rFonts w:cs="Arial"/>
                <w:b/>
                <w:bCs/>
                <w:color w:val="000000"/>
              </w:rPr>
            </w:pPr>
            <w:r>
              <w:rPr>
                <w:rFonts w:cs="Arial"/>
                <w:b/>
                <w:bCs/>
                <w:color w:val="000000"/>
              </w:rPr>
              <w:t>Cost/Response</w:t>
            </w:r>
          </w:p>
        </w:tc>
      </w:tr>
      <w:tr w:rsidR="00B26B4B" w:rsidTr="004B4ECA" w14:paraId="67FB35C7" w14:textId="77777777">
        <w:trPr>
          <w:trHeight w:val="267"/>
        </w:trPr>
        <w:tc>
          <w:tcPr>
            <w:tcW w:w="0" w:type="auto"/>
            <w:vMerge/>
            <w:tcBorders>
              <w:top w:val="double" w:color="auto" w:sz="6" w:space="0"/>
              <w:left w:val="double" w:color="auto" w:sz="6" w:space="0"/>
              <w:bottom w:val="single" w:color="000000" w:sz="8" w:space="0"/>
              <w:right w:val="single" w:color="auto" w:sz="8" w:space="0"/>
            </w:tcBorders>
            <w:vAlign w:val="center"/>
            <w:hideMark/>
          </w:tcPr>
          <w:p w:rsidR="00B26B4B" w:rsidRDefault="00B26B4B" w14:paraId="45C91F93" w14:textId="77777777">
            <w:pPr>
              <w:rPr>
                <w:rFonts w:cs="Arial"/>
                <w:b/>
                <w:bCs/>
                <w:color w:val="000000"/>
                <w:szCs w:val="24"/>
              </w:rPr>
            </w:pPr>
          </w:p>
        </w:tc>
        <w:tc>
          <w:tcPr>
            <w:tcW w:w="1680" w:type="dxa"/>
            <w:tcBorders>
              <w:top w:val="nil"/>
              <w:left w:val="nil"/>
              <w:bottom w:val="single" w:color="auto" w:sz="8" w:space="0"/>
              <w:right w:val="single" w:color="auto" w:sz="8" w:space="0"/>
            </w:tcBorders>
            <w:shd w:val="clear" w:color="000000" w:fill="D9D9D9"/>
            <w:vAlign w:val="center"/>
            <w:hideMark/>
          </w:tcPr>
          <w:p w:rsidR="00B26B4B" w:rsidRDefault="00B26B4B" w14:paraId="4FCD376C" w14:textId="77777777">
            <w:pPr>
              <w:jc w:val="center"/>
              <w:rPr>
                <w:rFonts w:cs="Arial"/>
                <w:b/>
                <w:bCs/>
                <w:color w:val="000000"/>
              </w:rPr>
            </w:pPr>
            <w:r>
              <w:rPr>
                <w:rFonts w:cs="Arial"/>
                <w:b/>
                <w:bCs/>
                <w:color w:val="000000"/>
              </w:rPr>
              <w:t>Respondent</w:t>
            </w:r>
          </w:p>
        </w:tc>
        <w:tc>
          <w:tcPr>
            <w:tcW w:w="1308" w:type="dxa"/>
            <w:tcBorders>
              <w:top w:val="nil"/>
              <w:left w:val="nil"/>
              <w:bottom w:val="single" w:color="auto" w:sz="8" w:space="0"/>
              <w:right w:val="single" w:color="auto" w:sz="8" w:space="0"/>
            </w:tcBorders>
            <w:shd w:val="clear" w:color="000000" w:fill="D9D9D9"/>
            <w:vAlign w:val="center"/>
            <w:hideMark/>
          </w:tcPr>
          <w:p w:rsidR="00B26B4B" w:rsidRDefault="00B26B4B" w14:paraId="0ED40F17" w14:textId="77777777">
            <w:pPr>
              <w:jc w:val="center"/>
              <w:rPr>
                <w:rFonts w:cs="Arial"/>
                <w:b/>
                <w:bCs/>
                <w:color w:val="000000"/>
              </w:rPr>
            </w:pPr>
            <w:r>
              <w:rPr>
                <w:rFonts w:cs="Arial"/>
                <w:b/>
                <w:bCs/>
                <w:color w:val="000000"/>
              </w:rPr>
              <w:t>Response</w:t>
            </w:r>
          </w:p>
        </w:tc>
        <w:tc>
          <w:tcPr>
            <w:tcW w:w="0" w:type="auto"/>
            <w:vMerge/>
            <w:tcBorders>
              <w:top w:val="double" w:color="auto" w:sz="6" w:space="0"/>
              <w:left w:val="single" w:color="auto" w:sz="8" w:space="0"/>
              <w:bottom w:val="single" w:color="000000" w:sz="8" w:space="0"/>
              <w:right w:val="single" w:color="auto" w:sz="8" w:space="0"/>
            </w:tcBorders>
            <w:vAlign w:val="center"/>
            <w:hideMark/>
          </w:tcPr>
          <w:p w:rsidR="00B26B4B" w:rsidRDefault="00B26B4B" w14:paraId="7853AB8F" w14:textId="77777777">
            <w:pPr>
              <w:rPr>
                <w:rFonts w:cs="Arial"/>
                <w:b/>
                <w:bCs/>
                <w:color w:val="000000"/>
                <w:szCs w:val="24"/>
              </w:rPr>
            </w:pPr>
          </w:p>
        </w:tc>
        <w:tc>
          <w:tcPr>
            <w:tcW w:w="0" w:type="auto"/>
            <w:vMerge/>
            <w:tcBorders>
              <w:top w:val="double" w:color="auto" w:sz="6" w:space="0"/>
              <w:left w:val="single" w:color="auto" w:sz="8" w:space="0"/>
              <w:bottom w:val="single" w:color="000000" w:sz="8" w:space="0"/>
              <w:right w:val="double" w:color="auto" w:sz="6" w:space="0"/>
            </w:tcBorders>
            <w:vAlign w:val="center"/>
            <w:hideMark/>
          </w:tcPr>
          <w:p w:rsidR="00B26B4B" w:rsidRDefault="00B26B4B" w14:paraId="3CE994B8" w14:textId="77777777">
            <w:pPr>
              <w:rPr>
                <w:rFonts w:cs="Arial"/>
                <w:b/>
                <w:bCs/>
                <w:color w:val="000000"/>
                <w:szCs w:val="24"/>
              </w:rPr>
            </w:pPr>
          </w:p>
        </w:tc>
      </w:tr>
      <w:tr w:rsidR="00B26B4B" w:rsidTr="004B4ECA" w14:paraId="5B5703D6" w14:textId="77777777">
        <w:trPr>
          <w:trHeight w:val="830"/>
        </w:trPr>
        <w:tc>
          <w:tcPr>
            <w:tcW w:w="2140" w:type="dxa"/>
            <w:tcBorders>
              <w:top w:val="nil"/>
              <w:left w:val="double" w:color="auto" w:sz="6" w:space="0"/>
              <w:bottom w:val="single" w:color="auto" w:sz="8" w:space="0"/>
              <w:right w:val="single" w:color="auto" w:sz="8" w:space="0"/>
            </w:tcBorders>
            <w:shd w:val="clear" w:color="auto" w:fill="auto"/>
            <w:vAlign w:val="center"/>
            <w:hideMark/>
          </w:tcPr>
          <w:p w:rsidR="00B26B4B" w:rsidRDefault="00B26B4B" w14:paraId="2B4AF274" w14:textId="77777777">
            <w:pPr>
              <w:rPr>
                <w:rFonts w:cs="Arial"/>
                <w:color w:val="000000"/>
              </w:rPr>
            </w:pPr>
            <w:r>
              <w:rPr>
                <w:rFonts w:cs="Arial"/>
                <w:color w:val="000000"/>
              </w:rPr>
              <w:t xml:space="preserve">Recordkeeping </w:t>
            </w:r>
            <w:r>
              <w:rPr>
                <w:rFonts w:cs="Arial"/>
                <w:color w:val="000000"/>
                <w:vertAlign w:val="superscript"/>
              </w:rPr>
              <w:t>a</w:t>
            </w:r>
          </w:p>
        </w:tc>
        <w:tc>
          <w:tcPr>
            <w:tcW w:w="1680" w:type="dxa"/>
            <w:tcBorders>
              <w:top w:val="nil"/>
              <w:left w:val="nil"/>
              <w:bottom w:val="single" w:color="auto" w:sz="8" w:space="0"/>
              <w:right w:val="single" w:color="auto" w:sz="8" w:space="0"/>
            </w:tcBorders>
            <w:shd w:val="clear" w:color="auto" w:fill="auto"/>
            <w:vAlign w:val="center"/>
            <w:hideMark/>
          </w:tcPr>
          <w:p w:rsidR="00B26B4B" w:rsidRDefault="00B26B4B" w14:paraId="754419D7" w14:textId="77777777">
            <w:pPr>
              <w:jc w:val="right"/>
              <w:rPr>
                <w:rFonts w:cs="Arial"/>
                <w:color w:val="000000"/>
              </w:rPr>
            </w:pPr>
            <w:r>
              <w:rPr>
                <w:rFonts w:cs="Arial"/>
                <w:color w:val="000000"/>
              </w:rPr>
              <w:t>1.68</w:t>
            </w:r>
          </w:p>
        </w:tc>
        <w:tc>
          <w:tcPr>
            <w:tcW w:w="1308" w:type="dxa"/>
            <w:tcBorders>
              <w:top w:val="nil"/>
              <w:left w:val="nil"/>
              <w:bottom w:val="single" w:color="auto" w:sz="8" w:space="0"/>
              <w:right w:val="single" w:color="auto" w:sz="8" w:space="0"/>
            </w:tcBorders>
            <w:shd w:val="clear" w:color="auto" w:fill="auto"/>
            <w:vAlign w:val="center"/>
            <w:hideMark/>
          </w:tcPr>
          <w:p w:rsidR="00B26B4B" w:rsidRDefault="00B26B4B" w14:paraId="50A034CE" w14:textId="77777777">
            <w:pPr>
              <w:jc w:val="right"/>
              <w:rPr>
                <w:rFonts w:cs="Arial"/>
                <w:color w:val="000000"/>
              </w:rPr>
            </w:pPr>
            <w:r>
              <w:rPr>
                <w:rFonts w:cs="Arial"/>
                <w:color w:val="000000"/>
              </w:rPr>
              <w:t>1.68</w:t>
            </w:r>
          </w:p>
        </w:tc>
        <w:tc>
          <w:tcPr>
            <w:tcW w:w="2228" w:type="dxa"/>
            <w:tcBorders>
              <w:top w:val="nil"/>
              <w:left w:val="nil"/>
              <w:bottom w:val="single" w:color="auto" w:sz="8" w:space="0"/>
              <w:right w:val="single" w:color="auto" w:sz="8" w:space="0"/>
            </w:tcBorders>
            <w:shd w:val="clear" w:color="auto" w:fill="auto"/>
            <w:vAlign w:val="center"/>
            <w:hideMark/>
          </w:tcPr>
          <w:p w:rsidR="00B26B4B" w:rsidRDefault="00B26B4B" w14:paraId="2D16ABA9" w14:textId="77777777">
            <w:pPr>
              <w:jc w:val="right"/>
              <w:rPr>
                <w:rFonts w:cs="Arial"/>
                <w:color w:val="000000"/>
              </w:rPr>
            </w:pPr>
            <w:r>
              <w:rPr>
                <w:rFonts w:cs="Arial"/>
                <w:color w:val="000000"/>
              </w:rPr>
              <w:t xml:space="preserve">$146.64 </w:t>
            </w:r>
          </w:p>
        </w:tc>
        <w:tc>
          <w:tcPr>
            <w:tcW w:w="1910" w:type="dxa"/>
            <w:tcBorders>
              <w:top w:val="nil"/>
              <w:left w:val="nil"/>
              <w:bottom w:val="single" w:color="auto" w:sz="8" w:space="0"/>
              <w:right w:val="double" w:color="auto" w:sz="6" w:space="0"/>
            </w:tcBorders>
            <w:shd w:val="clear" w:color="auto" w:fill="auto"/>
            <w:vAlign w:val="center"/>
            <w:hideMark/>
          </w:tcPr>
          <w:p w:rsidR="00B26B4B" w:rsidRDefault="00B26B4B" w14:paraId="59C450A7" w14:textId="77777777">
            <w:pPr>
              <w:jc w:val="right"/>
              <w:rPr>
                <w:rFonts w:cs="Arial"/>
                <w:color w:val="000000"/>
              </w:rPr>
            </w:pPr>
            <w:r>
              <w:rPr>
                <w:rFonts w:cs="Arial"/>
                <w:color w:val="000000"/>
              </w:rPr>
              <w:t xml:space="preserve">$146.64 </w:t>
            </w:r>
          </w:p>
        </w:tc>
      </w:tr>
      <w:tr w:rsidR="00B26B4B" w:rsidTr="004B4ECA" w14:paraId="512DCCCA" w14:textId="77777777">
        <w:trPr>
          <w:trHeight w:val="830"/>
        </w:trPr>
        <w:tc>
          <w:tcPr>
            <w:tcW w:w="2140" w:type="dxa"/>
            <w:tcBorders>
              <w:top w:val="nil"/>
              <w:left w:val="double" w:color="auto" w:sz="6" w:space="0"/>
              <w:bottom w:val="single" w:color="auto" w:sz="8" w:space="0"/>
              <w:right w:val="single" w:color="auto" w:sz="8" w:space="0"/>
            </w:tcBorders>
            <w:shd w:val="clear" w:color="auto" w:fill="auto"/>
            <w:vAlign w:val="center"/>
            <w:hideMark/>
          </w:tcPr>
          <w:p w:rsidR="00B26B4B" w:rsidRDefault="00B26B4B" w14:paraId="343B1B89" w14:textId="77777777">
            <w:pPr>
              <w:rPr>
                <w:rFonts w:cs="Arial"/>
                <w:color w:val="000000"/>
              </w:rPr>
            </w:pPr>
            <w:r>
              <w:rPr>
                <w:rFonts w:cs="Arial"/>
                <w:color w:val="000000"/>
              </w:rPr>
              <w:t xml:space="preserve">Reporting </w:t>
            </w:r>
            <w:r>
              <w:rPr>
                <w:rFonts w:cs="Arial"/>
                <w:color w:val="000000"/>
                <w:vertAlign w:val="superscript"/>
              </w:rPr>
              <w:t>b</w:t>
            </w:r>
          </w:p>
        </w:tc>
        <w:tc>
          <w:tcPr>
            <w:tcW w:w="1680" w:type="dxa"/>
            <w:tcBorders>
              <w:top w:val="nil"/>
              <w:left w:val="nil"/>
              <w:bottom w:val="single" w:color="auto" w:sz="8" w:space="0"/>
              <w:right w:val="single" w:color="auto" w:sz="8" w:space="0"/>
            </w:tcBorders>
            <w:shd w:val="clear" w:color="auto" w:fill="auto"/>
            <w:vAlign w:val="center"/>
            <w:hideMark/>
          </w:tcPr>
          <w:p w:rsidR="00B26B4B" w:rsidRDefault="00B26B4B" w14:paraId="5A9C14BC" w14:textId="77777777">
            <w:pPr>
              <w:jc w:val="right"/>
              <w:rPr>
                <w:rFonts w:cs="Arial"/>
                <w:color w:val="000000"/>
              </w:rPr>
            </w:pPr>
            <w:r>
              <w:rPr>
                <w:rFonts w:cs="Arial"/>
                <w:color w:val="000000"/>
              </w:rPr>
              <w:t>8.00</w:t>
            </w:r>
          </w:p>
        </w:tc>
        <w:tc>
          <w:tcPr>
            <w:tcW w:w="1308" w:type="dxa"/>
            <w:tcBorders>
              <w:top w:val="nil"/>
              <w:left w:val="nil"/>
              <w:bottom w:val="single" w:color="auto" w:sz="8" w:space="0"/>
              <w:right w:val="single" w:color="auto" w:sz="8" w:space="0"/>
            </w:tcBorders>
            <w:shd w:val="clear" w:color="auto" w:fill="auto"/>
            <w:vAlign w:val="center"/>
            <w:hideMark/>
          </w:tcPr>
          <w:p w:rsidR="00B26B4B" w:rsidRDefault="00B26B4B" w14:paraId="30D45274" w14:textId="77777777">
            <w:pPr>
              <w:jc w:val="right"/>
              <w:rPr>
                <w:rFonts w:cs="Arial"/>
                <w:color w:val="000000"/>
              </w:rPr>
            </w:pPr>
            <w:r>
              <w:rPr>
                <w:rFonts w:cs="Arial"/>
                <w:color w:val="000000"/>
              </w:rPr>
              <w:t>8.00</w:t>
            </w:r>
          </w:p>
        </w:tc>
        <w:tc>
          <w:tcPr>
            <w:tcW w:w="2228" w:type="dxa"/>
            <w:tcBorders>
              <w:top w:val="nil"/>
              <w:left w:val="nil"/>
              <w:bottom w:val="single" w:color="auto" w:sz="8" w:space="0"/>
              <w:right w:val="single" w:color="auto" w:sz="8" w:space="0"/>
            </w:tcBorders>
            <w:shd w:val="clear" w:color="auto" w:fill="auto"/>
            <w:vAlign w:val="center"/>
            <w:hideMark/>
          </w:tcPr>
          <w:p w:rsidR="00B26B4B" w:rsidRDefault="00B26B4B" w14:paraId="5C6C0408" w14:textId="77777777">
            <w:pPr>
              <w:jc w:val="right"/>
              <w:rPr>
                <w:rFonts w:cs="Arial"/>
                <w:color w:val="000000"/>
              </w:rPr>
            </w:pPr>
            <w:r>
              <w:rPr>
                <w:rFonts w:cs="Arial"/>
                <w:color w:val="000000"/>
              </w:rPr>
              <w:t xml:space="preserve">$670.25 </w:t>
            </w:r>
          </w:p>
        </w:tc>
        <w:tc>
          <w:tcPr>
            <w:tcW w:w="1910" w:type="dxa"/>
            <w:tcBorders>
              <w:top w:val="nil"/>
              <w:left w:val="nil"/>
              <w:bottom w:val="single" w:color="auto" w:sz="8" w:space="0"/>
              <w:right w:val="double" w:color="auto" w:sz="6" w:space="0"/>
            </w:tcBorders>
            <w:shd w:val="clear" w:color="auto" w:fill="auto"/>
            <w:vAlign w:val="center"/>
            <w:hideMark/>
          </w:tcPr>
          <w:p w:rsidR="00B26B4B" w:rsidRDefault="00B26B4B" w14:paraId="36E38338" w14:textId="77777777">
            <w:pPr>
              <w:jc w:val="right"/>
              <w:rPr>
                <w:rFonts w:cs="Arial"/>
                <w:color w:val="000000"/>
              </w:rPr>
            </w:pPr>
            <w:r>
              <w:rPr>
                <w:rFonts w:cs="Arial"/>
                <w:color w:val="000000"/>
              </w:rPr>
              <w:t xml:space="preserve">$670.25 </w:t>
            </w:r>
          </w:p>
        </w:tc>
      </w:tr>
      <w:tr w:rsidR="00B26B4B" w:rsidTr="004B4ECA" w14:paraId="32D9F88A" w14:textId="77777777">
        <w:trPr>
          <w:trHeight w:val="830"/>
        </w:trPr>
        <w:tc>
          <w:tcPr>
            <w:tcW w:w="2140" w:type="dxa"/>
            <w:tcBorders>
              <w:top w:val="nil"/>
              <w:left w:val="double" w:color="auto" w:sz="6" w:space="0"/>
              <w:bottom w:val="single" w:color="auto" w:sz="8" w:space="0"/>
              <w:right w:val="single" w:color="auto" w:sz="8" w:space="0"/>
            </w:tcBorders>
            <w:shd w:val="clear" w:color="auto" w:fill="auto"/>
            <w:vAlign w:val="center"/>
            <w:hideMark/>
          </w:tcPr>
          <w:p w:rsidR="00B26B4B" w:rsidRDefault="00B26B4B" w14:paraId="65164C3B" w14:textId="77777777">
            <w:pPr>
              <w:rPr>
                <w:rFonts w:cs="Arial"/>
                <w:b/>
                <w:bCs/>
                <w:color w:val="000000"/>
              </w:rPr>
            </w:pPr>
            <w:r>
              <w:rPr>
                <w:rFonts w:cs="Arial"/>
                <w:b/>
                <w:bCs/>
                <w:color w:val="000000"/>
              </w:rPr>
              <w:t>Federal Register</w:t>
            </w:r>
            <w:r>
              <w:rPr>
                <w:rFonts w:cs="Arial"/>
                <w:color w:val="000000"/>
              </w:rPr>
              <w:t xml:space="preserve"> review </w:t>
            </w:r>
            <w:r>
              <w:rPr>
                <w:rFonts w:cs="Arial"/>
                <w:color w:val="000000"/>
                <w:vertAlign w:val="superscript"/>
              </w:rPr>
              <w:t>c</w:t>
            </w:r>
          </w:p>
        </w:tc>
        <w:tc>
          <w:tcPr>
            <w:tcW w:w="1680" w:type="dxa"/>
            <w:tcBorders>
              <w:top w:val="nil"/>
              <w:left w:val="nil"/>
              <w:bottom w:val="single" w:color="auto" w:sz="8" w:space="0"/>
              <w:right w:val="single" w:color="auto" w:sz="8" w:space="0"/>
            </w:tcBorders>
            <w:shd w:val="clear" w:color="auto" w:fill="auto"/>
            <w:vAlign w:val="center"/>
            <w:hideMark/>
          </w:tcPr>
          <w:p w:rsidR="00B26B4B" w:rsidRDefault="00B26B4B" w14:paraId="23774E06" w14:textId="77777777">
            <w:pPr>
              <w:jc w:val="right"/>
              <w:rPr>
                <w:rFonts w:cs="Arial"/>
                <w:color w:val="000000"/>
              </w:rPr>
            </w:pPr>
            <w:r>
              <w:rPr>
                <w:rFonts w:cs="Arial"/>
                <w:color w:val="000000"/>
              </w:rPr>
              <w:t>0.25</w:t>
            </w:r>
          </w:p>
        </w:tc>
        <w:tc>
          <w:tcPr>
            <w:tcW w:w="1308" w:type="dxa"/>
            <w:tcBorders>
              <w:top w:val="nil"/>
              <w:left w:val="nil"/>
              <w:bottom w:val="single" w:color="auto" w:sz="8" w:space="0"/>
              <w:right w:val="single" w:color="auto" w:sz="8" w:space="0"/>
            </w:tcBorders>
            <w:shd w:val="clear" w:color="auto" w:fill="auto"/>
            <w:vAlign w:val="center"/>
            <w:hideMark/>
          </w:tcPr>
          <w:p w:rsidR="00B26B4B" w:rsidRDefault="00B26B4B" w14:paraId="32F906CF" w14:textId="77777777">
            <w:pPr>
              <w:jc w:val="right"/>
              <w:rPr>
                <w:rFonts w:cs="Arial"/>
                <w:color w:val="000000"/>
              </w:rPr>
            </w:pPr>
            <w:r>
              <w:rPr>
                <w:rFonts w:cs="Arial"/>
                <w:color w:val="000000"/>
              </w:rPr>
              <w:t>0.25</w:t>
            </w:r>
          </w:p>
        </w:tc>
        <w:tc>
          <w:tcPr>
            <w:tcW w:w="2228" w:type="dxa"/>
            <w:tcBorders>
              <w:top w:val="nil"/>
              <w:left w:val="nil"/>
              <w:bottom w:val="single" w:color="auto" w:sz="8" w:space="0"/>
              <w:right w:val="single" w:color="auto" w:sz="8" w:space="0"/>
            </w:tcBorders>
            <w:shd w:val="clear" w:color="auto" w:fill="auto"/>
            <w:vAlign w:val="center"/>
            <w:hideMark/>
          </w:tcPr>
          <w:p w:rsidR="00B26B4B" w:rsidRDefault="00B26B4B" w14:paraId="168709BF" w14:textId="77777777">
            <w:pPr>
              <w:jc w:val="right"/>
              <w:rPr>
                <w:rFonts w:cs="Arial"/>
                <w:color w:val="000000"/>
              </w:rPr>
            </w:pPr>
            <w:r>
              <w:rPr>
                <w:rFonts w:cs="Arial"/>
                <w:color w:val="000000"/>
              </w:rPr>
              <w:t xml:space="preserve">$23.63 </w:t>
            </w:r>
          </w:p>
        </w:tc>
        <w:tc>
          <w:tcPr>
            <w:tcW w:w="1910" w:type="dxa"/>
            <w:tcBorders>
              <w:top w:val="nil"/>
              <w:left w:val="nil"/>
              <w:bottom w:val="single" w:color="auto" w:sz="8" w:space="0"/>
              <w:right w:val="double" w:color="auto" w:sz="6" w:space="0"/>
            </w:tcBorders>
            <w:shd w:val="clear" w:color="auto" w:fill="auto"/>
            <w:vAlign w:val="center"/>
            <w:hideMark/>
          </w:tcPr>
          <w:p w:rsidR="00B26B4B" w:rsidRDefault="00B26B4B" w14:paraId="558D8FFE" w14:textId="77777777">
            <w:pPr>
              <w:jc w:val="right"/>
              <w:rPr>
                <w:rFonts w:cs="Arial"/>
                <w:color w:val="000000"/>
              </w:rPr>
            </w:pPr>
            <w:r>
              <w:rPr>
                <w:rFonts w:cs="Arial"/>
                <w:color w:val="000000"/>
              </w:rPr>
              <w:t xml:space="preserve">$23.63 </w:t>
            </w:r>
          </w:p>
        </w:tc>
      </w:tr>
      <w:tr w:rsidR="00B26B4B" w:rsidTr="004B4ECA" w14:paraId="1DC938D0" w14:textId="77777777">
        <w:trPr>
          <w:trHeight w:val="830"/>
        </w:trPr>
        <w:tc>
          <w:tcPr>
            <w:tcW w:w="2140" w:type="dxa"/>
            <w:tcBorders>
              <w:top w:val="nil"/>
              <w:left w:val="double" w:color="auto" w:sz="6" w:space="0"/>
              <w:bottom w:val="single" w:color="auto" w:sz="8" w:space="0"/>
              <w:right w:val="single" w:color="auto" w:sz="8" w:space="0"/>
            </w:tcBorders>
            <w:shd w:val="clear" w:color="auto" w:fill="auto"/>
            <w:vAlign w:val="center"/>
            <w:hideMark/>
          </w:tcPr>
          <w:p w:rsidR="00B26B4B" w:rsidRDefault="00B26B4B" w14:paraId="6F2083DF" w14:textId="77777777">
            <w:pPr>
              <w:rPr>
                <w:rFonts w:cs="Arial"/>
                <w:b/>
                <w:bCs/>
                <w:color w:val="000000"/>
              </w:rPr>
            </w:pPr>
            <w:r>
              <w:rPr>
                <w:rFonts w:cs="Arial"/>
                <w:b/>
                <w:bCs/>
                <w:color w:val="000000"/>
              </w:rPr>
              <w:t>Average</w:t>
            </w:r>
          </w:p>
        </w:tc>
        <w:tc>
          <w:tcPr>
            <w:tcW w:w="1680" w:type="dxa"/>
            <w:tcBorders>
              <w:top w:val="nil"/>
              <w:left w:val="nil"/>
              <w:bottom w:val="single" w:color="auto" w:sz="8" w:space="0"/>
              <w:right w:val="single" w:color="auto" w:sz="8" w:space="0"/>
            </w:tcBorders>
            <w:shd w:val="clear" w:color="auto" w:fill="auto"/>
            <w:vAlign w:val="center"/>
            <w:hideMark/>
          </w:tcPr>
          <w:p w:rsidR="00B26B4B" w:rsidRDefault="00B26B4B" w14:paraId="4D6FF5A0" w14:textId="77777777">
            <w:pPr>
              <w:jc w:val="right"/>
              <w:rPr>
                <w:rFonts w:cs="Arial"/>
                <w:color w:val="000000"/>
              </w:rPr>
            </w:pPr>
            <w:r>
              <w:rPr>
                <w:rFonts w:cs="Arial"/>
                <w:color w:val="000000"/>
              </w:rPr>
              <w:t>1.94</w:t>
            </w:r>
          </w:p>
        </w:tc>
        <w:tc>
          <w:tcPr>
            <w:tcW w:w="1308" w:type="dxa"/>
            <w:tcBorders>
              <w:top w:val="nil"/>
              <w:left w:val="nil"/>
              <w:bottom w:val="single" w:color="auto" w:sz="8" w:space="0"/>
              <w:right w:val="single" w:color="auto" w:sz="8" w:space="0"/>
            </w:tcBorders>
            <w:shd w:val="clear" w:color="auto" w:fill="auto"/>
            <w:vAlign w:val="center"/>
            <w:hideMark/>
          </w:tcPr>
          <w:p w:rsidR="00B26B4B" w:rsidRDefault="00B26B4B" w14:paraId="5B2EDF74" w14:textId="77777777">
            <w:pPr>
              <w:jc w:val="right"/>
              <w:rPr>
                <w:rFonts w:cs="Arial"/>
                <w:color w:val="000000"/>
              </w:rPr>
            </w:pPr>
            <w:r>
              <w:rPr>
                <w:rFonts w:cs="Arial"/>
                <w:color w:val="000000"/>
              </w:rPr>
              <w:t>0.97</w:t>
            </w:r>
          </w:p>
        </w:tc>
        <w:tc>
          <w:tcPr>
            <w:tcW w:w="2228" w:type="dxa"/>
            <w:tcBorders>
              <w:top w:val="nil"/>
              <w:left w:val="nil"/>
              <w:bottom w:val="single" w:color="auto" w:sz="8" w:space="0"/>
              <w:right w:val="single" w:color="auto" w:sz="8" w:space="0"/>
            </w:tcBorders>
            <w:shd w:val="clear" w:color="auto" w:fill="auto"/>
            <w:vAlign w:val="center"/>
            <w:hideMark/>
          </w:tcPr>
          <w:p w:rsidR="00B26B4B" w:rsidRDefault="00B26B4B" w14:paraId="303F474C" w14:textId="45D2510E">
            <w:pPr>
              <w:jc w:val="right"/>
              <w:rPr>
                <w:rFonts w:cs="Arial"/>
                <w:color w:val="000000"/>
              </w:rPr>
            </w:pPr>
            <w:r>
              <w:rPr>
                <w:rFonts w:cs="Arial"/>
                <w:color w:val="000000"/>
              </w:rPr>
              <w:t>$1</w:t>
            </w:r>
            <w:r w:rsidR="00567DD9">
              <w:rPr>
                <w:rFonts w:cs="Arial"/>
                <w:color w:val="000000"/>
              </w:rPr>
              <w:t>65.16</w:t>
            </w:r>
            <w:r>
              <w:rPr>
                <w:rFonts w:cs="Arial"/>
                <w:color w:val="000000"/>
              </w:rPr>
              <w:t xml:space="preserve"> </w:t>
            </w:r>
          </w:p>
        </w:tc>
        <w:tc>
          <w:tcPr>
            <w:tcW w:w="1910" w:type="dxa"/>
            <w:tcBorders>
              <w:top w:val="nil"/>
              <w:left w:val="nil"/>
              <w:bottom w:val="single" w:color="auto" w:sz="8" w:space="0"/>
              <w:right w:val="double" w:color="auto" w:sz="6" w:space="0"/>
            </w:tcBorders>
            <w:shd w:val="clear" w:color="auto" w:fill="auto"/>
            <w:vAlign w:val="center"/>
            <w:hideMark/>
          </w:tcPr>
          <w:p w:rsidR="00B26B4B" w:rsidRDefault="00B26B4B" w14:paraId="069F0681" w14:textId="7E809BE1">
            <w:pPr>
              <w:jc w:val="right"/>
              <w:rPr>
                <w:rFonts w:cs="Arial"/>
                <w:color w:val="000000"/>
              </w:rPr>
            </w:pPr>
            <w:r>
              <w:rPr>
                <w:rFonts w:cs="Arial"/>
                <w:color w:val="000000"/>
              </w:rPr>
              <w:t>$8</w:t>
            </w:r>
            <w:r w:rsidR="00567DD9">
              <w:rPr>
                <w:rFonts w:cs="Arial"/>
                <w:color w:val="000000"/>
              </w:rPr>
              <w:t>2,53</w:t>
            </w:r>
            <w:r>
              <w:rPr>
                <w:rFonts w:cs="Arial"/>
                <w:color w:val="000000"/>
              </w:rPr>
              <w:t xml:space="preserve"> </w:t>
            </w:r>
          </w:p>
        </w:tc>
      </w:tr>
      <w:tr w:rsidR="00B26B4B" w:rsidTr="004B4ECA" w14:paraId="3AEB1893" w14:textId="77777777">
        <w:trPr>
          <w:trHeight w:val="342"/>
        </w:trPr>
        <w:tc>
          <w:tcPr>
            <w:tcW w:w="9267" w:type="dxa"/>
            <w:gridSpan w:val="5"/>
            <w:tcBorders>
              <w:top w:val="single" w:color="auto" w:sz="8" w:space="0"/>
              <w:left w:val="double" w:color="auto" w:sz="6" w:space="0"/>
              <w:bottom w:val="nil"/>
              <w:right w:val="double" w:color="000000" w:sz="6" w:space="0"/>
            </w:tcBorders>
            <w:shd w:val="clear" w:color="auto" w:fill="auto"/>
            <w:vAlign w:val="center"/>
            <w:hideMark/>
          </w:tcPr>
          <w:p w:rsidR="00B26B4B" w:rsidRDefault="00B26B4B" w14:paraId="4B955502" w14:textId="77777777">
            <w:pPr>
              <w:rPr>
                <w:rFonts w:cs="Arial"/>
                <w:color w:val="000000"/>
                <w:sz w:val="20"/>
                <w:szCs w:val="20"/>
                <w:u w:val="single"/>
              </w:rPr>
            </w:pPr>
            <w:r>
              <w:rPr>
                <w:rFonts w:cs="Arial"/>
                <w:color w:val="000000"/>
                <w:sz w:val="20"/>
                <w:szCs w:val="20"/>
                <w:u w:val="single"/>
              </w:rPr>
              <w:t xml:space="preserve">Notes: </w:t>
            </w:r>
          </w:p>
        </w:tc>
      </w:tr>
      <w:tr w:rsidR="00B26B4B" w:rsidTr="004B4ECA" w14:paraId="5F926FE7" w14:textId="77777777">
        <w:trPr>
          <w:trHeight w:val="741"/>
        </w:trPr>
        <w:tc>
          <w:tcPr>
            <w:tcW w:w="9267" w:type="dxa"/>
            <w:gridSpan w:val="5"/>
            <w:tcBorders>
              <w:top w:val="nil"/>
              <w:left w:val="double" w:color="auto" w:sz="6" w:space="0"/>
              <w:bottom w:val="nil"/>
              <w:right w:val="double" w:color="000000" w:sz="6" w:space="0"/>
            </w:tcBorders>
            <w:shd w:val="clear" w:color="auto" w:fill="auto"/>
            <w:vAlign w:val="center"/>
            <w:hideMark/>
          </w:tcPr>
          <w:p w:rsidR="00B26B4B" w:rsidRDefault="00B26B4B" w14:paraId="681A99FD" w14:textId="77777777">
            <w:pPr>
              <w:rPr>
                <w:rFonts w:cs="Arial"/>
                <w:color w:val="000000"/>
                <w:sz w:val="20"/>
                <w:szCs w:val="20"/>
              </w:rPr>
            </w:pPr>
            <w:r>
              <w:rPr>
                <w:rFonts w:cs="Arial"/>
                <w:color w:val="000000"/>
                <w:sz w:val="20"/>
                <w:szCs w:val="20"/>
                <w:vertAlign w:val="superscript"/>
              </w:rPr>
              <w:t xml:space="preserve">a </w:t>
            </w:r>
            <w:r>
              <w:rPr>
                <w:rFonts w:cs="Arial"/>
                <w:color w:val="000000"/>
                <w:sz w:val="20"/>
                <w:szCs w:val="20"/>
              </w:rPr>
              <w:t>Calculated as the average cost (or hourly burden) per allegation times the average number of allegations per year.</w:t>
            </w:r>
          </w:p>
        </w:tc>
      </w:tr>
      <w:tr w:rsidR="00B26B4B" w:rsidTr="004B4ECA" w14:paraId="7D7FCBD6" w14:textId="77777777">
        <w:trPr>
          <w:trHeight w:val="370"/>
        </w:trPr>
        <w:tc>
          <w:tcPr>
            <w:tcW w:w="9267" w:type="dxa"/>
            <w:gridSpan w:val="5"/>
            <w:tcBorders>
              <w:top w:val="nil"/>
              <w:left w:val="double" w:color="auto" w:sz="6" w:space="0"/>
              <w:bottom w:val="nil"/>
              <w:right w:val="double" w:color="000000" w:sz="6" w:space="0"/>
            </w:tcBorders>
            <w:shd w:val="clear" w:color="auto" w:fill="auto"/>
            <w:vAlign w:val="center"/>
            <w:hideMark/>
          </w:tcPr>
          <w:p w:rsidR="00B26B4B" w:rsidRDefault="00B26B4B" w14:paraId="0FDBC777" w14:textId="77777777">
            <w:pPr>
              <w:rPr>
                <w:rFonts w:cs="Arial"/>
                <w:color w:val="000000"/>
                <w:sz w:val="20"/>
                <w:szCs w:val="20"/>
              </w:rPr>
            </w:pPr>
            <w:r>
              <w:rPr>
                <w:rFonts w:cs="Arial"/>
                <w:color w:val="000000"/>
                <w:sz w:val="20"/>
                <w:szCs w:val="20"/>
                <w:vertAlign w:val="superscript"/>
              </w:rPr>
              <w:t xml:space="preserve">b </w:t>
            </w:r>
            <w:r>
              <w:rPr>
                <w:rFonts w:cs="Arial"/>
                <w:color w:val="000000"/>
                <w:sz w:val="20"/>
                <w:szCs w:val="20"/>
              </w:rPr>
              <w:t>Calculated as the total industry reporting costs (or total burden) divided by the total number of firms.</w:t>
            </w:r>
          </w:p>
        </w:tc>
      </w:tr>
      <w:tr w:rsidR="00B26B4B" w:rsidTr="004B4ECA" w14:paraId="00A7F88C" w14:textId="77777777">
        <w:trPr>
          <w:trHeight w:val="384"/>
        </w:trPr>
        <w:tc>
          <w:tcPr>
            <w:tcW w:w="9267" w:type="dxa"/>
            <w:gridSpan w:val="5"/>
            <w:tcBorders>
              <w:top w:val="nil"/>
              <w:left w:val="double" w:color="auto" w:sz="6" w:space="0"/>
              <w:bottom w:val="double" w:color="auto" w:sz="6" w:space="0"/>
              <w:right w:val="double" w:color="000000" w:sz="6" w:space="0"/>
            </w:tcBorders>
            <w:shd w:val="clear" w:color="auto" w:fill="auto"/>
            <w:vAlign w:val="center"/>
            <w:hideMark/>
          </w:tcPr>
          <w:p w:rsidR="00B26B4B" w:rsidRDefault="00B26B4B" w14:paraId="2ABBC602" w14:textId="77777777">
            <w:pPr>
              <w:rPr>
                <w:rFonts w:cs="Arial"/>
                <w:color w:val="000000"/>
                <w:sz w:val="20"/>
                <w:szCs w:val="20"/>
              </w:rPr>
            </w:pPr>
            <w:r>
              <w:rPr>
                <w:rFonts w:cs="Arial"/>
                <w:color w:val="000000"/>
                <w:sz w:val="20"/>
                <w:szCs w:val="20"/>
                <w:vertAlign w:val="superscript"/>
              </w:rPr>
              <w:t xml:space="preserve">c </w:t>
            </w:r>
            <w:r>
              <w:rPr>
                <w:rFonts w:cs="Arial"/>
                <w:color w:val="000000"/>
                <w:sz w:val="20"/>
                <w:szCs w:val="20"/>
              </w:rPr>
              <w:t>Calculated as the total industry review costs (or total burden) divided by the total number of firms.</w:t>
            </w:r>
          </w:p>
        </w:tc>
      </w:tr>
    </w:tbl>
    <w:p w:rsidRPr="004F2814" w:rsidR="005C3BF0" w:rsidP="008C6A2E" w:rsidRDefault="00B26B4B" w14:paraId="7D9B6E71" w14:textId="3F2C4CE6">
      <w:pPr>
        <w:rPr>
          <w:rFonts w:cs="Arial"/>
          <w:b/>
          <w:bCs/>
          <w:szCs w:val="24"/>
        </w:rPr>
      </w:pPr>
      <w:r w:rsidRPr="004F2814" w:rsidDel="00B26B4B">
        <w:rPr>
          <w:rFonts w:cs="Arial"/>
          <w:b/>
          <w:bCs/>
          <w:szCs w:val="24"/>
        </w:rPr>
        <w:t xml:space="preserve"> </w:t>
      </w:r>
    </w:p>
    <w:p w:rsidR="005C3BF0" w:rsidP="008C6A2E" w:rsidRDefault="005C3BF0" w14:paraId="69C34084" w14:textId="52B741E6">
      <w:pPr>
        <w:pStyle w:val="ListParagraph"/>
        <w:ind w:left="0"/>
        <w:rPr>
          <w:rFonts w:cs="Arial"/>
          <w:szCs w:val="24"/>
        </w:rPr>
      </w:pPr>
    </w:p>
    <w:p w:rsidRPr="008C6A2E" w:rsidR="008600C0" w:rsidP="008C6A2E" w:rsidRDefault="008600C0" w14:paraId="5B67F343" w14:textId="77777777">
      <w:pPr>
        <w:pStyle w:val="ListParagraph"/>
        <w:ind w:left="0"/>
        <w:rPr>
          <w:rFonts w:cs="Arial"/>
          <w:szCs w:val="24"/>
        </w:rPr>
      </w:pPr>
    </w:p>
    <w:p w:rsidRPr="009C2235" w:rsidR="005359F0" w:rsidP="008C6A2E" w:rsidRDefault="005359F0" w14:paraId="00816637" w14:textId="77777777">
      <w:pPr>
        <w:pStyle w:val="ListParagraph"/>
        <w:ind w:left="0"/>
        <w:rPr>
          <w:rFonts w:cs="Arial"/>
          <w:b/>
          <w:szCs w:val="24"/>
        </w:rPr>
      </w:pPr>
      <w:r w:rsidRPr="009C2235">
        <w:rPr>
          <w:rFonts w:cs="Arial"/>
          <w:b/>
          <w:szCs w:val="24"/>
        </w:rPr>
        <w:t>Health and Safety Data Reporting, Submission of Lists and Copies of Health and Safety Studies</w:t>
      </w:r>
    </w:p>
    <w:p w:rsidRPr="008C6A2E" w:rsidR="005359F0" w:rsidP="008C6A2E" w:rsidRDefault="005359F0" w14:paraId="168F1B5B" w14:textId="77777777">
      <w:pPr>
        <w:pStyle w:val="ListParagraph"/>
        <w:ind w:left="0"/>
        <w:rPr>
          <w:rFonts w:cs="Arial"/>
          <w:szCs w:val="24"/>
        </w:rPr>
      </w:pPr>
    </w:p>
    <w:p w:rsidRPr="008C6A2E" w:rsidR="005359F0" w:rsidP="008C6A2E" w:rsidRDefault="00E07475" w14:paraId="674BBA89" w14:textId="355FFE89">
      <w:pPr>
        <w:pStyle w:val="ListParagraph"/>
        <w:ind w:left="0"/>
        <w:rPr>
          <w:rFonts w:cs="Arial"/>
          <w:color w:val="000000"/>
          <w:szCs w:val="24"/>
        </w:rPr>
      </w:pPr>
      <w:r w:rsidRPr="008C6A2E">
        <w:rPr>
          <w:rFonts w:cs="Arial"/>
          <w:color w:val="000000"/>
          <w:szCs w:val="24"/>
        </w:rPr>
        <w:t>Persons who manufacture (which includes import) chemical substances and mixtures, or propose to do so, and processors of such substances and mixtures (if specifically identified in a particular rule) must submit copies of the unpublished health and safety studies in their possession for the listed substances or mixtures. They must also submit lists of reportable studies that they initiate or, about which they know, for each of the listed substances or listed mixtures.</w:t>
      </w:r>
    </w:p>
    <w:p w:rsidRPr="008C6A2E" w:rsidR="005359F0" w:rsidP="008C6A2E" w:rsidRDefault="005359F0" w14:paraId="3784EA66" w14:textId="77777777">
      <w:pPr>
        <w:pStyle w:val="ListParagraph"/>
        <w:ind w:left="0"/>
        <w:rPr>
          <w:rFonts w:cs="Arial"/>
          <w:color w:val="000000"/>
          <w:szCs w:val="24"/>
        </w:rPr>
      </w:pPr>
    </w:p>
    <w:p w:rsidRPr="008C6A2E" w:rsidR="00E07475" w:rsidP="008C6A2E" w:rsidRDefault="00E07475" w14:paraId="5EF9CE60" w14:textId="5F400ECE">
      <w:pPr>
        <w:pStyle w:val="ListParagraph"/>
        <w:ind w:left="0"/>
        <w:rPr>
          <w:rFonts w:cs="Arial"/>
          <w:szCs w:val="24"/>
        </w:rPr>
      </w:pPr>
      <w:r w:rsidRPr="008C6A2E">
        <w:rPr>
          <w:rFonts w:cs="Arial"/>
          <w:color w:val="000000"/>
          <w:szCs w:val="24"/>
        </w:rPr>
        <w:t>All submitted studies must be accompanied by a cover letter that contains the following data (40 CFR 716.30):</w:t>
      </w:r>
    </w:p>
    <w:p w:rsidRPr="008C6A2E" w:rsidR="00E07475" w:rsidP="008C6A2E" w:rsidRDefault="00E07475" w14:paraId="306FE52E" w14:textId="77777777">
      <w:pPr>
        <w:pStyle w:val="ListParagraph"/>
        <w:widowControl w:val="0"/>
        <w:numPr>
          <w:ilvl w:val="0"/>
          <w:numId w:val="8"/>
        </w:numPr>
        <w:rPr>
          <w:rFonts w:cs="Arial"/>
          <w:color w:val="000000"/>
          <w:szCs w:val="24"/>
        </w:rPr>
      </w:pPr>
      <w:r w:rsidRPr="008C6A2E">
        <w:rPr>
          <w:rFonts w:cs="Arial"/>
          <w:color w:val="000000"/>
          <w:szCs w:val="24"/>
        </w:rPr>
        <w:t>Name,</w:t>
      </w:r>
    </w:p>
    <w:p w:rsidRPr="008C6A2E" w:rsidR="00E07475" w:rsidP="008C6A2E" w:rsidRDefault="00E07475" w14:paraId="4FB7DD0B" w14:textId="77777777">
      <w:pPr>
        <w:pStyle w:val="ListParagraph"/>
        <w:widowControl w:val="0"/>
        <w:numPr>
          <w:ilvl w:val="0"/>
          <w:numId w:val="8"/>
        </w:numPr>
        <w:rPr>
          <w:rFonts w:cs="Arial"/>
          <w:color w:val="000000"/>
          <w:szCs w:val="24"/>
        </w:rPr>
      </w:pPr>
      <w:r w:rsidRPr="008C6A2E">
        <w:rPr>
          <w:rFonts w:cs="Arial"/>
          <w:color w:val="000000"/>
          <w:szCs w:val="24"/>
        </w:rPr>
        <w:t>Job title,</w:t>
      </w:r>
    </w:p>
    <w:p w:rsidRPr="008C6A2E" w:rsidR="00E07475" w:rsidP="008C6A2E" w:rsidRDefault="00E07475" w14:paraId="5BA7C5D6" w14:textId="77777777">
      <w:pPr>
        <w:pStyle w:val="ListParagraph"/>
        <w:widowControl w:val="0"/>
        <w:numPr>
          <w:ilvl w:val="0"/>
          <w:numId w:val="8"/>
        </w:numPr>
        <w:rPr>
          <w:rFonts w:cs="Arial"/>
          <w:color w:val="000000"/>
          <w:szCs w:val="24"/>
        </w:rPr>
      </w:pPr>
      <w:r w:rsidRPr="008C6A2E">
        <w:rPr>
          <w:rFonts w:cs="Arial"/>
          <w:color w:val="000000"/>
          <w:szCs w:val="24"/>
        </w:rPr>
        <w:t>Address, and</w:t>
      </w:r>
    </w:p>
    <w:p w:rsidRPr="008C6A2E" w:rsidR="00E07475" w:rsidP="008C6A2E" w:rsidRDefault="00E07475" w14:paraId="4E5D9096" w14:textId="77777777">
      <w:pPr>
        <w:pStyle w:val="ListParagraph"/>
        <w:widowControl w:val="0"/>
        <w:numPr>
          <w:ilvl w:val="0"/>
          <w:numId w:val="8"/>
        </w:numPr>
        <w:rPr>
          <w:rFonts w:cs="Arial"/>
          <w:color w:val="000000"/>
          <w:szCs w:val="24"/>
        </w:rPr>
      </w:pPr>
      <w:r w:rsidRPr="008C6A2E">
        <w:rPr>
          <w:rFonts w:cs="Arial"/>
          <w:color w:val="000000"/>
          <w:szCs w:val="24"/>
        </w:rPr>
        <w:t>Telephone numbers of the submitting official.</w:t>
      </w:r>
    </w:p>
    <w:p w:rsidRPr="008C6A2E" w:rsidR="00E07475" w:rsidP="008C6A2E" w:rsidRDefault="00E07475" w14:paraId="7680AF45" w14:textId="77777777">
      <w:pPr>
        <w:pStyle w:val="ListParagraph"/>
        <w:widowControl w:val="0"/>
        <w:numPr>
          <w:ilvl w:val="0"/>
          <w:numId w:val="8"/>
        </w:numPr>
        <w:rPr>
          <w:rFonts w:cs="Arial"/>
          <w:color w:val="000000"/>
          <w:szCs w:val="24"/>
        </w:rPr>
      </w:pPr>
      <w:r w:rsidRPr="008C6A2E">
        <w:rPr>
          <w:rFonts w:cs="Arial"/>
          <w:szCs w:val="24"/>
        </w:rPr>
        <w:t>Name and address of the manufacturing or processing establishment on whose behalf the submission was made.</w:t>
      </w:r>
    </w:p>
    <w:p w:rsidRPr="008C6A2E" w:rsidR="00E07475" w:rsidP="008C6A2E" w:rsidRDefault="00E07475" w14:paraId="41D0CFAB" w14:textId="77777777">
      <w:pPr>
        <w:pStyle w:val="ListParagraph"/>
        <w:widowControl w:val="0"/>
        <w:numPr>
          <w:ilvl w:val="0"/>
          <w:numId w:val="8"/>
        </w:numPr>
        <w:rPr>
          <w:rFonts w:cs="Arial"/>
          <w:color w:val="000000"/>
          <w:szCs w:val="24"/>
        </w:rPr>
      </w:pPr>
      <w:r w:rsidRPr="008C6A2E">
        <w:rPr>
          <w:rFonts w:cs="Arial"/>
          <w:szCs w:val="24"/>
        </w:rPr>
        <w:t>Identify any impurity or additive known to have been present in the substance or listed mixtures as studied, unless so noted in the study.</w:t>
      </w:r>
    </w:p>
    <w:p w:rsidRPr="008C6A2E" w:rsidR="00E07475" w:rsidP="008C6A2E" w:rsidRDefault="00E07475" w14:paraId="02BBB8A7" w14:textId="77777777">
      <w:pPr>
        <w:pStyle w:val="ListParagraph"/>
        <w:widowControl w:val="0"/>
        <w:numPr>
          <w:ilvl w:val="0"/>
          <w:numId w:val="8"/>
        </w:numPr>
        <w:rPr>
          <w:rFonts w:cs="Arial"/>
          <w:color w:val="000000"/>
          <w:szCs w:val="24"/>
        </w:rPr>
      </w:pPr>
      <w:r w:rsidRPr="008C6A2E">
        <w:rPr>
          <w:rFonts w:cs="Arial"/>
          <w:szCs w:val="24"/>
        </w:rPr>
        <w:t>Identify that the study is being submitted under Part 716.</w:t>
      </w:r>
    </w:p>
    <w:p w:rsidRPr="008C6A2E" w:rsidR="005359F0" w:rsidP="008C6A2E" w:rsidRDefault="00E07475" w14:paraId="1BBAA589" w14:textId="6E6CF462">
      <w:pPr>
        <w:widowControl w:val="0"/>
        <w:rPr>
          <w:rFonts w:cs="Arial"/>
          <w:color w:val="000000"/>
          <w:szCs w:val="24"/>
        </w:rPr>
      </w:pPr>
      <w:r w:rsidRPr="008C6A2E">
        <w:rPr>
          <w:rFonts w:cs="Arial"/>
          <w:color w:val="000000"/>
          <w:szCs w:val="24"/>
        </w:rPr>
        <w:t xml:space="preserve">Respondents may voluntarily choose to develop and submit robust summaries of the full toxicological study reports in conjunction with the submitted full study reports. The robust summaries should contain technical information to adequately describe the study and </w:t>
      </w:r>
      <w:r w:rsidRPr="008C6A2E" w:rsidR="00444A95">
        <w:rPr>
          <w:rFonts w:cs="Arial"/>
          <w:color w:val="000000"/>
          <w:szCs w:val="24"/>
        </w:rPr>
        <w:t>results and</w:t>
      </w:r>
      <w:r w:rsidRPr="008C6A2E">
        <w:rPr>
          <w:rFonts w:cs="Arial"/>
          <w:color w:val="000000"/>
          <w:szCs w:val="24"/>
        </w:rPr>
        <w:t xml:space="preserve"> should be written such that the information provided is sufficient to allow a technically qualified person to evaluate study results. Typically, a robust summary would include a description of the test substance, methods, results, conclusions, data quality description, and references associated with the full study.</w:t>
      </w:r>
    </w:p>
    <w:p w:rsidRPr="008C6A2E" w:rsidR="005359F0" w:rsidP="008C6A2E" w:rsidRDefault="00E07475" w14:paraId="664CDA21" w14:textId="759CAF83">
      <w:pPr>
        <w:widowControl w:val="0"/>
        <w:rPr>
          <w:rFonts w:cs="Arial"/>
          <w:color w:val="000000"/>
          <w:szCs w:val="24"/>
        </w:rPr>
      </w:pPr>
      <w:r w:rsidRPr="008C6A2E">
        <w:rPr>
          <w:rFonts w:cs="Arial"/>
          <w:color w:val="000000"/>
          <w:szCs w:val="24"/>
        </w:rPr>
        <w:t xml:space="preserve">List of studies shall include (40 CFR 716.35): (A) ongoing health and safety studies conducted by or initiated by respondents; (B) studies respondents know about but do not have copies of; </w:t>
      </w:r>
      <w:r w:rsidRPr="008C6A2E" w:rsidR="00444A95">
        <w:rPr>
          <w:rFonts w:cs="Arial"/>
          <w:color w:val="000000"/>
          <w:szCs w:val="24"/>
        </w:rPr>
        <w:t>and</w:t>
      </w:r>
      <w:r w:rsidRPr="008C6A2E">
        <w:rPr>
          <w:rFonts w:cs="Arial"/>
          <w:color w:val="000000"/>
          <w:szCs w:val="24"/>
        </w:rPr>
        <w:t xml:space="preserve"> (C) studies that have been sent to another federal agency with no claims of confidentiality.</w:t>
      </w:r>
    </w:p>
    <w:p w:rsidRPr="008C6A2E" w:rsidR="00E07475" w:rsidP="008C6A2E" w:rsidRDefault="00E07475" w14:paraId="1A157E96" w14:textId="049F1748">
      <w:pPr>
        <w:widowControl w:val="0"/>
        <w:rPr>
          <w:rFonts w:cs="Arial"/>
          <w:color w:val="000000"/>
          <w:szCs w:val="24"/>
        </w:rPr>
      </w:pPr>
      <w:r w:rsidRPr="008C6A2E">
        <w:rPr>
          <w:rFonts w:cs="Arial"/>
          <w:color w:val="000000"/>
          <w:szCs w:val="24"/>
        </w:rPr>
        <w:t>For ongoing health and safety studies conducted by or initiated for the respondent, the list should include the following data:</w:t>
      </w:r>
    </w:p>
    <w:p w:rsidRPr="008C6A2E" w:rsidR="00E07475" w:rsidP="008C6A2E" w:rsidRDefault="00E07475" w14:paraId="0F24EDE0" w14:textId="77777777">
      <w:pPr>
        <w:pStyle w:val="ListParagraph"/>
        <w:widowControl w:val="0"/>
        <w:numPr>
          <w:ilvl w:val="0"/>
          <w:numId w:val="7"/>
        </w:numPr>
        <w:rPr>
          <w:rFonts w:cs="Arial"/>
          <w:color w:val="000000"/>
          <w:szCs w:val="24"/>
        </w:rPr>
      </w:pPr>
      <w:r w:rsidRPr="008C6A2E">
        <w:rPr>
          <w:rFonts w:cs="Arial"/>
          <w:color w:val="000000"/>
          <w:szCs w:val="24"/>
        </w:rPr>
        <w:t>Beginning date of the study</w:t>
      </w:r>
    </w:p>
    <w:p w:rsidRPr="008C6A2E" w:rsidR="00E07475" w:rsidP="008C6A2E" w:rsidRDefault="00E07475" w14:paraId="16C65FE0" w14:textId="77777777">
      <w:pPr>
        <w:pStyle w:val="ListParagraph"/>
        <w:widowControl w:val="0"/>
        <w:numPr>
          <w:ilvl w:val="0"/>
          <w:numId w:val="7"/>
        </w:numPr>
        <w:rPr>
          <w:rFonts w:cs="Arial"/>
          <w:color w:val="000000"/>
          <w:szCs w:val="24"/>
        </w:rPr>
      </w:pPr>
      <w:r w:rsidRPr="008C6A2E">
        <w:rPr>
          <w:rFonts w:cs="Arial"/>
          <w:color w:val="000000"/>
          <w:szCs w:val="24"/>
        </w:rPr>
        <w:t>Purpose of the study</w:t>
      </w:r>
    </w:p>
    <w:p w:rsidRPr="008C6A2E" w:rsidR="00E07475" w:rsidP="008C6A2E" w:rsidRDefault="00E07475" w14:paraId="5358E260" w14:textId="77777777">
      <w:pPr>
        <w:pStyle w:val="ListParagraph"/>
        <w:widowControl w:val="0"/>
        <w:numPr>
          <w:ilvl w:val="0"/>
          <w:numId w:val="7"/>
        </w:numPr>
        <w:rPr>
          <w:rFonts w:cs="Arial"/>
          <w:color w:val="000000"/>
          <w:szCs w:val="24"/>
        </w:rPr>
      </w:pPr>
      <w:r w:rsidRPr="008C6A2E">
        <w:rPr>
          <w:rFonts w:cs="Arial"/>
          <w:color w:val="000000"/>
          <w:szCs w:val="24"/>
        </w:rPr>
        <w:t>Types of data to be collected</w:t>
      </w:r>
    </w:p>
    <w:p w:rsidRPr="008C6A2E" w:rsidR="00E07475" w:rsidP="008C6A2E" w:rsidRDefault="00E07475" w14:paraId="13F15A17" w14:textId="77777777">
      <w:pPr>
        <w:pStyle w:val="ListParagraph"/>
        <w:widowControl w:val="0"/>
        <w:numPr>
          <w:ilvl w:val="0"/>
          <w:numId w:val="7"/>
        </w:numPr>
        <w:rPr>
          <w:rFonts w:cs="Arial"/>
          <w:color w:val="000000"/>
          <w:szCs w:val="24"/>
        </w:rPr>
      </w:pPr>
      <w:r w:rsidRPr="008C6A2E">
        <w:rPr>
          <w:rFonts w:cs="Arial"/>
          <w:color w:val="000000"/>
          <w:szCs w:val="24"/>
        </w:rPr>
        <w:t>Anticipated date of completion</w:t>
      </w:r>
    </w:p>
    <w:p w:rsidRPr="008C6A2E" w:rsidR="00E07475" w:rsidP="008C6A2E" w:rsidRDefault="00E07475" w14:paraId="2D19D656" w14:textId="77777777">
      <w:pPr>
        <w:pStyle w:val="ListParagraph"/>
        <w:widowControl w:val="0"/>
        <w:numPr>
          <w:ilvl w:val="0"/>
          <w:numId w:val="7"/>
        </w:numPr>
        <w:rPr>
          <w:rFonts w:cs="Arial"/>
          <w:color w:val="000000"/>
          <w:szCs w:val="24"/>
        </w:rPr>
      </w:pPr>
      <w:r w:rsidRPr="008C6A2E">
        <w:rPr>
          <w:rFonts w:cs="Arial"/>
          <w:color w:val="000000"/>
          <w:szCs w:val="24"/>
        </w:rPr>
        <w:t>Name and address of the laboratory conducting the study.</w:t>
      </w:r>
    </w:p>
    <w:p w:rsidRPr="008C6A2E" w:rsidR="005359F0" w:rsidP="008C6A2E" w:rsidRDefault="00E07475" w14:paraId="35278BDD" w14:textId="77777777">
      <w:pPr>
        <w:widowControl w:val="0"/>
        <w:rPr>
          <w:rFonts w:cs="Arial"/>
          <w:color w:val="000000"/>
          <w:szCs w:val="24"/>
        </w:rPr>
      </w:pPr>
      <w:r w:rsidRPr="008C6A2E">
        <w:rPr>
          <w:rFonts w:cs="Arial"/>
          <w:color w:val="000000"/>
          <w:szCs w:val="24"/>
        </w:rPr>
        <w:t>For studies known to the respondent but for which they do not possess copies, the list should include the following data:</w:t>
      </w:r>
    </w:p>
    <w:p w:rsidRPr="008C6A2E" w:rsidR="00E07475" w:rsidP="008C6A2E" w:rsidRDefault="00E07475" w14:paraId="06E596B5" w14:textId="5FE0263B">
      <w:pPr>
        <w:pStyle w:val="ListParagraph"/>
        <w:widowControl w:val="0"/>
        <w:numPr>
          <w:ilvl w:val="0"/>
          <w:numId w:val="17"/>
        </w:numPr>
        <w:rPr>
          <w:rFonts w:cs="Arial"/>
          <w:color w:val="000000"/>
          <w:szCs w:val="24"/>
        </w:rPr>
      </w:pPr>
      <w:r w:rsidRPr="008C6A2E">
        <w:rPr>
          <w:rFonts w:cs="Arial"/>
          <w:color w:val="000000"/>
          <w:szCs w:val="24"/>
        </w:rPr>
        <w:t>Name and address of a person known to them that possesses a copy of the study.</w:t>
      </w:r>
    </w:p>
    <w:p w:rsidRPr="008C6A2E" w:rsidR="00E07475" w:rsidP="00AC440A" w:rsidRDefault="00E07475" w14:paraId="30D36337" w14:textId="18DC3FAE">
      <w:pPr>
        <w:widowControl w:val="0"/>
        <w:rPr>
          <w:rFonts w:cs="Arial"/>
          <w:color w:val="000000"/>
          <w:szCs w:val="24"/>
        </w:rPr>
      </w:pPr>
      <w:r w:rsidRPr="008C6A2E">
        <w:rPr>
          <w:rFonts w:cs="Arial"/>
          <w:color w:val="000000"/>
          <w:szCs w:val="24"/>
        </w:rPr>
        <w:t>For studies previously sent to a federal agency with no claims of confidentiality, the list</w:t>
      </w:r>
      <w:r w:rsidR="00AC440A">
        <w:rPr>
          <w:rFonts w:cs="Arial"/>
          <w:color w:val="000000"/>
          <w:szCs w:val="24"/>
        </w:rPr>
        <w:t xml:space="preserve"> </w:t>
      </w:r>
      <w:r w:rsidRPr="008C6A2E">
        <w:rPr>
          <w:rFonts w:cs="Arial"/>
          <w:color w:val="000000"/>
          <w:szCs w:val="24"/>
        </w:rPr>
        <w:t>should include the following data:</w:t>
      </w:r>
    </w:p>
    <w:p w:rsidRPr="008C6A2E" w:rsidR="00E07475" w:rsidP="008C6A2E" w:rsidRDefault="00E07475" w14:paraId="52C028F5" w14:textId="77777777">
      <w:pPr>
        <w:pStyle w:val="ListParagraph"/>
        <w:widowControl w:val="0"/>
        <w:numPr>
          <w:ilvl w:val="0"/>
          <w:numId w:val="9"/>
        </w:numPr>
        <w:rPr>
          <w:rFonts w:cs="Arial"/>
          <w:color w:val="000000"/>
          <w:szCs w:val="24"/>
        </w:rPr>
      </w:pPr>
      <w:r w:rsidRPr="008C6A2E">
        <w:rPr>
          <w:rFonts w:cs="Arial"/>
          <w:color w:val="000000"/>
          <w:szCs w:val="24"/>
        </w:rPr>
        <w:t>Title of the study</w:t>
      </w:r>
    </w:p>
    <w:p w:rsidRPr="008C6A2E" w:rsidR="00E07475" w:rsidP="008C6A2E" w:rsidRDefault="00E07475" w14:paraId="30F01A6B" w14:textId="77777777">
      <w:pPr>
        <w:pStyle w:val="ListParagraph"/>
        <w:widowControl w:val="0"/>
        <w:numPr>
          <w:ilvl w:val="0"/>
          <w:numId w:val="9"/>
        </w:numPr>
        <w:rPr>
          <w:rFonts w:cs="Arial"/>
          <w:color w:val="000000"/>
          <w:szCs w:val="24"/>
        </w:rPr>
      </w:pPr>
      <w:r w:rsidRPr="008C6A2E">
        <w:rPr>
          <w:rFonts w:cs="Arial"/>
          <w:color w:val="000000"/>
          <w:szCs w:val="24"/>
        </w:rPr>
        <w:t>Name and address of the person to whom the study was sent</w:t>
      </w:r>
    </w:p>
    <w:p w:rsidRPr="008C6A2E" w:rsidR="005359F0" w:rsidP="008C6A2E" w:rsidRDefault="00E07475" w14:paraId="18DE9F1A" w14:textId="77777777">
      <w:pPr>
        <w:pStyle w:val="ListParagraph"/>
        <w:widowControl w:val="0"/>
        <w:numPr>
          <w:ilvl w:val="0"/>
          <w:numId w:val="9"/>
        </w:numPr>
        <w:rPr>
          <w:rFonts w:cs="Arial"/>
          <w:color w:val="000000"/>
          <w:szCs w:val="24"/>
        </w:rPr>
      </w:pPr>
      <w:r w:rsidRPr="008C6A2E">
        <w:rPr>
          <w:rFonts w:cs="Arial"/>
          <w:color w:val="000000"/>
          <w:szCs w:val="24"/>
        </w:rPr>
        <w:t>Month and year in which the study was submitted.</w:t>
      </w:r>
    </w:p>
    <w:p w:rsidRPr="008C6A2E" w:rsidR="005359F0" w:rsidP="00DD1C3B" w:rsidRDefault="005359F0" w14:paraId="6CC3DE13" w14:textId="77777777">
      <w:pPr>
        <w:pStyle w:val="ListParagraph"/>
        <w:widowControl w:val="0"/>
        <w:ind w:left="1080"/>
        <w:rPr>
          <w:rFonts w:cs="Arial"/>
          <w:color w:val="000000"/>
          <w:szCs w:val="24"/>
        </w:rPr>
      </w:pPr>
    </w:p>
    <w:p w:rsidRPr="008C6A2E" w:rsidR="005359F0" w:rsidP="008C6A2E" w:rsidRDefault="00E07475" w14:paraId="2066FF35" w14:textId="17063D43">
      <w:pPr>
        <w:pStyle w:val="ListParagraph"/>
        <w:widowControl w:val="0"/>
        <w:ind w:left="0"/>
        <w:rPr>
          <w:rFonts w:cs="Arial"/>
          <w:color w:val="000000"/>
          <w:szCs w:val="24"/>
        </w:rPr>
      </w:pPr>
      <w:r w:rsidRPr="008C6A2E">
        <w:rPr>
          <w:rFonts w:cs="Arial"/>
          <w:color w:val="000000"/>
          <w:szCs w:val="24"/>
        </w:rPr>
        <w:t xml:space="preserve">A representative respondent would engage in the following activities in order to produce the lists of studies and required </w:t>
      </w:r>
      <w:r w:rsidRPr="008C6A2E" w:rsidR="00444A95">
        <w:rPr>
          <w:rFonts w:cs="Arial"/>
          <w:color w:val="000000"/>
          <w:szCs w:val="24"/>
        </w:rPr>
        <w:t>data:</w:t>
      </w:r>
    </w:p>
    <w:p w:rsidRPr="008C6A2E" w:rsidR="005359F0" w:rsidP="008C6A2E" w:rsidRDefault="00E07475" w14:paraId="76E4A153" w14:textId="77777777">
      <w:pPr>
        <w:pStyle w:val="ListParagraph"/>
        <w:widowControl w:val="0"/>
        <w:numPr>
          <w:ilvl w:val="0"/>
          <w:numId w:val="18"/>
        </w:numPr>
        <w:rPr>
          <w:rFonts w:cs="Arial"/>
          <w:color w:val="000000"/>
          <w:szCs w:val="24"/>
        </w:rPr>
      </w:pPr>
      <w:r w:rsidRPr="008C6A2E">
        <w:rPr>
          <w:rFonts w:cs="Arial"/>
          <w:color w:val="000000"/>
          <w:szCs w:val="24"/>
        </w:rPr>
        <w:t xml:space="preserve">Determine whether the firm may be required to report. If so, review the rule in more </w:t>
      </w:r>
      <w:proofErr w:type="gramStart"/>
      <w:r w:rsidRPr="008C6A2E">
        <w:rPr>
          <w:rFonts w:cs="Arial"/>
          <w:color w:val="000000"/>
          <w:szCs w:val="24"/>
        </w:rPr>
        <w:t>detail;</w:t>
      </w:r>
      <w:proofErr w:type="gramEnd"/>
    </w:p>
    <w:p w:rsidRPr="008C6A2E" w:rsidR="001602F8" w:rsidP="008C6A2E" w:rsidRDefault="00E07475" w14:paraId="7C1123A2" w14:textId="77777777">
      <w:pPr>
        <w:pStyle w:val="ListParagraph"/>
        <w:widowControl w:val="0"/>
        <w:numPr>
          <w:ilvl w:val="0"/>
          <w:numId w:val="18"/>
        </w:numPr>
        <w:rPr>
          <w:rFonts w:cs="Arial"/>
          <w:color w:val="000000"/>
          <w:szCs w:val="24"/>
        </w:rPr>
      </w:pPr>
      <w:r w:rsidRPr="008C6A2E">
        <w:rPr>
          <w:rFonts w:cs="Arial"/>
          <w:color w:val="000000"/>
          <w:szCs w:val="24"/>
        </w:rPr>
        <w:t xml:space="preserve">Conduct a corporate review to identify which firm sites must be searched to locate the appropriate health and safety </w:t>
      </w:r>
      <w:proofErr w:type="gramStart"/>
      <w:r w:rsidRPr="008C6A2E">
        <w:rPr>
          <w:rFonts w:cs="Arial"/>
          <w:color w:val="000000"/>
          <w:szCs w:val="24"/>
        </w:rPr>
        <w:t>studies;</w:t>
      </w:r>
      <w:proofErr w:type="gramEnd"/>
    </w:p>
    <w:p w:rsidRPr="008C6A2E" w:rsidR="001602F8" w:rsidP="008C6A2E" w:rsidRDefault="00E07475" w14:paraId="62F85792" w14:textId="77777777">
      <w:pPr>
        <w:pStyle w:val="ListParagraph"/>
        <w:widowControl w:val="0"/>
        <w:numPr>
          <w:ilvl w:val="0"/>
          <w:numId w:val="18"/>
        </w:numPr>
        <w:rPr>
          <w:rFonts w:cs="Arial"/>
          <w:color w:val="000000"/>
          <w:szCs w:val="24"/>
        </w:rPr>
      </w:pPr>
      <w:r w:rsidRPr="008C6A2E">
        <w:rPr>
          <w:rFonts w:cs="Arial"/>
          <w:color w:val="000000"/>
          <w:szCs w:val="24"/>
        </w:rPr>
        <w:t xml:space="preserve">Search the files at appropriate sites to locate relevant </w:t>
      </w:r>
      <w:proofErr w:type="gramStart"/>
      <w:r w:rsidRPr="008C6A2E">
        <w:rPr>
          <w:rFonts w:cs="Arial"/>
          <w:color w:val="000000"/>
          <w:szCs w:val="24"/>
        </w:rPr>
        <w:t>studies;</w:t>
      </w:r>
      <w:proofErr w:type="gramEnd"/>
    </w:p>
    <w:p w:rsidRPr="008C6A2E" w:rsidR="001602F8" w:rsidP="008C6A2E" w:rsidRDefault="00E07475" w14:paraId="01EC6505" w14:textId="77777777">
      <w:pPr>
        <w:pStyle w:val="ListParagraph"/>
        <w:widowControl w:val="0"/>
        <w:numPr>
          <w:ilvl w:val="0"/>
          <w:numId w:val="18"/>
        </w:numPr>
        <w:rPr>
          <w:rFonts w:cs="Arial"/>
          <w:color w:val="000000"/>
          <w:szCs w:val="24"/>
        </w:rPr>
      </w:pPr>
      <w:r w:rsidRPr="008C6A2E">
        <w:rPr>
          <w:rFonts w:cs="Arial"/>
          <w:color w:val="000000"/>
          <w:szCs w:val="24"/>
        </w:rPr>
        <w:t xml:space="preserve">Compile and transcribe lists of studies being submitted, ongoing studies, newly initiated studies, studies known to exist but not known to be in the respondent’s possession, and studies previously submitted to other federal agencies without confidentiality </w:t>
      </w:r>
      <w:proofErr w:type="gramStart"/>
      <w:r w:rsidRPr="008C6A2E">
        <w:rPr>
          <w:rFonts w:cs="Arial"/>
          <w:color w:val="000000"/>
          <w:szCs w:val="24"/>
        </w:rPr>
        <w:t>claims;</w:t>
      </w:r>
      <w:proofErr w:type="gramEnd"/>
    </w:p>
    <w:p w:rsidRPr="008C6A2E" w:rsidR="001602F8" w:rsidP="008C6A2E" w:rsidRDefault="00E07475" w14:paraId="42FFB1C1" w14:textId="77777777">
      <w:pPr>
        <w:pStyle w:val="ListParagraph"/>
        <w:widowControl w:val="0"/>
        <w:numPr>
          <w:ilvl w:val="0"/>
          <w:numId w:val="18"/>
        </w:numPr>
        <w:rPr>
          <w:rFonts w:cs="Arial"/>
          <w:color w:val="000000"/>
          <w:szCs w:val="24"/>
        </w:rPr>
      </w:pPr>
      <w:r w:rsidRPr="008C6A2E">
        <w:rPr>
          <w:rFonts w:cs="Arial"/>
          <w:color w:val="000000"/>
          <w:szCs w:val="24"/>
        </w:rPr>
        <w:t xml:space="preserve">Photocopy or prepare electronic versions of the </w:t>
      </w:r>
      <w:proofErr w:type="gramStart"/>
      <w:r w:rsidRPr="008C6A2E">
        <w:rPr>
          <w:rFonts w:cs="Arial"/>
          <w:color w:val="000000"/>
          <w:szCs w:val="24"/>
        </w:rPr>
        <w:t>studies;</w:t>
      </w:r>
      <w:proofErr w:type="gramEnd"/>
    </w:p>
    <w:p w:rsidRPr="008C6A2E" w:rsidR="001602F8" w:rsidP="008C6A2E" w:rsidRDefault="00E07475" w14:paraId="46C6133A" w14:textId="77777777">
      <w:pPr>
        <w:pStyle w:val="ListParagraph"/>
        <w:widowControl w:val="0"/>
        <w:numPr>
          <w:ilvl w:val="0"/>
          <w:numId w:val="18"/>
        </w:numPr>
        <w:rPr>
          <w:rFonts w:cs="Arial"/>
          <w:color w:val="000000"/>
          <w:szCs w:val="24"/>
        </w:rPr>
      </w:pPr>
      <w:r w:rsidRPr="008C6A2E">
        <w:rPr>
          <w:rFonts w:cs="Arial"/>
          <w:color w:val="000000"/>
          <w:szCs w:val="24"/>
        </w:rPr>
        <w:t xml:space="preserve">Voluntarily prepare robust summaries of the </w:t>
      </w:r>
      <w:proofErr w:type="gramStart"/>
      <w:r w:rsidRPr="008C6A2E">
        <w:rPr>
          <w:rFonts w:cs="Arial"/>
          <w:color w:val="000000"/>
          <w:szCs w:val="24"/>
        </w:rPr>
        <w:t>studies;</w:t>
      </w:r>
      <w:proofErr w:type="gramEnd"/>
      <w:r w:rsidRPr="008C6A2E">
        <w:rPr>
          <w:rFonts w:cs="Arial"/>
          <w:color w:val="000000"/>
          <w:szCs w:val="24"/>
        </w:rPr>
        <w:t xml:space="preserve"> </w:t>
      </w:r>
    </w:p>
    <w:p w:rsidR="009A4693" w:rsidP="009A4693" w:rsidRDefault="00E07475" w14:paraId="73908043" w14:textId="77777777">
      <w:pPr>
        <w:pStyle w:val="ListParagraph"/>
        <w:widowControl w:val="0"/>
        <w:numPr>
          <w:ilvl w:val="0"/>
          <w:numId w:val="18"/>
        </w:numPr>
        <w:rPr>
          <w:rFonts w:cs="Arial"/>
          <w:color w:val="000000"/>
          <w:szCs w:val="24"/>
        </w:rPr>
      </w:pPr>
      <w:r w:rsidRPr="008C6A2E">
        <w:rPr>
          <w:rFonts w:cs="Arial"/>
          <w:color w:val="000000"/>
          <w:szCs w:val="24"/>
        </w:rPr>
        <w:t>Review the responses for possible confidential business information and prepare information to substantiate a claim of confidentiality; and</w:t>
      </w:r>
    </w:p>
    <w:p w:rsidRPr="009A4693" w:rsidR="009A4693" w:rsidP="009A4693" w:rsidRDefault="00E07475" w14:paraId="05245244" w14:textId="7C1C8C23">
      <w:pPr>
        <w:pStyle w:val="ListParagraph"/>
        <w:widowControl w:val="0"/>
        <w:numPr>
          <w:ilvl w:val="0"/>
          <w:numId w:val="18"/>
        </w:numPr>
        <w:rPr>
          <w:rFonts w:cs="Arial"/>
          <w:color w:val="000000"/>
          <w:szCs w:val="24"/>
        </w:rPr>
      </w:pPr>
      <w:r w:rsidRPr="009A4693">
        <w:rPr>
          <w:rFonts w:cs="Arial"/>
          <w:szCs w:val="24"/>
        </w:rPr>
        <w:t>Submit the studies to EPA electronically, and, after initial study submissions, notify EPA when other studies are initiated; submit studies completed after the reporting period.</w:t>
      </w:r>
    </w:p>
    <w:p w:rsidR="009A4693" w:rsidP="009A4693" w:rsidRDefault="009A4693" w14:paraId="6E3915E5" w14:textId="77777777">
      <w:pPr>
        <w:pStyle w:val="ListParagraph"/>
        <w:widowControl w:val="0"/>
        <w:ind w:left="1080"/>
        <w:rPr>
          <w:rFonts w:cs="Arial"/>
          <w:color w:val="000000"/>
          <w:szCs w:val="24"/>
        </w:rPr>
      </w:pPr>
    </w:p>
    <w:p w:rsidRPr="009A4693" w:rsidR="00EB1CA3" w:rsidP="009A4693" w:rsidRDefault="00EB1CA3" w14:paraId="6E41F0C7" w14:textId="798C58F5">
      <w:pPr>
        <w:pStyle w:val="ListParagraph"/>
        <w:widowControl w:val="0"/>
        <w:ind w:left="0"/>
        <w:rPr>
          <w:rFonts w:cs="Arial"/>
          <w:color w:val="000000"/>
          <w:szCs w:val="24"/>
        </w:rPr>
      </w:pPr>
      <w:r w:rsidRPr="009A4693">
        <w:rPr>
          <w:rFonts w:cs="Arial"/>
          <w:szCs w:val="24"/>
        </w:rPr>
        <w:t>The methodology used for estimating the burden and costs to industry resulting from the addition of chemicals to the TSCA section 8(d) rule over the next three years is derived from the previous ICR. EPA has added chemicals to the TSCA section 8(d) list on an episodic basis. As shown in</w:t>
      </w:r>
      <w:r w:rsidR="00297A53">
        <w:rPr>
          <w:rFonts w:cs="Arial"/>
          <w:szCs w:val="24"/>
        </w:rPr>
        <w:t xml:space="preserve"> </w:t>
      </w:r>
      <w:r w:rsidR="00FC5B9A">
        <w:rPr>
          <w:rFonts w:cs="Arial"/>
          <w:szCs w:val="24"/>
        </w:rPr>
        <w:t>Table 9</w:t>
      </w:r>
      <w:r w:rsidRPr="009A4693">
        <w:rPr>
          <w:rFonts w:cs="Arial"/>
          <w:szCs w:val="24"/>
        </w:rPr>
        <w:t xml:space="preserve">, chemicals have been added to the list </w:t>
      </w:r>
      <w:r w:rsidR="00264209">
        <w:rPr>
          <w:rFonts w:cs="Arial"/>
          <w:szCs w:val="24"/>
        </w:rPr>
        <w:t>five</w:t>
      </w:r>
      <w:r w:rsidRPr="009A4693" w:rsidR="00264209">
        <w:rPr>
          <w:rFonts w:cs="Arial"/>
          <w:szCs w:val="24"/>
        </w:rPr>
        <w:t xml:space="preserve"> </w:t>
      </w:r>
      <w:r w:rsidRPr="009A4693">
        <w:rPr>
          <w:rFonts w:cs="Arial"/>
          <w:szCs w:val="24"/>
        </w:rPr>
        <w:t>times since 1996 yielding a historical average of 13 chemicals per year for the years between 1996 and the present. As such, EPA uses a basis of 13 chemical additions per year for the 20</w:t>
      </w:r>
      <w:r w:rsidR="00BA338E">
        <w:rPr>
          <w:rFonts w:cs="Arial"/>
          <w:szCs w:val="24"/>
        </w:rPr>
        <w:t>22</w:t>
      </w:r>
      <w:r w:rsidRPr="009A4693">
        <w:rPr>
          <w:rFonts w:cs="Arial"/>
          <w:szCs w:val="24"/>
        </w:rPr>
        <w:t>-202</w:t>
      </w:r>
      <w:r w:rsidR="00EA4349">
        <w:rPr>
          <w:rFonts w:cs="Arial"/>
          <w:szCs w:val="24"/>
        </w:rPr>
        <w:t>5</w:t>
      </w:r>
      <w:r w:rsidRPr="009A4693">
        <w:rPr>
          <w:rFonts w:cs="Arial"/>
          <w:szCs w:val="24"/>
        </w:rPr>
        <w:t xml:space="preserve"> ICR period. </w:t>
      </w:r>
    </w:p>
    <w:p w:rsidR="00297A53" w:rsidP="00297A53" w:rsidRDefault="00297A53" w14:paraId="605C61F6" w14:textId="3DEC41F5">
      <w:pPr>
        <w:pStyle w:val="Caption"/>
        <w:keepNext/>
      </w:pPr>
      <w:bookmarkStart w:name="_Ref94533290" w:id="36"/>
      <w:r>
        <w:t>Table</w:t>
      </w:r>
      <w:r w:rsidR="008600C0">
        <w:t xml:space="preserve"> </w:t>
      </w:r>
      <w:r w:rsidR="000E72EF">
        <w:t>9</w:t>
      </w:r>
      <w:bookmarkEnd w:id="36"/>
      <w:r>
        <w:t>. Number of Chemicals Added to the TSCA Section 8(d) Reporting List</w:t>
      </w:r>
    </w:p>
    <w:tbl>
      <w:tblPr>
        <w:tblW w:w="9480" w:type="dxa"/>
        <w:tblInd w:w="23" w:type="dxa"/>
        <w:tblLook w:val="04A0" w:firstRow="1" w:lastRow="0" w:firstColumn="1" w:lastColumn="0" w:noHBand="0" w:noVBand="1"/>
      </w:tblPr>
      <w:tblGrid>
        <w:gridCol w:w="1217"/>
        <w:gridCol w:w="732"/>
        <w:gridCol w:w="767"/>
        <w:gridCol w:w="732"/>
        <w:gridCol w:w="733"/>
        <w:gridCol w:w="774"/>
        <w:gridCol w:w="733"/>
        <w:gridCol w:w="817"/>
        <w:gridCol w:w="768"/>
        <w:gridCol w:w="768"/>
        <w:gridCol w:w="1439"/>
      </w:tblGrid>
      <w:tr w:rsidRPr="00934E36" w:rsidR="00934E36" w:rsidTr="00934E36" w14:paraId="4FB55A08" w14:textId="77777777">
        <w:trPr>
          <w:trHeight w:val="552"/>
        </w:trPr>
        <w:tc>
          <w:tcPr>
            <w:tcW w:w="1034" w:type="dxa"/>
            <w:tcBorders>
              <w:top w:val="double" w:color="000000" w:sz="6" w:space="0"/>
              <w:left w:val="double" w:color="000000" w:sz="6" w:space="0"/>
              <w:bottom w:val="double" w:color="000000" w:sz="6" w:space="0"/>
              <w:right w:val="single" w:color="000000" w:sz="8" w:space="0"/>
            </w:tcBorders>
            <w:shd w:val="clear" w:color="auto" w:fill="auto"/>
            <w:vAlign w:val="center"/>
            <w:hideMark/>
          </w:tcPr>
          <w:p w:rsidRPr="00934E36" w:rsidR="00934E36" w:rsidP="00934E36" w:rsidRDefault="00934E36" w14:paraId="04B98533" w14:textId="77777777">
            <w:pPr>
              <w:spacing w:after="0" w:line="240" w:lineRule="auto"/>
              <w:jc w:val="center"/>
              <w:rPr>
                <w:rFonts w:eastAsia="Times New Roman" w:cs="Arial"/>
                <w:b/>
                <w:bCs/>
                <w:color w:val="000000"/>
                <w:sz w:val="20"/>
                <w:szCs w:val="20"/>
              </w:rPr>
            </w:pPr>
            <w:r w:rsidRPr="00934E36">
              <w:rPr>
                <w:rFonts w:eastAsia="Times New Roman" w:cs="Arial"/>
                <w:b/>
                <w:bCs/>
                <w:color w:val="000000"/>
                <w:sz w:val="20"/>
                <w:szCs w:val="20"/>
              </w:rPr>
              <w:t>Year</w:t>
            </w:r>
          </w:p>
        </w:tc>
        <w:tc>
          <w:tcPr>
            <w:tcW w:w="793"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5C37A33B"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1996</w:t>
            </w:r>
          </w:p>
        </w:tc>
        <w:tc>
          <w:tcPr>
            <w:tcW w:w="801"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5D7E06FE"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1997-2003</w:t>
            </w:r>
          </w:p>
        </w:tc>
        <w:tc>
          <w:tcPr>
            <w:tcW w:w="793"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46DF2214"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2004</w:t>
            </w:r>
          </w:p>
        </w:tc>
        <w:tc>
          <w:tcPr>
            <w:tcW w:w="793"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792B3101"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2005</w:t>
            </w:r>
          </w:p>
        </w:tc>
        <w:tc>
          <w:tcPr>
            <w:tcW w:w="803"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0903E81B"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2006*</w:t>
            </w:r>
          </w:p>
        </w:tc>
        <w:tc>
          <w:tcPr>
            <w:tcW w:w="793"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75EC0748"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2007</w:t>
            </w:r>
          </w:p>
        </w:tc>
        <w:tc>
          <w:tcPr>
            <w:tcW w:w="812"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7AE04D30"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2008**</w:t>
            </w:r>
          </w:p>
        </w:tc>
        <w:tc>
          <w:tcPr>
            <w:tcW w:w="801"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09FE2A58"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2009-2017</w:t>
            </w:r>
          </w:p>
        </w:tc>
        <w:tc>
          <w:tcPr>
            <w:tcW w:w="801" w:type="dxa"/>
            <w:tcBorders>
              <w:top w:val="double" w:color="000000" w:sz="6" w:space="0"/>
              <w:left w:val="nil"/>
              <w:bottom w:val="double" w:color="000000" w:sz="6" w:space="0"/>
              <w:right w:val="single" w:color="000000" w:sz="8" w:space="0"/>
            </w:tcBorders>
            <w:shd w:val="clear" w:color="auto" w:fill="auto"/>
            <w:vAlign w:val="center"/>
            <w:hideMark/>
          </w:tcPr>
          <w:p w:rsidRPr="00934E36" w:rsidR="00934E36" w:rsidP="00934E36" w:rsidRDefault="00934E36" w14:paraId="76AB27D7"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2018-2021</w:t>
            </w:r>
          </w:p>
        </w:tc>
        <w:tc>
          <w:tcPr>
            <w:tcW w:w="1256" w:type="dxa"/>
            <w:tcBorders>
              <w:top w:val="double" w:color="000000" w:sz="6" w:space="0"/>
              <w:left w:val="nil"/>
              <w:bottom w:val="double" w:color="000000" w:sz="6" w:space="0"/>
              <w:right w:val="double" w:color="000000" w:sz="6" w:space="0"/>
            </w:tcBorders>
            <w:shd w:val="clear" w:color="auto" w:fill="auto"/>
            <w:vAlign w:val="center"/>
            <w:hideMark/>
          </w:tcPr>
          <w:p w:rsidRPr="00934E36" w:rsidR="00934E36" w:rsidP="00934E36" w:rsidRDefault="00934E36" w14:paraId="1F2453F3"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Average/Year</w:t>
            </w:r>
          </w:p>
        </w:tc>
      </w:tr>
      <w:tr w:rsidRPr="00934E36" w:rsidR="00934E36" w:rsidTr="00934E36" w14:paraId="5CA899C5" w14:textId="77777777">
        <w:trPr>
          <w:trHeight w:val="1080"/>
        </w:trPr>
        <w:tc>
          <w:tcPr>
            <w:tcW w:w="1034" w:type="dxa"/>
            <w:tcBorders>
              <w:top w:val="nil"/>
              <w:left w:val="double" w:color="000000" w:sz="6" w:space="0"/>
              <w:bottom w:val="double" w:color="000000" w:sz="6" w:space="0"/>
              <w:right w:val="single" w:color="000000" w:sz="8" w:space="0"/>
            </w:tcBorders>
            <w:shd w:val="clear" w:color="auto" w:fill="auto"/>
            <w:vAlign w:val="center"/>
            <w:hideMark/>
          </w:tcPr>
          <w:p w:rsidRPr="00934E36" w:rsidR="00934E36" w:rsidP="00934E36" w:rsidRDefault="00934E36" w14:paraId="7B4BCD0E" w14:textId="77777777">
            <w:pPr>
              <w:spacing w:after="0" w:line="240" w:lineRule="auto"/>
              <w:jc w:val="center"/>
              <w:rPr>
                <w:rFonts w:eastAsia="Times New Roman" w:cs="Arial"/>
                <w:b/>
                <w:bCs/>
                <w:color w:val="000000"/>
                <w:sz w:val="20"/>
                <w:szCs w:val="20"/>
              </w:rPr>
            </w:pPr>
            <w:r w:rsidRPr="00934E36">
              <w:rPr>
                <w:rFonts w:eastAsia="Times New Roman" w:cs="Arial"/>
                <w:b/>
                <w:bCs/>
                <w:color w:val="000000"/>
                <w:sz w:val="20"/>
                <w:szCs w:val="20"/>
              </w:rPr>
              <w:t xml:space="preserve">Number of Chemicals </w:t>
            </w:r>
          </w:p>
        </w:tc>
        <w:tc>
          <w:tcPr>
            <w:tcW w:w="793"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26067E5C"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47</w:t>
            </w:r>
          </w:p>
        </w:tc>
        <w:tc>
          <w:tcPr>
            <w:tcW w:w="801"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622A5507"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0</w:t>
            </w:r>
          </w:p>
        </w:tc>
        <w:tc>
          <w:tcPr>
            <w:tcW w:w="793"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0D0CE3EF"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15</w:t>
            </w:r>
          </w:p>
        </w:tc>
        <w:tc>
          <w:tcPr>
            <w:tcW w:w="793"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4290FB00"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0</w:t>
            </w:r>
          </w:p>
        </w:tc>
        <w:tc>
          <w:tcPr>
            <w:tcW w:w="803"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4EFA0B29"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208</w:t>
            </w:r>
          </w:p>
        </w:tc>
        <w:tc>
          <w:tcPr>
            <w:tcW w:w="793"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698B0DC4"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0</w:t>
            </w:r>
          </w:p>
        </w:tc>
        <w:tc>
          <w:tcPr>
            <w:tcW w:w="812"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169C0B4C"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12</w:t>
            </w:r>
          </w:p>
        </w:tc>
        <w:tc>
          <w:tcPr>
            <w:tcW w:w="801"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7B6A1615"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0</w:t>
            </w:r>
          </w:p>
        </w:tc>
        <w:tc>
          <w:tcPr>
            <w:tcW w:w="801" w:type="dxa"/>
            <w:tcBorders>
              <w:top w:val="nil"/>
              <w:left w:val="nil"/>
              <w:bottom w:val="double" w:color="000000" w:sz="6" w:space="0"/>
              <w:right w:val="single" w:color="000000" w:sz="8" w:space="0"/>
            </w:tcBorders>
            <w:shd w:val="clear" w:color="auto" w:fill="auto"/>
            <w:vAlign w:val="center"/>
            <w:hideMark/>
          </w:tcPr>
          <w:p w:rsidRPr="00934E36" w:rsidR="00934E36" w:rsidP="00934E36" w:rsidRDefault="00934E36" w14:paraId="2FDE1BAA"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50</w:t>
            </w:r>
          </w:p>
        </w:tc>
        <w:tc>
          <w:tcPr>
            <w:tcW w:w="1256" w:type="dxa"/>
            <w:tcBorders>
              <w:top w:val="nil"/>
              <w:left w:val="nil"/>
              <w:bottom w:val="double" w:color="000000" w:sz="6" w:space="0"/>
              <w:right w:val="double" w:color="000000" w:sz="6" w:space="0"/>
            </w:tcBorders>
            <w:shd w:val="clear" w:color="auto" w:fill="auto"/>
            <w:vAlign w:val="center"/>
            <w:hideMark/>
          </w:tcPr>
          <w:p w:rsidRPr="00934E36" w:rsidR="00934E36" w:rsidP="00934E36" w:rsidRDefault="00934E36" w14:paraId="76D8224B" w14:textId="77777777">
            <w:pPr>
              <w:spacing w:after="0" w:line="240" w:lineRule="auto"/>
              <w:jc w:val="center"/>
              <w:rPr>
                <w:rFonts w:eastAsia="Times New Roman" w:cs="Arial"/>
                <w:color w:val="000000"/>
                <w:sz w:val="20"/>
                <w:szCs w:val="20"/>
              </w:rPr>
            </w:pPr>
            <w:r w:rsidRPr="00934E36">
              <w:rPr>
                <w:rFonts w:eastAsia="Times New Roman" w:cs="Arial"/>
                <w:color w:val="000000"/>
                <w:sz w:val="20"/>
                <w:szCs w:val="20"/>
              </w:rPr>
              <w:t>13</w:t>
            </w:r>
          </w:p>
        </w:tc>
      </w:tr>
      <w:tr w:rsidRPr="00934E36" w:rsidR="00934E36" w:rsidTr="00934E36" w14:paraId="265CEF85" w14:textId="77777777">
        <w:trPr>
          <w:trHeight w:val="2301"/>
        </w:trPr>
        <w:tc>
          <w:tcPr>
            <w:tcW w:w="9480" w:type="dxa"/>
            <w:gridSpan w:val="11"/>
            <w:tcBorders>
              <w:top w:val="double" w:color="000000" w:sz="6" w:space="0"/>
              <w:left w:val="double" w:color="000000" w:sz="6" w:space="0"/>
              <w:bottom w:val="double" w:color="000000" w:sz="6" w:space="0"/>
              <w:right w:val="double" w:color="000000" w:sz="6" w:space="0"/>
            </w:tcBorders>
            <w:shd w:val="clear" w:color="auto" w:fill="auto"/>
            <w:vAlign w:val="center"/>
            <w:hideMark/>
          </w:tcPr>
          <w:p w:rsidRPr="00934E36" w:rsidR="00934E36" w:rsidP="00934E36" w:rsidRDefault="00934E36" w14:paraId="4B200497" w14:textId="77777777">
            <w:pPr>
              <w:spacing w:after="0" w:line="240" w:lineRule="auto"/>
              <w:rPr>
                <w:rFonts w:eastAsia="Times New Roman" w:cs="Arial"/>
                <w:color w:val="000000"/>
                <w:sz w:val="20"/>
                <w:szCs w:val="20"/>
              </w:rPr>
            </w:pPr>
            <w:r w:rsidRPr="00934E36">
              <w:rPr>
                <w:rFonts w:eastAsia="Times New Roman" w:cs="Arial"/>
                <w:color w:val="000000"/>
                <w:sz w:val="20"/>
                <w:szCs w:val="20"/>
              </w:rPr>
              <w:t xml:space="preserve">* EPA issued a TSCA section 8(d) rule (71 </w:t>
            </w:r>
            <w:r w:rsidRPr="00934E36">
              <w:rPr>
                <w:rFonts w:eastAsia="Times New Roman" w:cs="Arial"/>
                <w:color w:val="000000"/>
                <w:sz w:val="20"/>
                <w:szCs w:val="20"/>
                <w:u w:val="single"/>
              </w:rPr>
              <w:t>FR</w:t>
            </w:r>
            <w:r w:rsidRPr="00934E36">
              <w:rPr>
                <w:rFonts w:eastAsia="Times New Roman" w:cs="Arial"/>
                <w:color w:val="000000"/>
                <w:sz w:val="20"/>
                <w:szCs w:val="20"/>
              </w:rPr>
              <w:t xml:space="preserve"> 47130) on August 16, 2006 for 243 HPV chemicals that were not sponsored in the voluntary portion of the HPV Challenge Program. EPA later withdrew 33 of these chemicals in a final rule issued on September 29, 2006 (71</w:t>
            </w:r>
            <w:r w:rsidRPr="00934E36">
              <w:rPr>
                <w:rFonts w:eastAsia="Times New Roman" w:cs="Arial"/>
                <w:color w:val="000000"/>
                <w:sz w:val="20"/>
                <w:szCs w:val="20"/>
                <w:u w:val="single"/>
              </w:rPr>
              <w:t xml:space="preserve"> FR </w:t>
            </w:r>
            <w:r w:rsidRPr="00934E36">
              <w:rPr>
                <w:rFonts w:eastAsia="Times New Roman" w:cs="Arial"/>
                <w:color w:val="000000"/>
                <w:sz w:val="20"/>
                <w:szCs w:val="20"/>
              </w:rPr>
              <w:t xml:space="preserve">57439). In a subsequent direct final rule issued on April 30, 2007, EPA removed two additional chemicals (72 </w:t>
            </w:r>
            <w:r w:rsidRPr="00934E36">
              <w:rPr>
                <w:rFonts w:eastAsia="Times New Roman" w:cs="Arial"/>
                <w:color w:val="000000"/>
                <w:sz w:val="20"/>
                <w:szCs w:val="20"/>
                <w:u w:val="single"/>
              </w:rPr>
              <w:t>FR</w:t>
            </w:r>
            <w:r w:rsidRPr="00934E36">
              <w:rPr>
                <w:rFonts w:eastAsia="Times New Roman" w:cs="Arial"/>
                <w:color w:val="000000"/>
                <w:sz w:val="20"/>
                <w:szCs w:val="20"/>
              </w:rPr>
              <w:t xml:space="preserve"> 21119), resulting in a total of 208 chemicals subject to Section 8(d) reporting.  (**) The TSCA Interagency Testing Committee added Lead and Lead Compounds to the Priority List as part of its 60</w:t>
            </w:r>
            <w:r w:rsidRPr="00934E36">
              <w:rPr>
                <w:rFonts w:eastAsia="Times New Roman" w:cs="Arial"/>
                <w:color w:val="000000"/>
                <w:sz w:val="20"/>
                <w:szCs w:val="20"/>
                <w:vertAlign w:val="superscript"/>
              </w:rPr>
              <w:t>th</w:t>
            </w:r>
            <w:r w:rsidRPr="00934E36">
              <w:rPr>
                <w:rFonts w:eastAsia="Times New Roman" w:cs="Arial"/>
                <w:color w:val="000000"/>
                <w:sz w:val="20"/>
                <w:szCs w:val="20"/>
              </w:rPr>
              <w:t xml:space="preserve"> ITC Report. Based on this addition, EPA issued a final rule on January 20, 2008 (73 FR 5190) which added 12 Lead and Lead compounds to 40 CFR 716.120.  </w:t>
            </w:r>
          </w:p>
        </w:tc>
      </w:tr>
    </w:tbl>
    <w:p w:rsidR="009A4693" w:rsidP="00F03F08" w:rsidRDefault="009A4693" w14:paraId="618908BA" w14:textId="77777777">
      <w:pPr>
        <w:keepNext/>
        <w:rPr>
          <w:rFonts w:cs="Arial"/>
          <w:color w:val="000000"/>
          <w:szCs w:val="24"/>
        </w:rPr>
      </w:pPr>
    </w:p>
    <w:p w:rsidRPr="008C6A2E" w:rsidR="00EB1CA3" w:rsidP="009A4693" w:rsidRDefault="00EB1CA3" w14:paraId="49170CAA" w14:textId="11CAB22E">
      <w:pPr>
        <w:pStyle w:val="ListParagraph"/>
        <w:keepNext/>
        <w:ind w:left="0"/>
        <w:rPr>
          <w:rFonts w:cs="Arial"/>
          <w:szCs w:val="24"/>
        </w:rPr>
      </w:pPr>
      <w:r w:rsidRPr="008C6A2E">
        <w:rPr>
          <w:rFonts w:cs="Arial"/>
          <w:color w:val="000000"/>
          <w:szCs w:val="24"/>
        </w:rPr>
        <w:t>Moreover, to characterize the reporting implications per chemical addition associated with Section 8(d) reporting</w:t>
      </w:r>
      <w:r w:rsidRPr="008C6A2E">
        <w:rPr>
          <w:rFonts w:cs="Arial"/>
          <w:szCs w:val="24"/>
        </w:rPr>
        <w:t>, this analysis uses TSCA Inventory Update Rule data from the 1998, 2002, and 2006 reporting cycles, and Chemical Data Reporting Rule data from the 2012 reporting cycle.</w:t>
      </w:r>
      <w:r w:rsidRPr="008C6A2E">
        <w:rPr>
          <w:rStyle w:val="FootnoteReference"/>
          <w:rFonts w:cs="Arial"/>
          <w:color w:val="000000"/>
          <w:szCs w:val="24"/>
        </w:rPr>
        <w:footnoteReference w:id="7"/>
      </w:r>
      <w:r w:rsidRPr="008C6A2E">
        <w:rPr>
          <w:rFonts w:cs="Arial"/>
          <w:szCs w:val="24"/>
        </w:rPr>
        <w:t xml:space="preserve"> </w:t>
      </w:r>
      <w:r w:rsidR="00625C1E">
        <w:rPr>
          <w:rFonts w:cs="Arial"/>
          <w:szCs w:val="24"/>
        </w:rPr>
        <w:t xml:space="preserve">Table </w:t>
      </w:r>
      <w:r w:rsidR="000E72EF">
        <w:rPr>
          <w:rFonts w:cs="Arial"/>
          <w:szCs w:val="24"/>
        </w:rPr>
        <w:t>10</w:t>
      </w:r>
      <w:r w:rsidR="00625C1E">
        <w:rPr>
          <w:rFonts w:cs="Arial"/>
          <w:szCs w:val="24"/>
        </w:rPr>
        <w:t xml:space="preserve"> </w:t>
      </w:r>
      <w:r w:rsidRPr="008C6A2E">
        <w:rPr>
          <w:rFonts w:cs="Arial"/>
          <w:szCs w:val="24"/>
        </w:rPr>
        <w:t xml:space="preserve">summarizes the models and bases, as applied to the </w:t>
      </w:r>
      <w:r w:rsidRPr="000E72EF">
        <w:rPr>
          <w:rFonts w:cs="Arial"/>
          <w:szCs w:val="24"/>
        </w:rPr>
        <w:t>20</w:t>
      </w:r>
      <w:r w:rsidR="00F85291">
        <w:rPr>
          <w:rFonts w:cs="Arial"/>
          <w:szCs w:val="24"/>
        </w:rPr>
        <w:t>2</w:t>
      </w:r>
      <w:r w:rsidR="00625C1E">
        <w:rPr>
          <w:rFonts w:cs="Arial"/>
          <w:szCs w:val="24"/>
        </w:rPr>
        <w:t>2</w:t>
      </w:r>
      <w:r w:rsidRPr="000E72EF">
        <w:rPr>
          <w:rFonts w:cs="Arial"/>
          <w:szCs w:val="24"/>
        </w:rPr>
        <w:t>-202</w:t>
      </w:r>
      <w:r w:rsidR="00625C1E">
        <w:rPr>
          <w:rFonts w:cs="Arial"/>
          <w:szCs w:val="24"/>
        </w:rPr>
        <w:t>5</w:t>
      </w:r>
      <w:r w:rsidRPr="008C6A2E">
        <w:rPr>
          <w:rFonts w:cs="Arial"/>
          <w:szCs w:val="24"/>
        </w:rPr>
        <w:t xml:space="preserve"> ICR renewal.</w:t>
      </w:r>
      <w:r w:rsidRPr="008C6A2E" w:rsidDel="00332567">
        <w:rPr>
          <w:rFonts w:cs="Arial"/>
          <w:szCs w:val="24"/>
        </w:rPr>
        <w:t xml:space="preserve"> </w:t>
      </w:r>
    </w:p>
    <w:p w:rsidR="00A617C0" w:rsidP="000E72EF" w:rsidRDefault="00A617C0" w14:paraId="491A765F" w14:textId="3D7F98D1">
      <w:pPr>
        <w:pStyle w:val="Caption"/>
        <w:keepNext/>
      </w:pPr>
      <w:bookmarkStart w:name="_Ref96092438" w:id="37"/>
      <w:r>
        <w:t xml:space="preserve">Table </w:t>
      </w:r>
      <w:bookmarkEnd w:id="37"/>
      <w:r w:rsidR="000E72EF">
        <w:t>10</w:t>
      </w:r>
      <w:r>
        <w:t>. Reporting Implications per Chemical Added TSCA Section 8(d)</w:t>
      </w:r>
    </w:p>
    <w:tbl>
      <w:tblPr>
        <w:tblW w:w="10746" w:type="dxa"/>
        <w:tblInd w:w="20" w:type="dxa"/>
        <w:tblLayout w:type="fixed"/>
        <w:tblLook w:val="04A0" w:firstRow="1" w:lastRow="0" w:firstColumn="1" w:lastColumn="0" w:noHBand="0" w:noVBand="1"/>
      </w:tblPr>
      <w:tblGrid>
        <w:gridCol w:w="1500"/>
        <w:gridCol w:w="1440"/>
        <w:gridCol w:w="1170"/>
        <w:gridCol w:w="1260"/>
        <w:gridCol w:w="1350"/>
        <w:gridCol w:w="1170"/>
        <w:gridCol w:w="1350"/>
        <w:gridCol w:w="1506"/>
      </w:tblGrid>
      <w:tr w:rsidRPr="00CD4254" w:rsidR="00CD4254" w:rsidTr="008600C0" w14:paraId="2F5AD379" w14:textId="77777777">
        <w:trPr>
          <w:gridAfter w:val="1"/>
          <w:wAfter w:w="1506" w:type="dxa"/>
          <w:trHeight w:val="864"/>
          <w:tblHeader/>
        </w:trPr>
        <w:tc>
          <w:tcPr>
            <w:tcW w:w="150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8600C0" w:rsidR="00CD4254" w:rsidP="00CD4254" w:rsidRDefault="00CD4254" w14:paraId="5F5A12CD"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Metric</w:t>
            </w:r>
          </w:p>
        </w:tc>
        <w:tc>
          <w:tcPr>
            <w:tcW w:w="144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1D901FE9"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ICR Model Year</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3D24F487"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Number of firms</w:t>
            </w:r>
          </w:p>
        </w:tc>
        <w:tc>
          <w:tcPr>
            <w:tcW w:w="126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4DC5B270"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Number of chemicals</w:t>
            </w:r>
          </w:p>
        </w:tc>
        <w:tc>
          <w:tcPr>
            <w:tcW w:w="135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345B52E5"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Number of reports or studies</w:t>
            </w:r>
          </w:p>
        </w:tc>
        <w:tc>
          <w:tcPr>
            <w:tcW w:w="117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2E87FDB9"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Reporting basis</w:t>
            </w:r>
          </w:p>
        </w:tc>
        <w:tc>
          <w:tcPr>
            <w:tcW w:w="1350" w:type="dxa"/>
            <w:tcBorders>
              <w:top w:val="single" w:color="auto" w:sz="8" w:space="0"/>
              <w:left w:val="nil"/>
              <w:bottom w:val="single" w:color="auto" w:sz="8" w:space="0"/>
              <w:right w:val="single" w:color="auto" w:sz="8" w:space="0"/>
            </w:tcBorders>
            <w:shd w:val="clear" w:color="auto" w:fill="auto"/>
            <w:vAlign w:val="bottom"/>
            <w:hideMark/>
          </w:tcPr>
          <w:p w:rsidRPr="008600C0" w:rsidR="00CD4254" w:rsidP="00CD4254" w:rsidRDefault="00CD4254" w14:paraId="321D7694" w14:textId="77777777">
            <w:pPr>
              <w:spacing w:after="0" w:line="240" w:lineRule="auto"/>
              <w:jc w:val="center"/>
              <w:rPr>
                <w:rFonts w:eastAsia="Times New Roman" w:cs="Arial"/>
                <w:b/>
                <w:bCs/>
                <w:color w:val="000000"/>
                <w:sz w:val="20"/>
                <w:szCs w:val="20"/>
              </w:rPr>
            </w:pPr>
            <w:r w:rsidRPr="008600C0">
              <w:rPr>
                <w:rFonts w:eastAsia="Times New Roman" w:cs="Arial"/>
                <w:b/>
                <w:bCs/>
                <w:color w:val="000000"/>
                <w:sz w:val="20"/>
                <w:szCs w:val="20"/>
              </w:rPr>
              <w:t>Reporting basis unit</w:t>
            </w:r>
          </w:p>
        </w:tc>
      </w:tr>
      <w:tr w:rsidRPr="00CD4254" w:rsidR="00CD4254" w:rsidTr="008600C0" w14:paraId="780497B3"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vAlign w:val="center"/>
            <w:hideMark/>
          </w:tcPr>
          <w:p w:rsidRPr="008600C0" w:rsidR="00CD4254" w:rsidP="00CD4254" w:rsidRDefault="00CD4254" w14:paraId="4A6F9C47"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Number of firms potentially impacted per chemical</w:t>
            </w:r>
          </w:p>
        </w:tc>
        <w:tc>
          <w:tcPr>
            <w:tcW w:w="144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36CB2909" w14:textId="77777777">
            <w:pPr>
              <w:spacing w:after="0" w:line="240" w:lineRule="auto"/>
              <w:rPr>
                <w:rFonts w:eastAsia="Times New Roman" w:cs="Arial"/>
                <w:color w:val="000000"/>
                <w:sz w:val="20"/>
                <w:szCs w:val="20"/>
              </w:rPr>
            </w:pPr>
            <w:r w:rsidRPr="008600C0">
              <w:rPr>
                <w:rFonts w:eastAsia="Times New Roman" w:cs="Arial"/>
                <w:color w:val="000000"/>
                <w:sz w:val="20"/>
                <w:szCs w:val="20"/>
              </w:rPr>
              <w:t xml:space="preserve">2015-2018 </w:t>
            </w:r>
            <w:r w:rsidRPr="008600C0">
              <w:rPr>
                <w:rFonts w:eastAsia="Times New Roman" w:cs="Arial"/>
                <w:color w:val="000000"/>
                <w:sz w:val="20"/>
                <w:szCs w:val="20"/>
                <w:vertAlign w:val="superscript"/>
              </w:rPr>
              <w:t>a</w:t>
            </w: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2AF1FE8F"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344</w:t>
            </w:r>
          </w:p>
        </w:tc>
        <w:tc>
          <w:tcPr>
            <w:tcW w:w="126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20BF87F2"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208</w:t>
            </w:r>
          </w:p>
        </w:tc>
        <w:tc>
          <w:tcPr>
            <w:tcW w:w="1350" w:type="dxa"/>
            <w:vMerge w:val="restart"/>
            <w:tcBorders>
              <w:top w:val="nil"/>
              <w:left w:val="nil"/>
              <w:right w:val="single" w:color="auto" w:sz="4" w:space="0"/>
            </w:tcBorders>
            <w:shd w:val="clear" w:color="auto" w:fill="auto"/>
            <w:noWrap/>
            <w:vAlign w:val="center"/>
            <w:hideMark/>
          </w:tcPr>
          <w:p w:rsidRPr="008600C0" w:rsidR="00CD4254" w:rsidP="00F03F08" w:rsidRDefault="00CD4254" w14:paraId="6ECF1A24"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N/A</w:t>
            </w: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1A2ABF02"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1.7</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8600C0" w:rsidR="00CD4254" w:rsidP="00CD4254" w:rsidRDefault="00CD4254" w14:paraId="74EE60CD"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Firms/chemicals</w:t>
            </w:r>
          </w:p>
        </w:tc>
      </w:tr>
      <w:tr w:rsidRPr="00CD4254" w:rsidR="00CD4254" w:rsidTr="008600C0" w14:paraId="25650FBA"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8600C0" w:rsidR="00CD4254" w:rsidP="00CD4254" w:rsidRDefault="00CD4254" w14:paraId="633C9859" w14:textId="77777777">
            <w:pPr>
              <w:spacing w:after="0" w:line="240" w:lineRule="auto"/>
              <w:rPr>
                <w:rFonts w:eastAsia="Times New Roman" w:cs="Arial"/>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26AD84F2" w14:textId="77777777">
            <w:pPr>
              <w:spacing w:after="0" w:line="240" w:lineRule="auto"/>
              <w:rPr>
                <w:rFonts w:eastAsia="Times New Roman" w:cs="Arial"/>
                <w:color w:val="000000"/>
                <w:sz w:val="20"/>
                <w:szCs w:val="20"/>
              </w:rPr>
            </w:pPr>
            <w:r w:rsidRPr="008600C0">
              <w:rPr>
                <w:rFonts w:eastAsia="Times New Roman" w:cs="Arial"/>
                <w:color w:val="000000"/>
                <w:sz w:val="20"/>
                <w:szCs w:val="20"/>
              </w:rPr>
              <w:t xml:space="preserve">2018-2021 </w:t>
            </w:r>
            <w:r w:rsidRPr="008600C0">
              <w:rPr>
                <w:rFonts w:eastAsia="Times New Roman" w:cs="Arial"/>
                <w:color w:val="000000"/>
                <w:sz w:val="20"/>
                <w:szCs w:val="20"/>
                <w:vertAlign w:val="superscript"/>
              </w:rPr>
              <w:t>b</w:t>
            </w: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69D1FFFE"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348</w:t>
            </w:r>
          </w:p>
        </w:tc>
        <w:tc>
          <w:tcPr>
            <w:tcW w:w="126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3856A970"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220</w:t>
            </w:r>
          </w:p>
        </w:tc>
        <w:tc>
          <w:tcPr>
            <w:tcW w:w="1350" w:type="dxa"/>
            <w:vMerge/>
            <w:tcBorders>
              <w:left w:val="nil"/>
              <w:right w:val="single" w:color="auto" w:sz="4" w:space="0"/>
            </w:tcBorders>
            <w:shd w:val="clear" w:color="auto" w:fill="auto"/>
            <w:noWrap/>
            <w:vAlign w:val="bottom"/>
            <w:hideMark/>
          </w:tcPr>
          <w:p w:rsidRPr="008600C0" w:rsidR="00CD4254" w:rsidP="00CD4254" w:rsidRDefault="00CD4254" w14:paraId="6FAEF252" w14:textId="094EECE7">
            <w:pPr>
              <w:spacing w:after="0" w:line="240" w:lineRule="auto"/>
              <w:jc w:val="right"/>
              <w:rPr>
                <w:rFonts w:eastAsia="Times New Roman" w:cs="Arial"/>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25931C51"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1.6</w:t>
            </w:r>
          </w:p>
        </w:tc>
        <w:tc>
          <w:tcPr>
            <w:tcW w:w="1350" w:type="dxa"/>
            <w:vMerge/>
            <w:tcBorders>
              <w:top w:val="nil"/>
              <w:left w:val="single" w:color="auto" w:sz="4" w:space="0"/>
              <w:bottom w:val="single" w:color="000000" w:sz="4" w:space="0"/>
              <w:right w:val="single" w:color="auto" w:sz="8" w:space="0"/>
            </w:tcBorders>
            <w:vAlign w:val="center"/>
            <w:hideMark/>
          </w:tcPr>
          <w:p w:rsidRPr="008600C0" w:rsidR="00CD4254" w:rsidP="00CD4254" w:rsidRDefault="00CD4254" w14:paraId="17B211E4" w14:textId="77777777">
            <w:pPr>
              <w:spacing w:after="0" w:line="240" w:lineRule="auto"/>
              <w:rPr>
                <w:rFonts w:eastAsia="Times New Roman" w:cs="Arial"/>
                <w:color w:val="000000"/>
                <w:sz w:val="20"/>
                <w:szCs w:val="20"/>
              </w:rPr>
            </w:pPr>
          </w:p>
        </w:tc>
      </w:tr>
      <w:tr w:rsidRPr="00CD4254" w:rsidR="00CD4254" w:rsidTr="00DF540F" w14:paraId="31A7A68D"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8600C0" w:rsidR="00CD4254" w:rsidP="00CD4254" w:rsidRDefault="00CD4254" w14:paraId="31191961" w14:textId="77777777">
            <w:pPr>
              <w:spacing w:after="0" w:line="240" w:lineRule="auto"/>
              <w:rPr>
                <w:rFonts w:eastAsia="Times New Roman" w:cs="Arial"/>
                <w:color w:val="000000"/>
                <w:sz w:val="20"/>
                <w:szCs w:val="20"/>
              </w:rPr>
            </w:pPr>
          </w:p>
        </w:tc>
        <w:tc>
          <w:tcPr>
            <w:tcW w:w="144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2AEF6AAB" w14:textId="3ACA4EA3">
            <w:pPr>
              <w:spacing w:after="0" w:line="240" w:lineRule="auto"/>
              <w:rPr>
                <w:rFonts w:eastAsia="Times New Roman" w:cs="Arial"/>
                <w:color w:val="000000"/>
                <w:sz w:val="20"/>
                <w:szCs w:val="20"/>
              </w:rPr>
            </w:pPr>
            <w:r w:rsidRPr="008600C0">
              <w:rPr>
                <w:rFonts w:eastAsia="Times New Roman" w:cs="Arial"/>
                <w:color w:val="000000"/>
                <w:sz w:val="20"/>
                <w:szCs w:val="20"/>
              </w:rPr>
              <w:t xml:space="preserve">2022-2025 </w:t>
            </w:r>
            <w:r w:rsidRPr="008600C0">
              <w:rPr>
                <w:rFonts w:eastAsia="Times New Roman" w:cs="Arial"/>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3DDBE016"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129</w:t>
            </w:r>
          </w:p>
        </w:tc>
        <w:tc>
          <w:tcPr>
            <w:tcW w:w="126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37308E26"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50</w:t>
            </w:r>
          </w:p>
        </w:tc>
        <w:tc>
          <w:tcPr>
            <w:tcW w:w="1350" w:type="dxa"/>
            <w:vMerge/>
            <w:tcBorders>
              <w:left w:val="nil"/>
              <w:bottom w:val="single" w:color="auto" w:sz="4" w:space="0"/>
              <w:right w:val="single" w:color="auto" w:sz="4" w:space="0"/>
            </w:tcBorders>
            <w:shd w:val="clear" w:color="auto" w:fill="auto"/>
            <w:noWrap/>
            <w:vAlign w:val="bottom"/>
            <w:hideMark/>
          </w:tcPr>
          <w:p w:rsidRPr="008600C0" w:rsidR="00CD4254" w:rsidP="00CD4254" w:rsidRDefault="00CD4254" w14:paraId="5CCA1FB2" w14:textId="19122E86">
            <w:pPr>
              <w:spacing w:after="0" w:line="240" w:lineRule="auto"/>
              <w:jc w:val="right"/>
              <w:rPr>
                <w:rFonts w:eastAsia="Times New Roman" w:cs="Arial"/>
                <w:color w:val="000000"/>
                <w:sz w:val="20"/>
                <w:szCs w:val="20"/>
              </w:rPr>
            </w:pP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512ECBFA"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2.6</w:t>
            </w:r>
          </w:p>
        </w:tc>
        <w:tc>
          <w:tcPr>
            <w:tcW w:w="1350" w:type="dxa"/>
            <w:vMerge/>
            <w:tcBorders>
              <w:top w:val="nil"/>
              <w:left w:val="single" w:color="auto" w:sz="4" w:space="0"/>
              <w:bottom w:val="single" w:color="000000" w:sz="4" w:space="0"/>
              <w:right w:val="single" w:color="auto" w:sz="8" w:space="0"/>
            </w:tcBorders>
            <w:vAlign w:val="center"/>
            <w:hideMark/>
          </w:tcPr>
          <w:p w:rsidRPr="008600C0" w:rsidR="00CD4254" w:rsidP="00CD4254" w:rsidRDefault="00CD4254" w14:paraId="0B540745" w14:textId="77777777">
            <w:pPr>
              <w:spacing w:after="0" w:line="240" w:lineRule="auto"/>
              <w:rPr>
                <w:rFonts w:eastAsia="Times New Roman" w:cs="Arial"/>
                <w:color w:val="000000"/>
                <w:sz w:val="20"/>
                <w:szCs w:val="20"/>
              </w:rPr>
            </w:pPr>
          </w:p>
        </w:tc>
      </w:tr>
      <w:tr w:rsidRPr="00CD4254" w:rsidR="00CD4254" w:rsidTr="00DF540F" w14:paraId="702EE73E"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noWrap/>
            <w:vAlign w:val="center"/>
            <w:hideMark/>
          </w:tcPr>
          <w:p w:rsidRPr="008600C0" w:rsidR="00CD4254" w:rsidP="00CD4254" w:rsidRDefault="00CD4254" w14:paraId="07AD49D1"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Sites per firm</w:t>
            </w:r>
          </w:p>
        </w:tc>
        <w:tc>
          <w:tcPr>
            <w:tcW w:w="144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1DF57B32" w14:textId="77777777">
            <w:pPr>
              <w:spacing w:after="0" w:line="240" w:lineRule="auto"/>
              <w:rPr>
                <w:rFonts w:eastAsia="Times New Roman" w:cs="Arial"/>
                <w:color w:val="000000"/>
                <w:sz w:val="20"/>
                <w:szCs w:val="20"/>
              </w:rPr>
            </w:pPr>
            <w:r w:rsidRPr="008600C0">
              <w:rPr>
                <w:rFonts w:eastAsia="Times New Roman" w:cs="Arial"/>
                <w:color w:val="000000"/>
                <w:sz w:val="20"/>
                <w:szCs w:val="20"/>
              </w:rPr>
              <w:t xml:space="preserve">2015-2018 </w:t>
            </w:r>
            <w:r w:rsidRPr="008600C0">
              <w:rPr>
                <w:rFonts w:eastAsia="Times New Roman" w:cs="Arial"/>
                <w:color w:val="000000"/>
                <w:sz w:val="20"/>
                <w:szCs w:val="20"/>
                <w:vertAlign w:val="superscript"/>
              </w:rPr>
              <w:t>a</w:t>
            </w:r>
          </w:p>
        </w:tc>
        <w:tc>
          <w:tcPr>
            <w:tcW w:w="1170" w:type="dxa"/>
            <w:vMerge w:val="restart"/>
            <w:tcBorders>
              <w:top w:val="single" w:color="auto" w:sz="4" w:space="0"/>
              <w:left w:val="nil"/>
              <w:bottom w:val="single" w:color="auto" w:sz="4" w:space="0"/>
              <w:right w:val="single" w:color="auto" w:sz="4" w:space="0"/>
            </w:tcBorders>
            <w:shd w:val="clear" w:color="auto" w:fill="auto"/>
            <w:noWrap/>
            <w:vAlign w:val="center"/>
            <w:hideMark/>
          </w:tcPr>
          <w:p w:rsidRPr="008600C0" w:rsidR="00CD4254" w:rsidP="00F03F08" w:rsidRDefault="00CD4254" w14:paraId="6D83DD57"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N/A</w:t>
            </w:r>
          </w:p>
        </w:tc>
        <w:tc>
          <w:tcPr>
            <w:tcW w:w="1260" w:type="dxa"/>
            <w:vMerge w:val="restart"/>
            <w:tcBorders>
              <w:top w:val="single" w:color="auto" w:sz="4" w:space="0"/>
              <w:left w:val="nil"/>
              <w:bottom w:val="single" w:color="auto" w:sz="4" w:space="0"/>
              <w:right w:val="single" w:color="auto" w:sz="4" w:space="0"/>
            </w:tcBorders>
            <w:shd w:val="clear" w:color="auto" w:fill="auto"/>
            <w:noWrap/>
            <w:vAlign w:val="center"/>
            <w:hideMark/>
          </w:tcPr>
          <w:p w:rsidRPr="008600C0" w:rsidR="00CD4254" w:rsidP="00F03F08" w:rsidRDefault="00CD4254" w14:paraId="76CF4AF0"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N/A</w:t>
            </w:r>
          </w:p>
        </w:tc>
        <w:tc>
          <w:tcPr>
            <w:tcW w:w="1350" w:type="dxa"/>
            <w:vMerge w:val="restart"/>
            <w:tcBorders>
              <w:top w:val="single" w:color="auto" w:sz="4" w:space="0"/>
              <w:left w:val="nil"/>
              <w:bottom w:val="single" w:color="auto" w:sz="4" w:space="0"/>
              <w:right w:val="single" w:color="auto" w:sz="4" w:space="0"/>
            </w:tcBorders>
            <w:shd w:val="clear" w:color="auto" w:fill="auto"/>
            <w:noWrap/>
            <w:vAlign w:val="center"/>
            <w:hideMark/>
          </w:tcPr>
          <w:p w:rsidRPr="008600C0" w:rsidR="00CD4254" w:rsidP="00F03F08" w:rsidRDefault="00CD4254" w14:paraId="097ACE9B"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N/A</w:t>
            </w:r>
          </w:p>
        </w:tc>
        <w:tc>
          <w:tcPr>
            <w:tcW w:w="1170" w:type="dxa"/>
            <w:tcBorders>
              <w:top w:val="nil"/>
              <w:left w:val="nil"/>
              <w:bottom w:val="single" w:color="auto" w:sz="4" w:space="0"/>
              <w:right w:val="single" w:color="auto" w:sz="4" w:space="0"/>
            </w:tcBorders>
            <w:shd w:val="clear" w:color="auto" w:fill="auto"/>
            <w:noWrap/>
            <w:vAlign w:val="bottom"/>
            <w:hideMark/>
          </w:tcPr>
          <w:p w:rsidRPr="008600C0" w:rsidR="00CD4254" w:rsidP="00CD4254" w:rsidRDefault="00CD4254" w14:paraId="4754B5B3" w14:textId="77777777">
            <w:pPr>
              <w:spacing w:after="0" w:line="240" w:lineRule="auto"/>
              <w:jc w:val="right"/>
              <w:rPr>
                <w:rFonts w:eastAsia="Times New Roman" w:cs="Arial"/>
                <w:color w:val="000000"/>
                <w:sz w:val="20"/>
                <w:szCs w:val="20"/>
              </w:rPr>
            </w:pPr>
            <w:r w:rsidRPr="008600C0">
              <w:rPr>
                <w:rFonts w:eastAsia="Times New Roman" w:cs="Arial"/>
                <w:color w:val="000000"/>
                <w:sz w:val="20"/>
                <w:szCs w:val="20"/>
              </w:rPr>
              <w:t>1.5</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8600C0" w:rsidR="00CD4254" w:rsidP="00CD4254" w:rsidRDefault="00CD4254" w14:paraId="17CB6002" w14:textId="77777777">
            <w:pPr>
              <w:spacing w:after="0" w:line="240" w:lineRule="auto"/>
              <w:jc w:val="center"/>
              <w:rPr>
                <w:rFonts w:eastAsia="Times New Roman" w:cs="Arial"/>
                <w:color w:val="000000"/>
                <w:sz w:val="20"/>
                <w:szCs w:val="20"/>
              </w:rPr>
            </w:pPr>
            <w:r w:rsidRPr="008600C0">
              <w:rPr>
                <w:rFonts w:eastAsia="Times New Roman" w:cs="Arial"/>
                <w:color w:val="000000"/>
                <w:sz w:val="20"/>
                <w:szCs w:val="20"/>
              </w:rPr>
              <w:t>Sites/firms</w:t>
            </w:r>
          </w:p>
        </w:tc>
      </w:tr>
      <w:tr w:rsidRPr="00CD4254" w:rsidR="00CD4254" w:rsidTr="00DF540F" w14:paraId="3C547E6C"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526A3068"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ECFDB6C"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1721AFAE" w14:textId="5568F4EE">
            <w:pPr>
              <w:spacing w:after="0" w:line="240" w:lineRule="auto"/>
              <w:jc w:val="right"/>
              <w:rPr>
                <w:rFonts w:eastAsia="Times New Roman" w:cs="Arial"/>
                <w:color w:val="000000"/>
                <w:sz w:val="22"/>
              </w:rPr>
            </w:pPr>
          </w:p>
        </w:tc>
        <w:tc>
          <w:tcPr>
            <w:tcW w:w="126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025D59D7" w14:textId="78865B49">
            <w:pPr>
              <w:spacing w:after="0" w:line="240" w:lineRule="auto"/>
              <w:jc w:val="right"/>
              <w:rPr>
                <w:rFonts w:eastAsia="Times New Roman" w:cs="Arial"/>
                <w:color w:val="000000"/>
                <w:sz w:val="22"/>
              </w:rPr>
            </w:pPr>
          </w:p>
        </w:tc>
        <w:tc>
          <w:tcPr>
            <w:tcW w:w="135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524C465A" w14:textId="5EC5E741">
            <w:pPr>
              <w:spacing w:after="0" w:line="240" w:lineRule="auto"/>
              <w:jc w:val="right"/>
              <w:rPr>
                <w:rFonts w:eastAsia="Times New Roman" w:cs="Arial"/>
                <w:color w:val="000000"/>
                <w:sz w:val="22"/>
              </w:rPr>
            </w:pP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5333BBD8" w14:textId="77777777">
            <w:pPr>
              <w:spacing w:after="0" w:line="240" w:lineRule="auto"/>
              <w:jc w:val="right"/>
              <w:rPr>
                <w:rFonts w:eastAsia="Times New Roman" w:cs="Arial"/>
                <w:color w:val="000000"/>
                <w:sz w:val="22"/>
              </w:rPr>
            </w:pPr>
            <w:r w:rsidRPr="00CD4254">
              <w:rPr>
                <w:rFonts w:eastAsia="Times New Roman" w:cs="Arial"/>
                <w:color w:val="000000"/>
                <w:sz w:val="22"/>
              </w:rPr>
              <w:t>1.5</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02BA3373" w14:textId="77777777">
            <w:pPr>
              <w:spacing w:after="0" w:line="240" w:lineRule="auto"/>
              <w:rPr>
                <w:rFonts w:eastAsia="Times New Roman" w:cs="Arial"/>
                <w:color w:val="000000"/>
                <w:sz w:val="22"/>
              </w:rPr>
            </w:pPr>
          </w:p>
        </w:tc>
      </w:tr>
      <w:tr w:rsidRPr="00CD4254" w:rsidR="00CD4254" w:rsidTr="00DF540F" w14:paraId="7AC3DAD2"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1082BF32"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2ED9000"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6EB9F144" w14:textId="4A7F39BE">
            <w:pPr>
              <w:spacing w:after="0" w:line="240" w:lineRule="auto"/>
              <w:jc w:val="right"/>
              <w:rPr>
                <w:rFonts w:eastAsia="Times New Roman" w:cs="Arial"/>
                <w:color w:val="000000"/>
                <w:sz w:val="22"/>
              </w:rPr>
            </w:pPr>
          </w:p>
        </w:tc>
        <w:tc>
          <w:tcPr>
            <w:tcW w:w="126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6E69B06B" w14:textId="36894094">
            <w:pPr>
              <w:spacing w:after="0" w:line="240" w:lineRule="auto"/>
              <w:jc w:val="right"/>
              <w:rPr>
                <w:rFonts w:eastAsia="Times New Roman" w:cs="Arial"/>
                <w:color w:val="000000"/>
                <w:sz w:val="22"/>
              </w:rPr>
            </w:pPr>
          </w:p>
        </w:tc>
        <w:tc>
          <w:tcPr>
            <w:tcW w:w="1350" w:type="dxa"/>
            <w:vMerge/>
            <w:tcBorders>
              <w:top w:val="single" w:color="auto" w:sz="4" w:space="0"/>
              <w:left w:val="nil"/>
              <w:bottom w:val="single" w:color="auto" w:sz="4" w:space="0"/>
              <w:right w:val="single" w:color="auto" w:sz="4" w:space="0"/>
            </w:tcBorders>
            <w:shd w:val="clear" w:color="auto" w:fill="auto"/>
            <w:noWrap/>
            <w:vAlign w:val="bottom"/>
          </w:tcPr>
          <w:p w:rsidRPr="00CD4254" w:rsidR="00CD4254" w:rsidP="00CD4254" w:rsidRDefault="00CD4254" w14:paraId="67A1ED3C" w14:textId="69458D77">
            <w:pPr>
              <w:spacing w:after="0" w:line="240" w:lineRule="auto"/>
              <w:jc w:val="right"/>
              <w:rPr>
                <w:rFonts w:eastAsia="Times New Roman" w:cs="Arial"/>
                <w:color w:val="000000"/>
                <w:sz w:val="22"/>
              </w:rPr>
            </w:pP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A16F415" w14:textId="77777777">
            <w:pPr>
              <w:spacing w:after="0" w:line="240" w:lineRule="auto"/>
              <w:jc w:val="right"/>
              <w:rPr>
                <w:rFonts w:eastAsia="Times New Roman" w:cs="Arial"/>
                <w:color w:val="000000"/>
                <w:sz w:val="22"/>
              </w:rPr>
            </w:pPr>
            <w:r w:rsidRPr="00CD4254">
              <w:rPr>
                <w:rFonts w:eastAsia="Times New Roman" w:cs="Arial"/>
                <w:color w:val="000000"/>
                <w:sz w:val="22"/>
              </w:rPr>
              <w:t>1.5</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6D9EA8EF" w14:textId="77777777">
            <w:pPr>
              <w:spacing w:after="0" w:line="240" w:lineRule="auto"/>
              <w:rPr>
                <w:rFonts w:eastAsia="Times New Roman" w:cs="Arial"/>
                <w:color w:val="000000"/>
                <w:sz w:val="22"/>
              </w:rPr>
            </w:pPr>
          </w:p>
        </w:tc>
      </w:tr>
      <w:tr w:rsidRPr="00CD4254" w:rsidR="008600C0" w:rsidTr="008600C0" w14:paraId="3DA00200"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vAlign w:val="center"/>
            <w:hideMark/>
          </w:tcPr>
          <w:p w:rsidRPr="00CD4254" w:rsidR="00CD4254" w:rsidP="00CD4254" w:rsidRDefault="00CD4254" w14:paraId="46AEB030" w14:textId="77777777">
            <w:pPr>
              <w:spacing w:after="0" w:line="240" w:lineRule="auto"/>
              <w:jc w:val="center"/>
              <w:rPr>
                <w:rFonts w:eastAsia="Times New Roman" w:cs="Arial"/>
                <w:color w:val="000000"/>
                <w:sz w:val="22"/>
              </w:rPr>
            </w:pPr>
            <w:r w:rsidRPr="00CD4254">
              <w:rPr>
                <w:rFonts w:eastAsia="Times New Roman" w:cs="Arial"/>
                <w:color w:val="000000"/>
                <w:sz w:val="22"/>
              </w:rPr>
              <w:t>Fraction of firms potentially affected who submit reports of studies</w:t>
            </w: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36A9EBB1" w14:textId="77777777">
            <w:pPr>
              <w:spacing w:after="0" w:line="240" w:lineRule="auto"/>
              <w:rPr>
                <w:rFonts w:eastAsia="Times New Roman" w:cs="Arial"/>
                <w:color w:val="000000"/>
                <w:sz w:val="22"/>
              </w:rPr>
            </w:pPr>
            <w:r w:rsidRPr="00CD4254">
              <w:rPr>
                <w:rFonts w:eastAsia="Times New Roman" w:cs="Arial"/>
                <w:color w:val="000000"/>
                <w:sz w:val="22"/>
              </w:rPr>
              <w:t xml:space="preserve">2015-2018 </w:t>
            </w:r>
            <w:r w:rsidRPr="00CD4254">
              <w:rPr>
                <w:rFonts w:eastAsia="Times New Roman" w:cs="Arial"/>
                <w:color w:val="000000"/>
                <w:sz w:val="22"/>
                <w:vertAlign w:val="superscript"/>
              </w:rPr>
              <w:t>a</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FC3BF5E" w14:textId="77777777">
            <w:pPr>
              <w:spacing w:after="0" w:line="240" w:lineRule="auto"/>
              <w:jc w:val="right"/>
              <w:rPr>
                <w:rFonts w:eastAsia="Times New Roman" w:cs="Arial"/>
                <w:color w:val="000000"/>
                <w:sz w:val="22"/>
              </w:rPr>
            </w:pPr>
            <w:r w:rsidRPr="00CD4254">
              <w:rPr>
                <w:rFonts w:eastAsia="Times New Roman" w:cs="Arial"/>
                <w:color w:val="000000"/>
                <w:sz w:val="22"/>
              </w:rPr>
              <w:t>344</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391395E" w14:textId="77777777">
            <w:pPr>
              <w:spacing w:after="0" w:line="240" w:lineRule="auto"/>
              <w:jc w:val="right"/>
              <w:rPr>
                <w:rFonts w:eastAsia="Times New Roman" w:cs="Arial"/>
                <w:color w:val="000000"/>
                <w:sz w:val="22"/>
              </w:rPr>
            </w:pPr>
            <w:r w:rsidRPr="00CD4254">
              <w:rPr>
                <w:rFonts w:eastAsia="Times New Roman" w:cs="Arial"/>
                <w:color w:val="000000"/>
                <w:sz w:val="22"/>
              </w:rPr>
              <w:t>208</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755271CF" w14:textId="77777777">
            <w:pPr>
              <w:spacing w:after="0" w:line="240" w:lineRule="auto"/>
              <w:jc w:val="right"/>
              <w:rPr>
                <w:rFonts w:eastAsia="Times New Roman" w:cs="Arial"/>
                <w:color w:val="000000"/>
                <w:sz w:val="22"/>
              </w:rPr>
            </w:pPr>
            <w:r w:rsidRPr="00CD4254">
              <w:rPr>
                <w:rFonts w:eastAsia="Times New Roman" w:cs="Arial"/>
                <w:color w:val="000000"/>
                <w:sz w:val="22"/>
              </w:rPr>
              <w:t>59</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76E507E9" w14:textId="77777777">
            <w:pPr>
              <w:spacing w:after="0" w:line="240" w:lineRule="auto"/>
              <w:jc w:val="right"/>
              <w:rPr>
                <w:rFonts w:eastAsia="Times New Roman" w:cs="Arial"/>
                <w:color w:val="000000"/>
                <w:sz w:val="22"/>
              </w:rPr>
            </w:pPr>
            <w:r w:rsidRPr="00CD4254">
              <w:rPr>
                <w:rFonts w:eastAsia="Times New Roman" w:cs="Arial"/>
                <w:color w:val="000000"/>
                <w:sz w:val="22"/>
              </w:rPr>
              <w:t>0.17</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CD4254" w:rsidR="00CD4254" w:rsidP="00CD4254" w:rsidRDefault="00CD4254" w14:paraId="4B6D5D45" w14:textId="77777777">
            <w:pPr>
              <w:spacing w:after="0" w:line="240" w:lineRule="auto"/>
              <w:jc w:val="center"/>
              <w:rPr>
                <w:rFonts w:eastAsia="Times New Roman" w:cs="Arial"/>
                <w:color w:val="000000"/>
                <w:sz w:val="22"/>
              </w:rPr>
            </w:pPr>
            <w:r w:rsidRPr="00CD4254">
              <w:rPr>
                <w:rFonts w:eastAsia="Times New Roman" w:cs="Arial"/>
                <w:color w:val="000000"/>
                <w:sz w:val="22"/>
              </w:rPr>
              <w:t>Firms submitting reports/firms</w:t>
            </w:r>
          </w:p>
        </w:tc>
      </w:tr>
      <w:tr w:rsidRPr="00CD4254" w:rsidR="008600C0" w:rsidTr="008600C0" w14:paraId="6B5BA17E"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3E797CFC"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55BCB838"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3F43308" w14:textId="77777777">
            <w:pPr>
              <w:spacing w:after="0" w:line="240" w:lineRule="auto"/>
              <w:jc w:val="right"/>
              <w:rPr>
                <w:rFonts w:eastAsia="Times New Roman" w:cs="Arial"/>
                <w:color w:val="000000"/>
                <w:sz w:val="22"/>
              </w:rPr>
            </w:pPr>
            <w:r w:rsidRPr="00CD4254">
              <w:rPr>
                <w:rFonts w:eastAsia="Times New Roman" w:cs="Arial"/>
                <w:color w:val="000000"/>
                <w:sz w:val="22"/>
              </w:rPr>
              <w:t>348</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A5688F6" w14:textId="77777777">
            <w:pPr>
              <w:spacing w:after="0" w:line="240" w:lineRule="auto"/>
              <w:jc w:val="right"/>
              <w:rPr>
                <w:rFonts w:eastAsia="Times New Roman" w:cs="Arial"/>
                <w:color w:val="000000"/>
                <w:sz w:val="22"/>
              </w:rPr>
            </w:pPr>
            <w:r w:rsidRPr="00CD4254">
              <w:rPr>
                <w:rFonts w:eastAsia="Times New Roman" w:cs="Arial"/>
                <w:color w:val="000000"/>
                <w:sz w:val="22"/>
              </w:rPr>
              <w:t>220</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34D0EAAF" w14:textId="77777777">
            <w:pPr>
              <w:spacing w:after="0" w:line="240" w:lineRule="auto"/>
              <w:jc w:val="right"/>
              <w:rPr>
                <w:rFonts w:eastAsia="Times New Roman" w:cs="Arial"/>
                <w:color w:val="000000"/>
                <w:sz w:val="22"/>
              </w:rPr>
            </w:pPr>
            <w:r w:rsidRPr="00CD4254">
              <w:rPr>
                <w:rFonts w:eastAsia="Times New Roman" w:cs="Arial"/>
                <w:color w:val="000000"/>
                <w:sz w:val="22"/>
              </w:rPr>
              <w:t>63</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DC80095" w14:textId="77777777">
            <w:pPr>
              <w:spacing w:after="0" w:line="240" w:lineRule="auto"/>
              <w:jc w:val="right"/>
              <w:rPr>
                <w:rFonts w:eastAsia="Times New Roman" w:cs="Arial"/>
                <w:color w:val="000000"/>
                <w:sz w:val="22"/>
              </w:rPr>
            </w:pPr>
            <w:r w:rsidRPr="00CD4254">
              <w:rPr>
                <w:rFonts w:eastAsia="Times New Roman" w:cs="Arial"/>
                <w:color w:val="000000"/>
                <w:sz w:val="22"/>
              </w:rPr>
              <w:t>0.18</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0CCB3923" w14:textId="77777777">
            <w:pPr>
              <w:spacing w:after="0" w:line="240" w:lineRule="auto"/>
              <w:rPr>
                <w:rFonts w:eastAsia="Times New Roman" w:cs="Arial"/>
                <w:color w:val="000000"/>
                <w:sz w:val="22"/>
              </w:rPr>
            </w:pPr>
          </w:p>
        </w:tc>
      </w:tr>
      <w:tr w:rsidRPr="00CD4254" w:rsidR="008600C0" w:rsidTr="008600C0" w14:paraId="115E89EB"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354F5E4D"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0E18FCE"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856B7E4" w14:textId="77777777">
            <w:pPr>
              <w:spacing w:after="0" w:line="240" w:lineRule="auto"/>
              <w:jc w:val="right"/>
              <w:rPr>
                <w:rFonts w:eastAsia="Times New Roman" w:cs="Arial"/>
                <w:color w:val="000000"/>
                <w:sz w:val="22"/>
              </w:rPr>
            </w:pPr>
            <w:r w:rsidRPr="00CD4254">
              <w:rPr>
                <w:rFonts w:eastAsia="Times New Roman" w:cs="Arial"/>
                <w:color w:val="000000"/>
                <w:sz w:val="22"/>
              </w:rPr>
              <w:t>129</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1D96871" w14:textId="77777777">
            <w:pPr>
              <w:spacing w:after="0" w:line="240" w:lineRule="auto"/>
              <w:jc w:val="right"/>
              <w:rPr>
                <w:rFonts w:eastAsia="Times New Roman" w:cs="Arial"/>
                <w:color w:val="000000"/>
                <w:sz w:val="22"/>
              </w:rPr>
            </w:pPr>
            <w:r w:rsidRPr="00CD4254">
              <w:rPr>
                <w:rFonts w:eastAsia="Times New Roman" w:cs="Arial"/>
                <w:color w:val="000000"/>
                <w:sz w:val="22"/>
              </w:rPr>
              <w:t>50</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C887CE3" w14:textId="77777777">
            <w:pPr>
              <w:spacing w:after="0" w:line="240" w:lineRule="auto"/>
              <w:jc w:val="right"/>
              <w:rPr>
                <w:rFonts w:eastAsia="Times New Roman" w:cs="Arial"/>
                <w:color w:val="000000"/>
                <w:sz w:val="22"/>
              </w:rPr>
            </w:pPr>
            <w:r w:rsidRPr="00CD4254">
              <w:rPr>
                <w:rFonts w:eastAsia="Times New Roman" w:cs="Arial"/>
                <w:color w:val="000000"/>
                <w:sz w:val="22"/>
              </w:rPr>
              <w:t>63</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B2BCF09" w14:textId="77777777">
            <w:pPr>
              <w:spacing w:after="0" w:line="240" w:lineRule="auto"/>
              <w:jc w:val="right"/>
              <w:rPr>
                <w:rFonts w:eastAsia="Times New Roman" w:cs="Arial"/>
                <w:color w:val="000000"/>
                <w:sz w:val="22"/>
              </w:rPr>
            </w:pPr>
            <w:r w:rsidRPr="00CD4254">
              <w:rPr>
                <w:rFonts w:eastAsia="Times New Roman" w:cs="Arial"/>
                <w:color w:val="000000"/>
                <w:sz w:val="22"/>
              </w:rPr>
              <w:t>0.49</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2AB23316" w14:textId="77777777">
            <w:pPr>
              <w:spacing w:after="0" w:line="240" w:lineRule="auto"/>
              <w:rPr>
                <w:rFonts w:eastAsia="Times New Roman" w:cs="Arial"/>
                <w:color w:val="000000"/>
                <w:sz w:val="22"/>
              </w:rPr>
            </w:pPr>
          </w:p>
        </w:tc>
      </w:tr>
      <w:tr w:rsidRPr="00CD4254" w:rsidR="008600C0" w:rsidTr="008600C0" w14:paraId="0CC22381"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vAlign w:val="center"/>
            <w:hideMark/>
          </w:tcPr>
          <w:p w:rsidRPr="00CD4254" w:rsidR="00CD4254" w:rsidP="00CD4254" w:rsidRDefault="00CD4254" w14:paraId="72DDB550" w14:textId="77777777">
            <w:pPr>
              <w:spacing w:after="0" w:line="240" w:lineRule="auto"/>
              <w:jc w:val="center"/>
              <w:rPr>
                <w:rFonts w:eastAsia="Times New Roman" w:cs="Arial"/>
                <w:color w:val="000000"/>
                <w:sz w:val="22"/>
              </w:rPr>
            </w:pPr>
            <w:r w:rsidRPr="00CD4254">
              <w:rPr>
                <w:rFonts w:eastAsia="Times New Roman" w:cs="Arial"/>
                <w:color w:val="000000"/>
                <w:sz w:val="22"/>
              </w:rPr>
              <w:t>Number of studies per submitting firm</w:t>
            </w: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3E81C010" w14:textId="77777777">
            <w:pPr>
              <w:spacing w:after="0" w:line="240" w:lineRule="auto"/>
              <w:rPr>
                <w:rFonts w:eastAsia="Times New Roman" w:cs="Arial"/>
                <w:color w:val="000000"/>
                <w:sz w:val="22"/>
              </w:rPr>
            </w:pPr>
            <w:r w:rsidRPr="00CD4254">
              <w:rPr>
                <w:rFonts w:eastAsia="Times New Roman" w:cs="Arial"/>
                <w:color w:val="000000"/>
                <w:sz w:val="22"/>
              </w:rPr>
              <w:t xml:space="preserve">2015-2018 </w:t>
            </w:r>
            <w:r w:rsidRPr="00CD4254">
              <w:rPr>
                <w:rFonts w:eastAsia="Times New Roman" w:cs="Arial"/>
                <w:color w:val="000000"/>
                <w:sz w:val="22"/>
                <w:vertAlign w:val="superscript"/>
              </w:rPr>
              <w:t>a</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12B20559" w14:textId="77777777">
            <w:pPr>
              <w:spacing w:after="0" w:line="240" w:lineRule="auto"/>
              <w:jc w:val="right"/>
              <w:rPr>
                <w:rFonts w:eastAsia="Times New Roman" w:cs="Arial"/>
                <w:color w:val="000000"/>
                <w:sz w:val="22"/>
              </w:rPr>
            </w:pPr>
            <w:r w:rsidRPr="00CD4254">
              <w:rPr>
                <w:rFonts w:eastAsia="Times New Roman" w:cs="Arial"/>
                <w:color w:val="000000"/>
                <w:sz w:val="22"/>
              </w:rPr>
              <w:t>59</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5283F183" w14:textId="77777777">
            <w:pPr>
              <w:spacing w:after="0" w:line="240" w:lineRule="auto"/>
              <w:jc w:val="right"/>
              <w:rPr>
                <w:rFonts w:eastAsia="Times New Roman" w:cs="Arial"/>
                <w:color w:val="000000"/>
                <w:sz w:val="22"/>
              </w:rPr>
            </w:pPr>
            <w:r w:rsidRPr="00CD4254">
              <w:rPr>
                <w:rFonts w:eastAsia="Times New Roman" w:cs="Arial"/>
                <w:color w:val="000000"/>
                <w:sz w:val="22"/>
              </w:rPr>
              <w:t>208</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AD501B0" w14:textId="77777777">
            <w:pPr>
              <w:spacing w:after="0" w:line="240" w:lineRule="auto"/>
              <w:jc w:val="right"/>
              <w:rPr>
                <w:rFonts w:eastAsia="Times New Roman" w:cs="Arial"/>
                <w:color w:val="000000"/>
                <w:sz w:val="22"/>
              </w:rPr>
            </w:pPr>
            <w:r w:rsidRPr="00CD4254">
              <w:rPr>
                <w:rFonts w:eastAsia="Times New Roman" w:cs="Arial"/>
                <w:color w:val="000000"/>
                <w:sz w:val="22"/>
              </w:rPr>
              <w:t>527</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8AE8146" w14:textId="77777777">
            <w:pPr>
              <w:spacing w:after="0" w:line="240" w:lineRule="auto"/>
              <w:jc w:val="right"/>
              <w:rPr>
                <w:rFonts w:eastAsia="Times New Roman" w:cs="Arial"/>
                <w:color w:val="000000"/>
                <w:sz w:val="22"/>
              </w:rPr>
            </w:pPr>
            <w:r w:rsidRPr="00CD4254">
              <w:rPr>
                <w:rFonts w:eastAsia="Times New Roman" w:cs="Arial"/>
                <w:color w:val="000000"/>
                <w:sz w:val="22"/>
              </w:rPr>
              <w:t>9</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CD4254" w:rsidR="00CD4254" w:rsidP="00CD4254" w:rsidRDefault="00CD4254" w14:paraId="69A22714" w14:textId="77777777">
            <w:pPr>
              <w:spacing w:after="0" w:line="240" w:lineRule="auto"/>
              <w:jc w:val="center"/>
              <w:rPr>
                <w:rFonts w:eastAsia="Times New Roman" w:cs="Arial"/>
                <w:color w:val="000000"/>
                <w:sz w:val="22"/>
              </w:rPr>
            </w:pPr>
            <w:r w:rsidRPr="00CD4254">
              <w:rPr>
                <w:rFonts w:eastAsia="Times New Roman" w:cs="Arial"/>
                <w:color w:val="000000"/>
                <w:sz w:val="22"/>
              </w:rPr>
              <w:t>Studies/firm</w:t>
            </w:r>
          </w:p>
        </w:tc>
      </w:tr>
      <w:tr w:rsidRPr="00CD4254" w:rsidR="008600C0" w:rsidTr="008600C0" w14:paraId="39F53EB2"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0ED8BB4C"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B960543"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3554AD16" w14:textId="77777777">
            <w:pPr>
              <w:spacing w:after="0" w:line="240" w:lineRule="auto"/>
              <w:jc w:val="right"/>
              <w:rPr>
                <w:rFonts w:eastAsia="Times New Roman" w:cs="Arial"/>
                <w:color w:val="000000"/>
                <w:sz w:val="22"/>
              </w:rPr>
            </w:pPr>
            <w:r w:rsidRPr="00CD4254">
              <w:rPr>
                <w:rFonts w:eastAsia="Times New Roman" w:cs="Arial"/>
                <w:color w:val="000000"/>
                <w:sz w:val="22"/>
              </w:rPr>
              <w:t>63</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C81055A" w14:textId="77777777">
            <w:pPr>
              <w:spacing w:after="0" w:line="240" w:lineRule="auto"/>
              <w:jc w:val="right"/>
              <w:rPr>
                <w:rFonts w:eastAsia="Times New Roman" w:cs="Arial"/>
                <w:color w:val="000000"/>
                <w:sz w:val="22"/>
              </w:rPr>
            </w:pPr>
            <w:r w:rsidRPr="00CD4254">
              <w:rPr>
                <w:rFonts w:eastAsia="Times New Roman" w:cs="Arial"/>
                <w:color w:val="000000"/>
                <w:sz w:val="22"/>
              </w:rPr>
              <w:t>220</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CB717CD" w14:textId="77777777">
            <w:pPr>
              <w:spacing w:after="0" w:line="240" w:lineRule="auto"/>
              <w:jc w:val="right"/>
              <w:rPr>
                <w:rFonts w:eastAsia="Times New Roman" w:cs="Arial"/>
                <w:color w:val="000000"/>
                <w:sz w:val="22"/>
              </w:rPr>
            </w:pPr>
            <w:r w:rsidRPr="00CD4254">
              <w:rPr>
                <w:rFonts w:eastAsia="Times New Roman" w:cs="Arial"/>
                <w:color w:val="000000"/>
                <w:sz w:val="22"/>
              </w:rPr>
              <w:t>542</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718DF9A" w14:textId="77777777">
            <w:pPr>
              <w:spacing w:after="0" w:line="240" w:lineRule="auto"/>
              <w:jc w:val="right"/>
              <w:rPr>
                <w:rFonts w:eastAsia="Times New Roman" w:cs="Arial"/>
                <w:color w:val="000000"/>
                <w:sz w:val="22"/>
              </w:rPr>
            </w:pPr>
            <w:r w:rsidRPr="00CD4254">
              <w:rPr>
                <w:rFonts w:eastAsia="Times New Roman" w:cs="Arial"/>
                <w:color w:val="000000"/>
                <w:sz w:val="22"/>
              </w:rPr>
              <w:t>9</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0046DF68" w14:textId="77777777">
            <w:pPr>
              <w:spacing w:after="0" w:line="240" w:lineRule="auto"/>
              <w:rPr>
                <w:rFonts w:eastAsia="Times New Roman" w:cs="Arial"/>
                <w:color w:val="000000"/>
                <w:sz w:val="22"/>
              </w:rPr>
            </w:pPr>
          </w:p>
        </w:tc>
      </w:tr>
      <w:tr w:rsidRPr="00CD4254" w:rsidR="008600C0" w:rsidTr="008600C0" w14:paraId="72344A5D"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10730910"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282F56DF"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3B247B5C" w14:textId="77777777">
            <w:pPr>
              <w:spacing w:after="0" w:line="240" w:lineRule="auto"/>
              <w:jc w:val="right"/>
              <w:rPr>
                <w:rFonts w:eastAsia="Times New Roman" w:cs="Arial"/>
                <w:color w:val="000000"/>
                <w:sz w:val="22"/>
              </w:rPr>
            </w:pPr>
            <w:r w:rsidRPr="00CD4254">
              <w:rPr>
                <w:rFonts w:eastAsia="Times New Roman" w:cs="Arial"/>
                <w:color w:val="000000"/>
                <w:sz w:val="22"/>
              </w:rPr>
              <w:t>63</w:t>
            </w:r>
          </w:p>
        </w:tc>
        <w:tc>
          <w:tcPr>
            <w:tcW w:w="126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19D43CE" w14:textId="77777777">
            <w:pPr>
              <w:spacing w:after="0" w:line="240" w:lineRule="auto"/>
              <w:jc w:val="right"/>
              <w:rPr>
                <w:rFonts w:eastAsia="Times New Roman" w:cs="Arial"/>
                <w:color w:val="000000"/>
                <w:sz w:val="22"/>
              </w:rPr>
            </w:pPr>
            <w:r w:rsidRPr="00CD4254">
              <w:rPr>
                <w:rFonts w:eastAsia="Times New Roman" w:cs="Arial"/>
                <w:color w:val="000000"/>
                <w:sz w:val="22"/>
              </w:rPr>
              <w:t>50</w:t>
            </w:r>
          </w:p>
        </w:tc>
        <w:tc>
          <w:tcPr>
            <w:tcW w:w="135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93EDEFA" w14:textId="77777777">
            <w:pPr>
              <w:spacing w:after="0" w:line="240" w:lineRule="auto"/>
              <w:jc w:val="right"/>
              <w:rPr>
                <w:rFonts w:eastAsia="Times New Roman" w:cs="Arial"/>
                <w:color w:val="000000"/>
                <w:sz w:val="22"/>
              </w:rPr>
            </w:pPr>
            <w:r w:rsidRPr="00CD4254">
              <w:rPr>
                <w:rFonts w:eastAsia="Times New Roman" w:cs="Arial"/>
                <w:color w:val="000000"/>
                <w:sz w:val="22"/>
              </w:rPr>
              <w:t>542</w:t>
            </w:r>
          </w:p>
        </w:tc>
        <w:tc>
          <w:tcPr>
            <w:tcW w:w="117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BFCC595" w14:textId="77777777">
            <w:pPr>
              <w:spacing w:after="0" w:line="240" w:lineRule="auto"/>
              <w:jc w:val="right"/>
              <w:rPr>
                <w:rFonts w:eastAsia="Times New Roman" w:cs="Arial"/>
                <w:color w:val="000000"/>
                <w:sz w:val="22"/>
              </w:rPr>
            </w:pPr>
            <w:r w:rsidRPr="00CD4254">
              <w:rPr>
                <w:rFonts w:eastAsia="Times New Roman" w:cs="Arial"/>
                <w:color w:val="000000"/>
                <w:sz w:val="22"/>
              </w:rPr>
              <w:t>9</w:t>
            </w: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3B34C347" w14:textId="77777777">
            <w:pPr>
              <w:spacing w:after="0" w:line="240" w:lineRule="auto"/>
              <w:rPr>
                <w:rFonts w:eastAsia="Times New Roman" w:cs="Arial"/>
                <w:color w:val="000000"/>
                <w:sz w:val="22"/>
              </w:rPr>
            </w:pPr>
          </w:p>
        </w:tc>
      </w:tr>
      <w:tr w:rsidRPr="00CD4254" w:rsidR="008600C0" w:rsidTr="008600C0" w14:paraId="640F5407"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vAlign w:val="center"/>
            <w:hideMark/>
          </w:tcPr>
          <w:p w:rsidRPr="00CD4254" w:rsidR="00CD4254" w:rsidP="00CD4254" w:rsidRDefault="00CD4254" w14:paraId="5B15CE3D" w14:textId="77777777">
            <w:pPr>
              <w:spacing w:after="0" w:line="240" w:lineRule="auto"/>
              <w:jc w:val="center"/>
              <w:rPr>
                <w:rFonts w:eastAsia="Times New Roman" w:cs="Arial"/>
                <w:color w:val="000000"/>
                <w:sz w:val="22"/>
              </w:rPr>
            </w:pPr>
            <w:r w:rsidRPr="00CD4254">
              <w:rPr>
                <w:rFonts w:eastAsia="Times New Roman" w:cs="Arial"/>
                <w:color w:val="000000"/>
                <w:sz w:val="22"/>
              </w:rPr>
              <w:t>Average length of study, pages</w:t>
            </w: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6E95EF1F" w14:textId="77777777">
            <w:pPr>
              <w:spacing w:after="0" w:line="240" w:lineRule="auto"/>
              <w:rPr>
                <w:rFonts w:eastAsia="Times New Roman" w:cs="Arial"/>
                <w:color w:val="000000"/>
                <w:sz w:val="22"/>
              </w:rPr>
            </w:pPr>
            <w:r w:rsidRPr="00CD4254">
              <w:rPr>
                <w:rFonts w:eastAsia="Times New Roman" w:cs="Arial"/>
                <w:color w:val="000000"/>
                <w:sz w:val="22"/>
              </w:rPr>
              <w:t xml:space="preserve">2015-2018 </w:t>
            </w:r>
            <w:r w:rsidRPr="00CD4254">
              <w:rPr>
                <w:rFonts w:eastAsia="Times New Roman" w:cs="Arial"/>
                <w:color w:val="000000"/>
                <w:sz w:val="22"/>
                <w:vertAlign w:val="superscript"/>
              </w:rPr>
              <w:t>a</w:t>
            </w:r>
          </w:p>
        </w:tc>
        <w:tc>
          <w:tcPr>
            <w:tcW w:w="117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090366DC"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26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628DBD4B"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35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72A3C900"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17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1062EE47" w14:textId="77777777">
            <w:pPr>
              <w:spacing w:after="0" w:line="240" w:lineRule="auto"/>
              <w:jc w:val="center"/>
              <w:rPr>
                <w:rFonts w:eastAsia="Times New Roman" w:cs="Arial"/>
                <w:color w:val="000000"/>
                <w:sz w:val="22"/>
              </w:rPr>
            </w:pPr>
            <w:r w:rsidRPr="00CD4254">
              <w:rPr>
                <w:rFonts w:eastAsia="Times New Roman" w:cs="Arial"/>
                <w:color w:val="000000"/>
                <w:sz w:val="22"/>
              </w:rPr>
              <w:t>20</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CD4254" w:rsidR="00CD4254" w:rsidP="00CD4254" w:rsidRDefault="00CD4254" w14:paraId="3E5BD536" w14:textId="77777777">
            <w:pPr>
              <w:spacing w:after="0" w:line="240" w:lineRule="auto"/>
              <w:jc w:val="center"/>
              <w:rPr>
                <w:rFonts w:eastAsia="Times New Roman" w:cs="Arial"/>
                <w:color w:val="000000"/>
                <w:sz w:val="22"/>
              </w:rPr>
            </w:pPr>
            <w:r w:rsidRPr="00CD4254">
              <w:rPr>
                <w:rFonts w:eastAsia="Times New Roman" w:cs="Arial"/>
                <w:color w:val="000000"/>
                <w:sz w:val="22"/>
              </w:rPr>
              <w:t>Pages</w:t>
            </w:r>
          </w:p>
        </w:tc>
      </w:tr>
      <w:tr w:rsidRPr="00CD4254" w:rsidR="008600C0" w:rsidTr="008600C0" w14:paraId="1E91F181"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3B178176"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FCE5B72"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7A96D424"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07555DF8"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7102B45B"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0FCDE8EB"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696D3B89" w14:textId="77777777">
            <w:pPr>
              <w:spacing w:after="0" w:line="240" w:lineRule="auto"/>
              <w:rPr>
                <w:rFonts w:eastAsia="Times New Roman" w:cs="Arial"/>
                <w:color w:val="000000"/>
                <w:sz w:val="22"/>
              </w:rPr>
            </w:pPr>
          </w:p>
        </w:tc>
      </w:tr>
      <w:tr w:rsidRPr="00CD4254" w:rsidR="008600C0" w:rsidTr="008600C0" w14:paraId="614CA7C7"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5FEAA991"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4878195C"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4271B7A9"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1F9FB50C"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4CF1615B"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6330AB49"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5D27F772" w14:textId="77777777">
            <w:pPr>
              <w:spacing w:after="0" w:line="240" w:lineRule="auto"/>
              <w:rPr>
                <w:rFonts w:eastAsia="Times New Roman" w:cs="Arial"/>
                <w:color w:val="000000"/>
                <w:sz w:val="22"/>
              </w:rPr>
            </w:pPr>
          </w:p>
        </w:tc>
      </w:tr>
      <w:tr w:rsidRPr="00CD4254" w:rsidR="008600C0" w:rsidTr="008600C0" w14:paraId="3A880FFA" w14:textId="77777777">
        <w:trPr>
          <w:gridAfter w:val="1"/>
          <w:wAfter w:w="1506" w:type="dxa"/>
          <w:trHeight w:val="501"/>
        </w:trPr>
        <w:tc>
          <w:tcPr>
            <w:tcW w:w="1500" w:type="dxa"/>
            <w:vMerge w:val="restart"/>
            <w:tcBorders>
              <w:top w:val="nil"/>
              <w:left w:val="single" w:color="auto" w:sz="8" w:space="0"/>
              <w:bottom w:val="single" w:color="000000" w:sz="4" w:space="0"/>
              <w:right w:val="single" w:color="auto" w:sz="4" w:space="0"/>
            </w:tcBorders>
            <w:shd w:val="clear" w:color="auto" w:fill="auto"/>
            <w:vAlign w:val="center"/>
            <w:hideMark/>
          </w:tcPr>
          <w:p w:rsidRPr="00CD4254" w:rsidR="00CD4254" w:rsidP="00CD4254" w:rsidRDefault="00CD4254" w14:paraId="54CD758D" w14:textId="77777777">
            <w:pPr>
              <w:spacing w:after="0" w:line="240" w:lineRule="auto"/>
              <w:jc w:val="center"/>
              <w:rPr>
                <w:rFonts w:eastAsia="Times New Roman" w:cs="Arial"/>
                <w:color w:val="000000"/>
                <w:sz w:val="22"/>
              </w:rPr>
            </w:pPr>
            <w:r w:rsidRPr="00CD4254">
              <w:rPr>
                <w:rFonts w:eastAsia="Times New Roman" w:cs="Arial"/>
                <w:color w:val="000000"/>
                <w:sz w:val="22"/>
              </w:rPr>
              <w:t>Percent studies with robust summaries; number of firms affected</w:t>
            </w: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69239084" w14:textId="77777777">
            <w:pPr>
              <w:spacing w:after="0" w:line="240" w:lineRule="auto"/>
              <w:rPr>
                <w:rFonts w:eastAsia="Times New Roman" w:cs="Arial"/>
                <w:color w:val="000000"/>
                <w:sz w:val="22"/>
              </w:rPr>
            </w:pPr>
            <w:r w:rsidRPr="00CD4254">
              <w:rPr>
                <w:rFonts w:eastAsia="Times New Roman" w:cs="Arial"/>
                <w:color w:val="000000"/>
                <w:sz w:val="22"/>
              </w:rPr>
              <w:t xml:space="preserve">2015-2018 </w:t>
            </w:r>
            <w:r w:rsidRPr="00CD4254">
              <w:rPr>
                <w:rFonts w:eastAsia="Times New Roman" w:cs="Arial"/>
                <w:color w:val="000000"/>
                <w:sz w:val="22"/>
                <w:vertAlign w:val="superscript"/>
              </w:rPr>
              <w:t>a</w:t>
            </w:r>
          </w:p>
        </w:tc>
        <w:tc>
          <w:tcPr>
            <w:tcW w:w="117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146C002E"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26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0E4FB197"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350" w:type="dxa"/>
            <w:vMerge w:val="restart"/>
            <w:tcBorders>
              <w:top w:val="nil"/>
              <w:left w:val="single" w:color="auto" w:sz="4" w:space="0"/>
              <w:bottom w:val="single" w:color="000000" w:sz="4" w:space="0"/>
              <w:right w:val="single" w:color="auto" w:sz="4" w:space="0"/>
            </w:tcBorders>
            <w:shd w:val="clear" w:color="auto" w:fill="auto"/>
            <w:vAlign w:val="center"/>
            <w:hideMark/>
          </w:tcPr>
          <w:p w:rsidRPr="00CD4254" w:rsidR="00CD4254" w:rsidP="00CD4254" w:rsidRDefault="00CD4254" w14:paraId="225CAF45" w14:textId="77777777">
            <w:pPr>
              <w:spacing w:after="0" w:line="240" w:lineRule="auto"/>
              <w:jc w:val="center"/>
              <w:rPr>
                <w:rFonts w:eastAsia="Times New Roman" w:cs="Arial"/>
                <w:color w:val="000000"/>
                <w:sz w:val="22"/>
              </w:rPr>
            </w:pPr>
            <w:r w:rsidRPr="00CD4254">
              <w:rPr>
                <w:rFonts w:eastAsia="Times New Roman" w:cs="Arial"/>
                <w:color w:val="000000"/>
                <w:sz w:val="22"/>
              </w:rPr>
              <w:t>10% of total studies;</w:t>
            </w:r>
            <w:r w:rsidRPr="00CD4254">
              <w:rPr>
                <w:rFonts w:eastAsia="Times New Roman" w:cs="Arial"/>
                <w:color w:val="000000"/>
                <w:sz w:val="22"/>
              </w:rPr>
              <w:br/>
              <w:t>10% of reports</w:t>
            </w:r>
          </w:p>
        </w:tc>
        <w:tc>
          <w:tcPr>
            <w:tcW w:w="117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CD4254" w:rsidR="00CD4254" w:rsidP="00CD4254" w:rsidRDefault="00CD4254" w14:paraId="58BCB37F" w14:textId="77777777">
            <w:pPr>
              <w:spacing w:after="0" w:line="240" w:lineRule="auto"/>
              <w:jc w:val="center"/>
              <w:rPr>
                <w:rFonts w:eastAsia="Times New Roman" w:cs="Arial"/>
                <w:color w:val="000000"/>
                <w:sz w:val="22"/>
              </w:rPr>
            </w:pPr>
            <w:r w:rsidRPr="00CD4254">
              <w:rPr>
                <w:rFonts w:eastAsia="Times New Roman" w:cs="Arial"/>
                <w:color w:val="000000"/>
                <w:sz w:val="22"/>
              </w:rPr>
              <w:t>1</w:t>
            </w:r>
          </w:p>
        </w:tc>
        <w:tc>
          <w:tcPr>
            <w:tcW w:w="1350" w:type="dxa"/>
            <w:vMerge w:val="restart"/>
            <w:tcBorders>
              <w:top w:val="nil"/>
              <w:left w:val="single" w:color="auto" w:sz="4" w:space="0"/>
              <w:bottom w:val="single" w:color="000000" w:sz="4" w:space="0"/>
              <w:right w:val="single" w:color="auto" w:sz="8" w:space="0"/>
            </w:tcBorders>
            <w:shd w:val="clear" w:color="auto" w:fill="auto"/>
            <w:vAlign w:val="center"/>
            <w:hideMark/>
          </w:tcPr>
          <w:p w:rsidRPr="00CD4254" w:rsidR="00CD4254" w:rsidP="00CD4254" w:rsidRDefault="00CD4254" w14:paraId="5A3EE946" w14:textId="77777777">
            <w:pPr>
              <w:spacing w:after="0" w:line="240" w:lineRule="auto"/>
              <w:jc w:val="center"/>
              <w:rPr>
                <w:rFonts w:eastAsia="Times New Roman" w:cs="Arial"/>
                <w:color w:val="000000"/>
                <w:sz w:val="22"/>
              </w:rPr>
            </w:pPr>
            <w:r w:rsidRPr="00CD4254">
              <w:rPr>
                <w:rFonts w:eastAsia="Times New Roman" w:cs="Arial"/>
                <w:color w:val="000000"/>
                <w:sz w:val="22"/>
              </w:rPr>
              <w:t>Robust summary/firm</w:t>
            </w:r>
          </w:p>
        </w:tc>
      </w:tr>
      <w:tr w:rsidRPr="00CD4254" w:rsidR="008600C0" w:rsidTr="008600C0" w14:paraId="10D7B8A7"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10D9B2BB"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0AAA594C"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44307647"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12364814"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4777E947"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5E3D239B"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6A8BD0D7" w14:textId="77777777">
            <w:pPr>
              <w:spacing w:after="0" w:line="240" w:lineRule="auto"/>
              <w:rPr>
                <w:rFonts w:eastAsia="Times New Roman" w:cs="Arial"/>
                <w:color w:val="000000"/>
                <w:sz w:val="22"/>
              </w:rPr>
            </w:pPr>
          </w:p>
        </w:tc>
      </w:tr>
      <w:tr w:rsidRPr="00CD4254" w:rsidR="008600C0" w:rsidTr="008600C0" w14:paraId="6761CA5C" w14:textId="77777777">
        <w:trPr>
          <w:gridAfter w:val="1"/>
          <w:wAfter w:w="1506" w:type="dxa"/>
          <w:trHeight w:val="501"/>
        </w:trPr>
        <w:tc>
          <w:tcPr>
            <w:tcW w:w="1500" w:type="dxa"/>
            <w:vMerge/>
            <w:tcBorders>
              <w:top w:val="nil"/>
              <w:left w:val="single" w:color="auto" w:sz="8" w:space="0"/>
              <w:bottom w:val="single" w:color="000000" w:sz="4" w:space="0"/>
              <w:right w:val="single" w:color="auto" w:sz="4" w:space="0"/>
            </w:tcBorders>
            <w:vAlign w:val="center"/>
            <w:hideMark/>
          </w:tcPr>
          <w:p w:rsidRPr="00CD4254" w:rsidR="00CD4254" w:rsidP="00CD4254" w:rsidRDefault="00CD4254" w14:paraId="3ED38B67" w14:textId="77777777">
            <w:pPr>
              <w:spacing w:after="0" w:line="240" w:lineRule="auto"/>
              <w:rPr>
                <w:rFonts w:eastAsia="Times New Roman" w:cs="Arial"/>
                <w:color w:val="000000"/>
                <w:sz w:val="22"/>
              </w:rPr>
            </w:pPr>
          </w:p>
        </w:tc>
        <w:tc>
          <w:tcPr>
            <w:tcW w:w="1440" w:type="dxa"/>
            <w:tcBorders>
              <w:top w:val="nil"/>
              <w:left w:val="nil"/>
              <w:bottom w:val="single" w:color="auto" w:sz="4" w:space="0"/>
              <w:right w:val="single" w:color="auto" w:sz="4" w:space="0"/>
            </w:tcBorders>
            <w:shd w:val="clear" w:color="auto" w:fill="auto"/>
            <w:noWrap/>
            <w:vAlign w:val="bottom"/>
            <w:hideMark/>
          </w:tcPr>
          <w:p w:rsidRPr="00CD4254" w:rsidR="00CD4254" w:rsidP="00CD4254" w:rsidRDefault="00CD4254" w14:paraId="5497B2C0"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5AB162C3"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6226CC12"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056FCAB3"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4" w:space="0"/>
              <w:right w:val="single" w:color="auto" w:sz="4" w:space="0"/>
            </w:tcBorders>
            <w:vAlign w:val="center"/>
            <w:hideMark/>
          </w:tcPr>
          <w:p w:rsidRPr="00CD4254" w:rsidR="00CD4254" w:rsidP="00CD4254" w:rsidRDefault="00CD4254" w14:paraId="2CBFE7AE"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4" w:space="0"/>
              <w:right w:val="single" w:color="auto" w:sz="8" w:space="0"/>
            </w:tcBorders>
            <w:vAlign w:val="center"/>
            <w:hideMark/>
          </w:tcPr>
          <w:p w:rsidRPr="00CD4254" w:rsidR="00CD4254" w:rsidP="00CD4254" w:rsidRDefault="00CD4254" w14:paraId="5927CFF5" w14:textId="77777777">
            <w:pPr>
              <w:spacing w:after="0" w:line="240" w:lineRule="auto"/>
              <w:rPr>
                <w:rFonts w:eastAsia="Times New Roman" w:cs="Arial"/>
                <w:color w:val="000000"/>
                <w:sz w:val="22"/>
              </w:rPr>
            </w:pPr>
          </w:p>
        </w:tc>
      </w:tr>
      <w:tr w:rsidRPr="00CD4254" w:rsidR="008600C0" w:rsidTr="008600C0" w14:paraId="7C12FEEA" w14:textId="77777777">
        <w:trPr>
          <w:gridAfter w:val="1"/>
          <w:wAfter w:w="1506" w:type="dxa"/>
          <w:trHeight w:val="501"/>
        </w:trPr>
        <w:tc>
          <w:tcPr>
            <w:tcW w:w="1500" w:type="dxa"/>
            <w:vMerge w:val="restart"/>
            <w:tcBorders>
              <w:top w:val="nil"/>
              <w:left w:val="single" w:color="auto" w:sz="8" w:space="0"/>
              <w:bottom w:val="single" w:color="000000" w:sz="8" w:space="0"/>
              <w:right w:val="nil"/>
            </w:tcBorders>
            <w:shd w:val="clear" w:color="auto" w:fill="auto"/>
            <w:vAlign w:val="center"/>
            <w:hideMark/>
          </w:tcPr>
          <w:p w:rsidRPr="00CD4254" w:rsidR="00CD4254" w:rsidP="00CD4254" w:rsidRDefault="00CD4254" w14:paraId="2D9D1BE4" w14:textId="77777777">
            <w:pPr>
              <w:spacing w:after="0" w:line="240" w:lineRule="auto"/>
              <w:jc w:val="center"/>
              <w:rPr>
                <w:rFonts w:eastAsia="Times New Roman" w:cs="Arial"/>
                <w:color w:val="000000"/>
                <w:sz w:val="22"/>
              </w:rPr>
            </w:pPr>
            <w:r w:rsidRPr="00CD4254">
              <w:rPr>
                <w:rFonts w:eastAsia="Times New Roman" w:cs="Arial"/>
                <w:color w:val="000000"/>
                <w:sz w:val="22"/>
              </w:rPr>
              <w:t>Percent of affected firms submitting second responses</w:t>
            </w: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CD4254" w:rsidR="00CD4254" w:rsidP="00CD4254" w:rsidRDefault="00CD4254" w14:paraId="7F43C5F4" w14:textId="77777777">
            <w:pPr>
              <w:spacing w:after="0" w:line="240" w:lineRule="auto"/>
              <w:rPr>
                <w:rFonts w:eastAsia="Times New Roman" w:cs="Arial"/>
                <w:color w:val="000000"/>
                <w:sz w:val="22"/>
              </w:rPr>
            </w:pPr>
            <w:r w:rsidRPr="00CD4254">
              <w:rPr>
                <w:rFonts w:eastAsia="Times New Roman" w:cs="Arial"/>
                <w:color w:val="000000"/>
                <w:sz w:val="22"/>
              </w:rPr>
              <w:t xml:space="preserve">2015-2018 </w:t>
            </w:r>
            <w:r w:rsidRPr="00CD4254">
              <w:rPr>
                <w:rFonts w:eastAsia="Times New Roman" w:cs="Arial"/>
                <w:color w:val="000000"/>
                <w:sz w:val="22"/>
                <w:vertAlign w:val="superscript"/>
              </w:rPr>
              <w:t>a</w:t>
            </w:r>
          </w:p>
        </w:tc>
        <w:tc>
          <w:tcPr>
            <w:tcW w:w="117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CD4254" w:rsidR="00CD4254" w:rsidP="00CD4254" w:rsidRDefault="00CD4254" w14:paraId="660E1075"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26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CD4254" w:rsidR="00CD4254" w:rsidP="00CD4254" w:rsidRDefault="00CD4254" w14:paraId="449A4B38" w14:textId="77777777">
            <w:pPr>
              <w:spacing w:after="0" w:line="240" w:lineRule="auto"/>
              <w:jc w:val="center"/>
              <w:rPr>
                <w:rFonts w:eastAsia="Times New Roman" w:cs="Arial"/>
                <w:color w:val="000000"/>
                <w:sz w:val="22"/>
              </w:rPr>
            </w:pPr>
            <w:r w:rsidRPr="00CD4254">
              <w:rPr>
                <w:rFonts w:eastAsia="Times New Roman" w:cs="Arial"/>
                <w:color w:val="000000"/>
                <w:sz w:val="22"/>
              </w:rPr>
              <w:t>N/A</w:t>
            </w:r>
          </w:p>
        </w:tc>
        <w:tc>
          <w:tcPr>
            <w:tcW w:w="135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CD4254" w:rsidR="00CD4254" w:rsidP="00CD4254" w:rsidRDefault="00CD4254" w14:paraId="6E4480B4" w14:textId="77777777">
            <w:pPr>
              <w:spacing w:after="0" w:line="240" w:lineRule="auto"/>
              <w:jc w:val="center"/>
              <w:rPr>
                <w:rFonts w:eastAsia="Times New Roman" w:cs="Arial"/>
                <w:color w:val="000000"/>
                <w:sz w:val="22"/>
              </w:rPr>
            </w:pPr>
            <w:r w:rsidRPr="00CD4254">
              <w:rPr>
                <w:rFonts w:eastAsia="Times New Roman" w:cs="Arial"/>
                <w:color w:val="000000"/>
                <w:sz w:val="22"/>
              </w:rPr>
              <w:t>5% affected</w:t>
            </w:r>
          </w:p>
        </w:tc>
        <w:tc>
          <w:tcPr>
            <w:tcW w:w="1170" w:type="dxa"/>
            <w:vMerge w:val="restart"/>
            <w:tcBorders>
              <w:top w:val="nil"/>
              <w:left w:val="single" w:color="auto" w:sz="4" w:space="0"/>
              <w:bottom w:val="single" w:color="000000" w:sz="8" w:space="0"/>
              <w:right w:val="single" w:color="auto" w:sz="4" w:space="0"/>
            </w:tcBorders>
            <w:shd w:val="clear" w:color="auto" w:fill="auto"/>
            <w:noWrap/>
            <w:vAlign w:val="center"/>
            <w:hideMark/>
          </w:tcPr>
          <w:p w:rsidRPr="00CD4254" w:rsidR="00CD4254" w:rsidP="00CD4254" w:rsidRDefault="00CD4254" w14:paraId="550A5FAB" w14:textId="77777777">
            <w:pPr>
              <w:spacing w:after="0" w:line="240" w:lineRule="auto"/>
              <w:jc w:val="center"/>
              <w:rPr>
                <w:rFonts w:eastAsia="Times New Roman" w:cs="Arial"/>
                <w:color w:val="000000"/>
                <w:sz w:val="22"/>
              </w:rPr>
            </w:pPr>
            <w:r w:rsidRPr="00CD4254">
              <w:rPr>
                <w:rFonts w:eastAsia="Times New Roman" w:cs="Arial"/>
                <w:color w:val="000000"/>
                <w:sz w:val="22"/>
              </w:rPr>
              <w:t>5</w:t>
            </w:r>
          </w:p>
        </w:tc>
        <w:tc>
          <w:tcPr>
            <w:tcW w:w="1350" w:type="dxa"/>
            <w:vMerge w:val="restart"/>
            <w:tcBorders>
              <w:top w:val="nil"/>
              <w:left w:val="single" w:color="auto" w:sz="4" w:space="0"/>
              <w:bottom w:val="single" w:color="000000" w:sz="8" w:space="0"/>
              <w:right w:val="single" w:color="auto" w:sz="8" w:space="0"/>
            </w:tcBorders>
            <w:shd w:val="clear" w:color="auto" w:fill="auto"/>
            <w:vAlign w:val="center"/>
            <w:hideMark/>
          </w:tcPr>
          <w:p w:rsidRPr="00CD4254" w:rsidR="00CD4254" w:rsidP="00CD4254" w:rsidRDefault="00CD4254" w14:paraId="0A04FAB7" w14:textId="77777777">
            <w:pPr>
              <w:spacing w:after="0" w:line="240" w:lineRule="auto"/>
              <w:jc w:val="center"/>
              <w:rPr>
                <w:rFonts w:eastAsia="Times New Roman" w:cs="Arial"/>
                <w:color w:val="000000"/>
                <w:sz w:val="22"/>
              </w:rPr>
            </w:pPr>
            <w:r w:rsidRPr="00CD4254">
              <w:rPr>
                <w:rFonts w:eastAsia="Times New Roman" w:cs="Arial"/>
                <w:color w:val="000000"/>
                <w:sz w:val="22"/>
              </w:rPr>
              <w:t>Percent</w:t>
            </w:r>
          </w:p>
        </w:tc>
      </w:tr>
      <w:tr w:rsidRPr="00CD4254" w:rsidR="008600C0" w:rsidTr="008600C0" w14:paraId="758AF597" w14:textId="77777777">
        <w:trPr>
          <w:gridAfter w:val="1"/>
          <w:wAfter w:w="1506" w:type="dxa"/>
          <w:trHeight w:val="501"/>
        </w:trPr>
        <w:tc>
          <w:tcPr>
            <w:tcW w:w="1500" w:type="dxa"/>
            <w:vMerge/>
            <w:tcBorders>
              <w:top w:val="nil"/>
              <w:left w:val="single" w:color="auto" w:sz="8" w:space="0"/>
              <w:bottom w:val="single" w:color="000000" w:sz="8" w:space="0"/>
              <w:right w:val="nil"/>
            </w:tcBorders>
            <w:vAlign w:val="center"/>
            <w:hideMark/>
          </w:tcPr>
          <w:p w:rsidRPr="00CD4254" w:rsidR="00CD4254" w:rsidP="00CD4254" w:rsidRDefault="00CD4254" w14:paraId="7FCA5F4C" w14:textId="77777777">
            <w:pPr>
              <w:spacing w:after="0" w:line="240" w:lineRule="auto"/>
              <w:rPr>
                <w:rFonts w:eastAsia="Times New Roman" w:cs="Arial"/>
                <w:color w:val="000000"/>
                <w:sz w:val="22"/>
              </w:rPr>
            </w:pPr>
          </w:p>
        </w:tc>
        <w:tc>
          <w:tcPr>
            <w:tcW w:w="1440" w:type="dxa"/>
            <w:tcBorders>
              <w:top w:val="nil"/>
              <w:left w:val="single" w:color="auto" w:sz="4" w:space="0"/>
              <w:bottom w:val="single" w:color="auto" w:sz="4" w:space="0"/>
              <w:right w:val="single" w:color="auto" w:sz="4" w:space="0"/>
            </w:tcBorders>
            <w:shd w:val="clear" w:color="auto" w:fill="auto"/>
            <w:noWrap/>
            <w:vAlign w:val="bottom"/>
            <w:hideMark/>
          </w:tcPr>
          <w:p w:rsidRPr="00CD4254" w:rsidR="00CD4254" w:rsidP="00CD4254" w:rsidRDefault="00CD4254" w14:paraId="11B6F666" w14:textId="77777777">
            <w:pPr>
              <w:spacing w:after="0" w:line="240" w:lineRule="auto"/>
              <w:rPr>
                <w:rFonts w:eastAsia="Times New Roman" w:cs="Arial"/>
                <w:color w:val="000000"/>
                <w:sz w:val="22"/>
              </w:rPr>
            </w:pPr>
            <w:r w:rsidRPr="00CD4254">
              <w:rPr>
                <w:rFonts w:eastAsia="Times New Roman" w:cs="Arial"/>
                <w:color w:val="000000"/>
                <w:sz w:val="22"/>
              </w:rPr>
              <w:t xml:space="preserve">2018-2021 </w:t>
            </w:r>
            <w:r w:rsidRPr="00CD4254">
              <w:rPr>
                <w:rFonts w:eastAsia="Times New Roman" w:cs="Arial"/>
                <w:color w:val="000000"/>
                <w:sz w:val="22"/>
                <w:vertAlign w:val="superscript"/>
              </w:rPr>
              <w:t>b</w:t>
            </w:r>
          </w:p>
        </w:tc>
        <w:tc>
          <w:tcPr>
            <w:tcW w:w="117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33177069"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25403F51"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2CC9D1BB"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557FBB77"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8" w:space="0"/>
              <w:right w:val="single" w:color="auto" w:sz="8" w:space="0"/>
            </w:tcBorders>
            <w:vAlign w:val="center"/>
            <w:hideMark/>
          </w:tcPr>
          <w:p w:rsidRPr="00CD4254" w:rsidR="00CD4254" w:rsidP="00CD4254" w:rsidRDefault="00CD4254" w14:paraId="2047977A" w14:textId="77777777">
            <w:pPr>
              <w:spacing w:after="0" w:line="240" w:lineRule="auto"/>
              <w:rPr>
                <w:rFonts w:eastAsia="Times New Roman" w:cs="Arial"/>
                <w:color w:val="000000"/>
                <w:sz w:val="22"/>
              </w:rPr>
            </w:pPr>
          </w:p>
        </w:tc>
      </w:tr>
      <w:tr w:rsidRPr="00CD4254" w:rsidR="008600C0" w:rsidTr="008600C0" w14:paraId="4123ECB1" w14:textId="77777777">
        <w:trPr>
          <w:gridAfter w:val="1"/>
          <w:wAfter w:w="1506" w:type="dxa"/>
          <w:trHeight w:val="501"/>
        </w:trPr>
        <w:tc>
          <w:tcPr>
            <w:tcW w:w="1500" w:type="dxa"/>
            <w:vMerge/>
            <w:tcBorders>
              <w:top w:val="nil"/>
              <w:left w:val="single" w:color="auto" w:sz="8" w:space="0"/>
              <w:bottom w:val="single" w:color="000000" w:sz="8" w:space="0"/>
              <w:right w:val="nil"/>
            </w:tcBorders>
            <w:vAlign w:val="center"/>
            <w:hideMark/>
          </w:tcPr>
          <w:p w:rsidRPr="00CD4254" w:rsidR="00CD4254" w:rsidP="00CD4254" w:rsidRDefault="00CD4254" w14:paraId="6EFC8CA0" w14:textId="77777777">
            <w:pPr>
              <w:spacing w:after="0" w:line="240" w:lineRule="auto"/>
              <w:rPr>
                <w:rFonts w:eastAsia="Times New Roman" w:cs="Arial"/>
                <w:color w:val="000000"/>
                <w:sz w:val="22"/>
              </w:rPr>
            </w:pPr>
          </w:p>
        </w:tc>
        <w:tc>
          <w:tcPr>
            <w:tcW w:w="1440" w:type="dxa"/>
            <w:tcBorders>
              <w:top w:val="nil"/>
              <w:left w:val="single" w:color="auto" w:sz="4" w:space="0"/>
              <w:bottom w:val="single" w:color="auto" w:sz="8" w:space="0"/>
              <w:right w:val="single" w:color="auto" w:sz="4" w:space="0"/>
            </w:tcBorders>
            <w:shd w:val="clear" w:color="auto" w:fill="auto"/>
            <w:noWrap/>
            <w:vAlign w:val="bottom"/>
            <w:hideMark/>
          </w:tcPr>
          <w:p w:rsidRPr="00CD4254" w:rsidR="00CD4254" w:rsidP="00CD4254" w:rsidRDefault="00CD4254" w14:paraId="69ABD02E" w14:textId="77777777">
            <w:pPr>
              <w:spacing w:after="0" w:line="240" w:lineRule="auto"/>
              <w:rPr>
                <w:rFonts w:eastAsia="Times New Roman" w:cs="Arial"/>
                <w:color w:val="000000"/>
                <w:sz w:val="22"/>
              </w:rPr>
            </w:pPr>
            <w:r w:rsidRPr="00CD4254">
              <w:rPr>
                <w:rFonts w:eastAsia="Times New Roman" w:cs="Arial"/>
                <w:color w:val="000000"/>
                <w:sz w:val="22"/>
              </w:rPr>
              <w:t xml:space="preserve">2022-2025 </w:t>
            </w:r>
            <w:r w:rsidRPr="00CD4254">
              <w:rPr>
                <w:rFonts w:eastAsia="Times New Roman" w:cs="Arial"/>
                <w:color w:val="000000"/>
                <w:sz w:val="22"/>
                <w:vertAlign w:val="superscript"/>
              </w:rPr>
              <w:t>c</w:t>
            </w:r>
          </w:p>
        </w:tc>
        <w:tc>
          <w:tcPr>
            <w:tcW w:w="117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7F5E70DD" w14:textId="77777777">
            <w:pPr>
              <w:spacing w:after="0" w:line="240" w:lineRule="auto"/>
              <w:rPr>
                <w:rFonts w:eastAsia="Times New Roman" w:cs="Arial"/>
                <w:color w:val="000000"/>
                <w:sz w:val="22"/>
              </w:rPr>
            </w:pPr>
          </w:p>
        </w:tc>
        <w:tc>
          <w:tcPr>
            <w:tcW w:w="126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651CCDA9"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1D0AC482" w14:textId="77777777">
            <w:pPr>
              <w:spacing w:after="0" w:line="240" w:lineRule="auto"/>
              <w:rPr>
                <w:rFonts w:eastAsia="Times New Roman" w:cs="Arial"/>
                <w:color w:val="000000"/>
                <w:sz w:val="22"/>
              </w:rPr>
            </w:pPr>
          </w:p>
        </w:tc>
        <w:tc>
          <w:tcPr>
            <w:tcW w:w="1170" w:type="dxa"/>
            <w:vMerge/>
            <w:tcBorders>
              <w:top w:val="nil"/>
              <w:left w:val="single" w:color="auto" w:sz="4" w:space="0"/>
              <w:bottom w:val="single" w:color="000000" w:sz="8" w:space="0"/>
              <w:right w:val="single" w:color="auto" w:sz="4" w:space="0"/>
            </w:tcBorders>
            <w:vAlign w:val="center"/>
            <w:hideMark/>
          </w:tcPr>
          <w:p w:rsidRPr="00CD4254" w:rsidR="00CD4254" w:rsidP="00CD4254" w:rsidRDefault="00CD4254" w14:paraId="41216939" w14:textId="77777777">
            <w:pPr>
              <w:spacing w:after="0" w:line="240" w:lineRule="auto"/>
              <w:rPr>
                <w:rFonts w:eastAsia="Times New Roman" w:cs="Arial"/>
                <w:color w:val="000000"/>
                <w:sz w:val="22"/>
              </w:rPr>
            </w:pPr>
          </w:p>
        </w:tc>
        <w:tc>
          <w:tcPr>
            <w:tcW w:w="1350" w:type="dxa"/>
            <w:vMerge/>
            <w:tcBorders>
              <w:top w:val="nil"/>
              <w:left w:val="single" w:color="auto" w:sz="4" w:space="0"/>
              <w:bottom w:val="single" w:color="000000" w:sz="8" w:space="0"/>
              <w:right w:val="single" w:color="auto" w:sz="8" w:space="0"/>
            </w:tcBorders>
            <w:vAlign w:val="center"/>
            <w:hideMark/>
          </w:tcPr>
          <w:p w:rsidRPr="00CD4254" w:rsidR="00CD4254" w:rsidP="00CD4254" w:rsidRDefault="00CD4254" w14:paraId="39CE79D0" w14:textId="77777777">
            <w:pPr>
              <w:spacing w:after="0" w:line="240" w:lineRule="auto"/>
              <w:rPr>
                <w:rFonts w:eastAsia="Times New Roman" w:cs="Arial"/>
                <w:color w:val="000000"/>
                <w:sz w:val="22"/>
              </w:rPr>
            </w:pPr>
          </w:p>
        </w:tc>
      </w:tr>
      <w:tr w:rsidRPr="00CD4254" w:rsidR="008600C0" w:rsidTr="008600C0" w14:paraId="5D58E246" w14:textId="77777777">
        <w:trPr>
          <w:gridAfter w:val="1"/>
          <w:wAfter w:w="1506" w:type="dxa"/>
          <w:trHeight w:val="288"/>
        </w:trPr>
        <w:tc>
          <w:tcPr>
            <w:tcW w:w="1500" w:type="dxa"/>
            <w:tcBorders>
              <w:top w:val="nil"/>
              <w:left w:val="single" w:color="auto" w:sz="8" w:space="0"/>
              <w:bottom w:val="nil"/>
              <w:right w:val="nil"/>
            </w:tcBorders>
            <w:shd w:val="clear" w:color="auto" w:fill="auto"/>
            <w:noWrap/>
            <w:vAlign w:val="bottom"/>
            <w:hideMark/>
          </w:tcPr>
          <w:p w:rsidRPr="00CD4254" w:rsidR="00CD4254" w:rsidP="00CD4254" w:rsidRDefault="00CD4254" w14:paraId="1A3C0AC2" w14:textId="77777777">
            <w:pPr>
              <w:spacing w:after="0" w:line="240" w:lineRule="auto"/>
              <w:rPr>
                <w:rFonts w:eastAsia="Times New Roman" w:cs="Arial"/>
                <w:color w:val="000000"/>
                <w:sz w:val="22"/>
              </w:rPr>
            </w:pPr>
            <w:r w:rsidRPr="00CD4254">
              <w:rPr>
                <w:rFonts w:eastAsia="Times New Roman" w:cs="Arial"/>
                <w:color w:val="000000"/>
                <w:sz w:val="22"/>
              </w:rPr>
              <w:t xml:space="preserve">Sources: </w:t>
            </w:r>
          </w:p>
        </w:tc>
        <w:tc>
          <w:tcPr>
            <w:tcW w:w="1440" w:type="dxa"/>
            <w:tcBorders>
              <w:top w:val="nil"/>
              <w:left w:val="nil"/>
              <w:bottom w:val="nil"/>
              <w:right w:val="nil"/>
            </w:tcBorders>
            <w:shd w:val="clear" w:color="auto" w:fill="auto"/>
            <w:noWrap/>
            <w:vAlign w:val="bottom"/>
            <w:hideMark/>
          </w:tcPr>
          <w:p w:rsidRPr="00CD4254" w:rsidR="00CD4254" w:rsidP="00CD4254" w:rsidRDefault="00CD4254" w14:paraId="0C7580C2" w14:textId="77777777">
            <w:pPr>
              <w:spacing w:after="0" w:line="240" w:lineRule="auto"/>
              <w:rPr>
                <w:rFonts w:eastAsia="Times New Roman" w:cs="Arial"/>
                <w:color w:val="000000"/>
                <w:sz w:val="22"/>
              </w:rPr>
            </w:pPr>
          </w:p>
        </w:tc>
        <w:tc>
          <w:tcPr>
            <w:tcW w:w="1170" w:type="dxa"/>
            <w:tcBorders>
              <w:top w:val="nil"/>
              <w:left w:val="nil"/>
              <w:bottom w:val="nil"/>
              <w:right w:val="nil"/>
            </w:tcBorders>
            <w:shd w:val="clear" w:color="auto" w:fill="auto"/>
            <w:noWrap/>
            <w:vAlign w:val="bottom"/>
            <w:hideMark/>
          </w:tcPr>
          <w:p w:rsidRPr="00CD4254" w:rsidR="00CD4254" w:rsidP="00CD4254" w:rsidRDefault="00CD4254" w14:paraId="12D94282" w14:textId="77777777">
            <w:pPr>
              <w:spacing w:after="0" w:line="240" w:lineRule="auto"/>
              <w:rPr>
                <w:rFonts w:ascii="Times New Roman" w:hAnsi="Times New Roman" w:eastAsia="Times New Roman" w:cs="Times New Roman"/>
                <w:sz w:val="20"/>
                <w:szCs w:val="20"/>
              </w:rPr>
            </w:pPr>
          </w:p>
        </w:tc>
        <w:tc>
          <w:tcPr>
            <w:tcW w:w="1260" w:type="dxa"/>
            <w:tcBorders>
              <w:top w:val="nil"/>
              <w:left w:val="nil"/>
              <w:bottom w:val="nil"/>
              <w:right w:val="nil"/>
            </w:tcBorders>
            <w:shd w:val="clear" w:color="auto" w:fill="auto"/>
            <w:noWrap/>
            <w:vAlign w:val="bottom"/>
            <w:hideMark/>
          </w:tcPr>
          <w:p w:rsidRPr="00CD4254" w:rsidR="00CD4254" w:rsidP="00CD4254" w:rsidRDefault="00CD4254" w14:paraId="33D93943" w14:textId="77777777">
            <w:pPr>
              <w:spacing w:after="0" w:line="240" w:lineRule="auto"/>
              <w:rPr>
                <w:rFonts w:ascii="Times New Roman" w:hAnsi="Times New Roman" w:eastAsia="Times New Roman" w:cs="Times New Roman"/>
                <w:sz w:val="20"/>
                <w:szCs w:val="20"/>
              </w:rPr>
            </w:pPr>
          </w:p>
        </w:tc>
        <w:tc>
          <w:tcPr>
            <w:tcW w:w="1350" w:type="dxa"/>
            <w:tcBorders>
              <w:top w:val="nil"/>
              <w:left w:val="nil"/>
              <w:bottom w:val="nil"/>
              <w:right w:val="nil"/>
            </w:tcBorders>
            <w:shd w:val="clear" w:color="auto" w:fill="auto"/>
            <w:noWrap/>
            <w:vAlign w:val="bottom"/>
            <w:hideMark/>
          </w:tcPr>
          <w:p w:rsidRPr="00CD4254" w:rsidR="00CD4254" w:rsidP="00CD4254" w:rsidRDefault="00CD4254" w14:paraId="2F76967C" w14:textId="77777777">
            <w:pPr>
              <w:spacing w:after="0" w:line="240" w:lineRule="auto"/>
              <w:rPr>
                <w:rFonts w:ascii="Times New Roman" w:hAnsi="Times New Roman" w:eastAsia="Times New Roman" w:cs="Times New Roman"/>
                <w:sz w:val="20"/>
                <w:szCs w:val="20"/>
              </w:rPr>
            </w:pPr>
          </w:p>
        </w:tc>
        <w:tc>
          <w:tcPr>
            <w:tcW w:w="1170" w:type="dxa"/>
            <w:tcBorders>
              <w:top w:val="nil"/>
              <w:left w:val="nil"/>
              <w:bottom w:val="nil"/>
              <w:right w:val="nil"/>
            </w:tcBorders>
            <w:shd w:val="clear" w:color="auto" w:fill="auto"/>
            <w:noWrap/>
            <w:vAlign w:val="bottom"/>
            <w:hideMark/>
          </w:tcPr>
          <w:p w:rsidRPr="00CD4254" w:rsidR="00CD4254" w:rsidP="00CD4254" w:rsidRDefault="00CD4254" w14:paraId="7377D009" w14:textId="77777777">
            <w:pPr>
              <w:spacing w:after="0" w:line="240" w:lineRule="auto"/>
              <w:rPr>
                <w:rFonts w:ascii="Times New Roman" w:hAnsi="Times New Roman" w:eastAsia="Times New Roman" w:cs="Times New Roman"/>
                <w:sz w:val="20"/>
                <w:szCs w:val="20"/>
              </w:rPr>
            </w:pPr>
          </w:p>
        </w:tc>
        <w:tc>
          <w:tcPr>
            <w:tcW w:w="1350" w:type="dxa"/>
            <w:tcBorders>
              <w:top w:val="nil"/>
              <w:left w:val="nil"/>
              <w:bottom w:val="nil"/>
              <w:right w:val="single" w:color="auto" w:sz="8" w:space="0"/>
            </w:tcBorders>
            <w:shd w:val="clear" w:color="auto" w:fill="auto"/>
            <w:vAlign w:val="bottom"/>
            <w:hideMark/>
          </w:tcPr>
          <w:p w:rsidRPr="00CD4254" w:rsidR="00CD4254" w:rsidP="00CD4254" w:rsidRDefault="00CD4254" w14:paraId="5674E3ED" w14:textId="77777777">
            <w:pPr>
              <w:spacing w:after="0" w:line="240" w:lineRule="auto"/>
              <w:rPr>
                <w:rFonts w:eastAsia="Times New Roman" w:cs="Arial"/>
                <w:color w:val="000000"/>
                <w:sz w:val="22"/>
              </w:rPr>
            </w:pPr>
            <w:r w:rsidRPr="00CD4254">
              <w:rPr>
                <w:rFonts w:eastAsia="Times New Roman" w:cs="Arial"/>
                <w:color w:val="000000"/>
                <w:sz w:val="22"/>
              </w:rPr>
              <w:t> </w:t>
            </w:r>
          </w:p>
        </w:tc>
      </w:tr>
      <w:tr w:rsidRPr="00CD4254" w:rsidR="00CD4254" w:rsidTr="008600C0" w14:paraId="07399C49" w14:textId="77777777">
        <w:trPr>
          <w:gridAfter w:val="1"/>
          <w:wAfter w:w="1506" w:type="dxa"/>
          <w:trHeight w:val="336"/>
        </w:trPr>
        <w:tc>
          <w:tcPr>
            <w:tcW w:w="5370" w:type="dxa"/>
            <w:gridSpan w:val="4"/>
            <w:tcBorders>
              <w:top w:val="nil"/>
              <w:left w:val="single" w:color="auto" w:sz="8" w:space="0"/>
              <w:bottom w:val="nil"/>
              <w:right w:val="nil"/>
            </w:tcBorders>
            <w:shd w:val="clear" w:color="auto" w:fill="auto"/>
            <w:noWrap/>
            <w:vAlign w:val="bottom"/>
            <w:hideMark/>
          </w:tcPr>
          <w:p w:rsidRPr="00CD4254" w:rsidR="00CD4254" w:rsidP="00CD4254" w:rsidRDefault="00CD4254" w14:paraId="35ED75D7" w14:textId="77777777">
            <w:pPr>
              <w:spacing w:after="0" w:line="240" w:lineRule="auto"/>
              <w:rPr>
                <w:rFonts w:eastAsia="Times New Roman" w:cs="Arial"/>
                <w:color w:val="000000"/>
                <w:sz w:val="22"/>
              </w:rPr>
            </w:pPr>
            <w:r w:rsidRPr="00CD4254">
              <w:rPr>
                <w:rFonts w:eastAsia="Times New Roman" w:cs="Arial"/>
                <w:color w:val="000000"/>
                <w:sz w:val="22"/>
                <w:vertAlign w:val="superscript"/>
              </w:rPr>
              <w:t>a</w:t>
            </w:r>
            <w:r w:rsidRPr="00CD4254">
              <w:rPr>
                <w:rFonts w:eastAsia="Times New Roman" w:cs="Arial"/>
                <w:color w:val="000000"/>
                <w:sz w:val="22"/>
              </w:rPr>
              <w:t xml:space="preserve"> TSCA IUR data, all manufacturers 1998, 2002, 2006</w:t>
            </w:r>
          </w:p>
        </w:tc>
        <w:tc>
          <w:tcPr>
            <w:tcW w:w="1350" w:type="dxa"/>
            <w:tcBorders>
              <w:top w:val="nil"/>
              <w:left w:val="nil"/>
              <w:bottom w:val="nil"/>
              <w:right w:val="nil"/>
            </w:tcBorders>
            <w:shd w:val="clear" w:color="auto" w:fill="auto"/>
            <w:noWrap/>
            <w:vAlign w:val="bottom"/>
            <w:hideMark/>
          </w:tcPr>
          <w:p w:rsidRPr="00CD4254" w:rsidR="00CD4254" w:rsidP="00CD4254" w:rsidRDefault="00CD4254" w14:paraId="71CE8DD9" w14:textId="77777777">
            <w:pPr>
              <w:spacing w:after="0" w:line="240" w:lineRule="auto"/>
              <w:rPr>
                <w:rFonts w:eastAsia="Times New Roman" w:cs="Arial"/>
                <w:color w:val="000000"/>
                <w:sz w:val="22"/>
              </w:rPr>
            </w:pPr>
          </w:p>
        </w:tc>
        <w:tc>
          <w:tcPr>
            <w:tcW w:w="1170" w:type="dxa"/>
            <w:tcBorders>
              <w:top w:val="nil"/>
              <w:left w:val="nil"/>
              <w:bottom w:val="nil"/>
              <w:right w:val="nil"/>
            </w:tcBorders>
            <w:shd w:val="clear" w:color="auto" w:fill="auto"/>
            <w:noWrap/>
            <w:vAlign w:val="bottom"/>
            <w:hideMark/>
          </w:tcPr>
          <w:p w:rsidRPr="00CD4254" w:rsidR="00CD4254" w:rsidP="00CD4254" w:rsidRDefault="00CD4254" w14:paraId="1C24A862" w14:textId="77777777">
            <w:pPr>
              <w:spacing w:after="0" w:line="240" w:lineRule="auto"/>
              <w:rPr>
                <w:rFonts w:ascii="Times New Roman" w:hAnsi="Times New Roman" w:eastAsia="Times New Roman" w:cs="Times New Roman"/>
                <w:sz w:val="20"/>
                <w:szCs w:val="20"/>
              </w:rPr>
            </w:pPr>
          </w:p>
        </w:tc>
        <w:tc>
          <w:tcPr>
            <w:tcW w:w="1350" w:type="dxa"/>
            <w:tcBorders>
              <w:top w:val="nil"/>
              <w:left w:val="nil"/>
              <w:bottom w:val="nil"/>
              <w:right w:val="single" w:color="auto" w:sz="8" w:space="0"/>
            </w:tcBorders>
            <w:shd w:val="clear" w:color="auto" w:fill="auto"/>
            <w:vAlign w:val="bottom"/>
            <w:hideMark/>
          </w:tcPr>
          <w:p w:rsidRPr="00CD4254" w:rsidR="00CD4254" w:rsidP="00CD4254" w:rsidRDefault="00CD4254" w14:paraId="455C7677" w14:textId="77777777">
            <w:pPr>
              <w:spacing w:after="0" w:line="240" w:lineRule="auto"/>
              <w:rPr>
                <w:rFonts w:eastAsia="Times New Roman" w:cs="Arial"/>
                <w:color w:val="000000"/>
                <w:sz w:val="22"/>
              </w:rPr>
            </w:pPr>
            <w:r w:rsidRPr="00CD4254">
              <w:rPr>
                <w:rFonts w:eastAsia="Times New Roman" w:cs="Arial"/>
                <w:color w:val="000000"/>
                <w:sz w:val="22"/>
              </w:rPr>
              <w:t> </w:t>
            </w:r>
          </w:p>
        </w:tc>
      </w:tr>
      <w:tr w:rsidRPr="00CD4254" w:rsidR="00CD4254" w:rsidTr="008600C0" w14:paraId="4ADD804D" w14:textId="77777777">
        <w:trPr>
          <w:gridAfter w:val="1"/>
          <w:wAfter w:w="1506" w:type="dxa"/>
          <w:trHeight w:val="336"/>
        </w:trPr>
        <w:tc>
          <w:tcPr>
            <w:tcW w:w="6720" w:type="dxa"/>
            <w:gridSpan w:val="5"/>
            <w:tcBorders>
              <w:top w:val="nil"/>
              <w:left w:val="single" w:color="auto" w:sz="8" w:space="0"/>
              <w:bottom w:val="nil"/>
              <w:right w:val="nil"/>
            </w:tcBorders>
            <w:shd w:val="clear" w:color="auto" w:fill="auto"/>
            <w:noWrap/>
            <w:vAlign w:val="bottom"/>
            <w:hideMark/>
          </w:tcPr>
          <w:p w:rsidRPr="00CD4254" w:rsidR="00CD4254" w:rsidP="00CD4254" w:rsidRDefault="00CD4254" w14:paraId="482D42F5" w14:textId="77777777">
            <w:pPr>
              <w:spacing w:after="0" w:line="240" w:lineRule="auto"/>
              <w:rPr>
                <w:rFonts w:eastAsia="Times New Roman" w:cs="Arial"/>
                <w:color w:val="000000"/>
                <w:sz w:val="22"/>
              </w:rPr>
            </w:pPr>
            <w:r w:rsidRPr="00CD4254">
              <w:rPr>
                <w:rFonts w:eastAsia="Times New Roman" w:cs="Arial"/>
                <w:color w:val="000000"/>
                <w:sz w:val="22"/>
                <w:vertAlign w:val="superscript"/>
              </w:rPr>
              <w:t>b</w:t>
            </w:r>
            <w:r w:rsidRPr="00CD4254">
              <w:rPr>
                <w:rFonts w:eastAsia="Times New Roman" w:cs="Arial"/>
                <w:color w:val="000000"/>
                <w:sz w:val="22"/>
              </w:rPr>
              <w:t xml:space="preserve"> TSCA IUR/CDR data, all manufacturers 1998, 2002, 2006, 2012</w:t>
            </w:r>
          </w:p>
        </w:tc>
        <w:tc>
          <w:tcPr>
            <w:tcW w:w="1170" w:type="dxa"/>
            <w:tcBorders>
              <w:top w:val="nil"/>
              <w:left w:val="nil"/>
              <w:bottom w:val="nil"/>
              <w:right w:val="nil"/>
            </w:tcBorders>
            <w:shd w:val="clear" w:color="auto" w:fill="auto"/>
            <w:noWrap/>
            <w:vAlign w:val="bottom"/>
            <w:hideMark/>
          </w:tcPr>
          <w:p w:rsidRPr="00CD4254" w:rsidR="00CD4254" w:rsidP="00CD4254" w:rsidRDefault="00CD4254" w14:paraId="0B6E91D1" w14:textId="77777777">
            <w:pPr>
              <w:spacing w:after="0" w:line="240" w:lineRule="auto"/>
              <w:rPr>
                <w:rFonts w:eastAsia="Times New Roman" w:cs="Arial"/>
                <w:color w:val="000000"/>
                <w:sz w:val="22"/>
              </w:rPr>
            </w:pPr>
          </w:p>
        </w:tc>
        <w:tc>
          <w:tcPr>
            <w:tcW w:w="1350" w:type="dxa"/>
            <w:tcBorders>
              <w:top w:val="nil"/>
              <w:left w:val="nil"/>
              <w:bottom w:val="nil"/>
              <w:right w:val="single" w:color="auto" w:sz="8" w:space="0"/>
            </w:tcBorders>
            <w:shd w:val="clear" w:color="auto" w:fill="auto"/>
            <w:vAlign w:val="bottom"/>
            <w:hideMark/>
          </w:tcPr>
          <w:p w:rsidRPr="00CD4254" w:rsidR="00CD4254" w:rsidP="00CD4254" w:rsidRDefault="00CD4254" w14:paraId="2BDCA61D" w14:textId="77777777">
            <w:pPr>
              <w:spacing w:after="0" w:line="240" w:lineRule="auto"/>
              <w:rPr>
                <w:rFonts w:eastAsia="Times New Roman" w:cs="Arial"/>
                <w:color w:val="000000"/>
                <w:sz w:val="22"/>
              </w:rPr>
            </w:pPr>
            <w:r w:rsidRPr="00CD4254">
              <w:rPr>
                <w:rFonts w:eastAsia="Times New Roman" w:cs="Arial"/>
                <w:color w:val="000000"/>
                <w:sz w:val="22"/>
              </w:rPr>
              <w:t> </w:t>
            </w:r>
          </w:p>
        </w:tc>
      </w:tr>
      <w:tr w:rsidRPr="00CD4254" w:rsidR="00CD4254" w:rsidTr="008600C0" w14:paraId="5EDECE5B" w14:textId="77777777">
        <w:trPr>
          <w:gridAfter w:val="1"/>
          <w:wAfter w:w="1506" w:type="dxa"/>
          <w:trHeight w:val="458"/>
        </w:trPr>
        <w:tc>
          <w:tcPr>
            <w:tcW w:w="9240" w:type="dxa"/>
            <w:gridSpan w:val="7"/>
            <w:vMerge w:val="restart"/>
            <w:tcBorders>
              <w:top w:val="nil"/>
              <w:left w:val="single" w:color="auto" w:sz="8" w:space="0"/>
              <w:bottom w:val="single" w:color="000000" w:sz="8" w:space="0"/>
              <w:right w:val="single" w:color="000000" w:sz="8" w:space="0"/>
            </w:tcBorders>
            <w:shd w:val="clear" w:color="auto" w:fill="auto"/>
            <w:vAlign w:val="bottom"/>
            <w:hideMark/>
          </w:tcPr>
          <w:p w:rsidRPr="00CD4254" w:rsidR="00CD4254" w:rsidP="00CD4254" w:rsidRDefault="00CD4254" w14:paraId="2E8FD4AD" w14:textId="77777777">
            <w:pPr>
              <w:spacing w:after="0" w:line="240" w:lineRule="auto"/>
              <w:rPr>
                <w:rFonts w:eastAsia="Times New Roman" w:cs="Arial"/>
                <w:color w:val="000000"/>
                <w:sz w:val="22"/>
              </w:rPr>
            </w:pPr>
            <w:r w:rsidRPr="00CD4254">
              <w:rPr>
                <w:rFonts w:eastAsia="Times New Roman" w:cs="Arial"/>
                <w:color w:val="000000"/>
                <w:sz w:val="22"/>
                <w:vertAlign w:val="superscript"/>
              </w:rPr>
              <w:t>c</w:t>
            </w:r>
            <w:r w:rsidRPr="00CD4254">
              <w:rPr>
                <w:rFonts w:eastAsia="Times New Roman" w:cs="Arial"/>
                <w:color w:val="000000"/>
                <w:sz w:val="22"/>
              </w:rPr>
              <w:t xml:space="preserve"> TSCA Section 8(d): Economic Impact Analysis for Adding 50 Chemicals from the 74th ITC Report of the TSCA Interagency Testing Committee to the Health and Safety Data Reporting Rule</w:t>
            </w:r>
          </w:p>
        </w:tc>
      </w:tr>
      <w:tr w:rsidRPr="00CD4254" w:rsidR="00CD4254" w:rsidTr="008600C0" w14:paraId="2F8C0AF9" w14:textId="77777777">
        <w:trPr>
          <w:trHeight w:val="300"/>
        </w:trPr>
        <w:tc>
          <w:tcPr>
            <w:tcW w:w="9240" w:type="dxa"/>
            <w:gridSpan w:val="7"/>
            <w:vMerge/>
            <w:tcBorders>
              <w:top w:val="nil"/>
              <w:left w:val="single" w:color="auto" w:sz="8" w:space="0"/>
              <w:bottom w:val="single" w:color="000000" w:sz="8" w:space="0"/>
              <w:right w:val="single" w:color="000000" w:sz="8" w:space="0"/>
            </w:tcBorders>
            <w:vAlign w:val="center"/>
            <w:hideMark/>
          </w:tcPr>
          <w:p w:rsidRPr="00CD4254" w:rsidR="00CD4254" w:rsidP="00CD4254" w:rsidRDefault="00CD4254" w14:paraId="249F6D46" w14:textId="77777777">
            <w:pPr>
              <w:spacing w:after="0" w:line="240" w:lineRule="auto"/>
              <w:rPr>
                <w:rFonts w:eastAsia="Times New Roman" w:cs="Arial"/>
                <w:color w:val="000000"/>
                <w:sz w:val="22"/>
              </w:rPr>
            </w:pPr>
          </w:p>
        </w:tc>
        <w:tc>
          <w:tcPr>
            <w:tcW w:w="1506" w:type="dxa"/>
            <w:tcBorders>
              <w:top w:val="nil"/>
              <w:left w:val="nil"/>
              <w:bottom w:val="nil"/>
              <w:right w:val="nil"/>
            </w:tcBorders>
            <w:shd w:val="clear" w:color="auto" w:fill="auto"/>
            <w:noWrap/>
            <w:vAlign w:val="bottom"/>
            <w:hideMark/>
          </w:tcPr>
          <w:p w:rsidRPr="00CD4254" w:rsidR="00CD4254" w:rsidP="00CD4254" w:rsidRDefault="00CD4254" w14:paraId="132FE5B5" w14:textId="77777777">
            <w:pPr>
              <w:spacing w:after="0" w:line="240" w:lineRule="auto"/>
              <w:rPr>
                <w:rFonts w:eastAsia="Times New Roman" w:cs="Arial"/>
                <w:color w:val="000000"/>
                <w:sz w:val="22"/>
              </w:rPr>
            </w:pPr>
          </w:p>
        </w:tc>
      </w:tr>
    </w:tbl>
    <w:p w:rsidRPr="00DD1C3B" w:rsidR="00DD1C3B" w:rsidP="00DD1C3B" w:rsidRDefault="00EB1CA3" w14:paraId="22B142A8" w14:textId="77777777">
      <w:pPr>
        <w:pStyle w:val="ListParagraph"/>
        <w:ind w:left="0"/>
        <w:rPr>
          <w:rFonts w:cs="Arial"/>
          <w:bCs/>
          <w:color w:val="000000"/>
          <w:szCs w:val="24"/>
        </w:rPr>
      </w:pPr>
      <w:r w:rsidRPr="00DD1C3B">
        <w:rPr>
          <w:rFonts w:cs="Arial"/>
          <w:bCs/>
          <w:color w:val="000000"/>
          <w:szCs w:val="24"/>
        </w:rPr>
        <w:t>Estimating Respondent Burden</w:t>
      </w:r>
    </w:p>
    <w:p w:rsidR="00DD1C3B" w:rsidP="00DD1C3B" w:rsidRDefault="00DD1C3B" w14:paraId="7325BB13" w14:textId="77777777">
      <w:pPr>
        <w:pStyle w:val="ListParagraph"/>
        <w:ind w:left="0"/>
        <w:rPr>
          <w:rFonts w:cs="Arial"/>
          <w:b/>
          <w:color w:val="000000"/>
          <w:szCs w:val="24"/>
        </w:rPr>
      </w:pPr>
    </w:p>
    <w:p w:rsidR="00DD1C3B" w:rsidP="00DD1C3B" w:rsidRDefault="00EB1CA3" w14:paraId="146E8A22" w14:textId="77777777">
      <w:pPr>
        <w:pStyle w:val="ListParagraph"/>
        <w:ind w:left="0"/>
        <w:rPr>
          <w:rFonts w:cs="Arial"/>
          <w:b/>
          <w:color w:val="000000"/>
          <w:szCs w:val="24"/>
        </w:rPr>
      </w:pPr>
      <w:r w:rsidRPr="008C6A2E">
        <w:rPr>
          <w:rFonts w:cs="Arial"/>
          <w:color w:val="000000"/>
          <w:szCs w:val="24"/>
        </w:rPr>
        <w:t>Firms will undertake a number of actions in response to a TSCA section 8(d) listing and the unit burden associated with each of these tasks is discussed in detail below.</w:t>
      </w:r>
    </w:p>
    <w:p w:rsidR="00DD1C3B" w:rsidP="00DD1C3B" w:rsidRDefault="00DD1C3B" w14:paraId="348B0BFF" w14:textId="77777777">
      <w:pPr>
        <w:pStyle w:val="ListParagraph"/>
        <w:ind w:left="0"/>
        <w:rPr>
          <w:rFonts w:cs="Arial"/>
          <w:b/>
          <w:color w:val="000000"/>
          <w:szCs w:val="24"/>
        </w:rPr>
      </w:pPr>
    </w:p>
    <w:p w:rsidR="00DD1C3B" w:rsidP="00DD1C3B" w:rsidRDefault="00EB1CA3" w14:paraId="24985B52" w14:textId="71B51DB5">
      <w:pPr>
        <w:pStyle w:val="ListParagraph"/>
        <w:ind w:left="0"/>
        <w:rPr>
          <w:rFonts w:cs="Arial"/>
          <w:b/>
          <w:color w:val="000000"/>
          <w:szCs w:val="24"/>
        </w:rPr>
      </w:pPr>
      <w:r w:rsidRPr="00312CA0">
        <w:rPr>
          <w:rFonts w:cs="Arial"/>
          <w:b/>
          <w:bCs/>
          <w:color w:val="000000"/>
          <w:szCs w:val="24"/>
        </w:rPr>
        <w:t>Review the Rule</w:t>
      </w:r>
      <w:r w:rsidR="007221CD">
        <w:rPr>
          <w:rFonts w:cs="Arial"/>
          <w:color w:val="000000"/>
          <w:szCs w:val="24"/>
        </w:rPr>
        <w:t>:</w:t>
      </w:r>
      <w:r w:rsidRPr="008C6A2E" w:rsidR="007221CD">
        <w:rPr>
          <w:rFonts w:cs="Arial"/>
          <w:color w:val="000000"/>
          <w:szCs w:val="24"/>
        </w:rPr>
        <w:t xml:space="preserve"> </w:t>
      </w:r>
      <w:r w:rsidRPr="008C6A2E">
        <w:rPr>
          <w:rFonts w:cs="Arial"/>
          <w:color w:val="000000"/>
          <w:szCs w:val="24"/>
        </w:rPr>
        <w:t xml:space="preserve">Firms in the relevant industries that may have unpublished health and safety studies will have to determine whether they manufacture (including import) a listed chemical and may thus be required to report. If so, they will have to review the rule in detail to understand its requirements, such as the types of health and safety studies EPA is asking for, the grade or purity of the test material, and the timeframe of the reporting period. </w:t>
      </w:r>
    </w:p>
    <w:p w:rsidR="00DD1C3B" w:rsidP="00DD1C3B" w:rsidRDefault="00DD1C3B" w14:paraId="45285722" w14:textId="77777777">
      <w:pPr>
        <w:pStyle w:val="ListParagraph"/>
        <w:ind w:left="0"/>
        <w:rPr>
          <w:rFonts w:cs="Arial"/>
          <w:b/>
          <w:color w:val="000000"/>
          <w:szCs w:val="24"/>
        </w:rPr>
      </w:pPr>
    </w:p>
    <w:p w:rsidR="00DD1C3B" w:rsidP="00DD1C3B" w:rsidRDefault="00EB1CA3" w14:paraId="547D8389" w14:textId="77777777">
      <w:pPr>
        <w:pStyle w:val="ListParagraph"/>
        <w:ind w:left="0"/>
        <w:rPr>
          <w:rFonts w:cs="Arial"/>
          <w:b/>
          <w:color w:val="000000"/>
          <w:szCs w:val="24"/>
        </w:rPr>
      </w:pPr>
      <w:r w:rsidRPr="008C6A2E">
        <w:rPr>
          <w:rFonts w:cs="Arial"/>
          <w:color w:val="000000"/>
          <w:szCs w:val="24"/>
        </w:rPr>
        <w:t>Note that, unless EPA specifies otherwise, the coverage of section 8(d) rules is limited to chemical manufacturers and petroleum refineries. Most firms in these industries will not manufacture a listed chemical, and many will spend a de minimis amount of time making that determination. Those firms that manufacture a listed chemical must review the rule to understand its specific requirements. This is estimated to take an average of 2 hours of managerial time for each firm manufacturing a listed chemical.</w:t>
      </w:r>
    </w:p>
    <w:p w:rsidR="00DD1C3B" w:rsidP="00DD1C3B" w:rsidRDefault="00DD1C3B" w14:paraId="28D61FDF" w14:textId="77777777">
      <w:pPr>
        <w:pStyle w:val="ListParagraph"/>
        <w:ind w:left="0"/>
        <w:rPr>
          <w:rFonts w:cs="Arial"/>
          <w:b/>
          <w:color w:val="000000"/>
          <w:szCs w:val="24"/>
        </w:rPr>
      </w:pPr>
    </w:p>
    <w:p w:rsidR="00DD1C3B" w:rsidP="00DD1C3B" w:rsidRDefault="00EB1CA3" w14:paraId="195AB35D" w14:textId="21DC6720">
      <w:pPr>
        <w:pStyle w:val="ListParagraph"/>
        <w:ind w:left="0"/>
        <w:rPr>
          <w:rFonts w:cs="Arial"/>
          <w:b/>
          <w:color w:val="000000"/>
          <w:szCs w:val="24"/>
        </w:rPr>
      </w:pPr>
      <w:r w:rsidRPr="00312CA0">
        <w:rPr>
          <w:rFonts w:cs="Arial"/>
          <w:b/>
          <w:bCs/>
          <w:color w:val="000000"/>
          <w:szCs w:val="24"/>
        </w:rPr>
        <w:t>Conduct Corporate Review for Site Identification</w:t>
      </w:r>
      <w:r w:rsidR="007221CD">
        <w:rPr>
          <w:rFonts w:cs="Arial"/>
          <w:color w:val="000000"/>
          <w:szCs w:val="24"/>
        </w:rPr>
        <w:t>:</w:t>
      </w:r>
      <w:r w:rsidRPr="008C6A2E" w:rsidR="007221CD">
        <w:rPr>
          <w:rFonts w:cs="Arial"/>
          <w:color w:val="000000"/>
          <w:szCs w:val="24"/>
        </w:rPr>
        <w:t xml:space="preserve"> </w:t>
      </w:r>
      <w:r w:rsidRPr="008C6A2E">
        <w:rPr>
          <w:rFonts w:cs="Arial"/>
          <w:color w:val="000000"/>
          <w:szCs w:val="24"/>
        </w:rPr>
        <w:t>Firms that manufacture a listed chemical will need to conduct a corporate review to identify which of the firm’s sites must be searched for appropriate health and safety studies. This corporate review is estimated to require an average of 3 managerial hours per firm.</w:t>
      </w:r>
    </w:p>
    <w:p w:rsidR="00DD1C3B" w:rsidP="00DD1C3B" w:rsidRDefault="00DD1C3B" w14:paraId="542B3450" w14:textId="77777777">
      <w:pPr>
        <w:pStyle w:val="ListParagraph"/>
        <w:ind w:left="0"/>
        <w:rPr>
          <w:rFonts w:cs="Arial"/>
          <w:b/>
          <w:color w:val="000000"/>
          <w:szCs w:val="24"/>
        </w:rPr>
      </w:pPr>
    </w:p>
    <w:p w:rsidR="00DD1C3B" w:rsidP="00DD1C3B" w:rsidRDefault="00EB1CA3" w14:paraId="4CA46473" w14:textId="505A2D5E">
      <w:pPr>
        <w:pStyle w:val="ListParagraph"/>
        <w:ind w:left="0"/>
        <w:rPr>
          <w:rFonts w:cs="Arial"/>
          <w:b/>
          <w:color w:val="000000"/>
          <w:szCs w:val="24"/>
        </w:rPr>
      </w:pPr>
      <w:r w:rsidRPr="00312CA0">
        <w:rPr>
          <w:rFonts w:cs="Arial"/>
          <w:b/>
          <w:bCs/>
          <w:color w:val="000000"/>
          <w:szCs w:val="24"/>
        </w:rPr>
        <w:t>Conduct Site File Search</w:t>
      </w:r>
      <w:r w:rsidR="007221CD">
        <w:rPr>
          <w:rFonts w:cs="Arial"/>
          <w:color w:val="000000"/>
          <w:szCs w:val="24"/>
          <w:u w:val="single"/>
        </w:rPr>
        <w:t>:</w:t>
      </w:r>
      <w:r w:rsidRPr="008C6A2E" w:rsidR="007221CD">
        <w:rPr>
          <w:rFonts w:cs="Arial"/>
          <w:color w:val="000000"/>
          <w:szCs w:val="24"/>
        </w:rPr>
        <w:t xml:space="preserve"> </w:t>
      </w:r>
      <w:r w:rsidRPr="008C6A2E">
        <w:rPr>
          <w:rFonts w:cs="Arial"/>
          <w:color w:val="000000"/>
          <w:szCs w:val="24"/>
        </w:rPr>
        <w:t xml:space="preserve">Firms that manufacture a listed chemical must search the files at appropriate sites to look for studies that are responsive to the TSCA section 8(d) rule. It is estimated that the search will take an average of 3 hours of technical time per site. EPA estimates that each firm will have an average of 1.5 sites manufacturing a listed chemical. This yields an average burden of 4.5 technical hours per firm for site file searching (3 hours per site * 1.5 sites per firm). </w:t>
      </w:r>
    </w:p>
    <w:p w:rsidR="00DD1C3B" w:rsidP="00DD1C3B" w:rsidRDefault="00DD1C3B" w14:paraId="10E61D4B" w14:textId="77777777">
      <w:pPr>
        <w:pStyle w:val="ListParagraph"/>
        <w:ind w:left="0"/>
        <w:rPr>
          <w:rFonts w:cs="Arial"/>
          <w:b/>
          <w:color w:val="000000"/>
          <w:szCs w:val="24"/>
        </w:rPr>
      </w:pPr>
    </w:p>
    <w:p w:rsidR="00DD1C3B" w:rsidP="00DD1C3B" w:rsidRDefault="00EB1CA3" w14:paraId="29F35A8F" w14:textId="168359F6">
      <w:pPr>
        <w:pStyle w:val="ListParagraph"/>
        <w:ind w:left="0"/>
        <w:rPr>
          <w:rFonts w:cs="Arial"/>
          <w:b/>
          <w:color w:val="000000"/>
          <w:szCs w:val="24"/>
        </w:rPr>
      </w:pPr>
      <w:r w:rsidRPr="00312CA0">
        <w:rPr>
          <w:rFonts w:cs="Arial"/>
          <w:b/>
          <w:bCs/>
          <w:color w:val="000000"/>
          <w:szCs w:val="24"/>
        </w:rPr>
        <w:t>Provide Study Title Lists</w:t>
      </w:r>
      <w:r w:rsidR="007221CD">
        <w:rPr>
          <w:rFonts w:cs="Arial"/>
          <w:color w:val="000000"/>
          <w:szCs w:val="24"/>
        </w:rPr>
        <w:t>:</w:t>
      </w:r>
      <w:r w:rsidRPr="008C6A2E" w:rsidR="007221CD">
        <w:rPr>
          <w:rFonts w:cs="Arial"/>
          <w:color w:val="000000"/>
          <w:szCs w:val="24"/>
        </w:rPr>
        <w:t xml:space="preserve"> </w:t>
      </w:r>
      <w:r w:rsidRPr="008C6A2E">
        <w:rPr>
          <w:rFonts w:cs="Arial"/>
          <w:color w:val="000000"/>
          <w:szCs w:val="24"/>
        </w:rPr>
        <w:t>Respondents are required to submit lists containing the titles of any studies being submitted, titles of studies that are initiated or ongoing during the reporting period but that have not yet been completed, titles of any unpublished studies that the respondent knows to exist but does not have in its possession, and titles of studies previously submitted to other federal agencies without confidentiality claims. EPA expects that the major burden of compiling this list was incurred during the file search and would already be available in electronic format; therefore, there is no additional burden associated with this activity.</w:t>
      </w:r>
    </w:p>
    <w:p w:rsidR="00DD1C3B" w:rsidP="00DD1C3B" w:rsidRDefault="00DD1C3B" w14:paraId="49037637" w14:textId="77777777">
      <w:pPr>
        <w:pStyle w:val="ListParagraph"/>
        <w:ind w:left="0"/>
        <w:rPr>
          <w:rFonts w:cs="Arial"/>
          <w:b/>
          <w:color w:val="000000"/>
          <w:szCs w:val="24"/>
        </w:rPr>
      </w:pPr>
    </w:p>
    <w:p w:rsidR="00DD1C3B" w:rsidP="00DD1C3B" w:rsidRDefault="00EB1CA3" w14:paraId="07D8FBC6" w14:textId="6568F2CD">
      <w:pPr>
        <w:pStyle w:val="ListParagraph"/>
        <w:ind w:left="0"/>
        <w:rPr>
          <w:rFonts w:cs="Arial"/>
          <w:color w:val="000000"/>
          <w:szCs w:val="24"/>
        </w:rPr>
      </w:pPr>
      <w:r w:rsidRPr="00312CA0">
        <w:rPr>
          <w:rFonts w:cs="Arial"/>
          <w:b/>
          <w:bCs/>
          <w:color w:val="000000"/>
          <w:szCs w:val="24"/>
        </w:rPr>
        <w:t>Prepare Robust Summaries</w:t>
      </w:r>
      <w:r w:rsidR="007221CD">
        <w:rPr>
          <w:rFonts w:cs="Arial"/>
          <w:color w:val="000000"/>
          <w:szCs w:val="24"/>
        </w:rPr>
        <w:t>:</w:t>
      </w:r>
      <w:r w:rsidRPr="00DD1C3B" w:rsidR="007221CD">
        <w:rPr>
          <w:rFonts w:cs="Arial"/>
          <w:color w:val="000000"/>
          <w:szCs w:val="24"/>
        </w:rPr>
        <w:t xml:space="preserve"> </w:t>
      </w:r>
      <w:r w:rsidRPr="00DD1C3B">
        <w:rPr>
          <w:rFonts w:cs="Arial"/>
          <w:color w:val="000000"/>
          <w:szCs w:val="24"/>
        </w:rPr>
        <w:t xml:space="preserve">Respondents may choose to develop and submit robust summaries of the full toxicological study reports. The robust summaries should contain technical information to adequately describe the study and </w:t>
      </w:r>
      <w:r w:rsidRPr="00DD1C3B" w:rsidR="00A8737D">
        <w:rPr>
          <w:rFonts w:cs="Arial"/>
          <w:color w:val="000000"/>
          <w:szCs w:val="24"/>
        </w:rPr>
        <w:t>results and</w:t>
      </w:r>
      <w:r w:rsidRPr="00DD1C3B">
        <w:rPr>
          <w:rFonts w:cs="Arial"/>
          <w:color w:val="000000"/>
          <w:szCs w:val="24"/>
        </w:rPr>
        <w:t xml:space="preserve"> should be written in such a way that the information provided is sufficient to allow a technically qualified person to evaluate study results. Typically, a robust summary would include a description of the test substance, methods, results, conclusions, data quality description, and references associated with the full study. It is estimated that 8 to 16 hours of technical time are needed to develop and review a robust summary, depending on the type of study conducted. This ICR assumes an average of 12 hours of technical time to prepare a robust summary. Because submission of robust summaries is voluntary, EPA does not expect that many companies will undertake this activity. EPA estimates that each firm will submit an average of 9 studies, with 10% of those studies including a robust summary; therefore, EPA expects to receive an average of 0.9 robust summaries per firm submitting studies, which we round up to 1 robust summary per firm submitting studies. The estimated average burden per robust summary is 12 hours of technical time.</w:t>
      </w:r>
    </w:p>
    <w:p w:rsidR="006B5B48" w:rsidP="00DD1C3B" w:rsidRDefault="006B5B48" w14:paraId="3ED606D9" w14:textId="77777777">
      <w:pPr>
        <w:pStyle w:val="ListParagraph"/>
        <w:ind w:left="0"/>
        <w:rPr>
          <w:rFonts w:cs="Arial"/>
          <w:b/>
          <w:color w:val="000000"/>
          <w:szCs w:val="24"/>
        </w:rPr>
      </w:pPr>
    </w:p>
    <w:p w:rsidR="00DD1C3B" w:rsidP="00DD1C3B" w:rsidRDefault="00EB1CA3" w14:paraId="5AC35BF0" w14:textId="41509931">
      <w:pPr>
        <w:pStyle w:val="ListParagraph"/>
        <w:ind w:left="0"/>
        <w:rPr>
          <w:rFonts w:cs="Arial"/>
          <w:b/>
          <w:color w:val="000000"/>
          <w:szCs w:val="24"/>
        </w:rPr>
      </w:pPr>
      <w:r w:rsidRPr="00312CA0">
        <w:rPr>
          <w:rFonts w:cs="Arial"/>
          <w:b/>
          <w:bCs/>
          <w:color w:val="000000"/>
          <w:szCs w:val="24"/>
        </w:rPr>
        <w:t>Review Responses for CBI</w:t>
      </w:r>
      <w:r w:rsidR="007F448B">
        <w:rPr>
          <w:rFonts w:cs="Arial"/>
          <w:color w:val="000000"/>
          <w:szCs w:val="24"/>
        </w:rPr>
        <w:t>:</w:t>
      </w:r>
      <w:r w:rsidRPr="00DD1C3B" w:rsidR="007F448B">
        <w:rPr>
          <w:rFonts w:cs="Arial"/>
          <w:color w:val="000000"/>
          <w:szCs w:val="24"/>
        </w:rPr>
        <w:t xml:space="preserve"> </w:t>
      </w:r>
      <w:r w:rsidRPr="00DD1C3B">
        <w:rPr>
          <w:rFonts w:cs="Arial"/>
          <w:color w:val="000000"/>
          <w:szCs w:val="24"/>
        </w:rPr>
        <w:t xml:space="preserve">Firms will need to review responses for possible CBI and delete any material that is considered by the firm to be CBI from one copy of the study. A separate copy of the study must be submitted without deletions of CBI. CBI review is estimated to take an average of 1 hour of managerial time for each study. Since each of the </w:t>
      </w:r>
      <w:r w:rsidR="00B16D79">
        <w:rPr>
          <w:rFonts w:cs="Arial"/>
          <w:color w:val="000000"/>
          <w:szCs w:val="24"/>
        </w:rPr>
        <w:t>34</w:t>
      </w:r>
      <w:r w:rsidRPr="00DD1C3B" w:rsidR="00B16D79">
        <w:rPr>
          <w:rFonts w:cs="Arial"/>
          <w:color w:val="000000"/>
          <w:szCs w:val="24"/>
        </w:rPr>
        <w:t xml:space="preserve"> </w:t>
      </w:r>
      <w:r w:rsidRPr="00DD1C3B">
        <w:rPr>
          <w:rFonts w:cs="Arial"/>
          <w:color w:val="000000"/>
          <w:szCs w:val="24"/>
        </w:rPr>
        <w:t>firms is submitting an average of 9 studies, CBI review results in an estimated average of 9 hours of managerial time per firm.</w:t>
      </w:r>
    </w:p>
    <w:p w:rsidR="00DD1C3B" w:rsidP="00DD1C3B" w:rsidRDefault="00DD1C3B" w14:paraId="1FEDC0DC" w14:textId="77777777">
      <w:pPr>
        <w:pStyle w:val="ListParagraph"/>
        <w:ind w:left="0"/>
        <w:rPr>
          <w:rFonts w:cs="Arial"/>
          <w:b/>
          <w:color w:val="000000"/>
          <w:szCs w:val="24"/>
        </w:rPr>
      </w:pPr>
    </w:p>
    <w:p w:rsidRPr="00DD1C3B" w:rsidR="00DD1C3B" w:rsidP="00DD1C3B" w:rsidRDefault="00EB1CA3" w14:paraId="34AC9E44" w14:textId="4C11B542">
      <w:pPr>
        <w:pStyle w:val="ListParagraph"/>
        <w:ind w:left="0"/>
        <w:rPr>
          <w:rFonts w:cs="Arial"/>
          <w:b/>
          <w:color w:val="000000"/>
          <w:szCs w:val="24"/>
        </w:rPr>
      </w:pPr>
      <w:r w:rsidRPr="00312CA0">
        <w:rPr>
          <w:rFonts w:cs="Arial"/>
          <w:b/>
          <w:bCs/>
          <w:color w:val="000000"/>
          <w:szCs w:val="24"/>
        </w:rPr>
        <w:t>CBI Legal Review and Confidential Business Substantiation</w:t>
      </w:r>
      <w:r w:rsidR="005264DD">
        <w:rPr>
          <w:rFonts w:cs="Arial"/>
          <w:color w:val="000000"/>
          <w:szCs w:val="24"/>
        </w:rPr>
        <w:t>:</w:t>
      </w:r>
      <w:r w:rsidRPr="00DD1C3B" w:rsidR="005264DD">
        <w:rPr>
          <w:rFonts w:cs="Arial"/>
          <w:color w:val="000000"/>
          <w:szCs w:val="24"/>
        </w:rPr>
        <w:t xml:space="preserve"> </w:t>
      </w:r>
      <w:r w:rsidRPr="00DD1C3B">
        <w:rPr>
          <w:rFonts w:cs="Arial"/>
          <w:szCs w:val="24"/>
        </w:rPr>
        <w:t>Firms will need to gather and prepare information to substantiate a claim for confidentiality. This will also involve approximately 1.5 hours of managerial and attorney time</w:t>
      </w:r>
      <w:r w:rsidR="00E36A37">
        <w:rPr>
          <w:rFonts w:cs="Arial"/>
          <w:szCs w:val="24"/>
        </w:rPr>
        <w:t>, split evenly between staff.</w:t>
      </w:r>
    </w:p>
    <w:p w:rsidRPr="00DD1C3B" w:rsidR="00DD1C3B" w:rsidP="00DD1C3B" w:rsidRDefault="00DD1C3B" w14:paraId="08BABDBF" w14:textId="77777777">
      <w:pPr>
        <w:pStyle w:val="ListParagraph"/>
        <w:ind w:left="0"/>
        <w:rPr>
          <w:rFonts w:cs="Arial"/>
          <w:b/>
          <w:color w:val="000000"/>
          <w:szCs w:val="24"/>
        </w:rPr>
      </w:pPr>
    </w:p>
    <w:p w:rsidRPr="00DD1C3B" w:rsidR="00EB1CA3" w:rsidP="00DD1C3B" w:rsidRDefault="00EB1CA3" w14:paraId="1006CDDC" w14:textId="5F822620">
      <w:pPr>
        <w:pStyle w:val="ListParagraph"/>
        <w:ind w:left="0"/>
        <w:rPr>
          <w:rFonts w:cs="Arial"/>
          <w:b/>
          <w:color w:val="000000"/>
          <w:szCs w:val="24"/>
        </w:rPr>
      </w:pPr>
      <w:r w:rsidRPr="00312CA0">
        <w:rPr>
          <w:rFonts w:cs="Arial"/>
          <w:b/>
          <w:bCs/>
          <w:color w:val="000000"/>
          <w:szCs w:val="24"/>
        </w:rPr>
        <w:t>Post-Reporting Period</w:t>
      </w:r>
      <w:r w:rsidR="005264DD">
        <w:rPr>
          <w:rFonts w:cs="Arial"/>
          <w:b/>
          <w:bCs/>
          <w:color w:val="000000"/>
          <w:szCs w:val="24"/>
        </w:rPr>
        <w:t xml:space="preserve"> Submission</w:t>
      </w:r>
      <w:r w:rsidR="005264DD">
        <w:rPr>
          <w:rFonts w:cs="Arial"/>
          <w:color w:val="000000"/>
          <w:szCs w:val="24"/>
        </w:rPr>
        <w:t xml:space="preserve"> (</w:t>
      </w:r>
      <w:r w:rsidRPr="00DD1C3B">
        <w:rPr>
          <w:rFonts w:cs="Arial"/>
          <w:color w:val="000000"/>
          <w:szCs w:val="24"/>
        </w:rPr>
        <w:t xml:space="preserve">Submit Ongoing or </w:t>
      </w:r>
      <w:r w:rsidRPr="00DD1C3B" w:rsidR="00484D69">
        <w:rPr>
          <w:rFonts w:cs="Arial"/>
          <w:color w:val="000000"/>
          <w:szCs w:val="24"/>
        </w:rPr>
        <w:t>Newly Initiated</w:t>
      </w:r>
      <w:r w:rsidRPr="00DD1C3B">
        <w:rPr>
          <w:rFonts w:cs="Arial"/>
          <w:color w:val="000000"/>
          <w:szCs w:val="24"/>
        </w:rPr>
        <w:t xml:space="preserve"> Studies</w:t>
      </w:r>
      <w:r w:rsidR="005264DD">
        <w:rPr>
          <w:rFonts w:cs="Arial"/>
          <w:color w:val="000000"/>
          <w:szCs w:val="24"/>
        </w:rPr>
        <w:t>)</w:t>
      </w:r>
      <w:r w:rsidR="005264DD">
        <w:rPr>
          <w:rFonts w:cs="Arial"/>
          <w:color w:val="000000"/>
          <w:szCs w:val="24"/>
          <w:u w:val="single"/>
        </w:rPr>
        <w:t>:</w:t>
      </w:r>
      <w:r w:rsidRPr="00DD1C3B" w:rsidR="005264DD">
        <w:rPr>
          <w:rFonts w:cs="Arial"/>
          <w:color w:val="000000"/>
          <w:szCs w:val="24"/>
        </w:rPr>
        <w:t xml:space="preserve"> </w:t>
      </w:r>
      <w:r w:rsidRPr="00DD1C3B">
        <w:rPr>
          <w:rFonts w:cs="Arial"/>
          <w:color w:val="000000"/>
          <w:szCs w:val="24"/>
        </w:rPr>
        <w:t xml:space="preserve">Firms that have an ongoing or </w:t>
      </w:r>
      <w:r w:rsidRPr="00DD1C3B" w:rsidR="00484D69">
        <w:rPr>
          <w:rFonts w:cs="Arial"/>
          <w:color w:val="000000"/>
          <w:szCs w:val="24"/>
        </w:rPr>
        <w:t>newly initiated</w:t>
      </w:r>
      <w:r w:rsidRPr="00DD1C3B">
        <w:rPr>
          <w:rFonts w:cs="Arial"/>
          <w:color w:val="000000"/>
          <w:szCs w:val="24"/>
        </w:rPr>
        <w:t xml:space="preserve"> study during the reporting period are required to provide EPA with a copy of the study once it is completed. CBI review and submission of ongoing or </w:t>
      </w:r>
      <w:r w:rsidRPr="00DD1C3B" w:rsidR="00484D69">
        <w:rPr>
          <w:rFonts w:cs="Arial"/>
          <w:color w:val="000000"/>
          <w:szCs w:val="24"/>
        </w:rPr>
        <w:t>newly initiated</w:t>
      </w:r>
      <w:r w:rsidRPr="00DD1C3B">
        <w:rPr>
          <w:rFonts w:cs="Arial"/>
          <w:color w:val="000000"/>
          <w:szCs w:val="24"/>
        </w:rPr>
        <w:t xml:space="preserve"> studies are estimated to require an average of 1 hour of managerial time.</w:t>
      </w:r>
    </w:p>
    <w:p w:rsidRPr="005264DD" w:rsidR="00EB1CA3" w:rsidP="00594EFF" w:rsidRDefault="00B16D79" w14:paraId="70143062" w14:textId="5E637141">
      <w:pPr>
        <w:pStyle w:val="Caption"/>
        <w:rPr>
          <w:szCs w:val="24"/>
        </w:rPr>
      </w:pPr>
      <w:bookmarkStart w:name="_Ref96440159" w:id="38"/>
      <w:r>
        <w:t xml:space="preserve">Table </w:t>
      </w:r>
      <w:bookmarkEnd w:id="38"/>
      <w:r w:rsidR="00594EFF">
        <w:t>11</w:t>
      </w:r>
      <w:r>
        <w:t>. Unit Burden for TSCA Section 8(d) Reporting</w:t>
      </w:r>
    </w:p>
    <w:tbl>
      <w:tblPr>
        <w:tblW w:w="8920" w:type="dxa"/>
        <w:tblLook w:val="04A0" w:firstRow="1" w:lastRow="0" w:firstColumn="1" w:lastColumn="0" w:noHBand="0" w:noVBand="1"/>
      </w:tblPr>
      <w:tblGrid>
        <w:gridCol w:w="3320"/>
        <w:gridCol w:w="1760"/>
        <w:gridCol w:w="1940"/>
        <w:gridCol w:w="1900"/>
      </w:tblGrid>
      <w:tr w:rsidRPr="00B16D79" w:rsidR="00B16D79" w:rsidTr="00DF540F" w14:paraId="38ACF79E" w14:textId="77777777">
        <w:trPr>
          <w:trHeight w:val="960"/>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5FD163FE" w14:textId="77777777">
            <w:pPr>
              <w:spacing w:after="0" w:line="240" w:lineRule="auto"/>
              <w:jc w:val="center"/>
              <w:rPr>
                <w:rFonts w:eastAsia="Times New Roman" w:cs="Arial"/>
                <w:b/>
                <w:bCs/>
                <w:color w:val="000000"/>
                <w:szCs w:val="24"/>
              </w:rPr>
            </w:pPr>
            <w:r w:rsidRPr="00B16D79">
              <w:rPr>
                <w:rFonts w:eastAsia="Times New Roman" w:cs="Arial"/>
                <w:b/>
                <w:bCs/>
                <w:color w:val="000000"/>
                <w:szCs w:val="24"/>
              </w:rPr>
              <w:t>Collection Activity</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EF5E096" w14:textId="77777777">
            <w:pPr>
              <w:spacing w:after="0" w:line="240" w:lineRule="auto"/>
              <w:jc w:val="center"/>
              <w:rPr>
                <w:rFonts w:eastAsia="Times New Roman" w:cs="Arial"/>
                <w:b/>
                <w:bCs/>
                <w:color w:val="000000"/>
                <w:szCs w:val="24"/>
              </w:rPr>
            </w:pPr>
            <w:r w:rsidRPr="00B16D79">
              <w:rPr>
                <w:rFonts w:eastAsia="Times New Roman" w:cs="Arial"/>
                <w:b/>
                <w:bCs/>
                <w:color w:val="000000"/>
                <w:szCs w:val="24"/>
              </w:rPr>
              <w:t>Affected Respondents (Weight)*</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39B5C81D" w14:textId="77777777">
            <w:pPr>
              <w:spacing w:after="0" w:line="240" w:lineRule="auto"/>
              <w:jc w:val="center"/>
              <w:rPr>
                <w:rFonts w:eastAsia="Times New Roman" w:cs="Arial"/>
                <w:b/>
                <w:bCs/>
                <w:color w:val="000000"/>
                <w:szCs w:val="24"/>
              </w:rPr>
            </w:pPr>
            <w:r w:rsidRPr="00B16D79">
              <w:rPr>
                <w:rFonts w:eastAsia="Times New Roman" w:cs="Arial"/>
                <w:b/>
                <w:bCs/>
                <w:color w:val="000000"/>
                <w:szCs w:val="24"/>
              </w:rPr>
              <w:t>Average Burden per Firm (Hours)</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0DCAD07D" w14:textId="77777777">
            <w:pPr>
              <w:spacing w:after="0" w:line="240" w:lineRule="auto"/>
              <w:jc w:val="center"/>
              <w:rPr>
                <w:rFonts w:eastAsia="Times New Roman" w:cs="Arial"/>
                <w:b/>
                <w:bCs/>
                <w:color w:val="000000"/>
                <w:szCs w:val="24"/>
              </w:rPr>
            </w:pPr>
            <w:r w:rsidRPr="00B16D79">
              <w:rPr>
                <w:rFonts w:eastAsia="Times New Roman" w:cs="Arial"/>
                <w:b/>
                <w:bCs/>
                <w:color w:val="000000"/>
                <w:szCs w:val="24"/>
              </w:rPr>
              <w:t>Labor Category</w:t>
            </w:r>
          </w:p>
        </w:tc>
      </w:tr>
      <w:tr w:rsidRPr="00B16D79" w:rsidR="00B16D79" w:rsidTr="00DF540F" w14:paraId="533D473B" w14:textId="77777777">
        <w:trPr>
          <w:trHeight w:val="324"/>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5EA448AE" w14:textId="77777777">
            <w:pPr>
              <w:spacing w:after="0" w:line="240" w:lineRule="auto"/>
              <w:rPr>
                <w:rFonts w:eastAsia="Times New Roman" w:cs="Arial"/>
                <w:color w:val="000000"/>
                <w:szCs w:val="24"/>
              </w:rPr>
            </w:pPr>
            <w:r w:rsidRPr="00B16D79">
              <w:rPr>
                <w:rFonts w:eastAsia="Times New Roman" w:cs="Arial"/>
                <w:color w:val="000000"/>
                <w:szCs w:val="24"/>
              </w:rPr>
              <w:t>Review of Rule</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5F8524B5" w14:textId="77777777">
            <w:pPr>
              <w:spacing w:after="0" w:line="240" w:lineRule="auto"/>
              <w:jc w:val="center"/>
              <w:rPr>
                <w:rFonts w:eastAsia="Times New Roman" w:cs="Arial"/>
                <w:color w:val="000000"/>
                <w:szCs w:val="24"/>
              </w:rPr>
            </w:pPr>
            <w:r w:rsidRPr="00B16D79">
              <w:rPr>
                <w:rFonts w:eastAsia="Times New Roman" w:cs="Arial"/>
                <w:color w:val="000000"/>
                <w:szCs w:val="24"/>
              </w:rPr>
              <w:t>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11DE2A5E" w14:textId="77777777">
            <w:pPr>
              <w:spacing w:after="0" w:line="240" w:lineRule="auto"/>
              <w:jc w:val="center"/>
              <w:rPr>
                <w:rFonts w:eastAsia="Times New Roman" w:cs="Arial"/>
                <w:color w:val="000000"/>
                <w:szCs w:val="24"/>
              </w:rPr>
            </w:pPr>
            <w:r w:rsidRPr="00B16D79">
              <w:rPr>
                <w:rFonts w:eastAsia="Times New Roman" w:cs="Arial"/>
                <w:color w:val="000000"/>
                <w:szCs w:val="24"/>
              </w:rPr>
              <w:t>2</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130C203C" w14:textId="77777777">
            <w:pPr>
              <w:spacing w:after="0" w:line="240" w:lineRule="auto"/>
              <w:jc w:val="center"/>
              <w:rPr>
                <w:rFonts w:eastAsia="Times New Roman" w:cs="Arial"/>
                <w:color w:val="000000"/>
                <w:szCs w:val="24"/>
              </w:rPr>
            </w:pPr>
            <w:r w:rsidRPr="00B16D79">
              <w:rPr>
                <w:rFonts w:eastAsia="Times New Roman" w:cs="Arial"/>
                <w:color w:val="000000"/>
                <w:szCs w:val="24"/>
              </w:rPr>
              <w:t>Managerial</w:t>
            </w:r>
          </w:p>
        </w:tc>
      </w:tr>
      <w:tr w:rsidRPr="00B16D79" w:rsidR="00B16D79" w:rsidTr="00DF540F" w14:paraId="0122FF3E" w14:textId="77777777">
        <w:trPr>
          <w:trHeight w:val="312"/>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0E28D6E" w14:textId="77777777">
            <w:pPr>
              <w:spacing w:after="0" w:line="240" w:lineRule="auto"/>
              <w:rPr>
                <w:rFonts w:eastAsia="Times New Roman" w:cs="Arial"/>
                <w:color w:val="000000"/>
                <w:szCs w:val="24"/>
              </w:rPr>
            </w:pPr>
            <w:r w:rsidRPr="00B16D79">
              <w:rPr>
                <w:rFonts w:eastAsia="Times New Roman" w:cs="Arial"/>
                <w:color w:val="000000"/>
                <w:szCs w:val="24"/>
              </w:rPr>
              <w:t>Site Identification</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3E589D7D" w14:textId="77777777">
            <w:pPr>
              <w:spacing w:after="0" w:line="240" w:lineRule="auto"/>
              <w:jc w:val="center"/>
              <w:rPr>
                <w:rFonts w:eastAsia="Times New Roman" w:cs="Arial"/>
                <w:color w:val="000000"/>
                <w:szCs w:val="24"/>
              </w:rPr>
            </w:pPr>
            <w:r w:rsidRPr="00B16D79">
              <w:rPr>
                <w:rFonts w:eastAsia="Times New Roman" w:cs="Arial"/>
                <w:color w:val="000000"/>
                <w:szCs w:val="24"/>
              </w:rPr>
              <w:t>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89E86DF" w14:textId="77777777">
            <w:pPr>
              <w:spacing w:after="0" w:line="240" w:lineRule="auto"/>
              <w:jc w:val="center"/>
              <w:rPr>
                <w:rFonts w:eastAsia="Times New Roman" w:cs="Arial"/>
                <w:color w:val="000000"/>
                <w:szCs w:val="24"/>
              </w:rPr>
            </w:pPr>
            <w:r w:rsidRPr="00B16D79">
              <w:rPr>
                <w:rFonts w:eastAsia="Times New Roman" w:cs="Arial"/>
                <w:color w:val="000000"/>
                <w:szCs w:val="24"/>
              </w:rPr>
              <w:t>3</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24A8F746" w14:textId="77777777">
            <w:pPr>
              <w:spacing w:after="0" w:line="240" w:lineRule="auto"/>
              <w:jc w:val="center"/>
              <w:rPr>
                <w:rFonts w:eastAsia="Times New Roman" w:cs="Arial"/>
                <w:color w:val="000000"/>
                <w:szCs w:val="24"/>
              </w:rPr>
            </w:pPr>
            <w:r w:rsidRPr="00B16D79">
              <w:rPr>
                <w:rFonts w:eastAsia="Times New Roman" w:cs="Arial"/>
                <w:color w:val="000000"/>
                <w:szCs w:val="24"/>
              </w:rPr>
              <w:t>Managerial</w:t>
            </w:r>
          </w:p>
        </w:tc>
      </w:tr>
      <w:tr w:rsidRPr="00B16D79" w:rsidR="00B16D79" w:rsidTr="00DF540F" w14:paraId="2EC371EC" w14:textId="77777777">
        <w:trPr>
          <w:trHeight w:val="312"/>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36A69397" w14:textId="77777777">
            <w:pPr>
              <w:spacing w:after="0" w:line="240" w:lineRule="auto"/>
              <w:rPr>
                <w:rFonts w:eastAsia="Times New Roman" w:cs="Arial"/>
                <w:color w:val="000000"/>
                <w:szCs w:val="24"/>
              </w:rPr>
            </w:pPr>
            <w:r w:rsidRPr="00B16D79">
              <w:rPr>
                <w:rFonts w:eastAsia="Times New Roman" w:cs="Arial"/>
                <w:color w:val="000000"/>
                <w:szCs w:val="24"/>
              </w:rPr>
              <w:t>Site File Search**</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2F78C5D3" w14:textId="77777777">
            <w:pPr>
              <w:spacing w:after="0" w:line="240" w:lineRule="auto"/>
              <w:jc w:val="center"/>
              <w:rPr>
                <w:rFonts w:eastAsia="Times New Roman" w:cs="Arial"/>
                <w:color w:val="000000"/>
                <w:szCs w:val="24"/>
              </w:rPr>
            </w:pPr>
            <w:r w:rsidRPr="00B16D79">
              <w:rPr>
                <w:rFonts w:eastAsia="Times New Roman" w:cs="Arial"/>
                <w:color w:val="000000"/>
                <w:szCs w:val="24"/>
              </w:rPr>
              <w:t>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4749F6E9" w14:textId="77777777">
            <w:pPr>
              <w:spacing w:after="0" w:line="240" w:lineRule="auto"/>
              <w:jc w:val="center"/>
              <w:rPr>
                <w:rFonts w:eastAsia="Times New Roman" w:cs="Arial"/>
                <w:color w:val="000000"/>
                <w:szCs w:val="24"/>
              </w:rPr>
            </w:pPr>
            <w:r w:rsidRPr="00B16D79">
              <w:rPr>
                <w:rFonts w:eastAsia="Times New Roman" w:cs="Arial"/>
                <w:color w:val="000000"/>
                <w:szCs w:val="24"/>
              </w:rPr>
              <w:t>4.5</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B921884" w14:textId="77777777">
            <w:pPr>
              <w:spacing w:after="0" w:line="240" w:lineRule="auto"/>
              <w:jc w:val="center"/>
              <w:rPr>
                <w:rFonts w:eastAsia="Times New Roman" w:cs="Arial"/>
                <w:color w:val="000000"/>
                <w:szCs w:val="24"/>
              </w:rPr>
            </w:pPr>
            <w:r w:rsidRPr="00B16D79">
              <w:rPr>
                <w:rFonts w:eastAsia="Times New Roman" w:cs="Arial"/>
                <w:color w:val="000000"/>
                <w:szCs w:val="24"/>
              </w:rPr>
              <w:t xml:space="preserve"> Technical</w:t>
            </w:r>
          </w:p>
        </w:tc>
      </w:tr>
      <w:tr w:rsidRPr="00B16D79" w:rsidR="00B16D79" w:rsidTr="00DF540F" w14:paraId="48650920" w14:textId="77777777">
        <w:trPr>
          <w:trHeight w:val="312"/>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1AF628DA" w14:textId="77777777">
            <w:pPr>
              <w:spacing w:after="0" w:line="240" w:lineRule="auto"/>
              <w:rPr>
                <w:rFonts w:eastAsia="Times New Roman" w:cs="Arial"/>
                <w:color w:val="000000"/>
                <w:szCs w:val="24"/>
              </w:rPr>
            </w:pPr>
            <w:r w:rsidRPr="00B16D79">
              <w:rPr>
                <w:rFonts w:eastAsia="Times New Roman" w:cs="Arial"/>
                <w:color w:val="000000"/>
                <w:szCs w:val="24"/>
              </w:rPr>
              <w:t>Robust Summaries</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7089FCEC" w14:textId="77777777">
            <w:pPr>
              <w:spacing w:after="0" w:line="240" w:lineRule="auto"/>
              <w:jc w:val="center"/>
              <w:rPr>
                <w:rFonts w:eastAsia="Times New Roman" w:cs="Arial"/>
                <w:color w:val="000000"/>
                <w:szCs w:val="24"/>
              </w:rPr>
            </w:pPr>
            <w:r w:rsidRPr="00B16D79">
              <w:rPr>
                <w:rFonts w:eastAsia="Times New Roman" w:cs="Arial"/>
                <w:color w:val="000000"/>
                <w:szCs w:val="24"/>
              </w:rPr>
              <w:t>0.008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8B8DFBE" w14:textId="77777777">
            <w:pPr>
              <w:spacing w:after="0" w:line="240" w:lineRule="auto"/>
              <w:jc w:val="center"/>
              <w:rPr>
                <w:rFonts w:eastAsia="Times New Roman" w:cs="Arial"/>
                <w:color w:val="000000"/>
                <w:szCs w:val="24"/>
              </w:rPr>
            </w:pPr>
            <w:r w:rsidRPr="00B16D79">
              <w:rPr>
                <w:rFonts w:eastAsia="Times New Roman" w:cs="Arial"/>
                <w:color w:val="000000"/>
                <w:szCs w:val="24"/>
              </w:rPr>
              <w:t>12</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76C7F85" w14:textId="77777777">
            <w:pPr>
              <w:spacing w:after="0" w:line="240" w:lineRule="auto"/>
              <w:jc w:val="center"/>
              <w:rPr>
                <w:rFonts w:eastAsia="Times New Roman" w:cs="Arial"/>
                <w:color w:val="000000"/>
                <w:szCs w:val="24"/>
              </w:rPr>
            </w:pPr>
            <w:r w:rsidRPr="00B16D79">
              <w:rPr>
                <w:rFonts w:eastAsia="Times New Roman" w:cs="Arial"/>
                <w:color w:val="000000"/>
                <w:szCs w:val="24"/>
              </w:rPr>
              <w:t>Technical</w:t>
            </w:r>
          </w:p>
        </w:tc>
      </w:tr>
      <w:tr w:rsidRPr="00B16D79" w:rsidR="00B16D79" w:rsidTr="00DF540F" w14:paraId="1C7393B1" w14:textId="77777777">
        <w:trPr>
          <w:trHeight w:val="312"/>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71BFB78" w14:textId="77777777">
            <w:pPr>
              <w:spacing w:after="0" w:line="240" w:lineRule="auto"/>
              <w:rPr>
                <w:rFonts w:eastAsia="Times New Roman" w:cs="Arial"/>
                <w:color w:val="000000"/>
                <w:szCs w:val="24"/>
              </w:rPr>
            </w:pPr>
            <w:r w:rsidRPr="00B16D79">
              <w:rPr>
                <w:rFonts w:eastAsia="Times New Roman" w:cs="Arial"/>
                <w:color w:val="000000"/>
                <w:szCs w:val="24"/>
              </w:rPr>
              <w:t>CBI Review</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378B2B8C" w14:textId="77777777">
            <w:pPr>
              <w:spacing w:after="0" w:line="240" w:lineRule="auto"/>
              <w:jc w:val="center"/>
              <w:rPr>
                <w:rFonts w:eastAsia="Times New Roman" w:cs="Arial"/>
                <w:color w:val="000000"/>
                <w:szCs w:val="24"/>
              </w:rPr>
            </w:pPr>
            <w:r w:rsidRPr="00B16D79">
              <w:rPr>
                <w:rFonts w:eastAsia="Times New Roman" w:cs="Arial"/>
                <w:color w:val="000000"/>
                <w:szCs w:val="24"/>
              </w:rPr>
              <w:t>0.168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112647C" w14:textId="77777777">
            <w:pPr>
              <w:spacing w:after="0" w:line="240" w:lineRule="auto"/>
              <w:jc w:val="center"/>
              <w:rPr>
                <w:rFonts w:eastAsia="Times New Roman" w:cs="Arial"/>
                <w:color w:val="000000"/>
                <w:szCs w:val="24"/>
              </w:rPr>
            </w:pPr>
            <w:r w:rsidRPr="00B16D79">
              <w:rPr>
                <w:rFonts w:eastAsia="Times New Roman" w:cs="Arial"/>
                <w:color w:val="000000"/>
                <w:szCs w:val="24"/>
              </w:rPr>
              <w:t>9</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9A5E5F3" w14:textId="77777777">
            <w:pPr>
              <w:spacing w:after="0" w:line="240" w:lineRule="auto"/>
              <w:jc w:val="center"/>
              <w:rPr>
                <w:rFonts w:eastAsia="Times New Roman" w:cs="Arial"/>
                <w:color w:val="000000"/>
                <w:szCs w:val="24"/>
              </w:rPr>
            </w:pPr>
            <w:r w:rsidRPr="00B16D79">
              <w:rPr>
                <w:rFonts w:eastAsia="Times New Roman" w:cs="Arial"/>
                <w:color w:val="000000"/>
                <w:szCs w:val="24"/>
              </w:rPr>
              <w:t>Managerial</w:t>
            </w:r>
          </w:p>
        </w:tc>
      </w:tr>
      <w:tr w:rsidRPr="00B16D79" w:rsidR="00B16D79" w:rsidTr="008600C0" w14:paraId="19A00B9C" w14:textId="77777777">
        <w:trPr>
          <w:trHeight w:val="312"/>
        </w:trPr>
        <w:tc>
          <w:tcPr>
            <w:tcW w:w="33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18F59CCF" w14:textId="77777777">
            <w:pPr>
              <w:spacing w:after="0" w:line="240" w:lineRule="auto"/>
              <w:rPr>
                <w:rFonts w:eastAsia="Times New Roman" w:cs="Arial"/>
                <w:color w:val="000000"/>
                <w:szCs w:val="24"/>
              </w:rPr>
            </w:pPr>
            <w:r w:rsidRPr="00B16D79">
              <w:rPr>
                <w:rFonts w:eastAsia="Times New Roman" w:cs="Arial"/>
                <w:color w:val="000000"/>
                <w:szCs w:val="24"/>
              </w:rPr>
              <w:t xml:space="preserve">CBI Legal Review and CBI Substantiation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218D6AD2" w14:textId="77777777">
            <w:pPr>
              <w:spacing w:after="0" w:line="240" w:lineRule="auto"/>
              <w:jc w:val="center"/>
              <w:rPr>
                <w:rFonts w:eastAsia="Times New Roman" w:cs="Arial"/>
                <w:color w:val="000000"/>
                <w:szCs w:val="24"/>
              </w:rPr>
            </w:pPr>
            <w:r w:rsidRPr="00B16D79">
              <w:rPr>
                <w:rFonts w:eastAsia="Times New Roman" w:cs="Arial"/>
                <w:color w:val="000000"/>
                <w:szCs w:val="24"/>
              </w:rPr>
              <w:t>0.168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4947C7EA" w14:textId="77777777">
            <w:pPr>
              <w:spacing w:after="0" w:line="240" w:lineRule="auto"/>
              <w:jc w:val="center"/>
              <w:rPr>
                <w:rFonts w:eastAsia="Times New Roman" w:cs="Arial"/>
                <w:color w:val="000000"/>
                <w:szCs w:val="24"/>
              </w:rPr>
            </w:pPr>
            <w:r w:rsidRPr="00B16D79">
              <w:rPr>
                <w:rFonts w:eastAsia="Times New Roman" w:cs="Arial"/>
                <w:color w:val="000000"/>
                <w:szCs w:val="24"/>
              </w:rPr>
              <w:t>0.75</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1CD3CBD" w14:textId="77777777">
            <w:pPr>
              <w:spacing w:after="0" w:line="240" w:lineRule="auto"/>
              <w:jc w:val="center"/>
              <w:rPr>
                <w:rFonts w:eastAsia="Times New Roman" w:cs="Arial"/>
                <w:color w:val="000000"/>
                <w:szCs w:val="24"/>
              </w:rPr>
            </w:pPr>
            <w:r w:rsidRPr="00B16D79">
              <w:rPr>
                <w:rFonts w:eastAsia="Times New Roman" w:cs="Arial"/>
                <w:color w:val="000000"/>
                <w:szCs w:val="24"/>
              </w:rPr>
              <w:t xml:space="preserve">Managerial </w:t>
            </w:r>
          </w:p>
        </w:tc>
      </w:tr>
      <w:tr w:rsidRPr="00B16D79" w:rsidR="00B16D79" w:rsidTr="008600C0" w14:paraId="15CFA8CD" w14:textId="77777777">
        <w:trPr>
          <w:trHeight w:val="312"/>
        </w:trPr>
        <w:tc>
          <w:tcPr>
            <w:tcW w:w="3320" w:type="dxa"/>
            <w:vMerge/>
            <w:tcBorders>
              <w:top w:val="single" w:color="auto" w:sz="4" w:space="0"/>
              <w:left w:val="single" w:color="auto" w:sz="4" w:space="0"/>
              <w:bottom w:val="single" w:color="auto" w:sz="4" w:space="0"/>
              <w:right w:val="single" w:color="auto" w:sz="4" w:space="0"/>
            </w:tcBorders>
            <w:vAlign w:val="center"/>
            <w:hideMark/>
          </w:tcPr>
          <w:p w:rsidRPr="00B16D79" w:rsidR="00B16D79" w:rsidP="00B16D79" w:rsidRDefault="00B16D79" w14:paraId="2BEA1732" w14:textId="77777777">
            <w:pPr>
              <w:spacing w:after="0" w:line="240" w:lineRule="auto"/>
              <w:rPr>
                <w:rFonts w:eastAsia="Times New Roman" w:cs="Arial"/>
                <w:color w:val="000000"/>
                <w:szCs w:val="24"/>
              </w:rPr>
            </w:pP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4E88A37E" w14:textId="77777777">
            <w:pPr>
              <w:spacing w:after="0" w:line="240" w:lineRule="auto"/>
              <w:jc w:val="center"/>
              <w:rPr>
                <w:rFonts w:eastAsia="Times New Roman" w:cs="Arial"/>
                <w:color w:val="000000"/>
                <w:szCs w:val="24"/>
              </w:rPr>
            </w:pPr>
            <w:r w:rsidRPr="00B16D79">
              <w:rPr>
                <w:rFonts w:eastAsia="Times New Roman" w:cs="Arial"/>
                <w:color w:val="000000"/>
                <w:szCs w:val="24"/>
              </w:rPr>
              <w:t>0.168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6AF4F9CE" w14:textId="77777777">
            <w:pPr>
              <w:spacing w:after="0" w:line="240" w:lineRule="auto"/>
              <w:jc w:val="center"/>
              <w:rPr>
                <w:rFonts w:eastAsia="Times New Roman" w:cs="Arial"/>
                <w:color w:val="000000"/>
                <w:szCs w:val="24"/>
              </w:rPr>
            </w:pPr>
            <w:r w:rsidRPr="00B16D79">
              <w:rPr>
                <w:rFonts w:eastAsia="Times New Roman" w:cs="Arial"/>
                <w:color w:val="000000"/>
                <w:szCs w:val="24"/>
              </w:rPr>
              <w:t>0.75</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5320364A" w14:textId="77777777">
            <w:pPr>
              <w:spacing w:after="0" w:line="240" w:lineRule="auto"/>
              <w:jc w:val="center"/>
              <w:rPr>
                <w:rFonts w:eastAsia="Times New Roman" w:cs="Arial"/>
                <w:color w:val="000000"/>
                <w:szCs w:val="24"/>
              </w:rPr>
            </w:pPr>
            <w:r w:rsidRPr="00B16D79">
              <w:rPr>
                <w:rFonts w:eastAsia="Times New Roman" w:cs="Arial"/>
                <w:color w:val="000000"/>
                <w:szCs w:val="24"/>
              </w:rPr>
              <w:t>Attorney</w:t>
            </w:r>
          </w:p>
        </w:tc>
      </w:tr>
      <w:tr w:rsidRPr="00B16D79" w:rsidR="00B16D79" w:rsidTr="00DF540F" w14:paraId="6113E5B7" w14:textId="77777777">
        <w:trPr>
          <w:trHeight w:val="612"/>
        </w:trPr>
        <w:tc>
          <w:tcPr>
            <w:tcW w:w="3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5A8B73DF" w14:textId="77777777">
            <w:pPr>
              <w:spacing w:after="0" w:line="240" w:lineRule="auto"/>
              <w:rPr>
                <w:rFonts w:eastAsia="Times New Roman" w:cs="Arial"/>
                <w:color w:val="000000"/>
                <w:szCs w:val="24"/>
              </w:rPr>
            </w:pPr>
            <w:r w:rsidRPr="00B16D79">
              <w:rPr>
                <w:rFonts w:eastAsia="Times New Roman" w:cs="Arial"/>
                <w:color w:val="000000"/>
                <w:szCs w:val="24"/>
              </w:rPr>
              <w:t>Post-Reporting Period Submission</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32E92314" w14:textId="77777777">
            <w:pPr>
              <w:spacing w:after="0" w:line="240" w:lineRule="auto"/>
              <w:jc w:val="center"/>
              <w:rPr>
                <w:rFonts w:eastAsia="Times New Roman" w:cs="Arial"/>
                <w:color w:val="000000"/>
                <w:szCs w:val="24"/>
              </w:rPr>
            </w:pPr>
            <w:r w:rsidRPr="00B16D79">
              <w:rPr>
                <w:rFonts w:eastAsia="Times New Roman" w:cs="Arial"/>
                <w:color w:val="000000"/>
                <w:szCs w:val="24"/>
              </w:rPr>
              <w:t>0.008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34F393C7" w14:textId="77777777">
            <w:pPr>
              <w:spacing w:after="0" w:line="240" w:lineRule="auto"/>
              <w:jc w:val="center"/>
              <w:rPr>
                <w:rFonts w:eastAsia="Times New Roman" w:cs="Arial"/>
                <w:color w:val="000000"/>
                <w:szCs w:val="24"/>
              </w:rPr>
            </w:pPr>
            <w:r w:rsidRPr="00B16D79">
              <w:rPr>
                <w:rFonts w:eastAsia="Times New Roman" w:cs="Arial"/>
                <w:color w:val="000000"/>
                <w:szCs w:val="24"/>
              </w:rPr>
              <w:t>1</w:t>
            </w:r>
          </w:p>
        </w:tc>
        <w:tc>
          <w:tcPr>
            <w:tcW w:w="19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7F790724" w14:textId="77777777">
            <w:pPr>
              <w:spacing w:after="0" w:line="240" w:lineRule="auto"/>
              <w:jc w:val="center"/>
              <w:rPr>
                <w:rFonts w:eastAsia="Times New Roman" w:cs="Arial"/>
                <w:color w:val="000000"/>
                <w:szCs w:val="24"/>
              </w:rPr>
            </w:pPr>
            <w:r w:rsidRPr="00B16D79">
              <w:rPr>
                <w:rFonts w:eastAsia="Times New Roman" w:cs="Arial"/>
                <w:color w:val="000000"/>
                <w:szCs w:val="24"/>
              </w:rPr>
              <w:t>Managerial</w:t>
            </w:r>
          </w:p>
        </w:tc>
      </w:tr>
      <w:tr w:rsidRPr="00B16D79" w:rsidR="00B16D79" w:rsidTr="00DF540F" w14:paraId="37D6CA90" w14:textId="77777777">
        <w:trPr>
          <w:trHeight w:val="1584"/>
        </w:trPr>
        <w:tc>
          <w:tcPr>
            <w:tcW w:w="8920"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B16D79" w:rsidR="00B16D79" w:rsidP="00B16D79" w:rsidRDefault="00B16D79" w14:paraId="53607E36" w14:textId="77777777">
            <w:pPr>
              <w:spacing w:after="0" w:line="240" w:lineRule="auto"/>
              <w:rPr>
                <w:rFonts w:eastAsia="Times New Roman" w:cs="Arial"/>
                <w:color w:val="000000"/>
                <w:sz w:val="20"/>
                <w:szCs w:val="20"/>
              </w:rPr>
            </w:pPr>
            <w:r w:rsidRPr="00B16D79">
              <w:rPr>
                <w:rFonts w:eastAsia="Times New Roman" w:cs="Arial"/>
                <w:color w:val="000000"/>
                <w:sz w:val="20"/>
                <w:szCs w:val="20"/>
              </w:rPr>
              <w:t>*Not all respondents perform all activities. This weight reflects that for every firm that has to check for reports:  18% will submit reports, of which 1 firm (about 10%) will provide robust summaries and 5% (about 1 firm) will provide a second response.</w:t>
            </w:r>
          </w:p>
        </w:tc>
      </w:tr>
      <w:tr w:rsidRPr="00B16D79" w:rsidR="00B16D79" w:rsidTr="00DF540F" w14:paraId="344A72DB" w14:textId="77777777">
        <w:trPr>
          <w:trHeight w:val="300"/>
        </w:trPr>
        <w:tc>
          <w:tcPr>
            <w:tcW w:w="8920"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B16D79" w:rsidR="00B16D79" w:rsidP="00B16D79" w:rsidRDefault="00B16D79" w14:paraId="4625D433" w14:textId="77777777">
            <w:pPr>
              <w:spacing w:after="0" w:line="240" w:lineRule="auto"/>
              <w:rPr>
                <w:rFonts w:eastAsia="Times New Roman" w:cs="Arial"/>
                <w:color w:val="000000"/>
                <w:sz w:val="20"/>
                <w:szCs w:val="20"/>
              </w:rPr>
            </w:pPr>
            <w:r w:rsidRPr="00B16D79">
              <w:rPr>
                <w:rFonts w:eastAsia="Times New Roman" w:cs="Arial"/>
                <w:color w:val="000000"/>
                <w:sz w:val="20"/>
                <w:szCs w:val="20"/>
              </w:rPr>
              <w:t>** Basis of 1.5 sites per firm</w:t>
            </w:r>
          </w:p>
        </w:tc>
      </w:tr>
    </w:tbl>
    <w:p w:rsidR="00DD1C3B" w:rsidP="00DD1C3B" w:rsidRDefault="00DD1C3B" w14:paraId="5D848B79" w14:textId="77777777">
      <w:pPr>
        <w:pStyle w:val="ListParagraph"/>
        <w:widowControl w:val="0"/>
        <w:ind w:left="0"/>
        <w:rPr>
          <w:rFonts w:cs="Arial"/>
          <w:color w:val="000000"/>
          <w:szCs w:val="24"/>
        </w:rPr>
      </w:pPr>
    </w:p>
    <w:p w:rsidR="00DD1C3B" w:rsidP="00DD1C3B" w:rsidRDefault="00EB1CA3" w14:paraId="144926A5" w14:textId="77777777">
      <w:pPr>
        <w:pStyle w:val="ListParagraph"/>
        <w:widowControl w:val="0"/>
        <w:ind w:left="0"/>
        <w:rPr>
          <w:rFonts w:cs="Arial"/>
          <w:color w:val="000000"/>
          <w:szCs w:val="24"/>
        </w:rPr>
      </w:pPr>
      <w:r w:rsidRPr="00DD1C3B">
        <w:rPr>
          <w:rFonts w:cs="Arial"/>
          <w:color w:val="000000"/>
          <w:szCs w:val="24"/>
        </w:rPr>
        <w:t>These unit burden estimates are average values. Large multi-divisional, multi-departmental firms may require more than the average time to comply. However, there are smaller firms that are less complicated, and these firms may have a simpler process that requires less time.</w:t>
      </w:r>
    </w:p>
    <w:p w:rsidR="00DD1C3B" w:rsidP="00DD1C3B" w:rsidRDefault="00DD1C3B" w14:paraId="4DD92F9F" w14:textId="77777777">
      <w:pPr>
        <w:pStyle w:val="ListParagraph"/>
        <w:widowControl w:val="0"/>
        <w:ind w:left="0"/>
        <w:rPr>
          <w:rFonts w:cs="Arial"/>
          <w:color w:val="000000"/>
          <w:szCs w:val="24"/>
        </w:rPr>
      </w:pPr>
    </w:p>
    <w:p w:rsidR="00DD1C3B" w:rsidP="00DD1C3B" w:rsidRDefault="00EB1CA3" w14:paraId="13533A4C" w14:textId="77777777">
      <w:pPr>
        <w:pStyle w:val="ListParagraph"/>
        <w:widowControl w:val="0"/>
        <w:ind w:left="0"/>
        <w:rPr>
          <w:rFonts w:cs="Arial"/>
          <w:bCs/>
          <w:color w:val="000000"/>
          <w:szCs w:val="24"/>
        </w:rPr>
      </w:pPr>
      <w:r w:rsidRPr="00DD1C3B">
        <w:rPr>
          <w:rFonts w:cs="Arial"/>
          <w:bCs/>
          <w:color w:val="000000"/>
          <w:szCs w:val="24"/>
        </w:rPr>
        <w:t>Estimating the Respondent Universe</w:t>
      </w:r>
    </w:p>
    <w:p w:rsidR="00DD1C3B" w:rsidP="00DD1C3B" w:rsidRDefault="00DD1C3B" w14:paraId="6C3F4D53" w14:textId="77777777">
      <w:pPr>
        <w:pStyle w:val="ListParagraph"/>
        <w:widowControl w:val="0"/>
        <w:ind w:left="0"/>
        <w:rPr>
          <w:rFonts w:cs="Arial"/>
          <w:bCs/>
          <w:color w:val="000000"/>
          <w:szCs w:val="24"/>
        </w:rPr>
      </w:pPr>
    </w:p>
    <w:p w:rsidR="00DD1C3B" w:rsidP="00DD1C3B" w:rsidRDefault="00EB1CA3" w14:paraId="6A300837" w14:textId="51FC9BAF">
      <w:pPr>
        <w:pStyle w:val="ListParagraph"/>
        <w:widowControl w:val="0"/>
        <w:ind w:left="0"/>
        <w:rPr>
          <w:rFonts w:cs="Arial"/>
          <w:bCs/>
          <w:color w:val="000000"/>
          <w:szCs w:val="24"/>
        </w:rPr>
      </w:pPr>
      <w:r w:rsidRPr="008C6A2E">
        <w:rPr>
          <w:rFonts w:cs="Arial"/>
          <w:color w:val="000000"/>
          <w:szCs w:val="24"/>
        </w:rPr>
        <w:t xml:space="preserve">EPA has added a total of </w:t>
      </w:r>
      <w:r w:rsidR="00D204D7">
        <w:rPr>
          <w:rFonts w:cs="Arial"/>
          <w:color w:val="000000"/>
          <w:szCs w:val="24"/>
        </w:rPr>
        <w:t>332</w:t>
      </w:r>
      <w:r w:rsidRPr="008C6A2E" w:rsidR="00D204D7">
        <w:rPr>
          <w:rFonts w:cs="Arial"/>
          <w:color w:val="000000"/>
          <w:szCs w:val="24"/>
        </w:rPr>
        <w:t xml:space="preserve"> </w:t>
      </w:r>
      <w:r w:rsidRPr="008C6A2E">
        <w:rPr>
          <w:rFonts w:cs="Arial"/>
          <w:color w:val="000000"/>
          <w:szCs w:val="24"/>
        </w:rPr>
        <w:t>chemicals to the list since 1996 (47 in 1996, 15 in 2004, 208 in 2006, 12 in 2008</w:t>
      </w:r>
      <w:r w:rsidR="00D204D7">
        <w:rPr>
          <w:rFonts w:cs="Arial"/>
          <w:color w:val="000000"/>
          <w:szCs w:val="24"/>
        </w:rPr>
        <w:t>, and 50 between 2018 and 2021</w:t>
      </w:r>
      <w:r w:rsidRPr="008C6A2E">
        <w:rPr>
          <w:rFonts w:cs="Arial"/>
          <w:color w:val="000000"/>
          <w:szCs w:val="24"/>
        </w:rPr>
        <w:t xml:space="preserve">), which is an overall program historical average of approximately 13 chemicals per year. For estimates in this ICR, EPA assumes that the historical average of 13 chemicals per </w:t>
      </w:r>
      <w:r w:rsidR="002859DE">
        <w:rPr>
          <w:rFonts w:cs="Arial"/>
          <w:color w:val="000000"/>
          <w:szCs w:val="24"/>
        </w:rPr>
        <w:t xml:space="preserve">fiscal </w:t>
      </w:r>
      <w:r w:rsidRPr="008C6A2E">
        <w:rPr>
          <w:rFonts w:cs="Arial"/>
          <w:color w:val="000000"/>
          <w:szCs w:val="24"/>
        </w:rPr>
        <w:t>year will be added to the section 8(d) list</w:t>
      </w:r>
      <w:r w:rsidR="0098029F">
        <w:rPr>
          <w:rFonts w:cs="Arial"/>
          <w:color w:val="000000"/>
          <w:szCs w:val="24"/>
        </w:rPr>
        <w:t>.</w:t>
      </w:r>
      <w:r w:rsidRPr="008C6A2E">
        <w:rPr>
          <w:rFonts w:cs="Arial"/>
          <w:color w:val="000000"/>
          <w:szCs w:val="24"/>
        </w:rPr>
        <w:t xml:space="preserve"> Assuming that each chemical that is added to the list impacts </w:t>
      </w:r>
      <w:r w:rsidR="00DA4976">
        <w:rPr>
          <w:rFonts w:cs="Arial"/>
          <w:color w:val="000000"/>
          <w:szCs w:val="24"/>
        </w:rPr>
        <w:t>2.6</w:t>
      </w:r>
      <w:r w:rsidRPr="008C6A2E">
        <w:rPr>
          <w:rFonts w:cs="Arial"/>
          <w:color w:val="000000"/>
          <w:szCs w:val="24"/>
        </w:rPr>
        <w:t xml:space="preserve"> firms, then EPA expects </w:t>
      </w:r>
      <w:r w:rsidR="00A856BC">
        <w:rPr>
          <w:rFonts w:cs="Arial"/>
          <w:color w:val="000000"/>
          <w:szCs w:val="24"/>
        </w:rPr>
        <w:t>34</w:t>
      </w:r>
      <w:r w:rsidRPr="008C6A2E" w:rsidR="00A856BC">
        <w:rPr>
          <w:rFonts w:cs="Arial"/>
          <w:color w:val="000000"/>
          <w:szCs w:val="24"/>
        </w:rPr>
        <w:t xml:space="preserve"> </w:t>
      </w:r>
      <w:r w:rsidRPr="008C6A2E">
        <w:rPr>
          <w:rFonts w:cs="Arial"/>
          <w:color w:val="000000"/>
          <w:szCs w:val="24"/>
        </w:rPr>
        <w:t>chemical manufacturing firms to be affected per year by this ICR.</w:t>
      </w:r>
    </w:p>
    <w:p w:rsidR="00DD1C3B" w:rsidP="00DD1C3B" w:rsidRDefault="00DD1C3B" w14:paraId="64A9813F" w14:textId="77777777">
      <w:pPr>
        <w:pStyle w:val="ListParagraph"/>
        <w:widowControl w:val="0"/>
        <w:ind w:left="0"/>
        <w:rPr>
          <w:rFonts w:cs="Arial"/>
          <w:bCs/>
          <w:color w:val="000000"/>
          <w:szCs w:val="24"/>
        </w:rPr>
      </w:pPr>
    </w:p>
    <w:p w:rsidR="00DD1C3B" w:rsidP="00DD1C3B" w:rsidRDefault="00EB1CA3" w14:paraId="4F930962" w14:textId="5DE03306">
      <w:pPr>
        <w:pStyle w:val="ListParagraph"/>
        <w:widowControl w:val="0"/>
        <w:ind w:left="0"/>
        <w:rPr>
          <w:rFonts w:cs="Arial"/>
          <w:bCs/>
          <w:color w:val="000000"/>
          <w:szCs w:val="24"/>
        </w:rPr>
      </w:pPr>
      <w:r w:rsidRPr="00DD1C3B">
        <w:rPr>
          <w:rFonts w:cs="Arial"/>
          <w:color w:val="000000"/>
          <w:szCs w:val="24"/>
        </w:rPr>
        <w:t>Based on the reporting bases stated on</w:t>
      </w:r>
      <w:r w:rsidR="004C24C6">
        <w:rPr>
          <w:rFonts w:cs="Arial"/>
          <w:color w:val="000000"/>
          <w:szCs w:val="24"/>
        </w:rPr>
        <w:t xml:space="preserve"> </w:t>
      </w:r>
      <w:r w:rsidR="004C24C6">
        <w:rPr>
          <w:rFonts w:cs="Arial"/>
          <w:color w:val="000000"/>
          <w:szCs w:val="24"/>
        </w:rPr>
        <w:fldChar w:fldCharType="begin"/>
      </w:r>
      <w:r w:rsidR="004C24C6">
        <w:rPr>
          <w:rFonts w:cs="Arial"/>
          <w:color w:val="000000"/>
          <w:szCs w:val="24"/>
        </w:rPr>
        <w:instrText xml:space="preserve"> REF _Ref96440159 \h </w:instrText>
      </w:r>
      <w:r w:rsidR="004C24C6">
        <w:rPr>
          <w:rFonts w:cs="Arial"/>
          <w:color w:val="000000"/>
          <w:szCs w:val="24"/>
        </w:rPr>
      </w:r>
      <w:r w:rsidR="004C24C6">
        <w:rPr>
          <w:rFonts w:cs="Arial"/>
          <w:color w:val="000000"/>
          <w:szCs w:val="24"/>
        </w:rPr>
        <w:fldChar w:fldCharType="separate"/>
      </w:r>
      <w:r w:rsidR="001E292F">
        <w:t xml:space="preserve">Table </w:t>
      </w:r>
      <w:r w:rsidR="001E292F">
        <w:rPr>
          <w:noProof/>
        </w:rPr>
        <w:t>12</w:t>
      </w:r>
      <w:r w:rsidR="004C24C6">
        <w:rPr>
          <w:rFonts w:cs="Arial"/>
          <w:color w:val="000000"/>
          <w:szCs w:val="24"/>
        </w:rPr>
        <w:fldChar w:fldCharType="end"/>
      </w:r>
      <w:r w:rsidRPr="00DD1C3B">
        <w:rPr>
          <w:rFonts w:cs="Arial"/>
          <w:color w:val="000000"/>
          <w:szCs w:val="24"/>
        </w:rPr>
        <w:t xml:space="preserve">, EPA assumes that 18% percent of the potentially affected manufacturers will submit studies each year, yielding </w:t>
      </w:r>
      <w:r w:rsidR="000F1FE7">
        <w:rPr>
          <w:rFonts w:cs="Arial"/>
          <w:color w:val="000000"/>
          <w:szCs w:val="24"/>
        </w:rPr>
        <w:t>6</w:t>
      </w:r>
      <w:r w:rsidRPr="00DD1C3B" w:rsidR="000F1FE7">
        <w:rPr>
          <w:rFonts w:cs="Arial"/>
          <w:color w:val="000000"/>
          <w:szCs w:val="24"/>
        </w:rPr>
        <w:t xml:space="preserve"> </w:t>
      </w:r>
      <w:r w:rsidRPr="00DD1C3B">
        <w:rPr>
          <w:rFonts w:cs="Arial"/>
          <w:color w:val="000000"/>
          <w:szCs w:val="24"/>
        </w:rPr>
        <w:t xml:space="preserve">firms submitting studies (0.18 * </w:t>
      </w:r>
      <w:r w:rsidR="004C24C6">
        <w:rPr>
          <w:rFonts w:cs="Arial"/>
          <w:color w:val="000000"/>
          <w:szCs w:val="24"/>
        </w:rPr>
        <w:t>34</w:t>
      </w:r>
      <w:r w:rsidRPr="00DD1C3B" w:rsidR="004C24C6">
        <w:rPr>
          <w:rFonts w:cs="Arial"/>
          <w:color w:val="000000"/>
          <w:szCs w:val="24"/>
        </w:rPr>
        <w:t xml:space="preserve"> </w:t>
      </w:r>
      <w:r w:rsidRPr="00DD1C3B">
        <w:rPr>
          <w:rFonts w:cs="Arial"/>
          <w:color w:val="000000"/>
          <w:szCs w:val="24"/>
        </w:rPr>
        <w:t>manufacturers)</w:t>
      </w:r>
      <w:r w:rsidR="00A30D92">
        <w:rPr>
          <w:rFonts w:cs="Arial"/>
          <w:color w:val="000000"/>
          <w:szCs w:val="24"/>
        </w:rPr>
        <w:t xml:space="preserve"> and they will also conduct CBI review</w:t>
      </w:r>
      <w:r w:rsidRPr="00DD1C3B">
        <w:rPr>
          <w:rFonts w:cs="Arial"/>
          <w:color w:val="000000"/>
          <w:szCs w:val="24"/>
        </w:rPr>
        <w:t xml:space="preserve">. Each submitting firm is expected to submit a total of 9 studies, yielding an estimated total of </w:t>
      </w:r>
      <w:r w:rsidR="000F1FE7">
        <w:rPr>
          <w:rFonts w:cs="Arial"/>
          <w:color w:val="000000"/>
          <w:szCs w:val="24"/>
        </w:rPr>
        <w:t>54</w:t>
      </w:r>
      <w:r w:rsidRPr="00DD1C3B" w:rsidR="000F1FE7">
        <w:rPr>
          <w:rFonts w:cs="Arial"/>
          <w:color w:val="000000"/>
          <w:szCs w:val="24"/>
        </w:rPr>
        <w:t xml:space="preserve"> </w:t>
      </w:r>
      <w:r w:rsidRPr="00DD1C3B">
        <w:rPr>
          <w:rFonts w:cs="Arial"/>
          <w:color w:val="000000"/>
          <w:szCs w:val="24"/>
        </w:rPr>
        <w:t>studies annually (</w:t>
      </w:r>
      <w:r w:rsidR="000F1FE7">
        <w:rPr>
          <w:rFonts w:cs="Arial"/>
          <w:color w:val="000000"/>
          <w:szCs w:val="24"/>
        </w:rPr>
        <w:t>6</w:t>
      </w:r>
      <w:r w:rsidRPr="00DD1C3B" w:rsidR="000F1FE7">
        <w:rPr>
          <w:rFonts w:cs="Arial"/>
          <w:color w:val="000000"/>
          <w:szCs w:val="24"/>
        </w:rPr>
        <w:t xml:space="preserve"> </w:t>
      </w:r>
      <w:r w:rsidRPr="00DD1C3B">
        <w:rPr>
          <w:rFonts w:cs="Arial"/>
          <w:color w:val="000000"/>
          <w:szCs w:val="24"/>
        </w:rPr>
        <w:t xml:space="preserve">firms * 9 studies per firm). A total of 10% of the studies are expected to contain robust summaries, yielding a total of 1 robust summary per firm (9 studies * 0.10, and rounding up to 1); and approximately 1 firm (5% of 4 firms) is estimated to submit a second response (for a newly initiated or ongoing study) after the reporting period ends. </w:t>
      </w:r>
    </w:p>
    <w:p w:rsidR="00DD1C3B" w:rsidP="00DD1C3B" w:rsidRDefault="00DD1C3B" w14:paraId="4BA7FE69" w14:textId="77777777">
      <w:pPr>
        <w:pStyle w:val="ListParagraph"/>
        <w:widowControl w:val="0"/>
        <w:ind w:left="0"/>
        <w:rPr>
          <w:rFonts w:cs="Arial"/>
          <w:bCs/>
          <w:color w:val="000000"/>
          <w:szCs w:val="24"/>
        </w:rPr>
      </w:pPr>
    </w:p>
    <w:p w:rsidR="001C426B" w:rsidP="00DD1C3B" w:rsidRDefault="00EB1CA3" w14:paraId="1F6D9B04" w14:textId="77777777">
      <w:pPr>
        <w:pStyle w:val="ListParagraph"/>
        <w:widowControl w:val="0"/>
        <w:ind w:left="0"/>
        <w:rPr>
          <w:rFonts w:cs="Arial"/>
          <w:color w:val="000000"/>
          <w:szCs w:val="24"/>
        </w:rPr>
      </w:pPr>
      <w:r w:rsidRPr="00DD1C3B">
        <w:rPr>
          <w:rFonts w:cs="Arial"/>
          <w:color w:val="000000"/>
          <w:szCs w:val="24"/>
        </w:rPr>
        <w:t>The number of firms estimated to engage in the various reporting activities is summarized in</w:t>
      </w:r>
      <w:r w:rsidR="00594EFF">
        <w:rPr>
          <w:rFonts w:cs="Arial"/>
          <w:color w:val="000000"/>
          <w:szCs w:val="24"/>
        </w:rPr>
        <w:t>12</w:t>
      </w:r>
      <w:r w:rsidRPr="00DD1C3B">
        <w:rPr>
          <w:rFonts w:cs="Arial"/>
          <w:color w:val="000000"/>
          <w:szCs w:val="24"/>
        </w:rPr>
        <w:t>. Note that not all respondents incur every aspect of reporting burden.</w:t>
      </w:r>
    </w:p>
    <w:p w:rsidRPr="00DD1C3B" w:rsidR="00EB1CA3" w:rsidP="00DD1C3B" w:rsidRDefault="00EB1CA3" w14:paraId="5FEA1913" w14:textId="4C562245">
      <w:pPr>
        <w:pStyle w:val="ListParagraph"/>
        <w:widowControl w:val="0"/>
        <w:ind w:left="0"/>
        <w:rPr>
          <w:rFonts w:cs="Arial"/>
          <w:bCs/>
          <w:color w:val="000000"/>
          <w:szCs w:val="24"/>
        </w:rPr>
      </w:pPr>
      <w:r w:rsidRPr="00DD1C3B">
        <w:rPr>
          <w:rFonts w:cs="Arial"/>
          <w:color w:val="000000"/>
          <w:szCs w:val="24"/>
        </w:rPr>
        <w:t xml:space="preserve"> </w:t>
      </w:r>
    </w:p>
    <w:p w:rsidRPr="00DD1C3B" w:rsidR="0059126E" w:rsidP="0059126E" w:rsidRDefault="0059126E" w14:paraId="6716272B" w14:textId="53DC78DC">
      <w:pPr>
        <w:pStyle w:val="Caption"/>
        <w:rPr>
          <w:bCs w:val="0"/>
          <w:color w:val="000000"/>
          <w:szCs w:val="24"/>
        </w:rPr>
      </w:pPr>
      <w:r>
        <w:t xml:space="preserve">Table </w:t>
      </w:r>
      <w:r>
        <w:fldChar w:fldCharType="begin"/>
      </w:r>
      <w:r>
        <w:instrText>SEQ Table \* ARABIC</w:instrText>
      </w:r>
      <w:r>
        <w:fldChar w:fldCharType="separate"/>
      </w:r>
      <w:r w:rsidR="001E292F">
        <w:rPr>
          <w:noProof/>
        </w:rPr>
        <w:t>1</w:t>
      </w:r>
      <w:r>
        <w:fldChar w:fldCharType="end"/>
      </w:r>
      <w:r w:rsidR="00F85291">
        <w:t>2</w:t>
      </w:r>
      <w:r>
        <w:t>. Number of Firms Affected per Year, by Activity (13 Chemicals Added Per Year)</w:t>
      </w:r>
      <w:r w:rsidR="007E088C">
        <w:t xml:space="preserve"> TSCA Section 8(d)</w:t>
      </w:r>
    </w:p>
    <w:tbl>
      <w:tblPr>
        <w:tblW w:w="6210" w:type="dxa"/>
        <w:jc w:val="center"/>
        <w:tblLook w:val="04A0" w:firstRow="1" w:lastRow="0" w:firstColumn="1" w:lastColumn="0" w:noHBand="0" w:noVBand="1"/>
      </w:tblPr>
      <w:tblGrid>
        <w:gridCol w:w="4185"/>
        <w:gridCol w:w="2025"/>
      </w:tblGrid>
      <w:tr w:rsidRPr="008C6A2E" w:rsidR="00EB1CA3" w:rsidTr="005C3BF0" w14:paraId="739E04BB" w14:textId="77777777">
        <w:trPr>
          <w:trHeight w:val="450"/>
          <w:jc w:val="center"/>
        </w:trPr>
        <w:tc>
          <w:tcPr>
            <w:tcW w:w="4185" w:type="dxa"/>
            <w:tcBorders>
              <w:top w:val="double" w:color="auto" w:sz="6" w:space="0"/>
              <w:left w:val="double" w:color="auto" w:sz="6" w:space="0"/>
              <w:bottom w:val="double" w:color="auto" w:sz="6" w:space="0"/>
              <w:right w:val="single" w:color="auto" w:sz="4" w:space="0"/>
            </w:tcBorders>
            <w:shd w:val="clear" w:color="auto" w:fill="auto"/>
            <w:noWrap/>
            <w:vAlign w:val="center"/>
            <w:hideMark/>
          </w:tcPr>
          <w:p w:rsidRPr="008C6A2E" w:rsidR="00EB1CA3" w:rsidP="008C6A2E" w:rsidRDefault="00EB1CA3" w14:paraId="3D1E462F" w14:textId="77777777">
            <w:pPr>
              <w:jc w:val="center"/>
              <w:rPr>
                <w:rFonts w:cs="Arial"/>
                <w:b/>
                <w:color w:val="000000"/>
                <w:szCs w:val="24"/>
              </w:rPr>
            </w:pPr>
            <w:r w:rsidRPr="008C6A2E">
              <w:rPr>
                <w:rFonts w:cs="Arial"/>
                <w:b/>
                <w:color w:val="000000"/>
                <w:szCs w:val="24"/>
              </w:rPr>
              <w:t>Collection Activity</w:t>
            </w:r>
          </w:p>
        </w:tc>
        <w:tc>
          <w:tcPr>
            <w:tcW w:w="2025" w:type="dxa"/>
            <w:tcBorders>
              <w:top w:val="double" w:color="auto" w:sz="6" w:space="0"/>
              <w:left w:val="nil"/>
              <w:bottom w:val="double" w:color="auto" w:sz="6" w:space="0"/>
              <w:right w:val="double" w:color="auto" w:sz="6" w:space="0"/>
            </w:tcBorders>
            <w:shd w:val="clear" w:color="auto" w:fill="auto"/>
            <w:vAlign w:val="center"/>
            <w:hideMark/>
          </w:tcPr>
          <w:p w:rsidRPr="008C6A2E" w:rsidR="00EB1CA3" w:rsidP="008C6A2E" w:rsidRDefault="00EB1CA3" w14:paraId="4D7744FA" w14:textId="77777777">
            <w:pPr>
              <w:jc w:val="center"/>
              <w:rPr>
                <w:rFonts w:cs="Arial"/>
                <w:b/>
                <w:color w:val="000000"/>
                <w:szCs w:val="24"/>
              </w:rPr>
            </w:pPr>
            <w:r w:rsidRPr="008C6A2E">
              <w:rPr>
                <w:rFonts w:cs="Arial"/>
                <w:b/>
                <w:color w:val="000000"/>
                <w:szCs w:val="24"/>
              </w:rPr>
              <w:t>No. of Firms</w:t>
            </w:r>
          </w:p>
        </w:tc>
      </w:tr>
      <w:tr w:rsidRPr="008C6A2E" w:rsidR="00EB1CA3" w:rsidTr="005C3BF0" w14:paraId="52818AF9" w14:textId="77777777">
        <w:trPr>
          <w:trHeight w:val="315"/>
          <w:jc w:val="center"/>
        </w:trPr>
        <w:tc>
          <w:tcPr>
            <w:tcW w:w="4185" w:type="dxa"/>
            <w:tcBorders>
              <w:top w:val="double" w:color="auto" w:sz="6" w:space="0"/>
              <w:left w:val="double" w:color="auto" w:sz="6" w:space="0"/>
              <w:bottom w:val="single" w:color="auto" w:sz="4" w:space="0"/>
              <w:right w:val="single" w:color="auto" w:sz="4" w:space="0"/>
            </w:tcBorders>
            <w:shd w:val="clear" w:color="auto" w:fill="auto"/>
            <w:noWrap/>
            <w:vAlign w:val="bottom"/>
            <w:hideMark/>
          </w:tcPr>
          <w:p w:rsidRPr="008C6A2E" w:rsidR="00EB1CA3" w:rsidP="008C6A2E" w:rsidRDefault="00EB1CA3" w14:paraId="102878F1" w14:textId="77777777">
            <w:pPr>
              <w:rPr>
                <w:rFonts w:cs="Arial"/>
                <w:color w:val="000000"/>
                <w:szCs w:val="24"/>
              </w:rPr>
            </w:pPr>
            <w:r w:rsidRPr="008C6A2E">
              <w:rPr>
                <w:rFonts w:cs="Arial"/>
                <w:color w:val="000000"/>
                <w:szCs w:val="24"/>
              </w:rPr>
              <w:t>Review of Rule</w:t>
            </w:r>
          </w:p>
        </w:tc>
        <w:tc>
          <w:tcPr>
            <w:tcW w:w="2025" w:type="dxa"/>
            <w:tcBorders>
              <w:top w:val="double" w:color="auto" w:sz="6" w:space="0"/>
              <w:left w:val="nil"/>
              <w:bottom w:val="single" w:color="auto" w:sz="4" w:space="0"/>
              <w:right w:val="double" w:color="auto" w:sz="6" w:space="0"/>
            </w:tcBorders>
            <w:shd w:val="clear" w:color="auto" w:fill="auto"/>
            <w:noWrap/>
            <w:vAlign w:val="bottom"/>
            <w:hideMark/>
          </w:tcPr>
          <w:p w:rsidRPr="008C6A2E" w:rsidR="00EB1CA3" w:rsidP="008C6A2E" w:rsidRDefault="00A30D92" w14:paraId="7BB46487" w14:textId="2C0519F2">
            <w:pPr>
              <w:jc w:val="center"/>
              <w:rPr>
                <w:rFonts w:cs="Arial"/>
                <w:color w:val="000000"/>
                <w:szCs w:val="24"/>
              </w:rPr>
            </w:pPr>
            <w:r>
              <w:rPr>
                <w:rFonts w:cs="Arial"/>
                <w:color w:val="000000"/>
                <w:szCs w:val="24"/>
              </w:rPr>
              <w:t>34</w:t>
            </w:r>
          </w:p>
        </w:tc>
      </w:tr>
      <w:tr w:rsidRPr="008C6A2E" w:rsidR="00EB1CA3" w:rsidTr="005C3BF0" w14:paraId="501A380E" w14:textId="77777777">
        <w:trPr>
          <w:trHeight w:val="315"/>
          <w:jc w:val="center"/>
        </w:trPr>
        <w:tc>
          <w:tcPr>
            <w:tcW w:w="4185" w:type="dxa"/>
            <w:tcBorders>
              <w:top w:val="nil"/>
              <w:left w:val="double" w:color="auto" w:sz="6" w:space="0"/>
              <w:bottom w:val="single" w:color="auto" w:sz="4" w:space="0"/>
              <w:right w:val="single" w:color="auto" w:sz="4" w:space="0"/>
            </w:tcBorders>
            <w:shd w:val="clear" w:color="auto" w:fill="auto"/>
            <w:noWrap/>
            <w:vAlign w:val="bottom"/>
            <w:hideMark/>
          </w:tcPr>
          <w:p w:rsidRPr="008C6A2E" w:rsidR="00EB1CA3" w:rsidP="008C6A2E" w:rsidRDefault="00EB1CA3" w14:paraId="4EBD5D14" w14:textId="77777777">
            <w:pPr>
              <w:rPr>
                <w:rFonts w:cs="Arial"/>
                <w:color w:val="000000"/>
                <w:szCs w:val="24"/>
              </w:rPr>
            </w:pPr>
            <w:r w:rsidRPr="008C6A2E">
              <w:rPr>
                <w:rFonts w:cs="Arial"/>
                <w:color w:val="000000"/>
                <w:szCs w:val="24"/>
              </w:rPr>
              <w:t>Site Identification</w:t>
            </w:r>
          </w:p>
        </w:tc>
        <w:tc>
          <w:tcPr>
            <w:tcW w:w="2025" w:type="dxa"/>
            <w:tcBorders>
              <w:top w:val="nil"/>
              <w:left w:val="nil"/>
              <w:bottom w:val="single" w:color="auto" w:sz="4" w:space="0"/>
              <w:right w:val="double" w:color="auto" w:sz="6" w:space="0"/>
            </w:tcBorders>
            <w:shd w:val="clear" w:color="auto" w:fill="auto"/>
            <w:noWrap/>
            <w:vAlign w:val="bottom"/>
            <w:hideMark/>
          </w:tcPr>
          <w:p w:rsidRPr="008C6A2E" w:rsidR="00EB1CA3" w:rsidP="008C6A2E" w:rsidRDefault="00A30D92" w14:paraId="51A8B450" w14:textId="5AC11109">
            <w:pPr>
              <w:jc w:val="center"/>
              <w:rPr>
                <w:rFonts w:cs="Arial"/>
                <w:color w:val="000000"/>
                <w:szCs w:val="24"/>
              </w:rPr>
            </w:pPr>
            <w:r>
              <w:rPr>
                <w:rFonts w:cs="Arial"/>
                <w:color w:val="000000"/>
                <w:szCs w:val="24"/>
              </w:rPr>
              <w:t>34</w:t>
            </w:r>
          </w:p>
        </w:tc>
      </w:tr>
      <w:tr w:rsidRPr="008C6A2E" w:rsidR="00EB1CA3" w:rsidTr="005C3BF0" w14:paraId="47C5F268" w14:textId="77777777">
        <w:trPr>
          <w:trHeight w:val="315"/>
          <w:jc w:val="center"/>
        </w:trPr>
        <w:tc>
          <w:tcPr>
            <w:tcW w:w="4185" w:type="dxa"/>
            <w:tcBorders>
              <w:top w:val="nil"/>
              <w:left w:val="double" w:color="auto" w:sz="6" w:space="0"/>
              <w:bottom w:val="single" w:color="auto" w:sz="4" w:space="0"/>
              <w:right w:val="single" w:color="auto" w:sz="4" w:space="0"/>
            </w:tcBorders>
            <w:shd w:val="clear" w:color="auto" w:fill="auto"/>
            <w:noWrap/>
            <w:vAlign w:val="bottom"/>
            <w:hideMark/>
          </w:tcPr>
          <w:p w:rsidRPr="008C6A2E" w:rsidR="00EB1CA3" w:rsidP="008C6A2E" w:rsidRDefault="00EB1CA3" w14:paraId="18E54682" w14:textId="77777777">
            <w:pPr>
              <w:rPr>
                <w:rFonts w:cs="Arial"/>
                <w:color w:val="000000"/>
                <w:szCs w:val="24"/>
              </w:rPr>
            </w:pPr>
            <w:r w:rsidRPr="008C6A2E">
              <w:rPr>
                <w:rFonts w:cs="Arial"/>
                <w:color w:val="000000"/>
                <w:szCs w:val="24"/>
              </w:rPr>
              <w:t>Site File Search</w:t>
            </w:r>
          </w:p>
        </w:tc>
        <w:tc>
          <w:tcPr>
            <w:tcW w:w="2025" w:type="dxa"/>
            <w:tcBorders>
              <w:top w:val="nil"/>
              <w:left w:val="nil"/>
              <w:bottom w:val="single" w:color="auto" w:sz="4" w:space="0"/>
              <w:right w:val="double" w:color="auto" w:sz="6" w:space="0"/>
            </w:tcBorders>
            <w:shd w:val="clear" w:color="auto" w:fill="auto"/>
            <w:noWrap/>
            <w:vAlign w:val="bottom"/>
            <w:hideMark/>
          </w:tcPr>
          <w:p w:rsidRPr="008C6A2E" w:rsidR="00EB1CA3" w:rsidP="008C6A2E" w:rsidRDefault="00A30D92" w14:paraId="2ECE9F67" w14:textId="3BB761FB">
            <w:pPr>
              <w:jc w:val="center"/>
              <w:rPr>
                <w:rFonts w:cs="Arial"/>
                <w:color w:val="000000"/>
                <w:szCs w:val="24"/>
              </w:rPr>
            </w:pPr>
            <w:r>
              <w:rPr>
                <w:rFonts w:cs="Arial"/>
                <w:color w:val="000000"/>
                <w:szCs w:val="24"/>
              </w:rPr>
              <w:t>34</w:t>
            </w:r>
          </w:p>
        </w:tc>
      </w:tr>
      <w:tr w:rsidRPr="008C6A2E" w:rsidR="00EB1CA3" w:rsidTr="005C3BF0" w14:paraId="372CF2F0" w14:textId="77777777">
        <w:trPr>
          <w:trHeight w:val="315"/>
          <w:jc w:val="center"/>
        </w:trPr>
        <w:tc>
          <w:tcPr>
            <w:tcW w:w="4185" w:type="dxa"/>
            <w:tcBorders>
              <w:top w:val="nil"/>
              <w:left w:val="double" w:color="auto" w:sz="6" w:space="0"/>
              <w:bottom w:val="single" w:color="auto" w:sz="4" w:space="0"/>
              <w:right w:val="single" w:color="auto" w:sz="4" w:space="0"/>
            </w:tcBorders>
            <w:shd w:val="clear" w:color="auto" w:fill="auto"/>
            <w:noWrap/>
            <w:vAlign w:val="bottom"/>
            <w:hideMark/>
          </w:tcPr>
          <w:p w:rsidRPr="008C6A2E" w:rsidR="00EB1CA3" w:rsidP="008C6A2E" w:rsidRDefault="00EB1CA3" w14:paraId="0FF15E45" w14:textId="77777777">
            <w:pPr>
              <w:rPr>
                <w:rFonts w:cs="Arial"/>
                <w:color w:val="000000"/>
                <w:szCs w:val="24"/>
              </w:rPr>
            </w:pPr>
            <w:r w:rsidRPr="008C6A2E">
              <w:rPr>
                <w:rFonts w:cs="Arial"/>
                <w:color w:val="000000"/>
                <w:szCs w:val="24"/>
              </w:rPr>
              <w:t xml:space="preserve">Robust Summaries </w:t>
            </w:r>
          </w:p>
        </w:tc>
        <w:tc>
          <w:tcPr>
            <w:tcW w:w="2025" w:type="dxa"/>
            <w:tcBorders>
              <w:top w:val="nil"/>
              <w:left w:val="nil"/>
              <w:bottom w:val="single" w:color="auto" w:sz="4" w:space="0"/>
              <w:right w:val="double" w:color="auto" w:sz="6" w:space="0"/>
            </w:tcBorders>
            <w:shd w:val="clear" w:color="auto" w:fill="auto"/>
            <w:noWrap/>
            <w:vAlign w:val="bottom"/>
            <w:hideMark/>
          </w:tcPr>
          <w:p w:rsidRPr="008C6A2E" w:rsidR="00EB1CA3" w:rsidP="008C6A2E" w:rsidRDefault="00A30D92" w14:paraId="39BA326B" w14:textId="0536C09D">
            <w:pPr>
              <w:jc w:val="center"/>
              <w:rPr>
                <w:rFonts w:cs="Arial"/>
                <w:color w:val="000000"/>
                <w:szCs w:val="24"/>
              </w:rPr>
            </w:pPr>
            <w:r>
              <w:rPr>
                <w:rFonts w:cs="Arial"/>
                <w:color w:val="000000"/>
                <w:szCs w:val="24"/>
              </w:rPr>
              <w:t>6</w:t>
            </w:r>
          </w:p>
        </w:tc>
      </w:tr>
      <w:tr w:rsidRPr="008C6A2E" w:rsidR="00EB1CA3" w:rsidTr="005C3BF0" w14:paraId="2F72E568" w14:textId="77777777">
        <w:trPr>
          <w:trHeight w:val="315"/>
          <w:jc w:val="center"/>
        </w:trPr>
        <w:tc>
          <w:tcPr>
            <w:tcW w:w="4185" w:type="dxa"/>
            <w:tcBorders>
              <w:top w:val="nil"/>
              <w:left w:val="double" w:color="auto" w:sz="6" w:space="0"/>
              <w:bottom w:val="single" w:color="auto" w:sz="4" w:space="0"/>
              <w:right w:val="single" w:color="auto" w:sz="4" w:space="0"/>
            </w:tcBorders>
            <w:shd w:val="clear" w:color="auto" w:fill="auto"/>
            <w:noWrap/>
            <w:vAlign w:val="bottom"/>
            <w:hideMark/>
          </w:tcPr>
          <w:p w:rsidRPr="008C6A2E" w:rsidR="00EB1CA3" w:rsidP="008C6A2E" w:rsidRDefault="00EB1CA3" w14:paraId="5270A047" w14:textId="70C9A3B3">
            <w:pPr>
              <w:rPr>
                <w:rFonts w:cs="Arial"/>
                <w:color w:val="000000"/>
                <w:szCs w:val="24"/>
              </w:rPr>
            </w:pPr>
            <w:r w:rsidRPr="008C6A2E">
              <w:rPr>
                <w:rFonts w:cs="Arial"/>
                <w:color w:val="000000"/>
                <w:szCs w:val="24"/>
              </w:rPr>
              <w:t>CBI Review</w:t>
            </w:r>
          </w:p>
        </w:tc>
        <w:tc>
          <w:tcPr>
            <w:tcW w:w="2025" w:type="dxa"/>
            <w:tcBorders>
              <w:top w:val="nil"/>
              <w:left w:val="nil"/>
              <w:bottom w:val="single" w:color="auto" w:sz="4" w:space="0"/>
              <w:right w:val="double" w:color="auto" w:sz="6" w:space="0"/>
            </w:tcBorders>
            <w:shd w:val="clear" w:color="auto" w:fill="auto"/>
            <w:noWrap/>
            <w:vAlign w:val="bottom"/>
            <w:hideMark/>
          </w:tcPr>
          <w:p w:rsidRPr="008C6A2E" w:rsidR="00EB1CA3" w:rsidP="008C6A2E" w:rsidRDefault="00A30D92" w14:paraId="45C19B62" w14:textId="20880621">
            <w:pPr>
              <w:jc w:val="center"/>
              <w:rPr>
                <w:rFonts w:cs="Arial"/>
                <w:color w:val="000000"/>
                <w:szCs w:val="24"/>
              </w:rPr>
            </w:pPr>
            <w:r>
              <w:rPr>
                <w:rFonts w:cs="Arial"/>
                <w:color w:val="000000"/>
                <w:szCs w:val="24"/>
              </w:rPr>
              <w:t>6</w:t>
            </w:r>
          </w:p>
        </w:tc>
      </w:tr>
      <w:tr w:rsidRPr="008C6A2E" w:rsidR="00EB1CA3" w:rsidTr="005C3BF0" w14:paraId="6838F0E2" w14:textId="77777777">
        <w:trPr>
          <w:trHeight w:val="368"/>
          <w:jc w:val="center"/>
        </w:trPr>
        <w:tc>
          <w:tcPr>
            <w:tcW w:w="4185" w:type="dxa"/>
            <w:tcBorders>
              <w:top w:val="nil"/>
              <w:left w:val="double" w:color="auto" w:sz="6" w:space="0"/>
              <w:bottom w:val="double" w:color="auto" w:sz="6" w:space="0"/>
              <w:right w:val="single" w:color="auto" w:sz="4" w:space="0"/>
            </w:tcBorders>
            <w:shd w:val="clear" w:color="auto" w:fill="auto"/>
            <w:noWrap/>
            <w:vAlign w:val="bottom"/>
            <w:hideMark/>
          </w:tcPr>
          <w:p w:rsidRPr="008C6A2E" w:rsidR="00EB1CA3" w:rsidP="008C6A2E" w:rsidRDefault="00EB1CA3" w14:paraId="65D78259" w14:textId="77777777">
            <w:pPr>
              <w:rPr>
                <w:rFonts w:cs="Arial"/>
                <w:color w:val="000000"/>
                <w:szCs w:val="24"/>
              </w:rPr>
            </w:pPr>
            <w:r w:rsidRPr="008C6A2E">
              <w:rPr>
                <w:rFonts w:cs="Arial"/>
                <w:color w:val="000000"/>
                <w:szCs w:val="24"/>
              </w:rPr>
              <w:t>Post-Reporting Period Submission</w:t>
            </w:r>
          </w:p>
        </w:tc>
        <w:tc>
          <w:tcPr>
            <w:tcW w:w="2025" w:type="dxa"/>
            <w:tcBorders>
              <w:top w:val="nil"/>
              <w:left w:val="nil"/>
              <w:bottom w:val="double" w:color="auto" w:sz="6" w:space="0"/>
              <w:right w:val="double" w:color="auto" w:sz="6" w:space="0"/>
            </w:tcBorders>
            <w:shd w:val="clear" w:color="auto" w:fill="auto"/>
            <w:noWrap/>
            <w:vAlign w:val="bottom"/>
            <w:hideMark/>
          </w:tcPr>
          <w:p w:rsidRPr="008C6A2E" w:rsidR="00EB1CA3" w:rsidP="008C6A2E" w:rsidRDefault="00EB1CA3" w14:paraId="17B079AF" w14:textId="77777777">
            <w:pPr>
              <w:jc w:val="center"/>
              <w:rPr>
                <w:rFonts w:cs="Arial"/>
                <w:color w:val="000000"/>
                <w:szCs w:val="24"/>
              </w:rPr>
            </w:pPr>
            <w:r w:rsidRPr="008C6A2E">
              <w:rPr>
                <w:rFonts w:cs="Arial"/>
                <w:color w:val="000000"/>
                <w:szCs w:val="24"/>
              </w:rPr>
              <w:t>1</w:t>
            </w:r>
          </w:p>
        </w:tc>
      </w:tr>
    </w:tbl>
    <w:p w:rsidR="00DD1C3B" w:rsidP="00DD1C3B" w:rsidRDefault="00DD1C3B" w14:paraId="1DDA8210" w14:textId="77777777">
      <w:pPr>
        <w:pStyle w:val="ListParagraph"/>
        <w:widowControl w:val="0"/>
        <w:ind w:left="1080"/>
        <w:rPr>
          <w:rFonts w:cs="Arial"/>
          <w:color w:val="000000"/>
          <w:szCs w:val="24"/>
        </w:rPr>
      </w:pPr>
    </w:p>
    <w:p w:rsidR="00DD1C3B" w:rsidP="00DD1C3B" w:rsidRDefault="00EB1CA3" w14:paraId="43101BA4" w14:textId="796FAB6E">
      <w:pPr>
        <w:pStyle w:val="ListParagraph"/>
        <w:widowControl w:val="0"/>
        <w:ind w:left="0"/>
        <w:rPr>
          <w:rFonts w:cs="Arial"/>
          <w:color w:val="000000"/>
          <w:szCs w:val="24"/>
        </w:rPr>
      </w:pPr>
      <w:r w:rsidRPr="008C6A2E">
        <w:rPr>
          <w:rFonts w:cs="Arial"/>
          <w:color w:val="000000"/>
          <w:szCs w:val="24"/>
        </w:rPr>
        <w:t xml:space="preserve">The number of firms or studies described above is combined with the estimated average unit burden hours and wages </w:t>
      </w:r>
      <w:r w:rsidR="0059126E">
        <w:rPr>
          <w:rFonts w:cs="Arial"/>
          <w:color w:val="000000"/>
          <w:szCs w:val="24"/>
        </w:rPr>
        <w:fldChar w:fldCharType="begin"/>
      </w:r>
      <w:r w:rsidR="0059126E">
        <w:rPr>
          <w:rFonts w:cs="Arial"/>
          <w:color w:val="000000"/>
          <w:szCs w:val="24"/>
        </w:rPr>
        <w:instrText xml:space="preserve"> REF _Ref96440159 \h </w:instrText>
      </w:r>
      <w:r w:rsidR="0059126E">
        <w:rPr>
          <w:rFonts w:cs="Arial"/>
          <w:color w:val="000000"/>
          <w:szCs w:val="24"/>
        </w:rPr>
      </w:r>
      <w:r w:rsidR="0059126E">
        <w:rPr>
          <w:rFonts w:cs="Arial"/>
          <w:color w:val="000000"/>
          <w:szCs w:val="24"/>
        </w:rPr>
        <w:fldChar w:fldCharType="separate"/>
      </w:r>
      <w:r w:rsidR="001E292F">
        <w:t xml:space="preserve">Table </w:t>
      </w:r>
      <w:r w:rsidR="001E292F">
        <w:rPr>
          <w:noProof/>
        </w:rPr>
        <w:t>12</w:t>
      </w:r>
      <w:r w:rsidR="0059126E">
        <w:rPr>
          <w:rFonts w:cs="Arial"/>
          <w:color w:val="000000"/>
          <w:szCs w:val="24"/>
        </w:rPr>
        <w:fldChar w:fldCharType="end"/>
      </w:r>
      <w:r w:rsidR="0059126E">
        <w:rPr>
          <w:rFonts w:cs="Arial"/>
          <w:color w:val="000000"/>
          <w:szCs w:val="24"/>
        </w:rPr>
        <w:t xml:space="preserve"> </w:t>
      </w:r>
      <w:r w:rsidR="001C426B">
        <w:rPr>
          <w:rFonts w:cs="Arial"/>
          <w:color w:val="000000"/>
          <w:szCs w:val="24"/>
        </w:rPr>
        <w:t>and</w:t>
      </w:r>
      <w:r w:rsidR="0059126E">
        <w:rPr>
          <w:rFonts w:cs="Arial"/>
          <w:color w:val="000000"/>
          <w:szCs w:val="24"/>
        </w:rPr>
        <w:t xml:space="preserve"> </w:t>
      </w:r>
      <w:r w:rsidR="001C426B">
        <w:rPr>
          <w:rFonts w:cs="Arial"/>
          <w:color w:val="000000"/>
          <w:szCs w:val="24"/>
        </w:rPr>
        <w:t>Table 1</w:t>
      </w:r>
      <w:r w:rsidR="0059126E">
        <w:rPr>
          <w:rFonts w:cs="Arial"/>
          <w:color w:val="000000"/>
          <w:szCs w:val="24"/>
        </w:rPr>
        <w:t>, respectively,</w:t>
      </w:r>
      <w:r w:rsidR="0098029F">
        <w:rPr>
          <w:rFonts w:cs="Arial"/>
          <w:color w:val="000000"/>
          <w:szCs w:val="24"/>
        </w:rPr>
        <w:t xml:space="preserve"> </w:t>
      </w:r>
      <w:r w:rsidRPr="008C6A2E">
        <w:rPr>
          <w:rFonts w:cs="Arial"/>
          <w:color w:val="000000"/>
          <w:szCs w:val="24"/>
        </w:rPr>
        <w:t xml:space="preserve">to estimate the total burden hours and cost per year based on three types of response activities:  searching files, submitting studies during the reporting period, and submitting studies after the reporting period. </w:t>
      </w:r>
    </w:p>
    <w:p w:rsidRPr="00594EFF" w:rsidR="00DD1C3B" w:rsidP="00594EFF" w:rsidRDefault="00B03E52" w14:paraId="4A795823" w14:textId="65C09A4C">
      <w:pPr>
        <w:pStyle w:val="Caption"/>
        <w:rPr>
          <w:color w:val="000000"/>
          <w:szCs w:val="24"/>
        </w:rPr>
      </w:pPr>
      <w:bookmarkStart w:name="_Ref96441297" w:id="39"/>
      <w:r>
        <w:t xml:space="preserve">Table </w:t>
      </w:r>
      <w:bookmarkEnd w:id="39"/>
      <w:r w:rsidR="0098029F">
        <w:t>13</w:t>
      </w:r>
      <w:r>
        <w:t xml:space="preserve">. Annual Respondent Burden Hour </w:t>
      </w:r>
      <w:r w:rsidR="0059126E">
        <w:t xml:space="preserve">and Cost </w:t>
      </w:r>
      <w:r>
        <w:t>Estimates TSCA Section 8(d)</w:t>
      </w:r>
      <w:r w:rsidR="0059126E">
        <w:t xml:space="preserve"> (2021$)</w:t>
      </w:r>
    </w:p>
    <w:tbl>
      <w:tblPr>
        <w:tblW w:w="9320" w:type="dxa"/>
        <w:tblLook w:val="04A0" w:firstRow="1" w:lastRow="0" w:firstColumn="1" w:lastColumn="0" w:noHBand="0" w:noVBand="1"/>
      </w:tblPr>
      <w:tblGrid>
        <w:gridCol w:w="1484"/>
        <w:gridCol w:w="1484"/>
        <w:gridCol w:w="1172"/>
        <w:gridCol w:w="1206"/>
        <w:gridCol w:w="1172"/>
        <w:gridCol w:w="1284"/>
        <w:gridCol w:w="928"/>
        <w:gridCol w:w="939"/>
      </w:tblGrid>
      <w:tr w:rsidRPr="00EC4276" w:rsidR="00EC4276" w:rsidTr="004B4ECA" w14:paraId="2455C6C2" w14:textId="77777777">
        <w:trPr>
          <w:trHeight w:val="1080"/>
          <w:tblHeader/>
        </w:trPr>
        <w:tc>
          <w:tcPr>
            <w:tcW w:w="1700" w:type="dxa"/>
            <w:tcBorders>
              <w:top w:val="double" w:color="000000" w:sz="6" w:space="0"/>
              <w:left w:val="double" w:color="000000" w:sz="6" w:space="0"/>
              <w:bottom w:val="single" w:color="auto" w:sz="8" w:space="0"/>
              <w:right w:val="single" w:color="auto" w:sz="8" w:space="0"/>
            </w:tcBorders>
            <w:shd w:val="clear" w:color="auto" w:fill="auto"/>
            <w:vAlign w:val="center"/>
            <w:hideMark/>
          </w:tcPr>
          <w:p w:rsidRPr="00EC4276" w:rsidR="00EC4276" w:rsidP="00EC4276" w:rsidRDefault="00EC4276" w14:paraId="1E306C17"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Information Collections</w:t>
            </w:r>
          </w:p>
        </w:tc>
        <w:tc>
          <w:tcPr>
            <w:tcW w:w="134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42AF783C"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Response Activities</w:t>
            </w:r>
          </w:p>
        </w:tc>
        <w:tc>
          <w:tcPr>
            <w:tcW w:w="110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60A47361"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Burden per Response (Hours)</w:t>
            </w:r>
          </w:p>
        </w:tc>
        <w:tc>
          <w:tcPr>
            <w:tcW w:w="114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1FEB4B6C"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Labor Category</w:t>
            </w:r>
          </w:p>
        </w:tc>
        <w:tc>
          <w:tcPr>
            <w:tcW w:w="106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20B93964"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Cost per Response</w:t>
            </w:r>
          </w:p>
        </w:tc>
        <w:tc>
          <w:tcPr>
            <w:tcW w:w="122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7CDB6BEB"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Number of Responses</w:t>
            </w:r>
          </w:p>
        </w:tc>
        <w:tc>
          <w:tcPr>
            <w:tcW w:w="880" w:type="dxa"/>
            <w:tcBorders>
              <w:top w:val="double" w:color="000000" w:sz="6" w:space="0"/>
              <w:left w:val="nil"/>
              <w:bottom w:val="single" w:color="auto" w:sz="8" w:space="0"/>
              <w:right w:val="single" w:color="auto" w:sz="8" w:space="0"/>
            </w:tcBorders>
            <w:shd w:val="clear" w:color="auto" w:fill="auto"/>
            <w:vAlign w:val="center"/>
            <w:hideMark/>
          </w:tcPr>
          <w:p w:rsidRPr="00EC4276" w:rsidR="00EC4276" w:rsidP="00EC4276" w:rsidRDefault="00EC4276" w14:paraId="08C8183A"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Total Burden (Hours)</w:t>
            </w:r>
          </w:p>
        </w:tc>
        <w:tc>
          <w:tcPr>
            <w:tcW w:w="880" w:type="dxa"/>
            <w:tcBorders>
              <w:top w:val="double" w:color="000000" w:sz="6" w:space="0"/>
              <w:left w:val="nil"/>
              <w:bottom w:val="single" w:color="auto" w:sz="8" w:space="0"/>
              <w:right w:val="double" w:color="000000" w:sz="6" w:space="0"/>
            </w:tcBorders>
            <w:shd w:val="clear" w:color="auto" w:fill="auto"/>
            <w:vAlign w:val="center"/>
            <w:hideMark/>
          </w:tcPr>
          <w:p w:rsidRPr="00EC4276" w:rsidR="00EC4276" w:rsidP="00EC4276" w:rsidRDefault="00EC4276" w14:paraId="7F56144D"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Total Cost</w:t>
            </w:r>
          </w:p>
        </w:tc>
      </w:tr>
      <w:tr w:rsidRPr="00EC4276" w:rsidR="00EC4276" w:rsidTr="00EC4276" w14:paraId="031DA596" w14:textId="77777777">
        <w:trPr>
          <w:trHeight w:val="300"/>
        </w:trPr>
        <w:tc>
          <w:tcPr>
            <w:tcW w:w="1700" w:type="dxa"/>
            <w:vMerge w:val="restart"/>
            <w:tcBorders>
              <w:top w:val="nil"/>
              <w:left w:val="double" w:color="000000" w:sz="6" w:space="0"/>
              <w:bottom w:val="single" w:color="000000" w:sz="8" w:space="0"/>
              <w:right w:val="single" w:color="auto" w:sz="8" w:space="0"/>
            </w:tcBorders>
            <w:shd w:val="clear" w:color="auto" w:fill="auto"/>
            <w:vAlign w:val="center"/>
            <w:hideMark/>
          </w:tcPr>
          <w:p w:rsidRPr="00EC4276" w:rsidR="00EC4276" w:rsidP="00EC4276" w:rsidRDefault="00EC4276" w14:paraId="09B6D2D4" w14:textId="77777777">
            <w:pPr>
              <w:spacing w:after="0" w:line="240" w:lineRule="auto"/>
              <w:rPr>
                <w:rFonts w:eastAsia="Times New Roman" w:cs="Arial"/>
                <w:color w:val="000000"/>
                <w:sz w:val="20"/>
                <w:szCs w:val="20"/>
              </w:rPr>
            </w:pPr>
            <w:r w:rsidRPr="00EC4276">
              <w:rPr>
                <w:rFonts w:eastAsia="Times New Roman" w:cs="Arial"/>
                <w:color w:val="000000"/>
                <w:sz w:val="20"/>
                <w:szCs w:val="20"/>
              </w:rPr>
              <w:t>Compliance determination and data search</w:t>
            </w: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45C2B408" w14:textId="77777777">
            <w:pPr>
              <w:spacing w:after="0" w:line="240" w:lineRule="auto"/>
              <w:rPr>
                <w:rFonts w:eastAsia="Times New Roman" w:cs="Arial"/>
                <w:color w:val="000000"/>
                <w:sz w:val="20"/>
                <w:szCs w:val="20"/>
              </w:rPr>
            </w:pPr>
            <w:r w:rsidRPr="00EC4276">
              <w:rPr>
                <w:rFonts w:eastAsia="Times New Roman" w:cs="Arial"/>
                <w:color w:val="000000"/>
                <w:sz w:val="20"/>
                <w:szCs w:val="20"/>
              </w:rPr>
              <w:t>Rule review</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59816667"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2</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544272E8"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143F00E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$835 </w:t>
            </w:r>
          </w:p>
        </w:tc>
        <w:tc>
          <w:tcPr>
            <w:tcW w:w="12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50136B59"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34</w:t>
            </w:r>
          </w:p>
        </w:tc>
        <w:tc>
          <w:tcPr>
            <w:tcW w:w="88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140A1AB7"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323</w:t>
            </w:r>
          </w:p>
        </w:tc>
        <w:tc>
          <w:tcPr>
            <w:tcW w:w="880" w:type="dxa"/>
            <w:vMerge w:val="restart"/>
            <w:tcBorders>
              <w:top w:val="nil"/>
              <w:left w:val="single" w:color="auto" w:sz="8" w:space="0"/>
              <w:bottom w:val="single" w:color="000000" w:sz="8" w:space="0"/>
              <w:right w:val="double" w:color="000000" w:sz="6" w:space="0"/>
            </w:tcBorders>
            <w:shd w:val="clear" w:color="auto" w:fill="auto"/>
            <w:vAlign w:val="center"/>
            <w:hideMark/>
          </w:tcPr>
          <w:p w:rsidRPr="00EC4276" w:rsidR="00EC4276" w:rsidP="00EC4276" w:rsidRDefault="00EC4276" w14:paraId="62AF88BD" w14:textId="102EF4C8">
            <w:pPr>
              <w:spacing w:after="0" w:line="240" w:lineRule="auto"/>
              <w:jc w:val="center"/>
              <w:rPr>
                <w:rFonts w:eastAsia="Times New Roman" w:cs="Arial"/>
                <w:color w:val="000000"/>
                <w:sz w:val="20"/>
                <w:szCs w:val="20"/>
              </w:rPr>
            </w:pPr>
            <w:r w:rsidRPr="00EC4276">
              <w:rPr>
                <w:rFonts w:eastAsia="Times New Roman" w:cs="Arial"/>
                <w:color w:val="000000"/>
                <w:sz w:val="20"/>
                <w:szCs w:val="20"/>
              </w:rPr>
              <w:t>$28,3</w:t>
            </w:r>
            <w:r w:rsidR="003641C5">
              <w:rPr>
                <w:rFonts w:eastAsia="Times New Roman" w:cs="Arial"/>
                <w:color w:val="000000"/>
                <w:sz w:val="20"/>
                <w:szCs w:val="20"/>
              </w:rPr>
              <w:t>90</w:t>
            </w:r>
            <w:r w:rsidRPr="00EC4276">
              <w:rPr>
                <w:rFonts w:eastAsia="Times New Roman" w:cs="Arial"/>
                <w:color w:val="000000"/>
                <w:sz w:val="20"/>
                <w:szCs w:val="20"/>
              </w:rPr>
              <w:t xml:space="preserve"> </w:t>
            </w:r>
          </w:p>
        </w:tc>
      </w:tr>
      <w:tr w:rsidRPr="00EC4276" w:rsidR="00EC4276" w:rsidTr="00EC4276" w14:paraId="0EE062FE"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236626B0"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0E6F473"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73CA755"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4CEC53A0"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151029C"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BDDDA36"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90924A8"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7ED00F1A" w14:textId="77777777">
            <w:pPr>
              <w:spacing w:after="0" w:line="240" w:lineRule="auto"/>
              <w:rPr>
                <w:rFonts w:eastAsia="Times New Roman" w:cs="Arial"/>
                <w:color w:val="000000"/>
                <w:sz w:val="20"/>
                <w:szCs w:val="20"/>
              </w:rPr>
            </w:pPr>
          </w:p>
        </w:tc>
      </w:tr>
      <w:tr w:rsidRPr="00EC4276" w:rsidR="00EC4276" w:rsidTr="00EC4276" w14:paraId="23CE676A"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51425834" w14:textId="77777777">
            <w:pPr>
              <w:spacing w:after="0" w:line="240" w:lineRule="auto"/>
              <w:rPr>
                <w:rFonts w:eastAsia="Times New Roman" w:cs="Arial"/>
                <w:color w:val="000000"/>
                <w:sz w:val="20"/>
                <w:szCs w:val="20"/>
              </w:rPr>
            </w:pP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793EA9FD" w14:textId="77777777">
            <w:pPr>
              <w:spacing w:after="0" w:line="240" w:lineRule="auto"/>
              <w:rPr>
                <w:rFonts w:eastAsia="Times New Roman" w:cs="Arial"/>
                <w:color w:val="000000"/>
                <w:sz w:val="20"/>
                <w:szCs w:val="20"/>
              </w:rPr>
            </w:pPr>
            <w:r w:rsidRPr="00EC4276">
              <w:rPr>
                <w:rFonts w:eastAsia="Times New Roman" w:cs="Arial"/>
                <w:color w:val="000000"/>
                <w:sz w:val="20"/>
                <w:szCs w:val="20"/>
              </w:rPr>
              <w:t xml:space="preserve">Site Identification </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740C4CB6"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3</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16E7E16C"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8BFB716"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DDFB270"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9CD5EA9"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76B5496A" w14:textId="77777777">
            <w:pPr>
              <w:spacing w:after="0" w:line="240" w:lineRule="auto"/>
              <w:rPr>
                <w:rFonts w:eastAsia="Times New Roman" w:cs="Arial"/>
                <w:color w:val="000000"/>
                <w:sz w:val="20"/>
                <w:szCs w:val="20"/>
              </w:rPr>
            </w:pPr>
          </w:p>
        </w:tc>
      </w:tr>
      <w:tr w:rsidRPr="00EC4276" w:rsidR="00EC4276" w:rsidTr="00EC4276" w14:paraId="03BABC71"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40620362"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B289115"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E529B3C"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321A2703"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0576C3E"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4E04B4F"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BB5E5CC"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1C3DA39F" w14:textId="77777777">
            <w:pPr>
              <w:spacing w:after="0" w:line="240" w:lineRule="auto"/>
              <w:rPr>
                <w:rFonts w:eastAsia="Times New Roman" w:cs="Arial"/>
                <w:color w:val="000000"/>
                <w:sz w:val="20"/>
                <w:szCs w:val="20"/>
              </w:rPr>
            </w:pPr>
          </w:p>
        </w:tc>
      </w:tr>
      <w:tr w:rsidRPr="00EC4276" w:rsidR="00EC4276" w:rsidTr="00EC4276" w14:paraId="624BAEF1"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2DDBFEF0" w14:textId="77777777">
            <w:pPr>
              <w:spacing w:after="0" w:line="240" w:lineRule="auto"/>
              <w:rPr>
                <w:rFonts w:eastAsia="Times New Roman" w:cs="Arial"/>
                <w:color w:val="000000"/>
                <w:sz w:val="20"/>
                <w:szCs w:val="20"/>
              </w:rPr>
            </w:pP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6BD00664" w14:textId="77777777">
            <w:pPr>
              <w:spacing w:after="0" w:line="240" w:lineRule="auto"/>
              <w:rPr>
                <w:rFonts w:eastAsia="Times New Roman" w:cs="Arial"/>
                <w:color w:val="000000"/>
                <w:sz w:val="20"/>
                <w:szCs w:val="20"/>
              </w:rPr>
            </w:pPr>
            <w:r w:rsidRPr="00EC4276">
              <w:rPr>
                <w:rFonts w:eastAsia="Times New Roman" w:cs="Arial"/>
                <w:color w:val="000000"/>
                <w:sz w:val="20"/>
                <w:szCs w:val="20"/>
              </w:rPr>
              <w:t>Site File Search</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269215ED"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4.5</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4D5FF8A4"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Technical</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75D299B8"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B60287F"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2FE6555"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14823583" w14:textId="77777777">
            <w:pPr>
              <w:spacing w:after="0" w:line="240" w:lineRule="auto"/>
              <w:rPr>
                <w:rFonts w:eastAsia="Times New Roman" w:cs="Arial"/>
                <w:color w:val="000000"/>
                <w:sz w:val="20"/>
                <w:szCs w:val="20"/>
              </w:rPr>
            </w:pPr>
          </w:p>
        </w:tc>
      </w:tr>
      <w:tr w:rsidRPr="00EC4276" w:rsidR="00EC4276" w:rsidTr="00EC4276" w14:paraId="57A8E0D0"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0C8330EA"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FF840ED"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1DF7541"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44A1F815"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$80.50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4B723AF"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0E0B32F"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746FE45"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599581FE" w14:textId="77777777">
            <w:pPr>
              <w:spacing w:after="0" w:line="240" w:lineRule="auto"/>
              <w:rPr>
                <w:rFonts w:eastAsia="Times New Roman" w:cs="Arial"/>
                <w:color w:val="000000"/>
                <w:sz w:val="20"/>
                <w:szCs w:val="20"/>
              </w:rPr>
            </w:pPr>
          </w:p>
        </w:tc>
      </w:tr>
      <w:tr w:rsidRPr="00EC4276" w:rsidR="00EC4276" w:rsidTr="00EC4276" w14:paraId="163EBCE8" w14:textId="77777777">
        <w:trPr>
          <w:trHeight w:val="300"/>
        </w:trPr>
        <w:tc>
          <w:tcPr>
            <w:tcW w:w="1700" w:type="dxa"/>
            <w:vMerge w:val="restart"/>
            <w:tcBorders>
              <w:top w:val="nil"/>
              <w:left w:val="double" w:color="000000" w:sz="6" w:space="0"/>
              <w:bottom w:val="single" w:color="000000" w:sz="8" w:space="0"/>
              <w:right w:val="single" w:color="auto" w:sz="8" w:space="0"/>
            </w:tcBorders>
            <w:shd w:val="clear" w:color="auto" w:fill="auto"/>
            <w:vAlign w:val="center"/>
            <w:hideMark/>
          </w:tcPr>
          <w:p w:rsidRPr="00EC4276" w:rsidR="00EC4276" w:rsidP="00EC4276" w:rsidRDefault="00EC4276" w14:paraId="04C568DA" w14:textId="77777777">
            <w:pPr>
              <w:spacing w:after="0" w:line="240" w:lineRule="auto"/>
              <w:rPr>
                <w:rFonts w:eastAsia="Times New Roman" w:cs="Arial"/>
                <w:color w:val="000000"/>
                <w:sz w:val="20"/>
                <w:szCs w:val="20"/>
              </w:rPr>
            </w:pPr>
            <w:r w:rsidRPr="00EC4276">
              <w:rPr>
                <w:rFonts w:eastAsia="Times New Roman" w:cs="Arial"/>
                <w:color w:val="000000"/>
                <w:sz w:val="20"/>
                <w:szCs w:val="20"/>
              </w:rPr>
              <w:t xml:space="preserve">Submission of health and safety studies during the reporting period and CBI Substantiation </w:t>
            </w: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24542C25" w14:textId="77777777">
            <w:pPr>
              <w:spacing w:after="0" w:line="240" w:lineRule="auto"/>
              <w:rPr>
                <w:rFonts w:eastAsia="Times New Roman" w:cs="Arial"/>
                <w:color w:val="000000"/>
                <w:sz w:val="20"/>
                <w:szCs w:val="20"/>
              </w:rPr>
            </w:pPr>
            <w:r w:rsidRPr="00EC4276">
              <w:rPr>
                <w:rFonts w:eastAsia="Times New Roman" w:cs="Arial"/>
                <w:color w:val="000000"/>
                <w:sz w:val="20"/>
                <w:szCs w:val="20"/>
              </w:rPr>
              <w:t>Robust summaries</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4C2E3CB7"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12</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24DC17F1"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Technical</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2A8F3BC3"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$1,959 </w:t>
            </w:r>
          </w:p>
        </w:tc>
        <w:tc>
          <w:tcPr>
            <w:tcW w:w="12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53F47F0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6</w:t>
            </w:r>
          </w:p>
        </w:tc>
        <w:tc>
          <w:tcPr>
            <w:tcW w:w="88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65BB2668" w14:textId="2A22C00F">
            <w:pPr>
              <w:spacing w:after="0" w:line="240" w:lineRule="auto"/>
              <w:jc w:val="center"/>
              <w:rPr>
                <w:rFonts w:eastAsia="Times New Roman" w:cs="Arial"/>
                <w:color w:val="000000"/>
                <w:sz w:val="20"/>
                <w:szCs w:val="20"/>
              </w:rPr>
            </w:pPr>
            <w:r w:rsidRPr="00EC4276">
              <w:rPr>
                <w:rFonts w:eastAsia="Times New Roman" w:cs="Arial"/>
                <w:color w:val="000000"/>
                <w:sz w:val="20"/>
                <w:szCs w:val="20"/>
              </w:rPr>
              <w:t>13</w:t>
            </w:r>
            <w:r w:rsidR="003641C5">
              <w:rPr>
                <w:rFonts w:eastAsia="Times New Roman" w:cs="Arial"/>
                <w:color w:val="000000"/>
                <w:sz w:val="20"/>
                <w:szCs w:val="20"/>
              </w:rPr>
              <w:t>5</w:t>
            </w:r>
          </w:p>
        </w:tc>
        <w:tc>
          <w:tcPr>
            <w:tcW w:w="880" w:type="dxa"/>
            <w:vMerge w:val="restart"/>
            <w:tcBorders>
              <w:top w:val="nil"/>
              <w:left w:val="single" w:color="auto" w:sz="8" w:space="0"/>
              <w:bottom w:val="single" w:color="000000" w:sz="8" w:space="0"/>
              <w:right w:val="double" w:color="000000" w:sz="6" w:space="0"/>
            </w:tcBorders>
            <w:shd w:val="clear" w:color="auto" w:fill="auto"/>
            <w:vAlign w:val="center"/>
            <w:hideMark/>
          </w:tcPr>
          <w:p w:rsidRPr="00EC4276" w:rsidR="00EC4276" w:rsidP="00EC4276" w:rsidRDefault="00EC4276" w14:paraId="57BD5A51" w14:textId="67CF22CA">
            <w:pPr>
              <w:spacing w:after="0" w:line="240" w:lineRule="auto"/>
              <w:jc w:val="center"/>
              <w:rPr>
                <w:rFonts w:eastAsia="Times New Roman" w:cs="Arial"/>
                <w:color w:val="000000"/>
                <w:sz w:val="20"/>
                <w:szCs w:val="20"/>
              </w:rPr>
            </w:pPr>
            <w:r w:rsidRPr="00EC4276">
              <w:rPr>
                <w:rFonts w:eastAsia="Times New Roman" w:cs="Arial"/>
                <w:color w:val="000000"/>
                <w:sz w:val="20"/>
                <w:szCs w:val="20"/>
              </w:rPr>
              <w:t>$11,</w:t>
            </w:r>
            <w:r w:rsidR="003641C5">
              <w:rPr>
                <w:rFonts w:eastAsia="Times New Roman" w:cs="Arial"/>
                <w:color w:val="000000"/>
                <w:sz w:val="20"/>
                <w:szCs w:val="20"/>
              </w:rPr>
              <w:t>754</w:t>
            </w:r>
            <w:r w:rsidRPr="00EC4276">
              <w:rPr>
                <w:rFonts w:eastAsia="Times New Roman" w:cs="Arial"/>
                <w:color w:val="000000"/>
                <w:sz w:val="20"/>
                <w:szCs w:val="20"/>
              </w:rPr>
              <w:t xml:space="preserve"> </w:t>
            </w:r>
          </w:p>
        </w:tc>
      </w:tr>
      <w:tr w:rsidRPr="00EC4276" w:rsidR="00EC4276" w:rsidTr="00EC4276" w14:paraId="5B0E67B5"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7FE1BDD6"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23CA55E"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BA0CCE8"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22E1BE3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$80.50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94C21D2"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8BA5234"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EF0515B"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146E004E" w14:textId="77777777">
            <w:pPr>
              <w:spacing w:after="0" w:line="240" w:lineRule="auto"/>
              <w:rPr>
                <w:rFonts w:eastAsia="Times New Roman" w:cs="Arial"/>
                <w:color w:val="000000"/>
                <w:sz w:val="20"/>
                <w:szCs w:val="20"/>
              </w:rPr>
            </w:pPr>
          </w:p>
        </w:tc>
      </w:tr>
      <w:tr w:rsidRPr="00EC4276" w:rsidR="00EC4276" w:rsidTr="00EC4276" w14:paraId="7496BA5D"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52AD6D82" w14:textId="77777777">
            <w:pPr>
              <w:spacing w:after="0" w:line="240" w:lineRule="auto"/>
              <w:rPr>
                <w:rFonts w:eastAsia="Times New Roman" w:cs="Arial"/>
                <w:color w:val="000000"/>
                <w:sz w:val="20"/>
                <w:szCs w:val="20"/>
              </w:rPr>
            </w:pP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624EFD80" w14:textId="77777777">
            <w:pPr>
              <w:spacing w:after="0" w:line="240" w:lineRule="auto"/>
              <w:rPr>
                <w:rFonts w:eastAsia="Times New Roman" w:cs="Arial"/>
                <w:color w:val="000000"/>
                <w:sz w:val="20"/>
                <w:szCs w:val="20"/>
              </w:rPr>
            </w:pPr>
            <w:r w:rsidRPr="00EC4276">
              <w:rPr>
                <w:rFonts w:eastAsia="Times New Roman" w:cs="Arial"/>
                <w:color w:val="000000"/>
                <w:sz w:val="20"/>
                <w:szCs w:val="20"/>
              </w:rPr>
              <w:t xml:space="preserve">CBI Review </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0B5FF936"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9</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7BE83AB2"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720B3B4"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C9ACFBD"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A206D36"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090A8B82" w14:textId="77777777">
            <w:pPr>
              <w:spacing w:after="0" w:line="240" w:lineRule="auto"/>
              <w:rPr>
                <w:rFonts w:eastAsia="Times New Roman" w:cs="Arial"/>
                <w:color w:val="000000"/>
                <w:sz w:val="20"/>
                <w:szCs w:val="20"/>
              </w:rPr>
            </w:pPr>
          </w:p>
        </w:tc>
      </w:tr>
      <w:tr w:rsidRPr="00EC4276" w:rsidR="00EC4276" w:rsidTr="00EC4276" w14:paraId="5BBF6EA6"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55786E35"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828BACD"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D931242"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2E3021E7"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791700A"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7183F04B"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DA66414"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235A56C4" w14:textId="77777777">
            <w:pPr>
              <w:spacing w:after="0" w:line="240" w:lineRule="auto"/>
              <w:rPr>
                <w:rFonts w:eastAsia="Times New Roman" w:cs="Arial"/>
                <w:color w:val="000000"/>
                <w:sz w:val="20"/>
                <w:szCs w:val="20"/>
              </w:rPr>
            </w:pPr>
          </w:p>
        </w:tc>
      </w:tr>
      <w:tr w:rsidRPr="00EC4276" w:rsidR="00EC4276" w:rsidTr="00EC4276" w14:paraId="4022D190"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5A04C127" w14:textId="77777777">
            <w:pPr>
              <w:spacing w:after="0" w:line="240" w:lineRule="auto"/>
              <w:rPr>
                <w:rFonts w:eastAsia="Times New Roman" w:cs="Arial"/>
                <w:color w:val="000000"/>
                <w:sz w:val="20"/>
                <w:szCs w:val="20"/>
              </w:rPr>
            </w:pPr>
          </w:p>
        </w:tc>
        <w:tc>
          <w:tcPr>
            <w:tcW w:w="134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0372CFC3" w14:textId="77777777">
            <w:pPr>
              <w:spacing w:after="0" w:line="240" w:lineRule="auto"/>
              <w:rPr>
                <w:rFonts w:eastAsia="Times New Roman" w:cs="Arial"/>
                <w:color w:val="000000"/>
                <w:sz w:val="20"/>
                <w:szCs w:val="20"/>
              </w:rPr>
            </w:pPr>
            <w:r w:rsidRPr="00EC4276">
              <w:rPr>
                <w:rFonts w:eastAsia="Times New Roman" w:cs="Arial"/>
                <w:color w:val="000000"/>
                <w:sz w:val="20"/>
                <w:szCs w:val="20"/>
              </w:rPr>
              <w:t>CBI Legal Review and CBI Substantiation</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6699101A"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0.75</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190BB25A"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70C5F8AA"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75E18705"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805AEFE"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3D1740EE" w14:textId="77777777">
            <w:pPr>
              <w:spacing w:after="0" w:line="240" w:lineRule="auto"/>
              <w:rPr>
                <w:rFonts w:eastAsia="Times New Roman" w:cs="Arial"/>
                <w:color w:val="000000"/>
                <w:sz w:val="20"/>
                <w:szCs w:val="20"/>
              </w:rPr>
            </w:pPr>
          </w:p>
        </w:tc>
      </w:tr>
      <w:tr w:rsidRPr="00EC4276" w:rsidR="00EC4276" w:rsidTr="00DF540F" w14:paraId="3FF996A0"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12CE58C2"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12FBCFB"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F71ACFE" w14:textId="77777777">
            <w:pPr>
              <w:spacing w:after="0" w:line="240" w:lineRule="auto"/>
              <w:rPr>
                <w:rFonts w:eastAsia="Times New Roman" w:cs="Arial"/>
                <w:color w:val="000000"/>
                <w:sz w:val="20"/>
                <w:szCs w:val="20"/>
              </w:rPr>
            </w:pPr>
          </w:p>
        </w:tc>
        <w:tc>
          <w:tcPr>
            <w:tcW w:w="1140" w:type="dxa"/>
            <w:tcBorders>
              <w:top w:val="nil"/>
              <w:left w:val="nil"/>
              <w:bottom w:val="single" w:color="auto" w:sz="4" w:space="0"/>
              <w:right w:val="single" w:color="auto" w:sz="8" w:space="0"/>
            </w:tcBorders>
            <w:shd w:val="clear" w:color="auto" w:fill="auto"/>
            <w:vAlign w:val="center"/>
            <w:hideMark/>
          </w:tcPr>
          <w:p w:rsidRPr="00EC4276" w:rsidR="00EC4276" w:rsidP="00EC4276" w:rsidRDefault="00EC4276" w14:paraId="770674DF"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DBE7EBB"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0109F2E"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8B779FC"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71CF7CF4" w14:textId="77777777">
            <w:pPr>
              <w:spacing w:after="0" w:line="240" w:lineRule="auto"/>
              <w:rPr>
                <w:rFonts w:eastAsia="Times New Roman" w:cs="Arial"/>
                <w:color w:val="000000"/>
                <w:sz w:val="20"/>
                <w:szCs w:val="20"/>
              </w:rPr>
            </w:pPr>
          </w:p>
        </w:tc>
      </w:tr>
      <w:tr w:rsidRPr="00EC4276" w:rsidR="00EC4276" w:rsidTr="00DF540F" w14:paraId="7727BE8E"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651446DF"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55EFD58B" w14:textId="77777777">
            <w:pPr>
              <w:spacing w:after="0" w:line="240" w:lineRule="auto"/>
              <w:rPr>
                <w:rFonts w:eastAsia="Times New Roman" w:cs="Arial"/>
                <w:color w:val="000000"/>
                <w:sz w:val="20"/>
                <w:szCs w:val="20"/>
              </w:rPr>
            </w:pPr>
          </w:p>
        </w:tc>
        <w:tc>
          <w:tcPr>
            <w:tcW w:w="1100" w:type="dxa"/>
            <w:vMerge w:val="restart"/>
            <w:tcBorders>
              <w:top w:val="nil"/>
              <w:left w:val="single" w:color="auto" w:sz="8" w:space="0"/>
              <w:bottom w:val="single" w:color="000000" w:sz="8" w:space="0"/>
              <w:right w:val="single" w:color="auto" w:sz="4" w:space="0"/>
            </w:tcBorders>
            <w:shd w:val="clear" w:color="auto" w:fill="auto"/>
            <w:vAlign w:val="center"/>
            <w:hideMark/>
          </w:tcPr>
          <w:p w:rsidRPr="00EC4276" w:rsidR="00EC4276" w:rsidP="00EC4276" w:rsidRDefault="00EC4276" w14:paraId="6CE00AFD"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0.75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C4276" w:rsidR="00EC4276" w:rsidP="00EC4276" w:rsidRDefault="00EC4276" w14:paraId="6A126F6A"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Attorney</w:t>
            </w:r>
          </w:p>
        </w:tc>
        <w:tc>
          <w:tcPr>
            <w:tcW w:w="1060" w:type="dxa"/>
            <w:vMerge/>
            <w:tcBorders>
              <w:top w:val="nil"/>
              <w:left w:val="single" w:color="auto" w:sz="4" w:space="0"/>
              <w:bottom w:val="single" w:color="000000" w:sz="8" w:space="0"/>
              <w:right w:val="single" w:color="auto" w:sz="8" w:space="0"/>
            </w:tcBorders>
            <w:vAlign w:val="center"/>
            <w:hideMark/>
          </w:tcPr>
          <w:p w:rsidRPr="00EC4276" w:rsidR="00EC4276" w:rsidP="00EC4276" w:rsidRDefault="00EC4276" w14:paraId="604917BD"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F208C84"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EBBA282"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0F562720" w14:textId="77777777">
            <w:pPr>
              <w:spacing w:after="0" w:line="240" w:lineRule="auto"/>
              <w:rPr>
                <w:rFonts w:eastAsia="Times New Roman" w:cs="Arial"/>
                <w:color w:val="000000"/>
                <w:sz w:val="20"/>
                <w:szCs w:val="20"/>
              </w:rPr>
            </w:pPr>
          </w:p>
        </w:tc>
      </w:tr>
      <w:tr w:rsidRPr="00EC4276" w:rsidR="00EC4276" w:rsidTr="00DF540F" w14:paraId="1E8E8E15" w14:textId="77777777">
        <w:trPr>
          <w:trHeight w:val="300"/>
        </w:trPr>
        <w:tc>
          <w:tcPr>
            <w:tcW w:w="1700" w:type="dxa"/>
            <w:vMerge/>
            <w:tcBorders>
              <w:top w:val="nil"/>
              <w:left w:val="double" w:color="000000" w:sz="6" w:space="0"/>
              <w:bottom w:val="single" w:color="000000" w:sz="8" w:space="0"/>
              <w:right w:val="single" w:color="auto" w:sz="8" w:space="0"/>
            </w:tcBorders>
            <w:vAlign w:val="center"/>
            <w:hideMark/>
          </w:tcPr>
          <w:p w:rsidRPr="00EC4276" w:rsidR="00EC4276" w:rsidP="00EC4276" w:rsidRDefault="00EC4276" w14:paraId="4AC635D0"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10B3984"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6AA4556" w14:textId="77777777">
            <w:pPr>
              <w:spacing w:after="0" w:line="240" w:lineRule="auto"/>
              <w:rPr>
                <w:rFonts w:eastAsia="Times New Roman" w:cs="Arial"/>
                <w:color w:val="000000"/>
                <w:sz w:val="20"/>
                <w:szCs w:val="20"/>
              </w:rPr>
            </w:pPr>
          </w:p>
        </w:tc>
        <w:tc>
          <w:tcPr>
            <w:tcW w:w="1140" w:type="dxa"/>
            <w:tcBorders>
              <w:top w:val="single" w:color="auto" w:sz="4" w:space="0"/>
              <w:left w:val="nil"/>
              <w:bottom w:val="single" w:color="auto" w:sz="8" w:space="0"/>
              <w:right w:val="single" w:color="auto" w:sz="8" w:space="0"/>
            </w:tcBorders>
            <w:shd w:val="clear" w:color="auto" w:fill="auto"/>
            <w:vAlign w:val="center"/>
            <w:hideMark/>
          </w:tcPr>
          <w:p w:rsidRPr="00EC4276" w:rsidR="00EC4276" w:rsidP="00EC4276" w:rsidRDefault="00EC4276" w14:paraId="1D32B98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$94.62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E0530BD"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82B8651"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8CCD273"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14B27DBE" w14:textId="77777777">
            <w:pPr>
              <w:spacing w:after="0" w:line="240" w:lineRule="auto"/>
              <w:rPr>
                <w:rFonts w:eastAsia="Times New Roman" w:cs="Arial"/>
                <w:color w:val="000000"/>
                <w:sz w:val="20"/>
                <w:szCs w:val="20"/>
              </w:rPr>
            </w:pPr>
          </w:p>
        </w:tc>
      </w:tr>
      <w:tr w:rsidRPr="00EC4276" w:rsidR="00EC4276" w:rsidTr="00EC4276" w14:paraId="27AE04E9" w14:textId="77777777">
        <w:trPr>
          <w:trHeight w:val="921"/>
        </w:trPr>
        <w:tc>
          <w:tcPr>
            <w:tcW w:w="1700" w:type="dxa"/>
            <w:vMerge w:val="restart"/>
            <w:tcBorders>
              <w:top w:val="nil"/>
              <w:left w:val="double" w:color="000000" w:sz="6" w:space="0"/>
              <w:bottom w:val="nil"/>
              <w:right w:val="single" w:color="auto" w:sz="8" w:space="0"/>
            </w:tcBorders>
            <w:shd w:val="clear" w:color="auto" w:fill="auto"/>
            <w:vAlign w:val="center"/>
            <w:hideMark/>
          </w:tcPr>
          <w:p w:rsidRPr="00EC4276" w:rsidR="00EC4276" w:rsidP="00EC4276" w:rsidRDefault="00EC4276" w14:paraId="5DED8DF9" w14:textId="77777777">
            <w:pPr>
              <w:spacing w:after="0" w:line="240" w:lineRule="auto"/>
              <w:rPr>
                <w:rFonts w:eastAsia="Times New Roman" w:cs="Arial"/>
                <w:color w:val="000000"/>
                <w:sz w:val="20"/>
                <w:szCs w:val="20"/>
              </w:rPr>
            </w:pPr>
            <w:r w:rsidRPr="00EC4276">
              <w:rPr>
                <w:rFonts w:eastAsia="Times New Roman" w:cs="Arial"/>
                <w:color w:val="000000"/>
                <w:sz w:val="20"/>
                <w:szCs w:val="20"/>
              </w:rPr>
              <w:t>Notification and submission of health and safety studies initiated and/or completed after the reporting period</w:t>
            </w:r>
          </w:p>
        </w:tc>
        <w:tc>
          <w:tcPr>
            <w:tcW w:w="1340" w:type="dxa"/>
            <w:vMerge w:val="restart"/>
            <w:tcBorders>
              <w:top w:val="nil"/>
              <w:left w:val="single" w:color="auto" w:sz="8" w:space="0"/>
              <w:bottom w:val="nil"/>
              <w:right w:val="single" w:color="auto" w:sz="8" w:space="0"/>
            </w:tcBorders>
            <w:shd w:val="clear" w:color="auto" w:fill="auto"/>
            <w:vAlign w:val="center"/>
            <w:hideMark/>
          </w:tcPr>
          <w:p w:rsidRPr="00EC4276" w:rsidR="00EC4276" w:rsidP="00EC4276" w:rsidRDefault="00EC4276" w14:paraId="7D6C7B32" w14:textId="77777777">
            <w:pPr>
              <w:spacing w:after="0" w:line="240" w:lineRule="auto"/>
              <w:rPr>
                <w:rFonts w:eastAsia="Times New Roman" w:cs="Arial"/>
                <w:color w:val="000000"/>
                <w:sz w:val="20"/>
                <w:szCs w:val="20"/>
              </w:rPr>
            </w:pPr>
            <w:r w:rsidRPr="00EC4276">
              <w:rPr>
                <w:rFonts w:eastAsia="Times New Roman" w:cs="Arial"/>
                <w:color w:val="000000"/>
                <w:sz w:val="20"/>
                <w:szCs w:val="20"/>
              </w:rPr>
              <w:t>Post-reporting period submission</w:t>
            </w: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45BF2307"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w:t>
            </w:r>
          </w:p>
        </w:tc>
        <w:tc>
          <w:tcPr>
            <w:tcW w:w="1140" w:type="dxa"/>
            <w:tcBorders>
              <w:top w:val="nil"/>
              <w:left w:val="nil"/>
              <w:bottom w:val="nil"/>
              <w:right w:val="single" w:color="auto" w:sz="8" w:space="0"/>
            </w:tcBorders>
            <w:shd w:val="clear" w:color="auto" w:fill="auto"/>
            <w:vAlign w:val="center"/>
            <w:hideMark/>
          </w:tcPr>
          <w:p w:rsidRPr="00EC4276" w:rsidR="00EC4276" w:rsidP="00EC4276" w:rsidRDefault="00EC4276" w14:paraId="50AF92B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val="restart"/>
            <w:tcBorders>
              <w:top w:val="nil"/>
              <w:left w:val="single" w:color="auto" w:sz="8" w:space="0"/>
              <w:bottom w:val="nil"/>
              <w:right w:val="single" w:color="auto" w:sz="8" w:space="0"/>
            </w:tcBorders>
            <w:shd w:val="clear" w:color="auto" w:fill="auto"/>
            <w:vAlign w:val="center"/>
            <w:hideMark/>
          </w:tcPr>
          <w:p w:rsidRPr="00EC4276" w:rsidR="00EC4276" w:rsidP="00EC4276" w:rsidRDefault="00EC4276" w14:paraId="7A9D5CA2"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$95 </w:t>
            </w:r>
          </w:p>
        </w:tc>
        <w:tc>
          <w:tcPr>
            <w:tcW w:w="122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01F7BC59"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w:t>
            </w:r>
          </w:p>
        </w:tc>
        <w:tc>
          <w:tcPr>
            <w:tcW w:w="88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180161CD"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w:t>
            </w:r>
          </w:p>
        </w:tc>
        <w:tc>
          <w:tcPr>
            <w:tcW w:w="880" w:type="dxa"/>
            <w:vMerge w:val="restart"/>
            <w:tcBorders>
              <w:top w:val="nil"/>
              <w:left w:val="single" w:color="auto" w:sz="8" w:space="0"/>
              <w:bottom w:val="single" w:color="000000" w:sz="8" w:space="0"/>
              <w:right w:val="double" w:color="000000" w:sz="6" w:space="0"/>
            </w:tcBorders>
            <w:shd w:val="clear" w:color="auto" w:fill="auto"/>
            <w:vAlign w:val="center"/>
            <w:hideMark/>
          </w:tcPr>
          <w:p w:rsidRPr="00EC4276" w:rsidR="00EC4276" w:rsidP="00EC4276" w:rsidRDefault="00EC4276" w14:paraId="0811A32F"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$95 </w:t>
            </w:r>
          </w:p>
        </w:tc>
      </w:tr>
      <w:tr w:rsidRPr="00EC4276" w:rsidR="00EC4276" w:rsidTr="00EC4276" w14:paraId="5B53CB3A" w14:textId="77777777">
        <w:trPr>
          <w:trHeight w:val="921"/>
        </w:trPr>
        <w:tc>
          <w:tcPr>
            <w:tcW w:w="1700" w:type="dxa"/>
            <w:vMerge/>
            <w:tcBorders>
              <w:top w:val="nil"/>
              <w:left w:val="double" w:color="000000" w:sz="6" w:space="0"/>
              <w:bottom w:val="nil"/>
              <w:right w:val="single" w:color="auto" w:sz="8" w:space="0"/>
            </w:tcBorders>
            <w:vAlign w:val="center"/>
            <w:hideMark/>
          </w:tcPr>
          <w:p w:rsidRPr="00EC4276" w:rsidR="00EC4276" w:rsidP="00EC4276" w:rsidRDefault="00EC4276" w14:paraId="59FF3962" w14:textId="77777777">
            <w:pPr>
              <w:spacing w:after="0" w:line="240" w:lineRule="auto"/>
              <w:rPr>
                <w:rFonts w:eastAsia="Times New Roman" w:cs="Arial"/>
                <w:color w:val="000000"/>
                <w:sz w:val="20"/>
                <w:szCs w:val="20"/>
              </w:rPr>
            </w:pPr>
          </w:p>
        </w:tc>
        <w:tc>
          <w:tcPr>
            <w:tcW w:w="1340" w:type="dxa"/>
            <w:vMerge/>
            <w:tcBorders>
              <w:top w:val="nil"/>
              <w:left w:val="single" w:color="auto" w:sz="8" w:space="0"/>
              <w:bottom w:val="nil"/>
              <w:right w:val="single" w:color="auto" w:sz="8" w:space="0"/>
            </w:tcBorders>
            <w:vAlign w:val="center"/>
            <w:hideMark/>
          </w:tcPr>
          <w:p w:rsidRPr="00EC4276" w:rsidR="00EC4276" w:rsidP="00EC4276" w:rsidRDefault="00EC4276" w14:paraId="2F493D2B" w14:textId="77777777">
            <w:pPr>
              <w:spacing w:after="0" w:line="240" w:lineRule="auto"/>
              <w:rPr>
                <w:rFonts w:eastAsia="Times New Roman" w:cs="Arial"/>
                <w:color w:val="000000"/>
                <w:sz w:val="20"/>
                <w:szCs w:val="20"/>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7BC68EC" w14:textId="77777777">
            <w:pPr>
              <w:spacing w:after="0" w:line="240" w:lineRule="auto"/>
              <w:rPr>
                <w:rFonts w:eastAsia="Times New Roman" w:cs="Arial"/>
                <w:color w:val="000000"/>
                <w:sz w:val="20"/>
                <w:szCs w:val="20"/>
              </w:rPr>
            </w:pPr>
          </w:p>
        </w:tc>
        <w:tc>
          <w:tcPr>
            <w:tcW w:w="1140" w:type="dxa"/>
            <w:tcBorders>
              <w:top w:val="nil"/>
              <w:left w:val="nil"/>
              <w:bottom w:val="nil"/>
              <w:right w:val="nil"/>
            </w:tcBorders>
            <w:shd w:val="clear" w:color="auto" w:fill="auto"/>
            <w:vAlign w:val="center"/>
            <w:hideMark/>
          </w:tcPr>
          <w:p w:rsidRPr="00EC4276" w:rsidR="00EC4276" w:rsidP="00EC4276" w:rsidRDefault="00EC4276" w14:paraId="0211F876"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nil"/>
              <w:right w:val="single" w:color="auto" w:sz="8" w:space="0"/>
            </w:tcBorders>
            <w:vAlign w:val="center"/>
            <w:hideMark/>
          </w:tcPr>
          <w:p w:rsidRPr="00EC4276" w:rsidR="00EC4276" w:rsidP="00EC4276" w:rsidRDefault="00EC4276" w14:paraId="0675685D"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13172AE"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1096534"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double" w:color="000000" w:sz="6" w:space="0"/>
            </w:tcBorders>
            <w:vAlign w:val="center"/>
            <w:hideMark/>
          </w:tcPr>
          <w:p w:rsidRPr="00EC4276" w:rsidR="00EC4276" w:rsidP="00EC4276" w:rsidRDefault="00EC4276" w14:paraId="207C4AF1" w14:textId="77777777">
            <w:pPr>
              <w:spacing w:after="0" w:line="240" w:lineRule="auto"/>
              <w:rPr>
                <w:rFonts w:eastAsia="Times New Roman" w:cs="Arial"/>
                <w:color w:val="000000"/>
                <w:sz w:val="20"/>
                <w:szCs w:val="20"/>
              </w:rPr>
            </w:pPr>
          </w:p>
        </w:tc>
      </w:tr>
      <w:tr w:rsidRPr="00EC4276" w:rsidR="00EC4276" w:rsidTr="00EC4276" w14:paraId="301A4144" w14:textId="77777777">
        <w:trPr>
          <w:trHeight w:val="300"/>
        </w:trPr>
        <w:tc>
          <w:tcPr>
            <w:tcW w:w="6340" w:type="dxa"/>
            <w:gridSpan w:val="5"/>
            <w:tcBorders>
              <w:top w:val="single" w:color="auto" w:sz="8" w:space="0"/>
              <w:left w:val="double" w:color="000000" w:sz="6" w:space="0"/>
              <w:bottom w:val="double" w:color="000000" w:sz="6" w:space="0"/>
              <w:right w:val="single" w:color="000000" w:sz="8" w:space="0"/>
            </w:tcBorders>
            <w:shd w:val="clear" w:color="auto" w:fill="auto"/>
            <w:vAlign w:val="center"/>
            <w:hideMark/>
          </w:tcPr>
          <w:p w:rsidRPr="00EC4276" w:rsidR="00EC4276" w:rsidP="00EC4276" w:rsidRDefault="00EC4276" w14:paraId="38A85B71" w14:textId="77777777">
            <w:pPr>
              <w:spacing w:after="0" w:line="240" w:lineRule="auto"/>
              <w:rPr>
                <w:rFonts w:eastAsia="Times New Roman" w:cs="Arial"/>
                <w:b/>
                <w:bCs/>
                <w:color w:val="000000"/>
                <w:sz w:val="20"/>
                <w:szCs w:val="20"/>
              </w:rPr>
            </w:pPr>
            <w:r w:rsidRPr="00EC4276">
              <w:rPr>
                <w:rFonts w:eastAsia="Times New Roman" w:cs="Arial"/>
                <w:b/>
                <w:bCs/>
                <w:color w:val="000000"/>
                <w:sz w:val="20"/>
                <w:szCs w:val="20"/>
              </w:rPr>
              <w:t>Subtotal</w:t>
            </w:r>
          </w:p>
        </w:tc>
        <w:tc>
          <w:tcPr>
            <w:tcW w:w="122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2DC8E30E"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41</w:t>
            </w:r>
          </w:p>
        </w:tc>
        <w:tc>
          <w:tcPr>
            <w:tcW w:w="88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0EBB643C" w14:textId="5577B208">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w:t>
            </w:r>
            <w:r w:rsidR="00C0209D">
              <w:rPr>
                <w:rFonts w:eastAsia="Times New Roman" w:cs="Arial"/>
                <w:b/>
                <w:bCs/>
                <w:color w:val="000000"/>
                <w:sz w:val="20"/>
                <w:szCs w:val="20"/>
              </w:rPr>
              <w:t>59</w:t>
            </w:r>
          </w:p>
        </w:tc>
        <w:tc>
          <w:tcPr>
            <w:tcW w:w="880" w:type="dxa"/>
            <w:tcBorders>
              <w:top w:val="nil"/>
              <w:left w:val="nil"/>
              <w:bottom w:val="double" w:color="000000" w:sz="6" w:space="0"/>
              <w:right w:val="double" w:color="000000" w:sz="6" w:space="0"/>
            </w:tcBorders>
            <w:shd w:val="clear" w:color="auto" w:fill="auto"/>
            <w:vAlign w:val="center"/>
            <w:hideMark/>
          </w:tcPr>
          <w:p w:rsidRPr="00EC4276" w:rsidR="00EC4276" w:rsidP="00EC4276" w:rsidRDefault="00EC4276" w14:paraId="46010499" w14:textId="5EB58198">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$40,</w:t>
            </w:r>
            <w:r w:rsidR="00C0209D">
              <w:rPr>
                <w:rFonts w:eastAsia="Times New Roman" w:cs="Arial"/>
                <w:b/>
                <w:bCs/>
                <w:color w:val="000000"/>
                <w:sz w:val="20"/>
                <w:szCs w:val="20"/>
              </w:rPr>
              <w:t>239</w:t>
            </w:r>
            <w:r w:rsidRPr="00EC4276">
              <w:rPr>
                <w:rFonts w:eastAsia="Times New Roman" w:cs="Arial"/>
                <w:b/>
                <w:bCs/>
                <w:color w:val="000000"/>
                <w:sz w:val="20"/>
                <w:szCs w:val="20"/>
              </w:rPr>
              <w:t xml:space="preserve"> </w:t>
            </w:r>
          </w:p>
        </w:tc>
      </w:tr>
      <w:tr w:rsidRPr="00EC4276" w:rsidR="00EC4276" w:rsidTr="00EC4276" w14:paraId="320F35D2" w14:textId="77777777">
        <w:trPr>
          <w:trHeight w:val="300"/>
        </w:trPr>
        <w:tc>
          <w:tcPr>
            <w:tcW w:w="1700" w:type="dxa"/>
            <w:vMerge w:val="restart"/>
            <w:tcBorders>
              <w:top w:val="nil"/>
              <w:left w:val="double" w:color="000000" w:sz="6" w:space="0"/>
              <w:bottom w:val="single" w:color="000000" w:sz="8" w:space="0"/>
              <w:right w:val="single" w:color="000000" w:sz="8" w:space="0"/>
            </w:tcBorders>
            <w:shd w:val="clear" w:color="auto" w:fill="auto"/>
            <w:vAlign w:val="center"/>
            <w:hideMark/>
          </w:tcPr>
          <w:p w:rsidRPr="00EC4276" w:rsidR="00EC4276" w:rsidP="00EC4276" w:rsidRDefault="00EC4276" w14:paraId="7A46A5D1" w14:textId="77777777">
            <w:pPr>
              <w:spacing w:after="0" w:line="240" w:lineRule="auto"/>
              <w:rPr>
                <w:rFonts w:eastAsia="Times New Roman" w:cs="Arial"/>
                <w:color w:val="000000"/>
                <w:sz w:val="20"/>
                <w:szCs w:val="20"/>
              </w:rPr>
            </w:pPr>
            <w:r w:rsidRPr="00EC4276">
              <w:rPr>
                <w:rFonts w:eastAsia="Times New Roman" w:cs="Arial"/>
                <w:color w:val="000000"/>
                <w:sz w:val="20"/>
                <w:szCs w:val="20"/>
              </w:rPr>
              <w:t>CDX Registration &amp; E-signature</w:t>
            </w:r>
          </w:p>
        </w:tc>
        <w:tc>
          <w:tcPr>
            <w:tcW w:w="1340" w:type="dxa"/>
            <w:vMerge w:val="restart"/>
            <w:tcBorders>
              <w:top w:val="nil"/>
              <w:left w:val="single" w:color="000000" w:sz="8" w:space="0"/>
              <w:bottom w:val="single" w:color="000000" w:sz="8" w:space="0"/>
              <w:right w:val="single" w:color="auto" w:sz="8" w:space="0"/>
            </w:tcBorders>
            <w:shd w:val="clear" w:color="auto" w:fill="auto"/>
            <w:noWrap/>
            <w:vAlign w:val="bottom"/>
            <w:hideMark/>
          </w:tcPr>
          <w:p w:rsidRPr="00EC4276" w:rsidR="00EC4276" w:rsidP="00EC4276" w:rsidRDefault="00EC4276" w14:paraId="03543425" w14:textId="77777777">
            <w:pPr>
              <w:spacing w:after="0" w:line="240" w:lineRule="auto"/>
              <w:jc w:val="center"/>
              <w:rPr>
                <w:rFonts w:ascii="Calibri" w:hAnsi="Calibri" w:eastAsia="Times New Roman" w:cs="Calibri"/>
                <w:color w:val="000000"/>
                <w:sz w:val="22"/>
              </w:rPr>
            </w:pPr>
            <w:r w:rsidRPr="00EC4276">
              <w:rPr>
                <w:rFonts w:ascii="Calibri" w:hAnsi="Calibri" w:eastAsia="Times New Roman" w:cs="Calibri"/>
                <w:color w:val="000000"/>
                <w:sz w:val="22"/>
              </w:rPr>
              <w:t> </w:t>
            </w:r>
          </w:p>
        </w:tc>
        <w:tc>
          <w:tcPr>
            <w:tcW w:w="11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50613499"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0.93</w:t>
            </w:r>
          </w:p>
        </w:tc>
        <w:tc>
          <w:tcPr>
            <w:tcW w:w="1140" w:type="dxa"/>
            <w:tcBorders>
              <w:top w:val="single" w:color="auto" w:sz="8" w:space="0"/>
              <w:left w:val="nil"/>
              <w:bottom w:val="nil"/>
              <w:right w:val="single" w:color="auto" w:sz="8" w:space="0"/>
            </w:tcBorders>
            <w:shd w:val="clear" w:color="auto" w:fill="auto"/>
            <w:vAlign w:val="center"/>
            <w:hideMark/>
          </w:tcPr>
          <w:p w:rsidRPr="00EC4276" w:rsidR="00EC4276" w:rsidP="00EC4276" w:rsidRDefault="00EC4276" w14:paraId="3C2BC486"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Managerial</w:t>
            </w:r>
          </w:p>
        </w:tc>
        <w:tc>
          <w:tcPr>
            <w:tcW w:w="106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761F2B95"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$228 </w:t>
            </w:r>
          </w:p>
        </w:tc>
        <w:tc>
          <w:tcPr>
            <w:tcW w:w="122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C4276" w:rsidR="00EC4276" w:rsidP="00EC4276" w:rsidRDefault="00EC4276" w14:paraId="24D7EA58"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6</w:t>
            </w:r>
          </w:p>
        </w:tc>
        <w:tc>
          <w:tcPr>
            <w:tcW w:w="880"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EC4276" w:rsidR="00EC4276" w:rsidP="00EC4276" w:rsidRDefault="00EC4276" w14:paraId="0A45E526"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16</w:t>
            </w:r>
          </w:p>
        </w:tc>
        <w:tc>
          <w:tcPr>
            <w:tcW w:w="880" w:type="dxa"/>
            <w:vMerge w:val="restart"/>
            <w:tcBorders>
              <w:top w:val="nil"/>
              <w:left w:val="nil"/>
              <w:bottom w:val="single" w:color="000000" w:sz="8" w:space="0"/>
              <w:right w:val="double" w:color="000000" w:sz="6" w:space="0"/>
            </w:tcBorders>
            <w:shd w:val="clear" w:color="auto" w:fill="auto"/>
            <w:vAlign w:val="center"/>
            <w:hideMark/>
          </w:tcPr>
          <w:p w:rsidRPr="00EC4276" w:rsidR="00EC4276" w:rsidP="00EC4276" w:rsidRDefault="00EC4276" w14:paraId="3674989B" w14:textId="093122F7">
            <w:pPr>
              <w:spacing w:after="0" w:line="240" w:lineRule="auto"/>
              <w:jc w:val="center"/>
              <w:rPr>
                <w:rFonts w:eastAsia="Times New Roman" w:cs="Arial"/>
                <w:color w:val="000000"/>
                <w:sz w:val="20"/>
                <w:szCs w:val="20"/>
              </w:rPr>
            </w:pPr>
            <w:r w:rsidRPr="00EC4276">
              <w:rPr>
                <w:rFonts w:eastAsia="Times New Roman" w:cs="Arial"/>
                <w:color w:val="000000"/>
                <w:sz w:val="20"/>
                <w:szCs w:val="20"/>
              </w:rPr>
              <w:t>$1,3</w:t>
            </w:r>
            <w:r w:rsidR="00C0209D">
              <w:rPr>
                <w:rFonts w:eastAsia="Times New Roman" w:cs="Arial"/>
                <w:color w:val="000000"/>
                <w:sz w:val="20"/>
                <w:szCs w:val="20"/>
              </w:rPr>
              <w:t>68</w:t>
            </w:r>
            <w:r w:rsidRPr="00EC4276">
              <w:rPr>
                <w:rFonts w:eastAsia="Times New Roman" w:cs="Arial"/>
                <w:color w:val="000000"/>
                <w:sz w:val="20"/>
                <w:szCs w:val="20"/>
              </w:rPr>
              <w:t xml:space="preserve"> </w:t>
            </w:r>
          </w:p>
        </w:tc>
      </w:tr>
      <w:tr w:rsidRPr="00EC4276" w:rsidR="00EC4276" w:rsidTr="00EC4276" w14:paraId="55B3E4ED" w14:textId="77777777">
        <w:trPr>
          <w:trHeight w:val="300"/>
        </w:trPr>
        <w:tc>
          <w:tcPr>
            <w:tcW w:w="1700" w:type="dxa"/>
            <w:vMerge/>
            <w:tcBorders>
              <w:top w:val="nil"/>
              <w:left w:val="double" w:color="000000" w:sz="6" w:space="0"/>
              <w:bottom w:val="single" w:color="000000" w:sz="8" w:space="0"/>
              <w:right w:val="single" w:color="000000" w:sz="8" w:space="0"/>
            </w:tcBorders>
            <w:vAlign w:val="center"/>
            <w:hideMark/>
          </w:tcPr>
          <w:p w:rsidRPr="00EC4276" w:rsidR="00EC4276" w:rsidP="00EC4276" w:rsidRDefault="00EC4276" w14:paraId="0C908605" w14:textId="77777777">
            <w:pPr>
              <w:spacing w:after="0" w:line="240" w:lineRule="auto"/>
              <w:rPr>
                <w:rFonts w:eastAsia="Times New Roman" w:cs="Arial"/>
                <w:color w:val="000000"/>
                <w:sz w:val="20"/>
                <w:szCs w:val="20"/>
              </w:rPr>
            </w:pPr>
          </w:p>
        </w:tc>
        <w:tc>
          <w:tcPr>
            <w:tcW w:w="1340" w:type="dxa"/>
            <w:vMerge/>
            <w:tcBorders>
              <w:top w:val="nil"/>
              <w:left w:val="single" w:color="000000" w:sz="8" w:space="0"/>
              <w:bottom w:val="single" w:color="000000" w:sz="8" w:space="0"/>
              <w:right w:val="single" w:color="auto" w:sz="8" w:space="0"/>
            </w:tcBorders>
            <w:vAlign w:val="center"/>
            <w:hideMark/>
          </w:tcPr>
          <w:p w:rsidRPr="00EC4276" w:rsidR="00EC4276" w:rsidP="00EC4276" w:rsidRDefault="00EC4276" w14:paraId="1F72214B" w14:textId="77777777">
            <w:pPr>
              <w:spacing w:after="0" w:line="240" w:lineRule="auto"/>
              <w:rPr>
                <w:rFonts w:ascii="Calibri" w:hAnsi="Calibri" w:eastAsia="Times New Roman" w:cs="Calibri"/>
                <w:color w:val="000000"/>
                <w:sz w:val="22"/>
              </w:rPr>
            </w:pPr>
          </w:p>
        </w:tc>
        <w:tc>
          <w:tcPr>
            <w:tcW w:w="1100" w:type="dxa"/>
            <w:vMerge/>
            <w:tcBorders>
              <w:top w:val="single" w:color="auto" w:sz="8" w:space="0"/>
              <w:left w:val="single" w:color="auto" w:sz="8" w:space="0"/>
              <w:bottom w:val="single" w:color="000000" w:sz="8" w:space="0"/>
              <w:right w:val="single" w:color="auto" w:sz="8" w:space="0"/>
            </w:tcBorders>
            <w:vAlign w:val="center"/>
            <w:hideMark/>
          </w:tcPr>
          <w:p w:rsidRPr="00EC4276" w:rsidR="00EC4276" w:rsidP="00EC4276" w:rsidRDefault="00EC4276" w14:paraId="78740BEA" w14:textId="77777777">
            <w:pPr>
              <w:spacing w:after="0" w:line="240" w:lineRule="auto"/>
              <w:rPr>
                <w:rFonts w:eastAsia="Times New Roman" w:cs="Arial"/>
                <w:color w:val="000000"/>
                <w:sz w:val="20"/>
                <w:szCs w:val="20"/>
              </w:rPr>
            </w:pPr>
          </w:p>
        </w:tc>
        <w:tc>
          <w:tcPr>
            <w:tcW w:w="1140" w:type="dxa"/>
            <w:tcBorders>
              <w:top w:val="nil"/>
              <w:left w:val="nil"/>
              <w:bottom w:val="nil"/>
              <w:right w:val="nil"/>
            </w:tcBorders>
            <w:shd w:val="clear" w:color="auto" w:fill="auto"/>
            <w:vAlign w:val="center"/>
            <w:hideMark/>
          </w:tcPr>
          <w:p w:rsidRPr="00EC4276" w:rsidR="00EC4276" w:rsidP="00EC4276" w:rsidRDefault="00EC4276" w14:paraId="16FA0FC3"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$94.54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123B7A25"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EC989CD"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4B84554" w14:textId="77777777">
            <w:pPr>
              <w:spacing w:after="0" w:line="240" w:lineRule="auto"/>
              <w:rPr>
                <w:rFonts w:eastAsia="Times New Roman" w:cs="Arial"/>
                <w:color w:val="000000"/>
                <w:sz w:val="20"/>
                <w:szCs w:val="20"/>
              </w:rPr>
            </w:pPr>
          </w:p>
        </w:tc>
        <w:tc>
          <w:tcPr>
            <w:tcW w:w="880" w:type="dxa"/>
            <w:vMerge/>
            <w:tcBorders>
              <w:top w:val="nil"/>
              <w:left w:val="nil"/>
              <w:bottom w:val="single" w:color="000000" w:sz="8" w:space="0"/>
              <w:right w:val="double" w:color="000000" w:sz="6" w:space="0"/>
            </w:tcBorders>
            <w:vAlign w:val="center"/>
            <w:hideMark/>
          </w:tcPr>
          <w:p w:rsidRPr="00EC4276" w:rsidR="00EC4276" w:rsidP="00EC4276" w:rsidRDefault="00EC4276" w14:paraId="0C4888C7" w14:textId="77777777">
            <w:pPr>
              <w:spacing w:after="0" w:line="240" w:lineRule="auto"/>
              <w:rPr>
                <w:rFonts w:eastAsia="Times New Roman" w:cs="Arial"/>
                <w:color w:val="000000"/>
                <w:sz w:val="20"/>
                <w:szCs w:val="20"/>
              </w:rPr>
            </w:pPr>
          </w:p>
        </w:tc>
      </w:tr>
      <w:tr w:rsidRPr="00EC4276" w:rsidR="00EC4276" w:rsidTr="00EC4276" w14:paraId="68CA1521" w14:textId="77777777">
        <w:trPr>
          <w:trHeight w:val="300"/>
        </w:trPr>
        <w:tc>
          <w:tcPr>
            <w:tcW w:w="1700" w:type="dxa"/>
            <w:vMerge/>
            <w:tcBorders>
              <w:top w:val="nil"/>
              <w:left w:val="double" w:color="000000" w:sz="6" w:space="0"/>
              <w:bottom w:val="single" w:color="000000" w:sz="8" w:space="0"/>
              <w:right w:val="single" w:color="000000" w:sz="8" w:space="0"/>
            </w:tcBorders>
            <w:vAlign w:val="center"/>
            <w:hideMark/>
          </w:tcPr>
          <w:p w:rsidRPr="00EC4276" w:rsidR="00EC4276" w:rsidP="00EC4276" w:rsidRDefault="00EC4276" w14:paraId="71623F7F" w14:textId="77777777">
            <w:pPr>
              <w:spacing w:after="0" w:line="240" w:lineRule="auto"/>
              <w:rPr>
                <w:rFonts w:eastAsia="Times New Roman" w:cs="Arial"/>
                <w:color w:val="000000"/>
                <w:sz w:val="20"/>
                <w:szCs w:val="20"/>
              </w:rPr>
            </w:pPr>
          </w:p>
        </w:tc>
        <w:tc>
          <w:tcPr>
            <w:tcW w:w="1340" w:type="dxa"/>
            <w:vMerge/>
            <w:tcBorders>
              <w:top w:val="nil"/>
              <w:left w:val="single" w:color="000000" w:sz="8" w:space="0"/>
              <w:bottom w:val="single" w:color="000000" w:sz="8" w:space="0"/>
              <w:right w:val="single" w:color="auto" w:sz="8" w:space="0"/>
            </w:tcBorders>
            <w:vAlign w:val="center"/>
            <w:hideMark/>
          </w:tcPr>
          <w:p w:rsidRPr="00EC4276" w:rsidR="00EC4276" w:rsidP="00EC4276" w:rsidRDefault="00EC4276" w14:paraId="612ADE73" w14:textId="77777777">
            <w:pPr>
              <w:spacing w:after="0" w:line="240" w:lineRule="auto"/>
              <w:rPr>
                <w:rFonts w:ascii="Calibri" w:hAnsi="Calibri" w:eastAsia="Times New Roman" w:cs="Calibri"/>
                <w:color w:val="000000"/>
                <w:sz w:val="22"/>
              </w:rPr>
            </w:pPr>
          </w:p>
        </w:tc>
        <w:tc>
          <w:tcPr>
            <w:tcW w:w="1100" w:type="dxa"/>
            <w:vMerge w:val="restart"/>
            <w:tcBorders>
              <w:top w:val="nil"/>
              <w:left w:val="single" w:color="auto" w:sz="8" w:space="0"/>
              <w:bottom w:val="single" w:color="000000" w:sz="8" w:space="0"/>
              <w:right w:val="single" w:color="auto" w:sz="8" w:space="0"/>
            </w:tcBorders>
            <w:shd w:val="clear" w:color="auto" w:fill="auto"/>
            <w:vAlign w:val="center"/>
            <w:hideMark/>
          </w:tcPr>
          <w:p w:rsidRPr="00EC4276" w:rsidR="00EC4276" w:rsidP="00EC4276" w:rsidRDefault="00EC4276" w14:paraId="44A4D099"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1.73</w:t>
            </w:r>
          </w:p>
        </w:tc>
        <w:tc>
          <w:tcPr>
            <w:tcW w:w="1140" w:type="dxa"/>
            <w:tcBorders>
              <w:top w:val="single" w:color="auto" w:sz="8" w:space="0"/>
              <w:left w:val="nil"/>
              <w:bottom w:val="nil"/>
              <w:right w:val="single" w:color="auto" w:sz="8" w:space="0"/>
            </w:tcBorders>
            <w:shd w:val="clear" w:color="auto" w:fill="auto"/>
            <w:vAlign w:val="center"/>
            <w:hideMark/>
          </w:tcPr>
          <w:p w:rsidRPr="00EC4276" w:rsidR="00EC4276" w:rsidP="00EC4276" w:rsidRDefault="00EC4276" w14:paraId="01E349DD"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Technical</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7955351"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6AA0E78"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44F9B301" w14:textId="77777777">
            <w:pPr>
              <w:spacing w:after="0" w:line="240" w:lineRule="auto"/>
              <w:rPr>
                <w:rFonts w:eastAsia="Times New Roman" w:cs="Arial"/>
                <w:color w:val="000000"/>
                <w:sz w:val="20"/>
                <w:szCs w:val="20"/>
              </w:rPr>
            </w:pPr>
          </w:p>
        </w:tc>
        <w:tc>
          <w:tcPr>
            <w:tcW w:w="880" w:type="dxa"/>
            <w:vMerge/>
            <w:tcBorders>
              <w:top w:val="nil"/>
              <w:left w:val="nil"/>
              <w:bottom w:val="single" w:color="000000" w:sz="8" w:space="0"/>
              <w:right w:val="double" w:color="000000" w:sz="6" w:space="0"/>
            </w:tcBorders>
            <w:vAlign w:val="center"/>
            <w:hideMark/>
          </w:tcPr>
          <w:p w:rsidRPr="00EC4276" w:rsidR="00EC4276" w:rsidP="00EC4276" w:rsidRDefault="00EC4276" w14:paraId="3A54F865" w14:textId="77777777">
            <w:pPr>
              <w:spacing w:after="0" w:line="240" w:lineRule="auto"/>
              <w:rPr>
                <w:rFonts w:eastAsia="Times New Roman" w:cs="Arial"/>
                <w:color w:val="000000"/>
                <w:sz w:val="20"/>
                <w:szCs w:val="20"/>
              </w:rPr>
            </w:pPr>
          </w:p>
        </w:tc>
      </w:tr>
      <w:tr w:rsidRPr="00EC4276" w:rsidR="00EC4276" w:rsidTr="00EC4276" w14:paraId="03B17EE4" w14:textId="77777777">
        <w:trPr>
          <w:trHeight w:val="300"/>
        </w:trPr>
        <w:tc>
          <w:tcPr>
            <w:tcW w:w="1700" w:type="dxa"/>
            <w:vMerge/>
            <w:tcBorders>
              <w:top w:val="nil"/>
              <w:left w:val="double" w:color="000000" w:sz="6" w:space="0"/>
              <w:bottom w:val="single" w:color="000000" w:sz="8" w:space="0"/>
              <w:right w:val="single" w:color="000000" w:sz="8" w:space="0"/>
            </w:tcBorders>
            <w:vAlign w:val="center"/>
            <w:hideMark/>
          </w:tcPr>
          <w:p w:rsidRPr="00EC4276" w:rsidR="00EC4276" w:rsidP="00EC4276" w:rsidRDefault="00EC4276" w14:paraId="2B99760C" w14:textId="77777777">
            <w:pPr>
              <w:spacing w:after="0" w:line="240" w:lineRule="auto"/>
              <w:rPr>
                <w:rFonts w:eastAsia="Times New Roman" w:cs="Arial"/>
                <w:color w:val="000000"/>
                <w:sz w:val="20"/>
                <w:szCs w:val="20"/>
              </w:rPr>
            </w:pPr>
          </w:p>
        </w:tc>
        <w:tc>
          <w:tcPr>
            <w:tcW w:w="1340" w:type="dxa"/>
            <w:vMerge/>
            <w:tcBorders>
              <w:top w:val="nil"/>
              <w:left w:val="single" w:color="000000" w:sz="8" w:space="0"/>
              <w:bottom w:val="single" w:color="000000" w:sz="8" w:space="0"/>
              <w:right w:val="single" w:color="auto" w:sz="8" w:space="0"/>
            </w:tcBorders>
            <w:vAlign w:val="center"/>
            <w:hideMark/>
          </w:tcPr>
          <w:p w:rsidRPr="00EC4276" w:rsidR="00EC4276" w:rsidP="00EC4276" w:rsidRDefault="00EC4276" w14:paraId="395262C8" w14:textId="77777777">
            <w:pPr>
              <w:spacing w:after="0" w:line="240" w:lineRule="auto"/>
              <w:rPr>
                <w:rFonts w:ascii="Calibri" w:hAnsi="Calibri" w:eastAsia="Times New Roman" w:cs="Calibri"/>
                <w:color w:val="000000"/>
                <w:sz w:val="22"/>
              </w:rPr>
            </w:pPr>
          </w:p>
        </w:tc>
        <w:tc>
          <w:tcPr>
            <w:tcW w:w="110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8A463E1" w14:textId="77777777">
            <w:pPr>
              <w:spacing w:after="0" w:line="240" w:lineRule="auto"/>
              <w:rPr>
                <w:rFonts w:eastAsia="Times New Roman" w:cs="Arial"/>
                <w:color w:val="000000"/>
                <w:sz w:val="20"/>
                <w:szCs w:val="20"/>
              </w:rPr>
            </w:pPr>
          </w:p>
        </w:tc>
        <w:tc>
          <w:tcPr>
            <w:tcW w:w="1140" w:type="dxa"/>
            <w:tcBorders>
              <w:top w:val="nil"/>
              <w:left w:val="nil"/>
              <w:bottom w:val="single" w:color="auto" w:sz="8" w:space="0"/>
              <w:right w:val="single" w:color="auto" w:sz="8" w:space="0"/>
            </w:tcBorders>
            <w:shd w:val="clear" w:color="auto" w:fill="auto"/>
            <w:vAlign w:val="center"/>
            <w:hideMark/>
          </w:tcPr>
          <w:p w:rsidRPr="00EC4276" w:rsidR="00EC4276" w:rsidP="00EC4276" w:rsidRDefault="00EC4276" w14:paraId="459884AE"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 xml:space="preserve">$80.50 </w:t>
            </w:r>
          </w:p>
        </w:tc>
        <w:tc>
          <w:tcPr>
            <w:tcW w:w="106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0726EE2B" w14:textId="77777777">
            <w:pPr>
              <w:spacing w:after="0" w:line="240" w:lineRule="auto"/>
              <w:rPr>
                <w:rFonts w:eastAsia="Times New Roman" w:cs="Arial"/>
                <w:color w:val="000000"/>
                <w:sz w:val="20"/>
                <w:szCs w:val="20"/>
              </w:rPr>
            </w:pP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7B8B8AC2"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33573BF3" w14:textId="77777777">
            <w:pPr>
              <w:spacing w:after="0" w:line="240" w:lineRule="auto"/>
              <w:rPr>
                <w:rFonts w:eastAsia="Times New Roman" w:cs="Arial"/>
                <w:color w:val="000000"/>
                <w:sz w:val="20"/>
                <w:szCs w:val="20"/>
              </w:rPr>
            </w:pPr>
          </w:p>
        </w:tc>
        <w:tc>
          <w:tcPr>
            <w:tcW w:w="880" w:type="dxa"/>
            <w:vMerge/>
            <w:tcBorders>
              <w:top w:val="nil"/>
              <w:left w:val="nil"/>
              <w:bottom w:val="single" w:color="000000" w:sz="8" w:space="0"/>
              <w:right w:val="double" w:color="000000" w:sz="6" w:space="0"/>
            </w:tcBorders>
            <w:vAlign w:val="center"/>
            <w:hideMark/>
          </w:tcPr>
          <w:p w:rsidRPr="00EC4276" w:rsidR="00EC4276" w:rsidP="00EC4276" w:rsidRDefault="00EC4276" w14:paraId="34A39C57" w14:textId="77777777">
            <w:pPr>
              <w:spacing w:after="0" w:line="240" w:lineRule="auto"/>
              <w:rPr>
                <w:rFonts w:eastAsia="Times New Roman" w:cs="Arial"/>
                <w:color w:val="000000"/>
                <w:sz w:val="20"/>
                <w:szCs w:val="20"/>
              </w:rPr>
            </w:pPr>
          </w:p>
        </w:tc>
      </w:tr>
      <w:tr w:rsidRPr="00EC4276" w:rsidR="00EC4276" w:rsidTr="00EC4276" w14:paraId="15A38A47" w14:textId="77777777">
        <w:trPr>
          <w:trHeight w:val="840"/>
        </w:trPr>
        <w:tc>
          <w:tcPr>
            <w:tcW w:w="1700" w:type="dxa"/>
            <w:tcBorders>
              <w:top w:val="nil"/>
              <w:left w:val="double" w:color="000000" w:sz="6" w:space="0"/>
              <w:bottom w:val="single" w:color="auto" w:sz="8" w:space="0"/>
              <w:right w:val="single" w:color="auto" w:sz="8" w:space="0"/>
            </w:tcBorders>
            <w:shd w:val="clear" w:color="auto" w:fill="auto"/>
            <w:vAlign w:val="center"/>
            <w:hideMark/>
          </w:tcPr>
          <w:p w:rsidRPr="00EC4276" w:rsidR="00EC4276" w:rsidP="00EC4276" w:rsidRDefault="00EC4276" w14:paraId="4B5D96AB" w14:textId="1E5756F1">
            <w:pPr>
              <w:spacing w:after="0" w:line="240" w:lineRule="auto"/>
              <w:rPr>
                <w:rFonts w:eastAsia="Times New Roman" w:cs="Arial"/>
                <w:color w:val="000000"/>
                <w:sz w:val="20"/>
                <w:szCs w:val="20"/>
              </w:rPr>
            </w:pPr>
            <w:r w:rsidRPr="00EC4276">
              <w:rPr>
                <w:rFonts w:eastAsia="Times New Roman" w:cs="Arial"/>
                <w:color w:val="000000"/>
                <w:sz w:val="20"/>
                <w:szCs w:val="20"/>
              </w:rPr>
              <w:t xml:space="preserve">Electronic signature </w:t>
            </w:r>
            <w:r w:rsidRPr="00EC4276" w:rsidR="00685A8C">
              <w:rPr>
                <w:rFonts w:eastAsia="Times New Roman" w:cs="Arial"/>
                <w:color w:val="000000"/>
                <w:sz w:val="20"/>
                <w:szCs w:val="20"/>
              </w:rPr>
              <w:t>agreements</w:t>
            </w:r>
          </w:p>
        </w:tc>
        <w:tc>
          <w:tcPr>
            <w:tcW w:w="1340" w:type="dxa"/>
            <w:tcBorders>
              <w:top w:val="nil"/>
              <w:left w:val="nil"/>
              <w:bottom w:val="single" w:color="auto" w:sz="8" w:space="0"/>
              <w:right w:val="single" w:color="auto" w:sz="8" w:space="0"/>
            </w:tcBorders>
            <w:shd w:val="clear" w:color="auto" w:fill="auto"/>
            <w:noWrap/>
            <w:vAlign w:val="bottom"/>
            <w:hideMark/>
          </w:tcPr>
          <w:p w:rsidRPr="00EC4276" w:rsidR="00EC4276" w:rsidP="00EC4276" w:rsidRDefault="00EC4276" w14:paraId="6069ED8B" w14:textId="77777777">
            <w:pPr>
              <w:spacing w:after="0" w:line="240" w:lineRule="auto"/>
              <w:rPr>
                <w:rFonts w:ascii="Calibri" w:hAnsi="Calibri" w:eastAsia="Times New Roman" w:cs="Calibri"/>
                <w:color w:val="000000"/>
                <w:sz w:val="22"/>
              </w:rPr>
            </w:pPr>
            <w:r w:rsidRPr="00EC4276">
              <w:rPr>
                <w:rFonts w:ascii="Calibri" w:hAnsi="Calibri" w:eastAsia="Times New Roman" w:cs="Calibri"/>
                <w:color w:val="000000"/>
                <w:sz w:val="22"/>
              </w:rPr>
              <w:t> </w:t>
            </w:r>
          </w:p>
        </w:tc>
        <w:tc>
          <w:tcPr>
            <w:tcW w:w="1100" w:type="dxa"/>
            <w:tcBorders>
              <w:top w:val="nil"/>
              <w:left w:val="nil"/>
              <w:bottom w:val="single" w:color="auto" w:sz="8" w:space="0"/>
              <w:right w:val="single" w:color="auto" w:sz="8" w:space="0"/>
            </w:tcBorders>
            <w:shd w:val="clear" w:color="auto" w:fill="auto"/>
            <w:noWrap/>
            <w:vAlign w:val="center"/>
            <w:hideMark/>
          </w:tcPr>
          <w:p w:rsidRPr="00EC4276" w:rsidR="00EC4276" w:rsidP="00EC4276" w:rsidRDefault="00EC4276" w14:paraId="5ACADC04"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N/A</w:t>
            </w:r>
          </w:p>
        </w:tc>
        <w:tc>
          <w:tcPr>
            <w:tcW w:w="1140" w:type="dxa"/>
            <w:tcBorders>
              <w:top w:val="nil"/>
              <w:left w:val="nil"/>
              <w:bottom w:val="single" w:color="auto" w:sz="8" w:space="0"/>
              <w:right w:val="single" w:color="auto" w:sz="8" w:space="0"/>
            </w:tcBorders>
            <w:shd w:val="clear" w:color="auto" w:fill="auto"/>
            <w:noWrap/>
            <w:vAlign w:val="center"/>
            <w:hideMark/>
          </w:tcPr>
          <w:p w:rsidRPr="00EC4276" w:rsidR="00EC4276" w:rsidP="00EC4276" w:rsidRDefault="00EC4276" w14:paraId="33675C39" w14:textId="77777777">
            <w:pPr>
              <w:spacing w:after="0" w:line="240" w:lineRule="auto"/>
              <w:jc w:val="center"/>
              <w:rPr>
                <w:rFonts w:eastAsia="Times New Roman" w:cs="Arial"/>
                <w:color w:val="000000"/>
                <w:sz w:val="20"/>
                <w:szCs w:val="20"/>
              </w:rPr>
            </w:pPr>
            <w:r w:rsidRPr="00EC4276">
              <w:rPr>
                <w:rFonts w:eastAsia="Times New Roman" w:cs="Arial"/>
                <w:color w:val="000000"/>
                <w:sz w:val="20"/>
                <w:szCs w:val="20"/>
              </w:rPr>
              <w:t>N/A</w:t>
            </w:r>
          </w:p>
        </w:tc>
        <w:tc>
          <w:tcPr>
            <w:tcW w:w="1060" w:type="dxa"/>
            <w:tcBorders>
              <w:top w:val="nil"/>
              <w:left w:val="nil"/>
              <w:bottom w:val="single" w:color="auto" w:sz="8" w:space="0"/>
              <w:right w:val="single" w:color="auto" w:sz="8" w:space="0"/>
            </w:tcBorders>
            <w:shd w:val="clear" w:color="auto" w:fill="auto"/>
            <w:noWrap/>
            <w:vAlign w:val="center"/>
            <w:hideMark/>
          </w:tcPr>
          <w:p w:rsidRPr="00EC4276" w:rsidR="00EC4276" w:rsidP="00EC4276" w:rsidRDefault="00EC4276" w14:paraId="1F49B739" w14:textId="2905F494">
            <w:pPr>
              <w:spacing w:after="0" w:line="240" w:lineRule="auto"/>
              <w:jc w:val="center"/>
              <w:rPr>
                <w:rFonts w:eastAsia="Times New Roman" w:cs="Arial"/>
                <w:color w:val="000000"/>
                <w:sz w:val="20"/>
                <w:szCs w:val="20"/>
              </w:rPr>
            </w:pPr>
            <w:r w:rsidRPr="00EC4276">
              <w:rPr>
                <w:rFonts w:eastAsia="Times New Roman" w:cs="Arial"/>
                <w:color w:val="000000"/>
                <w:sz w:val="20"/>
                <w:szCs w:val="20"/>
              </w:rPr>
              <w:t>$</w:t>
            </w:r>
            <w:r w:rsidR="008A56E1">
              <w:rPr>
                <w:rFonts w:eastAsia="Times New Roman" w:cs="Arial"/>
                <w:color w:val="000000"/>
                <w:sz w:val="20"/>
                <w:szCs w:val="20"/>
              </w:rPr>
              <w:t>3.05</w:t>
            </w:r>
            <w:r w:rsidRPr="00EC4276">
              <w:rPr>
                <w:rFonts w:eastAsia="Times New Roman" w:cs="Arial"/>
                <w:color w:val="000000"/>
                <w:sz w:val="20"/>
                <w:szCs w:val="20"/>
              </w:rPr>
              <w:t xml:space="preserve"> </w:t>
            </w:r>
          </w:p>
        </w:tc>
        <w:tc>
          <w:tcPr>
            <w:tcW w:w="122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6A06C83E" w14:textId="77777777">
            <w:pPr>
              <w:spacing w:after="0" w:line="240" w:lineRule="auto"/>
              <w:rPr>
                <w:rFonts w:eastAsia="Times New Roman" w:cs="Arial"/>
                <w:color w:val="000000"/>
                <w:sz w:val="20"/>
                <w:szCs w:val="20"/>
              </w:rPr>
            </w:pPr>
          </w:p>
        </w:tc>
        <w:tc>
          <w:tcPr>
            <w:tcW w:w="880" w:type="dxa"/>
            <w:vMerge/>
            <w:tcBorders>
              <w:top w:val="nil"/>
              <w:left w:val="single" w:color="auto" w:sz="8" w:space="0"/>
              <w:bottom w:val="single" w:color="000000" w:sz="8" w:space="0"/>
              <w:right w:val="single" w:color="auto" w:sz="8" w:space="0"/>
            </w:tcBorders>
            <w:vAlign w:val="center"/>
            <w:hideMark/>
          </w:tcPr>
          <w:p w:rsidRPr="00EC4276" w:rsidR="00EC4276" w:rsidP="00EC4276" w:rsidRDefault="00EC4276" w14:paraId="213CD7C1" w14:textId="77777777">
            <w:pPr>
              <w:spacing w:after="0" w:line="240" w:lineRule="auto"/>
              <w:rPr>
                <w:rFonts w:eastAsia="Times New Roman" w:cs="Arial"/>
                <w:color w:val="000000"/>
                <w:sz w:val="20"/>
                <w:szCs w:val="20"/>
              </w:rPr>
            </w:pPr>
          </w:p>
        </w:tc>
        <w:tc>
          <w:tcPr>
            <w:tcW w:w="880" w:type="dxa"/>
            <w:tcBorders>
              <w:top w:val="nil"/>
              <w:left w:val="nil"/>
              <w:bottom w:val="single" w:color="auto" w:sz="8" w:space="0"/>
              <w:right w:val="single" w:color="auto" w:sz="8" w:space="0"/>
            </w:tcBorders>
            <w:shd w:val="clear" w:color="auto" w:fill="auto"/>
            <w:noWrap/>
            <w:vAlign w:val="center"/>
            <w:hideMark/>
          </w:tcPr>
          <w:p w:rsidRPr="00EC4276" w:rsidR="00EC4276" w:rsidP="00EC4276" w:rsidRDefault="00EC4276" w14:paraId="362DC9CD" w14:textId="506DBF37">
            <w:pPr>
              <w:spacing w:after="0" w:line="240" w:lineRule="auto"/>
              <w:jc w:val="center"/>
              <w:rPr>
                <w:rFonts w:eastAsia="Times New Roman" w:cs="Arial"/>
                <w:color w:val="000000"/>
                <w:sz w:val="20"/>
                <w:szCs w:val="20"/>
              </w:rPr>
            </w:pPr>
            <w:r w:rsidRPr="00EC4276">
              <w:rPr>
                <w:rFonts w:eastAsia="Times New Roman" w:cs="Arial"/>
                <w:color w:val="000000"/>
                <w:sz w:val="20"/>
                <w:szCs w:val="20"/>
              </w:rPr>
              <w:t>$</w:t>
            </w:r>
            <w:r w:rsidR="00401B68">
              <w:rPr>
                <w:rFonts w:eastAsia="Times New Roman" w:cs="Arial"/>
                <w:color w:val="000000"/>
                <w:sz w:val="20"/>
                <w:szCs w:val="20"/>
              </w:rPr>
              <w:t>18.30</w:t>
            </w:r>
            <w:r w:rsidRPr="00EC4276">
              <w:rPr>
                <w:rFonts w:eastAsia="Times New Roman" w:cs="Arial"/>
                <w:color w:val="000000"/>
                <w:sz w:val="20"/>
                <w:szCs w:val="20"/>
              </w:rPr>
              <w:t xml:space="preserve"> </w:t>
            </w:r>
          </w:p>
        </w:tc>
      </w:tr>
      <w:tr w:rsidRPr="00EC4276" w:rsidR="00EC4276" w:rsidTr="00EC4276" w14:paraId="7BCC5058" w14:textId="77777777">
        <w:trPr>
          <w:trHeight w:val="300"/>
        </w:trPr>
        <w:tc>
          <w:tcPr>
            <w:tcW w:w="6340" w:type="dxa"/>
            <w:gridSpan w:val="5"/>
            <w:tcBorders>
              <w:top w:val="single" w:color="auto" w:sz="8" w:space="0"/>
              <w:left w:val="double" w:color="000000" w:sz="6" w:space="0"/>
              <w:bottom w:val="double" w:color="000000" w:sz="6" w:space="0"/>
              <w:right w:val="single" w:color="000000" w:sz="8" w:space="0"/>
            </w:tcBorders>
            <w:shd w:val="clear" w:color="auto" w:fill="auto"/>
            <w:vAlign w:val="center"/>
            <w:hideMark/>
          </w:tcPr>
          <w:p w:rsidRPr="00EC4276" w:rsidR="00EC4276" w:rsidP="00EC4276" w:rsidRDefault="00EC4276" w14:paraId="3DFC803D" w14:textId="77777777">
            <w:pPr>
              <w:spacing w:after="0" w:line="240" w:lineRule="auto"/>
              <w:rPr>
                <w:rFonts w:eastAsia="Times New Roman" w:cs="Arial"/>
                <w:b/>
                <w:bCs/>
                <w:color w:val="000000"/>
                <w:sz w:val="20"/>
                <w:szCs w:val="20"/>
              </w:rPr>
            </w:pPr>
            <w:r w:rsidRPr="00EC4276">
              <w:rPr>
                <w:rFonts w:eastAsia="Times New Roman" w:cs="Arial"/>
                <w:b/>
                <w:bCs/>
                <w:color w:val="000000"/>
                <w:sz w:val="20"/>
                <w:szCs w:val="20"/>
              </w:rPr>
              <w:t>Subtotal</w:t>
            </w:r>
          </w:p>
        </w:tc>
        <w:tc>
          <w:tcPr>
            <w:tcW w:w="122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1AD071B7"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6</w:t>
            </w:r>
          </w:p>
        </w:tc>
        <w:tc>
          <w:tcPr>
            <w:tcW w:w="88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49A72CE2"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16</w:t>
            </w:r>
          </w:p>
        </w:tc>
        <w:tc>
          <w:tcPr>
            <w:tcW w:w="880" w:type="dxa"/>
            <w:tcBorders>
              <w:top w:val="nil"/>
              <w:left w:val="nil"/>
              <w:bottom w:val="double" w:color="000000" w:sz="6" w:space="0"/>
              <w:right w:val="double" w:color="000000" w:sz="6" w:space="0"/>
            </w:tcBorders>
            <w:shd w:val="clear" w:color="auto" w:fill="auto"/>
            <w:vAlign w:val="center"/>
            <w:hideMark/>
          </w:tcPr>
          <w:p w:rsidRPr="00EC4276" w:rsidR="00EC4276" w:rsidP="00EC4276" w:rsidRDefault="00EC4276" w14:paraId="2D71A4CE" w14:textId="45D2C7C6">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$1,</w:t>
            </w:r>
            <w:r w:rsidR="00C0209D">
              <w:rPr>
                <w:rFonts w:eastAsia="Times New Roman" w:cs="Arial"/>
                <w:b/>
                <w:bCs/>
                <w:color w:val="000000"/>
                <w:sz w:val="20"/>
                <w:szCs w:val="20"/>
              </w:rPr>
              <w:t>38</w:t>
            </w:r>
            <w:r w:rsidR="00401B68">
              <w:rPr>
                <w:rFonts w:eastAsia="Times New Roman" w:cs="Arial"/>
                <w:b/>
                <w:bCs/>
                <w:color w:val="000000"/>
                <w:sz w:val="20"/>
                <w:szCs w:val="20"/>
              </w:rPr>
              <w:t>6</w:t>
            </w:r>
            <w:r w:rsidRPr="00EC4276">
              <w:rPr>
                <w:rFonts w:eastAsia="Times New Roman" w:cs="Arial"/>
                <w:b/>
                <w:bCs/>
                <w:color w:val="000000"/>
                <w:sz w:val="20"/>
                <w:szCs w:val="20"/>
              </w:rPr>
              <w:t xml:space="preserve"> </w:t>
            </w:r>
          </w:p>
        </w:tc>
      </w:tr>
      <w:tr w:rsidRPr="00EC4276" w:rsidR="00EC4276" w:rsidTr="00EC4276" w14:paraId="6B431BC8" w14:textId="77777777">
        <w:trPr>
          <w:trHeight w:val="312"/>
        </w:trPr>
        <w:tc>
          <w:tcPr>
            <w:tcW w:w="6340" w:type="dxa"/>
            <w:gridSpan w:val="5"/>
            <w:tcBorders>
              <w:top w:val="single" w:color="auto" w:sz="8" w:space="0"/>
              <w:left w:val="double" w:color="000000" w:sz="6" w:space="0"/>
              <w:bottom w:val="double" w:color="000000" w:sz="6" w:space="0"/>
              <w:right w:val="single" w:color="000000" w:sz="8" w:space="0"/>
            </w:tcBorders>
            <w:shd w:val="clear" w:color="auto" w:fill="auto"/>
            <w:vAlign w:val="center"/>
            <w:hideMark/>
          </w:tcPr>
          <w:p w:rsidRPr="00EC4276" w:rsidR="00EC4276" w:rsidP="00EC4276" w:rsidRDefault="00EC4276" w14:paraId="6833342E" w14:textId="77777777">
            <w:pPr>
              <w:spacing w:after="0" w:line="240" w:lineRule="auto"/>
              <w:rPr>
                <w:rFonts w:eastAsia="Times New Roman" w:cs="Arial"/>
                <w:b/>
                <w:bCs/>
                <w:color w:val="000000"/>
                <w:sz w:val="20"/>
                <w:szCs w:val="20"/>
              </w:rPr>
            </w:pPr>
            <w:r w:rsidRPr="00EC4276">
              <w:rPr>
                <w:rFonts w:eastAsia="Times New Roman" w:cs="Arial"/>
                <w:b/>
                <w:bCs/>
                <w:color w:val="000000"/>
                <w:sz w:val="20"/>
                <w:szCs w:val="20"/>
              </w:rPr>
              <w:t>Total</w:t>
            </w:r>
          </w:p>
        </w:tc>
        <w:tc>
          <w:tcPr>
            <w:tcW w:w="122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0F65BE6D"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41</w:t>
            </w:r>
          </w:p>
        </w:tc>
        <w:tc>
          <w:tcPr>
            <w:tcW w:w="880" w:type="dxa"/>
            <w:tcBorders>
              <w:top w:val="nil"/>
              <w:left w:val="nil"/>
              <w:bottom w:val="double" w:color="000000" w:sz="6" w:space="0"/>
              <w:right w:val="single" w:color="auto" w:sz="8" w:space="0"/>
            </w:tcBorders>
            <w:shd w:val="clear" w:color="auto" w:fill="auto"/>
            <w:vAlign w:val="center"/>
            <w:hideMark/>
          </w:tcPr>
          <w:p w:rsidRPr="00EC4276" w:rsidR="00EC4276" w:rsidP="00EC4276" w:rsidRDefault="00EC4276" w14:paraId="4D471CC9" w14:textId="77777777">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478</w:t>
            </w:r>
          </w:p>
        </w:tc>
        <w:tc>
          <w:tcPr>
            <w:tcW w:w="880" w:type="dxa"/>
            <w:tcBorders>
              <w:top w:val="nil"/>
              <w:left w:val="nil"/>
              <w:bottom w:val="double" w:color="000000" w:sz="6" w:space="0"/>
              <w:right w:val="double" w:color="000000" w:sz="6" w:space="0"/>
            </w:tcBorders>
            <w:shd w:val="clear" w:color="auto" w:fill="auto"/>
            <w:vAlign w:val="center"/>
            <w:hideMark/>
          </w:tcPr>
          <w:p w:rsidRPr="00EC4276" w:rsidR="00EC4276" w:rsidP="00EC4276" w:rsidRDefault="00EC4276" w14:paraId="3C2825E8" w14:textId="3082CCDC">
            <w:pPr>
              <w:spacing w:after="0" w:line="240" w:lineRule="auto"/>
              <w:jc w:val="center"/>
              <w:rPr>
                <w:rFonts w:eastAsia="Times New Roman" w:cs="Arial"/>
                <w:b/>
                <w:bCs/>
                <w:color w:val="000000"/>
                <w:sz w:val="20"/>
                <w:szCs w:val="20"/>
              </w:rPr>
            </w:pPr>
            <w:r w:rsidRPr="00EC4276">
              <w:rPr>
                <w:rFonts w:eastAsia="Times New Roman" w:cs="Arial"/>
                <w:b/>
                <w:bCs/>
                <w:color w:val="000000"/>
                <w:sz w:val="20"/>
                <w:szCs w:val="20"/>
              </w:rPr>
              <w:t>$41,</w:t>
            </w:r>
            <w:r w:rsidR="00C0209D">
              <w:rPr>
                <w:rFonts w:eastAsia="Times New Roman" w:cs="Arial"/>
                <w:b/>
                <w:bCs/>
                <w:color w:val="000000"/>
                <w:sz w:val="20"/>
                <w:szCs w:val="20"/>
              </w:rPr>
              <w:t>6</w:t>
            </w:r>
            <w:r w:rsidR="00E65C11">
              <w:rPr>
                <w:rFonts w:eastAsia="Times New Roman" w:cs="Arial"/>
                <w:b/>
                <w:bCs/>
                <w:color w:val="000000"/>
                <w:sz w:val="20"/>
                <w:szCs w:val="20"/>
              </w:rPr>
              <w:t>07</w:t>
            </w:r>
            <w:r w:rsidRPr="00EC4276">
              <w:rPr>
                <w:rFonts w:eastAsia="Times New Roman" w:cs="Arial"/>
                <w:b/>
                <w:bCs/>
                <w:color w:val="000000"/>
                <w:sz w:val="20"/>
                <w:szCs w:val="20"/>
              </w:rPr>
              <w:t xml:space="preserve"> </w:t>
            </w:r>
          </w:p>
        </w:tc>
      </w:tr>
    </w:tbl>
    <w:p w:rsidRPr="00DD1C3B" w:rsidR="00EB1CA3" w:rsidP="00DD1C3B" w:rsidRDefault="00EB1CA3" w14:paraId="67516521" w14:textId="58A68AAF">
      <w:pPr>
        <w:pStyle w:val="ListParagraph"/>
        <w:ind w:left="0"/>
        <w:rPr>
          <w:rFonts w:cs="Arial"/>
          <w:b/>
          <w:color w:val="000000"/>
          <w:szCs w:val="24"/>
        </w:rPr>
      </w:pPr>
    </w:p>
    <w:p w:rsidR="00DD1C3B" w:rsidP="001F49CF" w:rsidRDefault="00EB1CA3" w14:paraId="25224257" w14:textId="4A1CB184">
      <w:pPr>
        <w:pStyle w:val="ListParagraph"/>
        <w:widowControl w:val="0"/>
        <w:ind w:left="0"/>
        <w:rPr>
          <w:rFonts w:cs="Arial"/>
          <w:color w:val="000000"/>
          <w:szCs w:val="24"/>
        </w:rPr>
      </w:pPr>
      <w:r w:rsidRPr="008C6A2E">
        <w:rPr>
          <w:rFonts w:cs="Arial"/>
          <w:color w:val="000000"/>
          <w:szCs w:val="24"/>
        </w:rPr>
        <w:t>A typical firm submitting a response is conservatively estimated to engage in review of the rule, site identification, site file search, preparing study title lists, CBI review, CBI substantiation, and possibly submit a robust summary and/or a post-reporting period submission. Assuming</w:t>
      </w:r>
      <w:r w:rsidR="00685A8C">
        <w:rPr>
          <w:rFonts w:cs="Arial"/>
          <w:color w:val="000000"/>
          <w:szCs w:val="24"/>
        </w:rPr>
        <w:t xml:space="preserve"> </w:t>
      </w:r>
      <w:r w:rsidRPr="008C6A2E">
        <w:rPr>
          <w:rFonts w:cs="Arial"/>
          <w:color w:val="000000"/>
          <w:szCs w:val="24"/>
        </w:rPr>
        <w:t xml:space="preserve">13 chemicals per year are added to the TSCA section 8(d), </w:t>
      </w:r>
      <w:r w:rsidR="002E6AF1">
        <w:rPr>
          <w:rFonts w:cs="Arial"/>
          <w:color w:val="000000"/>
          <w:szCs w:val="24"/>
        </w:rPr>
        <w:t xml:space="preserve">including </w:t>
      </w:r>
      <w:r w:rsidRPr="008C6A2E">
        <w:rPr>
          <w:rFonts w:cs="Arial"/>
          <w:color w:val="000000"/>
          <w:szCs w:val="24"/>
        </w:rPr>
        <w:t xml:space="preserve">the </w:t>
      </w:r>
      <w:r w:rsidR="002E6AF1">
        <w:rPr>
          <w:rFonts w:cs="Arial"/>
          <w:color w:val="000000"/>
          <w:szCs w:val="24"/>
        </w:rPr>
        <w:t>added</w:t>
      </w:r>
      <w:r w:rsidRPr="008C6A2E">
        <w:rPr>
          <w:rFonts w:cs="Arial"/>
          <w:color w:val="000000"/>
          <w:szCs w:val="24"/>
        </w:rPr>
        <w:t xml:space="preserve"> CBI substantiation, the average annual burden and cost per response is 11 hours and $</w:t>
      </w:r>
      <w:r w:rsidR="002E6AF1">
        <w:rPr>
          <w:rFonts w:cs="Arial"/>
          <w:color w:val="000000"/>
          <w:szCs w:val="24"/>
        </w:rPr>
        <w:t>98</w:t>
      </w:r>
      <w:r w:rsidR="00581307">
        <w:rPr>
          <w:rFonts w:cs="Arial"/>
          <w:color w:val="000000"/>
          <w:szCs w:val="24"/>
        </w:rPr>
        <w:t>1</w:t>
      </w:r>
      <w:r w:rsidRPr="008C6A2E">
        <w:rPr>
          <w:rFonts w:cs="Arial"/>
          <w:color w:val="000000"/>
          <w:szCs w:val="24"/>
        </w:rPr>
        <w:t>, respectively</w:t>
      </w:r>
      <w:r w:rsidR="002E6AF1">
        <w:rPr>
          <w:rFonts w:cs="Arial"/>
          <w:color w:val="000000"/>
          <w:szCs w:val="24"/>
        </w:rPr>
        <w:t xml:space="preserve"> (</w:t>
      </w:r>
      <w:r w:rsidR="001E292F">
        <w:rPr>
          <w:rFonts w:cs="Arial"/>
          <w:color w:val="000000"/>
          <w:szCs w:val="24"/>
        </w:rPr>
        <w:t xml:space="preserve">using the subtotal values in </w:t>
      </w:r>
      <w:r w:rsidR="0098029F">
        <w:rPr>
          <w:rFonts w:cs="Arial"/>
          <w:color w:val="000000"/>
          <w:szCs w:val="24"/>
        </w:rPr>
        <w:t>Table 13</w:t>
      </w:r>
      <w:r w:rsidR="002E6AF1">
        <w:rPr>
          <w:rFonts w:cs="Arial"/>
          <w:color w:val="000000"/>
          <w:szCs w:val="24"/>
        </w:rPr>
        <w:t>)</w:t>
      </w:r>
      <w:r w:rsidRPr="008C6A2E">
        <w:rPr>
          <w:rFonts w:cs="Arial"/>
          <w:color w:val="000000"/>
          <w:szCs w:val="24"/>
        </w:rPr>
        <w:t>.</w:t>
      </w:r>
    </w:p>
    <w:p w:rsidR="00DD1C3B" w:rsidP="001F49CF" w:rsidRDefault="00DD1C3B" w14:paraId="7708E76F" w14:textId="77777777">
      <w:pPr>
        <w:pStyle w:val="ListParagraph"/>
        <w:widowControl w:val="0"/>
        <w:ind w:left="1080"/>
        <w:rPr>
          <w:rFonts w:cs="Arial"/>
          <w:color w:val="000000"/>
          <w:szCs w:val="24"/>
        </w:rPr>
      </w:pPr>
    </w:p>
    <w:p w:rsidRPr="001F49CF" w:rsidR="00DD1C3B" w:rsidP="00DD1C3B" w:rsidRDefault="00EB1CA3" w14:paraId="0AE71332" w14:textId="77777777">
      <w:pPr>
        <w:pStyle w:val="ListParagraph"/>
        <w:widowControl w:val="0"/>
        <w:ind w:left="90" w:hanging="90"/>
        <w:rPr>
          <w:rFonts w:cs="Arial"/>
          <w:bCs/>
          <w:color w:val="000000"/>
          <w:szCs w:val="24"/>
        </w:rPr>
      </w:pPr>
      <w:r w:rsidRPr="001F49CF">
        <w:rPr>
          <w:rFonts w:cs="Arial"/>
          <w:bCs/>
          <w:color w:val="000000"/>
          <w:szCs w:val="24"/>
        </w:rPr>
        <w:t>CDX Registration Activities to Enable Electronic Reporting</w:t>
      </w:r>
    </w:p>
    <w:p w:rsidR="00DD1C3B" w:rsidP="00DD1C3B" w:rsidRDefault="00DD1C3B" w14:paraId="44955001" w14:textId="77777777">
      <w:pPr>
        <w:pStyle w:val="ListParagraph"/>
        <w:widowControl w:val="0"/>
        <w:ind w:left="90" w:hanging="90"/>
        <w:rPr>
          <w:rFonts w:cs="Arial"/>
          <w:color w:val="000000"/>
          <w:szCs w:val="24"/>
        </w:rPr>
      </w:pPr>
    </w:p>
    <w:p w:rsidR="001F49CF" w:rsidP="001F49CF" w:rsidRDefault="00EB1CA3" w14:paraId="2A70B69A" w14:textId="77777777">
      <w:pPr>
        <w:pStyle w:val="ListParagraph"/>
        <w:widowControl w:val="0"/>
        <w:ind w:left="0"/>
        <w:rPr>
          <w:rFonts w:cs="Arial"/>
          <w:color w:val="000000"/>
          <w:szCs w:val="24"/>
        </w:rPr>
      </w:pPr>
      <w:r w:rsidRPr="00DD1C3B">
        <w:rPr>
          <w:rFonts w:cs="Arial"/>
          <w:szCs w:val="24"/>
        </w:rPr>
        <w:t xml:space="preserve">EPA estimates that respondents will incur a small amount of cost in carrying out the additional paperwork activities that were imposed by the </w:t>
      </w:r>
      <w:r w:rsidRPr="00DD1C3B">
        <w:rPr>
          <w:rFonts w:cs="Arial"/>
          <w:i/>
          <w:szCs w:val="24"/>
        </w:rPr>
        <w:t>Electronic Reporting under the Substances Control Act (TSCA) Final Rule</w:t>
      </w:r>
      <w:r w:rsidRPr="00DD1C3B">
        <w:rPr>
          <w:rFonts w:cs="Arial"/>
          <w:szCs w:val="24"/>
        </w:rPr>
        <w:t>. This includes the burden associated with activities that facilitate submission of an electronic report: CDX registration and CDX electronic signature. These activities occur only once for each submitter. Some submitters may already have registered to use the e-TSCA web reporting tool in CDX (and obtained an accompanying electronic signature) in order to comply with the mandatory electronic reporting requirements of EPA’s e-PMN rule and/or IUR/CDR rule. Those submitters will not need to repeat the CDX registration and e-signature process in order to file their health and safety studies. While there may be some overlap in the specific individuals that have already completed CDX activities, EPA is using a conservative assumption that all submitters who will file electronically will need to register with CDX and, thus, incur associated burdens. This assumption may overestimate the burdens and costs actually experienced by respondents.</w:t>
      </w:r>
    </w:p>
    <w:p w:rsidR="001F49CF" w:rsidP="001F49CF" w:rsidRDefault="001F49CF" w14:paraId="1D885A9D" w14:textId="77777777">
      <w:pPr>
        <w:pStyle w:val="ListParagraph"/>
        <w:widowControl w:val="0"/>
        <w:ind w:left="0"/>
        <w:rPr>
          <w:rFonts w:cs="Arial"/>
          <w:color w:val="000000"/>
          <w:szCs w:val="24"/>
        </w:rPr>
      </w:pPr>
    </w:p>
    <w:p w:rsidRPr="001F49CF" w:rsidR="00EB1CA3" w:rsidP="001F49CF" w:rsidRDefault="00EB1CA3" w14:paraId="3EC3AE65" w14:textId="6EB86C38">
      <w:pPr>
        <w:pStyle w:val="ListParagraph"/>
        <w:widowControl w:val="0"/>
        <w:ind w:left="0"/>
        <w:rPr>
          <w:rFonts w:cs="Arial"/>
          <w:color w:val="000000"/>
          <w:szCs w:val="24"/>
        </w:rPr>
      </w:pPr>
      <w:r w:rsidRPr="001F49CF">
        <w:rPr>
          <w:rFonts w:cs="Arial"/>
          <w:szCs w:val="24"/>
        </w:rPr>
        <w:t xml:space="preserve">The </w:t>
      </w:r>
      <w:r w:rsidRPr="001F49CF">
        <w:rPr>
          <w:rFonts w:cs="Arial"/>
          <w:i/>
          <w:szCs w:val="24"/>
        </w:rPr>
        <w:t>one-time</w:t>
      </w:r>
      <w:r w:rsidRPr="001F49CF">
        <w:rPr>
          <w:rFonts w:cs="Arial"/>
          <w:szCs w:val="24"/>
        </w:rPr>
        <w:t xml:space="preserve"> CDX burden includes the following:</w:t>
      </w:r>
    </w:p>
    <w:p w:rsidRPr="008C6A2E" w:rsidR="00EB1CA3" w:rsidP="008C6A2E" w:rsidRDefault="00EB1CA3" w14:paraId="74061F45" w14:textId="3BF3311D">
      <w:pPr>
        <w:pStyle w:val="ListParagraph"/>
        <w:numPr>
          <w:ilvl w:val="0"/>
          <w:numId w:val="18"/>
        </w:numPr>
        <w:rPr>
          <w:rFonts w:cs="Arial"/>
          <w:szCs w:val="24"/>
        </w:rPr>
      </w:pPr>
      <w:r w:rsidRPr="008C6A2E">
        <w:rPr>
          <w:rFonts w:cs="Arial"/>
          <w:i/>
          <w:szCs w:val="24"/>
        </w:rPr>
        <w:t>CDX Registration</w:t>
      </w:r>
      <w:r w:rsidRPr="008C6A2E">
        <w:rPr>
          <w:rFonts w:cs="Arial"/>
          <w:szCs w:val="24"/>
        </w:rPr>
        <w:t xml:space="preserve"> – Based on </w:t>
      </w:r>
      <w:hyperlink w:history="1" r:id="rId19">
        <w:r w:rsidRPr="00DD0BB0" w:rsidR="003C47E0">
          <w:rPr>
            <w:rStyle w:val="Hyperlink"/>
          </w:rPr>
          <w:t>www.cdx.epa.gov</w:t>
        </w:r>
      </w:hyperlink>
      <w:r w:rsidRPr="001C426B" w:rsidR="003C47E0">
        <w:rPr>
          <w:rStyle w:val="Hyperlink"/>
          <w:color w:val="auto"/>
          <w:u w:val="none"/>
        </w:rPr>
        <w:t>, which is based on</w:t>
      </w:r>
      <w:r w:rsidRPr="001C426B" w:rsidR="003C47E0">
        <w:rPr>
          <w:rStyle w:val="Hyperlink"/>
          <w:color w:val="auto"/>
        </w:rPr>
        <w:t xml:space="preserve"> </w:t>
      </w:r>
      <w:r w:rsidRPr="008C6A2E">
        <w:rPr>
          <w:rFonts w:cs="Arial"/>
          <w:szCs w:val="24"/>
        </w:rPr>
        <w:t>the CROMERR Cost Benefit Analysis, EPA assumed that companies would spend 11 minutes per employee to register with CDX. Furthermore, EPA assumed that an average of four technical staff members and one manager would need to register for each company, resulting in 55 minutes of burden per firm.</w:t>
      </w:r>
    </w:p>
    <w:p w:rsidRPr="009E1CB2" w:rsidR="00EB1CA3" w:rsidP="00594EFF" w:rsidRDefault="00EB1CA3" w14:paraId="2844D405" w14:textId="018DFF31">
      <w:pPr>
        <w:pStyle w:val="ListParagraph"/>
        <w:numPr>
          <w:ilvl w:val="0"/>
          <w:numId w:val="18"/>
        </w:numPr>
        <w:rPr>
          <w:rFonts w:cs="Arial"/>
          <w:szCs w:val="24"/>
        </w:rPr>
      </w:pPr>
      <w:r w:rsidRPr="008C6A2E">
        <w:rPr>
          <w:rFonts w:cs="Arial"/>
          <w:i/>
          <w:szCs w:val="24"/>
        </w:rPr>
        <w:t>CDX electronic signature (labor burden)</w:t>
      </w:r>
      <w:r w:rsidRPr="008C6A2E">
        <w:rPr>
          <w:rFonts w:cs="Arial"/>
          <w:szCs w:val="24"/>
        </w:rPr>
        <w:t xml:space="preserve"> – Based on </w:t>
      </w:r>
      <w:hyperlink w:history="1" r:id="rId20">
        <w:r w:rsidRPr="00DD0BB0" w:rsidR="003C47E0">
          <w:rPr>
            <w:rStyle w:val="Hyperlink"/>
          </w:rPr>
          <w:t>www.cdx.epa.gov</w:t>
        </w:r>
      </w:hyperlink>
      <w:r w:rsidRPr="001C426B" w:rsidR="003C47E0">
        <w:rPr>
          <w:rStyle w:val="Hyperlink"/>
          <w:color w:val="auto"/>
          <w:u w:val="none"/>
        </w:rPr>
        <w:t xml:space="preserve">, which is based </w:t>
      </w:r>
      <w:r w:rsidRPr="001C426B">
        <w:rPr>
          <w:rFonts w:cs="Arial"/>
          <w:szCs w:val="24"/>
        </w:rPr>
        <w:t xml:space="preserve">the CROMERR Cost Benefit Analysis, EPA assumed that firms </w:t>
      </w:r>
      <w:r w:rsidRPr="008C6A2E">
        <w:rPr>
          <w:rFonts w:cs="Arial"/>
          <w:szCs w:val="24"/>
        </w:rPr>
        <w:t>would spend 15 minutes preparing, submitting, and filing an electronic signature agreement (</w:t>
      </w:r>
      <w:r w:rsidR="003C47E0">
        <w:rPr>
          <w:rFonts w:cs="Arial"/>
          <w:szCs w:val="24"/>
        </w:rPr>
        <w:t>i.e., a</w:t>
      </w:r>
      <w:r w:rsidRPr="008C6A2E">
        <w:rPr>
          <w:rFonts w:cs="Arial"/>
          <w:szCs w:val="24"/>
        </w:rPr>
        <w:t>uthentication of Identity) form to EPA per employee. One manager and four technical staff members per firm would incur this burden, totaling 75 minutes of burden per company. In addition, EPA estimates that a manager would spend an additional 30 minutes accessing, preparing, and submitting verification forms (Verification of Authorization) for all authorized submitters to EPA. The total burden incurred by firms submitting and then verifying electronic signature agreements would be 105 minutes. It should be noted that the burden associated with CDX Electronic Signatures does not include costs associated with contacting EPA’s CDX help desk to notify a change of submitter status, should one occur.</w:t>
      </w:r>
    </w:p>
    <w:p w:rsidRPr="008C6A2E" w:rsidR="00EB1CA3" w:rsidP="008C6A2E" w:rsidRDefault="00EB1CA3" w14:paraId="57B4F400" w14:textId="7EC56707">
      <w:pPr>
        <w:pStyle w:val="ListParagraph"/>
        <w:numPr>
          <w:ilvl w:val="0"/>
          <w:numId w:val="18"/>
        </w:numPr>
        <w:rPr>
          <w:rFonts w:cs="Arial"/>
          <w:bCs/>
          <w:szCs w:val="24"/>
        </w:rPr>
      </w:pPr>
      <w:r w:rsidRPr="008C6A2E">
        <w:rPr>
          <w:rFonts w:cs="Arial"/>
          <w:bCs/>
          <w:szCs w:val="24"/>
        </w:rPr>
        <w:t>Non-labor costs include a $0.</w:t>
      </w:r>
      <w:r w:rsidR="008A56E1">
        <w:rPr>
          <w:rFonts w:cs="Arial"/>
          <w:bCs/>
          <w:szCs w:val="24"/>
        </w:rPr>
        <w:t>58</w:t>
      </w:r>
      <w:r w:rsidRPr="008C6A2E">
        <w:rPr>
          <w:rFonts w:cs="Arial"/>
          <w:bCs/>
          <w:szCs w:val="24"/>
        </w:rPr>
        <w:t>- stamp</w:t>
      </w:r>
      <w:r w:rsidR="008A56E1">
        <w:rPr>
          <w:rFonts w:cs="Arial"/>
          <w:bCs/>
          <w:szCs w:val="24"/>
        </w:rPr>
        <w:t xml:space="preserve"> (2021$)</w:t>
      </w:r>
      <w:r w:rsidRPr="008C6A2E">
        <w:rPr>
          <w:rFonts w:cs="Arial"/>
          <w:bCs/>
          <w:szCs w:val="24"/>
        </w:rPr>
        <w:t xml:space="preserve"> and a $0.03 standard business envelope for each of five required electronic signature agreements. The total non-labor cost for electronic signature agreements equals $</w:t>
      </w:r>
      <w:r w:rsidR="00653E1D">
        <w:rPr>
          <w:rFonts w:cs="Arial"/>
          <w:bCs/>
          <w:szCs w:val="24"/>
        </w:rPr>
        <w:t>3.05</w:t>
      </w:r>
      <w:r w:rsidRPr="008C6A2E">
        <w:rPr>
          <w:rFonts w:cs="Arial"/>
          <w:bCs/>
          <w:szCs w:val="24"/>
        </w:rPr>
        <w:t>. This amounts to $</w:t>
      </w:r>
      <w:r w:rsidR="00653E1D">
        <w:rPr>
          <w:rFonts w:cs="Arial"/>
          <w:bCs/>
          <w:szCs w:val="24"/>
        </w:rPr>
        <w:t>18.30</w:t>
      </w:r>
      <w:r w:rsidRPr="008C6A2E">
        <w:rPr>
          <w:rFonts w:cs="Arial"/>
          <w:bCs/>
          <w:szCs w:val="24"/>
        </w:rPr>
        <w:t xml:space="preserve"> in non-labor costs per year.</w:t>
      </w:r>
      <w:r w:rsidR="002B1318">
        <w:rPr>
          <w:rFonts w:cs="Arial"/>
          <w:bCs/>
          <w:szCs w:val="24"/>
        </w:rPr>
        <w:t xml:space="preserve"> Note, this non-labor cost is excluded from both the subtotal and total cost estimate in </w:t>
      </w:r>
      <w:r w:rsidR="001C426B">
        <w:rPr>
          <w:rFonts w:cs="Arial"/>
          <w:bCs/>
          <w:szCs w:val="24"/>
        </w:rPr>
        <w:t>Table 13</w:t>
      </w:r>
      <w:r w:rsidR="002B1318">
        <w:rPr>
          <w:rFonts w:cs="Arial"/>
          <w:bCs/>
          <w:szCs w:val="24"/>
        </w:rPr>
        <w:t>.</w:t>
      </w:r>
    </w:p>
    <w:p w:rsidRPr="008C6A2E" w:rsidR="00EB1CA3" w:rsidP="008C6A2E" w:rsidRDefault="00EB1CA3" w14:paraId="592E484D" w14:textId="107EABC8">
      <w:pPr>
        <w:pStyle w:val="ListParagraph"/>
        <w:numPr>
          <w:ilvl w:val="0"/>
          <w:numId w:val="18"/>
        </w:numPr>
        <w:rPr>
          <w:rFonts w:cs="Arial"/>
          <w:bCs/>
          <w:szCs w:val="24"/>
        </w:rPr>
      </w:pPr>
      <w:r w:rsidRPr="008C6A2E">
        <w:rPr>
          <w:rFonts w:cs="Arial"/>
          <w:color w:val="000000"/>
          <w:szCs w:val="24"/>
        </w:rPr>
        <w:t xml:space="preserve">Conservatively assuming all </w:t>
      </w:r>
      <w:r w:rsidR="002D31FC">
        <w:rPr>
          <w:rFonts w:cs="Arial"/>
          <w:color w:val="000000"/>
          <w:szCs w:val="24"/>
        </w:rPr>
        <w:t>6</w:t>
      </w:r>
      <w:r w:rsidRPr="008C6A2E">
        <w:rPr>
          <w:rFonts w:cs="Arial"/>
          <w:color w:val="000000"/>
          <w:szCs w:val="24"/>
        </w:rPr>
        <w:t xml:space="preserve"> firms submitting studies will need to register with CDX, the average burden and cost per CDX registration is 2.</w:t>
      </w:r>
      <w:r w:rsidR="002D31FC">
        <w:rPr>
          <w:rFonts w:cs="Arial"/>
          <w:color w:val="000000"/>
          <w:szCs w:val="24"/>
        </w:rPr>
        <w:t>67</w:t>
      </w:r>
      <w:r w:rsidRPr="008C6A2E" w:rsidR="002D31FC">
        <w:rPr>
          <w:rFonts w:cs="Arial"/>
          <w:color w:val="000000"/>
          <w:szCs w:val="24"/>
        </w:rPr>
        <w:t xml:space="preserve"> </w:t>
      </w:r>
      <w:r w:rsidRPr="008C6A2E">
        <w:rPr>
          <w:rFonts w:cs="Arial"/>
          <w:color w:val="000000"/>
          <w:szCs w:val="24"/>
        </w:rPr>
        <w:t>hours and $</w:t>
      </w:r>
      <w:r w:rsidR="002D31FC">
        <w:rPr>
          <w:rFonts w:cs="Arial"/>
          <w:color w:val="000000"/>
          <w:szCs w:val="24"/>
        </w:rPr>
        <w:t>231</w:t>
      </w:r>
      <w:r w:rsidRPr="008C6A2E">
        <w:rPr>
          <w:rFonts w:cs="Arial"/>
          <w:color w:val="000000"/>
          <w:szCs w:val="24"/>
        </w:rPr>
        <w:t>, respectively</w:t>
      </w:r>
      <w:r w:rsidR="002B1318">
        <w:rPr>
          <w:rFonts w:cs="Arial"/>
          <w:color w:val="000000"/>
          <w:szCs w:val="24"/>
        </w:rPr>
        <w:t xml:space="preserve"> using the values related to CDX registration activities contained in </w:t>
      </w:r>
      <w:r w:rsidR="002B1318">
        <w:rPr>
          <w:rFonts w:cs="Arial"/>
          <w:color w:val="000000"/>
          <w:szCs w:val="24"/>
        </w:rPr>
        <w:fldChar w:fldCharType="begin"/>
      </w:r>
      <w:r w:rsidR="002B1318">
        <w:rPr>
          <w:rFonts w:cs="Arial"/>
          <w:color w:val="000000"/>
          <w:szCs w:val="24"/>
        </w:rPr>
        <w:instrText xml:space="preserve"> REF _Ref96441297 \h </w:instrText>
      </w:r>
      <w:r w:rsidR="002B1318">
        <w:rPr>
          <w:rFonts w:cs="Arial"/>
          <w:color w:val="000000"/>
          <w:szCs w:val="24"/>
        </w:rPr>
      </w:r>
      <w:r w:rsidR="002B1318">
        <w:rPr>
          <w:rFonts w:cs="Arial"/>
          <w:color w:val="000000"/>
          <w:szCs w:val="24"/>
        </w:rPr>
        <w:fldChar w:fldCharType="separate"/>
      </w:r>
      <w:r w:rsidR="002B1318">
        <w:t xml:space="preserve">Table </w:t>
      </w:r>
      <w:r w:rsidR="002B1318">
        <w:rPr>
          <w:noProof/>
        </w:rPr>
        <w:t>14</w:t>
      </w:r>
      <w:r w:rsidR="002B1318">
        <w:rPr>
          <w:rFonts w:cs="Arial"/>
          <w:color w:val="000000"/>
          <w:szCs w:val="24"/>
        </w:rPr>
        <w:fldChar w:fldCharType="end"/>
      </w:r>
      <w:r w:rsidRPr="008C6A2E">
        <w:rPr>
          <w:rFonts w:cs="Arial"/>
          <w:color w:val="000000"/>
          <w:szCs w:val="24"/>
        </w:rPr>
        <w:t>.</w:t>
      </w:r>
    </w:p>
    <w:p w:rsidRPr="000679C3" w:rsidR="000679C3" w:rsidP="004B4ECA" w:rsidRDefault="000679C3" w14:paraId="77B98A42" w14:textId="7BF2F185">
      <w:pPr>
        <w:rPr>
          <w:szCs w:val="24"/>
        </w:rPr>
      </w:pPr>
      <w:r>
        <w:rPr>
          <w:szCs w:val="24"/>
        </w:rPr>
        <w:t xml:space="preserve">Total estimated burden hours </w:t>
      </w:r>
      <w:r w:rsidR="00444A95">
        <w:rPr>
          <w:szCs w:val="24"/>
        </w:rPr>
        <w:t>are</w:t>
      </w:r>
      <w:r>
        <w:rPr>
          <w:szCs w:val="24"/>
        </w:rPr>
        <w:t xml:space="preserve"> 475 hours and total estimated costs are $41,607.</w:t>
      </w:r>
    </w:p>
    <w:p w:rsidR="007F3A69" w:rsidP="00253A81" w:rsidRDefault="004C3EE4" w14:paraId="13966A39" w14:textId="77777777">
      <w:pPr>
        <w:pStyle w:val="Heading2"/>
      </w:pPr>
      <w:bookmarkStart w:name="_Toc49148207" w:id="40"/>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56068D" w:rsidRDefault="007F3A69" w14:paraId="0C75D53E" w14:textId="623B8B2D">
      <w:pPr>
        <w:pStyle w:val="Heading3"/>
        <w:numPr>
          <w:ilvl w:val="0"/>
          <w:numId w:val="6"/>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rsidRDefault="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7E7C8666">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94EFF" w:rsidP="008A61D0" w:rsidRDefault="00594EFF" w14:paraId="1F2257E6" w14:textId="5F21674A">
      <w:r>
        <w:t xml:space="preserve">There are no operational or maintenance costs associated with this collection. </w:t>
      </w:r>
    </w:p>
    <w:bookmarkEnd w:id="40"/>
    <w:p w:rsidR="005C3BF0" w:rsidP="005C3BF0" w:rsidRDefault="003D09E2" w14:paraId="386992FB" w14:textId="77777777">
      <w:pPr>
        <w:pStyle w:val="Heading2"/>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1C426B" w:rsidP="002D1104" w:rsidRDefault="001C426B" w14:paraId="33C5AB85" w14:textId="77777777">
      <w:pPr>
        <w:pStyle w:val="Caption"/>
      </w:pPr>
      <w:bookmarkStart w:name="_Hlk85120394" w:id="41"/>
    </w:p>
    <w:p w:rsidR="001C426B" w:rsidP="002D1104" w:rsidRDefault="001C426B" w14:paraId="7B0FDE60" w14:textId="77777777">
      <w:pPr>
        <w:pStyle w:val="Caption"/>
      </w:pPr>
    </w:p>
    <w:p w:rsidR="00316032" w:rsidP="00316032" w:rsidRDefault="0098029F" w14:paraId="72484594" w14:textId="77777777">
      <w:r>
        <w:t>Table 14</w:t>
      </w:r>
      <w:r w:rsidR="00FF0E55">
        <w:t xml:space="preserve"> </w:t>
      </w:r>
      <w:r w:rsidR="00CD44D9">
        <w:t xml:space="preserve">provides </w:t>
      </w:r>
      <w:r w:rsidR="00FF0E55">
        <w:t xml:space="preserve">annual agency wage rates for </w:t>
      </w:r>
      <w:r w:rsidR="00CD44D9">
        <w:t>multiple</w:t>
      </w:r>
      <w:r w:rsidR="00FF0E55">
        <w:t xml:space="preserve"> GS and step level</w:t>
      </w:r>
      <w:r w:rsidR="00CD44D9">
        <w:t>s for</w:t>
      </w:r>
      <w:r w:rsidR="00FF0E55">
        <w:t xml:space="preserve"> agency </w:t>
      </w:r>
      <w:r w:rsidR="00970918">
        <w:t xml:space="preserve">federal </w:t>
      </w:r>
      <w:r w:rsidR="00FF0E55">
        <w:t xml:space="preserve">staff </w:t>
      </w:r>
      <w:r w:rsidR="00CD44D9">
        <w:t>in</w:t>
      </w:r>
      <w:r w:rsidR="00FF0E55">
        <w:t xml:space="preserve"> the </w:t>
      </w:r>
      <w:r w:rsidRPr="00FF0E55" w:rsidR="00FF0E55">
        <w:t>Washington-Baltimore-Northern Virginia</w:t>
      </w:r>
      <w:r w:rsidR="00970918">
        <w:t>-West Virginia</w:t>
      </w:r>
      <w:r w:rsidR="00CD44D9">
        <w:t xml:space="preserve"> locality pay region. </w:t>
      </w:r>
      <w:bookmarkStart w:name="_Ref94265890" w:id="42"/>
    </w:p>
    <w:p w:rsidR="00FF0E55" w:rsidP="002D1104" w:rsidRDefault="00FF0E55" w14:paraId="5A486B7E" w14:textId="725642A9">
      <w:pPr>
        <w:pStyle w:val="Caption"/>
      </w:pPr>
      <w:r>
        <w:t xml:space="preserve">Table </w:t>
      </w:r>
      <w:bookmarkEnd w:id="42"/>
      <w:r w:rsidR="0098029F">
        <w:t>14</w:t>
      </w:r>
      <w:r>
        <w:t>. Agency Wage Rates (202</w:t>
      </w:r>
      <w:r w:rsidR="00964FBB">
        <w:t>1</w:t>
      </w:r>
      <w:r>
        <w:t>$)</w:t>
      </w:r>
    </w:p>
    <w:tbl>
      <w:tblPr>
        <w:tblW w:w="10120" w:type="dxa"/>
        <w:tblLook w:val="04A0" w:firstRow="1" w:lastRow="0" w:firstColumn="1" w:lastColumn="0" w:noHBand="0" w:noVBand="1"/>
      </w:tblPr>
      <w:tblGrid>
        <w:gridCol w:w="997"/>
        <w:gridCol w:w="1616"/>
        <w:gridCol w:w="890"/>
        <w:gridCol w:w="876"/>
        <w:gridCol w:w="848"/>
        <w:gridCol w:w="1467"/>
        <w:gridCol w:w="1503"/>
        <w:gridCol w:w="1047"/>
        <w:gridCol w:w="876"/>
      </w:tblGrid>
      <w:tr w:rsidRPr="00D50274" w:rsidR="00D50274" w:rsidTr="00D50274" w14:paraId="59ABB238" w14:textId="77777777">
        <w:trPr>
          <w:trHeight w:val="1368"/>
        </w:trPr>
        <w:tc>
          <w:tcPr>
            <w:tcW w:w="923" w:type="dxa"/>
            <w:vMerge w:val="restart"/>
            <w:tcBorders>
              <w:top w:val="single" w:color="auto" w:sz="8" w:space="0"/>
              <w:left w:val="single" w:color="auto" w:sz="8" w:space="0"/>
              <w:bottom w:val="single" w:color="000000" w:sz="8" w:space="0"/>
              <w:right w:val="single" w:color="auto" w:sz="8" w:space="0"/>
            </w:tcBorders>
            <w:shd w:val="clear" w:color="000000" w:fill="D9D9D9"/>
            <w:vAlign w:val="center"/>
            <w:hideMark/>
          </w:tcPr>
          <w:p w:rsidRPr="00D50274" w:rsidR="00D50274" w:rsidP="00D50274" w:rsidRDefault="00D50274" w14:paraId="6623CC42"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Labor Category</w:t>
            </w:r>
          </w:p>
        </w:tc>
        <w:tc>
          <w:tcPr>
            <w:tcW w:w="2125" w:type="dxa"/>
            <w:vMerge w:val="restart"/>
            <w:tcBorders>
              <w:top w:val="single" w:color="auto" w:sz="8" w:space="0"/>
              <w:left w:val="single" w:color="auto" w:sz="8" w:space="0"/>
              <w:bottom w:val="single" w:color="000000" w:sz="8" w:space="0"/>
              <w:right w:val="single" w:color="auto" w:sz="8" w:space="0"/>
            </w:tcBorders>
            <w:shd w:val="clear" w:color="000000" w:fill="D9D9D9"/>
            <w:vAlign w:val="center"/>
            <w:hideMark/>
          </w:tcPr>
          <w:p w:rsidRPr="00D50274" w:rsidR="00D50274" w:rsidP="00D50274" w:rsidRDefault="00D50274" w14:paraId="065FDAB8"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Data Source for Wage Information (Annual federal staff cost: OPM Washington-Baltimore-Northern Virginia, DC-MD-PA-VA-WV area)</w:t>
            </w:r>
          </w:p>
        </w:tc>
        <w:tc>
          <w:tcPr>
            <w:tcW w:w="896"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2656770C"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Wage ($/hour)</w:t>
            </w:r>
          </w:p>
        </w:tc>
        <w:tc>
          <w:tcPr>
            <w:tcW w:w="891"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5E21D5A8"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 xml:space="preserve">Fringes as % </w:t>
            </w:r>
            <w:proofErr w:type="spellStart"/>
            <w:r w:rsidRPr="00D50274">
              <w:rPr>
                <w:rFonts w:eastAsia="Times New Roman" w:cs="Arial"/>
                <w:b/>
                <w:bCs/>
                <w:color w:val="000000"/>
                <w:sz w:val="18"/>
                <w:szCs w:val="18"/>
              </w:rPr>
              <w:t>wage</w:t>
            </w:r>
            <w:r w:rsidRPr="00D50274">
              <w:rPr>
                <w:rFonts w:eastAsia="Times New Roman" w:cs="Arial"/>
                <w:b/>
                <w:bCs/>
                <w:color w:val="000000"/>
                <w:sz w:val="18"/>
                <w:szCs w:val="18"/>
                <w:vertAlign w:val="superscript"/>
              </w:rPr>
              <w:t>b</w:t>
            </w:r>
            <w:proofErr w:type="spellEnd"/>
          </w:p>
        </w:tc>
        <w:tc>
          <w:tcPr>
            <w:tcW w:w="882"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530E871D"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Fringe Benefit</w:t>
            </w:r>
          </w:p>
        </w:tc>
        <w:tc>
          <w:tcPr>
            <w:tcW w:w="1271"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6F6251C1"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Total Compensation</w:t>
            </w:r>
          </w:p>
        </w:tc>
        <w:tc>
          <w:tcPr>
            <w:tcW w:w="1307"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29E73A5F"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 xml:space="preserve">Overhead as % total </w:t>
            </w:r>
            <w:proofErr w:type="spellStart"/>
            <w:r w:rsidRPr="00D50274">
              <w:rPr>
                <w:rFonts w:eastAsia="Times New Roman" w:cs="Arial"/>
                <w:b/>
                <w:bCs/>
                <w:color w:val="000000"/>
                <w:sz w:val="18"/>
                <w:szCs w:val="18"/>
              </w:rPr>
              <w:t>compensation</w:t>
            </w:r>
            <w:r w:rsidRPr="00D50274">
              <w:rPr>
                <w:rFonts w:eastAsia="Times New Roman" w:cs="Arial"/>
                <w:b/>
                <w:bCs/>
                <w:color w:val="000000"/>
                <w:sz w:val="18"/>
                <w:szCs w:val="18"/>
                <w:vertAlign w:val="superscript"/>
              </w:rPr>
              <w:t>c</w:t>
            </w:r>
            <w:proofErr w:type="spellEnd"/>
          </w:p>
        </w:tc>
        <w:tc>
          <w:tcPr>
            <w:tcW w:w="934"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26B71FA9"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Overhead</w:t>
            </w:r>
          </w:p>
        </w:tc>
        <w:tc>
          <w:tcPr>
            <w:tcW w:w="891" w:type="dxa"/>
            <w:tcBorders>
              <w:top w:val="single" w:color="auto" w:sz="8" w:space="0"/>
              <w:left w:val="nil"/>
              <w:bottom w:val="single" w:color="auto" w:sz="8" w:space="0"/>
              <w:right w:val="single" w:color="auto" w:sz="8" w:space="0"/>
            </w:tcBorders>
            <w:shd w:val="clear" w:color="000000" w:fill="D9D9D9"/>
            <w:vAlign w:val="center"/>
            <w:hideMark/>
          </w:tcPr>
          <w:p w:rsidRPr="00D50274" w:rsidR="00D50274" w:rsidP="00D50274" w:rsidRDefault="00D50274" w14:paraId="5A46655E"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Loaded Wage ($/hr)</w:t>
            </w:r>
          </w:p>
        </w:tc>
      </w:tr>
      <w:tr w:rsidRPr="00D50274" w:rsidR="00D50274" w:rsidTr="00D50274" w14:paraId="37327105" w14:textId="77777777">
        <w:trPr>
          <w:trHeight w:val="492"/>
        </w:trPr>
        <w:tc>
          <w:tcPr>
            <w:tcW w:w="923" w:type="dxa"/>
            <w:vMerge/>
            <w:tcBorders>
              <w:top w:val="single" w:color="auto" w:sz="8" w:space="0"/>
              <w:left w:val="single" w:color="auto" w:sz="8" w:space="0"/>
              <w:bottom w:val="single" w:color="000000" w:sz="8" w:space="0"/>
              <w:right w:val="single" w:color="auto" w:sz="8" w:space="0"/>
            </w:tcBorders>
            <w:vAlign w:val="center"/>
            <w:hideMark/>
          </w:tcPr>
          <w:p w:rsidRPr="00D50274" w:rsidR="00D50274" w:rsidP="00D50274" w:rsidRDefault="00D50274" w14:paraId="2AE0FDD7" w14:textId="77777777">
            <w:pPr>
              <w:spacing w:after="0" w:line="240" w:lineRule="auto"/>
              <w:rPr>
                <w:rFonts w:eastAsia="Times New Roman" w:cs="Arial"/>
                <w:b/>
                <w:bCs/>
                <w:color w:val="000000"/>
                <w:sz w:val="18"/>
                <w:szCs w:val="18"/>
              </w:rPr>
            </w:pPr>
          </w:p>
        </w:tc>
        <w:tc>
          <w:tcPr>
            <w:tcW w:w="2125" w:type="dxa"/>
            <w:vMerge/>
            <w:tcBorders>
              <w:top w:val="single" w:color="auto" w:sz="8" w:space="0"/>
              <w:left w:val="single" w:color="auto" w:sz="8" w:space="0"/>
              <w:bottom w:val="single" w:color="000000" w:sz="8" w:space="0"/>
              <w:right w:val="single" w:color="auto" w:sz="8" w:space="0"/>
            </w:tcBorders>
            <w:vAlign w:val="center"/>
            <w:hideMark/>
          </w:tcPr>
          <w:p w:rsidRPr="00D50274" w:rsidR="00D50274" w:rsidP="00D50274" w:rsidRDefault="00D50274" w14:paraId="1476DF60" w14:textId="77777777">
            <w:pPr>
              <w:spacing w:after="0" w:line="240" w:lineRule="auto"/>
              <w:rPr>
                <w:rFonts w:eastAsia="Times New Roman" w:cs="Arial"/>
                <w:b/>
                <w:bCs/>
                <w:color w:val="000000"/>
                <w:sz w:val="18"/>
                <w:szCs w:val="18"/>
              </w:rPr>
            </w:pPr>
          </w:p>
        </w:tc>
        <w:tc>
          <w:tcPr>
            <w:tcW w:w="896"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2F64172E"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(a)</w:t>
            </w:r>
          </w:p>
        </w:tc>
        <w:tc>
          <w:tcPr>
            <w:tcW w:w="891"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2DDA071E"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(b)</w:t>
            </w:r>
          </w:p>
        </w:tc>
        <w:tc>
          <w:tcPr>
            <w:tcW w:w="882"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204FE7B6"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(c) = (a)*(b)</w:t>
            </w:r>
          </w:p>
        </w:tc>
        <w:tc>
          <w:tcPr>
            <w:tcW w:w="1271"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3478F47B"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(d) = (a)+(c)</w:t>
            </w:r>
          </w:p>
        </w:tc>
        <w:tc>
          <w:tcPr>
            <w:tcW w:w="1307"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1F47D17A"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(e)</w:t>
            </w:r>
          </w:p>
        </w:tc>
        <w:tc>
          <w:tcPr>
            <w:tcW w:w="934"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213BF10A"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 xml:space="preserve">(f) = (d)*(e) </w:t>
            </w:r>
          </w:p>
        </w:tc>
        <w:tc>
          <w:tcPr>
            <w:tcW w:w="891" w:type="dxa"/>
            <w:tcBorders>
              <w:top w:val="nil"/>
              <w:left w:val="nil"/>
              <w:bottom w:val="single" w:color="auto" w:sz="8" w:space="0"/>
              <w:right w:val="single" w:color="auto" w:sz="8" w:space="0"/>
            </w:tcBorders>
            <w:shd w:val="clear" w:color="000000" w:fill="D9D9D9"/>
            <w:vAlign w:val="center"/>
            <w:hideMark/>
          </w:tcPr>
          <w:p w:rsidRPr="00D50274" w:rsidR="00D50274" w:rsidP="00D50274" w:rsidRDefault="00D50274" w14:paraId="139ADD8F" w14:textId="77777777">
            <w:pPr>
              <w:spacing w:after="0" w:line="240" w:lineRule="auto"/>
              <w:jc w:val="center"/>
              <w:rPr>
                <w:rFonts w:eastAsia="Times New Roman" w:cs="Arial"/>
                <w:b/>
                <w:bCs/>
                <w:color w:val="000000"/>
                <w:sz w:val="18"/>
                <w:szCs w:val="18"/>
              </w:rPr>
            </w:pPr>
            <w:r w:rsidRPr="00D50274">
              <w:rPr>
                <w:rFonts w:eastAsia="Times New Roman" w:cs="Arial"/>
                <w:b/>
                <w:bCs/>
                <w:color w:val="000000"/>
                <w:sz w:val="18"/>
                <w:szCs w:val="18"/>
              </w:rPr>
              <w:t>(g) = (d)+(f)</w:t>
            </w:r>
          </w:p>
        </w:tc>
      </w:tr>
      <w:tr w:rsidRPr="00D50274" w:rsidR="00D50274" w:rsidTr="00D50274" w14:paraId="5A83839A" w14:textId="77777777">
        <w:trPr>
          <w:trHeight w:val="399"/>
        </w:trPr>
        <w:tc>
          <w:tcPr>
            <w:tcW w:w="923" w:type="dxa"/>
            <w:vMerge w:val="restart"/>
            <w:tcBorders>
              <w:top w:val="nil"/>
              <w:left w:val="single" w:color="auto" w:sz="8" w:space="0"/>
              <w:bottom w:val="single" w:color="000000" w:sz="8" w:space="0"/>
              <w:right w:val="single" w:color="auto" w:sz="8" w:space="0"/>
            </w:tcBorders>
            <w:shd w:val="clear" w:color="auto" w:fill="auto"/>
            <w:vAlign w:val="center"/>
            <w:hideMark/>
          </w:tcPr>
          <w:p w:rsidRPr="00D50274" w:rsidR="00D50274" w:rsidP="00D50274" w:rsidRDefault="00D50274" w14:paraId="25269DE4" w14:textId="77777777">
            <w:pPr>
              <w:spacing w:after="0" w:line="240" w:lineRule="auto"/>
              <w:jc w:val="center"/>
              <w:rPr>
                <w:rFonts w:eastAsia="Times New Roman" w:cs="Arial"/>
                <w:color w:val="000000"/>
                <w:sz w:val="18"/>
                <w:szCs w:val="18"/>
              </w:rPr>
            </w:pPr>
            <w:r w:rsidRPr="00D50274">
              <w:rPr>
                <w:rFonts w:eastAsia="Times New Roman" w:cs="Arial"/>
                <w:color w:val="000000"/>
                <w:sz w:val="18"/>
                <w:szCs w:val="18"/>
              </w:rPr>
              <w:t>EPA staff</w:t>
            </w:r>
          </w:p>
        </w:tc>
        <w:tc>
          <w:tcPr>
            <w:tcW w:w="2125" w:type="dxa"/>
            <w:tcBorders>
              <w:top w:val="nil"/>
              <w:left w:val="nil"/>
              <w:bottom w:val="nil"/>
              <w:right w:val="single" w:color="auto" w:sz="8" w:space="0"/>
            </w:tcBorders>
            <w:shd w:val="clear" w:color="auto" w:fill="auto"/>
            <w:vAlign w:val="center"/>
            <w:hideMark/>
          </w:tcPr>
          <w:p w:rsidRPr="00D50274" w:rsidR="00D50274" w:rsidP="00D50274" w:rsidRDefault="00D50274" w14:paraId="5583FBD5" w14:textId="77777777">
            <w:pPr>
              <w:spacing w:after="0" w:line="240" w:lineRule="auto"/>
              <w:rPr>
                <w:rFonts w:eastAsia="Times New Roman" w:cs="Arial"/>
                <w:color w:val="000000"/>
                <w:sz w:val="16"/>
                <w:szCs w:val="16"/>
              </w:rPr>
            </w:pPr>
            <w:r w:rsidRPr="00D50274">
              <w:rPr>
                <w:rFonts w:eastAsia="Times New Roman" w:cs="Arial"/>
                <w:b/>
                <w:bCs/>
                <w:color w:val="000000"/>
                <w:sz w:val="16"/>
                <w:szCs w:val="16"/>
              </w:rPr>
              <w:t>GS-12 Step 1</w:t>
            </w:r>
            <w:r w:rsidRPr="00D50274">
              <w:rPr>
                <w:rFonts w:eastAsia="Times New Roman" w:cs="Arial"/>
                <w:color w:val="000000"/>
                <w:sz w:val="16"/>
                <w:szCs w:val="16"/>
              </w:rPr>
              <w:t xml:space="preserve"> pay rates </w:t>
            </w:r>
            <w:r w:rsidRPr="00D50274">
              <w:rPr>
                <w:rFonts w:eastAsia="Times New Roman" w:cs="Arial"/>
                <w:color w:val="000000"/>
                <w:sz w:val="16"/>
                <w:szCs w:val="16"/>
                <w:vertAlign w:val="superscript"/>
              </w:rPr>
              <w:t>a</w:t>
            </w:r>
          </w:p>
        </w:tc>
        <w:tc>
          <w:tcPr>
            <w:tcW w:w="896" w:type="dxa"/>
            <w:tcBorders>
              <w:top w:val="nil"/>
              <w:left w:val="nil"/>
              <w:bottom w:val="nil"/>
              <w:right w:val="single" w:color="auto" w:sz="8" w:space="0"/>
            </w:tcBorders>
            <w:shd w:val="clear" w:color="auto" w:fill="auto"/>
            <w:vAlign w:val="center"/>
            <w:hideMark/>
          </w:tcPr>
          <w:p w:rsidRPr="00D50274" w:rsidR="00D50274" w:rsidP="00D50274" w:rsidRDefault="00D50274" w14:paraId="43610993"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$41.78 </w:t>
            </w:r>
          </w:p>
        </w:tc>
        <w:tc>
          <w:tcPr>
            <w:tcW w:w="891" w:type="dxa"/>
            <w:tcBorders>
              <w:top w:val="nil"/>
              <w:left w:val="nil"/>
              <w:bottom w:val="nil"/>
              <w:right w:val="single" w:color="auto" w:sz="8" w:space="0"/>
            </w:tcBorders>
            <w:shd w:val="clear" w:color="auto" w:fill="auto"/>
            <w:vAlign w:val="center"/>
            <w:hideMark/>
          </w:tcPr>
          <w:p w:rsidRPr="00D50274" w:rsidR="00D50274" w:rsidP="00D50274" w:rsidRDefault="00D50274" w14:paraId="7CB91528"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63.90%</w:t>
            </w:r>
          </w:p>
        </w:tc>
        <w:tc>
          <w:tcPr>
            <w:tcW w:w="882" w:type="dxa"/>
            <w:tcBorders>
              <w:top w:val="nil"/>
              <w:left w:val="nil"/>
              <w:bottom w:val="nil"/>
              <w:right w:val="single" w:color="auto" w:sz="8" w:space="0"/>
            </w:tcBorders>
            <w:shd w:val="clear" w:color="auto" w:fill="auto"/>
            <w:vAlign w:val="center"/>
            <w:hideMark/>
          </w:tcPr>
          <w:p w:rsidRPr="00D50274" w:rsidR="00D50274" w:rsidP="00D50274" w:rsidRDefault="00D50274" w14:paraId="636D87AE"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$26.70 </w:t>
            </w:r>
          </w:p>
        </w:tc>
        <w:tc>
          <w:tcPr>
            <w:tcW w:w="1271" w:type="dxa"/>
            <w:tcBorders>
              <w:top w:val="nil"/>
              <w:left w:val="nil"/>
              <w:bottom w:val="nil"/>
              <w:right w:val="single" w:color="auto" w:sz="8" w:space="0"/>
            </w:tcBorders>
            <w:shd w:val="clear" w:color="auto" w:fill="auto"/>
            <w:vAlign w:val="center"/>
            <w:hideMark/>
          </w:tcPr>
          <w:p w:rsidRPr="00D50274" w:rsidR="00D50274" w:rsidP="00D50274" w:rsidRDefault="00D50274" w14:paraId="7BFB0AA1"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$68.48 </w:t>
            </w:r>
          </w:p>
        </w:tc>
        <w:tc>
          <w:tcPr>
            <w:tcW w:w="1307" w:type="dxa"/>
            <w:tcBorders>
              <w:top w:val="nil"/>
              <w:left w:val="nil"/>
              <w:bottom w:val="nil"/>
              <w:right w:val="single" w:color="auto" w:sz="8" w:space="0"/>
            </w:tcBorders>
            <w:shd w:val="clear" w:color="auto" w:fill="auto"/>
            <w:vAlign w:val="center"/>
            <w:hideMark/>
          </w:tcPr>
          <w:p w:rsidRPr="00D50274" w:rsidR="00D50274" w:rsidP="00D50274" w:rsidRDefault="00D50274" w14:paraId="68D3BC52"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20%</w:t>
            </w:r>
          </w:p>
        </w:tc>
        <w:tc>
          <w:tcPr>
            <w:tcW w:w="934" w:type="dxa"/>
            <w:tcBorders>
              <w:top w:val="nil"/>
              <w:left w:val="nil"/>
              <w:bottom w:val="nil"/>
              <w:right w:val="single" w:color="auto" w:sz="8" w:space="0"/>
            </w:tcBorders>
            <w:shd w:val="clear" w:color="auto" w:fill="auto"/>
            <w:vAlign w:val="center"/>
            <w:hideMark/>
          </w:tcPr>
          <w:p w:rsidRPr="00D50274" w:rsidR="00D50274" w:rsidP="00D50274" w:rsidRDefault="00D50274" w14:paraId="1DEC7D1E"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$13.70 </w:t>
            </w:r>
          </w:p>
        </w:tc>
        <w:tc>
          <w:tcPr>
            <w:tcW w:w="891" w:type="dxa"/>
            <w:tcBorders>
              <w:top w:val="nil"/>
              <w:left w:val="nil"/>
              <w:bottom w:val="nil"/>
              <w:right w:val="single" w:color="auto" w:sz="8" w:space="0"/>
            </w:tcBorders>
            <w:shd w:val="clear" w:color="auto" w:fill="auto"/>
            <w:vAlign w:val="center"/>
            <w:hideMark/>
          </w:tcPr>
          <w:p w:rsidRPr="00D50274" w:rsidR="00D50274" w:rsidP="00D50274" w:rsidRDefault="00D50274" w14:paraId="1488ADE2" w14:textId="05536D2B">
            <w:pPr>
              <w:spacing w:after="0" w:line="240" w:lineRule="auto"/>
              <w:jc w:val="right"/>
              <w:rPr>
                <w:rFonts w:eastAsia="Times New Roman" w:cs="Arial"/>
                <w:color w:val="000000"/>
                <w:sz w:val="18"/>
                <w:szCs w:val="18"/>
              </w:rPr>
            </w:pPr>
            <w:r w:rsidRPr="00D50274">
              <w:rPr>
                <w:rFonts w:eastAsia="Times New Roman" w:cs="Arial"/>
                <w:color w:val="000000"/>
                <w:sz w:val="18"/>
                <w:szCs w:val="18"/>
              </w:rPr>
              <w:t>$82.1</w:t>
            </w:r>
            <w:r w:rsidR="0014429E">
              <w:rPr>
                <w:rFonts w:eastAsia="Times New Roman" w:cs="Arial"/>
                <w:color w:val="000000"/>
                <w:sz w:val="18"/>
                <w:szCs w:val="18"/>
              </w:rPr>
              <w:t>8</w:t>
            </w:r>
            <w:r w:rsidRPr="00D50274">
              <w:rPr>
                <w:rFonts w:eastAsia="Times New Roman" w:cs="Arial"/>
                <w:color w:val="000000"/>
                <w:sz w:val="18"/>
                <w:szCs w:val="18"/>
              </w:rPr>
              <w:t xml:space="preserve"> </w:t>
            </w:r>
          </w:p>
        </w:tc>
      </w:tr>
      <w:tr w:rsidRPr="00D50274" w:rsidR="00D50274" w:rsidTr="00D50274" w14:paraId="7BBB76E6" w14:textId="77777777">
        <w:trPr>
          <w:trHeight w:val="399"/>
        </w:trPr>
        <w:tc>
          <w:tcPr>
            <w:tcW w:w="923" w:type="dxa"/>
            <w:vMerge/>
            <w:tcBorders>
              <w:top w:val="nil"/>
              <w:left w:val="single" w:color="auto" w:sz="8" w:space="0"/>
              <w:bottom w:val="single" w:color="000000" w:sz="8" w:space="0"/>
              <w:right w:val="single" w:color="auto" w:sz="8" w:space="0"/>
            </w:tcBorders>
            <w:vAlign w:val="center"/>
            <w:hideMark/>
          </w:tcPr>
          <w:p w:rsidRPr="00D50274" w:rsidR="00D50274" w:rsidP="00D50274" w:rsidRDefault="00D50274" w14:paraId="025C963F" w14:textId="77777777">
            <w:pPr>
              <w:spacing w:after="0" w:line="240" w:lineRule="auto"/>
              <w:rPr>
                <w:rFonts w:eastAsia="Times New Roman" w:cs="Arial"/>
                <w:color w:val="000000"/>
                <w:sz w:val="18"/>
                <w:szCs w:val="18"/>
              </w:rPr>
            </w:pPr>
          </w:p>
        </w:tc>
        <w:tc>
          <w:tcPr>
            <w:tcW w:w="2125" w:type="dxa"/>
            <w:tcBorders>
              <w:top w:val="single" w:color="000000" w:sz="8" w:space="0"/>
              <w:left w:val="nil"/>
              <w:bottom w:val="nil"/>
              <w:right w:val="single" w:color="auto" w:sz="8" w:space="0"/>
            </w:tcBorders>
            <w:shd w:val="clear" w:color="auto" w:fill="auto"/>
            <w:vAlign w:val="center"/>
            <w:hideMark/>
          </w:tcPr>
          <w:p w:rsidRPr="00D50274" w:rsidR="00D50274" w:rsidP="00D50274" w:rsidRDefault="00D50274" w14:paraId="34FCA68F" w14:textId="77777777">
            <w:pPr>
              <w:spacing w:after="0" w:line="240" w:lineRule="auto"/>
              <w:rPr>
                <w:rFonts w:eastAsia="Times New Roman" w:cs="Arial"/>
                <w:color w:val="000000"/>
                <w:sz w:val="16"/>
                <w:szCs w:val="16"/>
              </w:rPr>
            </w:pPr>
            <w:r w:rsidRPr="00D50274">
              <w:rPr>
                <w:rFonts w:eastAsia="Times New Roman" w:cs="Arial"/>
                <w:b/>
                <w:bCs/>
                <w:color w:val="000000"/>
                <w:sz w:val="16"/>
                <w:szCs w:val="16"/>
              </w:rPr>
              <w:t>GS-13 Step 1</w:t>
            </w:r>
            <w:r w:rsidRPr="00D50274">
              <w:rPr>
                <w:rFonts w:eastAsia="Times New Roman" w:cs="Arial"/>
                <w:color w:val="000000"/>
                <w:sz w:val="16"/>
                <w:szCs w:val="16"/>
              </w:rPr>
              <w:t xml:space="preserve"> pay rates </w:t>
            </w:r>
            <w:r w:rsidRPr="00D50274">
              <w:rPr>
                <w:rFonts w:eastAsia="Times New Roman" w:cs="Arial"/>
                <w:color w:val="000000"/>
                <w:sz w:val="16"/>
                <w:szCs w:val="16"/>
                <w:vertAlign w:val="superscript"/>
              </w:rPr>
              <w:t>a</w:t>
            </w:r>
          </w:p>
        </w:tc>
        <w:tc>
          <w:tcPr>
            <w:tcW w:w="896"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5B8E9437"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$49.68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07D8F1C7"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63.90%</w:t>
            </w:r>
          </w:p>
        </w:tc>
        <w:tc>
          <w:tcPr>
            <w:tcW w:w="882"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28C01312"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$31.75 </w:t>
            </w:r>
          </w:p>
        </w:tc>
        <w:tc>
          <w:tcPr>
            <w:tcW w:w="127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6BA860B8"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$81.43 </w:t>
            </w:r>
          </w:p>
        </w:tc>
        <w:tc>
          <w:tcPr>
            <w:tcW w:w="1307"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3593621D"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20%</w:t>
            </w:r>
          </w:p>
        </w:tc>
        <w:tc>
          <w:tcPr>
            <w:tcW w:w="934"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227C255"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$16.29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A5721E0" w14:textId="4259FF2C">
            <w:pPr>
              <w:spacing w:after="0" w:line="240" w:lineRule="auto"/>
              <w:jc w:val="right"/>
              <w:rPr>
                <w:rFonts w:eastAsia="Times New Roman" w:cs="Arial"/>
                <w:color w:val="000000"/>
                <w:sz w:val="18"/>
                <w:szCs w:val="18"/>
              </w:rPr>
            </w:pPr>
            <w:r w:rsidRPr="00D50274">
              <w:rPr>
                <w:rFonts w:eastAsia="Times New Roman" w:cs="Arial"/>
                <w:color w:val="000000"/>
                <w:sz w:val="18"/>
                <w:szCs w:val="18"/>
              </w:rPr>
              <w:t>$97.7</w:t>
            </w:r>
            <w:r w:rsidR="0014429E">
              <w:rPr>
                <w:rFonts w:eastAsia="Times New Roman" w:cs="Arial"/>
                <w:color w:val="000000"/>
                <w:sz w:val="18"/>
                <w:szCs w:val="18"/>
              </w:rPr>
              <w:t>2</w:t>
            </w:r>
            <w:r w:rsidRPr="00D50274">
              <w:rPr>
                <w:rFonts w:eastAsia="Times New Roman" w:cs="Arial"/>
                <w:color w:val="000000"/>
                <w:sz w:val="18"/>
                <w:szCs w:val="18"/>
              </w:rPr>
              <w:t xml:space="preserve"> </w:t>
            </w:r>
          </w:p>
        </w:tc>
      </w:tr>
      <w:tr w:rsidRPr="00D50274" w:rsidR="00D50274" w:rsidTr="00D50274" w14:paraId="71A0F5BD" w14:textId="77777777">
        <w:trPr>
          <w:trHeight w:val="399"/>
        </w:trPr>
        <w:tc>
          <w:tcPr>
            <w:tcW w:w="923" w:type="dxa"/>
            <w:vMerge/>
            <w:tcBorders>
              <w:top w:val="nil"/>
              <w:left w:val="single" w:color="auto" w:sz="8" w:space="0"/>
              <w:bottom w:val="single" w:color="000000" w:sz="8" w:space="0"/>
              <w:right w:val="single" w:color="auto" w:sz="8" w:space="0"/>
            </w:tcBorders>
            <w:vAlign w:val="center"/>
            <w:hideMark/>
          </w:tcPr>
          <w:p w:rsidRPr="00D50274" w:rsidR="00D50274" w:rsidP="00D50274" w:rsidRDefault="00D50274" w14:paraId="61CD3E61" w14:textId="77777777">
            <w:pPr>
              <w:spacing w:after="0" w:line="240" w:lineRule="auto"/>
              <w:rPr>
                <w:rFonts w:eastAsia="Times New Roman" w:cs="Arial"/>
                <w:color w:val="000000"/>
                <w:sz w:val="18"/>
                <w:szCs w:val="18"/>
              </w:rPr>
            </w:pPr>
          </w:p>
        </w:tc>
        <w:tc>
          <w:tcPr>
            <w:tcW w:w="2125" w:type="dxa"/>
            <w:tcBorders>
              <w:top w:val="single" w:color="000000" w:sz="8" w:space="0"/>
              <w:left w:val="nil"/>
              <w:bottom w:val="nil"/>
              <w:right w:val="single" w:color="auto" w:sz="8" w:space="0"/>
            </w:tcBorders>
            <w:shd w:val="clear" w:color="auto" w:fill="auto"/>
            <w:vAlign w:val="center"/>
            <w:hideMark/>
          </w:tcPr>
          <w:p w:rsidRPr="00D50274" w:rsidR="00D50274" w:rsidP="00D50274" w:rsidRDefault="00D50274" w14:paraId="19DEED93" w14:textId="77777777">
            <w:pPr>
              <w:spacing w:after="0" w:line="240" w:lineRule="auto"/>
              <w:rPr>
                <w:rFonts w:eastAsia="Times New Roman" w:cs="Arial"/>
                <w:color w:val="000000"/>
                <w:sz w:val="16"/>
                <w:szCs w:val="16"/>
              </w:rPr>
            </w:pPr>
            <w:r w:rsidRPr="00D50274">
              <w:rPr>
                <w:rFonts w:eastAsia="Times New Roman" w:cs="Arial"/>
                <w:b/>
                <w:bCs/>
                <w:color w:val="000000"/>
                <w:sz w:val="16"/>
                <w:szCs w:val="16"/>
              </w:rPr>
              <w:t>GS-13 Step 5</w:t>
            </w:r>
            <w:r w:rsidRPr="00D50274">
              <w:rPr>
                <w:rFonts w:eastAsia="Times New Roman" w:cs="Arial"/>
                <w:color w:val="000000"/>
                <w:sz w:val="16"/>
                <w:szCs w:val="16"/>
              </w:rPr>
              <w:t xml:space="preserve"> pay rates </w:t>
            </w:r>
            <w:r w:rsidRPr="00D50274">
              <w:rPr>
                <w:rFonts w:eastAsia="Times New Roman" w:cs="Arial"/>
                <w:color w:val="000000"/>
                <w:sz w:val="16"/>
                <w:szCs w:val="16"/>
                <w:vertAlign w:val="superscript"/>
              </w:rPr>
              <w:t>a</w:t>
            </w:r>
          </w:p>
        </w:tc>
        <w:tc>
          <w:tcPr>
            <w:tcW w:w="896"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184CEE2E"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$56.31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5A5A2304"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63.90%</w:t>
            </w:r>
          </w:p>
        </w:tc>
        <w:tc>
          <w:tcPr>
            <w:tcW w:w="882"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4EFE3528"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$35.98 </w:t>
            </w:r>
          </w:p>
        </w:tc>
        <w:tc>
          <w:tcPr>
            <w:tcW w:w="127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094A1E2B"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$92.29 </w:t>
            </w:r>
          </w:p>
        </w:tc>
        <w:tc>
          <w:tcPr>
            <w:tcW w:w="1307"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B741AE7"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20%</w:t>
            </w:r>
          </w:p>
        </w:tc>
        <w:tc>
          <w:tcPr>
            <w:tcW w:w="934"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30391478"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$18.46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18D2FF83"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$110.75 </w:t>
            </w:r>
          </w:p>
        </w:tc>
      </w:tr>
      <w:tr w:rsidRPr="00D50274" w:rsidR="00D50274" w:rsidTr="00D50274" w14:paraId="025C34B6" w14:textId="77777777">
        <w:trPr>
          <w:trHeight w:val="399"/>
        </w:trPr>
        <w:tc>
          <w:tcPr>
            <w:tcW w:w="923" w:type="dxa"/>
            <w:vMerge/>
            <w:tcBorders>
              <w:top w:val="nil"/>
              <w:left w:val="single" w:color="auto" w:sz="8" w:space="0"/>
              <w:bottom w:val="single" w:color="000000" w:sz="8" w:space="0"/>
              <w:right w:val="single" w:color="auto" w:sz="8" w:space="0"/>
            </w:tcBorders>
            <w:vAlign w:val="center"/>
            <w:hideMark/>
          </w:tcPr>
          <w:p w:rsidRPr="00D50274" w:rsidR="00D50274" w:rsidP="00D50274" w:rsidRDefault="00D50274" w14:paraId="470059DB" w14:textId="77777777">
            <w:pPr>
              <w:spacing w:after="0" w:line="240" w:lineRule="auto"/>
              <w:rPr>
                <w:rFonts w:eastAsia="Times New Roman" w:cs="Arial"/>
                <w:color w:val="000000"/>
                <w:sz w:val="18"/>
                <w:szCs w:val="18"/>
              </w:rPr>
            </w:pPr>
          </w:p>
        </w:tc>
        <w:tc>
          <w:tcPr>
            <w:tcW w:w="2125" w:type="dxa"/>
            <w:tcBorders>
              <w:top w:val="single" w:color="000000" w:sz="8" w:space="0"/>
              <w:left w:val="nil"/>
              <w:bottom w:val="nil"/>
              <w:right w:val="single" w:color="auto" w:sz="8" w:space="0"/>
            </w:tcBorders>
            <w:shd w:val="clear" w:color="auto" w:fill="auto"/>
            <w:vAlign w:val="center"/>
            <w:hideMark/>
          </w:tcPr>
          <w:p w:rsidRPr="00D50274" w:rsidR="00D50274" w:rsidP="00D50274" w:rsidRDefault="00D50274" w14:paraId="73840CAF" w14:textId="77777777">
            <w:pPr>
              <w:spacing w:after="0" w:line="240" w:lineRule="auto"/>
              <w:rPr>
                <w:rFonts w:eastAsia="Times New Roman" w:cs="Arial"/>
                <w:color w:val="000000"/>
                <w:sz w:val="16"/>
                <w:szCs w:val="16"/>
              </w:rPr>
            </w:pPr>
            <w:r w:rsidRPr="00D50274">
              <w:rPr>
                <w:rFonts w:eastAsia="Times New Roman" w:cs="Arial"/>
                <w:b/>
                <w:bCs/>
                <w:color w:val="000000"/>
                <w:sz w:val="16"/>
                <w:szCs w:val="16"/>
              </w:rPr>
              <w:t>GS-15 Step 1</w:t>
            </w:r>
            <w:r w:rsidRPr="00D50274">
              <w:rPr>
                <w:rFonts w:eastAsia="Times New Roman" w:cs="Arial"/>
                <w:color w:val="000000"/>
                <w:sz w:val="16"/>
                <w:szCs w:val="16"/>
              </w:rPr>
              <w:t xml:space="preserve"> pay rates </w:t>
            </w:r>
            <w:r w:rsidRPr="00D50274">
              <w:rPr>
                <w:rFonts w:eastAsia="Times New Roman" w:cs="Arial"/>
                <w:color w:val="000000"/>
                <w:sz w:val="16"/>
                <w:szCs w:val="16"/>
                <w:vertAlign w:val="superscript"/>
              </w:rPr>
              <w:t>a</w:t>
            </w:r>
          </w:p>
        </w:tc>
        <w:tc>
          <w:tcPr>
            <w:tcW w:w="896"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2BE78585"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$69.06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6BFA012D"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63.90%</w:t>
            </w:r>
          </w:p>
        </w:tc>
        <w:tc>
          <w:tcPr>
            <w:tcW w:w="882"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10C0E96"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$44.13 </w:t>
            </w:r>
          </w:p>
        </w:tc>
        <w:tc>
          <w:tcPr>
            <w:tcW w:w="127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698786A"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$113.19 </w:t>
            </w:r>
          </w:p>
        </w:tc>
        <w:tc>
          <w:tcPr>
            <w:tcW w:w="1307"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52507850"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20%</w:t>
            </w:r>
          </w:p>
        </w:tc>
        <w:tc>
          <w:tcPr>
            <w:tcW w:w="934"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74246E00"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$22.64 </w:t>
            </w:r>
          </w:p>
        </w:tc>
        <w:tc>
          <w:tcPr>
            <w:tcW w:w="891" w:type="dxa"/>
            <w:tcBorders>
              <w:top w:val="single" w:color="auto" w:sz="8" w:space="0"/>
              <w:left w:val="nil"/>
              <w:bottom w:val="nil"/>
              <w:right w:val="single" w:color="auto" w:sz="8" w:space="0"/>
            </w:tcBorders>
            <w:shd w:val="clear" w:color="auto" w:fill="auto"/>
            <w:vAlign w:val="center"/>
            <w:hideMark/>
          </w:tcPr>
          <w:p w:rsidRPr="00D50274" w:rsidR="00D50274" w:rsidP="00D50274" w:rsidRDefault="00D50274" w14:paraId="349CE725" w14:textId="77777777">
            <w:pPr>
              <w:spacing w:after="0" w:line="240" w:lineRule="auto"/>
              <w:jc w:val="right"/>
              <w:rPr>
                <w:rFonts w:eastAsia="Times New Roman" w:cs="Arial"/>
                <w:color w:val="000000"/>
                <w:sz w:val="18"/>
                <w:szCs w:val="18"/>
              </w:rPr>
            </w:pPr>
            <w:r w:rsidRPr="00D50274">
              <w:rPr>
                <w:rFonts w:eastAsia="Times New Roman" w:cs="Arial"/>
                <w:color w:val="000000"/>
                <w:sz w:val="18"/>
                <w:szCs w:val="18"/>
              </w:rPr>
              <w:t xml:space="preserve">$135.83 </w:t>
            </w:r>
          </w:p>
        </w:tc>
      </w:tr>
      <w:tr w:rsidRPr="00D50274" w:rsidR="00D50274" w:rsidTr="00D50274" w14:paraId="201485A5" w14:textId="77777777">
        <w:trPr>
          <w:trHeight w:val="276"/>
        </w:trPr>
        <w:tc>
          <w:tcPr>
            <w:tcW w:w="10120" w:type="dxa"/>
            <w:gridSpan w:val="9"/>
            <w:tcBorders>
              <w:top w:val="single" w:color="000000" w:sz="8" w:space="0"/>
              <w:left w:val="single" w:color="auto" w:sz="8" w:space="0"/>
              <w:bottom w:val="nil"/>
              <w:right w:val="single" w:color="000000" w:sz="8" w:space="0"/>
            </w:tcBorders>
            <w:shd w:val="clear" w:color="auto" w:fill="auto"/>
            <w:vAlign w:val="center"/>
            <w:hideMark/>
          </w:tcPr>
          <w:p w:rsidRPr="00D50274" w:rsidR="00D50274" w:rsidP="00D50274" w:rsidRDefault="00D50274" w14:paraId="265EDB6C" w14:textId="77777777">
            <w:pPr>
              <w:spacing w:after="0" w:line="240" w:lineRule="auto"/>
              <w:rPr>
                <w:rFonts w:eastAsia="Times New Roman" w:cs="Arial"/>
                <w:color w:val="000000"/>
                <w:sz w:val="18"/>
                <w:szCs w:val="18"/>
              </w:rPr>
            </w:pPr>
            <w:r w:rsidRPr="00D50274">
              <w:rPr>
                <w:rFonts w:eastAsia="Times New Roman" w:cs="Arial"/>
                <w:color w:val="000000"/>
                <w:sz w:val="18"/>
                <w:szCs w:val="18"/>
              </w:rPr>
              <w:t>Footnotes:</w:t>
            </w:r>
          </w:p>
        </w:tc>
      </w:tr>
      <w:tr w:rsidRPr="00D50274" w:rsidR="00D50274" w:rsidTr="00D50274" w14:paraId="1B3BB1FD" w14:textId="77777777">
        <w:trPr>
          <w:trHeight w:val="699"/>
        </w:trPr>
        <w:tc>
          <w:tcPr>
            <w:tcW w:w="10120" w:type="dxa"/>
            <w:gridSpan w:val="9"/>
            <w:tcBorders>
              <w:top w:val="nil"/>
              <w:left w:val="single" w:color="auto" w:sz="8" w:space="0"/>
              <w:bottom w:val="nil"/>
              <w:right w:val="single" w:color="000000" w:sz="8" w:space="0"/>
            </w:tcBorders>
            <w:shd w:val="clear" w:color="auto" w:fill="auto"/>
            <w:vAlign w:val="bottom"/>
            <w:hideMark/>
          </w:tcPr>
          <w:p w:rsidRPr="00D50274" w:rsidR="00D50274" w:rsidP="00D50274" w:rsidRDefault="00D50274" w14:paraId="4E57D964" w14:textId="77777777">
            <w:pPr>
              <w:spacing w:after="0" w:line="240" w:lineRule="auto"/>
              <w:rPr>
                <w:rFonts w:eastAsia="Times New Roman" w:cs="Arial"/>
                <w:color w:val="000000"/>
                <w:sz w:val="18"/>
                <w:szCs w:val="18"/>
              </w:rPr>
            </w:pPr>
            <w:r w:rsidRPr="00D50274">
              <w:rPr>
                <w:rFonts w:eastAsia="Times New Roman" w:cs="Arial"/>
                <w:color w:val="000000"/>
                <w:sz w:val="18"/>
                <w:szCs w:val="18"/>
              </w:rPr>
              <w:t>a Source: U.S. Office of Personnel Management. (2021). Salary Table 2021-DCB. Retrieved February 1, 2022 from Pay &amp; Leave: Salaries &amp; Wages: https://www.opm.gov/policy-data-oversight/pay-leave/salaries-wages/salary-tables/21Tables/html/DCB_h.aspx.</w:t>
            </w:r>
          </w:p>
        </w:tc>
      </w:tr>
      <w:tr w:rsidRPr="00D50274" w:rsidR="00D50274" w:rsidTr="00D50274" w14:paraId="042954B1" w14:textId="77777777">
        <w:trPr>
          <w:trHeight w:val="699"/>
        </w:trPr>
        <w:tc>
          <w:tcPr>
            <w:tcW w:w="10120" w:type="dxa"/>
            <w:gridSpan w:val="9"/>
            <w:tcBorders>
              <w:top w:val="nil"/>
              <w:left w:val="single" w:color="auto" w:sz="8" w:space="0"/>
              <w:bottom w:val="nil"/>
              <w:right w:val="single" w:color="000000" w:sz="8" w:space="0"/>
            </w:tcBorders>
            <w:shd w:val="clear" w:color="auto" w:fill="auto"/>
            <w:vAlign w:val="bottom"/>
            <w:hideMark/>
          </w:tcPr>
          <w:p w:rsidRPr="00D50274" w:rsidR="00D50274" w:rsidP="00D50274" w:rsidRDefault="00D50274" w14:paraId="5C27F686" w14:textId="3A0598A3">
            <w:pPr>
              <w:spacing w:after="0" w:line="240" w:lineRule="auto"/>
              <w:rPr>
                <w:rFonts w:eastAsia="Times New Roman" w:cs="Arial"/>
                <w:color w:val="000000"/>
                <w:sz w:val="18"/>
                <w:szCs w:val="18"/>
              </w:rPr>
            </w:pPr>
            <w:r w:rsidRPr="00D50274">
              <w:rPr>
                <w:rFonts w:eastAsia="Times New Roman" w:cs="Arial"/>
                <w:color w:val="000000"/>
                <w:sz w:val="18"/>
                <w:szCs w:val="18"/>
              </w:rPr>
              <w:t xml:space="preserve">b Source: Falk, J. 2012. “Comparing Benefits and Total Compensation in the Federal Government and the Private Sector.” Congressional Budget Office Working Paper Series. </w:t>
            </w:r>
            <w:hyperlink w:history="1" r:id="rId21">
              <w:r w:rsidRPr="00D27E3F" w:rsidR="001C426B">
                <w:rPr>
                  <w:rStyle w:val="Hyperlink"/>
                  <w:rFonts w:eastAsia="Times New Roman" w:cs="Arial"/>
                  <w:sz w:val="18"/>
                  <w:szCs w:val="18"/>
                </w:rPr>
                <w:t>https://www.cbo.gov/sites/default/files/112th-congress-2011-2012/workingpaper/2012-04fedbenefitswp0.pdf</w:t>
              </w:r>
            </w:hyperlink>
          </w:p>
        </w:tc>
      </w:tr>
      <w:tr w:rsidRPr="00D50274" w:rsidR="00D50274" w:rsidTr="00D50274" w14:paraId="3BF5E862" w14:textId="77777777">
        <w:trPr>
          <w:trHeight w:val="699"/>
        </w:trPr>
        <w:tc>
          <w:tcPr>
            <w:tcW w:w="10120" w:type="dxa"/>
            <w:gridSpan w:val="9"/>
            <w:tcBorders>
              <w:top w:val="nil"/>
              <w:left w:val="single" w:color="auto" w:sz="8" w:space="0"/>
              <w:bottom w:val="single" w:color="auto" w:sz="8" w:space="0"/>
              <w:right w:val="single" w:color="000000" w:sz="8" w:space="0"/>
            </w:tcBorders>
            <w:shd w:val="clear" w:color="auto" w:fill="auto"/>
            <w:vAlign w:val="center"/>
            <w:hideMark/>
          </w:tcPr>
          <w:p w:rsidRPr="00D50274" w:rsidR="00D50274" w:rsidP="00D50274" w:rsidRDefault="00D50274" w14:paraId="40A2ADE4" w14:textId="77777777">
            <w:pPr>
              <w:spacing w:after="0" w:line="240" w:lineRule="auto"/>
              <w:rPr>
                <w:rFonts w:eastAsia="Times New Roman" w:cs="Arial"/>
                <w:color w:val="000000"/>
                <w:sz w:val="18"/>
                <w:szCs w:val="18"/>
              </w:rPr>
            </w:pPr>
            <w:r w:rsidRPr="00D50274">
              <w:rPr>
                <w:rFonts w:eastAsia="Times New Roman" w:cs="Arial"/>
                <w:color w:val="000000"/>
                <w:sz w:val="18"/>
                <w:szCs w:val="18"/>
                <w:vertAlign w:val="superscript"/>
              </w:rPr>
              <w:t>c</w:t>
            </w:r>
            <w:r w:rsidRPr="00D50274">
              <w:rPr>
                <w:rFonts w:eastAsia="Times New Roman" w:cs="Arial"/>
                <w:color w:val="000000"/>
                <w:sz w:val="18"/>
                <w:szCs w:val="18"/>
              </w:rPr>
              <w:t xml:space="preserve"> </w:t>
            </w:r>
            <w:proofErr w:type="gramStart"/>
            <w:r w:rsidRPr="00D50274">
              <w:rPr>
                <w:rFonts w:eastAsia="Times New Roman" w:cs="Arial"/>
                <w:color w:val="000000"/>
                <w:sz w:val="18"/>
                <w:szCs w:val="18"/>
              </w:rPr>
              <w:t>An</w:t>
            </w:r>
            <w:proofErr w:type="gramEnd"/>
            <w:r w:rsidRPr="00D50274">
              <w:rPr>
                <w:rFonts w:eastAsia="Times New Roman" w:cs="Arial"/>
                <w:color w:val="000000"/>
                <w:sz w:val="18"/>
                <w:szCs w:val="18"/>
              </w:rPr>
              <w:t xml:space="preserve"> overhead rate of 20% is used based on assumptions in Handbook on Valuing Changes in Time Use Induced by Regulatory Requirements and Other U.S. EPA Actions (EPA 2020).</w:t>
            </w:r>
          </w:p>
        </w:tc>
      </w:tr>
    </w:tbl>
    <w:p w:rsidR="00FF0E55" w:rsidP="00EB5927" w:rsidRDefault="00FF0E55" w14:paraId="5C0B9667" w14:textId="77777777">
      <w:pPr>
        <w:pStyle w:val="BodyTextFirstIndent"/>
        <w:ind w:firstLine="0"/>
      </w:pPr>
    </w:p>
    <w:p w:rsidRPr="009C2235" w:rsidR="005C3BF0" w:rsidP="001F49CF" w:rsidRDefault="005C3BF0" w14:paraId="001867C0" w14:textId="131F4D3D">
      <w:pPr>
        <w:rPr>
          <w:rFonts w:cs="Arial"/>
          <w:b/>
          <w:bCs/>
          <w:szCs w:val="24"/>
        </w:rPr>
      </w:pPr>
      <w:r w:rsidRPr="009C2235">
        <w:rPr>
          <w:rFonts w:cs="Arial"/>
          <w:b/>
          <w:bCs/>
          <w:szCs w:val="24"/>
        </w:rPr>
        <w:t>TSCA Section 8(a) Preliminary Assessment Information Rule (PAIR)</w:t>
      </w:r>
    </w:p>
    <w:bookmarkEnd w:id="41"/>
    <w:p w:rsidRPr="001F49CF" w:rsidR="00E07475" w:rsidP="001F49CF" w:rsidRDefault="00152F59" w14:paraId="0CE45876" w14:textId="56B9384D">
      <w:pPr>
        <w:rPr>
          <w:rFonts w:cs="Arial"/>
          <w:szCs w:val="24"/>
        </w:rPr>
      </w:pPr>
      <w:r>
        <w:rPr>
          <w:rFonts w:cs="Arial"/>
          <w:szCs w:val="24"/>
        </w:rPr>
        <w:t xml:space="preserve">Although, it will be unlikely that the EPA will </w:t>
      </w:r>
      <w:r w:rsidR="00E614FB">
        <w:rPr>
          <w:rFonts w:cs="Arial"/>
          <w:szCs w:val="24"/>
        </w:rPr>
        <w:t xml:space="preserve">issue a </w:t>
      </w:r>
      <w:r w:rsidR="0048737F">
        <w:rPr>
          <w:rFonts w:cs="Arial"/>
          <w:szCs w:val="24"/>
        </w:rPr>
        <w:t>PAIR rule in this renewal cycle</w:t>
      </w:r>
      <w:r w:rsidR="00C16430">
        <w:rPr>
          <w:rFonts w:cs="Arial"/>
          <w:szCs w:val="24"/>
        </w:rPr>
        <w:t xml:space="preserve"> because </w:t>
      </w:r>
      <w:r w:rsidR="00914DE2">
        <w:rPr>
          <w:rFonts w:cs="Arial"/>
          <w:szCs w:val="24"/>
        </w:rPr>
        <w:t>EPA will most likely use other rulemakings such as the Chemical Data Reporting (CDR) rule to collect similar data</w:t>
      </w:r>
      <w:r w:rsidR="0048737F">
        <w:rPr>
          <w:rFonts w:cs="Arial"/>
          <w:szCs w:val="24"/>
        </w:rPr>
        <w:t xml:space="preserve">, the following describes the </w:t>
      </w:r>
      <w:r w:rsidR="00CF4E8B">
        <w:rPr>
          <w:rFonts w:cs="Arial"/>
          <w:szCs w:val="24"/>
        </w:rPr>
        <w:t xml:space="preserve">EPA’s burden if such an event were to occur. </w:t>
      </w:r>
      <w:r w:rsidRPr="001F49CF" w:rsidR="00E07475">
        <w:rPr>
          <w:rFonts w:cs="Arial"/>
          <w:szCs w:val="24"/>
        </w:rPr>
        <w:t>The activities routinely conducted by EPA related to the rule development, processing, analysis and storage of the information collected under a PAIR rule (40 CFR part 712) and subpart B of 40 CFR 766 are as follows:</w:t>
      </w:r>
    </w:p>
    <w:p w:rsidRPr="001F49CF" w:rsidR="00E07475" w:rsidP="001F49CF" w:rsidRDefault="00E07475" w14:paraId="57380DE0" w14:textId="77777777">
      <w:pPr>
        <w:pStyle w:val="ListParagraph"/>
        <w:numPr>
          <w:ilvl w:val="0"/>
          <w:numId w:val="13"/>
        </w:numPr>
        <w:autoSpaceDE w:val="0"/>
        <w:autoSpaceDN w:val="0"/>
        <w:adjustRightInd w:val="0"/>
        <w:rPr>
          <w:rFonts w:cs="Arial"/>
          <w:szCs w:val="24"/>
        </w:rPr>
      </w:pPr>
      <w:r w:rsidRPr="001F49CF">
        <w:rPr>
          <w:rFonts w:cs="Arial"/>
          <w:szCs w:val="24"/>
        </w:rPr>
        <w:t xml:space="preserve">Chemical nomination, review and </w:t>
      </w:r>
      <w:proofErr w:type="gramStart"/>
      <w:r w:rsidRPr="001F49CF">
        <w:rPr>
          <w:rFonts w:cs="Arial"/>
          <w:szCs w:val="24"/>
        </w:rPr>
        <w:t>selection;</w:t>
      </w:r>
      <w:proofErr w:type="gramEnd"/>
    </w:p>
    <w:p w:rsidRPr="001F49CF" w:rsidR="00E07475" w:rsidP="001F49CF" w:rsidRDefault="00E07475" w14:paraId="1C793C0B" w14:textId="77777777">
      <w:pPr>
        <w:pStyle w:val="ListParagraph"/>
        <w:numPr>
          <w:ilvl w:val="0"/>
          <w:numId w:val="13"/>
        </w:numPr>
        <w:autoSpaceDE w:val="0"/>
        <w:autoSpaceDN w:val="0"/>
        <w:adjustRightInd w:val="0"/>
        <w:rPr>
          <w:rFonts w:cs="Arial"/>
          <w:szCs w:val="24"/>
        </w:rPr>
      </w:pPr>
      <w:r w:rsidRPr="001F49CF">
        <w:rPr>
          <w:rFonts w:cs="Arial"/>
          <w:szCs w:val="24"/>
        </w:rPr>
        <w:t xml:space="preserve">Rule </w:t>
      </w:r>
      <w:proofErr w:type="gramStart"/>
      <w:r w:rsidRPr="001F49CF">
        <w:rPr>
          <w:rFonts w:cs="Arial"/>
          <w:szCs w:val="24"/>
        </w:rPr>
        <w:t>development;</w:t>
      </w:r>
      <w:proofErr w:type="gramEnd"/>
    </w:p>
    <w:p w:rsidRPr="001F49CF" w:rsidR="00E07475" w:rsidP="001F49CF" w:rsidRDefault="00E07475" w14:paraId="72013A86" w14:textId="77777777">
      <w:pPr>
        <w:pStyle w:val="ListParagraph"/>
        <w:numPr>
          <w:ilvl w:val="0"/>
          <w:numId w:val="13"/>
        </w:numPr>
        <w:autoSpaceDE w:val="0"/>
        <w:autoSpaceDN w:val="0"/>
        <w:adjustRightInd w:val="0"/>
        <w:rPr>
          <w:rFonts w:cs="Arial"/>
          <w:szCs w:val="24"/>
        </w:rPr>
      </w:pPr>
      <w:r w:rsidRPr="001F49CF">
        <w:rPr>
          <w:rFonts w:cs="Arial"/>
          <w:szCs w:val="24"/>
        </w:rPr>
        <w:t>Evaluation of the rule (including impact assessments</w:t>
      </w:r>
      <w:proofErr w:type="gramStart"/>
      <w:r w:rsidRPr="001F49CF">
        <w:rPr>
          <w:rFonts w:cs="Arial"/>
          <w:szCs w:val="24"/>
        </w:rPr>
        <w:t>);</w:t>
      </w:r>
      <w:proofErr w:type="gramEnd"/>
    </w:p>
    <w:p w:rsidRPr="001F49CF" w:rsidR="00E07475" w:rsidP="001F49CF" w:rsidRDefault="00E07475" w14:paraId="342F204A" w14:textId="77777777">
      <w:pPr>
        <w:pStyle w:val="ListParagraph"/>
        <w:numPr>
          <w:ilvl w:val="0"/>
          <w:numId w:val="13"/>
        </w:numPr>
        <w:autoSpaceDE w:val="0"/>
        <w:autoSpaceDN w:val="0"/>
        <w:adjustRightInd w:val="0"/>
        <w:rPr>
          <w:rFonts w:cs="Arial"/>
          <w:szCs w:val="24"/>
        </w:rPr>
      </w:pPr>
      <w:r w:rsidRPr="001F49CF">
        <w:rPr>
          <w:rFonts w:cs="Arial"/>
          <w:szCs w:val="24"/>
        </w:rPr>
        <w:t xml:space="preserve">Industry/public </w:t>
      </w:r>
      <w:proofErr w:type="gramStart"/>
      <w:r w:rsidRPr="001F49CF">
        <w:rPr>
          <w:rFonts w:cs="Arial"/>
          <w:szCs w:val="24"/>
        </w:rPr>
        <w:t>assistance;</w:t>
      </w:r>
      <w:proofErr w:type="gramEnd"/>
    </w:p>
    <w:p w:rsidRPr="001F49CF" w:rsidR="00E07475" w:rsidP="001F49CF" w:rsidRDefault="00E07475" w14:paraId="0EF6893B" w14:textId="77777777">
      <w:pPr>
        <w:pStyle w:val="ListParagraph"/>
        <w:numPr>
          <w:ilvl w:val="0"/>
          <w:numId w:val="13"/>
        </w:numPr>
        <w:autoSpaceDE w:val="0"/>
        <w:autoSpaceDN w:val="0"/>
        <w:adjustRightInd w:val="0"/>
        <w:rPr>
          <w:rFonts w:cs="Arial"/>
          <w:szCs w:val="24"/>
        </w:rPr>
      </w:pPr>
      <w:r w:rsidRPr="001F49CF">
        <w:rPr>
          <w:rFonts w:cs="Arial"/>
          <w:szCs w:val="24"/>
        </w:rPr>
        <w:t>Compliance monitoring; and</w:t>
      </w:r>
    </w:p>
    <w:p w:rsidRPr="001F49CF" w:rsidR="005C3BF0" w:rsidP="001F49CF" w:rsidRDefault="00E07475" w14:paraId="31E8C03B" w14:textId="77777777">
      <w:pPr>
        <w:pStyle w:val="ListParagraph"/>
        <w:numPr>
          <w:ilvl w:val="0"/>
          <w:numId w:val="13"/>
        </w:numPr>
        <w:autoSpaceDE w:val="0"/>
        <w:autoSpaceDN w:val="0"/>
        <w:adjustRightInd w:val="0"/>
        <w:rPr>
          <w:rFonts w:cs="Arial"/>
          <w:szCs w:val="24"/>
        </w:rPr>
      </w:pPr>
      <w:r w:rsidRPr="001F49CF">
        <w:rPr>
          <w:rFonts w:cs="Arial"/>
          <w:szCs w:val="24"/>
        </w:rPr>
        <w:t>Processing of data received for listed chemicals (includes receipt, dissemination, evaluation, etc.).</w:t>
      </w:r>
    </w:p>
    <w:p w:rsidRPr="001F49CF" w:rsidR="00A234F1" w:rsidP="001F49CF" w:rsidRDefault="00A234F1" w14:paraId="0ADE8950" w14:textId="77777777">
      <w:pPr>
        <w:pStyle w:val="ListParagraph"/>
        <w:autoSpaceDE w:val="0"/>
        <w:autoSpaceDN w:val="0"/>
        <w:adjustRightInd w:val="0"/>
        <w:ind w:left="0"/>
        <w:rPr>
          <w:rFonts w:cs="Arial"/>
          <w:szCs w:val="24"/>
        </w:rPr>
      </w:pPr>
    </w:p>
    <w:p w:rsidRPr="001F49CF" w:rsidR="00A234F1" w:rsidP="001F49CF" w:rsidRDefault="00FD6FF1" w14:paraId="711DDADC" w14:textId="77777777">
      <w:pPr>
        <w:pStyle w:val="ListParagraph"/>
        <w:autoSpaceDE w:val="0"/>
        <w:autoSpaceDN w:val="0"/>
        <w:adjustRightInd w:val="0"/>
        <w:ind w:left="0"/>
        <w:rPr>
          <w:rFonts w:cs="Arial"/>
          <w:szCs w:val="24"/>
        </w:rPr>
      </w:pPr>
      <w:r w:rsidRPr="001F49CF">
        <w:rPr>
          <w:rFonts w:cs="Arial"/>
          <w:szCs w:val="24"/>
        </w:rPr>
        <w:t>This analysis assumes that an annual average of 1 report will be submitted over the three-year period of the ICR. Personnel burden and costs associated with industry/public assistance and data processing activities have been adjusted based on that estimate. From the 1989 PAIR ICR update it has been derived that industry/public assistance required approximately 1.5 hours per report or 0.0007 FTE. Similarly, the 1989 PAIR ICR update estimated that about 3.75 hours, or 0.002 FTE, of data processing/system support personnel time would be required per report.</w:t>
      </w:r>
    </w:p>
    <w:p w:rsidR="00A234F1" w:rsidP="001F49CF" w:rsidRDefault="00A234F1" w14:paraId="4E167E06" w14:textId="6E535885">
      <w:pPr>
        <w:pStyle w:val="ListParagraph"/>
        <w:autoSpaceDE w:val="0"/>
        <w:autoSpaceDN w:val="0"/>
        <w:adjustRightInd w:val="0"/>
        <w:ind w:left="0"/>
        <w:rPr>
          <w:rFonts w:cs="Arial"/>
          <w:szCs w:val="24"/>
        </w:rPr>
      </w:pPr>
    </w:p>
    <w:p w:rsidR="000234CF" w:rsidP="001F49CF" w:rsidRDefault="000234CF" w14:paraId="0E77E5D9" w14:textId="60CFD939">
      <w:pPr>
        <w:pStyle w:val="ListParagraph"/>
        <w:autoSpaceDE w:val="0"/>
        <w:autoSpaceDN w:val="0"/>
        <w:adjustRightInd w:val="0"/>
        <w:ind w:left="0"/>
        <w:rPr>
          <w:rFonts w:cs="Arial"/>
        </w:rPr>
      </w:pPr>
      <w:r w:rsidRPr="7106594F">
        <w:rPr>
          <w:rFonts w:cs="Arial"/>
        </w:rPr>
        <w:t>Data processing costs have been updated from 201</w:t>
      </w:r>
      <w:r w:rsidRPr="7106594F" w:rsidR="1B5D11D0">
        <w:rPr>
          <w:rFonts w:cs="Arial"/>
        </w:rPr>
        <w:t>7</w:t>
      </w:r>
      <w:r w:rsidRPr="7106594F">
        <w:rPr>
          <w:rFonts w:cs="Arial"/>
        </w:rPr>
        <w:t xml:space="preserve"> to average 20</w:t>
      </w:r>
      <w:r w:rsidRPr="7106594F" w:rsidR="5024AA11">
        <w:rPr>
          <w:rFonts w:cs="Arial"/>
        </w:rPr>
        <w:t>21</w:t>
      </w:r>
      <w:r w:rsidRPr="7106594F">
        <w:rPr>
          <w:rFonts w:cs="Arial"/>
        </w:rPr>
        <w:t xml:space="preserve"> dollars using the GDP implicit price deflator from the Bureau of Economic Analysis (BEA). The BEA GDP price index series with a base of 20</w:t>
      </w:r>
      <w:r w:rsidRPr="7106594F" w:rsidR="3FDAFD00">
        <w:rPr>
          <w:rFonts w:cs="Arial"/>
        </w:rPr>
        <w:t>12</w:t>
      </w:r>
      <w:r w:rsidRPr="7106594F">
        <w:rPr>
          <w:rFonts w:cs="Arial"/>
        </w:rPr>
        <w:t xml:space="preserve"> = 100 has the 20</w:t>
      </w:r>
      <w:r w:rsidRPr="7106594F" w:rsidR="02724A8C">
        <w:rPr>
          <w:rFonts w:cs="Arial"/>
        </w:rPr>
        <w:t>17</w:t>
      </w:r>
      <w:r w:rsidRPr="7106594F">
        <w:rPr>
          <w:rFonts w:cs="Arial"/>
        </w:rPr>
        <w:t xml:space="preserve"> index at 10</w:t>
      </w:r>
      <w:r w:rsidRPr="7106594F" w:rsidR="0893AB7C">
        <w:rPr>
          <w:rFonts w:cs="Arial"/>
        </w:rPr>
        <w:t>7.742</w:t>
      </w:r>
      <w:r w:rsidRPr="7106594F">
        <w:rPr>
          <w:rFonts w:cs="Arial"/>
        </w:rPr>
        <w:t xml:space="preserve"> and the 20</w:t>
      </w:r>
      <w:r w:rsidRPr="7106594F" w:rsidR="3019DC0C">
        <w:rPr>
          <w:rFonts w:cs="Arial"/>
        </w:rPr>
        <w:t>21</w:t>
      </w:r>
      <w:r w:rsidRPr="7106594F">
        <w:rPr>
          <w:rFonts w:cs="Arial"/>
        </w:rPr>
        <w:t xml:space="preserve"> index at 11</w:t>
      </w:r>
      <w:r w:rsidRPr="7106594F" w:rsidR="24A8CA22">
        <w:rPr>
          <w:rFonts w:cs="Arial"/>
        </w:rPr>
        <w:t>8</w:t>
      </w:r>
      <w:r w:rsidRPr="7106594F">
        <w:rPr>
          <w:rFonts w:cs="Arial"/>
        </w:rPr>
        <w:t>.4</w:t>
      </w:r>
      <w:r w:rsidRPr="7106594F" w:rsidR="0997AD27">
        <w:rPr>
          <w:rFonts w:cs="Arial"/>
        </w:rPr>
        <w:t>77</w:t>
      </w:r>
      <w:r w:rsidRPr="7106594F">
        <w:rPr>
          <w:rFonts w:cs="Arial"/>
        </w:rPr>
        <w:t xml:space="preserve"> so the adjustment factor from 20</w:t>
      </w:r>
      <w:r w:rsidRPr="7106594F" w:rsidR="6E86902B">
        <w:rPr>
          <w:rFonts w:cs="Arial"/>
        </w:rPr>
        <w:t>17</w:t>
      </w:r>
      <w:r w:rsidRPr="7106594F">
        <w:rPr>
          <w:rFonts w:cs="Arial"/>
        </w:rPr>
        <w:t xml:space="preserve"> to 20</w:t>
      </w:r>
      <w:r w:rsidRPr="7106594F" w:rsidR="29FEA13F">
        <w:rPr>
          <w:rFonts w:cs="Arial"/>
        </w:rPr>
        <w:t>21</w:t>
      </w:r>
      <w:r w:rsidRPr="7106594F">
        <w:rPr>
          <w:rFonts w:cs="Arial"/>
        </w:rPr>
        <w:t xml:space="preserve"> is 1.</w:t>
      </w:r>
      <w:r w:rsidRPr="1CF3855C">
        <w:rPr>
          <w:rFonts w:cs="Arial"/>
        </w:rPr>
        <w:t>0</w:t>
      </w:r>
      <w:r w:rsidRPr="1CF3855C" w:rsidR="6EF0C9E7">
        <w:rPr>
          <w:rFonts w:cs="Arial"/>
        </w:rPr>
        <w:t>996</w:t>
      </w:r>
      <w:r w:rsidRPr="7106594F">
        <w:rPr>
          <w:rFonts w:cs="Arial"/>
        </w:rPr>
        <w:t xml:space="preserve"> (11</w:t>
      </w:r>
      <w:r w:rsidRPr="7106594F" w:rsidR="04E325DD">
        <w:rPr>
          <w:rFonts w:cs="Arial"/>
        </w:rPr>
        <w:t>8.477</w:t>
      </w:r>
      <w:r w:rsidRPr="7106594F">
        <w:rPr>
          <w:rFonts w:cs="Arial"/>
        </w:rPr>
        <w:t>/</w:t>
      </w:r>
      <w:r w:rsidRPr="1CF3855C">
        <w:rPr>
          <w:rFonts w:cs="Arial"/>
        </w:rPr>
        <w:t>10</w:t>
      </w:r>
      <w:r w:rsidRPr="1CF3855C" w:rsidR="2741ABC2">
        <w:rPr>
          <w:rFonts w:cs="Arial"/>
        </w:rPr>
        <w:t>7.742</w:t>
      </w:r>
      <w:r w:rsidRPr="7106594F">
        <w:rPr>
          <w:rFonts w:cs="Arial"/>
        </w:rPr>
        <w:t xml:space="preserve"> = 1.</w:t>
      </w:r>
      <w:r w:rsidRPr="1CF3855C">
        <w:rPr>
          <w:rFonts w:cs="Arial"/>
        </w:rPr>
        <w:t>0</w:t>
      </w:r>
      <w:r w:rsidRPr="1CF3855C" w:rsidR="2515948F">
        <w:rPr>
          <w:rFonts w:cs="Arial"/>
        </w:rPr>
        <w:t>996</w:t>
      </w:r>
      <w:r w:rsidRPr="1CF3855C">
        <w:rPr>
          <w:rFonts w:cs="Arial"/>
        </w:rPr>
        <w:t>).</w:t>
      </w:r>
      <w:r w:rsidRPr="7106594F">
        <w:rPr>
          <w:rFonts w:cs="Arial"/>
        </w:rPr>
        <w:t xml:space="preserve"> Data processing costs for the </w:t>
      </w:r>
      <w:r w:rsidRPr="1CF3855C">
        <w:rPr>
          <w:rFonts w:cs="Arial"/>
        </w:rPr>
        <w:t>20</w:t>
      </w:r>
      <w:r w:rsidRPr="1CF3855C" w:rsidR="13621B4F">
        <w:rPr>
          <w:rFonts w:cs="Arial"/>
        </w:rPr>
        <w:t>17</w:t>
      </w:r>
      <w:r w:rsidRPr="7106594F">
        <w:rPr>
          <w:rFonts w:cs="Arial"/>
        </w:rPr>
        <w:t xml:space="preserve"> PAIR ICR update were estimated to be approximately $</w:t>
      </w:r>
      <w:r w:rsidRPr="1CF3855C" w:rsidR="12A4C2A9">
        <w:rPr>
          <w:rFonts w:cs="Arial"/>
        </w:rPr>
        <w:t>295.01</w:t>
      </w:r>
      <w:r w:rsidRPr="7106594F">
        <w:rPr>
          <w:rFonts w:cs="Arial"/>
        </w:rPr>
        <w:t xml:space="preserve"> per report. Adjusting this number to </w:t>
      </w:r>
      <w:r w:rsidRPr="1CF3855C">
        <w:rPr>
          <w:rFonts w:cs="Arial"/>
        </w:rPr>
        <w:t>20</w:t>
      </w:r>
      <w:r w:rsidRPr="1CF3855C" w:rsidR="0FAF4597">
        <w:rPr>
          <w:rFonts w:cs="Arial"/>
        </w:rPr>
        <w:t>21</w:t>
      </w:r>
      <w:r w:rsidRPr="7106594F">
        <w:rPr>
          <w:rFonts w:cs="Arial"/>
        </w:rPr>
        <w:t xml:space="preserve"> with the GDP implicit price deflator yields an adjusted data processing cost of $</w:t>
      </w:r>
      <w:r w:rsidRPr="1CF3855C" w:rsidR="55C9F28F">
        <w:rPr>
          <w:rFonts w:cs="Arial"/>
        </w:rPr>
        <w:t>324.39</w:t>
      </w:r>
      <w:r w:rsidRPr="7106594F">
        <w:rPr>
          <w:rFonts w:cs="Arial"/>
        </w:rPr>
        <w:t xml:space="preserve"> per report (i.e., </w:t>
      </w:r>
      <w:r w:rsidRPr="1CF3855C">
        <w:rPr>
          <w:rFonts w:cs="Arial"/>
        </w:rPr>
        <w:t>$2</w:t>
      </w:r>
      <w:r w:rsidRPr="1CF3855C" w:rsidR="61333D07">
        <w:rPr>
          <w:rFonts w:cs="Arial"/>
        </w:rPr>
        <w:t>95.01</w:t>
      </w:r>
      <w:r w:rsidRPr="1CF3855C">
        <w:rPr>
          <w:rFonts w:cs="Arial"/>
        </w:rPr>
        <w:t xml:space="preserve"> x 1.</w:t>
      </w:r>
      <w:r w:rsidRPr="1CF3855C" w:rsidR="2E45F6AD">
        <w:rPr>
          <w:rFonts w:cs="Arial"/>
        </w:rPr>
        <w:t>0996</w:t>
      </w:r>
      <w:r w:rsidRPr="1CF3855C">
        <w:rPr>
          <w:rFonts w:cs="Arial"/>
        </w:rPr>
        <w:t xml:space="preserve"> = $</w:t>
      </w:r>
      <w:r w:rsidRPr="1CF3855C" w:rsidR="42C7795B">
        <w:rPr>
          <w:rFonts w:cs="Arial"/>
        </w:rPr>
        <w:t>324.39</w:t>
      </w:r>
      <w:r w:rsidRPr="519BCE22">
        <w:rPr>
          <w:rFonts w:cs="Arial"/>
        </w:rPr>
        <w:t>).</w:t>
      </w:r>
      <w:r w:rsidRPr="1CF3855C">
        <w:rPr>
          <w:rFonts w:cs="Arial"/>
        </w:rPr>
        <w:t>).</w:t>
      </w:r>
    </w:p>
    <w:p w:rsidRPr="001F49CF" w:rsidR="000234CF" w:rsidP="001F49CF" w:rsidRDefault="000234CF" w14:paraId="16D63769" w14:textId="77777777">
      <w:pPr>
        <w:pStyle w:val="ListParagraph"/>
        <w:autoSpaceDE w:val="0"/>
        <w:autoSpaceDN w:val="0"/>
        <w:adjustRightInd w:val="0"/>
        <w:ind w:left="0"/>
        <w:rPr>
          <w:rFonts w:cs="Arial"/>
          <w:szCs w:val="24"/>
        </w:rPr>
      </w:pPr>
    </w:p>
    <w:p w:rsidRPr="001F49CF" w:rsidR="00FD6FF1" w:rsidP="001F49CF" w:rsidRDefault="0098029F" w14:paraId="494986B6" w14:textId="532AB282">
      <w:pPr>
        <w:pStyle w:val="ListParagraph"/>
        <w:autoSpaceDE w:val="0"/>
        <w:autoSpaceDN w:val="0"/>
        <w:adjustRightInd w:val="0"/>
        <w:ind w:left="0"/>
        <w:rPr>
          <w:rFonts w:cs="Arial"/>
          <w:szCs w:val="24"/>
        </w:rPr>
      </w:pPr>
      <w:r>
        <w:rPr>
          <w:rFonts w:cs="Arial"/>
          <w:szCs w:val="24"/>
        </w:rPr>
        <w:t xml:space="preserve">Table </w:t>
      </w:r>
      <w:r w:rsidR="00594EFF">
        <w:rPr>
          <w:rFonts w:cs="Arial"/>
          <w:szCs w:val="24"/>
        </w:rPr>
        <w:t>15</w:t>
      </w:r>
      <w:r w:rsidR="005A764B">
        <w:rPr>
          <w:rFonts w:cs="Arial"/>
          <w:szCs w:val="24"/>
        </w:rPr>
        <w:t xml:space="preserve"> </w:t>
      </w:r>
      <w:r w:rsidRPr="001F49CF" w:rsidR="00FD6FF1">
        <w:rPr>
          <w:rFonts w:cs="Arial"/>
          <w:szCs w:val="24"/>
        </w:rPr>
        <w:t>summarizes the government’s activities in developing and administrating the PAIR and subpart B of 40 CFR 766. The required FTEs per activity are retained from the 1996 PAIR ICR update and from the previous 8(a) PAIR ICR renewal analyses, for all activities except for the recalculation of the burden associated with industry/public assistance and data processing/system support personnel time.</w:t>
      </w:r>
      <w:r w:rsidR="00964FBB">
        <w:rPr>
          <w:rFonts w:cs="Arial"/>
          <w:szCs w:val="24"/>
        </w:rPr>
        <w:t xml:space="preserve"> Costs are calculated assuming agency staff at GS </w:t>
      </w:r>
      <w:r w:rsidR="00024E15">
        <w:rPr>
          <w:rFonts w:cs="Arial"/>
          <w:szCs w:val="24"/>
        </w:rPr>
        <w:t>12</w:t>
      </w:r>
      <w:r w:rsidR="00A54D26">
        <w:rPr>
          <w:rFonts w:cs="Arial"/>
          <w:szCs w:val="24"/>
        </w:rPr>
        <w:t xml:space="preserve"> </w:t>
      </w:r>
      <w:r w:rsidR="00964FBB">
        <w:rPr>
          <w:rFonts w:cs="Arial"/>
          <w:szCs w:val="24"/>
        </w:rPr>
        <w:t xml:space="preserve">Step 1 would perform these activities and the loaded wage rate is in </w:t>
      </w:r>
      <w:r w:rsidR="00964FBB">
        <w:rPr>
          <w:rFonts w:cs="Arial"/>
          <w:szCs w:val="24"/>
        </w:rPr>
        <w:fldChar w:fldCharType="begin"/>
      </w:r>
      <w:r w:rsidR="00964FBB">
        <w:rPr>
          <w:rFonts w:cs="Arial"/>
          <w:szCs w:val="24"/>
        </w:rPr>
        <w:instrText xml:space="preserve"> REF _Ref94265890 \h </w:instrText>
      </w:r>
      <w:r w:rsidR="00964FBB">
        <w:rPr>
          <w:rFonts w:cs="Arial"/>
          <w:szCs w:val="24"/>
        </w:rPr>
      </w:r>
      <w:r w:rsidR="00964FBB">
        <w:rPr>
          <w:rFonts w:cs="Arial"/>
          <w:szCs w:val="24"/>
        </w:rPr>
        <w:fldChar w:fldCharType="separate"/>
      </w:r>
      <w:r w:rsidR="00AD2856">
        <w:t xml:space="preserve">Table </w:t>
      </w:r>
      <w:r w:rsidR="00AD2856">
        <w:rPr>
          <w:noProof/>
        </w:rPr>
        <w:t>14</w:t>
      </w:r>
      <w:r w:rsidR="00964FBB">
        <w:rPr>
          <w:rFonts w:cs="Arial"/>
          <w:szCs w:val="24"/>
        </w:rPr>
        <w:fldChar w:fldCharType="end"/>
      </w:r>
      <w:r w:rsidR="00964FBB">
        <w:rPr>
          <w:rFonts w:cs="Arial"/>
          <w:szCs w:val="24"/>
        </w:rPr>
        <w:t>.</w:t>
      </w:r>
    </w:p>
    <w:p w:rsidRPr="0084018A" w:rsidR="00FD6FF1" w:rsidP="002D1104" w:rsidRDefault="0084018A" w14:paraId="24C1D3CD" w14:textId="6BA59073">
      <w:pPr>
        <w:pStyle w:val="Caption"/>
        <w:rPr>
          <w:szCs w:val="24"/>
        </w:rPr>
      </w:pPr>
      <w:bookmarkStart w:name="_Ref95922119" w:id="43"/>
      <w:r>
        <w:t xml:space="preserve">Table </w:t>
      </w:r>
      <w:r w:rsidR="00594EFF">
        <w:t>15</w:t>
      </w:r>
      <w:bookmarkEnd w:id="43"/>
      <w:r>
        <w:t>. Agency Burden Summary</w:t>
      </w:r>
      <w:r w:rsidR="009773A7">
        <w:t xml:space="preserve"> for TSCA Section 8(a)</w:t>
      </w:r>
      <w:r w:rsidR="00247142">
        <w:t xml:space="preserve"> PAIR</w:t>
      </w:r>
      <w:r w:rsidR="0088236C">
        <w:t xml:space="preserve"> (2021$)</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0"/>
        <w:gridCol w:w="2120"/>
        <w:gridCol w:w="1580"/>
      </w:tblGrid>
      <w:tr w:rsidRPr="00964FBB" w:rsidR="00964FBB" w:rsidTr="00DF540F" w14:paraId="4F4E2EAF" w14:textId="77777777">
        <w:trPr>
          <w:trHeight w:val="600"/>
        </w:trPr>
        <w:tc>
          <w:tcPr>
            <w:tcW w:w="3860" w:type="dxa"/>
            <w:shd w:val="clear" w:color="auto" w:fill="auto"/>
            <w:vAlign w:val="center"/>
            <w:hideMark/>
          </w:tcPr>
          <w:p w:rsidRPr="00964FBB" w:rsidR="00964FBB" w:rsidP="00964FBB" w:rsidRDefault="00964FBB" w14:paraId="71DC126C" w14:textId="77777777">
            <w:pPr>
              <w:spacing w:after="0" w:line="240" w:lineRule="auto"/>
              <w:jc w:val="center"/>
              <w:rPr>
                <w:rFonts w:eastAsia="Times New Roman" w:cs="Arial"/>
                <w:b/>
                <w:bCs/>
                <w:color w:val="000000"/>
                <w:szCs w:val="24"/>
              </w:rPr>
            </w:pPr>
            <w:r w:rsidRPr="00964FBB">
              <w:rPr>
                <w:rFonts w:eastAsia="Times New Roman" w:cs="Arial"/>
                <w:b/>
                <w:bCs/>
                <w:color w:val="000000"/>
                <w:szCs w:val="24"/>
              </w:rPr>
              <w:t>Activity</w:t>
            </w:r>
          </w:p>
        </w:tc>
        <w:tc>
          <w:tcPr>
            <w:tcW w:w="2120" w:type="dxa"/>
            <w:shd w:val="clear" w:color="auto" w:fill="auto"/>
            <w:vAlign w:val="center"/>
            <w:hideMark/>
          </w:tcPr>
          <w:p w:rsidRPr="00964FBB" w:rsidR="00964FBB" w:rsidP="00964FBB" w:rsidRDefault="00964FBB" w14:paraId="22BBBE3C" w14:textId="77777777">
            <w:pPr>
              <w:spacing w:after="0" w:line="240" w:lineRule="auto"/>
              <w:jc w:val="center"/>
              <w:rPr>
                <w:rFonts w:eastAsia="Times New Roman" w:cs="Arial"/>
                <w:b/>
                <w:bCs/>
                <w:color w:val="000000"/>
                <w:szCs w:val="24"/>
              </w:rPr>
            </w:pPr>
            <w:r w:rsidRPr="00964FBB">
              <w:rPr>
                <w:rFonts w:eastAsia="Times New Roman" w:cs="Arial"/>
                <w:b/>
                <w:bCs/>
                <w:color w:val="000000"/>
                <w:szCs w:val="24"/>
              </w:rPr>
              <w:t>Annual Burden</w:t>
            </w:r>
          </w:p>
        </w:tc>
        <w:tc>
          <w:tcPr>
            <w:tcW w:w="1580" w:type="dxa"/>
            <w:shd w:val="clear" w:color="auto" w:fill="auto"/>
            <w:vAlign w:val="center"/>
            <w:hideMark/>
          </w:tcPr>
          <w:p w:rsidRPr="00964FBB" w:rsidR="00964FBB" w:rsidP="00964FBB" w:rsidRDefault="00964FBB" w14:paraId="177DC729" w14:textId="77777777">
            <w:pPr>
              <w:spacing w:after="0" w:line="240" w:lineRule="auto"/>
              <w:jc w:val="center"/>
              <w:rPr>
                <w:rFonts w:eastAsia="Times New Roman" w:cs="Arial"/>
                <w:b/>
                <w:bCs/>
                <w:color w:val="000000"/>
                <w:szCs w:val="24"/>
              </w:rPr>
            </w:pPr>
            <w:r w:rsidRPr="00964FBB">
              <w:rPr>
                <w:rFonts w:eastAsia="Times New Roman" w:cs="Arial"/>
                <w:b/>
                <w:bCs/>
                <w:color w:val="000000"/>
                <w:szCs w:val="24"/>
              </w:rPr>
              <w:t>Annual Cost</w:t>
            </w:r>
          </w:p>
        </w:tc>
      </w:tr>
      <w:tr w:rsidRPr="00964FBB" w:rsidR="00964FBB" w:rsidTr="00DF540F" w14:paraId="3B9970FA" w14:textId="77777777">
        <w:trPr>
          <w:trHeight w:val="600"/>
        </w:trPr>
        <w:tc>
          <w:tcPr>
            <w:tcW w:w="3860" w:type="dxa"/>
            <w:shd w:val="clear" w:color="auto" w:fill="auto"/>
            <w:vAlign w:val="center"/>
            <w:hideMark/>
          </w:tcPr>
          <w:p w:rsidRPr="00964FBB" w:rsidR="00964FBB" w:rsidP="00964FBB" w:rsidRDefault="00964FBB" w14:paraId="0561D1A9" w14:textId="77777777">
            <w:pPr>
              <w:spacing w:after="0" w:line="240" w:lineRule="auto"/>
              <w:rPr>
                <w:rFonts w:eastAsia="Times New Roman" w:cs="Arial"/>
                <w:color w:val="000000"/>
                <w:szCs w:val="24"/>
              </w:rPr>
            </w:pPr>
            <w:r w:rsidRPr="00964FBB">
              <w:rPr>
                <w:rFonts w:eastAsia="Times New Roman" w:cs="Arial"/>
                <w:color w:val="000000"/>
                <w:szCs w:val="24"/>
              </w:rPr>
              <w:t>Chemical nomination, review, and selection</w:t>
            </w:r>
          </w:p>
        </w:tc>
        <w:tc>
          <w:tcPr>
            <w:tcW w:w="2120" w:type="dxa"/>
            <w:shd w:val="clear" w:color="auto" w:fill="auto"/>
            <w:vAlign w:val="center"/>
            <w:hideMark/>
          </w:tcPr>
          <w:p w:rsidRPr="00964FBB" w:rsidR="00964FBB" w:rsidP="00964FBB" w:rsidRDefault="00964FBB" w14:paraId="14B4EAF5" w14:textId="77777777">
            <w:pPr>
              <w:spacing w:after="0" w:line="240" w:lineRule="auto"/>
              <w:jc w:val="center"/>
              <w:rPr>
                <w:rFonts w:eastAsia="Times New Roman" w:cs="Arial"/>
                <w:color w:val="000000"/>
                <w:szCs w:val="24"/>
              </w:rPr>
            </w:pPr>
            <w:r w:rsidRPr="00964FBB">
              <w:rPr>
                <w:rFonts w:eastAsia="Times New Roman" w:cs="Arial"/>
                <w:color w:val="000000"/>
                <w:szCs w:val="24"/>
              </w:rPr>
              <w:t>0.25</w:t>
            </w:r>
          </w:p>
        </w:tc>
        <w:tc>
          <w:tcPr>
            <w:tcW w:w="1580" w:type="dxa"/>
            <w:vMerge w:val="restart"/>
            <w:shd w:val="clear" w:color="auto" w:fill="auto"/>
            <w:vAlign w:val="center"/>
            <w:hideMark/>
          </w:tcPr>
          <w:p w:rsidRPr="00964FBB" w:rsidR="00964FBB" w:rsidP="00964FBB" w:rsidRDefault="00964FBB" w14:paraId="7BA67312" w14:textId="74DD08AE">
            <w:pPr>
              <w:spacing w:after="0" w:line="240" w:lineRule="auto"/>
              <w:jc w:val="center"/>
              <w:rPr>
                <w:rFonts w:eastAsia="Times New Roman" w:cs="Arial"/>
                <w:color w:val="000000"/>
                <w:szCs w:val="24"/>
              </w:rPr>
            </w:pPr>
            <w:r w:rsidRPr="00964FBB">
              <w:rPr>
                <w:rFonts w:eastAsia="Times New Roman" w:cs="Arial"/>
                <w:color w:val="000000"/>
                <w:szCs w:val="24"/>
              </w:rPr>
              <w:t>$2</w:t>
            </w:r>
            <w:r w:rsidR="00245A50">
              <w:rPr>
                <w:rFonts w:eastAsia="Times New Roman" w:cs="Arial"/>
                <w:color w:val="000000"/>
                <w:szCs w:val="24"/>
              </w:rPr>
              <w:t>22,669</w:t>
            </w:r>
          </w:p>
        </w:tc>
      </w:tr>
      <w:tr w:rsidRPr="00964FBB" w:rsidR="00964FBB" w:rsidTr="00DF540F" w14:paraId="6E72570C" w14:textId="77777777">
        <w:trPr>
          <w:trHeight w:val="600"/>
        </w:trPr>
        <w:tc>
          <w:tcPr>
            <w:tcW w:w="3860" w:type="dxa"/>
            <w:shd w:val="clear" w:color="auto" w:fill="auto"/>
            <w:vAlign w:val="center"/>
            <w:hideMark/>
          </w:tcPr>
          <w:p w:rsidRPr="00964FBB" w:rsidR="00964FBB" w:rsidP="00964FBB" w:rsidRDefault="00964FBB" w14:paraId="088FEEFB" w14:textId="77777777">
            <w:pPr>
              <w:spacing w:after="0" w:line="240" w:lineRule="auto"/>
              <w:rPr>
                <w:rFonts w:eastAsia="Times New Roman" w:cs="Arial"/>
                <w:color w:val="000000"/>
                <w:szCs w:val="24"/>
              </w:rPr>
            </w:pPr>
            <w:r w:rsidRPr="00964FBB">
              <w:rPr>
                <w:rFonts w:eastAsia="Times New Roman" w:cs="Arial"/>
                <w:color w:val="000000"/>
                <w:szCs w:val="24"/>
              </w:rPr>
              <w:t>Rule development</w:t>
            </w:r>
          </w:p>
        </w:tc>
        <w:tc>
          <w:tcPr>
            <w:tcW w:w="2120" w:type="dxa"/>
            <w:shd w:val="clear" w:color="auto" w:fill="auto"/>
            <w:vAlign w:val="center"/>
            <w:hideMark/>
          </w:tcPr>
          <w:p w:rsidRPr="00964FBB" w:rsidR="00964FBB" w:rsidP="00964FBB" w:rsidRDefault="00964FBB" w14:paraId="14CFC397" w14:textId="77777777">
            <w:pPr>
              <w:spacing w:after="0" w:line="240" w:lineRule="auto"/>
              <w:jc w:val="center"/>
              <w:rPr>
                <w:rFonts w:eastAsia="Times New Roman" w:cs="Arial"/>
                <w:color w:val="000000"/>
                <w:szCs w:val="24"/>
              </w:rPr>
            </w:pPr>
            <w:r w:rsidRPr="00964FBB">
              <w:rPr>
                <w:rFonts w:eastAsia="Times New Roman" w:cs="Arial"/>
                <w:color w:val="000000"/>
                <w:szCs w:val="24"/>
              </w:rPr>
              <w:t>0.90</w:t>
            </w:r>
          </w:p>
        </w:tc>
        <w:tc>
          <w:tcPr>
            <w:tcW w:w="1580" w:type="dxa"/>
            <w:vMerge/>
            <w:vAlign w:val="center"/>
            <w:hideMark/>
          </w:tcPr>
          <w:p w:rsidRPr="00964FBB" w:rsidR="00964FBB" w:rsidP="00964FBB" w:rsidRDefault="00964FBB" w14:paraId="018F385F" w14:textId="77777777">
            <w:pPr>
              <w:spacing w:after="0" w:line="240" w:lineRule="auto"/>
              <w:rPr>
                <w:rFonts w:eastAsia="Times New Roman" w:cs="Arial"/>
                <w:color w:val="000000"/>
                <w:szCs w:val="24"/>
              </w:rPr>
            </w:pPr>
          </w:p>
        </w:tc>
      </w:tr>
      <w:tr w:rsidRPr="00964FBB" w:rsidR="00964FBB" w:rsidTr="00DF540F" w14:paraId="75A31577" w14:textId="77777777">
        <w:trPr>
          <w:trHeight w:val="600"/>
        </w:trPr>
        <w:tc>
          <w:tcPr>
            <w:tcW w:w="3860" w:type="dxa"/>
            <w:shd w:val="clear" w:color="auto" w:fill="auto"/>
            <w:vAlign w:val="center"/>
            <w:hideMark/>
          </w:tcPr>
          <w:p w:rsidRPr="00964FBB" w:rsidR="00964FBB" w:rsidP="00964FBB" w:rsidRDefault="00964FBB" w14:paraId="33824C97" w14:textId="77777777">
            <w:pPr>
              <w:spacing w:after="0" w:line="240" w:lineRule="auto"/>
              <w:rPr>
                <w:rFonts w:eastAsia="Times New Roman" w:cs="Arial"/>
                <w:color w:val="000000"/>
                <w:szCs w:val="24"/>
              </w:rPr>
            </w:pPr>
            <w:r w:rsidRPr="00964FBB">
              <w:rPr>
                <w:rFonts w:eastAsia="Times New Roman" w:cs="Arial"/>
                <w:color w:val="000000"/>
                <w:szCs w:val="24"/>
              </w:rPr>
              <w:t>Evaluation of rule</w:t>
            </w:r>
          </w:p>
        </w:tc>
        <w:tc>
          <w:tcPr>
            <w:tcW w:w="2120" w:type="dxa"/>
            <w:shd w:val="clear" w:color="auto" w:fill="auto"/>
            <w:vAlign w:val="center"/>
            <w:hideMark/>
          </w:tcPr>
          <w:p w:rsidRPr="00964FBB" w:rsidR="00964FBB" w:rsidP="00964FBB" w:rsidRDefault="00964FBB" w14:paraId="28C10B28" w14:textId="77777777">
            <w:pPr>
              <w:spacing w:after="0" w:line="240" w:lineRule="auto"/>
              <w:jc w:val="center"/>
              <w:rPr>
                <w:rFonts w:eastAsia="Times New Roman" w:cs="Arial"/>
                <w:color w:val="000000"/>
                <w:szCs w:val="24"/>
              </w:rPr>
            </w:pPr>
            <w:r w:rsidRPr="00964FBB">
              <w:rPr>
                <w:rFonts w:eastAsia="Times New Roman" w:cs="Arial"/>
                <w:color w:val="000000"/>
                <w:szCs w:val="24"/>
              </w:rPr>
              <w:t>0.05</w:t>
            </w:r>
          </w:p>
        </w:tc>
        <w:tc>
          <w:tcPr>
            <w:tcW w:w="1580" w:type="dxa"/>
            <w:vMerge/>
            <w:vAlign w:val="center"/>
            <w:hideMark/>
          </w:tcPr>
          <w:p w:rsidRPr="00964FBB" w:rsidR="00964FBB" w:rsidP="00964FBB" w:rsidRDefault="00964FBB" w14:paraId="10D5D041" w14:textId="77777777">
            <w:pPr>
              <w:spacing w:after="0" w:line="240" w:lineRule="auto"/>
              <w:rPr>
                <w:rFonts w:eastAsia="Times New Roman" w:cs="Arial"/>
                <w:color w:val="000000"/>
                <w:szCs w:val="24"/>
              </w:rPr>
            </w:pPr>
          </w:p>
        </w:tc>
      </w:tr>
      <w:tr w:rsidRPr="00964FBB" w:rsidR="00964FBB" w:rsidTr="00DF540F" w14:paraId="7DAA1BC5" w14:textId="77777777">
        <w:trPr>
          <w:trHeight w:val="600"/>
        </w:trPr>
        <w:tc>
          <w:tcPr>
            <w:tcW w:w="3860" w:type="dxa"/>
            <w:shd w:val="clear" w:color="auto" w:fill="auto"/>
            <w:vAlign w:val="center"/>
            <w:hideMark/>
          </w:tcPr>
          <w:p w:rsidRPr="00964FBB" w:rsidR="00964FBB" w:rsidP="00964FBB" w:rsidRDefault="00964FBB" w14:paraId="0C7B7DDB" w14:textId="77777777">
            <w:pPr>
              <w:spacing w:after="0" w:line="240" w:lineRule="auto"/>
              <w:rPr>
                <w:rFonts w:eastAsia="Times New Roman" w:cs="Arial"/>
                <w:color w:val="000000"/>
                <w:szCs w:val="24"/>
              </w:rPr>
            </w:pPr>
            <w:r w:rsidRPr="00964FBB">
              <w:rPr>
                <w:rFonts w:eastAsia="Times New Roman" w:cs="Arial"/>
                <w:color w:val="000000"/>
                <w:szCs w:val="24"/>
              </w:rPr>
              <w:t>Industry/public assistance</w:t>
            </w:r>
          </w:p>
        </w:tc>
        <w:tc>
          <w:tcPr>
            <w:tcW w:w="2120" w:type="dxa"/>
            <w:shd w:val="clear" w:color="auto" w:fill="auto"/>
            <w:vAlign w:val="center"/>
            <w:hideMark/>
          </w:tcPr>
          <w:p w:rsidRPr="00964FBB" w:rsidR="00964FBB" w:rsidP="00964FBB" w:rsidRDefault="00964FBB" w14:paraId="7897E557" w14:textId="77777777">
            <w:pPr>
              <w:spacing w:after="0" w:line="240" w:lineRule="auto"/>
              <w:jc w:val="center"/>
              <w:rPr>
                <w:rFonts w:eastAsia="Times New Roman" w:cs="Arial"/>
                <w:color w:val="000000"/>
                <w:szCs w:val="24"/>
              </w:rPr>
            </w:pPr>
            <w:r w:rsidRPr="00964FBB">
              <w:rPr>
                <w:rFonts w:eastAsia="Times New Roman" w:cs="Arial"/>
                <w:color w:val="000000"/>
                <w:szCs w:val="24"/>
              </w:rPr>
              <w:t>0.0007</w:t>
            </w:r>
          </w:p>
        </w:tc>
        <w:tc>
          <w:tcPr>
            <w:tcW w:w="1580" w:type="dxa"/>
            <w:vMerge/>
            <w:vAlign w:val="center"/>
            <w:hideMark/>
          </w:tcPr>
          <w:p w:rsidRPr="00964FBB" w:rsidR="00964FBB" w:rsidP="00964FBB" w:rsidRDefault="00964FBB" w14:paraId="76462FF1" w14:textId="77777777">
            <w:pPr>
              <w:spacing w:after="0" w:line="240" w:lineRule="auto"/>
              <w:rPr>
                <w:rFonts w:eastAsia="Times New Roman" w:cs="Arial"/>
                <w:color w:val="000000"/>
                <w:szCs w:val="24"/>
              </w:rPr>
            </w:pPr>
          </w:p>
        </w:tc>
      </w:tr>
      <w:tr w:rsidRPr="00964FBB" w:rsidR="00964FBB" w:rsidTr="00DF540F" w14:paraId="742B050A" w14:textId="77777777">
        <w:trPr>
          <w:trHeight w:val="600"/>
        </w:trPr>
        <w:tc>
          <w:tcPr>
            <w:tcW w:w="3860" w:type="dxa"/>
            <w:shd w:val="clear" w:color="auto" w:fill="auto"/>
            <w:vAlign w:val="center"/>
            <w:hideMark/>
          </w:tcPr>
          <w:p w:rsidRPr="00964FBB" w:rsidR="00964FBB" w:rsidP="00964FBB" w:rsidRDefault="00964FBB" w14:paraId="01F85213" w14:textId="77777777">
            <w:pPr>
              <w:spacing w:after="0" w:line="240" w:lineRule="auto"/>
              <w:rPr>
                <w:rFonts w:eastAsia="Times New Roman" w:cs="Arial"/>
                <w:color w:val="000000"/>
                <w:szCs w:val="24"/>
              </w:rPr>
            </w:pPr>
            <w:r w:rsidRPr="00964FBB">
              <w:rPr>
                <w:rFonts w:eastAsia="Times New Roman" w:cs="Arial"/>
                <w:color w:val="000000"/>
                <w:szCs w:val="24"/>
              </w:rPr>
              <w:t>Compliance monitoring</w:t>
            </w:r>
          </w:p>
        </w:tc>
        <w:tc>
          <w:tcPr>
            <w:tcW w:w="2120" w:type="dxa"/>
            <w:shd w:val="clear" w:color="auto" w:fill="auto"/>
            <w:vAlign w:val="center"/>
            <w:hideMark/>
          </w:tcPr>
          <w:p w:rsidRPr="00964FBB" w:rsidR="00964FBB" w:rsidP="00964FBB" w:rsidRDefault="00964FBB" w14:paraId="2E715FF8" w14:textId="77777777">
            <w:pPr>
              <w:spacing w:after="0" w:line="240" w:lineRule="auto"/>
              <w:jc w:val="center"/>
              <w:rPr>
                <w:rFonts w:eastAsia="Times New Roman" w:cs="Arial"/>
                <w:color w:val="000000"/>
                <w:szCs w:val="24"/>
              </w:rPr>
            </w:pPr>
            <w:r w:rsidRPr="00964FBB">
              <w:rPr>
                <w:rFonts w:eastAsia="Times New Roman" w:cs="Arial"/>
                <w:color w:val="000000"/>
                <w:szCs w:val="24"/>
              </w:rPr>
              <w:t>0.10</w:t>
            </w:r>
          </w:p>
        </w:tc>
        <w:tc>
          <w:tcPr>
            <w:tcW w:w="1580" w:type="dxa"/>
            <w:vMerge/>
            <w:vAlign w:val="center"/>
            <w:hideMark/>
          </w:tcPr>
          <w:p w:rsidRPr="00964FBB" w:rsidR="00964FBB" w:rsidP="00964FBB" w:rsidRDefault="00964FBB" w14:paraId="4E7B885C" w14:textId="77777777">
            <w:pPr>
              <w:spacing w:after="0" w:line="240" w:lineRule="auto"/>
              <w:rPr>
                <w:rFonts w:eastAsia="Times New Roman" w:cs="Arial"/>
                <w:color w:val="000000"/>
                <w:szCs w:val="24"/>
              </w:rPr>
            </w:pPr>
          </w:p>
        </w:tc>
      </w:tr>
      <w:tr w:rsidRPr="00964FBB" w:rsidR="00964FBB" w:rsidTr="00DF540F" w14:paraId="63010BA9" w14:textId="77777777">
        <w:trPr>
          <w:trHeight w:val="600"/>
        </w:trPr>
        <w:tc>
          <w:tcPr>
            <w:tcW w:w="3860" w:type="dxa"/>
            <w:shd w:val="clear" w:color="auto" w:fill="auto"/>
            <w:vAlign w:val="center"/>
            <w:hideMark/>
          </w:tcPr>
          <w:p w:rsidRPr="00964FBB" w:rsidR="00964FBB" w:rsidP="00964FBB" w:rsidRDefault="00964FBB" w14:paraId="316D45BF" w14:textId="77777777">
            <w:pPr>
              <w:spacing w:after="0" w:line="240" w:lineRule="auto"/>
              <w:rPr>
                <w:rFonts w:eastAsia="Times New Roman" w:cs="Arial"/>
                <w:color w:val="000000"/>
                <w:szCs w:val="24"/>
              </w:rPr>
            </w:pPr>
            <w:r w:rsidRPr="00964FBB">
              <w:rPr>
                <w:rFonts w:eastAsia="Times New Roman" w:cs="Arial"/>
                <w:color w:val="000000"/>
                <w:szCs w:val="24"/>
              </w:rPr>
              <w:t>Data processing and system support personnel</w:t>
            </w:r>
          </w:p>
        </w:tc>
        <w:tc>
          <w:tcPr>
            <w:tcW w:w="2120" w:type="dxa"/>
            <w:shd w:val="clear" w:color="auto" w:fill="auto"/>
            <w:vAlign w:val="center"/>
            <w:hideMark/>
          </w:tcPr>
          <w:p w:rsidRPr="00964FBB" w:rsidR="00964FBB" w:rsidP="00964FBB" w:rsidRDefault="00964FBB" w14:paraId="481986A1" w14:textId="77777777">
            <w:pPr>
              <w:spacing w:after="0" w:line="240" w:lineRule="auto"/>
              <w:jc w:val="center"/>
              <w:rPr>
                <w:rFonts w:eastAsia="Times New Roman" w:cs="Arial"/>
                <w:color w:val="000000"/>
                <w:szCs w:val="24"/>
              </w:rPr>
            </w:pPr>
            <w:r w:rsidRPr="00964FBB">
              <w:rPr>
                <w:rFonts w:eastAsia="Times New Roman" w:cs="Arial"/>
                <w:color w:val="000000"/>
                <w:szCs w:val="24"/>
              </w:rPr>
              <w:t>0.002</w:t>
            </w:r>
          </w:p>
        </w:tc>
        <w:tc>
          <w:tcPr>
            <w:tcW w:w="1580" w:type="dxa"/>
            <w:vMerge/>
            <w:vAlign w:val="center"/>
            <w:hideMark/>
          </w:tcPr>
          <w:p w:rsidRPr="00964FBB" w:rsidR="00964FBB" w:rsidP="00964FBB" w:rsidRDefault="00964FBB" w14:paraId="164EAAF4" w14:textId="77777777">
            <w:pPr>
              <w:spacing w:after="0" w:line="240" w:lineRule="auto"/>
              <w:rPr>
                <w:rFonts w:eastAsia="Times New Roman" w:cs="Arial"/>
                <w:color w:val="000000"/>
                <w:szCs w:val="24"/>
              </w:rPr>
            </w:pPr>
          </w:p>
        </w:tc>
      </w:tr>
      <w:tr w:rsidRPr="00964FBB" w:rsidR="00964FBB" w:rsidTr="00DF540F" w14:paraId="6ADEA07E" w14:textId="77777777">
        <w:trPr>
          <w:trHeight w:val="600"/>
        </w:trPr>
        <w:tc>
          <w:tcPr>
            <w:tcW w:w="3860" w:type="dxa"/>
            <w:shd w:val="clear" w:color="auto" w:fill="auto"/>
            <w:vAlign w:val="center"/>
            <w:hideMark/>
          </w:tcPr>
          <w:p w:rsidRPr="00964FBB" w:rsidR="00964FBB" w:rsidP="00964FBB" w:rsidRDefault="00964FBB" w14:paraId="3A293500" w14:textId="10A7E93B">
            <w:pPr>
              <w:spacing w:after="0" w:line="240" w:lineRule="auto"/>
              <w:rPr>
                <w:rFonts w:eastAsia="Times New Roman" w:cs="Arial"/>
                <w:color w:val="000000"/>
                <w:szCs w:val="24"/>
              </w:rPr>
            </w:pPr>
            <w:r w:rsidRPr="00964FBB">
              <w:rPr>
                <w:rFonts w:eastAsia="Times New Roman" w:cs="Arial"/>
                <w:color w:val="000000"/>
                <w:szCs w:val="24"/>
              </w:rPr>
              <w:t>Government data processing cost</w:t>
            </w:r>
          </w:p>
        </w:tc>
        <w:tc>
          <w:tcPr>
            <w:tcW w:w="2120" w:type="dxa"/>
            <w:shd w:val="clear" w:color="auto" w:fill="auto"/>
            <w:vAlign w:val="center"/>
            <w:hideMark/>
          </w:tcPr>
          <w:p w:rsidRPr="00964FBB" w:rsidR="00964FBB" w:rsidP="00964FBB" w:rsidRDefault="00964FBB" w14:paraId="59E31C56" w14:textId="77777777">
            <w:pPr>
              <w:spacing w:after="0" w:line="240" w:lineRule="auto"/>
              <w:jc w:val="center"/>
              <w:rPr>
                <w:rFonts w:eastAsia="Times New Roman" w:cs="Arial"/>
                <w:color w:val="000000"/>
                <w:szCs w:val="24"/>
              </w:rPr>
            </w:pPr>
            <w:r w:rsidRPr="00964FBB">
              <w:rPr>
                <w:rFonts w:eastAsia="Times New Roman" w:cs="Arial"/>
                <w:color w:val="000000"/>
                <w:szCs w:val="24"/>
              </w:rPr>
              <w:t>N/A</w:t>
            </w:r>
          </w:p>
        </w:tc>
        <w:tc>
          <w:tcPr>
            <w:tcW w:w="1580" w:type="dxa"/>
            <w:shd w:val="clear" w:color="auto" w:fill="auto"/>
            <w:vAlign w:val="center"/>
            <w:hideMark/>
          </w:tcPr>
          <w:p w:rsidRPr="00964FBB" w:rsidR="00964FBB" w:rsidP="00964FBB" w:rsidRDefault="00964FBB" w14:paraId="78C2F930" w14:textId="758B1970">
            <w:pPr>
              <w:spacing w:after="0" w:line="240" w:lineRule="auto"/>
              <w:jc w:val="center"/>
              <w:rPr>
                <w:rFonts w:eastAsia="Times New Roman" w:cs="Arial"/>
                <w:color w:val="000000"/>
                <w:szCs w:val="24"/>
              </w:rPr>
            </w:pPr>
            <w:r w:rsidRPr="00964FBB">
              <w:rPr>
                <w:rFonts w:eastAsia="Times New Roman" w:cs="Arial"/>
                <w:color w:val="000000"/>
                <w:szCs w:val="24"/>
              </w:rPr>
              <w:t>$</w:t>
            </w:r>
            <w:r w:rsidR="00245A50">
              <w:rPr>
                <w:rFonts w:eastAsia="Times New Roman" w:cs="Arial"/>
                <w:color w:val="000000"/>
                <w:szCs w:val="24"/>
              </w:rPr>
              <w:t>324</w:t>
            </w:r>
          </w:p>
        </w:tc>
      </w:tr>
      <w:tr w:rsidRPr="00964FBB" w:rsidR="00964FBB" w:rsidTr="00DF540F" w14:paraId="4DB6F44B" w14:textId="77777777">
        <w:trPr>
          <w:trHeight w:val="600"/>
        </w:trPr>
        <w:tc>
          <w:tcPr>
            <w:tcW w:w="3860" w:type="dxa"/>
            <w:shd w:val="clear" w:color="auto" w:fill="auto"/>
            <w:vAlign w:val="center"/>
            <w:hideMark/>
          </w:tcPr>
          <w:p w:rsidRPr="00964FBB" w:rsidR="00964FBB" w:rsidP="00964FBB" w:rsidRDefault="00964FBB" w14:paraId="79BFFDED" w14:textId="77777777">
            <w:pPr>
              <w:spacing w:after="0" w:line="240" w:lineRule="auto"/>
              <w:rPr>
                <w:rFonts w:eastAsia="Times New Roman" w:cs="Arial"/>
                <w:b/>
                <w:bCs/>
                <w:color w:val="000000"/>
                <w:szCs w:val="24"/>
              </w:rPr>
            </w:pPr>
            <w:r w:rsidRPr="00964FBB">
              <w:rPr>
                <w:rFonts w:eastAsia="Times New Roman" w:cs="Arial"/>
                <w:b/>
                <w:bCs/>
                <w:color w:val="000000"/>
                <w:szCs w:val="24"/>
              </w:rPr>
              <w:t>Total</w:t>
            </w:r>
          </w:p>
        </w:tc>
        <w:tc>
          <w:tcPr>
            <w:tcW w:w="2120" w:type="dxa"/>
            <w:shd w:val="clear" w:color="auto" w:fill="auto"/>
            <w:vAlign w:val="center"/>
            <w:hideMark/>
          </w:tcPr>
          <w:p w:rsidRPr="00964FBB" w:rsidR="00964FBB" w:rsidP="00964FBB" w:rsidRDefault="00964FBB" w14:paraId="557D6C8D" w14:textId="77777777">
            <w:pPr>
              <w:spacing w:after="0" w:line="240" w:lineRule="auto"/>
              <w:jc w:val="center"/>
              <w:rPr>
                <w:rFonts w:eastAsia="Times New Roman" w:cs="Arial"/>
                <w:b/>
                <w:bCs/>
                <w:color w:val="000000"/>
                <w:szCs w:val="24"/>
              </w:rPr>
            </w:pPr>
            <w:r w:rsidRPr="00964FBB">
              <w:rPr>
                <w:rFonts w:eastAsia="Times New Roman" w:cs="Arial"/>
                <w:b/>
                <w:bCs/>
                <w:color w:val="000000"/>
                <w:szCs w:val="24"/>
              </w:rPr>
              <w:t>1.3</w:t>
            </w:r>
          </w:p>
        </w:tc>
        <w:tc>
          <w:tcPr>
            <w:tcW w:w="1580" w:type="dxa"/>
            <w:shd w:val="clear" w:color="auto" w:fill="auto"/>
            <w:vAlign w:val="center"/>
            <w:hideMark/>
          </w:tcPr>
          <w:p w:rsidRPr="00594EFF" w:rsidR="00964FBB" w:rsidP="00964FBB" w:rsidRDefault="00964FBB" w14:paraId="47BA3603" w14:textId="54C743E9">
            <w:pPr>
              <w:spacing w:after="0" w:line="240" w:lineRule="auto"/>
              <w:jc w:val="center"/>
              <w:rPr>
                <w:rFonts w:eastAsia="Times New Roman" w:cs="Arial"/>
                <w:b/>
                <w:bCs/>
                <w:color w:val="000000"/>
                <w:szCs w:val="24"/>
              </w:rPr>
            </w:pPr>
            <w:r w:rsidRPr="004B4ECA">
              <w:rPr>
                <w:rFonts w:eastAsia="Times New Roman" w:cs="Arial"/>
                <w:b/>
                <w:bCs/>
                <w:color w:val="000000"/>
                <w:szCs w:val="24"/>
              </w:rPr>
              <w:t>$2</w:t>
            </w:r>
            <w:r w:rsidR="00245A50">
              <w:rPr>
                <w:rFonts w:eastAsia="Times New Roman" w:cs="Arial"/>
                <w:b/>
                <w:bCs/>
                <w:color w:val="000000"/>
                <w:szCs w:val="24"/>
              </w:rPr>
              <w:t>22,994</w:t>
            </w:r>
          </w:p>
        </w:tc>
      </w:tr>
    </w:tbl>
    <w:p w:rsidRPr="00964FBB" w:rsidR="00964FBB" w:rsidP="00594EFF" w:rsidRDefault="00964FBB" w14:paraId="0E56B7A6" w14:textId="77777777">
      <w:pPr>
        <w:autoSpaceDE w:val="0"/>
        <w:autoSpaceDN w:val="0"/>
        <w:adjustRightInd w:val="0"/>
        <w:rPr>
          <w:rFonts w:cs="Arial"/>
          <w:szCs w:val="24"/>
        </w:rPr>
      </w:pPr>
    </w:p>
    <w:p w:rsidRPr="001F49CF" w:rsidR="00FD6FF1" w:rsidP="001F49CF" w:rsidRDefault="00594EFF" w14:paraId="38A7B2C6" w14:textId="32287B5F">
      <w:pPr>
        <w:pStyle w:val="ListParagraph"/>
        <w:autoSpaceDE w:val="0"/>
        <w:autoSpaceDN w:val="0"/>
        <w:adjustRightInd w:val="0"/>
        <w:ind w:left="0"/>
        <w:rPr>
          <w:rFonts w:cs="Arial"/>
          <w:szCs w:val="24"/>
        </w:rPr>
      </w:pPr>
      <w:r>
        <w:rPr>
          <w:rFonts w:cs="Arial"/>
          <w:szCs w:val="24"/>
        </w:rPr>
        <w:t>Table 16</w:t>
      </w:r>
      <w:r w:rsidR="001C426B">
        <w:rPr>
          <w:rFonts w:cs="Arial"/>
          <w:szCs w:val="24"/>
        </w:rPr>
        <w:t xml:space="preserve"> </w:t>
      </w:r>
      <w:r w:rsidRPr="001F49CF" w:rsidR="00FD6FF1">
        <w:rPr>
          <w:rFonts w:cs="Arial"/>
          <w:szCs w:val="24"/>
        </w:rPr>
        <w:t xml:space="preserve">presents a summary of the costs to the federal government for </w:t>
      </w:r>
      <w:r w:rsidR="009773A7">
        <w:rPr>
          <w:rFonts w:cs="Arial"/>
          <w:szCs w:val="24"/>
        </w:rPr>
        <w:t>TSCA Section 8(a)</w:t>
      </w:r>
      <w:r w:rsidRPr="001F49CF" w:rsidR="009773A7">
        <w:rPr>
          <w:rFonts w:cs="Arial"/>
          <w:szCs w:val="24"/>
        </w:rPr>
        <w:t xml:space="preserve"> </w:t>
      </w:r>
      <w:r w:rsidR="00247142">
        <w:rPr>
          <w:rFonts w:cs="Arial"/>
          <w:szCs w:val="24"/>
        </w:rPr>
        <w:t xml:space="preserve">PAIR </w:t>
      </w:r>
      <w:r w:rsidRPr="001F49CF" w:rsidR="00FD6FF1">
        <w:rPr>
          <w:rFonts w:cs="Arial"/>
          <w:szCs w:val="24"/>
        </w:rPr>
        <w:t>information collection.</w:t>
      </w:r>
      <w:r w:rsidR="00672D89">
        <w:rPr>
          <w:rFonts w:cs="Arial"/>
          <w:szCs w:val="24"/>
        </w:rPr>
        <w:t xml:space="preserve"> The </w:t>
      </w:r>
      <w:r w:rsidR="00A05124">
        <w:rPr>
          <w:rFonts w:cs="Arial"/>
          <w:szCs w:val="24"/>
        </w:rPr>
        <w:t>full-time</w:t>
      </w:r>
      <w:r w:rsidR="00672D89">
        <w:rPr>
          <w:rFonts w:cs="Arial"/>
          <w:szCs w:val="24"/>
        </w:rPr>
        <w:t xml:space="preserve"> work year is considered 2,080 hours</w:t>
      </w:r>
      <w:r w:rsidR="00B64CF2">
        <w:rPr>
          <w:rFonts w:cs="Arial"/>
          <w:szCs w:val="24"/>
        </w:rPr>
        <w:t>, and</w:t>
      </w:r>
      <w:r w:rsidR="00672D89">
        <w:rPr>
          <w:rFonts w:cs="Arial"/>
          <w:szCs w:val="24"/>
        </w:rPr>
        <w:t xml:space="preserve"> there are 2,710 annual burden hours associated with a 1.3 FTE.</w:t>
      </w:r>
    </w:p>
    <w:p w:rsidRPr="001F49CF" w:rsidR="009773A7" w:rsidP="003A0431" w:rsidRDefault="009773A7" w14:paraId="5E4CC27F" w14:textId="2F5BDAF3">
      <w:pPr>
        <w:pStyle w:val="Caption"/>
        <w:rPr>
          <w:szCs w:val="24"/>
        </w:rPr>
      </w:pPr>
      <w:bookmarkStart w:name="_Ref94547080" w:id="44"/>
      <w:r>
        <w:t xml:space="preserve">Table </w:t>
      </w:r>
      <w:r w:rsidR="00594EFF">
        <w:t>16</w:t>
      </w:r>
      <w:bookmarkEnd w:id="44"/>
      <w:r>
        <w:t>. Government Estimated Annual Burden and Cost Summary for TSCA Section 8(a)</w:t>
      </w:r>
      <w:r w:rsidR="00247142">
        <w:t xml:space="preserve"> PAIR</w:t>
      </w:r>
      <w:r w:rsidR="00964FBB">
        <w:t xml:space="preserve"> (2021$)</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60"/>
        <w:gridCol w:w="2120"/>
      </w:tblGrid>
      <w:tr w:rsidRPr="00964FBB" w:rsidR="00964FBB" w:rsidTr="004B4ECA" w14:paraId="781A4363" w14:textId="77777777">
        <w:trPr>
          <w:trHeight w:val="312"/>
        </w:trPr>
        <w:tc>
          <w:tcPr>
            <w:tcW w:w="3860"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0ED67005" w14:textId="77777777">
            <w:pPr>
              <w:spacing w:after="0" w:line="240" w:lineRule="auto"/>
              <w:rPr>
                <w:rFonts w:eastAsia="Times New Roman" w:cs="Arial"/>
                <w:color w:val="000000"/>
                <w:szCs w:val="24"/>
              </w:rPr>
            </w:pPr>
            <w:r w:rsidRPr="00964FBB">
              <w:rPr>
                <w:rFonts w:eastAsia="Times New Roman" w:cs="Arial"/>
                <w:color w:val="000000"/>
                <w:szCs w:val="24"/>
              </w:rPr>
              <w:t>Total FTEs</w:t>
            </w:r>
          </w:p>
        </w:tc>
        <w:tc>
          <w:tcPr>
            <w:tcW w:w="2120" w:type="dxa"/>
            <w:tcBorders>
              <w:top w:val="single" w:color="auto" w:sz="4" w:space="0"/>
              <w:left w:val="nil"/>
              <w:bottom w:val="single" w:color="auto" w:sz="8" w:space="0"/>
              <w:right w:val="single" w:color="auto" w:sz="8" w:space="0"/>
            </w:tcBorders>
            <w:shd w:val="clear" w:color="auto" w:fill="auto"/>
            <w:vAlign w:val="center"/>
            <w:hideMark/>
          </w:tcPr>
          <w:p w:rsidRPr="00964FBB" w:rsidR="00964FBB" w:rsidP="00964FBB" w:rsidRDefault="00964FBB" w14:paraId="5394374C" w14:textId="77777777">
            <w:pPr>
              <w:spacing w:after="0" w:line="240" w:lineRule="auto"/>
              <w:jc w:val="right"/>
              <w:rPr>
                <w:rFonts w:eastAsia="Times New Roman" w:cs="Arial"/>
                <w:color w:val="000000"/>
                <w:szCs w:val="24"/>
              </w:rPr>
            </w:pPr>
            <w:r w:rsidRPr="00964FBB">
              <w:rPr>
                <w:rFonts w:eastAsia="Times New Roman" w:cs="Arial"/>
                <w:color w:val="000000"/>
                <w:szCs w:val="24"/>
              </w:rPr>
              <w:t>1.3</w:t>
            </w:r>
          </w:p>
        </w:tc>
      </w:tr>
      <w:tr w:rsidRPr="00964FBB" w:rsidR="00964FBB" w:rsidTr="00964FBB" w14:paraId="7718E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trPr>
        <w:tc>
          <w:tcPr>
            <w:tcW w:w="3860" w:type="dxa"/>
            <w:tcBorders>
              <w:top w:val="nil"/>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22981292" w14:textId="77777777">
            <w:pPr>
              <w:spacing w:after="0" w:line="240" w:lineRule="auto"/>
              <w:rPr>
                <w:rFonts w:eastAsia="Times New Roman" w:cs="Arial"/>
                <w:color w:val="000000"/>
                <w:szCs w:val="24"/>
              </w:rPr>
            </w:pPr>
            <w:r w:rsidRPr="00964FBB">
              <w:rPr>
                <w:rFonts w:eastAsia="Times New Roman" w:cs="Arial"/>
                <w:color w:val="000000"/>
                <w:szCs w:val="24"/>
              </w:rPr>
              <w:t>Annual burden hours</w:t>
            </w:r>
          </w:p>
        </w:tc>
        <w:tc>
          <w:tcPr>
            <w:tcW w:w="2120" w:type="dxa"/>
            <w:tcBorders>
              <w:top w:val="nil"/>
              <w:left w:val="nil"/>
              <w:bottom w:val="single" w:color="auto" w:sz="8" w:space="0"/>
              <w:right w:val="single" w:color="auto" w:sz="8" w:space="0"/>
            </w:tcBorders>
            <w:shd w:val="clear" w:color="auto" w:fill="auto"/>
            <w:vAlign w:val="center"/>
            <w:hideMark/>
          </w:tcPr>
          <w:p w:rsidRPr="00964FBB" w:rsidR="00964FBB" w:rsidP="00964FBB" w:rsidRDefault="00964FBB" w14:paraId="3F0D2A34" w14:textId="77777777">
            <w:pPr>
              <w:spacing w:after="0" w:line="240" w:lineRule="auto"/>
              <w:jc w:val="right"/>
              <w:rPr>
                <w:rFonts w:eastAsia="Times New Roman" w:cs="Arial"/>
                <w:color w:val="000000"/>
                <w:szCs w:val="24"/>
              </w:rPr>
            </w:pPr>
            <w:r w:rsidRPr="00964FBB">
              <w:rPr>
                <w:rFonts w:eastAsia="Times New Roman" w:cs="Arial"/>
                <w:color w:val="000000"/>
                <w:szCs w:val="24"/>
              </w:rPr>
              <w:t xml:space="preserve">                  2,710 </w:t>
            </w:r>
          </w:p>
        </w:tc>
      </w:tr>
      <w:tr w:rsidRPr="00964FBB" w:rsidR="00964FBB" w:rsidTr="00964FBB" w14:paraId="5DD77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trPr>
        <w:tc>
          <w:tcPr>
            <w:tcW w:w="3860" w:type="dxa"/>
            <w:tcBorders>
              <w:top w:val="nil"/>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120D7D76" w14:textId="2F508FEF">
            <w:pPr>
              <w:spacing w:after="0" w:line="240" w:lineRule="auto"/>
              <w:rPr>
                <w:rFonts w:eastAsia="Times New Roman" w:cs="Arial"/>
                <w:color w:val="000000"/>
                <w:szCs w:val="24"/>
              </w:rPr>
            </w:pPr>
            <w:r w:rsidRPr="00964FBB">
              <w:rPr>
                <w:rFonts w:eastAsia="Times New Roman" w:cs="Arial"/>
                <w:color w:val="000000"/>
                <w:szCs w:val="24"/>
              </w:rPr>
              <w:t xml:space="preserve">Loaded </w:t>
            </w:r>
            <w:r>
              <w:rPr>
                <w:rFonts w:eastAsia="Times New Roman" w:cs="Arial"/>
                <w:color w:val="000000"/>
                <w:szCs w:val="24"/>
              </w:rPr>
              <w:t>c</w:t>
            </w:r>
            <w:r w:rsidRPr="00964FBB">
              <w:rPr>
                <w:rFonts w:eastAsia="Times New Roman" w:cs="Arial"/>
                <w:color w:val="000000"/>
                <w:szCs w:val="24"/>
              </w:rPr>
              <w:t>ost per FTE</w:t>
            </w:r>
          </w:p>
        </w:tc>
        <w:tc>
          <w:tcPr>
            <w:tcW w:w="2120" w:type="dxa"/>
            <w:tcBorders>
              <w:top w:val="nil"/>
              <w:left w:val="nil"/>
              <w:bottom w:val="single" w:color="auto" w:sz="8" w:space="0"/>
              <w:right w:val="single" w:color="auto" w:sz="8" w:space="0"/>
            </w:tcBorders>
            <w:shd w:val="clear" w:color="auto" w:fill="auto"/>
            <w:vAlign w:val="center"/>
            <w:hideMark/>
          </w:tcPr>
          <w:p w:rsidRPr="00964FBB" w:rsidR="00964FBB" w:rsidP="00964FBB" w:rsidRDefault="00964FBB" w14:paraId="2A92D3E3" w14:textId="66A2AB49">
            <w:pPr>
              <w:spacing w:after="0" w:line="240" w:lineRule="auto"/>
              <w:jc w:val="right"/>
              <w:rPr>
                <w:rFonts w:eastAsia="Times New Roman" w:cs="Arial"/>
                <w:color w:val="000000"/>
                <w:szCs w:val="24"/>
              </w:rPr>
            </w:pPr>
            <w:r w:rsidRPr="00964FBB">
              <w:rPr>
                <w:rFonts w:eastAsia="Times New Roman" w:cs="Arial"/>
                <w:color w:val="000000"/>
                <w:szCs w:val="24"/>
              </w:rPr>
              <w:t>$1</w:t>
            </w:r>
            <w:r w:rsidR="00B64CF2">
              <w:rPr>
                <w:rFonts w:eastAsia="Times New Roman" w:cs="Arial"/>
                <w:color w:val="000000"/>
                <w:szCs w:val="24"/>
              </w:rPr>
              <w:t>70,929</w:t>
            </w:r>
            <w:r w:rsidRPr="00964FBB">
              <w:rPr>
                <w:rFonts w:eastAsia="Times New Roman" w:cs="Arial"/>
                <w:color w:val="000000"/>
                <w:szCs w:val="24"/>
              </w:rPr>
              <w:t xml:space="preserve"> </w:t>
            </w:r>
          </w:p>
        </w:tc>
      </w:tr>
      <w:tr w:rsidRPr="00964FBB" w:rsidR="00964FBB" w:rsidTr="00964FBB" w14:paraId="3C9CA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trPr>
        <w:tc>
          <w:tcPr>
            <w:tcW w:w="3860" w:type="dxa"/>
            <w:tcBorders>
              <w:top w:val="nil"/>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2D395481" w14:textId="0AF060A5">
            <w:pPr>
              <w:spacing w:after="0" w:line="240" w:lineRule="auto"/>
              <w:rPr>
                <w:rFonts w:eastAsia="Times New Roman" w:cs="Arial"/>
                <w:color w:val="000000"/>
                <w:szCs w:val="24"/>
              </w:rPr>
            </w:pPr>
            <w:r w:rsidRPr="00964FBB">
              <w:rPr>
                <w:rFonts w:eastAsia="Times New Roman" w:cs="Arial"/>
                <w:color w:val="000000"/>
                <w:szCs w:val="24"/>
              </w:rPr>
              <w:t xml:space="preserve">Government </w:t>
            </w:r>
            <w:r>
              <w:rPr>
                <w:rFonts w:eastAsia="Times New Roman" w:cs="Arial"/>
                <w:color w:val="000000"/>
                <w:szCs w:val="24"/>
              </w:rPr>
              <w:t>l</w:t>
            </w:r>
            <w:r w:rsidRPr="00964FBB">
              <w:rPr>
                <w:rFonts w:eastAsia="Times New Roman" w:cs="Arial"/>
                <w:color w:val="000000"/>
                <w:szCs w:val="24"/>
              </w:rPr>
              <w:t xml:space="preserve">abor </w:t>
            </w:r>
            <w:r>
              <w:rPr>
                <w:rFonts w:eastAsia="Times New Roman" w:cs="Arial"/>
                <w:color w:val="000000"/>
                <w:szCs w:val="24"/>
              </w:rPr>
              <w:t>c</w:t>
            </w:r>
            <w:r w:rsidRPr="00964FBB">
              <w:rPr>
                <w:rFonts w:eastAsia="Times New Roman" w:cs="Arial"/>
                <w:color w:val="000000"/>
                <w:szCs w:val="24"/>
              </w:rPr>
              <w:t>ost</w:t>
            </w:r>
          </w:p>
        </w:tc>
        <w:tc>
          <w:tcPr>
            <w:tcW w:w="2120" w:type="dxa"/>
            <w:tcBorders>
              <w:top w:val="nil"/>
              <w:left w:val="nil"/>
              <w:bottom w:val="single" w:color="auto" w:sz="8" w:space="0"/>
              <w:right w:val="single" w:color="auto" w:sz="8" w:space="0"/>
            </w:tcBorders>
            <w:shd w:val="clear" w:color="auto" w:fill="auto"/>
            <w:vAlign w:val="center"/>
            <w:hideMark/>
          </w:tcPr>
          <w:p w:rsidRPr="00964FBB" w:rsidR="00964FBB" w:rsidP="00964FBB" w:rsidRDefault="00964FBB" w14:paraId="0B6BAB70" w14:textId="7BB2AB7C">
            <w:pPr>
              <w:spacing w:after="0" w:line="240" w:lineRule="auto"/>
              <w:jc w:val="right"/>
              <w:rPr>
                <w:rFonts w:eastAsia="Times New Roman" w:cs="Arial"/>
                <w:color w:val="000000"/>
                <w:szCs w:val="24"/>
              </w:rPr>
            </w:pPr>
            <w:r w:rsidRPr="00964FBB">
              <w:rPr>
                <w:rFonts w:eastAsia="Times New Roman" w:cs="Arial"/>
                <w:color w:val="000000"/>
                <w:szCs w:val="24"/>
              </w:rPr>
              <w:t>$2</w:t>
            </w:r>
            <w:r w:rsidR="00B00534">
              <w:rPr>
                <w:rFonts w:eastAsia="Times New Roman" w:cs="Arial"/>
                <w:color w:val="000000"/>
                <w:szCs w:val="24"/>
              </w:rPr>
              <w:t>22,669</w:t>
            </w:r>
            <w:r w:rsidRPr="00964FBB">
              <w:rPr>
                <w:rFonts w:eastAsia="Times New Roman" w:cs="Arial"/>
                <w:color w:val="000000"/>
                <w:szCs w:val="24"/>
              </w:rPr>
              <w:t xml:space="preserve"> </w:t>
            </w:r>
          </w:p>
        </w:tc>
      </w:tr>
      <w:tr w:rsidRPr="00964FBB" w:rsidR="00964FBB" w:rsidTr="00964FBB" w14:paraId="55B60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trPr>
        <w:tc>
          <w:tcPr>
            <w:tcW w:w="3860" w:type="dxa"/>
            <w:tcBorders>
              <w:top w:val="nil"/>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5FF0A0CE" w14:textId="56F76572">
            <w:pPr>
              <w:spacing w:after="0" w:line="240" w:lineRule="auto"/>
              <w:rPr>
                <w:rFonts w:eastAsia="Times New Roman" w:cs="Arial"/>
                <w:color w:val="000000"/>
                <w:szCs w:val="24"/>
              </w:rPr>
            </w:pPr>
            <w:r w:rsidRPr="00964FBB">
              <w:rPr>
                <w:rFonts w:eastAsia="Times New Roman" w:cs="Arial"/>
                <w:color w:val="000000"/>
                <w:szCs w:val="24"/>
              </w:rPr>
              <w:t xml:space="preserve">Government </w:t>
            </w:r>
            <w:r>
              <w:rPr>
                <w:rFonts w:eastAsia="Times New Roman" w:cs="Arial"/>
                <w:color w:val="000000"/>
                <w:szCs w:val="24"/>
              </w:rPr>
              <w:t>d</w:t>
            </w:r>
            <w:r w:rsidRPr="00964FBB">
              <w:rPr>
                <w:rFonts w:eastAsia="Times New Roman" w:cs="Arial"/>
                <w:color w:val="000000"/>
                <w:szCs w:val="24"/>
              </w:rPr>
              <w:t xml:space="preserve">ata </w:t>
            </w:r>
            <w:r>
              <w:rPr>
                <w:rFonts w:eastAsia="Times New Roman" w:cs="Arial"/>
                <w:color w:val="000000"/>
                <w:szCs w:val="24"/>
              </w:rPr>
              <w:t>p</w:t>
            </w:r>
            <w:r w:rsidRPr="00964FBB">
              <w:rPr>
                <w:rFonts w:eastAsia="Times New Roman" w:cs="Arial"/>
                <w:color w:val="000000"/>
                <w:szCs w:val="24"/>
              </w:rPr>
              <w:t xml:space="preserve">rocessing </w:t>
            </w:r>
            <w:r>
              <w:rPr>
                <w:rFonts w:eastAsia="Times New Roman" w:cs="Arial"/>
                <w:color w:val="000000"/>
                <w:szCs w:val="24"/>
              </w:rPr>
              <w:t>c</w:t>
            </w:r>
            <w:r w:rsidRPr="00964FBB">
              <w:rPr>
                <w:rFonts w:eastAsia="Times New Roman" w:cs="Arial"/>
                <w:color w:val="000000"/>
                <w:szCs w:val="24"/>
              </w:rPr>
              <w:t>ost</w:t>
            </w:r>
          </w:p>
        </w:tc>
        <w:tc>
          <w:tcPr>
            <w:tcW w:w="2120" w:type="dxa"/>
            <w:tcBorders>
              <w:top w:val="nil"/>
              <w:left w:val="nil"/>
              <w:bottom w:val="single" w:color="auto" w:sz="8" w:space="0"/>
              <w:right w:val="single" w:color="auto" w:sz="8" w:space="0"/>
            </w:tcBorders>
            <w:shd w:val="clear" w:color="auto" w:fill="auto"/>
            <w:vAlign w:val="center"/>
            <w:hideMark/>
          </w:tcPr>
          <w:p w:rsidRPr="00964FBB" w:rsidR="00964FBB" w:rsidP="00964FBB" w:rsidRDefault="00964FBB" w14:paraId="2D55F573" w14:textId="27E5543E">
            <w:pPr>
              <w:spacing w:after="0" w:line="240" w:lineRule="auto"/>
              <w:jc w:val="right"/>
              <w:rPr>
                <w:rFonts w:eastAsia="Times New Roman" w:cs="Arial"/>
                <w:color w:val="000000"/>
                <w:szCs w:val="24"/>
              </w:rPr>
            </w:pPr>
            <w:r w:rsidRPr="00964FBB">
              <w:rPr>
                <w:rFonts w:eastAsia="Times New Roman" w:cs="Arial"/>
                <w:color w:val="000000"/>
                <w:szCs w:val="24"/>
              </w:rPr>
              <w:t>$</w:t>
            </w:r>
            <w:r w:rsidR="00B00534">
              <w:rPr>
                <w:rFonts w:eastAsia="Times New Roman" w:cs="Arial"/>
                <w:color w:val="000000"/>
                <w:szCs w:val="24"/>
              </w:rPr>
              <w:t>324</w:t>
            </w:r>
            <w:r w:rsidRPr="00964FBB">
              <w:rPr>
                <w:rFonts w:eastAsia="Times New Roman" w:cs="Arial"/>
                <w:color w:val="000000"/>
                <w:szCs w:val="24"/>
              </w:rPr>
              <w:t xml:space="preserve"> </w:t>
            </w:r>
          </w:p>
        </w:tc>
      </w:tr>
      <w:tr w:rsidRPr="00964FBB" w:rsidR="00964FBB" w:rsidTr="00964FBB" w14:paraId="42FAD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trPr>
        <w:tc>
          <w:tcPr>
            <w:tcW w:w="3860" w:type="dxa"/>
            <w:tcBorders>
              <w:top w:val="nil"/>
              <w:left w:val="single" w:color="auto" w:sz="8" w:space="0"/>
              <w:bottom w:val="single" w:color="auto" w:sz="8" w:space="0"/>
              <w:right w:val="single" w:color="auto" w:sz="8" w:space="0"/>
            </w:tcBorders>
            <w:shd w:val="clear" w:color="auto" w:fill="auto"/>
            <w:vAlign w:val="center"/>
            <w:hideMark/>
          </w:tcPr>
          <w:p w:rsidRPr="00964FBB" w:rsidR="00964FBB" w:rsidP="00964FBB" w:rsidRDefault="00964FBB" w14:paraId="42E53BB8" w14:textId="2A4AA45A">
            <w:pPr>
              <w:spacing w:after="0" w:line="240" w:lineRule="auto"/>
              <w:rPr>
                <w:rFonts w:eastAsia="Times New Roman" w:cs="Arial"/>
                <w:b/>
                <w:bCs/>
                <w:color w:val="000000"/>
                <w:szCs w:val="24"/>
              </w:rPr>
            </w:pPr>
            <w:r w:rsidRPr="00964FBB">
              <w:rPr>
                <w:rFonts w:eastAsia="Times New Roman" w:cs="Arial"/>
                <w:b/>
                <w:bCs/>
                <w:color w:val="000000"/>
                <w:szCs w:val="24"/>
              </w:rPr>
              <w:t xml:space="preserve">Total </w:t>
            </w:r>
            <w:r w:rsidR="00DD6B59">
              <w:rPr>
                <w:rFonts w:eastAsia="Times New Roman" w:cs="Arial"/>
                <w:b/>
                <w:bCs/>
                <w:color w:val="000000"/>
                <w:szCs w:val="24"/>
              </w:rPr>
              <w:t>a</w:t>
            </w:r>
            <w:r w:rsidRPr="00964FBB">
              <w:rPr>
                <w:rFonts w:eastAsia="Times New Roman" w:cs="Arial"/>
                <w:b/>
                <w:bCs/>
                <w:color w:val="000000"/>
                <w:szCs w:val="24"/>
              </w:rPr>
              <w:t xml:space="preserve">nnual </w:t>
            </w:r>
            <w:r>
              <w:rPr>
                <w:rFonts w:eastAsia="Times New Roman" w:cs="Arial"/>
                <w:b/>
                <w:bCs/>
                <w:color w:val="000000"/>
                <w:szCs w:val="24"/>
              </w:rPr>
              <w:t>g</w:t>
            </w:r>
            <w:r w:rsidRPr="00964FBB">
              <w:rPr>
                <w:rFonts w:eastAsia="Times New Roman" w:cs="Arial"/>
                <w:b/>
                <w:bCs/>
                <w:color w:val="000000"/>
                <w:szCs w:val="24"/>
              </w:rPr>
              <w:t xml:space="preserve">overnment </w:t>
            </w:r>
            <w:r>
              <w:rPr>
                <w:rFonts w:eastAsia="Times New Roman" w:cs="Arial"/>
                <w:b/>
                <w:bCs/>
                <w:color w:val="000000"/>
                <w:szCs w:val="24"/>
              </w:rPr>
              <w:t>c</w:t>
            </w:r>
            <w:r w:rsidRPr="00964FBB">
              <w:rPr>
                <w:rFonts w:eastAsia="Times New Roman" w:cs="Arial"/>
                <w:b/>
                <w:bCs/>
                <w:color w:val="000000"/>
                <w:szCs w:val="24"/>
              </w:rPr>
              <w:t>ost</w:t>
            </w:r>
          </w:p>
        </w:tc>
        <w:tc>
          <w:tcPr>
            <w:tcW w:w="2120" w:type="dxa"/>
            <w:tcBorders>
              <w:top w:val="nil"/>
              <w:left w:val="nil"/>
              <w:bottom w:val="single" w:color="auto" w:sz="8" w:space="0"/>
              <w:right w:val="single" w:color="auto" w:sz="8" w:space="0"/>
            </w:tcBorders>
            <w:shd w:val="clear" w:color="auto" w:fill="auto"/>
            <w:vAlign w:val="center"/>
            <w:hideMark/>
          </w:tcPr>
          <w:p w:rsidRPr="00964FBB" w:rsidR="00964FBB" w:rsidP="00964FBB" w:rsidRDefault="00964FBB" w14:paraId="6F30ECD7" w14:textId="3E7B770B">
            <w:pPr>
              <w:spacing w:after="0" w:line="240" w:lineRule="auto"/>
              <w:jc w:val="right"/>
              <w:rPr>
                <w:rFonts w:eastAsia="Times New Roman" w:cs="Arial"/>
                <w:b/>
                <w:bCs/>
                <w:color w:val="000000"/>
                <w:szCs w:val="24"/>
              </w:rPr>
            </w:pPr>
            <w:r w:rsidRPr="00964FBB">
              <w:rPr>
                <w:rFonts w:eastAsia="Times New Roman" w:cs="Arial"/>
                <w:b/>
                <w:bCs/>
                <w:color w:val="000000"/>
                <w:szCs w:val="24"/>
              </w:rPr>
              <w:t>$2</w:t>
            </w:r>
            <w:r w:rsidR="00B00534">
              <w:rPr>
                <w:rFonts w:eastAsia="Times New Roman" w:cs="Arial"/>
                <w:b/>
                <w:bCs/>
                <w:color w:val="000000"/>
                <w:szCs w:val="24"/>
              </w:rPr>
              <w:t>22,99</w:t>
            </w:r>
            <w:r w:rsidR="00B64CF2">
              <w:rPr>
                <w:rFonts w:eastAsia="Times New Roman" w:cs="Arial"/>
                <w:b/>
                <w:bCs/>
                <w:color w:val="000000"/>
                <w:szCs w:val="24"/>
              </w:rPr>
              <w:t>3</w:t>
            </w:r>
            <w:r w:rsidRPr="00964FBB">
              <w:rPr>
                <w:rFonts w:eastAsia="Times New Roman" w:cs="Arial"/>
                <w:b/>
                <w:bCs/>
                <w:color w:val="000000"/>
                <w:szCs w:val="24"/>
              </w:rPr>
              <w:t xml:space="preserve"> </w:t>
            </w:r>
          </w:p>
        </w:tc>
      </w:tr>
    </w:tbl>
    <w:p w:rsidRPr="00964FBB" w:rsidR="00FD6FF1" w:rsidP="00594EFF" w:rsidRDefault="00FD6FF1" w14:paraId="33E2213E" w14:textId="77777777">
      <w:pPr>
        <w:autoSpaceDE w:val="0"/>
        <w:autoSpaceDN w:val="0"/>
        <w:adjustRightInd w:val="0"/>
        <w:rPr>
          <w:rFonts w:cs="Arial"/>
          <w:szCs w:val="24"/>
        </w:rPr>
      </w:pPr>
    </w:p>
    <w:p w:rsidRPr="009C2235" w:rsidR="00A234F1" w:rsidP="001F49CF" w:rsidRDefault="001F49CF" w14:paraId="41AF36F4" w14:textId="19971716">
      <w:pPr>
        <w:rPr>
          <w:rFonts w:cs="Arial"/>
          <w:b/>
          <w:bCs/>
          <w:szCs w:val="24"/>
        </w:rPr>
      </w:pPr>
      <w:r w:rsidRPr="009C2235">
        <w:rPr>
          <w:rFonts w:cs="Arial"/>
          <w:b/>
          <w:bCs/>
          <w:szCs w:val="24"/>
        </w:rPr>
        <w:t xml:space="preserve">Chemical Specific Rule; </w:t>
      </w:r>
      <w:r w:rsidRPr="009C2235" w:rsidR="00A234F1">
        <w:rPr>
          <w:rFonts w:cs="Arial"/>
          <w:b/>
          <w:bCs/>
          <w:szCs w:val="24"/>
        </w:rPr>
        <w:t xml:space="preserve">TSCA Section 8(a) </w:t>
      </w:r>
    </w:p>
    <w:p w:rsidRPr="001F49CF" w:rsidR="00E07475" w:rsidP="001F49CF" w:rsidRDefault="00E07475" w14:paraId="6CBA42EF" w14:textId="55C6AB87">
      <w:pPr>
        <w:rPr>
          <w:rFonts w:cs="Arial"/>
          <w:szCs w:val="24"/>
        </w:rPr>
      </w:pPr>
      <w:r w:rsidRPr="001F49CF">
        <w:rPr>
          <w:rFonts w:cs="Arial"/>
          <w:szCs w:val="24"/>
        </w:rPr>
        <w:t>For any TSCA section 8(a) chemical-specific rule the Agency would have to perform a number of tasks. They are:</w:t>
      </w:r>
    </w:p>
    <w:p w:rsidRPr="001F49CF" w:rsidR="00A234F1" w:rsidP="001F49CF" w:rsidRDefault="00E07475" w14:paraId="2E6BE01A" w14:textId="77777777">
      <w:pPr>
        <w:pStyle w:val="ListParagraph"/>
        <w:numPr>
          <w:ilvl w:val="0"/>
          <w:numId w:val="13"/>
        </w:numPr>
        <w:tabs>
          <w:tab w:val="left" w:pos="1080"/>
        </w:tabs>
        <w:rPr>
          <w:rFonts w:cs="Arial"/>
          <w:szCs w:val="24"/>
        </w:rPr>
      </w:pPr>
      <w:r w:rsidRPr="001F49CF">
        <w:rPr>
          <w:rFonts w:cs="Arial"/>
          <w:szCs w:val="24"/>
        </w:rPr>
        <w:t>Industry/Public Assistance (answering questions regarding rule</w:t>
      </w:r>
      <w:proofErr w:type="gramStart"/>
      <w:r w:rsidRPr="001F49CF">
        <w:rPr>
          <w:rFonts w:cs="Arial"/>
          <w:szCs w:val="24"/>
        </w:rPr>
        <w:t>);</w:t>
      </w:r>
      <w:proofErr w:type="gramEnd"/>
    </w:p>
    <w:p w:rsidRPr="001F49CF" w:rsidR="00A234F1" w:rsidP="001F49CF" w:rsidRDefault="00E07475" w14:paraId="62DB0F99" w14:textId="77777777">
      <w:pPr>
        <w:pStyle w:val="ListParagraph"/>
        <w:numPr>
          <w:ilvl w:val="0"/>
          <w:numId w:val="13"/>
        </w:numPr>
        <w:tabs>
          <w:tab w:val="left" w:pos="1080"/>
        </w:tabs>
        <w:rPr>
          <w:rFonts w:cs="Arial"/>
          <w:szCs w:val="24"/>
        </w:rPr>
      </w:pPr>
      <w:r w:rsidRPr="001F49CF">
        <w:rPr>
          <w:rFonts w:cs="Arial"/>
          <w:szCs w:val="24"/>
        </w:rPr>
        <w:t xml:space="preserve">Data Processing and System Support </w:t>
      </w:r>
      <w:proofErr w:type="gramStart"/>
      <w:r w:rsidRPr="001F49CF">
        <w:rPr>
          <w:rFonts w:cs="Arial"/>
          <w:szCs w:val="24"/>
        </w:rPr>
        <w:t>Personnel;</w:t>
      </w:r>
      <w:proofErr w:type="gramEnd"/>
    </w:p>
    <w:p w:rsidRPr="001F49CF" w:rsidR="00A234F1" w:rsidP="001F49CF" w:rsidRDefault="00E07475" w14:paraId="40C59535" w14:textId="76F9EC51">
      <w:pPr>
        <w:pStyle w:val="ListParagraph"/>
        <w:numPr>
          <w:ilvl w:val="0"/>
          <w:numId w:val="13"/>
        </w:numPr>
        <w:tabs>
          <w:tab w:val="left" w:pos="1080"/>
        </w:tabs>
        <w:rPr>
          <w:rFonts w:cs="Arial"/>
          <w:szCs w:val="24"/>
        </w:rPr>
      </w:pPr>
      <w:r w:rsidRPr="001F49CF">
        <w:rPr>
          <w:rFonts w:cs="Arial"/>
          <w:szCs w:val="24"/>
        </w:rPr>
        <w:t xml:space="preserve">Review the information </w:t>
      </w:r>
      <w:proofErr w:type="gramStart"/>
      <w:r w:rsidRPr="001F49CF">
        <w:rPr>
          <w:rFonts w:cs="Arial"/>
          <w:szCs w:val="24"/>
        </w:rPr>
        <w:t>submitted</w:t>
      </w:r>
      <w:r w:rsidRPr="001F49CF" w:rsidR="00A234F1">
        <w:rPr>
          <w:rFonts w:cs="Arial"/>
          <w:szCs w:val="24"/>
        </w:rPr>
        <w:t>;</w:t>
      </w:r>
      <w:proofErr w:type="gramEnd"/>
    </w:p>
    <w:p w:rsidRPr="001F49CF" w:rsidR="00A234F1" w:rsidP="001F49CF" w:rsidRDefault="00E07475" w14:paraId="532622AF" w14:textId="77777777">
      <w:pPr>
        <w:pStyle w:val="ListParagraph"/>
        <w:numPr>
          <w:ilvl w:val="0"/>
          <w:numId w:val="13"/>
        </w:numPr>
        <w:tabs>
          <w:tab w:val="left" w:pos="1080"/>
        </w:tabs>
        <w:rPr>
          <w:rFonts w:cs="Arial"/>
          <w:szCs w:val="24"/>
        </w:rPr>
      </w:pPr>
      <w:r w:rsidRPr="001F49CF">
        <w:rPr>
          <w:rFonts w:cs="Arial"/>
          <w:szCs w:val="24"/>
        </w:rPr>
        <w:t xml:space="preserve">Analyze submissions for confidentiality and provide appropriate protection for confidential </w:t>
      </w:r>
      <w:proofErr w:type="gramStart"/>
      <w:r w:rsidRPr="001F49CF">
        <w:rPr>
          <w:rFonts w:cs="Arial"/>
          <w:szCs w:val="24"/>
        </w:rPr>
        <w:t>data;</w:t>
      </w:r>
      <w:proofErr w:type="gramEnd"/>
    </w:p>
    <w:p w:rsidRPr="001F49CF" w:rsidR="00A234F1" w:rsidP="001F49CF" w:rsidRDefault="00E07475" w14:paraId="72454386" w14:textId="77777777">
      <w:pPr>
        <w:pStyle w:val="ListParagraph"/>
        <w:numPr>
          <w:ilvl w:val="0"/>
          <w:numId w:val="13"/>
        </w:numPr>
        <w:tabs>
          <w:tab w:val="left" w:pos="1080"/>
        </w:tabs>
        <w:rPr>
          <w:rFonts w:cs="Arial"/>
          <w:szCs w:val="24"/>
        </w:rPr>
      </w:pPr>
      <w:r w:rsidRPr="001F49CF">
        <w:rPr>
          <w:rFonts w:cs="Arial"/>
          <w:szCs w:val="24"/>
        </w:rPr>
        <w:t>Storage and Distribution; and</w:t>
      </w:r>
    </w:p>
    <w:p w:rsidRPr="001F49CF" w:rsidR="00E07475" w:rsidP="001F49CF" w:rsidRDefault="00E07475" w14:paraId="1E9A29E7" w14:textId="3E7C913F">
      <w:pPr>
        <w:pStyle w:val="ListParagraph"/>
        <w:numPr>
          <w:ilvl w:val="0"/>
          <w:numId w:val="13"/>
        </w:numPr>
        <w:tabs>
          <w:tab w:val="left" w:pos="1080"/>
        </w:tabs>
        <w:rPr>
          <w:rFonts w:cs="Arial"/>
          <w:szCs w:val="24"/>
        </w:rPr>
      </w:pPr>
      <w:r w:rsidRPr="001F49CF">
        <w:rPr>
          <w:rFonts w:cs="Arial"/>
          <w:szCs w:val="24"/>
        </w:rPr>
        <w:t>Compliance Monitoring.</w:t>
      </w:r>
    </w:p>
    <w:p w:rsidRPr="001F49CF" w:rsidR="00FD6FF1" w:rsidP="001F49CF" w:rsidRDefault="00FD6FF1" w14:paraId="46A419FE" w14:textId="545D5FF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1F49CF">
        <w:rPr>
          <w:rFonts w:cs="Arial"/>
          <w:szCs w:val="24"/>
        </w:rPr>
        <w:t>The Agency has developed the following burden hour estimates for activities related to promulgating a section 8(a) Chemical Specific rule.</w:t>
      </w:r>
    </w:p>
    <w:p w:rsidRPr="001F49CF" w:rsidR="001F49CF" w:rsidP="002D1104" w:rsidRDefault="004042D1" w14:paraId="1D3655D4" w14:textId="171C3F35">
      <w:pPr>
        <w:pStyle w:val="Caption"/>
        <w:rPr>
          <w:szCs w:val="24"/>
        </w:rPr>
      </w:pPr>
      <w:bookmarkStart w:name="_Ref94542136" w:id="45"/>
      <w:r>
        <w:t>Table</w:t>
      </w:r>
      <w:bookmarkEnd w:id="45"/>
      <w:r w:rsidR="00594EFF">
        <w:t>17</w:t>
      </w:r>
      <w:r>
        <w:t xml:space="preserve">. Agency Summary of Burden </w:t>
      </w:r>
      <w:r w:rsidR="00BD7C21">
        <w:t xml:space="preserve">Hours and Cost </w:t>
      </w:r>
      <w:r>
        <w:t>Estimates</w:t>
      </w:r>
      <w:r w:rsidRPr="001F49CF" w:rsidR="001F49CF">
        <w:rPr>
          <w:szCs w:val="24"/>
        </w:rPr>
        <w:t xml:space="preserve"> </w:t>
      </w:r>
      <w:r>
        <w:rPr>
          <w:szCs w:val="24"/>
        </w:rPr>
        <w:t xml:space="preserve">for TSCA </w:t>
      </w:r>
      <w:r w:rsidR="0088236C">
        <w:rPr>
          <w:szCs w:val="24"/>
        </w:rPr>
        <w:t>S</w:t>
      </w:r>
      <w:r>
        <w:rPr>
          <w:szCs w:val="24"/>
        </w:rPr>
        <w:t>ection 8(a) Chemical Specific</w:t>
      </w:r>
    </w:p>
    <w:tbl>
      <w:tblPr>
        <w:tblW w:w="0" w:type="auto"/>
        <w:tblLook w:val="04A0" w:firstRow="1" w:lastRow="0" w:firstColumn="1" w:lastColumn="0" w:noHBand="0" w:noVBand="1"/>
      </w:tblPr>
      <w:tblGrid>
        <w:gridCol w:w="3960"/>
        <w:gridCol w:w="1056"/>
        <w:gridCol w:w="1180"/>
        <w:gridCol w:w="1900"/>
      </w:tblGrid>
      <w:tr w:rsidRPr="00BD7C21" w:rsidR="00BD7C21" w:rsidTr="00BD7C21" w14:paraId="037A9027" w14:textId="77777777">
        <w:trPr>
          <w:trHeight w:val="636"/>
        </w:trPr>
        <w:tc>
          <w:tcPr>
            <w:tcW w:w="3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49734957" w14:textId="77777777">
            <w:pPr>
              <w:spacing w:after="0" w:line="240" w:lineRule="auto"/>
              <w:jc w:val="center"/>
              <w:rPr>
                <w:rFonts w:eastAsia="Times New Roman" w:cs="Arial"/>
                <w:b/>
                <w:bCs/>
                <w:color w:val="000000"/>
                <w:szCs w:val="24"/>
              </w:rPr>
            </w:pPr>
            <w:r w:rsidRPr="00BD7C21">
              <w:rPr>
                <w:rFonts w:eastAsia="Times New Roman" w:cs="Arial"/>
                <w:b/>
                <w:bCs/>
                <w:color w:val="000000"/>
                <w:szCs w:val="24"/>
              </w:rPr>
              <w:t>Activity</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BD7C21" w:rsidR="00BD7C21" w:rsidP="00BD7C21" w:rsidRDefault="00BD7C21" w14:paraId="66D16658" w14:textId="77777777">
            <w:pPr>
              <w:spacing w:after="0" w:line="240" w:lineRule="auto"/>
              <w:jc w:val="center"/>
              <w:rPr>
                <w:rFonts w:eastAsia="Times New Roman" w:cs="Arial"/>
                <w:b/>
                <w:bCs/>
                <w:color w:val="000000"/>
                <w:szCs w:val="24"/>
              </w:rPr>
            </w:pPr>
            <w:r w:rsidRPr="00BD7C21">
              <w:rPr>
                <w:rFonts w:eastAsia="Times New Roman" w:cs="Arial"/>
                <w:b/>
                <w:bCs/>
                <w:color w:val="000000"/>
                <w:szCs w:val="24"/>
              </w:rPr>
              <w:t>Burden (FTE)</w:t>
            </w:r>
          </w:p>
        </w:tc>
        <w:tc>
          <w:tcPr>
            <w:tcW w:w="1180" w:type="dxa"/>
            <w:tcBorders>
              <w:top w:val="single" w:color="auto" w:sz="8" w:space="0"/>
              <w:left w:val="nil"/>
              <w:bottom w:val="single" w:color="auto" w:sz="8" w:space="0"/>
              <w:right w:val="single" w:color="auto" w:sz="8" w:space="0"/>
            </w:tcBorders>
            <w:shd w:val="clear" w:color="auto" w:fill="auto"/>
            <w:vAlign w:val="center"/>
            <w:hideMark/>
          </w:tcPr>
          <w:p w:rsidRPr="00BD7C21" w:rsidR="00BD7C21" w:rsidP="00BD7C21" w:rsidRDefault="00BD7C21" w14:paraId="0A5032B6" w14:textId="77777777">
            <w:pPr>
              <w:spacing w:after="0" w:line="240" w:lineRule="auto"/>
              <w:jc w:val="center"/>
              <w:rPr>
                <w:rFonts w:eastAsia="Times New Roman" w:cs="Arial"/>
                <w:b/>
                <w:bCs/>
                <w:color w:val="000000"/>
                <w:szCs w:val="24"/>
              </w:rPr>
            </w:pPr>
            <w:r w:rsidRPr="00BD7C21">
              <w:rPr>
                <w:rFonts w:eastAsia="Times New Roman" w:cs="Arial"/>
                <w:b/>
                <w:bCs/>
                <w:color w:val="000000"/>
                <w:szCs w:val="24"/>
              </w:rPr>
              <w:t>Burden Hours</w:t>
            </w:r>
          </w:p>
        </w:tc>
        <w:tc>
          <w:tcPr>
            <w:tcW w:w="1900" w:type="dxa"/>
            <w:tcBorders>
              <w:top w:val="single" w:color="auto" w:sz="8" w:space="0"/>
              <w:left w:val="nil"/>
              <w:bottom w:val="single" w:color="auto" w:sz="8" w:space="0"/>
              <w:right w:val="single" w:color="auto" w:sz="8" w:space="0"/>
            </w:tcBorders>
            <w:shd w:val="clear" w:color="auto" w:fill="auto"/>
            <w:vAlign w:val="center"/>
            <w:hideMark/>
          </w:tcPr>
          <w:p w:rsidRPr="00BD7C21" w:rsidR="00BD7C21" w:rsidP="00BD7C21" w:rsidRDefault="00BD7C21" w14:paraId="41B62371" w14:textId="77777777">
            <w:pPr>
              <w:spacing w:after="0" w:line="240" w:lineRule="auto"/>
              <w:jc w:val="center"/>
              <w:rPr>
                <w:rFonts w:eastAsia="Times New Roman" w:cs="Arial"/>
                <w:b/>
                <w:bCs/>
                <w:color w:val="000000"/>
                <w:szCs w:val="24"/>
              </w:rPr>
            </w:pPr>
            <w:r w:rsidRPr="00BD7C21">
              <w:rPr>
                <w:rFonts w:eastAsia="Times New Roman" w:cs="Arial"/>
                <w:b/>
                <w:bCs/>
                <w:color w:val="000000"/>
                <w:szCs w:val="24"/>
              </w:rPr>
              <w:t>Annual Cost</w:t>
            </w:r>
          </w:p>
        </w:tc>
      </w:tr>
      <w:tr w:rsidRPr="00BD7C21" w:rsidR="00BD7C21" w:rsidTr="00BD7C21" w14:paraId="3B5681C8" w14:textId="77777777">
        <w:trPr>
          <w:trHeight w:val="6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0FF8E371" w14:textId="77777777">
            <w:pPr>
              <w:spacing w:after="0" w:line="240" w:lineRule="auto"/>
              <w:rPr>
                <w:rFonts w:eastAsia="Times New Roman" w:cs="Arial"/>
                <w:color w:val="000000"/>
                <w:szCs w:val="24"/>
              </w:rPr>
            </w:pPr>
            <w:r w:rsidRPr="00BD7C21">
              <w:rPr>
                <w:rFonts w:eastAsia="Times New Roman" w:cs="Arial"/>
                <w:color w:val="000000"/>
                <w:szCs w:val="24"/>
              </w:rPr>
              <w:t xml:space="preserve">Industry/Public Assistance </w:t>
            </w:r>
            <w:r w:rsidRPr="00BD7C21">
              <w:rPr>
                <w:rFonts w:eastAsia="Times New Roman" w:cs="Arial"/>
                <w:i/>
                <w:iCs/>
                <w:color w:val="000000"/>
                <w:szCs w:val="24"/>
              </w:rPr>
              <w:t>(answering questions regarding the rule)</w:t>
            </w:r>
          </w:p>
        </w:tc>
        <w:tc>
          <w:tcPr>
            <w:tcW w:w="96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5A3A0D29" w14:textId="77777777">
            <w:pPr>
              <w:spacing w:after="0" w:line="240" w:lineRule="auto"/>
              <w:jc w:val="right"/>
              <w:rPr>
                <w:rFonts w:eastAsia="Times New Roman" w:cs="Arial"/>
                <w:color w:val="000000"/>
                <w:szCs w:val="24"/>
              </w:rPr>
            </w:pPr>
            <w:r w:rsidRPr="00BD7C21">
              <w:rPr>
                <w:rFonts w:eastAsia="Times New Roman" w:cs="Arial"/>
                <w:color w:val="000000"/>
                <w:szCs w:val="24"/>
              </w:rPr>
              <w:t>0.1</w:t>
            </w:r>
          </w:p>
        </w:tc>
        <w:tc>
          <w:tcPr>
            <w:tcW w:w="118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0017D70F" w14:textId="77777777">
            <w:pPr>
              <w:spacing w:after="0" w:line="240" w:lineRule="auto"/>
              <w:jc w:val="right"/>
              <w:rPr>
                <w:rFonts w:eastAsia="Times New Roman" w:cs="Arial"/>
                <w:color w:val="000000"/>
                <w:szCs w:val="24"/>
              </w:rPr>
            </w:pPr>
            <w:r w:rsidRPr="00BD7C21">
              <w:rPr>
                <w:rFonts w:eastAsia="Times New Roman" w:cs="Arial"/>
                <w:color w:val="000000"/>
                <w:szCs w:val="24"/>
              </w:rPr>
              <w:t>208</w:t>
            </w:r>
          </w:p>
        </w:tc>
        <w:tc>
          <w:tcPr>
            <w:tcW w:w="190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2DA202E9" w14:textId="65DB5DDB">
            <w:pPr>
              <w:spacing w:after="0" w:line="240" w:lineRule="auto"/>
              <w:jc w:val="right"/>
              <w:rPr>
                <w:rFonts w:eastAsia="Times New Roman" w:cs="Arial"/>
                <w:color w:val="000000"/>
                <w:szCs w:val="24"/>
              </w:rPr>
            </w:pPr>
            <w:r w:rsidRPr="00BD7C21">
              <w:rPr>
                <w:rFonts w:eastAsia="Times New Roman" w:cs="Arial"/>
                <w:color w:val="000000"/>
                <w:szCs w:val="24"/>
              </w:rPr>
              <w:t>$17,09</w:t>
            </w:r>
            <w:r w:rsidR="00B64CF2">
              <w:rPr>
                <w:rFonts w:eastAsia="Times New Roman" w:cs="Arial"/>
                <w:color w:val="000000"/>
                <w:szCs w:val="24"/>
              </w:rPr>
              <w:t>3</w:t>
            </w:r>
            <w:r w:rsidRPr="00BD7C21">
              <w:rPr>
                <w:rFonts w:eastAsia="Times New Roman" w:cs="Arial"/>
                <w:color w:val="000000"/>
                <w:szCs w:val="24"/>
              </w:rPr>
              <w:t xml:space="preserve"> </w:t>
            </w:r>
          </w:p>
        </w:tc>
      </w:tr>
      <w:tr w:rsidRPr="00BD7C21" w:rsidR="00BD7C21" w:rsidTr="00BD7C21" w14:paraId="6F3FF6FD" w14:textId="77777777">
        <w:trPr>
          <w:trHeight w:val="6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00BDB4AB" w14:textId="77777777">
            <w:pPr>
              <w:spacing w:after="0" w:line="240" w:lineRule="auto"/>
              <w:rPr>
                <w:rFonts w:eastAsia="Times New Roman" w:cs="Arial"/>
                <w:color w:val="000000"/>
                <w:szCs w:val="24"/>
              </w:rPr>
            </w:pPr>
            <w:r w:rsidRPr="00BD7C21">
              <w:rPr>
                <w:rFonts w:eastAsia="Times New Roman" w:cs="Arial"/>
                <w:color w:val="000000"/>
                <w:szCs w:val="24"/>
              </w:rPr>
              <w:t>Data processing and systems support personnel</w:t>
            </w:r>
          </w:p>
        </w:tc>
        <w:tc>
          <w:tcPr>
            <w:tcW w:w="96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08C8C3E4" w14:textId="77777777">
            <w:pPr>
              <w:spacing w:after="0" w:line="240" w:lineRule="auto"/>
              <w:jc w:val="right"/>
              <w:rPr>
                <w:rFonts w:eastAsia="Times New Roman" w:cs="Arial"/>
                <w:color w:val="000000"/>
                <w:szCs w:val="24"/>
              </w:rPr>
            </w:pPr>
            <w:r w:rsidRPr="00BD7C21">
              <w:rPr>
                <w:rFonts w:eastAsia="Times New Roman" w:cs="Arial"/>
                <w:color w:val="000000"/>
                <w:szCs w:val="24"/>
              </w:rPr>
              <w:t>0.2</w:t>
            </w:r>
          </w:p>
        </w:tc>
        <w:tc>
          <w:tcPr>
            <w:tcW w:w="118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190FA50C" w14:textId="77777777">
            <w:pPr>
              <w:spacing w:after="0" w:line="240" w:lineRule="auto"/>
              <w:jc w:val="right"/>
              <w:rPr>
                <w:rFonts w:eastAsia="Times New Roman" w:cs="Arial"/>
                <w:color w:val="000000"/>
                <w:szCs w:val="24"/>
              </w:rPr>
            </w:pPr>
            <w:r w:rsidRPr="00BD7C21">
              <w:rPr>
                <w:rFonts w:eastAsia="Times New Roman" w:cs="Arial"/>
                <w:color w:val="000000"/>
                <w:szCs w:val="24"/>
              </w:rPr>
              <w:t>416</w:t>
            </w:r>
          </w:p>
        </w:tc>
        <w:tc>
          <w:tcPr>
            <w:tcW w:w="190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083B8A94" w14:textId="1341EFFD">
            <w:pPr>
              <w:spacing w:after="0" w:line="240" w:lineRule="auto"/>
              <w:jc w:val="right"/>
              <w:rPr>
                <w:rFonts w:eastAsia="Times New Roman" w:cs="Arial"/>
                <w:color w:val="000000"/>
                <w:szCs w:val="24"/>
              </w:rPr>
            </w:pPr>
            <w:r w:rsidRPr="00BD7C21">
              <w:rPr>
                <w:rFonts w:eastAsia="Times New Roman" w:cs="Arial"/>
                <w:color w:val="000000"/>
                <w:szCs w:val="24"/>
              </w:rPr>
              <w:t>$34,18</w:t>
            </w:r>
            <w:r w:rsidR="00B64CF2">
              <w:rPr>
                <w:rFonts w:eastAsia="Times New Roman" w:cs="Arial"/>
                <w:color w:val="000000"/>
                <w:szCs w:val="24"/>
              </w:rPr>
              <w:t>6</w:t>
            </w:r>
            <w:r w:rsidRPr="00BD7C21">
              <w:rPr>
                <w:rFonts w:eastAsia="Times New Roman" w:cs="Arial"/>
                <w:color w:val="000000"/>
                <w:szCs w:val="24"/>
              </w:rPr>
              <w:t xml:space="preserve"> </w:t>
            </w:r>
          </w:p>
        </w:tc>
      </w:tr>
      <w:tr w:rsidRPr="00BD7C21" w:rsidR="00BD7C21" w:rsidTr="00BD7C21" w14:paraId="57C73A81" w14:textId="77777777">
        <w:trPr>
          <w:trHeight w:val="6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03F33858" w14:textId="37987C8E">
            <w:pPr>
              <w:spacing w:after="0" w:line="240" w:lineRule="auto"/>
              <w:rPr>
                <w:rFonts w:eastAsia="Times New Roman" w:cs="Arial"/>
                <w:color w:val="000000"/>
                <w:szCs w:val="24"/>
              </w:rPr>
            </w:pPr>
            <w:r w:rsidRPr="00BD7C21">
              <w:rPr>
                <w:rFonts w:eastAsia="Times New Roman" w:cs="Arial"/>
                <w:color w:val="000000"/>
                <w:szCs w:val="24"/>
              </w:rPr>
              <w:t xml:space="preserve">Storage and </w:t>
            </w:r>
            <w:r>
              <w:rPr>
                <w:rFonts w:eastAsia="Times New Roman" w:cs="Arial"/>
                <w:color w:val="000000"/>
                <w:szCs w:val="24"/>
              </w:rPr>
              <w:t>d</w:t>
            </w:r>
            <w:r w:rsidRPr="00BD7C21">
              <w:rPr>
                <w:rFonts w:eastAsia="Times New Roman" w:cs="Arial"/>
                <w:color w:val="000000"/>
                <w:szCs w:val="24"/>
              </w:rPr>
              <w:t>istribution</w:t>
            </w:r>
          </w:p>
        </w:tc>
        <w:tc>
          <w:tcPr>
            <w:tcW w:w="96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24C53D8B" w14:textId="77777777">
            <w:pPr>
              <w:spacing w:after="0" w:line="240" w:lineRule="auto"/>
              <w:jc w:val="right"/>
              <w:rPr>
                <w:rFonts w:eastAsia="Times New Roman" w:cs="Arial"/>
                <w:color w:val="000000"/>
                <w:szCs w:val="24"/>
              </w:rPr>
            </w:pPr>
            <w:r w:rsidRPr="00BD7C21">
              <w:rPr>
                <w:rFonts w:eastAsia="Times New Roman" w:cs="Arial"/>
                <w:color w:val="000000"/>
                <w:szCs w:val="24"/>
              </w:rPr>
              <w:t>0.1</w:t>
            </w:r>
          </w:p>
        </w:tc>
        <w:tc>
          <w:tcPr>
            <w:tcW w:w="118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3DD6D277" w14:textId="77777777">
            <w:pPr>
              <w:spacing w:after="0" w:line="240" w:lineRule="auto"/>
              <w:jc w:val="right"/>
              <w:rPr>
                <w:rFonts w:eastAsia="Times New Roman" w:cs="Arial"/>
                <w:color w:val="000000"/>
                <w:szCs w:val="24"/>
              </w:rPr>
            </w:pPr>
            <w:r w:rsidRPr="00BD7C21">
              <w:rPr>
                <w:rFonts w:eastAsia="Times New Roman" w:cs="Arial"/>
                <w:color w:val="000000"/>
                <w:szCs w:val="24"/>
              </w:rPr>
              <w:t>208</w:t>
            </w:r>
          </w:p>
        </w:tc>
        <w:tc>
          <w:tcPr>
            <w:tcW w:w="190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7554F851" w14:textId="1B88E8B6">
            <w:pPr>
              <w:spacing w:after="0" w:line="240" w:lineRule="auto"/>
              <w:jc w:val="right"/>
              <w:rPr>
                <w:rFonts w:eastAsia="Times New Roman" w:cs="Arial"/>
                <w:color w:val="000000"/>
                <w:szCs w:val="24"/>
              </w:rPr>
            </w:pPr>
            <w:r w:rsidRPr="00BD7C21">
              <w:rPr>
                <w:rFonts w:eastAsia="Times New Roman" w:cs="Arial"/>
                <w:color w:val="000000"/>
                <w:szCs w:val="24"/>
              </w:rPr>
              <w:t>$17,09</w:t>
            </w:r>
            <w:r w:rsidR="00B64CF2">
              <w:rPr>
                <w:rFonts w:eastAsia="Times New Roman" w:cs="Arial"/>
                <w:color w:val="000000"/>
                <w:szCs w:val="24"/>
              </w:rPr>
              <w:t>3</w:t>
            </w:r>
            <w:r w:rsidRPr="00BD7C21">
              <w:rPr>
                <w:rFonts w:eastAsia="Times New Roman" w:cs="Arial"/>
                <w:color w:val="000000"/>
                <w:szCs w:val="24"/>
              </w:rPr>
              <w:t xml:space="preserve"> </w:t>
            </w:r>
          </w:p>
        </w:tc>
      </w:tr>
      <w:tr w:rsidRPr="00BD7C21" w:rsidR="00BD7C21" w:rsidTr="00BD7C21" w14:paraId="1B087976" w14:textId="77777777">
        <w:trPr>
          <w:trHeight w:val="6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111C431A" w14:textId="77777777">
            <w:pPr>
              <w:spacing w:after="0" w:line="240" w:lineRule="auto"/>
              <w:rPr>
                <w:rFonts w:eastAsia="Times New Roman" w:cs="Arial"/>
                <w:color w:val="000000"/>
                <w:szCs w:val="24"/>
              </w:rPr>
            </w:pPr>
            <w:r w:rsidRPr="00BD7C21">
              <w:rPr>
                <w:rFonts w:eastAsia="Times New Roman" w:cs="Arial"/>
                <w:color w:val="000000"/>
                <w:szCs w:val="24"/>
              </w:rPr>
              <w:t>Compliance monitoring</w:t>
            </w:r>
          </w:p>
        </w:tc>
        <w:tc>
          <w:tcPr>
            <w:tcW w:w="96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044706EE" w14:textId="77777777">
            <w:pPr>
              <w:spacing w:after="0" w:line="240" w:lineRule="auto"/>
              <w:jc w:val="right"/>
              <w:rPr>
                <w:rFonts w:eastAsia="Times New Roman" w:cs="Arial"/>
                <w:color w:val="000000"/>
                <w:szCs w:val="24"/>
              </w:rPr>
            </w:pPr>
            <w:r w:rsidRPr="00BD7C21">
              <w:rPr>
                <w:rFonts w:eastAsia="Times New Roman" w:cs="Arial"/>
                <w:color w:val="000000"/>
                <w:szCs w:val="24"/>
              </w:rPr>
              <w:t>0.1</w:t>
            </w:r>
          </w:p>
        </w:tc>
        <w:tc>
          <w:tcPr>
            <w:tcW w:w="118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33E17AB4" w14:textId="77777777">
            <w:pPr>
              <w:spacing w:after="0" w:line="240" w:lineRule="auto"/>
              <w:jc w:val="right"/>
              <w:rPr>
                <w:rFonts w:eastAsia="Times New Roman" w:cs="Arial"/>
                <w:color w:val="000000"/>
                <w:szCs w:val="24"/>
              </w:rPr>
            </w:pPr>
            <w:r w:rsidRPr="00BD7C21">
              <w:rPr>
                <w:rFonts w:eastAsia="Times New Roman" w:cs="Arial"/>
                <w:color w:val="000000"/>
                <w:szCs w:val="24"/>
              </w:rPr>
              <w:t>208</w:t>
            </w:r>
          </w:p>
        </w:tc>
        <w:tc>
          <w:tcPr>
            <w:tcW w:w="190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6C2D259A" w14:textId="325C6AC5">
            <w:pPr>
              <w:spacing w:after="0" w:line="240" w:lineRule="auto"/>
              <w:jc w:val="right"/>
              <w:rPr>
                <w:rFonts w:eastAsia="Times New Roman" w:cs="Arial"/>
                <w:color w:val="000000"/>
                <w:szCs w:val="24"/>
              </w:rPr>
            </w:pPr>
            <w:r w:rsidRPr="00BD7C21">
              <w:rPr>
                <w:rFonts w:eastAsia="Times New Roman" w:cs="Arial"/>
                <w:color w:val="000000"/>
                <w:szCs w:val="24"/>
              </w:rPr>
              <w:t>$17,09</w:t>
            </w:r>
            <w:r w:rsidR="00B64CF2">
              <w:rPr>
                <w:rFonts w:eastAsia="Times New Roman" w:cs="Arial"/>
                <w:color w:val="000000"/>
                <w:szCs w:val="24"/>
              </w:rPr>
              <w:t>3</w:t>
            </w:r>
            <w:r w:rsidRPr="00BD7C21">
              <w:rPr>
                <w:rFonts w:eastAsia="Times New Roman" w:cs="Arial"/>
                <w:color w:val="000000"/>
                <w:szCs w:val="24"/>
              </w:rPr>
              <w:t xml:space="preserve"> </w:t>
            </w:r>
          </w:p>
        </w:tc>
      </w:tr>
      <w:tr w:rsidRPr="00BD7C21" w:rsidR="00BD7C21" w:rsidTr="00BD7C21" w14:paraId="342B3326" w14:textId="77777777">
        <w:trPr>
          <w:trHeight w:val="600"/>
        </w:trPr>
        <w:tc>
          <w:tcPr>
            <w:tcW w:w="3960" w:type="dxa"/>
            <w:tcBorders>
              <w:top w:val="nil"/>
              <w:left w:val="single" w:color="auto" w:sz="8" w:space="0"/>
              <w:bottom w:val="single" w:color="auto" w:sz="8" w:space="0"/>
              <w:right w:val="single" w:color="auto" w:sz="8" w:space="0"/>
            </w:tcBorders>
            <w:shd w:val="clear" w:color="auto" w:fill="auto"/>
            <w:vAlign w:val="center"/>
            <w:hideMark/>
          </w:tcPr>
          <w:p w:rsidRPr="00BD7C21" w:rsidR="00BD7C21" w:rsidP="00BD7C21" w:rsidRDefault="00BD7C21" w14:paraId="2F2868BA" w14:textId="77777777">
            <w:pPr>
              <w:spacing w:after="0" w:line="240" w:lineRule="auto"/>
              <w:rPr>
                <w:rFonts w:eastAsia="Times New Roman" w:cs="Arial"/>
                <w:b/>
                <w:bCs/>
                <w:color w:val="000000"/>
                <w:szCs w:val="24"/>
              </w:rPr>
            </w:pPr>
            <w:r w:rsidRPr="00BD7C21">
              <w:rPr>
                <w:rFonts w:eastAsia="Times New Roman" w:cs="Arial"/>
                <w:b/>
                <w:bCs/>
                <w:color w:val="000000"/>
                <w:szCs w:val="24"/>
              </w:rPr>
              <w:t>Total</w:t>
            </w:r>
          </w:p>
        </w:tc>
        <w:tc>
          <w:tcPr>
            <w:tcW w:w="96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3C467EA3" w14:textId="77777777">
            <w:pPr>
              <w:spacing w:after="0" w:line="240" w:lineRule="auto"/>
              <w:jc w:val="right"/>
              <w:rPr>
                <w:rFonts w:eastAsia="Times New Roman" w:cs="Arial"/>
                <w:b/>
                <w:bCs/>
                <w:color w:val="000000"/>
                <w:szCs w:val="24"/>
              </w:rPr>
            </w:pPr>
            <w:r w:rsidRPr="00BD7C21">
              <w:rPr>
                <w:rFonts w:eastAsia="Times New Roman" w:cs="Arial"/>
                <w:b/>
                <w:bCs/>
                <w:color w:val="000000"/>
                <w:szCs w:val="24"/>
              </w:rPr>
              <w:t>0.5</w:t>
            </w:r>
          </w:p>
        </w:tc>
        <w:tc>
          <w:tcPr>
            <w:tcW w:w="118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77750F99" w14:textId="0D8FEEB0">
            <w:pPr>
              <w:spacing w:after="0" w:line="240" w:lineRule="auto"/>
              <w:jc w:val="right"/>
              <w:rPr>
                <w:rFonts w:eastAsia="Times New Roman" w:cs="Arial"/>
                <w:b/>
                <w:bCs/>
                <w:color w:val="000000"/>
                <w:szCs w:val="24"/>
              </w:rPr>
            </w:pPr>
            <w:r w:rsidRPr="00BD7C21">
              <w:rPr>
                <w:rFonts w:eastAsia="Times New Roman" w:cs="Arial"/>
                <w:b/>
                <w:bCs/>
                <w:color w:val="000000"/>
                <w:szCs w:val="24"/>
              </w:rPr>
              <w:t xml:space="preserve">     1,040 </w:t>
            </w:r>
          </w:p>
        </w:tc>
        <w:tc>
          <w:tcPr>
            <w:tcW w:w="1900" w:type="dxa"/>
            <w:tcBorders>
              <w:top w:val="nil"/>
              <w:left w:val="nil"/>
              <w:bottom w:val="single" w:color="auto" w:sz="8" w:space="0"/>
              <w:right w:val="single" w:color="auto" w:sz="8" w:space="0"/>
            </w:tcBorders>
            <w:shd w:val="clear" w:color="auto" w:fill="auto"/>
            <w:vAlign w:val="center"/>
            <w:hideMark/>
          </w:tcPr>
          <w:p w:rsidRPr="00BD7C21" w:rsidR="00BD7C21" w:rsidP="00BD7C21" w:rsidRDefault="00BD7C21" w14:paraId="60E45F5C" w14:textId="1CFC3502">
            <w:pPr>
              <w:spacing w:after="0" w:line="240" w:lineRule="auto"/>
              <w:jc w:val="right"/>
              <w:rPr>
                <w:rFonts w:eastAsia="Times New Roman" w:cs="Arial"/>
                <w:b/>
                <w:bCs/>
                <w:color w:val="000000"/>
                <w:szCs w:val="24"/>
              </w:rPr>
            </w:pPr>
            <w:r w:rsidRPr="00BD7C21">
              <w:rPr>
                <w:rFonts w:eastAsia="Times New Roman" w:cs="Arial"/>
                <w:b/>
                <w:bCs/>
                <w:color w:val="000000"/>
                <w:szCs w:val="24"/>
              </w:rPr>
              <w:t>$85,46</w:t>
            </w:r>
            <w:r w:rsidR="00B64CF2">
              <w:rPr>
                <w:rFonts w:eastAsia="Times New Roman" w:cs="Arial"/>
                <w:b/>
                <w:bCs/>
                <w:color w:val="000000"/>
                <w:szCs w:val="24"/>
              </w:rPr>
              <w:t>5</w:t>
            </w:r>
            <w:r w:rsidRPr="00BD7C21">
              <w:rPr>
                <w:rFonts w:eastAsia="Times New Roman" w:cs="Arial"/>
                <w:b/>
                <w:bCs/>
                <w:color w:val="000000"/>
                <w:szCs w:val="24"/>
              </w:rPr>
              <w:t xml:space="preserve"> </w:t>
            </w:r>
          </w:p>
        </w:tc>
      </w:tr>
    </w:tbl>
    <w:p w:rsidRPr="001F49CF" w:rsidR="00FD6FF1" w:rsidP="001F49CF" w:rsidRDefault="00FD6FF1" w14:paraId="0032B4B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p>
    <w:p w:rsidRPr="001F49CF" w:rsidR="00A234F1" w:rsidP="0D9769CB" w:rsidRDefault="00FD6FF1" w14:paraId="6FC63BA9" w14:textId="449725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r w:rsidRPr="0D9769CB">
        <w:rPr>
          <w:rFonts w:cs="Arial"/>
        </w:rPr>
        <w:t>The OPPT bases its burden hour and labor cost estimates on prior experience in gathering and processing information associated with other information collections. Because these activities involve a team approach, the Agency has used a composite burden hour estimate containing workers at various GS levels and calculated hourly costs based upon the wage rate for a GS-12 Step 1 employee</w:t>
      </w:r>
      <w:r w:rsidRPr="0D9769CB" w:rsidR="00844814">
        <w:rPr>
          <w:rFonts w:cs="Arial"/>
        </w:rPr>
        <w:t xml:space="preserve"> (</w:t>
      </w:r>
      <w:r w:rsidRPr="0D9769CB" w:rsidR="00594EFF">
        <w:rPr>
          <w:rFonts w:cs="Arial"/>
        </w:rPr>
        <w:t>Table 17</w:t>
      </w:r>
      <w:r w:rsidRPr="0D9769CB" w:rsidR="00844814">
        <w:rPr>
          <w:rFonts w:cs="Arial"/>
        </w:rPr>
        <w:t>)</w:t>
      </w:r>
      <w:r w:rsidRPr="0D9769CB">
        <w:rPr>
          <w:rFonts w:cs="Arial"/>
        </w:rPr>
        <w:t>. The full-time work year is considered 2,080</w:t>
      </w:r>
      <w:r w:rsidRPr="0D9769CB" w:rsidR="0088236C">
        <w:rPr>
          <w:rFonts w:cs="Arial"/>
        </w:rPr>
        <w:t xml:space="preserve"> hours</w:t>
      </w:r>
      <w:r w:rsidRPr="0D9769CB">
        <w:rPr>
          <w:rFonts w:cs="Arial"/>
        </w:rPr>
        <w:t>, so there are 1,040 burden hours associated with 0.5 FTE</w:t>
      </w:r>
      <w:r w:rsidRPr="0D9769CB" w:rsidR="001067D9">
        <w:rPr>
          <w:rFonts w:cs="Arial"/>
        </w:rPr>
        <w:t xml:space="preserve"> at a cost of $85,46</w:t>
      </w:r>
      <w:r w:rsidRPr="0D9769CB" w:rsidR="00B64CF2">
        <w:rPr>
          <w:rFonts w:cs="Arial"/>
        </w:rPr>
        <w:t>5</w:t>
      </w:r>
      <w:r w:rsidRPr="0D9769CB">
        <w:rPr>
          <w:rFonts w:cs="Arial"/>
        </w:rPr>
        <w:t>.</w:t>
      </w:r>
    </w:p>
    <w:p w:rsidRPr="009C2235" w:rsidR="00A234F1" w:rsidP="001F49CF" w:rsidRDefault="00A234F1" w14:paraId="61364300" w14:textId="77777777">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Cs w:val="24"/>
        </w:rPr>
      </w:pPr>
      <w:r w:rsidRPr="009C2235">
        <w:rPr>
          <w:rFonts w:cs="Arial"/>
          <w:b/>
          <w:szCs w:val="24"/>
        </w:rPr>
        <w:t>Recordkeeping and Reporting Requirements for Allegations of Significant Adverse Reactions to Human Health or the Environment</w:t>
      </w:r>
    </w:p>
    <w:p w:rsidRPr="001F49CF" w:rsidR="00E07475" w:rsidP="001F49CF" w:rsidRDefault="00E07475" w14:paraId="6F87B386" w14:textId="564972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4"/>
        </w:rPr>
      </w:pPr>
      <w:r w:rsidRPr="001F49CF">
        <w:rPr>
          <w:rFonts w:cs="Arial"/>
          <w:color w:val="000000"/>
          <w:szCs w:val="24"/>
        </w:rPr>
        <w:t>The information collected by employers under 8(c) on employee health effects will involve the following activities</w:t>
      </w:r>
      <w:r w:rsidRPr="001F49CF" w:rsidR="00A234F1">
        <w:rPr>
          <w:rFonts w:cs="Arial"/>
          <w:color w:val="000000"/>
          <w:szCs w:val="24"/>
        </w:rPr>
        <w:t xml:space="preserve">: </w:t>
      </w:r>
    </w:p>
    <w:p w:rsidRPr="001F49CF" w:rsidR="00E07475" w:rsidP="001F49CF" w:rsidRDefault="00E07475" w14:paraId="2C9B61C0" w14:textId="77777777">
      <w:pPr>
        <w:pStyle w:val="ListParagraph"/>
        <w:widowControl w:val="0"/>
        <w:numPr>
          <w:ilvl w:val="0"/>
          <w:numId w:val="14"/>
        </w:numPr>
        <w:rPr>
          <w:rFonts w:cs="Arial"/>
          <w:color w:val="000000"/>
          <w:szCs w:val="24"/>
        </w:rPr>
      </w:pPr>
      <w:r w:rsidRPr="001F49CF">
        <w:rPr>
          <w:rFonts w:cs="Arial"/>
          <w:color w:val="000000"/>
          <w:szCs w:val="24"/>
        </w:rPr>
        <w:t>Monitoring recordkeeping by employer.</w:t>
      </w:r>
    </w:p>
    <w:p w:rsidRPr="001F49CF" w:rsidR="00E07475" w:rsidP="001F49CF" w:rsidRDefault="00E07475" w14:paraId="6001C7D5" w14:textId="77777777">
      <w:pPr>
        <w:pStyle w:val="ListParagraph"/>
        <w:widowControl w:val="0"/>
        <w:numPr>
          <w:ilvl w:val="0"/>
          <w:numId w:val="14"/>
        </w:numPr>
        <w:rPr>
          <w:rFonts w:cs="Arial"/>
          <w:color w:val="000000"/>
          <w:szCs w:val="24"/>
        </w:rPr>
      </w:pPr>
      <w:r w:rsidRPr="001F49CF">
        <w:rPr>
          <w:rFonts w:cs="Arial"/>
          <w:color w:val="000000"/>
          <w:szCs w:val="24"/>
        </w:rPr>
        <w:t>Initiating requests that employer report employee health effects.</w:t>
      </w:r>
    </w:p>
    <w:p w:rsidRPr="001F49CF" w:rsidR="00E07475" w:rsidP="001F49CF" w:rsidRDefault="00E07475" w14:paraId="3F5C225A" w14:textId="77777777">
      <w:pPr>
        <w:pStyle w:val="ListParagraph"/>
        <w:widowControl w:val="0"/>
        <w:numPr>
          <w:ilvl w:val="0"/>
          <w:numId w:val="14"/>
        </w:numPr>
        <w:rPr>
          <w:rFonts w:cs="Arial"/>
          <w:color w:val="000000"/>
          <w:szCs w:val="24"/>
        </w:rPr>
      </w:pPr>
      <w:r w:rsidRPr="001F49CF">
        <w:rPr>
          <w:rFonts w:cs="Arial"/>
          <w:color w:val="000000"/>
          <w:szCs w:val="24"/>
        </w:rPr>
        <w:t>Reviewing responses of employer to EPA’s requests.</w:t>
      </w:r>
    </w:p>
    <w:p w:rsidRPr="001F49CF" w:rsidR="00E07475" w:rsidP="001F49CF" w:rsidRDefault="00E07475" w14:paraId="4C9EA6B8" w14:textId="77777777">
      <w:pPr>
        <w:pStyle w:val="ListParagraph"/>
        <w:widowControl w:val="0"/>
        <w:numPr>
          <w:ilvl w:val="0"/>
          <w:numId w:val="14"/>
        </w:numPr>
        <w:rPr>
          <w:rFonts w:cs="Arial"/>
          <w:color w:val="000000"/>
          <w:szCs w:val="24"/>
        </w:rPr>
      </w:pPr>
      <w:r w:rsidRPr="001F49CF">
        <w:rPr>
          <w:rFonts w:cs="Arial"/>
          <w:color w:val="000000"/>
          <w:szCs w:val="24"/>
        </w:rPr>
        <w:t>Logging in submissions and reviewing them for confidentiality considerations.</w:t>
      </w:r>
    </w:p>
    <w:p w:rsidRPr="001F49CF" w:rsidR="00E07475" w:rsidP="001F49CF" w:rsidRDefault="00E07475" w14:paraId="7D6EBA61" w14:textId="77777777">
      <w:pPr>
        <w:pStyle w:val="ListParagraph"/>
        <w:widowControl w:val="0"/>
        <w:numPr>
          <w:ilvl w:val="0"/>
          <w:numId w:val="14"/>
        </w:numPr>
        <w:rPr>
          <w:rFonts w:cs="Arial"/>
          <w:color w:val="000000"/>
          <w:szCs w:val="24"/>
        </w:rPr>
      </w:pPr>
      <w:r w:rsidRPr="001F49CF">
        <w:rPr>
          <w:rFonts w:cs="Arial"/>
          <w:color w:val="000000"/>
          <w:szCs w:val="24"/>
        </w:rPr>
        <w:t>Making copies of submissions available to offices within OPPT that are assessing the substances of concern.</w:t>
      </w:r>
    </w:p>
    <w:p w:rsidRPr="001F49CF" w:rsidR="00E07475" w:rsidP="001F49CF" w:rsidRDefault="00E07475" w14:paraId="1BF11DC4" w14:textId="77777777">
      <w:pPr>
        <w:pStyle w:val="ListParagraph"/>
        <w:numPr>
          <w:ilvl w:val="0"/>
          <w:numId w:val="14"/>
        </w:numPr>
        <w:tabs>
          <w:tab w:val="left" w:pos="1080"/>
        </w:tabs>
        <w:rPr>
          <w:rFonts w:cs="Arial"/>
          <w:szCs w:val="24"/>
        </w:rPr>
      </w:pPr>
      <w:r w:rsidRPr="001F49CF">
        <w:rPr>
          <w:rFonts w:cs="Arial"/>
          <w:color w:val="000000"/>
          <w:szCs w:val="24"/>
        </w:rPr>
        <w:t>Placing non-confidential versions of the submissions in a public docket and making them available for review by other government agencies and the public.</w:t>
      </w:r>
      <w:r w:rsidRPr="001F49CF">
        <w:rPr>
          <w:rFonts w:cs="Arial"/>
          <w:szCs w:val="24"/>
        </w:rPr>
        <w:t xml:space="preserve"> </w:t>
      </w:r>
    </w:p>
    <w:p w:rsidRPr="001F49CF" w:rsidR="005C3BF0" w:rsidP="001F49CF" w:rsidRDefault="005C3BF0" w14:paraId="2754BDA8" w14:textId="473E2EDE">
      <w:pPr>
        <w:rPr>
          <w:rFonts w:cs="Arial"/>
          <w:szCs w:val="24"/>
        </w:rPr>
      </w:pPr>
      <w:r w:rsidRPr="001F49CF">
        <w:rPr>
          <w:rFonts w:cs="Arial"/>
          <w:szCs w:val="24"/>
        </w:rPr>
        <w:t>The total annual cost to EPA for TSCA section 8(c) for each of the three years covered by this ICR is estimated to be $</w:t>
      </w:r>
      <w:r w:rsidRPr="001F49CF">
        <w:rPr>
          <w:rFonts w:cs="Arial"/>
          <w:bCs/>
          <w:color w:val="000000"/>
          <w:szCs w:val="24"/>
        </w:rPr>
        <w:t>90,208</w:t>
      </w:r>
      <w:r w:rsidRPr="001F49CF">
        <w:rPr>
          <w:rFonts w:cs="Arial"/>
          <w:szCs w:val="24"/>
        </w:rPr>
        <w:t>.  This figure is based on activities identified in the 1986 and 1989 ICRs.  Costs are estimated based on wages for GS-15 Step 1, GS-13</w:t>
      </w:r>
      <w:r w:rsidR="000274F6">
        <w:rPr>
          <w:rFonts w:cs="Arial"/>
          <w:szCs w:val="24"/>
        </w:rPr>
        <w:t xml:space="preserve"> </w:t>
      </w:r>
      <w:r w:rsidRPr="001F49CF">
        <w:rPr>
          <w:rFonts w:cs="Arial"/>
          <w:szCs w:val="24"/>
        </w:rPr>
        <w:t>Step 1, and GS-12 Step 1 employees</w:t>
      </w:r>
      <w:r w:rsidR="00F00614">
        <w:rPr>
          <w:rFonts w:cs="Arial"/>
          <w:szCs w:val="24"/>
        </w:rPr>
        <w:t xml:space="preserve"> shown in </w:t>
      </w:r>
      <w:r w:rsidR="00CD44D9">
        <w:rPr>
          <w:rFonts w:cs="Arial"/>
          <w:szCs w:val="24"/>
        </w:rPr>
        <w:fldChar w:fldCharType="begin"/>
      </w:r>
      <w:r w:rsidR="00CD44D9">
        <w:rPr>
          <w:rFonts w:cs="Arial"/>
          <w:szCs w:val="24"/>
        </w:rPr>
        <w:instrText xml:space="preserve"> REF _Ref94265890 \h </w:instrText>
      </w:r>
      <w:r w:rsidR="00CD44D9">
        <w:rPr>
          <w:rFonts w:cs="Arial"/>
          <w:szCs w:val="24"/>
        </w:rPr>
      </w:r>
      <w:r w:rsidR="00CD44D9">
        <w:rPr>
          <w:rFonts w:cs="Arial"/>
          <w:szCs w:val="24"/>
        </w:rPr>
        <w:fldChar w:fldCharType="separate"/>
      </w:r>
      <w:r w:rsidR="00AD2856">
        <w:t xml:space="preserve">Table </w:t>
      </w:r>
      <w:r w:rsidR="00AD2856">
        <w:rPr>
          <w:noProof/>
        </w:rPr>
        <w:t>14</w:t>
      </w:r>
      <w:r w:rsidR="00CD44D9">
        <w:rPr>
          <w:rFonts w:cs="Arial"/>
          <w:szCs w:val="24"/>
        </w:rPr>
        <w:fldChar w:fldCharType="end"/>
      </w:r>
      <w:r w:rsidRPr="001F49CF">
        <w:rPr>
          <w:rFonts w:cs="Arial"/>
          <w:szCs w:val="24"/>
        </w:rPr>
        <w:t xml:space="preserve">. </w:t>
      </w:r>
    </w:p>
    <w:p w:rsidRPr="001F49CF" w:rsidR="005C3BF0" w:rsidP="001F49CF" w:rsidRDefault="005C3BF0" w14:paraId="78FC94D1" w14:textId="77777777">
      <w:pPr>
        <w:keepNext/>
        <w:numPr>
          <w:ilvl w:val="12"/>
          <w:numId w:val="0"/>
        </w:numPr>
        <w:rPr>
          <w:rFonts w:cs="Arial"/>
          <w:szCs w:val="24"/>
        </w:rPr>
      </w:pPr>
      <w:r w:rsidRPr="001F49CF">
        <w:rPr>
          <w:rFonts w:cs="Arial"/>
          <w:szCs w:val="24"/>
        </w:rPr>
        <w:t xml:space="preserve">Annual costs to EPA associated with the recordkeeping portion of the rule include general administration of the rule, education and outreach activities, and compliance monitoring.  Costs associated with reporting involve preparation of reporting notices, </w:t>
      </w:r>
      <w:r w:rsidRPr="008A61D0">
        <w:rPr>
          <w:rFonts w:cs="Arial"/>
          <w:szCs w:val="24"/>
        </w:rPr>
        <w:t>Federal Register</w:t>
      </w:r>
      <w:r w:rsidRPr="001F49CF">
        <w:rPr>
          <w:rFonts w:cs="Arial"/>
          <w:szCs w:val="24"/>
        </w:rPr>
        <w:t xml:space="preserve"> printing costs, document control, and document review.  Annual costs to EPA are derived based on an analysis of the cost of performing these various activities.  The various factors that contribute to EPA costs include:</w:t>
      </w:r>
    </w:p>
    <w:p w:rsidRPr="001F49CF" w:rsidR="005C3BF0" w:rsidP="001F49CF" w:rsidRDefault="005C3BF0" w14:paraId="0CE61E60" w14:textId="77777777">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Each year, general administration of the rule involves approximately one-tenth of a staff specialist’s time plus approximately one week’s time each for two management personnel at the branch, division and OPPT Office Director’s level.</w:t>
      </w:r>
    </w:p>
    <w:p w:rsidRPr="001F49CF" w:rsidR="005C3BF0" w:rsidP="001F49CF" w:rsidRDefault="005C3BF0" w14:paraId="7327F382" w14:textId="77777777">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Education and outreach activities will include ongoing rule support.</w:t>
      </w:r>
    </w:p>
    <w:p w:rsidRPr="001F49CF" w:rsidR="005C3BF0" w:rsidP="001F49CF" w:rsidRDefault="005C3BF0" w14:paraId="5EB5A9A0" w14:textId="77777777">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Compliance monitoring costs primarily involve the costs of the TSCA section 8(c) portion of inspection carried out by regional personnel and other administrative costs for headquarters personnel to target and review results of such inspections.</w:t>
      </w:r>
    </w:p>
    <w:p w:rsidRPr="001F49CF" w:rsidR="005C3BF0" w:rsidP="001F49CF" w:rsidRDefault="005C3BF0" w14:paraId="7A395270" w14:textId="09730F75">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 xml:space="preserve">To date, a total of only 31 reports have been received.  Based on historical data, over the life of the rule an average of only 0.08 notices have been issued per year and an average of only 1.3 reports received. EPA expects that reporting activity under TSCA section 8(c) will remain at low levels during the period covered by this ICR renewal. EPA costs associated with reporting have been adjusted to reflect this large decrease in the level of expected activity.  Labor involved in developing the reporting notices will require decision meetings and either the development of letters, separate </w:t>
      </w:r>
      <w:r w:rsidRPr="008A61D0">
        <w:rPr>
          <w:rFonts w:ascii="Arial" w:hAnsi="Arial" w:cs="Arial"/>
        </w:rPr>
        <w:t>Federal Register</w:t>
      </w:r>
      <w:r w:rsidRPr="001F49CF">
        <w:rPr>
          <w:rFonts w:ascii="Arial" w:hAnsi="Arial" w:cs="Arial"/>
        </w:rPr>
        <w:t xml:space="preserve"> notices, or the insertion of boilerplate segments in other rule preambles.</w:t>
      </w:r>
    </w:p>
    <w:p w:rsidRPr="001F49CF" w:rsidR="005C3BF0" w:rsidP="001F49CF" w:rsidRDefault="005C3BF0" w14:paraId="041C816F" w14:textId="77777777">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Time will be required to process submissions based upon reporting requirements and to review them for confidentiality considerations.</w:t>
      </w:r>
    </w:p>
    <w:p w:rsidR="005C3BF0" w:rsidP="001F49CF" w:rsidRDefault="005C3BF0" w14:paraId="549E44C8" w14:textId="651E9C25">
      <w:pPr>
        <w:pStyle w:val="Level1"/>
        <w:numPr>
          <w:ilvl w:val="0"/>
          <w:numId w:val="23"/>
        </w:numPr>
        <w:tabs>
          <w:tab w:val="left" w:pos="720"/>
        </w:tabs>
        <w:spacing w:after="200" w:line="276" w:lineRule="auto"/>
        <w:jc w:val="left"/>
        <w:rPr>
          <w:rFonts w:ascii="Arial" w:hAnsi="Arial" w:cs="Arial"/>
        </w:rPr>
      </w:pPr>
      <w:r w:rsidRPr="001F49CF">
        <w:rPr>
          <w:rFonts w:ascii="Arial" w:hAnsi="Arial" w:cs="Arial"/>
        </w:rPr>
        <w:t xml:space="preserve">The </w:t>
      </w:r>
      <w:r w:rsidRPr="008A61D0">
        <w:rPr>
          <w:rFonts w:ascii="Arial" w:hAnsi="Arial" w:cs="Arial"/>
        </w:rPr>
        <w:t>Federal Register</w:t>
      </w:r>
      <w:r w:rsidRPr="001F49CF">
        <w:rPr>
          <w:rFonts w:ascii="Arial" w:hAnsi="Arial" w:cs="Arial"/>
        </w:rPr>
        <w:t xml:space="preserve"> notices will be reviewed by the office directly requesting the information as well as by OPPT.</w:t>
      </w:r>
    </w:p>
    <w:p w:rsidRPr="001067D9" w:rsidR="001067D9" w:rsidP="001407A1" w:rsidRDefault="001407A1" w14:paraId="62591B52" w14:textId="1E24A132">
      <w:pPr>
        <w:pStyle w:val="Level1"/>
        <w:tabs>
          <w:tab w:val="left" w:pos="720"/>
        </w:tabs>
        <w:spacing w:after="200" w:line="276" w:lineRule="auto"/>
        <w:ind w:left="0"/>
        <w:jc w:val="left"/>
        <w:rPr>
          <w:rFonts w:ascii="Arial" w:hAnsi="Arial" w:cs="Arial"/>
        </w:rPr>
      </w:pPr>
      <w:r>
        <w:rPr>
          <w:rFonts w:ascii="Arial" w:hAnsi="Arial" w:cs="Arial"/>
        </w:rPr>
        <w:t>Table 18</w:t>
      </w:r>
      <w:r w:rsidR="001C426B">
        <w:rPr>
          <w:rFonts w:ascii="Arial" w:hAnsi="Arial" w:cs="Arial"/>
        </w:rPr>
        <w:t xml:space="preserve"> </w:t>
      </w:r>
      <w:r w:rsidR="001067D9">
        <w:rPr>
          <w:rFonts w:ascii="Arial" w:hAnsi="Arial" w:cs="Arial"/>
        </w:rPr>
        <w:t>presents a summary of Agency annual burden and costs with burden totaling as 1,258 hours with an annual cost of $110,</w:t>
      </w:r>
      <w:r w:rsidR="006C7B98">
        <w:rPr>
          <w:rFonts w:ascii="Arial" w:hAnsi="Arial" w:cs="Arial"/>
        </w:rPr>
        <w:t>903</w:t>
      </w:r>
      <w:r w:rsidR="001067D9">
        <w:rPr>
          <w:rFonts w:ascii="Arial" w:hAnsi="Arial" w:cs="Arial"/>
        </w:rPr>
        <w:t>.</w:t>
      </w:r>
    </w:p>
    <w:p w:rsidRPr="009A4693" w:rsidR="008C3F17" w:rsidP="002D1104" w:rsidRDefault="008C3F17" w14:paraId="17579016" w14:textId="33A01945">
      <w:pPr>
        <w:pStyle w:val="Caption"/>
        <w:rPr>
          <w:szCs w:val="24"/>
        </w:rPr>
      </w:pPr>
      <w:bookmarkStart w:name="_Ref95925911" w:id="46"/>
      <w:r>
        <w:t xml:space="preserve">Table </w:t>
      </w:r>
      <w:bookmarkEnd w:id="46"/>
      <w:r w:rsidR="001C426B">
        <w:t>18</w:t>
      </w:r>
      <w:r>
        <w:t xml:space="preserve">. Agency Annual Burden and Cost Estimates for TSCA </w:t>
      </w:r>
      <w:r w:rsidR="001067D9">
        <w:t>S</w:t>
      </w:r>
      <w:r>
        <w:t>ection 8(c)</w:t>
      </w:r>
    </w:p>
    <w:tbl>
      <w:tblPr>
        <w:tblW w:w="9480" w:type="dxa"/>
        <w:tblInd w:w="5" w:type="dxa"/>
        <w:tblLook w:val="04A0" w:firstRow="1" w:lastRow="0" w:firstColumn="1" w:lastColumn="0" w:noHBand="0" w:noVBand="1"/>
      </w:tblPr>
      <w:tblGrid>
        <w:gridCol w:w="4645"/>
        <w:gridCol w:w="2344"/>
        <w:gridCol w:w="1056"/>
        <w:gridCol w:w="1435"/>
      </w:tblGrid>
      <w:tr w:rsidRPr="001067D9" w:rsidR="001067D9" w:rsidTr="001067D9" w14:paraId="5E95A3FE" w14:textId="77777777">
        <w:trPr>
          <w:trHeight w:val="636"/>
        </w:trPr>
        <w:tc>
          <w:tcPr>
            <w:tcW w:w="4700" w:type="dxa"/>
            <w:tcBorders>
              <w:top w:val="single" w:color="000000" w:sz="8" w:space="0"/>
              <w:left w:val="single" w:color="000000" w:sz="8" w:space="0"/>
              <w:bottom w:val="nil"/>
              <w:right w:val="nil"/>
            </w:tcBorders>
            <w:shd w:val="clear" w:color="000000" w:fill="D9D9D9"/>
            <w:vAlign w:val="center"/>
            <w:hideMark/>
          </w:tcPr>
          <w:p w:rsidRPr="001067D9" w:rsidR="001067D9" w:rsidP="001067D9" w:rsidRDefault="001067D9" w14:paraId="6A5D2B57" w14:textId="77777777">
            <w:pPr>
              <w:spacing w:after="0" w:line="240" w:lineRule="auto"/>
              <w:jc w:val="center"/>
              <w:rPr>
                <w:rFonts w:eastAsia="Times New Roman" w:cs="Arial"/>
                <w:b/>
                <w:bCs/>
                <w:color w:val="000000"/>
                <w:szCs w:val="24"/>
              </w:rPr>
            </w:pPr>
            <w:r w:rsidRPr="001067D9">
              <w:rPr>
                <w:rFonts w:eastAsia="Times New Roman" w:cs="Arial"/>
                <w:b/>
                <w:bCs/>
                <w:color w:val="000000"/>
                <w:szCs w:val="24"/>
              </w:rPr>
              <w:t>Activity</w:t>
            </w:r>
          </w:p>
        </w:tc>
        <w:tc>
          <w:tcPr>
            <w:tcW w:w="2380" w:type="dxa"/>
            <w:tcBorders>
              <w:top w:val="single" w:color="000000" w:sz="8" w:space="0"/>
              <w:left w:val="single" w:color="000000" w:sz="8" w:space="0"/>
              <w:bottom w:val="nil"/>
              <w:right w:val="single" w:color="000000" w:sz="8" w:space="0"/>
            </w:tcBorders>
            <w:shd w:val="clear" w:color="000000" w:fill="D9D9D9"/>
            <w:vAlign w:val="center"/>
            <w:hideMark/>
          </w:tcPr>
          <w:p w:rsidRPr="001067D9" w:rsidR="001067D9" w:rsidP="001067D9" w:rsidRDefault="001067D9" w14:paraId="135486F1" w14:textId="77777777">
            <w:pPr>
              <w:spacing w:after="0" w:line="240" w:lineRule="auto"/>
              <w:jc w:val="center"/>
              <w:rPr>
                <w:rFonts w:eastAsia="Times New Roman" w:cs="Arial"/>
                <w:b/>
                <w:bCs/>
                <w:color w:val="000000"/>
                <w:szCs w:val="24"/>
              </w:rPr>
            </w:pPr>
            <w:r w:rsidRPr="001067D9">
              <w:rPr>
                <w:rFonts w:eastAsia="Times New Roman" w:cs="Arial"/>
                <w:b/>
                <w:bCs/>
                <w:color w:val="000000"/>
                <w:szCs w:val="24"/>
              </w:rPr>
              <w:t>GS-Level</w:t>
            </w:r>
          </w:p>
        </w:tc>
        <w:tc>
          <w:tcPr>
            <w:tcW w:w="960" w:type="dxa"/>
            <w:tcBorders>
              <w:top w:val="single" w:color="000000" w:sz="8" w:space="0"/>
              <w:left w:val="nil"/>
              <w:bottom w:val="nil"/>
              <w:right w:val="nil"/>
            </w:tcBorders>
            <w:shd w:val="clear" w:color="000000" w:fill="D9D9D9"/>
            <w:vAlign w:val="center"/>
            <w:hideMark/>
          </w:tcPr>
          <w:p w:rsidRPr="001067D9" w:rsidR="001067D9" w:rsidP="001067D9" w:rsidRDefault="001067D9" w14:paraId="2CC99954" w14:textId="77777777">
            <w:pPr>
              <w:spacing w:after="0" w:line="240" w:lineRule="auto"/>
              <w:jc w:val="center"/>
              <w:rPr>
                <w:rFonts w:eastAsia="Times New Roman" w:cs="Arial"/>
                <w:b/>
                <w:bCs/>
                <w:color w:val="000000"/>
                <w:szCs w:val="24"/>
              </w:rPr>
            </w:pPr>
            <w:r w:rsidRPr="001067D9">
              <w:rPr>
                <w:rFonts w:eastAsia="Times New Roman" w:cs="Arial"/>
                <w:b/>
                <w:bCs/>
                <w:color w:val="000000"/>
                <w:szCs w:val="24"/>
              </w:rPr>
              <w:t>Burden Hours</w:t>
            </w:r>
          </w:p>
        </w:tc>
        <w:tc>
          <w:tcPr>
            <w:tcW w:w="1440" w:type="dxa"/>
            <w:tcBorders>
              <w:top w:val="single" w:color="000000" w:sz="8" w:space="0"/>
              <w:left w:val="single" w:color="000000" w:sz="8" w:space="0"/>
              <w:bottom w:val="nil"/>
              <w:right w:val="single" w:color="000000" w:sz="8" w:space="0"/>
            </w:tcBorders>
            <w:shd w:val="clear" w:color="000000" w:fill="D9D9D9"/>
            <w:vAlign w:val="center"/>
            <w:hideMark/>
          </w:tcPr>
          <w:p w:rsidRPr="001067D9" w:rsidR="001067D9" w:rsidP="001067D9" w:rsidRDefault="001067D9" w14:paraId="4D0BF3D2" w14:textId="77777777">
            <w:pPr>
              <w:spacing w:after="0" w:line="240" w:lineRule="auto"/>
              <w:jc w:val="center"/>
              <w:rPr>
                <w:rFonts w:eastAsia="Times New Roman" w:cs="Arial"/>
                <w:b/>
                <w:bCs/>
                <w:color w:val="000000"/>
                <w:szCs w:val="24"/>
              </w:rPr>
            </w:pPr>
            <w:r w:rsidRPr="001067D9">
              <w:rPr>
                <w:rFonts w:eastAsia="Times New Roman" w:cs="Arial"/>
                <w:b/>
                <w:bCs/>
                <w:color w:val="000000"/>
                <w:szCs w:val="24"/>
              </w:rPr>
              <w:t>Annual Cost</w:t>
            </w:r>
          </w:p>
        </w:tc>
      </w:tr>
      <w:tr w:rsidRPr="001067D9" w:rsidR="001067D9" w:rsidTr="00DF540F" w14:paraId="41A8D9FD" w14:textId="77777777">
        <w:trPr>
          <w:trHeight w:val="504"/>
        </w:trPr>
        <w:tc>
          <w:tcPr>
            <w:tcW w:w="47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1067D9" w:rsidR="001067D9" w:rsidP="001067D9" w:rsidRDefault="001067D9" w14:paraId="2DC125E9" w14:textId="77777777">
            <w:pPr>
              <w:spacing w:after="0" w:line="240" w:lineRule="auto"/>
              <w:rPr>
                <w:rFonts w:eastAsia="Times New Roman" w:cs="Arial"/>
                <w:color w:val="000000"/>
                <w:szCs w:val="24"/>
              </w:rPr>
            </w:pPr>
            <w:r w:rsidRPr="001067D9">
              <w:rPr>
                <w:rFonts w:eastAsia="Times New Roman" w:cs="Arial"/>
                <w:color w:val="000000"/>
                <w:szCs w:val="24"/>
              </w:rPr>
              <w:t>Administrative maintenance</w:t>
            </w:r>
          </w:p>
        </w:tc>
        <w:tc>
          <w:tcPr>
            <w:tcW w:w="2380" w:type="dxa"/>
            <w:tcBorders>
              <w:top w:val="single" w:color="000000" w:sz="8" w:space="0"/>
              <w:left w:val="nil"/>
              <w:bottom w:val="nil"/>
              <w:right w:val="single" w:color="000000" w:sz="8" w:space="0"/>
            </w:tcBorders>
            <w:shd w:val="clear" w:color="auto" w:fill="auto"/>
            <w:vAlign w:val="center"/>
            <w:hideMark/>
          </w:tcPr>
          <w:p w:rsidRPr="001067D9" w:rsidR="001067D9" w:rsidP="001067D9" w:rsidRDefault="001067D9" w14:paraId="65D81EEE" w14:textId="77777777">
            <w:pPr>
              <w:spacing w:after="0" w:line="240" w:lineRule="auto"/>
              <w:jc w:val="center"/>
              <w:rPr>
                <w:rFonts w:eastAsia="Times New Roman" w:cs="Arial"/>
                <w:color w:val="000000"/>
                <w:szCs w:val="24"/>
              </w:rPr>
            </w:pPr>
            <w:r w:rsidRPr="001067D9">
              <w:rPr>
                <w:rFonts w:eastAsia="Times New Roman" w:cs="Arial"/>
                <w:color w:val="000000"/>
                <w:szCs w:val="24"/>
              </w:rPr>
              <w:t>GS-13 Step 1</w:t>
            </w:r>
          </w:p>
        </w:tc>
        <w:tc>
          <w:tcPr>
            <w:tcW w:w="960" w:type="dxa"/>
            <w:tcBorders>
              <w:top w:val="single" w:color="000000" w:sz="8" w:space="0"/>
              <w:left w:val="nil"/>
              <w:bottom w:val="single" w:color="auto" w:sz="4" w:space="0"/>
              <w:right w:val="nil"/>
            </w:tcBorders>
            <w:shd w:val="clear" w:color="auto" w:fill="auto"/>
            <w:vAlign w:val="center"/>
            <w:hideMark/>
          </w:tcPr>
          <w:p w:rsidRPr="001067D9" w:rsidR="001067D9" w:rsidP="001067D9" w:rsidRDefault="001067D9" w14:paraId="2F276EA6" w14:textId="77777777">
            <w:pPr>
              <w:spacing w:after="0" w:line="240" w:lineRule="auto"/>
              <w:jc w:val="right"/>
              <w:rPr>
                <w:rFonts w:eastAsia="Times New Roman" w:cs="Arial"/>
                <w:color w:val="000000"/>
                <w:szCs w:val="24"/>
              </w:rPr>
            </w:pPr>
            <w:r w:rsidRPr="001067D9">
              <w:rPr>
                <w:rFonts w:eastAsia="Times New Roman" w:cs="Arial"/>
                <w:color w:val="000000"/>
                <w:szCs w:val="24"/>
              </w:rPr>
              <w:t>208</w:t>
            </w:r>
          </w:p>
        </w:tc>
        <w:tc>
          <w:tcPr>
            <w:tcW w:w="1440" w:type="dxa"/>
            <w:tcBorders>
              <w:top w:val="single" w:color="000000" w:sz="8" w:space="0"/>
              <w:left w:val="single" w:color="000000" w:sz="8" w:space="0"/>
              <w:bottom w:val="single" w:color="auto" w:sz="4" w:space="0"/>
              <w:right w:val="single" w:color="000000" w:sz="8" w:space="0"/>
            </w:tcBorders>
            <w:shd w:val="clear" w:color="auto" w:fill="auto"/>
            <w:vAlign w:val="center"/>
            <w:hideMark/>
          </w:tcPr>
          <w:p w:rsidRPr="001067D9" w:rsidR="001067D9" w:rsidP="001067D9" w:rsidRDefault="001067D9" w14:paraId="16CC9625" w14:textId="40AF11D9">
            <w:pPr>
              <w:spacing w:after="0" w:line="240" w:lineRule="auto"/>
              <w:jc w:val="right"/>
              <w:rPr>
                <w:rFonts w:eastAsia="Times New Roman" w:cs="Arial"/>
                <w:color w:val="000000"/>
                <w:szCs w:val="24"/>
              </w:rPr>
            </w:pPr>
            <w:r w:rsidRPr="001067D9">
              <w:rPr>
                <w:rFonts w:eastAsia="Times New Roman" w:cs="Arial"/>
                <w:color w:val="000000"/>
                <w:szCs w:val="24"/>
              </w:rPr>
              <w:t>$20,32</w:t>
            </w:r>
            <w:r w:rsidR="006C7B98">
              <w:rPr>
                <w:rFonts w:eastAsia="Times New Roman" w:cs="Arial"/>
                <w:color w:val="000000"/>
                <w:szCs w:val="24"/>
              </w:rPr>
              <w:t>5</w:t>
            </w:r>
            <w:r w:rsidRPr="001067D9">
              <w:rPr>
                <w:rFonts w:eastAsia="Times New Roman" w:cs="Arial"/>
                <w:color w:val="000000"/>
                <w:szCs w:val="24"/>
              </w:rPr>
              <w:t xml:space="preserve"> </w:t>
            </w:r>
          </w:p>
        </w:tc>
      </w:tr>
      <w:tr w:rsidRPr="001067D9" w:rsidR="001067D9" w:rsidTr="00DF540F" w14:paraId="5F06D643" w14:textId="77777777">
        <w:trPr>
          <w:trHeight w:val="504"/>
        </w:trPr>
        <w:tc>
          <w:tcPr>
            <w:tcW w:w="4700" w:type="dxa"/>
            <w:vMerge/>
            <w:tcBorders>
              <w:top w:val="single" w:color="000000" w:sz="8" w:space="0"/>
              <w:left w:val="single" w:color="000000" w:sz="8" w:space="0"/>
              <w:bottom w:val="single" w:color="auto" w:sz="4" w:space="0"/>
              <w:right w:val="single" w:color="000000" w:sz="8" w:space="0"/>
            </w:tcBorders>
            <w:vAlign w:val="center"/>
            <w:hideMark/>
          </w:tcPr>
          <w:p w:rsidRPr="001067D9" w:rsidR="001067D9" w:rsidP="001067D9" w:rsidRDefault="001067D9" w14:paraId="05BFA2DE" w14:textId="77777777">
            <w:pPr>
              <w:spacing w:after="0" w:line="240" w:lineRule="auto"/>
              <w:rPr>
                <w:rFonts w:eastAsia="Times New Roman" w:cs="Arial"/>
                <w:color w:val="000000"/>
                <w:szCs w:val="24"/>
              </w:rPr>
            </w:pPr>
          </w:p>
        </w:tc>
        <w:tc>
          <w:tcPr>
            <w:tcW w:w="2380" w:type="dxa"/>
            <w:tcBorders>
              <w:top w:val="single" w:color="000000" w:sz="8" w:space="0"/>
              <w:left w:val="nil"/>
              <w:bottom w:val="single" w:color="auto" w:sz="4" w:space="0"/>
              <w:right w:val="single" w:color="auto" w:sz="4" w:space="0"/>
            </w:tcBorders>
            <w:shd w:val="clear" w:color="auto" w:fill="auto"/>
            <w:vAlign w:val="center"/>
            <w:hideMark/>
          </w:tcPr>
          <w:p w:rsidRPr="001067D9" w:rsidR="001067D9" w:rsidP="001067D9" w:rsidRDefault="001067D9" w14:paraId="23D7DDF7" w14:textId="77777777">
            <w:pPr>
              <w:spacing w:after="0" w:line="240" w:lineRule="auto"/>
              <w:jc w:val="center"/>
              <w:rPr>
                <w:rFonts w:eastAsia="Times New Roman" w:cs="Arial"/>
                <w:color w:val="000000"/>
                <w:szCs w:val="24"/>
              </w:rPr>
            </w:pPr>
            <w:r w:rsidRPr="001067D9">
              <w:rPr>
                <w:rFonts w:eastAsia="Times New Roman" w:cs="Arial"/>
                <w:color w:val="000000"/>
                <w:szCs w:val="24"/>
              </w:rPr>
              <w:t>GS-15 Step 1</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67D9" w:rsidR="001067D9" w:rsidP="001067D9" w:rsidRDefault="001067D9" w14:paraId="2B6B12DD" w14:textId="77777777">
            <w:pPr>
              <w:spacing w:after="0" w:line="240" w:lineRule="auto"/>
              <w:jc w:val="right"/>
              <w:rPr>
                <w:rFonts w:eastAsia="Times New Roman" w:cs="Arial"/>
                <w:color w:val="000000"/>
                <w:szCs w:val="24"/>
              </w:rPr>
            </w:pPr>
            <w:r w:rsidRPr="001067D9">
              <w:rPr>
                <w:rFonts w:eastAsia="Times New Roman" w:cs="Arial"/>
                <w:color w:val="000000"/>
                <w:szCs w:val="24"/>
              </w:rPr>
              <w:t>80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67D9" w:rsidR="001067D9" w:rsidP="001067D9" w:rsidRDefault="001067D9" w14:paraId="45BF82B9" w14:textId="77777777">
            <w:pPr>
              <w:spacing w:after="0" w:line="240" w:lineRule="auto"/>
              <w:jc w:val="right"/>
              <w:rPr>
                <w:rFonts w:eastAsia="Times New Roman" w:cs="Arial"/>
                <w:color w:val="000000"/>
                <w:szCs w:val="24"/>
              </w:rPr>
            </w:pPr>
            <w:r w:rsidRPr="001067D9">
              <w:rPr>
                <w:rFonts w:eastAsia="Times New Roman" w:cs="Arial"/>
                <w:color w:val="000000"/>
                <w:szCs w:val="24"/>
              </w:rPr>
              <w:t xml:space="preserve">$10,866 </w:t>
            </w:r>
          </w:p>
        </w:tc>
      </w:tr>
      <w:tr w:rsidRPr="001067D9" w:rsidR="001067D9" w:rsidTr="00DF540F" w14:paraId="682903E1" w14:textId="77777777">
        <w:trPr>
          <w:trHeight w:val="504"/>
        </w:trPr>
        <w:tc>
          <w:tcPr>
            <w:tcW w:w="708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1067D9" w:rsidR="001067D9" w:rsidP="001067D9" w:rsidRDefault="001067D9" w14:paraId="2456A720" w14:textId="77777777">
            <w:pPr>
              <w:spacing w:after="0" w:line="240" w:lineRule="auto"/>
              <w:rPr>
                <w:rFonts w:eastAsia="Times New Roman" w:cs="Arial"/>
                <w:i/>
                <w:iCs/>
                <w:color w:val="000000"/>
                <w:szCs w:val="24"/>
              </w:rPr>
            </w:pPr>
            <w:r w:rsidRPr="001067D9">
              <w:rPr>
                <w:rFonts w:eastAsia="Times New Roman" w:cs="Arial"/>
                <w:i/>
                <w:iCs/>
                <w:color w:val="000000"/>
                <w:szCs w:val="24"/>
              </w:rPr>
              <w:t>Subtotal</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67D9" w:rsidR="001067D9" w:rsidP="001067D9" w:rsidRDefault="001067D9" w14:paraId="2B5647D9" w14:textId="77777777">
            <w:pPr>
              <w:spacing w:after="0" w:line="240" w:lineRule="auto"/>
              <w:jc w:val="right"/>
              <w:rPr>
                <w:rFonts w:eastAsia="Times New Roman" w:cs="Arial"/>
                <w:color w:val="000000"/>
                <w:szCs w:val="24"/>
              </w:rPr>
            </w:pPr>
            <w:r w:rsidRPr="001067D9">
              <w:rPr>
                <w:rFonts w:eastAsia="Times New Roman" w:cs="Arial"/>
                <w:color w:val="000000"/>
                <w:szCs w:val="24"/>
              </w:rPr>
              <w:t>288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067D9" w:rsidR="001067D9" w:rsidP="001067D9" w:rsidRDefault="001067D9" w14:paraId="280F25C7" w14:textId="6DCDE035">
            <w:pPr>
              <w:spacing w:after="0" w:line="240" w:lineRule="auto"/>
              <w:jc w:val="right"/>
              <w:rPr>
                <w:rFonts w:eastAsia="Times New Roman" w:cs="Arial"/>
                <w:color w:val="000000"/>
                <w:szCs w:val="24"/>
              </w:rPr>
            </w:pPr>
            <w:r w:rsidRPr="001067D9">
              <w:rPr>
                <w:rFonts w:eastAsia="Times New Roman" w:cs="Arial"/>
                <w:color w:val="000000"/>
                <w:szCs w:val="24"/>
              </w:rPr>
              <w:t>$31,19</w:t>
            </w:r>
            <w:r w:rsidR="006C7B98">
              <w:rPr>
                <w:rFonts w:eastAsia="Times New Roman" w:cs="Arial"/>
                <w:color w:val="000000"/>
                <w:szCs w:val="24"/>
              </w:rPr>
              <w:t>1</w:t>
            </w:r>
            <w:r w:rsidRPr="001067D9">
              <w:rPr>
                <w:rFonts w:eastAsia="Times New Roman" w:cs="Arial"/>
                <w:color w:val="000000"/>
                <w:szCs w:val="24"/>
              </w:rPr>
              <w:t xml:space="preserve"> </w:t>
            </w:r>
          </w:p>
        </w:tc>
      </w:tr>
      <w:tr w:rsidRPr="001067D9" w:rsidR="001067D9" w:rsidTr="00DF540F" w14:paraId="1D4ED203" w14:textId="77777777">
        <w:trPr>
          <w:trHeight w:val="504"/>
        </w:trPr>
        <w:tc>
          <w:tcPr>
            <w:tcW w:w="4700" w:type="dxa"/>
            <w:tcBorders>
              <w:top w:val="single" w:color="auto" w:sz="4" w:space="0"/>
              <w:left w:val="single" w:color="000000" w:sz="8" w:space="0"/>
              <w:bottom w:val="nil"/>
              <w:right w:val="nil"/>
            </w:tcBorders>
            <w:shd w:val="clear" w:color="auto" w:fill="auto"/>
            <w:vAlign w:val="center"/>
            <w:hideMark/>
          </w:tcPr>
          <w:p w:rsidRPr="001067D9" w:rsidR="001067D9" w:rsidP="001067D9" w:rsidRDefault="001067D9" w14:paraId="0886BE9C" w14:textId="77777777">
            <w:pPr>
              <w:spacing w:after="0" w:line="240" w:lineRule="auto"/>
              <w:rPr>
                <w:rFonts w:eastAsia="Times New Roman" w:cs="Arial"/>
                <w:color w:val="000000"/>
                <w:szCs w:val="24"/>
              </w:rPr>
            </w:pPr>
            <w:r w:rsidRPr="001067D9">
              <w:rPr>
                <w:rFonts w:eastAsia="Times New Roman" w:cs="Arial"/>
                <w:color w:val="000000"/>
                <w:szCs w:val="24"/>
              </w:rPr>
              <w:t>Education/Outreach</w:t>
            </w:r>
          </w:p>
        </w:tc>
        <w:tc>
          <w:tcPr>
            <w:tcW w:w="2380" w:type="dxa"/>
            <w:tcBorders>
              <w:top w:val="single" w:color="auto" w:sz="4" w:space="0"/>
              <w:left w:val="single" w:color="000000" w:sz="8" w:space="0"/>
              <w:bottom w:val="nil"/>
              <w:right w:val="single" w:color="000000" w:sz="8" w:space="0"/>
            </w:tcBorders>
            <w:shd w:val="clear" w:color="auto" w:fill="auto"/>
            <w:vAlign w:val="center"/>
            <w:hideMark/>
          </w:tcPr>
          <w:p w:rsidRPr="001067D9" w:rsidR="001067D9" w:rsidP="001067D9" w:rsidRDefault="001067D9" w14:paraId="344B216B" w14:textId="77777777">
            <w:pPr>
              <w:spacing w:after="0" w:line="240" w:lineRule="auto"/>
              <w:jc w:val="center"/>
              <w:rPr>
                <w:rFonts w:eastAsia="Times New Roman" w:cs="Arial"/>
                <w:color w:val="000000"/>
                <w:szCs w:val="24"/>
              </w:rPr>
            </w:pPr>
            <w:r w:rsidRPr="001067D9">
              <w:rPr>
                <w:rFonts w:eastAsia="Times New Roman" w:cs="Arial"/>
                <w:color w:val="000000"/>
                <w:szCs w:val="24"/>
              </w:rPr>
              <w:t>GS-12 Step 1</w:t>
            </w:r>
          </w:p>
        </w:tc>
        <w:tc>
          <w:tcPr>
            <w:tcW w:w="960" w:type="dxa"/>
            <w:tcBorders>
              <w:top w:val="single" w:color="auto" w:sz="4" w:space="0"/>
              <w:left w:val="nil"/>
              <w:bottom w:val="nil"/>
              <w:right w:val="nil"/>
            </w:tcBorders>
            <w:shd w:val="clear" w:color="auto" w:fill="auto"/>
            <w:vAlign w:val="center"/>
            <w:hideMark/>
          </w:tcPr>
          <w:p w:rsidRPr="001067D9" w:rsidR="001067D9" w:rsidP="001067D9" w:rsidRDefault="001067D9" w14:paraId="414DC8EF" w14:textId="77777777">
            <w:pPr>
              <w:spacing w:after="0" w:line="240" w:lineRule="auto"/>
              <w:jc w:val="right"/>
              <w:rPr>
                <w:rFonts w:eastAsia="Times New Roman" w:cs="Arial"/>
                <w:color w:val="000000"/>
                <w:szCs w:val="24"/>
              </w:rPr>
            </w:pPr>
            <w:r w:rsidRPr="001067D9">
              <w:rPr>
                <w:rFonts w:eastAsia="Times New Roman" w:cs="Arial"/>
                <w:color w:val="000000"/>
                <w:szCs w:val="24"/>
              </w:rPr>
              <w:t>240</w:t>
            </w:r>
          </w:p>
        </w:tc>
        <w:tc>
          <w:tcPr>
            <w:tcW w:w="1440" w:type="dxa"/>
            <w:tcBorders>
              <w:top w:val="single" w:color="auto" w:sz="4" w:space="0"/>
              <w:left w:val="single" w:color="000000" w:sz="8" w:space="0"/>
              <w:bottom w:val="nil"/>
              <w:right w:val="single" w:color="000000" w:sz="8" w:space="0"/>
            </w:tcBorders>
            <w:shd w:val="clear" w:color="auto" w:fill="auto"/>
            <w:vAlign w:val="center"/>
            <w:hideMark/>
          </w:tcPr>
          <w:p w:rsidRPr="001067D9" w:rsidR="001067D9" w:rsidP="001067D9" w:rsidRDefault="001067D9" w14:paraId="6022421A" w14:textId="5FB067D7">
            <w:pPr>
              <w:spacing w:after="0" w:line="240" w:lineRule="auto"/>
              <w:jc w:val="right"/>
              <w:rPr>
                <w:rFonts w:eastAsia="Times New Roman" w:cs="Arial"/>
                <w:color w:val="000000"/>
                <w:szCs w:val="24"/>
              </w:rPr>
            </w:pPr>
            <w:r w:rsidRPr="001067D9">
              <w:rPr>
                <w:rFonts w:eastAsia="Times New Roman" w:cs="Arial"/>
                <w:color w:val="000000"/>
                <w:szCs w:val="24"/>
              </w:rPr>
              <w:t>$19,72</w:t>
            </w:r>
            <w:r w:rsidR="006C7B98">
              <w:rPr>
                <w:rFonts w:eastAsia="Times New Roman" w:cs="Arial"/>
                <w:color w:val="000000"/>
                <w:szCs w:val="24"/>
              </w:rPr>
              <w:t>3</w:t>
            </w:r>
            <w:r w:rsidRPr="001067D9">
              <w:rPr>
                <w:rFonts w:eastAsia="Times New Roman" w:cs="Arial"/>
                <w:color w:val="000000"/>
                <w:szCs w:val="24"/>
              </w:rPr>
              <w:t xml:space="preserve"> </w:t>
            </w:r>
          </w:p>
        </w:tc>
      </w:tr>
      <w:tr w:rsidRPr="001067D9" w:rsidR="001067D9" w:rsidTr="001067D9" w14:paraId="0A05C29B" w14:textId="77777777">
        <w:trPr>
          <w:trHeight w:val="504"/>
        </w:trPr>
        <w:tc>
          <w:tcPr>
            <w:tcW w:w="4700" w:type="dxa"/>
            <w:tcBorders>
              <w:top w:val="single" w:color="000000" w:sz="8" w:space="0"/>
              <w:left w:val="single" w:color="000000" w:sz="8" w:space="0"/>
              <w:bottom w:val="nil"/>
              <w:right w:val="nil"/>
            </w:tcBorders>
            <w:shd w:val="clear" w:color="auto" w:fill="auto"/>
            <w:vAlign w:val="center"/>
            <w:hideMark/>
          </w:tcPr>
          <w:p w:rsidRPr="001067D9" w:rsidR="001067D9" w:rsidP="001067D9" w:rsidRDefault="001067D9" w14:paraId="73DB8C83" w14:textId="77777777">
            <w:pPr>
              <w:spacing w:after="0" w:line="240" w:lineRule="auto"/>
              <w:rPr>
                <w:rFonts w:eastAsia="Times New Roman" w:cs="Arial"/>
                <w:color w:val="000000"/>
                <w:szCs w:val="24"/>
              </w:rPr>
            </w:pPr>
            <w:r w:rsidRPr="001067D9">
              <w:rPr>
                <w:rFonts w:eastAsia="Times New Roman" w:cs="Arial"/>
                <w:color w:val="000000"/>
                <w:szCs w:val="24"/>
              </w:rPr>
              <w:t>Compliance monitoring</w:t>
            </w:r>
          </w:p>
        </w:tc>
        <w:tc>
          <w:tcPr>
            <w:tcW w:w="238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48AA6C1C" w14:textId="77777777">
            <w:pPr>
              <w:spacing w:after="0" w:line="240" w:lineRule="auto"/>
              <w:jc w:val="center"/>
              <w:rPr>
                <w:rFonts w:eastAsia="Times New Roman" w:cs="Arial"/>
                <w:color w:val="000000"/>
                <w:szCs w:val="24"/>
              </w:rPr>
            </w:pPr>
            <w:r w:rsidRPr="001067D9">
              <w:rPr>
                <w:rFonts w:eastAsia="Times New Roman" w:cs="Arial"/>
                <w:color w:val="000000"/>
                <w:szCs w:val="24"/>
              </w:rPr>
              <w:t>GS-12 Step 1</w:t>
            </w:r>
          </w:p>
        </w:tc>
        <w:tc>
          <w:tcPr>
            <w:tcW w:w="960" w:type="dxa"/>
            <w:tcBorders>
              <w:top w:val="single" w:color="000000" w:sz="8" w:space="0"/>
              <w:left w:val="nil"/>
              <w:bottom w:val="nil"/>
              <w:right w:val="nil"/>
            </w:tcBorders>
            <w:shd w:val="clear" w:color="auto" w:fill="auto"/>
            <w:vAlign w:val="center"/>
            <w:hideMark/>
          </w:tcPr>
          <w:p w:rsidRPr="001067D9" w:rsidR="001067D9" w:rsidP="001067D9" w:rsidRDefault="001067D9" w14:paraId="4D024503" w14:textId="77777777">
            <w:pPr>
              <w:spacing w:after="0" w:line="240" w:lineRule="auto"/>
              <w:jc w:val="right"/>
              <w:rPr>
                <w:rFonts w:eastAsia="Times New Roman" w:cs="Arial"/>
                <w:color w:val="000000"/>
                <w:szCs w:val="24"/>
              </w:rPr>
            </w:pPr>
            <w:r w:rsidRPr="001067D9">
              <w:rPr>
                <w:rFonts w:eastAsia="Times New Roman" w:cs="Arial"/>
                <w:color w:val="000000"/>
                <w:szCs w:val="24"/>
              </w:rPr>
              <w:t>400</w:t>
            </w:r>
          </w:p>
        </w:tc>
        <w:tc>
          <w:tcPr>
            <w:tcW w:w="144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6B1E71EF" w14:textId="1FC4316F">
            <w:pPr>
              <w:spacing w:after="0" w:line="240" w:lineRule="auto"/>
              <w:jc w:val="right"/>
              <w:rPr>
                <w:rFonts w:eastAsia="Times New Roman" w:cs="Arial"/>
                <w:color w:val="000000"/>
                <w:szCs w:val="24"/>
              </w:rPr>
            </w:pPr>
            <w:r w:rsidRPr="001067D9">
              <w:rPr>
                <w:rFonts w:eastAsia="Times New Roman" w:cs="Arial"/>
                <w:color w:val="000000"/>
                <w:szCs w:val="24"/>
              </w:rPr>
              <w:t>$32,8</w:t>
            </w:r>
            <w:r w:rsidR="006C7B98">
              <w:rPr>
                <w:rFonts w:eastAsia="Times New Roman" w:cs="Arial"/>
                <w:color w:val="000000"/>
                <w:szCs w:val="24"/>
              </w:rPr>
              <w:t>71</w:t>
            </w:r>
            <w:r w:rsidRPr="001067D9">
              <w:rPr>
                <w:rFonts w:eastAsia="Times New Roman" w:cs="Arial"/>
                <w:color w:val="000000"/>
                <w:szCs w:val="24"/>
              </w:rPr>
              <w:t xml:space="preserve"> </w:t>
            </w:r>
          </w:p>
        </w:tc>
      </w:tr>
      <w:tr w:rsidRPr="001067D9" w:rsidR="001067D9" w:rsidTr="001067D9" w14:paraId="2806D519" w14:textId="77777777">
        <w:trPr>
          <w:trHeight w:val="504"/>
        </w:trPr>
        <w:tc>
          <w:tcPr>
            <w:tcW w:w="4700" w:type="dxa"/>
            <w:tcBorders>
              <w:top w:val="single" w:color="000000" w:sz="8" w:space="0"/>
              <w:left w:val="single" w:color="000000" w:sz="8" w:space="0"/>
              <w:bottom w:val="nil"/>
              <w:right w:val="nil"/>
            </w:tcBorders>
            <w:shd w:val="clear" w:color="auto" w:fill="auto"/>
            <w:vAlign w:val="center"/>
            <w:hideMark/>
          </w:tcPr>
          <w:p w:rsidRPr="001067D9" w:rsidR="001067D9" w:rsidP="001067D9" w:rsidRDefault="001067D9" w14:paraId="1A0773A0" w14:textId="77777777">
            <w:pPr>
              <w:spacing w:after="0" w:line="240" w:lineRule="auto"/>
              <w:rPr>
                <w:rFonts w:eastAsia="Times New Roman" w:cs="Arial"/>
                <w:color w:val="000000"/>
                <w:szCs w:val="24"/>
              </w:rPr>
            </w:pPr>
            <w:r w:rsidRPr="001067D9">
              <w:rPr>
                <w:rFonts w:eastAsia="Times New Roman" w:cs="Arial"/>
                <w:color w:val="000000"/>
                <w:szCs w:val="24"/>
              </w:rPr>
              <w:t>Develop reporting notices</w:t>
            </w:r>
          </w:p>
        </w:tc>
        <w:tc>
          <w:tcPr>
            <w:tcW w:w="238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2AEB8742" w14:textId="77777777">
            <w:pPr>
              <w:spacing w:after="0" w:line="240" w:lineRule="auto"/>
              <w:jc w:val="center"/>
              <w:rPr>
                <w:rFonts w:eastAsia="Times New Roman" w:cs="Arial"/>
                <w:color w:val="000000"/>
                <w:szCs w:val="24"/>
              </w:rPr>
            </w:pPr>
            <w:r w:rsidRPr="001067D9">
              <w:rPr>
                <w:rFonts w:eastAsia="Times New Roman" w:cs="Arial"/>
                <w:color w:val="000000"/>
                <w:szCs w:val="24"/>
              </w:rPr>
              <w:t>GS-12 Step 1</w:t>
            </w:r>
          </w:p>
        </w:tc>
        <w:tc>
          <w:tcPr>
            <w:tcW w:w="960" w:type="dxa"/>
            <w:tcBorders>
              <w:top w:val="single" w:color="000000" w:sz="8" w:space="0"/>
              <w:left w:val="nil"/>
              <w:bottom w:val="nil"/>
              <w:right w:val="nil"/>
            </w:tcBorders>
            <w:shd w:val="clear" w:color="auto" w:fill="auto"/>
            <w:vAlign w:val="center"/>
            <w:hideMark/>
          </w:tcPr>
          <w:p w:rsidRPr="001067D9" w:rsidR="001067D9" w:rsidP="001067D9" w:rsidRDefault="001067D9" w14:paraId="28B0C96B" w14:textId="77777777">
            <w:pPr>
              <w:spacing w:after="0" w:line="240" w:lineRule="auto"/>
              <w:jc w:val="right"/>
              <w:rPr>
                <w:rFonts w:eastAsia="Times New Roman" w:cs="Arial"/>
                <w:color w:val="000000"/>
                <w:szCs w:val="24"/>
              </w:rPr>
            </w:pPr>
            <w:r w:rsidRPr="001067D9">
              <w:rPr>
                <w:rFonts w:eastAsia="Times New Roman" w:cs="Arial"/>
                <w:color w:val="000000"/>
                <w:szCs w:val="24"/>
              </w:rPr>
              <w:t>160</w:t>
            </w:r>
          </w:p>
        </w:tc>
        <w:tc>
          <w:tcPr>
            <w:tcW w:w="144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212BCA91" w14:textId="77777777">
            <w:pPr>
              <w:spacing w:after="0" w:line="240" w:lineRule="auto"/>
              <w:jc w:val="right"/>
              <w:rPr>
                <w:rFonts w:eastAsia="Times New Roman" w:cs="Arial"/>
                <w:color w:val="000000"/>
                <w:szCs w:val="24"/>
              </w:rPr>
            </w:pPr>
            <w:r w:rsidRPr="001067D9">
              <w:rPr>
                <w:rFonts w:eastAsia="Times New Roman" w:cs="Arial"/>
                <w:color w:val="000000"/>
                <w:szCs w:val="24"/>
              </w:rPr>
              <w:t xml:space="preserve">$13,148 </w:t>
            </w:r>
          </w:p>
        </w:tc>
      </w:tr>
      <w:tr w:rsidRPr="001067D9" w:rsidR="001067D9" w:rsidTr="001067D9" w14:paraId="78668CEF" w14:textId="77777777">
        <w:trPr>
          <w:trHeight w:val="504"/>
        </w:trPr>
        <w:tc>
          <w:tcPr>
            <w:tcW w:w="4700" w:type="dxa"/>
            <w:tcBorders>
              <w:top w:val="single" w:color="000000" w:sz="8" w:space="0"/>
              <w:left w:val="single" w:color="000000" w:sz="8" w:space="0"/>
              <w:bottom w:val="nil"/>
              <w:right w:val="nil"/>
            </w:tcBorders>
            <w:shd w:val="clear" w:color="auto" w:fill="auto"/>
            <w:vAlign w:val="center"/>
            <w:hideMark/>
          </w:tcPr>
          <w:p w:rsidRPr="001067D9" w:rsidR="001067D9" w:rsidP="001067D9" w:rsidRDefault="001067D9" w14:paraId="2929F14E" w14:textId="77777777">
            <w:pPr>
              <w:spacing w:after="0" w:line="240" w:lineRule="auto"/>
              <w:rPr>
                <w:rFonts w:eastAsia="Times New Roman" w:cs="Arial"/>
                <w:color w:val="000000"/>
                <w:szCs w:val="24"/>
              </w:rPr>
            </w:pPr>
            <w:r w:rsidRPr="001067D9">
              <w:rPr>
                <w:rFonts w:eastAsia="Times New Roman" w:cs="Arial"/>
                <w:color w:val="000000"/>
                <w:szCs w:val="24"/>
              </w:rPr>
              <w:t>Document control functions</w:t>
            </w:r>
          </w:p>
        </w:tc>
        <w:tc>
          <w:tcPr>
            <w:tcW w:w="238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491B1347" w14:textId="77777777">
            <w:pPr>
              <w:spacing w:after="0" w:line="240" w:lineRule="auto"/>
              <w:jc w:val="center"/>
              <w:rPr>
                <w:rFonts w:eastAsia="Times New Roman" w:cs="Arial"/>
                <w:color w:val="000000"/>
                <w:szCs w:val="24"/>
              </w:rPr>
            </w:pPr>
            <w:r w:rsidRPr="001067D9">
              <w:rPr>
                <w:rFonts w:eastAsia="Times New Roman" w:cs="Arial"/>
                <w:color w:val="000000"/>
                <w:szCs w:val="24"/>
              </w:rPr>
              <w:t>GS-12 Step 1</w:t>
            </w:r>
          </w:p>
        </w:tc>
        <w:tc>
          <w:tcPr>
            <w:tcW w:w="960" w:type="dxa"/>
            <w:tcBorders>
              <w:top w:val="single" w:color="000000" w:sz="8" w:space="0"/>
              <w:left w:val="nil"/>
              <w:bottom w:val="nil"/>
              <w:right w:val="nil"/>
            </w:tcBorders>
            <w:shd w:val="clear" w:color="auto" w:fill="auto"/>
            <w:vAlign w:val="center"/>
            <w:hideMark/>
          </w:tcPr>
          <w:p w:rsidRPr="001067D9" w:rsidR="001067D9" w:rsidP="001067D9" w:rsidRDefault="001067D9" w14:paraId="2EBF71BF" w14:textId="77777777">
            <w:pPr>
              <w:spacing w:after="0" w:line="240" w:lineRule="auto"/>
              <w:jc w:val="right"/>
              <w:rPr>
                <w:rFonts w:eastAsia="Times New Roman" w:cs="Arial"/>
                <w:color w:val="000000"/>
                <w:szCs w:val="24"/>
              </w:rPr>
            </w:pPr>
            <w:r w:rsidRPr="001067D9">
              <w:rPr>
                <w:rFonts w:eastAsia="Times New Roman" w:cs="Arial"/>
                <w:color w:val="000000"/>
                <w:szCs w:val="24"/>
              </w:rPr>
              <w:t>10</w:t>
            </w:r>
          </w:p>
        </w:tc>
        <w:tc>
          <w:tcPr>
            <w:tcW w:w="144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017B75E5" w14:textId="77777777">
            <w:pPr>
              <w:spacing w:after="0" w:line="240" w:lineRule="auto"/>
              <w:jc w:val="right"/>
              <w:rPr>
                <w:rFonts w:eastAsia="Times New Roman" w:cs="Arial"/>
                <w:color w:val="000000"/>
                <w:szCs w:val="24"/>
              </w:rPr>
            </w:pPr>
            <w:r w:rsidRPr="001067D9">
              <w:rPr>
                <w:rFonts w:eastAsia="Times New Roman" w:cs="Arial"/>
                <w:color w:val="000000"/>
                <w:szCs w:val="24"/>
              </w:rPr>
              <w:t xml:space="preserve">$822 </w:t>
            </w:r>
          </w:p>
        </w:tc>
      </w:tr>
      <w:tr w:rsidRPr="001067D9" w:rsidR="001067D9" w:rsidTr="001067D9" w14:paraId="519D31AB" w14:textId="77777777">
        <w:trPr>
          <w:trHeight w:val="504"/>
        </w:trPr>
        <w:tc>
          <w:tcPr>
            <w:tcW w:w="4700" w:type="dxa"/>
            <w:tcBorders>
              <w:top w:val="single" w:color="000000" w:sz="8" w:space="0"/>
              <w:left w:val="single" w:color="000000" w:sz="8" w:space="0"/>
              <w:bottom w:val="nil"/>
              <w:right w:val="nil"/>
            </w:tcBorders>
            <w:shd w:val="clear" w:color="auto" w:fill="auto"/>
            <w:vAlign w:val="center"/>
            <w:hideMark/>
          </w:tcPr>
          <w:p w:rsidRPr="001067D9" w:rsidR="001067D9" w:rsidP="001067D9" w:rsidRDefault="001067D9" w14:paraId="11399641" w14:textId="77777777">
            <w:pPr>
              <w:spacing w:after="0" w:line="240" w:lineRule="auto"/>
              <w:rPr>
                <w:rFonts w:eastAsia="Times New Roman" w:cs="Arial"/>
                <w:color w:val="000000"/>
                <w:szCs w:val="24"/>
              </w:rPr>
            </w:pPr>
            <w:r w:rsidRPr="001067D9">
              <w:rPr>
                <w:rFonts w:eastAsia="Times New Roman" w:cs="Arial"/>
                <w:color w:val="000000"/>
                <w:szCs w:val="24"/>
              </w:rPr>
              <w:t>Notice review, referral, and data entry</w:t>
            </w:r>
          </w:p>
        </w:tc>
        <w:tc>
          <w:tcPr>
            <w:tcW w:w="238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6945EA24" w14:textId="77777777">
            <w:pPr>
              <w:spacing w:after="0" w:line="240" w:lineRule="auto"/>
              <w:jc w:val="center"/>
              <w:rPr>
                <w:rFonts w:eastAsia="Times New Roman" w:cs="Arial"/>
                <w:color w:val="000000"/>
                <w:szCs w:val="24"/>
              </w:rPr>
            </w:pPr>
            <w:r w:rsidRPr="001067D9">
              <w:rPr>
                <w:rFonts w:eastAsia="Times New Roman" w:cs="Arial"/>
                <w:color w:val="000000"/>
                <w:szCs w:val="24"/>
              </w:rPr>
              <w:t>GS-12 Step 1</w:t>
            </w:r>
          </w:p>
        </w:tc>
        <w:tc>
          <w:tcPr>
            <w:tcW w:w="960" w:type="dxa"/>
            <w:tcBorders>
              <w:top w:val="single" w:color="000000" w:sz="8" w:space="0"/>
              <w:left w:val="nil"/>
              <w:bottom w:val="nil"/>
              <w:right w:val="nil"/>
            </w:tcBorders>
            <w:shd w:val="clear" w:color="auto" w:fill="auto"/>
            <w:vAlign w:val="center"/>
            <w:hideMark/>
          </w:tcPr>
          <w:p w:rsidRPr="001067D9" w:rsidR="001067D9" w:rsidP="001067D9" w:rsidRDefault="001067D9" w14:paraId="3A345F90" w14:textId="77777777">
            <w:pPr>
              <w:spacing w:after="0" w:line="240" w:lineRule="auto"/>
              <w:jc w:val="right"/>
              <w:rPr>
                <w:rFonts w:eastAsia="Times New Roman" w:cs="Arial"/>
                <w:color w:val="000000"/>
                <w:szCs w:val="24"/>
              </w:rPr>
            </w:pPr>
            <w:r w:rsidRPr="001067D9">
              <w:rPr>
                <w:rFonts w:eastAsia="Times New Roman" w:cs="Arial"/>
                <w:color w:val="000000"/>
                <w:szCs w:val="24"/>
              </w:rPr>
              <w:t>160</w:t>
            </w:r>
          </w:p>
        </w:tc>
        <w:tc>
          <w:tcPr>
            <w:tcW w:w="1440" w:type="dxa"/>
            <w:tcBorders>
              <w:top w:val="single" w:color="000000" w:sz="8" w:space="0"/>
              <w:left w:val="single" w:color="000000" w:sz="8" w:space="0"/>
              <w:bottom w:val="nil"/>
              <w:right w:val="single" w:color="000000" w:sz="8" w:space="0"/>
            </w:tcBorders>
            <w:shd w:val="clear" w:color="auto" w:fill="auto"/>
            <w:vAlign w:val="center"/>
            <w:hideMark/>
          </w:tcPr>
          <w:p w:rsidRPr="001067D9" w:rsidR="001067D9" w:rsidP="001067D9" w:rsidRDefault="001067D9" w14:paraId="0642F427" w14:textId="77777777">
            <w:pPr>
              <w:spacing w:after="0" w:line="240" w:lineRule="auto"/>
              <w:jc w:val="right"/>
              <w:rPr>
                <w:rFonts w:eastAsia="Times New Roman" w:cs="Arial"/>
                <w:color w:val="000000"/>
                <w:szCs w:val="24"/>
              </w:rPr>
            </w:pPr>
            <w:r w:rsidRPr="001067D9">
              <w:rPr>
                <w:rFonts w:eastAsia="Times New Roman" w:cs="Arial"/>
                <w:color w:val="000000"/>
                <w:szCs w:val="24"/>
              </w:rPr>
              <w:t xml:space="preserve">$13,148 </w:t>
            </w:r>
          </w:p>
        </w:tc>
      </w:tr>
      <w:tr w:rsidRPr="001067D9" w:rsidR="001067D9" w:rsidTr="001067D9" w14:paraId="71EA4E5D" w14:textId="77777777">
        <w:trPr>
          <w:trHeight w:val="504"/>
        </w:trPr>
        <w:tc>
          <w:tcPr>
            <w:tcW w:w="7080" w:type="dxa"/>
            <w:gridSpan w:val="2"/>
            <w:tcBorders>
              <w:top w:val="single" w:color="000000" w:sz="8" w:space="0"/>
              <w:left w:val="single" w:color="000000" w:sz="8" w:space="0"/>
              <w:bottom w:val="single" w:color="000000" w:sz="8" w:space="0"/>
              <w:right w:val="nil"/>
            </w:tcBorders>
            <w:shd w:val="clear" w:color="auto" w:fill="auto"/>
            <w:vAlign w:val="center"/>
            <w:hideMark/>
          </w:tcPr>
          <w:p w:rsidRPr="001067D9" w:rsidR="001067D9" w:rsidP="001067D9" w:rsidRDefault="001067D9" w14:paraId="16873B20" w14:textId="5EFE18D5">
            <w:pPr>
              <w:spacing w:after="0" w:line="240" w:lineRule="auto"/>
              <w:rPr>
                <w:rFonts w:eastAsia="Times New Roman" w:cs="Arial"/>
                <w:b/>
                <w:bCs/>
                <w:color w:val="000000"/>
                <w:szCs w:val="24"/>
              </w:rPr>
            </w:pPr>
            <w:r w:rsidRPr="001067D9">
              <w:rPr>
                <w:rFonts w:eastAsia="Times New Roman" w:cs="Arial"/>
                <w:b/>
                <w:bCs/>
                <w:color w:val="000000"/>
                <w:szCs w:val="24"/>
              </w:rPr>
              <w:t>Total</w:t>
            </w:r>
          </w:p>
        </w:tc>
        <w:tc>
          <w:tcPr>
            <w:tcW w:w="960" w:type="dxa"/>
            <w:tcBorders>
              <w:top w:val="single" w:color="000000" w:sz="8" w:space="0"/>
              <w:left w:val="single" w:color="000000" w:sz="8" w:space="0"/>
              <w:bottom w:val="single" w:color="000000" w:sz="8" w:space="0"/>
              <w:right w:val="nil"/>
            </w:tcBorders>
            <w:shd w:val="clear" w:color="auto" w:fill="auto"/>
            <w:vAlign w:val="center"/>
            <w:hideMark/>
          </w:tcPr>
          <w:p w:rsidRPr="001067D9" w:rsidR="001067D9" w:rsidP="001067D9" w:rsidRDefault="001067D9" w14:paraId="5CF3F179" w14:textId="77777777">
            <w:pPr>
              <w:spacing w:after="0" w:line="240" w:lineRule="auto"/>
              <w:jc w:val="right"/>
              <w:rPr>
                <w:rFonts w:eastAsia="Times New Roman" w:cs="Arial"/>
                <w:b/>
                <w:bCs/>
                <w:color w:val="000000"/>
                <w:szCs w:val="24"/>
              </w:rPr>
            </w:pPr>
            <w:r w:rsidRPr="001067D9">
              <w:rPr>
                <w:rFonts w:eastAsia="Times New Roman" w:cs="Arial"/>
                <w:b/>
                <w:bCs/>
                <w:color w:val="000000"/>
                <w:szCs w:val="24"/>
              </w:rPr>
              <w:t>1,258</w:t>
            </w:r>
          </w:p>
        </w:tc>
        <w:tc>
          <w:tcPr>
            <w:tcW w:w="144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1067D9" w:rsidR="001067D9" w:rsidP="001067D9" w:rsidRDefault="001067D9" w14:paraId="1583874D" w14:textId="1D365DF4">
            <w:pPr>
              <w:spacing w:after="0" w:line="240" w:lineRule="auto"/>
              <w:jc w:val="right"/>
              <w:rPr>
                <w:rFonts w:eastAsia="Times New Roman" w:cs="Arial"/>
                <w:b/>
                <w:bCs/>
                <w:color w:val="000000"/>
                <w:szCs w:val="24"/>
              </w:rPr>
            </w:pPr>
            <w:r w:rsidRPr="001067D9">
              <w:rPr>
                <w:rFonts w:eastAsia="Times New Roman" w:cs="Arial"/>
                <w:b/>
                <w:bCs/>
                <w:color w:val="000000"/>
                <w:szCs w:val="24"/>
              </w:rPr>
              <w:t>$110,</w:t>
            </w:r>
            <w:r w:rsidR="006C7B98">
              <w:rPr>
                <w:rFonts w:eastAsia="Times New Roman" w:cs="Arial"/>
                <w:b/>
                <w:bCs/>
                <w:color w:val="000000"/>
                <w:szCs w:val="24"/>
              </w:rPr>
              <w:t>903</w:t>
            </w:r>
            <w:r w:rsidRPr="001067D9">
              <w:rPr>
                <w:rFonts w:eastAsia="Times New Roman" w:cs="Arial"/>
                <w:b/>
                <w:bCs/>
                <w:color w:val="000000"/>
                <w:szCs w:val="24"/>
              </w:rPr>
              <w:t xml:space="preserve"> </w:t>
            </w:r>
          </w:p>
        </w:tc>
      </w:tr>
    </w:tbl>
    <w:p w:rsidRPr="001407A1" w:rsidR="00A234F1" w:rsidP="001407A1" w:rsidRDefault="00A234F1" w14:paraId="5AB90345" w14:textId="77777777">
      <w:pPr>
        <w:widowControl w:val="0"/>
        <w:rPr>
          <w:rFonts w:cs="Arial"/>
          <w:color w:val="000000"/>
          <w:szCs w:val="24"/>
        </w:rPr>
      </w:pPr>
    </w:p>
    <w:p w:rsidRPr="009C2235" w:rsidR="00A234F1" w:rsidP="001F49CF" w:rsidRDefault="00A234F1" w14:paraId="634155A8" w14:textId="77F10CD1">
      <w:pPr>
        <w:pStyle w:val="ListParagraph"/>
        <w:widowControl w:val="0"/>
        <w:ind w:left="0"/>
        <w:rPr>
          <w:rFonts w:cs="Arial"/>
          <w:b/>
          <w:color w:val="000000"/>
          <w:szCs w:val="24"/>
        </w:rPr>
      </w:pPr>
      <w:r w:rsidRPr="009C2235">
        <w:rPr>
          <w:rFonts w:cs="Arial"/>
          <w:b/>
          <w:szCs w:val="24"/>
        </w:rPr>
        <w:t>Health and Safety Data Reporting, Submission of Lists and Copies of Health and Safety Studies</w:t>
      </w:r>
    </w:p>
    <w:p w:rsidRPr="001F49CF" w:rsidR="00A234F1" w:rsidP="001F49CF" w:rsidRDefault="00A234F1" w14:paraId="21681CEA" w14:textId="77777777">
      <w:pPr>
        <w:pStyle w:val="ListParagraph"/>
        <w:widowControl w:val="0"/>
        <w:ind w:left="0"/>
        <w:rPr>
          <w:rFonts w:cs="Arial"/>
          <w:color w:val="000000"/>
          <w:szCs w:val="24"/>
        </w:rPr>
      </w:pPr>
    </w:p>
    <w:p w:rsidRPr="001F49CF" w:rsidR="00E07475" w:rsidP="001F49CF" w:rsidRDefault="00E07475" w14:paraId="6C4096DF" w14:textId="758599BF">
      <w:pPr>
        <w:pStyle w:val="ListParagraph"/>
        <w:widowControl w:val="0"/>
        <w:ind w:left="0"/>
        <w:rPr>
          <w:rFonts w:cs="Arial"/>
          <w:color w:val="000000"/>
          <w:szCs w:val="24"/>
        </w:rPr>
      </w:pPr>
      <w:r w:rsidRPr="001F49CF">
        <w:rPr>
          <w:rFonts w:cs="Arial"/>
          <w:color w:val="000000"/>
          <w:szCs w:val="24"/>
        </w:rPr>
        <w:t>The activities routinely conducted by EPA related to the rule development, processing, analysis and storage of the information collected under this rule include the following:</w:t>
      </w:r>
    </w:p>
    <w:p w:rsidRPr="001F49CF" w:rsidR="00A234F1" w:rsidP="001F49CF" w:rsidRDefault="00E07475" w14:paraId="09785CAF" w14:textId="77777777">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 xml:space="preserve">Review and select </w:t>
      </w:r>
      <w:proofErr w:type="gramStart"/>
      <w:r w:rsidRPr="001F49CF">
        <w:rPr>
          <w:rFonts w:ascii="Arial" w:hAnsi="Arial" w:cs="Arial"/>
          <w:color w:val="000000"/>
          <w:szCs w:val="24"/>
        </w:rPr>
        <w:t>chemicals;</w:t>
      </w:r>
      <w:proofErr w:type="gramEnd"/>
    </w:p>
    <w:p w:rsidRPr="001F49CF" w:rsidR="00A234F1" w:rsidP="001F49CF" w:rsidRDefault="00E07475" w14:paraId="0F5A715F" w14:textId="77777777">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 xml:space="preserve">Develop and issue an amendment to the TSCA section 8(d) rule to add the      substances or </w:t>
      </w:r>
      <w:proofErr w:type="gramStart"/>
      <w:r w:rsidRPr="001F49CF">
        <w:rPr>
          <w:rFonts w:ascii="Arial" w:hAnsi="Arial" w:cs="Arial"/>
          <w:color w:val="000000"/>
          <w:szCs w:val="24"/>
        </w:rPr>
        <w:t>mixtures;</w:t>
      </w:r>
      <w:proofErr w:type="gramEnd"/>
    </w:p>
    <w:p w:rsidRPr="001F49CF" w:rsidR="00A234F1" w:rsidP="001F49CF" w:rsidRDefault="00E07475" w14:paraId="77157835" w14:textId="758711AA">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 xml:space="preserve">Answer respondents’ </w:t>
      </w:r>
      <w:proofErr w:type="gramStart"/>
      <w:r w:rsidRPr="001F49CF">
        <w:rPr>
          <w:rFonts w:ascii="Arial" w:hAnsi="Arial" w:cs="Arial"/>
          <w:color w:val="000000"/>
          <w:szCs w:val="24"/>
        </w:rPr>
        <w:t>questions;</w:t>
      </w:r>
      <w:proofErr w:type="gramEnd"/>
    </w:p>
    <w:p w:rsidRPr="001F49CF" w:rsidR="00A234F1" w:rsidP="001F49CF" w:rsidRDefault="00E07475" w14:paraId="54FA3185" w14:textId="77777777">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 xml:space="preserve">Process and analyze rule </w:t>
      </w:r>
      <w:proofErr w:type="gramStart"/>
      <w:r w:rsidRPr="001F49CF">
        <w:rPr>
          <w:rFonts w:ascii="Arial" w:hAnsi="Arial" w:cs="Arial"/>
          <w:color w:val="000000"/>
          <w:szCs w:val="24"/>
        </w:rPr>
        <w:t>submissions;</w:t>
      </w:r>
      <w:proofErr w:type="gramEnd"/>
    </w:p>
    <w:p w:rsidRPr="001F49CF" w:rsidR="00A234F1" w:rsidP="001F49CF" w:rsidRDefault="00E07475" w14:paraId="4D61C7B6" w14:textId="77777777">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 xml:space="preserve">Maintain and distribute the data; and </w:t>
      </w:r>
    </w:p>
    <w:p w:rsidRPr="001F49CF" w:rsidR="00E07475" w:rsidP="001F49CF" w:rsidRDefault="00E07475" w14:paraId="4F33CFBB" w14:textId="108C12B1">
      <w:pPr>
        <w:pStyle w:val="a"/>
        <w:numPr>
          <w:ilvl w:val="0"/>
          <w:numId w:val="24"/>
        </w:numPr>
        <w:spacing w:after="200" w:line="276" w:lineRule="auto"/>
        <w:rPr>
          <w:rFonts w:ascii="Arial" w:hAnsi="Arial" w:cs="Arial"/>
          <w:color w:val="000000"/>
          <w:szCs w:val="24"/>
        </w:rPr>
      </w:pPr>
      <w:r w:rsidRPr="001F49CF">
        <w:rPr>
          <w:rFonts w:ascii="Arial" w:hAnsi="Arial" w:cs="Arial"/>
          <w:color w:val="000000"/>
          <w:szCs w:val="24"/>
        </w:rPr>
        <w:t>Analyze submissions for confidentiality and analyze the information provided to substantiate the confidentiality claim.</w:t>
      </w:r>
    </w:p>
    <w:p w:rsidRPr="001F49CF" w:rsidR="00A234F1" w:rsidP="001F49CF" w:rsidRDefault="00B40AA6" w14:paraId="050329FA" w14:textId="77777777">
      <w:pPr>
        <w:widowControl w:val="0"/>
        <w:rPr>
          <w:rFonts w:cs="Arial"/>
          <w:color w:val="000000"/>
          <w:szCs w:val="24"/>
        </w:rPr>
      </w:pPr>
      <w:r w:rsidRPr="001F49CF">
        <w:rPr>
          <w:rFonts w:cs="Arial"/>
          <w:color w:val="000000"/>
          <w:szCs w:val="24"/>
        </w:rPr>
        <w:t>The activities routinely conducted by EPA related to processing and storage of the information collected under this rule include processing and analyzing the materials submitted under the rule, including requests for confidentiality; and maintaining and distributing data.</w:t>
      </w:r>
    </w:p>
    <w:p w:rsidRPr="001F49CF" w:rsidR="005C3BF0" w:rsidP="001F49CF" w:rsidRDefault="00B40AA6" w14:paraId="656D92B7" w14:textId="552E3E1F">
      <w:pPr>
        <w:widowControl w:val="0"/>
        <w:rPr>
          <w:rFonts w:cs="Arial"/>
          <w:color w:val="000000"/>
          <w:szCs w:val="24"/>
        </w:rPr>
      </w:pPr>
      <w:r w:rsidRPr="001F49CF">
        <w:rPr>
          <w:rFonts w:cs="Arial"/>
          <w:color w:val="000000"/>
          <w:szCs w:val="24"/>
        </w:rPr>
        <w:t xml:space="preserve">The activities associated with Agency responses to TSCA </w:t>
      </w:r>
      <w:r w:rsidR="001067D9">
        <w:rPr>
          <w:rFonts w:cs="Arial"/>
          <w:color w:val="000000"/>
          <w:szCs w:val="24"/>
        </w:rPr>
        <w:t>S</w:t>
      </w:r>
      <w:r w:rsidRPr="001F49CF">
        <w:rPr>
          <w:rFonts w:cs="Arial"/>
          <w:color w:val="000000"/>
          <w:szCs w:val="24"/>
        </w:rPr>
        <w:t>ection 8(d) listings are assumed to be accomplished by a GS 13 Step 5 federal employee</w:t>
      </w:r>
      <w:r w:rsidR="003D326C">
        <w:rPr>
          <w:rFonts w:cs="Arial"/>
          <w:color w:val="000000"/>
          <w:szCs w:val="24"/>
        </w:rPr>
        <w:t>, and t</w:t>
      </w:r>
      <w:r w:rsidRPr="001F49CF">
        <w:rPr>
          <w:rFonts w:cs="Arial"/>
          <w:color w:val="000000"/>
          <w:szCs w:val="24"/>
        </w:rPr>
        <w:t xml:space="preserve">he </w:t>
      </w:r>
      <w:r w:rsidRPr="001F49CF" w:rsidR="00361D77">
        <w:rPr>
          <w:rFonts w:cs="Arial"/>
          <w:color w:val="000000"/>
          <w:szCs w:val="24"/>
        </w:rPr>
        <w:t>20</w:t>
      </w:r>
      <w:r w:rsidR="00361D77">
        <w:rPr>
          <w:rFonts w:cs="Arial"/>
          <w:color w:val="000000"/>
          <w:szCs w:val="24"/>
        </w:rPr>
        <w:t>2</w:t>
      </w:r>
      <w:r w:rsidR="001067D9">
        <w:rPr>
          <w:rFonts w:cs="Arial"/>
          <w:color w:val="000000"/>
          <w:szCs w:val="24"/>
        </w:rPr>
        <w:t>1</w:t>
      </w:r>
      <w:r w:rsidR="003D326C">
        <w:rPr>
          <w:rFonts w:cs="Arial"/>
          <w:color w:val="000000"/>
          <w:szCs w:val="24"/>
        </w:rPr>
        <w:t xml:space="preserve"> </w:t>
      </w:r>
      <w:r w:rsidR="00361D77">
        <w:rPr>
          <w:rFonts w:cs="Arial"/>
          <w:color w:val="000000"/>
          <w:szCs w:val="24"/>
        </w:rPr>
        <w:t xml:space="preserve">loaded </w:t>
      </w:r>
      <w:r w:rsidRPr="001F49CF">
        <w:rPr>
          <w:rFonts w:cs="Arial"/>
          <w:color w:val="000000"/>
          <w:szCs w:val="24"/>
        </w:rPr>
        <w:t xml:space="preserve">hourly wage rate for this </w:t>
      </w:r>
      <w:r w:rsidRPr="001F49CF" w:rsidR="001E0B66">
        <w:rPr>
          <w:rFonts w:cs="Arial"/>
          <w:szCs w:val="24"/>
        </w:rPr>
        <w:t>GS</w:t>
      </w:r>
      <w:r w:rsidR="001067D9">
        <w:rPr>
          <w:rFonts w:cs="Arial"/>
          <w:szCs w:val="24"/>
        </w:rPr>
        <w:t xml:space="preserve"> and step level</w:t>
      </w:r>
      <w:r w:rsidRPr="001F49CF" w:rsidR="001E0B66">
        <w:rPr>
          <w:rFonts w:cs="Arial"/>
          <w:szCs w:val="24"/>
        </w:rPr>
        <w:t xml:space="preserve"> </w:t>
      </w:r>
      <w:r w:rsidRPr="001F49CF">
        <w:rPr>
          <w:rFonts w:cs="Arial"/>
          <w:color w:val="000000"/>
          <w:szCs w:val="24"/>
        </w:rPr>
        <w:t xml:space="preserve">is </w:t>
      </w:r>
      <w:r w:rsidR="00CD44D9">
        <w:rPr>
          <w:rFonts w:cs="Arial"/>
          <w:color w:val="000000"/>
          <w:szCs w:val="24"/>
        </w:rPr>
        <w:t xml:space="preserve">shown in </w:t>
      </w:r>
      <w:r w:rsidR="00CD44D9">
        <w:rPr>
          <w:rFonts w:cs="Arial"/>
          <w:color w:val="000000"/>
          <w:szCs w:val="24"/>
        </w:rPr>
        <w:fldChar w:fldCharType="begin"/>
      </w:r>
      <w:r w:rsidR="00CD44D9">
        <w:rPr>
          <w:rFonts w:cs="Arial"/>
          <w:color w:val="000000"/>
          <w:szCs w:val="24"/>
        </w:rPr>
        <w:instrText xml:space="preserve"> REF _Ref94265890 \h </w:instrText>
      </w:r>
      <w:r w:rsidR="00CD44D9">
        <w:rPr>
          <w:rFonts w:cs="Arial"/>
          <w:color w:val="000000"/>
          <w:szCs w:val="24"/>
        </w:rPr>
      </w:r>
      <w:r w:rsidR="00CD44D9">
        <w:rPr>
          <w:rFonts w:cs="Arial"/>
          <w:color w:val="000000"/>
          <w:szCs w:val="24"/>
        </w:rPr>
        <w:fldChar w:fldCharType="separate"/>
      </w:r>
      <w:r w:rsidR="00AD2856">
        <w:t xml:space="preserve">Table </w:t>
      </w:r>
      <w:r w:rsidR="00AD2856">
        <w:rPr>
          <w:noProof/>
        </w:rPr>
        <w:t>14</w:t>
      </w:r>
      <w:r w:rsidR="00CD44D9">
        <w:rPr>
          <w:rFonts w:cs="Arial"/>
          <w:color w:val="000000"/>
          <w:szCs w:val="24"/>
        </w:rPr>
        <w:fldChar w:fldCharType="end"/>
      </w:r>
      <w:r w:rsidRPr="001F49CF">
        <w:rPr>
          <w:rFonts w:cs="Arial"/>
          <w:color w:val="000000"/>
          <w:szCs w:val="24"/>
        </w:rPr>
        <w:t xml:space="preserve">. </w:t>
      </w:r>
    </w:p>
    <w:p w:rsidR="00B40AA6" w:rsidP="001F49CF" w:rsidRDefault="00B40AA6" w14:paraId="5194DD95" w14:textId="781768B1">
      <w:pPr>
        <w:widowControl w:val="0"/>
        <w:rPr>
          <w:rFonts w:cs="Arial"/>
          <w:color w:val="000000"/>
          <w:szCs w:val="24"/>
        </w:rPr>
      </w:pPr>
      <w:r w:rsidRPr="001F49CF">
        <w:rPr>
          <w:rFonts w:cs="Arial"/>
          <w:color w:val="000000"/>
          <w:szCs w:val="24"/>
        </w:rPr>
        <w:t>The estimated annual cost to the federal government for TSCA section 8(d) data collection totals $</w:t>
      </w:r>
      <w:r w:rsidR="007F008A">
        <w:rPr>
          <w:rFonts w:cs="Arial"/>
          <w:color w:val="000000"/>
          <w:szCs w:val="24"/>
        </w:rPr>
        <w:t>6,473</w:t>
      </w:r>
      <w:r w:rsidRPr="001F49CF">
        <w:rPr>
          <w:rFonts w:cs="Arial"/>
          <w:color w:val="000000"/>
          <w:szCs w:val="24"/>
        </w:rPr>
        <w:t xml:space="preserve"> for 58.45 hours, as presented in </w:t>
      </w:r>
      <w:r w:rsidR="001C426B">
        <w:rPr>
          <w:rFonts w:cs="Arial"/>
          <w:color w:val="000000"/>
          <w:szCs w:val="24"/>
        </w:rPr>
        <w:t>Table 19</w:t>
      </w:r>
      <w:r w:rsidRPr="001F49CF">
        <w:rPr>
          <w:rFonts w:cs="Arial"/>
          <w:color w:val="000000"/>
          <w:szCs w:val="24"/>
        </w:rPr>
        <w:t>.</w:t>
      </w:r>
    </w:p>
    <w:p w:rsidRPr="001F49CF" w:rsidR="00815461" w:rsidP="002D1104" w:rsidRDefault="00815461" w14:paraId="7BE36FAD" w14:textId="44329A7B">
      <w:pPr>
        <w:pStyle w:val="Caption"/>
        <w:rPr>
          <w:color w:val="000000"/>
          <w:szCs w:val="24"/>
        </w:rPr>
      </w:pPr>
      <w:bookmarkStart w:name="_Ref94020985" w:id="47"/>
      <w:r>
        <w:t>Table</w:t>
      </w:r>
      <w:bookmarkEnd w:id="47"/>
      <w:r w:rsidR="001407A1">
        <w:t>1</w:t>
      </w:r>
      <w:r w:rsidR="001C426B">
        <w:t>9</w:t>
      </w:r>
      <w:r>
        <w:t xml:space="preserve">. Agency Annual </w:t>
      </w:r>
      <w:r w:rsidR="008C3F17">
        <w:t xml:space="preserve">Burden and </w:t>
      </w:r>
      <w:r>
        <w:t>Cost Estimates</w:t>
      </w:r>
      <w:r w:rsidR="000649A1">
        <w:t xml:space="preserve"> for TSCA section 8(d)</w:t>
      </w:r>
    </w:p>
    <w:tbl>
      <w:tblPr>
        <w:tblW w:w="9252" w:type="dxa"/>
        <w:tblInd w:w="108" w:type="dxa"/>
        <w:tblLook w:val="04A0" w:firstRow="1" w:lastRow="0" w:firstColumn="1" w:lastColumn="0" w:noHBand="0" w:noVBand="1"/>
      </w:tblPr>
      <w:tblGrid>
        <w:gridCol w:w="5120"/>
        <w:gridCol w:w="964"/>
        <w:gridCol w:w="1278"/>
        <w:gridCol w:w="1890"/>
      </w:tblGrid>
      <w:tr w:rsidRPr="001F49CF" w:rsidR="00700C24" w:rsidTr="004513EC" w14:paraId="705F60CA" w14:textId="77777777">
        <w:trPr>
          <w:cantSplit/>
          <w:trHeight w:val="675"/>
        </w:trPr>
        <w:tc>
          <w:tcPr>
            <w:tcW w:w="512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1F49CF" w:rsidR="00B40AA6" w:rsidP="001F49CF" w:rsidRDefault="00B40AA6" w14:paraId="2E280583" w14:textId="77777777">
            <w:pPr>
              <w:jc w:val="center"/>
              <w:rPr>
                <w:rFonts w:cs="Arial"/>
                <w:b/>
                <w:bCs/>
                <w:color w:val="000000"/>
                <w:szCs w:val="24"/>
              </w:rPr>
            </w:pPr>
            <w:r w:rsidRPr="001F49CF">
              <w:rPr>
                <w:rFonts w:cs="Arial"/>
                <w:b/>
                <w:bCs/>
                <w:color w:val="000000"/>
                <w:szCs w:val="24"/>
              </w:rPr>
              <w:t>Collection Activity</w:t>
            </w:r>
          </w:p>
        </w:tc>
        <w:tc>
          <w:tcPr>
            <w:tcW w:w="96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1F49CF" w:rsidR="00B40AA6" w:rsidP="001F49CF" w:rsidRDefault="00B40AA6" w14:paraId="50683D4B" w14:textId="77777777">
            <w:pPr>
              <w:jc w:val="center"/>
              <w:rPr>
                <w:rFonts w:cs="Arial"/>
                <w:b/>
                <w:bCs/>
                <w:color w:val="000000"/>
                <w:szCs w:val="24"/>
              </w:rPr>
            </w:pPr>
            <w:r w:rsidRPr="001F49CF">
              <w:rPr>
                <w:rFonts w:cs="Arial"/>
                <w:b/>
                <w:bCs/>
                <w:color w:val="000000"/>
                <w:szCs w:val="24"/>
              </w:rPr>
              <w:t xml:space="preserve">FTEs </w:t>
            </w:r>
          </w:p>
        </w:tc>
        <w:tc>
          <w:tcPr>
            <w:tcW w:w="127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1F49CF" w:rsidR="00B40AA6" w:rsidP="001F49CF" w:rsidRDefault="00B40AA6" w14:paraId="4A0443C2" w14:textId="77777777">
            <w:pPr>
              <w:jc w:val="center"/>
              <w:rPr>
                <w:rFonts w:cs="Arial"/>
                <w:b/>
                <w:bCs/>
                <w:color w:val="000000"/>
                <w:szCs w:val="24"/>
              </w:rPr>
            </w:pPr>
            <w:r w:rsidRPr="001F49CF">
              <w:rPr>
                <w:rFonts w:cs="Arial"/>
                <w:b/>
                <w:bCs/>
                <w:color w:val="000000"/>
                <w:szCs w:val="24"/>
              </w:rPr>
              <w:t xml:space="preserve">Hours </w:t>
            </w: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1F49CF" w:rsidR="00B40AA6" w:rsidP="001F49CF" w:rsidRDefault="00B40AA6" w14:paraId="20A83754" w14:textId="77777777">
            <w:pPr>
              <w:jc w:val="center"/>
              <w:rPr>
                <w:rFonts w:cs="Arial"/>
                <w:b/>
                <w:bCs/>
                <w:color w:val="000000"/>
                <w:szCs w:val="24"/>
              </w:rPr>
            </w:pPr>
            <w:r w:rsidRPr="001F49CF">
              <w:rPr>
                <w:rFonts w:cs="Arial"/>
                <w:b/>
                <w:bCs/>
                <w:color w:val="000000"/>
                <w:szCs w:val="24"/>
              </w:rPr>
              <w:t>Annual Cost</w:t>
            </w:r>
          </w:p>
        </w:tc>
      </w:tr>
      <w:tr w:rsidRPr="001F49CF" w:rsidR="00B40AA6" w:rsidTr="004B4ECA" w14:paraId="2E5CA2A6" w14:textId="77777777">
        <w:trPr>
          <w:cantSplit/>
          <w:trHeight w:val="345"/>
        </w:trPr>
        <w:tc>
          <w:tcPr>
            <w:tcW w:w="51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1F49CF" w:rsidRDefault="00B40AA6" w14:paraId="161105F8" w14:textId="77777777">
            <w:pPr>
              <w:rPr>
                <w:rFonts w:cs="Arial"/>
                <w:color w:val="000000"/>
                <w:szCs w:val="24"/>
              </w:rPr>
            </w:pPr>
            <w:r w:rsidRPr="001F49CF">
              <w:rPr>
                <w:rFonts w:cs="Arial"/>
                <w:color w:val="000000"/>
                <w:szCs w:val="24"/>
              </w:rPr>
              <w:t>Data processing and system support</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261EB3D1" w14:textId="77777777">
            <w:pPr>
              <w:jc w:val="right"/>
              <w:rPr>
                <w:rFonts w:cs="Arial"/>
                <w:color w:val="000000"/>
                <w:szCs w:val="24"/>
              </w:rPr>
            </w:pPr>
            <w:r w:rsidRPr="001F49CF">
              <w:rPr>
                <w:rFonts w:cs="Arial"/>
                <w:color w:val="000000"/>
                <w:szCs w:val="24"/>
              </w:rPr>
              <w:t>0.025</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02E51FAA" w14:textId="77777777">
            <w:pPr>
              <w:jc w:val="right"/>
              <w:rPr>
                <w:rFonts w:cs="Arial"/>
                <w:color w:val="000000"/>
                <w:szCs w:val="24"/>
              </w:rPr>
            </w:pPr>
            <w:r w:rsidRPr="001F49CF">
              <w:rPr>
                <w:rFonts w:cs="Arial"/>
                <w:color w:val="000000"/>
                <w:szCs w:val="24"/>
              </w:rPr>
              <w:t>41.75</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2AFC5BDB" w14:textId="57E7F071">
            <w:pPr>
              <w:jc w:val="right"/>
              <w:rPr>
                <w:rFonts w:cs="Arial"/>
                <w:color w:val="000000"/>
                <w:szCs w:val="24"/>
              </w:rPr>
            </w:pPr>
            <w:r w:rsidRPr="001F49CF">
              <w:rPr>
                <w:rFonts w:cs="Arial"/>
                <w:color w:val="000000"/>
                <w:szCs w:val="24"/>
              </w:rPr>
              <w:t>$</w:t>
            </w:r>
            <w:r w:rsidR="007F008A">
              <w:rPr>
                <w:rFonts w:cs="Arial"/>
                <w:color w:val="000000"/>
                <w:szCs w:val="24"/>
              </w:rPr>
              <w:t>4,624</w:t>
            </w:r>
            <w:r w:rsidRPr="001F49CF">
              <w:rPr>
                <w:rFonts w:cs="Arial"/>
                <w:color w:val="000000"/>
                <w:szCs w:val="24"/>
              </w:rPr>
              <w:t xml:space="preserve"> </w:t>
            </w:r>
          </w:p>
        </w:tc>
      </w:tr>
      <w:tr w:rsidRPr="001F49CF" w:rsidR="00B40AA6" w:rsidTr="004B4ECA" w14:paraId="45ACDA60" w14:textId="77777777">
        <w:trPr>
          <w:cantSplit/>
          <w:trHeight w:val="330"/>
        </w:trPr>
        <w:tc>
          <w:tcPr>
            <w:tcW w:w="51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1F49CF" w:rsidRDefault="00B40AA6" w14:paraId="32D88CBA" w14:textId="77777777">
            <w:pPr>
              <w:rPr>
                <w:rFonts w:cs="Arial"/>
                <w:color w:val="000000"/>
                <w:szCs w:val="24"/>
              </w:rPr>
            </w:pPr>
            <w:r w:rsidRPr="001F49CF">
              <w:rPr>
                <w:rFonts w:cs="Arial"/>
                <w:color w:val="000000"/>
                <w:szCs w:val="24"/>
              </w:rPr>
              <w:t>Storage and distribution</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389B8DEB" w14:textId="77777777">
            <w:pPr>
              <w:jc w:val="right"/>
              <w:rPr>
                <w:rFonts w:cs="Arial"/>
                <w:color w:val="000000"/>
                <w:szCs w:val="24"/>
              </w:rPr>
            </w:pPr>
            <w:r w:rsidRPr="001F49CF">
              <w:rPr>
                <w:rFonts w:cs="Arial"/>
                <w:color w:val="000000"/>
                <w:szCs w:val="24"/>
              </w:rPr>
              <w:t>0.010</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42A03BC0" w14:textId="77777777">
            <w:pPr>
              <w:jc w:val="right"/>
              <w:rPr>
                <w:rFonts w:cs="Arial"/>
                <w:color w:val="000000"/>
                <w:szCs w:val="24"/>
              </w:rPr>
            </w:pPr>
            <w:r w:rsidRPr="001F49CF">
              <w:rPr>
                <w:rFonts w:cs="Arial"/>
                <w:color w:val="000000"/>
                <w:szCs w:val="24"/>
              </w:rPr>
              <w:t>16.70</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18210440" w14:textId="780001E1">
            <w:pPr>
              <w:jc w:val="right"/>
              <w:rPr>
                <w:rFonts w:cs="Arial"/>
                <w:color w:val="000000"/>
                <w:szCs w:val="24"/>
              </w:rPr>
            </w:pPr>
            <w:r w:rsidRPr="001F49CF">
              <w:rPr>
                <w:rFonts w:cs="Arial"/>
                <w:color w:val="000000"/>
                <w:szCs w:val="24"/>
              </w:rPr>
              <w:t>$1,</w:t>
            </w:r>
            <w:r w:rsidR="007F008A">
              <w:rPr>
                <w:rFonts w:cs="Arial"/>
                <w:color w:val="000000"/>
                <w:szCs w:val="24"/>
              </w:rPr>
              <w:t>850</w:t>
            </w:r>
          </w:p>
        </w:tc>
      </w:tr>
      <w:tr w:rsidRPr="001F49CF" w:rsidR="00B40AA6" w:rsidTr="004B4ECA" w14:paraId="722E6F8B" w14:textId="77777777">
        <w:trPr>
          <w:cantSplit/>
          <w:trHeight w:val="330"/>
        </w:trPr>
        <w:tc>
          <w:tcPr>
            <w:tcW w:w="51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815461" w14:paraId="13426786" w14:textId="335504FB">
            <w:pPr>
              <w:rPr>
                <w:rFonts w:cs="Arial"/>
                <w:b/>
                <w:bCs/>
                <w:color w:val="000000"/>
                <w:szCs w:val="24"/>
              </w:rPr>
            </w:pPr>
            <w:r>
              <w:rPr>
                <w:rFonts w:cs="Arial"/>
                <w:b/>
                <w:bCs/>
                <w:color w:val="000000"/>
                <w:szCs w:val="24"/>
              </w:rPr>
              <w:t>Total</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758A4091" w14:textId="77777777">
            <w:pPr>
              <w:jc w:val="right"/>
              <w:rPr>
                <w:rFonts w:cs="Arial"/>
                <w:b/>
                <w:bCs/>
                <w:color w:val="000000"/>
                <w:szCs w:val="24"/>
              </w:rPr>
            </w:pPr>
            <w:r w:rsidRPr="001F49CF">
              <w:rPr>
                <w:rFonts w:cs="Arial"/>
                <w:b/>
                <w:bCs/>
                <w:color w:val="000000"/>
                <w:szCs w:val="24"/>
              </w:rPr>
              <w:t>0.035</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53DBE00E" w14:textId="77777777">
            <w:pPr>
              <w:jc w:val="right"/>
              <w:rPr>
                <w:rFonts w:cs="Arial"/>
                <w:b/>
                <w:bCs/>
                <w:color w:val="000000"/>
                <w:szCs w:val="24"/>
              </w:rPr>
            </w:pPr>
            <w:r w:rsidRPr="001F49CF">
              <w:rPr>
                <w:rFonts w:cs="Arial"/>
                <w:b/>
                <w:bCs/>
                <w:color w:val="000000"/>
                <w:szCs w:val="24"/>
              </w:rPr>
              <w:t>58.45</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F49CF" w:rsidR="00B40AA6" w:rsidP="004B4ECA" w:rsidRDefault="00B40AA6" w14:paraId="352F49C9" w14:textId="5FACEEEB">
            <w:pPr>
              <w:jc w:val="right"/>
              <w:rPr>
                <w:rFonts w:cs="Arial"/>
                <w:b/>
                <w:bCs/>
                <w:color w:val="000000"/>
                <w:szCs w:val="24"/>
              </w:rPr>
            </w:pPr>
            <w:r w:rsidRPr="001F49CF">
              <w:rPr>
                <w:rFonts w:cs="Arial"/>
                <w:b/>
                <w:bCs/>
                <w:color w:val="000000"/>
                <w:szCs w:val="24"/>
              </w:rPr>
              <w:t>$</w:t>
            </w:r>
            <w:r w:rsidR="007F008A">
              <w:rPr>
                <w:rFonts w:cs="Arial"/>
                <w:b/>
                <w:bCs/>
                <w:color w:val="000000"/>
                <w:szCs w:val="24"/>
              </w:rPr>
              <w:t>6,47</w:t>
            </w:r>
            <w:r w:rsidR="006C7B98">
              <w:rPr>
                <w:rFonts w:cs="Arial"/>
                <w:b/>
                <w:bCs/>
                <w:color w:val="000000"/>
                <w:szCs w:val="24"/>
              </w:rPr>
              <w:t>4</w:t>
            </w:r>
          </w:p>
        </w:tc>
      </w:tr>
    </w:tbl>
    <w:p w:rsidRPr="008C2B73" w:rsidR="008C2B73" w:rsidP="008C2B73" w:rsidRDefault="008C2B73" w14:paraId="6AFA14EA" w14:textId="77777777">
      <w:pPr>
        <w:rPr>
          <w:lang w:bidi="en-US"/>
        </w:rPr>
      </w:pPr>
    </w:p>
    <w:p w:rsidR="00BD1BAB" w:rsidP="00253A81" w:rsidRDefault="003D09E2" w14:paraId="3AB88F5C" w14:textId="35184477">
      <w:pPr>
        <w:pStyle w:val="Heading2"/>
      </w:pPr>
      <w:r w:rsidRPr="00A640A9">
        <w:t xml:space="preserve">Explain the reasons for any program changes or adjustments reported in </w:t>
      </w:r>
      <w:r w:rsidR="007F3A69">
        <w:t>hour or cost burden</w:t>
      </w:r>
      <w:r w:rsidRPr="00A640A9">
        <w:t>.</w:t>
      </w:r>
    </w:p>
    <w:p w:rsidR="008B748A" w:rsidP="006655EA" w:rsidRDefault="00CC347B" w14:paraId="3E3E6CEF" w14:textId="30A95552">
      <w:r w:rsidRPr="008C439D">
        <w:rPr>
          <w:rFonts w:cs="Arial"/>
          <w:color w:val="000000" w:themeColor="text1"/>
          <w:szCs w:val="24"/>
        </w:rPr>
        <w:t xml:space="preserve">This information collection combines the burdens from </w:t>
      </w:r>
      <w:r>
        <w:rPr>
          <w:rFonts w:cs="Arial"/>
          <w:color w:val="000000" w:themeColor="text1"/>
          <w:szCs w:val="24"/>
        </w:rPr>
        <w:t xml:space="preserve">four </w:t>
      </w:r>
      <w:r w:rsidRPr="008C439D">
        <w:rPr>
          <w:rFonts w:cs="Arial"/>
          <w:color w:val="000000" w:themeColor="text1"/>
          <w:szCs w:val="24"/>
        </w:rPr>
        <w:t xml:space="preserve">previously approved ICRs. The total burden hours requested for this ICR is </w:t>
      </w:r>
      <w:r w:rsidR="00A740D3">
        <w:rPr>
          <w:rFonts w:cs="Arial"/>
          <w:color w:val="000000" w:themeColor="text1"/>
          <w:szCs w:val="24"/>
        </w:rPr>
        <w:t>26,</w:t>
      </w:r>
      <w:r w:rsidR="00F55F45">
        <w:rPr>
          <w:rFonts w:cs="Arial"/>
          <w:color w:val="000000" w:themeColor="text1"/>
          <w:szCs w:val="24"/>
        </w:rPr>
        <w:t>226</w:t>
      </w:r>
      <w:r w:rsidR="00B54DED">
        <w:rPr>
          <w:rFonts w:cs="Arial"/>
          <w:color w:val="000000" w:themeColor="text1"/>
          <w:szCs w:val="24"/>
        </w:rPr>
        <w:t xml:space="preserve"> and the total estimated cost is $5,109,515</w:t>
      </w:r>
      <w:r w:rsidRPr="008C439D">
        <w:rPr>
          <w:rFonts w:cs="Arial"/>
          <w:color w:val="000000" w:themeColor="text1"/>
          <w:szCs w:val="24"/>
        </w:rPr>
        <w:t xml:space="preserve">. </w:t>
      </w:r>
      <w:r w:rsidR="006655EA">
        <w:rPr>
          <w:rFonts w:cs="Arial"/>
          <w:color w:val="000000" w:themeColor="text1"/>
          <w:szCs w:val="24"/>
        </w:rPr>
        <w:t xml:space="preserve">There was an increase in the estimated number of responses for </w:t>
      </w:r>
      <w:r w:rsidR="00A740D3">
        <w:rPr>
          <w:rFonts w:cs="Arial"/>
          <w:color w:val="000000" w:themeColor="text1"/>
          <w:szCs w:val="24"/>
        </w:rPr>
        <w:t xml:space="preserve">Section </w:t>
      </w:r>
      <w:r w:rsidR="006655EA">
        <w:rPr>
          <w:rFonts w:cs="Arial"/>
          <w:color w:val="000000" w:themeColor="text1"/>
          <w:szCs w:val="24"/>
        </w:rPr>
        <w:t xml:space="preserve">8(d) Health and Safety Studies and Chemical Specific </w:t>
      </w:r>
      <w:r w:rsidR="00A740D3">
        <w:rPr>
          <w:rFonts w:cs="Arial"/>
          <w:color w:val="000000" w:themeColor="text1"/>
          <w:szCs w:val="24"/>
        </w:rPr>
        <w:t xml:space="preserve">Section </w:t>
      </w:r>
      <w:r w:rsidR="006655EA">
        <w:rPr>
          <w:rFonts w:cs="Arial"/>
          <w:color w:val="000000" w:themeColor="text1"/>
          <w:szCs w:val="24"/>
        </w:rPr>
        <w:t>8(a) because of the reinstatement of this ICR</w:t>
      </w:r>
      <w:r w:rsidR="00B54DED">
        <w:rPr>
          <w:rFonts w:cs="Arial"/>
          <w:color w:val="000000" w:themeColor="text1"/>
          <w:szCs w:val="24"/>
        </w:rPr>
        <w:t xml:space="preserve">, and increased number of potential </w:t>
      </w:r>
      <w:r w:rsidR="007428AF">
        <w:rPr>
          <w:rFonts w:cs="Arial"/>
          <w:color w:val="000000" w:themeColor="text1"/>
          <w:szCs w:val="24"/>
        </w:rPr>
        <w:t xml:space="preserve">Section </w:t>
      </w:r>
      <w:r w:rsidR="00B54DED">
        <w:rPr>
          <w:rFonts w:cs="Arial"/>
          <w:color w:val="000000" w:themeColor="text1"/>
          <w:szCs w:val="24"/>
        </w:rPr>
        <w:t>8(d) submissions</w:t>
      </w:r>
      <w:r w:rsidR="006655EA">
        <w:rPr>
          <w:rFonts w:cs="Arial"/>
          <w:color w:val="000000" w:themeColor="text1"/>
          <w:szCs w:val="24"/>
        </w:rPr>
        <w:t xml:space="preserve">. The increase for these two </w:t>
      </w:r>
      <w:r w:rsidR="007428AF">
        <w:rPr>
          <w:rFonts w:cs="Arial"/>
          <w:color w:val="000000" w:themeColor="text1"/>
          <w:szCs w:val="24"/>
        </w:rPr>
        <w:t>information collections</w:t>
      </w:r>
      <w:r w:rsidR="006655EA">
        <w:rPr>
          <w:rFonts w:cs="Arial"/>
          <w:color w:val="000000" w:themeColor="text1"/>
          <w:szCs w:val="24"/>
        </w:rPr>
        <w:t xml:space="preserve"> </w:t>
      </w:r>
      <w:r w:rsidR="007428AF">
        <w:rPr>
          <w:rFonts w:cs="Arial"/>
          <w:color w:val="000000" w:themeColor="text1"/>
          <w:szCs w:val="24"/>
        </w:rPr>
        <w:t>is</w:t>
      </w:r>
      <w:r w:rsidR="003C1FFC">
        <w:rPr>
          <w:rFonts w:cs="Arial"/>
          <w:color w:val="000000" w:themeColor="text1"/>
          <w:szCs w:val="24"/>
        </w:rPr>
        <w:t xml:space="preserve"> 50 respon</w:t>
      </w:r>
      <w:r w:rsidR="007428AF">
        <w:rPr>
          <w:rFonts w:cs="Arial"/>
          <w:color w:val="000000" w:themeColor="text1"/>
          <w:szCs w:val="24"/>
        </w:rPr>
        <w:t>s</w:t>
      </w:r>
      <w:r w:rsidR="003C1FFC">
        <w:rPr>
          <w:rFonts w:cs="Arial"/>
          <w:color w:val="000000" w:themeColor="text1"/>
          <w:szCs w:val="24"/>
        </w:rPr>
        <w:t>es</w:t>
      </w:r>
      <w:r w:rsidR="007428AF">
        <w:rPr>
          <w:rFonts w:cs="Arial"/>
          <w:color w:val="000000" w:themeColor="text1"/>
          <w:szCs w:val="24"/>
        </w:rPr>
        <w:t xml:space="preserve">, 7 for </w:t>
      </w:r>
      <w:r w:rsidR="00F1765C">
        <w:rPr>
          <w:rFonts w:cs="Arial"/>
          <w:color w:val="000000" w:themeColor="text1"/>
          <w:szCs w:val="24"/>
        </w:rPr>
        <w:t xml:space="preserve">Section </w:t>
      </w:r>
      <w:r w:rsidR="007428AF">
        <w:rPr>
          <w:rFonts w:cs="Arial"/>
          <w:color w:val="000000" w:themeColor="text1"/>
          <w:szCs w:val="24"/>
        </w:rPr>
        <w:t>8</w:t>
      </w:r>
      <w:r w:rsidR="00F1765C">
        <w:rPr>
          <w:rFonts w:cs="Arial"/>
          <w:color w:val="000000" w:themeColor="text1"/>
          <w:szCs w:val="24"/>
        </w:rPr>
        <w:t>(</w:t>
      </w:r>
      <w:r w:rsidR="007428AF">
        <w:rPr>
          <w:rFonts w:cs="Arial"/>
          <w:color w:val="000000" w:themeColor="text1"/>
          <w:szCs w:val="24"/>
        </w:rPr>
        <w:t>d</w:t>
      </w:r>
      <w:r w:rsidR="00F1765C">
        <w:rPr>
          <w:rFonts w:cs="Arial"/>
          <w:color w:val="000000" w:themeColor="text1"/>
          <w:szCs w:val="24"/>
        </w:rPr>
        <w:t>)</w:t>
      </w:r>
      <w:r w:rsidR="007428AF">
        <w:rPr>
          <w:rFonts w:cs="Arial"/>
          <w:color w:val="000000" w:themeColor="text1"/>
          <w:szCs w:val="24"/>
        </w:rPr>
        <w:t xml:space="preserve"> Health and Safety Studies and 43</w:t>
      </w:r>
      <w:r w:rsidR="000822B6">
        <w:rPr>
          <w:rFonts w:cs="Arial"/>
          <w:color w:val="000000" w:themeColor="text1"/>
          <w:szCs w:val="24"/>
        </w:rPr>
        <w:t xml:space="preserve"> </w:t>
      </w:r>
      <w:r w:rsidR="007428AF">
        <w:rPr>
          <w:rFonts w:cs="Arial"/>
          <w:color w:val="000000" w:themeColor="text1"/>
          <w:szCs w:val="24"/>
        </w:rPr>
        <w:t xml:space="preserve">Chemical Specific Section 8(a) respectively, </w:t>
      </w:r>
      <w:r w:rsidR="000822B6">
        <w:rPr>
          <w:rFonts w:cs="Arial"/>
          <w:color w:val="000000" w:themeColor="text1"/>
          <w:szCs w:val="24"/>
        </w:rPr>
        <w:t xml:space="preserve">from the two previously approved ICRs. </w:t>
      </w:r>
      <w:r w:rsidRPr="00EC50D6" w:rsidR="006655EA">
        <w:t xml:space="preserve">The total combined cost burden from </w:t>
      </w:r>
      <w:r w:rsidR="008B748A">
        <w:t xml:space="preserve">the Section 8(d) Health and Safety Studies and the Chemical Specific Section 8(a) </w:t>
      </w:r>
      <w:r w:rsidRPr="0066199B" w:rsidR="006655EA">
        <w:t>currently</w:t>
      </w:r>
      <w:r w:rsidRPr="00EC50D6" w:rsidR="006655EA">
        <w:t xml:space="preserve"> approved ICRs </w:t>
      </w:r>
      <w:r w:rsidRPr="0066199B" w:rsidR="006655EA">
        <w:t>is $</w:t>
      </w:r>
      <w:r w:rsidR="00954268">
        <w:t>23,501</w:t>
      </w:r>
      <w:r w:rsidRPr="00EC50D6" w:rsidR="006655EA">
        <w:t xml:space="preserve"> </w:t>
      </w:r>
      <w:r w:rsidR="008B748A">
        <w:t>(</w:t>
      </w:r>
      <w:r w:rsidRPr="00EC50D6" w:rsidR="006655EA">
        <w:t>$</w:t>
      </w:r>
      <w:r w:rsidR="00954268">
        <w:t>23,501 + $</w:t>
      </w:r>
      <w:r w:rsidR="007428AF">
        <w:t>0</w:t>
      </w:r>
      <w:r w:rsidR="008B748A">
        <w:t>)</w:t>
      </w:r>
      <w:r w:rsidRPr="0066199B" w:rsidR="008B748A">
        <w:t>,</w:t>
      </w:r>
      <w:r w:rsidR="008B748A">
        <w:t xml:space="preserve"> respectively,</w:t>
      </w:r>
      <w:r w:rsidRPr="0066199B" w:rsidR="008B748A">
        <w:t xml:space="preserve"> </w:t>
      </w:r>
      <w:r w:rsidRPr="0066199B" w:rsidR="006655EA">
        <w:t xml:space="preserve">and the </w:t>
      </w:r>
      <w:r w:rsidRPr="00EC50D6" w:rsidR="006655EA">
        <w:t>total cost burden requested for th</w:t>
      </w:r>
      <w:r w:rsidR="00954268">
        <w:t>ese information collections is</w:t>
      </w:r>
      <w:r w:rsidRPr="00EC50D6" w:rsidR="006655EA">
        <w:t xml:space="preserve"> ICR is $</w:t>
      </w:r>
      <w:r w:rsidR="00F1765C">
        <w:t>56,397 ($41,607 + $14,790)</w:t>
      </w:r>
      <w:r w:rsidRPr="00EC50D6" w:rsidR="006655EA">
        <w:t xml:space="preserve">. </w:t>
      </w:r>
    </w:p>
    <w:p w:rsidR="006655EA" w:rsidP="006655EA" w:rsidRDefault="006655EA" w14:paraId="7F78F245" w14:textId="5DC6E9C6">
      <w:r w:rsidRPr="0066199B">
        <w:t xml:space="preserve">Once this ICR is approved, it will replace the existing ICRs, resulting in </w:t>
      </w:r>
      <w:r w:rsidR="003C1FFC">
        <w:t xml:space="preserve">an increase </w:t>
      </w:r>
      <w:r w:rsidRPr="0066199B">
        <w:t xml:space="preserve">in the estimated total cost burden of </w:t>
      </w:r>
      <w:r w:rsidR="003C1FFC">
        <w:t>$297,1</w:t>
      </w:r>
      <w:r w:rsidR="00C7434F">
        <w:t>19</w:t>
      </w:r>
      <w:r w:rsidR="003C1FFC">
        <w:t xml:space="preserve"> [</w:t>
      </w:r>
      <w:r w:rsidRPr="0066199B">
        <w:t>$</w:t>
      </w:r>
      <w:r w:rsidR="003C1FFC">
        <w:t>5,109,51</w:t>
      </w:r>
      <w:r w:rsidR="00C7434F">
        <w:t>5</w:t>
      </w:r>
      <w:r w:rsidR="003C1FFC">
        <w:t xml:space="preserve"> – </w:t>
      </w:r>
      <w:r w:rsidR="00F1765C">
        <w:t>$</w:t>
      </w:r>
      <w:r w:rsidR="003C1FFC">
        <w:t>4,812,396]</w:t>
      </w:r>
      <w:r w:rsidRPr="0066199B">
        <w:t>.</w:t>
      </w:r>
      <w:r>
        <w:t xml:space="preserve"> </w:t>
      </w:r>
      <w:r w:rsidRPr="00EC50D6">
        <w:t xml:space="preserve">The difference between the current cost burden request and the previously approved requests are due to the </w:t>
      </w:r>
      <w:r>
        <w:t>consolidation</w:t>
      </w:r>
      <w:r w:rsidR="003C1FFC">
        <w:t xml:space="preserve"> and reinstatement </w:t>
      </w:r>
      <w:r>
        <w:t xml:space="preserve">of the individual ICRs </w:t>
      </w:r>
      <w:r w:rsidRPr="00EC50D6">
        <w:t>when calculating the burden, as well as adjustments in EPA’s estimates of the number of respondents and of the burden. In addition to the adjustments listed above, the wage rates and material costs were revised to reflect 202</w:t>
      </w:r>
      <w:r>
        <w:t>1</w:t>
      </w:r>
      <w:r w:rsidRPr="00EC50D6">
        <w:t xml:space="preserve"> dollars for this information collection request.</w:t>
      </w:r>
    </w:p>
    <w:p w:rsidR="00A640A9" w:rsidP="00253A81" w:rsidRDefault="00D278E1" w14:paraId="67020DB0" w14:textId="70AFC105">
      <w:pPr>
        <w:pStyle w:val="Heading2"/>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Pr="00BE0059" w:rsidR="00BE0059" w:rsidP="00BE0059" w:rsidRDefault="00BE0059" w14:paraId="218CCC03" w14:textId="2D736948">
      <w:pPr>
        <w:rPr>
          <w:lang w:bidi="en-US"/>
        </w:rPr>
      </w:pPr>
      <w:r w:rsidRPr="00C915E0">
        <w:rPr>
          <w:lang w:bidi="en-US"/>
        </w:rPr>
        <w:t xml:space="preserve">Not applicable. </w:t>
      </w:r>
    </w:p>
    <w:p w:rsidR="00D278E1" w:rsidP="00253A81" w:rsidRDefault="00A640A9" w14:paraId="3C058E98" w14:textId="6D19D912">
      <w:pPr>
        <w:pStyle w:val="Heading2"/>
      </w:pPr>
      <w:r>
        <w:t>If</w:t>
      </w:r>
      <w:r w:rsidR="00D278E1">
        <w:t xml:space="preserve"> seeking approval to not display the expiration date for OMB approval of the information collection, explain the reasons why display would be inappropriate.</w:t>
      </w:r>
    </w:p>
    <w:p w:rsidRPr="00F300BC" w:rsidR="00F300BC" w:rsidP="00F300BC" w:rsidRDefault="00F300BC" w14:paraId="13A983D9" w14:textId="5A7048C6">
      <w:pPr>
        <w:rPr>
          <w:lang w:bidi="en-US"/>
        </w:rPr>
      </w:pPr>
      <w:r>
        <w:rPr>
          <w:lang w:bidi="en-US"/>
        </w:rPr>
        <w:t xml:space="preserve">Not applicable. </w:t>
      </w:r>
    </w:p>
    <w:p w:rsidR="005D6FB8" w:rsidP="00253A81" w:rsidRDefault="00D278E1" w14:paraId="380B6953" w14:textId="2ECA3EC7">
      <w:pPr>
        <w:pStyle w:val="Heading2"/>
      </w:pPr>
      <w:r>
        <w:t xml:space="preserve">Explain each exception to the certification statement identified in </w:t>
      </w:r>
      <w:r w:rsidRPr="007F3A69" w:rsidR="007F3A69">
        <w:t>“Certification for Paperwork Reduction Act Submissions.”</w:t>
      </w:r>
    </w:p>
    <w:p w:rsidRPr="00DD4208" w:rsidR="00945645" w:rsidP="00945645" w:rsidRDefault="00945645" w14:paraId="3DC2183C" w14:textId="77777777">
      <w:r>
        <w:t xml:space="preserve">EPA does not request an exception to the certification of this information collection. </w:t>
      </w:r>
    </w:p>
    <w:p w:rsidR="0026304B" w:rsidP="002059F4" w:rsidRDefault="007A01E7" w14:paraId="6054E19E" w14:textId="080567FA">
      <w:pPr>
        <w:pStyle w:val="Heading1"/>
      </w:pPr>
      <w:r>
        <w:t>Supplemental Information</w:t>
      </w:r>
    </w:p>
    <w:p w:rsidRPr="009B13AC" w:rsidR="009B13AC" w:rsidP="00B2154A" w:rsidRDefault="009B13AC" w14:paraId="0B2E3A84" w14:textId="2EE22FA9">
      <w:pPr>
        <w:rPr>
          <w:szCs w:val="24"/>
          <w:u w:val="single"/>
        </w:rPr>
      </w:pPr>
      <w:r w:rsidRPr="009B13AC">
        <w:rPr>
          <w:szCs w:val="24"/>
          <w:u w:val="single"/>
        </w:rPr>
        <w:t>PRA Burden Statement</w:t>
      </w:r>
      <w:r>
        <w:rPr>
          <w:szCs w:val="24"/>
          <w:u w:val="single"/>
        </w:rPr>
        <w:t xml:space="preserve"> for Collection Instruments</w:t>
      </w:r>
      <w:r w:rsidRPr="009B13AC">
        <w:rPr>
          <w:szCs w:val="24"/>
          <w:u w:val="single"/>
        </w:rPr>
        <w:t xml:space="preserve"> </w:t>
      </w:r>
    </w:p>
    <w:p w:rsidR="00B2154A" w:rsidP="00B2154A" w:rsidRDefault="00B2154A" w14:paraId="26D6380C" w14:textId="0427EFFC">
      <w:pPr>
        <w:rPr>
          <w:szCs w:val="24"/>
        </w:rPr>
      </w:pPr>
      <w:r>
        <w:rPr>
          <w:szCs w:val="24"/>
        </w:rPr>
        <w:t xml:space="preserve">This collection of </w:t>
      </w:r>
      <w:r w:rsidRPr="00B2154A">
        <w:rPr>
          <w:szCs w:val="24"/>
        </w:rPr>
        <w:t>information is approved by OMB under the Paperwork Reduction Act, 44 U.S.C. 3501 et seq. (OMB Control No. 2070-</w:t>
      </w:r>
      <w:r w:rsidR="00057B3B">
        <w:rPr>
          <w:szCs w:val="24"/>
        </w:rPr>
        <w:t>NEW; EPA ICR No. 2701</w:t>
      </w:r>
      <w:r w:rsidR="00987865">
        <w:rPr>
          <w:szCs w:val="24"/>
        </w:rPr>
        <w:t>.01</w:t>
      </w:r>
      <w:r w:rsidRPr="00B2154A">
        <w:rPr>
          <w:szCs w:val="24"/>
        </w:rPr>
        <w:t>). Responses to this collection of information are mandatory for certain persons, as specified at 15 U.S.C. 2607. An agency may not conduct or sponsor, and a person is not required to respond to</w:t>
      </w:r>
      <w:r>
        <w:rPr>
          <w:szCs w:val="24"/>
        </w:rPr>
        <w:t xml:space="preserve">, a collection of information unless it displays a currently valid OMB control number. The public reporting and recordkeeping burden for this collection of information is estimated to </w:t>
      </w:r>
      <w:r w:rsidRPr="009B13AC">
        <w:rPr>
          <w:b/>
          <w:bCs/>
          <w:szCs w:val="24"/>
        </w:rPr>
        <w:t>50 hours per</w:t>
      </w:r>
      <w:r w:rsidRPr="00310D39">
        <w:rPr>
          <w:szCs w:val="24"/>
        </w:rPr>
        <w:t xml:space="preserve"> initial </w:t>
      </w:r>
      <w:r w:rsidR="00FC5370">
        <w:rPr>
          <w:szCs w:val="24"/>
        </w:rPr>
        <w:t>S</w:t>
      </w:r>
      <w:r w:rsidRPr="00310D39" w:rsidR="00FC5370">
        <w:rPr>
          <w:szCs w:val="24"/>
        </w:rPr>
        <w:t xml:space="preserve">ection </w:t>
      </w:r>
      <w:r w:rsidRPr="00310D39">
        <w:rPr>
          <w:szCs w:val="24"/>
        </w:rPr>
        <w:t>8(</w:t>
      </w:r>
      <w:r w:rsidR="00286491">
        <w:rPr>
          <w:szCs w:val="24"/>
        </w:rPr>
        <w:t>a</w:t>
      </w:r>
      <w:r w:rsidRPr="00310D39">
        <w:rPr>
          <w:szCs w:val="24"/>
        </w:rPr>
        <w:t xml:space="preserve">) </w:t>
      </w:r>
      <w:r w:rsidR="00286491">
        <w:rPr>
          <w:szCs w:val="24"/>
        </w:rPr>
        <w:t xml:space="preserve">PAIR </w:t>
      </w:r>
      <w:r w:rsidRPr="00310D39">
        <w:rPr>
          <w:szCs w:val="24"/>
        </w:rPr>
        <w:t>submission</w:t>
      </w:r>
      <w:r w:rsidR="00057B3B">
        <w:rPr>
          <w:szCs w:val="24"/>
        </w:rPr>
        <w:t xml:space="preserve">; </w:t>
      </w:r>
      <w:r w:rsidRPr="009B13AC" w:rsidR="00A331C9">
        <w:rPr>
          <w:b/>
          <w:bCs/>
          <w:szCs w:val="24"/>
        </w:rPr>
        <w:t>68</w:t>
      </w:r>
      <w:r w:rsidRPr="009B13AC" w:rsidR="00286491">
        <w:rPr>
          <w:b/>
          <w:bCs/>
          <w:szCs w:val="24"/>
        </w:rPr>
        <w:t xml:space="preserve"> hours</w:t>
      </w:r>
      <w:r w:rsidR="00057B3B">
        <w:rPr>
          <w:szCs w:val="24"/>
        </w:rPr>
        <w:t xml:space="preserve"> for </w:t>
      </w:r>
      <w:r w:rsidR="001F49CF">
        <w:rPr>
          <w:szCs w:val="24"/>
        </w:rPr>
        <w:t>Chemical Specific</w:t>
      </w:r>
      <w:r w:rsidR="00FC5370">
        <w:rPr>
          <w:szCs w:val="24"/>
        </w:rPr>
        <w:t xml:space="preserve"> </w:t>
      </w:r>
      <w:r w:rsidR="001F49CF">
        <w:rPr>
          <w:szCs w:val="24"/>
        </w:rPr>
        <w:t xml:space="preserve">Section </w:t>
      </w:r>
      <w:r w:rsidR="00286491">
        <w:rPr>
          <w:szCs w:val="24"/>
        </w:rPr>
        <w:t xml:space="preserve">8(a) </w:t>
      </w:r>
      <w:r w:rsidR="001F49CF">
        <w:rPr>
          <w:szCs w:val="24"/>
        </w:rPr>
        <w:t>Rules</w:t>
      </w:r>
      <w:r w:rsidR="00286491">
        <w:rPr>
          <w:szCs w:val="24"/>
        </w:rPr>
        <w:t xml:space="preserve">, </w:t>
      </w:r>
      <w:r w:rsidRPr="009B13AC" w:rsidR="00A331C9">
        <w:rPr>
          <w:b/>
          <w:bCs/>
          <w:szCs w:val="24"/>
        </w:rPr>
        <w:t>11</w:t>
      </w:r>
      <w:r w:rsidRPr="009B13AC" w:rsidR="00057B3B">
        <w:rPr>
          <w:b/>
          <w:bCs/>
          <w:szCs w:val="24"/>
        </w:rPr>
        <w:t xml:space="preserve"> hours</w:t>
      </w:r>
      <w:r w:rsidR="00057B3B">
        <w:rPr>
          <w:szCs w:val="24"/>
        </w:rPr>
        <w:t xml:space="preserve"> for </w:t>
      </w:r>
      <w:r w:rsidR="001F49CF">
        <w:rPr>
          <w:szCs w:val="24"/>
        </w:rPr>
        <w:t xml:space="preserve">Health and Safety </w:t>
      </w:r>
      <w:r w:rsidR="00FC5370">
        <w:rPr>
          <w:szCs w:val="24"/>
        </w:rPr>
        <w:t xml:space="preserve">Section </w:t>
      </w:r>
      <w:r w:rsidR="00286491">
        <w:rPr>
          <w:szCs w:val="24"/>
        </w:rPr>
        <w:t>8</w:t>
      </w:r>
      <w:r w:rsidR="00FE323B">
        <w:rPr>
          <w:szCs w:val="24"/>
        </w:rPr>
        <w:t>(</w:t>
      </w:r>
      <w:r w:rsidR="00286491">
        <w:rPr>
          <w:szCs w:val="24"/>
        </w:rPr>
        <w:t>d</w:t>
      </w:r>
      <w:r w:rsidR="00FE323B">
        <w:rPr>
          <w:szCs w:val="24"/>
        </w:rPr>
        <w:t>)</w:t>
      </w:r>
      <w:r w:rsidR="00057B3B">
        <w:rPr>
          <w:szCs w:val="24"/>
        </w:rPr>
        <w:t xml:space="preserve">; </w:t>
      </w:r>
      <w:r w:rsidR="00286491">
        <w:rPr>
          <w:szCs w:val="24"/>
        </w:rPr>
        <w:t xml:space="preserve">and </w:t>
      </w:r>
      <w:r w:rsidR="00405014">
        <w:rPr>
          <w:szCs w:val="24"/>
        </w:rPr>
        <w:t>.</w:t>
      </w:r>
      <w:r w:rsidRPr="009B13AC" w:rsidR="00405014">
        <w:rPr>
          <w:b/>
          <w:bCs/>
          <w:szCs w:val="24"/>
        </w:rPr>
        <w:t>97</w:t>
      </w:r>
      <w:r w:rsidRPr="009B13AC" w:rsidR="00057B3B">
        <w:rPr>
          <w:b/>
          <w:bCs/>
          <w:szCs w:val="24"/>
        </w:rPr>
        <w:t xml:space="preserve"> hours</w:t>
      </w:r>
      <w:r w:rsidR="00057B3B">
        <w:rPr>
          <w:szCs w:val="24"/>
        </w:rPr>
        <w:t xml:space="preserve"> for </w:t>
      </w:r>
      <w:r w:rsidR="00FC5370">
        <w:rPr>
          <w:szCs w:val="24"/>
        </w:rPr>
        <w:t xml:space="preserve">Section </w:t>
      </w:r>
      <w:r w:rsidR="00286491">
        <w:rPr>
          <w:szCs w:val="24"/>
        </w:rPr>
        <w:t>8</w:t>
      </w:r>
      <w:r w:rsidR="00057B3B">
        <w:rPr>
          <w:szCs w:val="24"/>
        </w:rPr>
        <w:t>(</w:t>
      </w:r>
      <w:r w:rsidR="00286491">
        <w:rPr>
          <w:szCs w:val="24"/>
        </w:rPr>
        <w:t>c</w:t>
      </w:r>
      <w:r w:rsidR="00057B3B">
        <w:rPr>
          <w:szCs w:val="24"/>
        </w:rPr>
        <w:t>)</w:t>
      </w:r>
      <w:r w:rsidR="00405014">
        <w:rPr>
          <w:szCs w:val="24"/>
        </w:rPr>
        <w:t>.</w:t>
      </w:r>
      <w:r w:rsidR="00286491">
        <w:rPr>
          <w:szCs w:val="24"/>
        </w:rPr>
        <w:t xml:space="preserve"> </w:t>
      </w:r>
      <w:r>
        <w:rPr>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9B13AC" w:rsidP="009B13AC" w:rsidRDefault="009B13AC" w14:paraId="20E0C1E0" w14:textId="22472204">
      <w:pPr>
        <w:numPr>
          <w:ilvl w:val="12"/>
          <w:numId w:val="0"/>
        </w:numPr>
        <w:rPr>
          <w:color w:val="0F0F0F"/>
          <w:szCs w:val="24"/>
        </w:rPr>
      </w:pPr>
      <w:r w:rsidRPr="00950869">
        <w:rPr>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2A07CD">
        <w:rPr>
          <w:szCs w:val="24"/>
        </w:rPr>
        <w:t>Number EPA-HQ</w:t>
      </w:r>
      <w:r w:rsidRPr="00E97296">
        <w:rPr>
          <w:szCs w:val="24"/>
        </w:rPr>
        <w:t>-</w:t>
      </w:r>
      <w:r w:rsidRPr="002A07CD">
        <w:rPr>
          <w:szCs w:val="24"/>
        </w:rPr>
        <w:t>OPPT-</w:t>
      </w:r>
      <w:r>
        <w:rPr>
          <w:rFonts w:cs="Arial"/>
          <w:szCs w:val="24"/>
        </w:rPr>
        <w:t>2021-</w:t>
      </w:r>
      <w:r w:rsidR="00CE4E97">
        <w:rPr>
          <w:rFonts w:cs="Arial"/>
          <w:szCs w:val="24"/>
        </w:rPr>
        <w:t>0728</w:t>
      </w:r>
      <w:r w:rsidRPr="002A07CD">
        <w:rPr>
          <w:szCs w:val="24"/>
        </w:rPr>
        <w:t xml:space="preserve">, </w:t>
      </w:r>
      <w:bookmarkStart w:name="_Hlk80705102" w:id="48"/>
      <w:r w:rsidRPr="002A07CD">
        <w:rPr>
          <w:szCs w:val="24"/>
        </w:rPr>
        <w:t xml:space="preserve">which </w:t>
      </w:r>
      <w:r w:rsidRPr="00950869">
        <w:rPr>
          <w:color w:val="0F0F0F"/>
          <w:szCs w:val="24"/>
        </w:rPr>
        <w:t xml:space="preserve">is available at </w:t>
      </w:r>
      <w:hyperlink w:history="1" r:id="rId22">
        <w:r>
          <w:rPr>
            <w:rStyle w:val="Hyperlink"/>
            <w:szCs w:val="24"/>
          </w:rPr>
          <w:t>http://www.regulations.gov</w:t>
        </w:r>
      </w:hyperlink>
      <w:r>
        <w:rPr>
          <w:rStyle w:val="Hyperlink"/>
          <w:szCs w:val="24"/>
        </w:rPr>
        <w:t>.</w:t>
      </w:r>
      <w:r w:rsidRPr="00950869">
        <w:rPr>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Pr="00AD520B" w:rsidR="009B13AC" w:rsidP="009B13AC" w:rsidRDefault="009B13AC" w14:paraId="697A6A9D"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23">
        <w:r w:rsidRPr="00B7714D">
          <w:rPr>
            <w:rStyle w:val="Hyperlink"/>
          </w:rPr>
          <w:t>http://www.reginfo.gov/public/do/PRAMain</w:t>
        </w:r>
      </w:hyperlink>
      <w:r>
        <w:t>. Find this particular information collection by selecting ‘‘Currently under 30-day Review—Open for Public Comments’’ or by using the search function.</w:t>
      </w:r>
    </w:p>
    <w:p w:rsidR="009B13AC" w:rsidP="009B13AC" w:rsidRDefault="009B13AC" w14:paraId="18590ABD"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B7714D" w:rsidR="009B13AC" w:rsidP="009B13AC" w:rsidRDefault="009B13AC" w14:paraId="2AFDB83F" w14:textId="77777777">
      <w:bookmarkStart w:name="_Hlk79500589" w:id="49"/>
      <w:r w:rsidRPr="00D52825">
        <w:t xml:space="preserve">For the latest status information on EPA/DC services and docket access, visit </w:t>
      </w:r>
      <w:r w:rsidRPr="00D52825">
        <w:rPr>
          <w:rStyle w:val="Hyperlink"/>
        </w:rPr>
        <w:t>https://www.epa.gov/dockets</w:t>
      </w:r>
      <w:r w:rsidRPr="00D52825">
        <w:t>.</w:t>
      </w:r>
      <w:bookmarkEnd w:id="48"/>
      <w:bookmarkEnd w:id="49"/>
    </w:p>
    <w:p w:rsidR="00A640A9" w:rsidP="002059F4" w:rsidRDefault="00A640A9" w14:paraId="4CFB748D" w14:textId="12211AEA">
      <w:pPr>
        <w:pStyle w:val="Heading1"/>
      </w:pPr>
      <w:r>
        <w:t>List of Attachments</w:t>
      </w:r>
    </w:p>
    <w:p w:rsidR="0026304B" w:rsidP="0026304B" w:rsidRDefault="0026304B" w14:paraId="4BA9D995" w14:textId="71BDCCE4">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24">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270BE8">
        <w:rPr>
          <w:rFonts w:cs="Arial"/>
          <w:szCs w:val="24"/>
        </w:rPr>
        <w:t>OPPT</w:t>
      </w:r>
      <w:r>
        <w:rPr>
          <w:rFonts w:cs="Arial"/>
          <w:szCs w:val="24"/>
        </w:rPr>
        <w:t>-</w:t>
      </w:r>
      <w:r w:rsidR="00270BE8">
        <w:rPr>
          <w:rFonts w:cs="Arial"/>
          <w:szCs w:val="24"/>
        </w:rPr>
        <w:t>20</w:t>
      </w:r>
      <w:r w:rsidR="005C3BF0">
        <w:rPr>
          <w:rFonts w:cs="Arial"/>
          <w:szCs w:val="24"/>
        </w:rPr>
        <w:t>21</w:t>
      </w:r>
      <w:r w:rsidR="00270BE8">
        <w:rPr>
          <w:rFonts w:cs="Arial"/>
          <w:szCs w:val="24"/>
        </w:rPr>
        <w:t>-</w:t>
      </w:r>
      <w:r w:rsidR="005C3BF0">
        <w:rPr>
          <w:rFonts w:cs="Arial"/>
          <w:szCs w:val="24"/>
        </w:rPr>
        <w:t>0768</w:t>
      </w:r>
      <w:r>
        <w:rPr>
          <w:lang w:bidi="en-US"/>
        </w:rPr>
        <w:t>.</w:t>
      </w:r>
    </w:p>
    <w:tbl>
      <w:tblPr>
        <w:tblStyle w:val="TableGrid"/>
        <w:tblW w:w="0" w:type="auto"/>
        <w:tblLook w:val="04A0" w:firstRow="1" w:lastRow="0" w:firstColumn="1" w:lastColumn="0" w:noHBand="0" w:noVBand="1"/>
      </w:tblPr>
      <w:tblGrid>
        <w:gridCol w:w="670"/>
        <w:gridCol w:w="8680"/>
      </w:tblGrid>
      <w:tr w:rsidR="0026304B" w:rsidTr="00F300BC" w14:paraId="3C28984B" w14:textId="77777777">
        <w:tc>
          <w:tcPr>
            <w:tcW w:w="670"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680" w:type="dxa"/>
          </w:tcPr>
          <w:p w:rsidRPr="0026304B" w:rsidR="0026304B" w:rsidP="0026304B" w:rsidRDefault="0026304B" w14:paraId="43C6C962" w14:textId="645971FF">
            <w:pPr>
              <w:widowControl w:val="0"/>
              <w:spacing w:before="40" w:after="40" w:line="240" w:lineRule="auto"/>
              <w:rPr>
                <w:b/>
                <w:bCs/>
                <w:lang w:bidi="en-US"/>
              </w:rPr>
            </w:pPr>
            <w:r w:rsidRPr="0026304B">
              <w:rPr>
                <w:b/>
                <w:bCs/>
                <w:lang w:bidi="en-US"/>
              </w:rPr>
              <w:t xml:space="preserve">Title </w:t>
            </w:r>
          </w:p>
        </w:tc>
      </w:tr>
      <w:tr w:rsidR="0026304B" w:rsidTr="00F300BC" w14:paraId="653EF079" w14:textId="77777777">
        <w:tc>
          <w:tcPr>
            <w:tcW w:w="670" w:type="dxa"/>
          </w:tcPr>
          <w:p w:rsidR="0026304B" w:rsidP="0026304B" w:rsidRDefault="00B1352E" w14:paraId="244D5D03" w14:textId="3D501ABF">
            <w:pPr>
              <w:widowControl w:val="0"/>
              <w:spacing w:before="40" w:after="40" w:line="240" w:lineRule="auto"/>
              <w:rPr>
                <w:lang w:bidi="en-US"/>
              </w:rPr>
            </w:pPr>
            <w:r>
              <w:rPr>
                <w:lang w:bidi="en-US"/>
              </w:rPr>
              <w:t>1.</w:t>
            </w:r>
          </w:p>
        </w:tc>
        <w:tc>
          <w:tcPr>
            <w:tcW w:w="8680" w:type="dxa"/>
          </w:tcPr>
          <w:p w:rsidR="0026304B" w:rsidP="0026304B" w:rsidRDefault="00E302E1" w14:paraId="46F5F82F" w14:textId="196A4216">
            <w:pPr>
              <w:widowControl w:val="0"/>
              <w:spacing w:before="40" w:after="40" w:line="240" w:lineRule="auto"/>
              <w:rPr>
                <w:lang w:bidi="en-US"/>
              </w:rPr>
            </w:pPr>
            <w:hyperlink w:history="1" r:id="rId25">
              <w:r w:rsidR="00B2154A">
                <w:rPr>
                  <w:rStyle w:val="Hyperlink"/>
                  <w:lang w:bidi="en-US"/>
                </w:rPr>
                <w:t>15 U.S.C. 2607</w:t>
              </w:r>
            </w:hyperlink>
            <w:r w:rsidR="00B2154A">
              <w:rPr>
                <w:lang w:bidi="en-US"/>
              </w:rPr>
              <w:t xml:space="preserve"> </w:t>
            </w:r>
          </w:p>
        </w:tc>
      </w:tr>
      <w:tr w:rsidR="009F0457" w:rsidTr="00F300BC" w14:paraId="0ABC6E76" w14:textId="77777777">
        <w:tc>
          <w:tcPr>
            <w:tcW w:w="670" w:type="dxa"/>
          </w:tcPr>
          <w:p w:rsidR="009F0457" w:rsidP="0026304B" w:rsidRDefault="009F0457" w14:paraId="015BC608" w14:textId="602452BD">
            <w:pPr>
              <w:widowControl w:val="0"/>
              <w:spacing w:before="40" w:after="40" w:line="240" w:lineRule="auto"/>
              <w:rPr>
                <w:lang w:bidi="en-US"/>
              </w:rPr>
            </w:pPr>
            <w:r>
              <w:rPr>
                <w:lang w:bidi="en-US"/>
              </w:rPr>
              <w:t>2</w:t>
            </w:r>
          </w:p>
        </w:tc>
        <w:tc>
          <w:tcPr>
            <w:tcW w:w="8680" w:type="dxa"/>
          </w:tcPr>
          <w:p w:rsidR="009F0457" w:rsidP="0026304B" w:rsidRDefault="00E302E1" w14:paraId="38C8CF10" w14:textId="1C761831">
            <w:pPr>
              <w:widowControl w:val="0"/>
              <w:spacing w:before="40" w:after="40" w:line="240" w:lineRule="auto"/>
            </w:pPr>
            <w:hyperlink w:history="1" r:id="rId26">
              <w:r w:rsidR="00536F1A">
                <w:rPr>
                  <w:rStyle w:val="Hyperlink"/>
                </w:rPr>
                <w:t xml:space="preserve">8(a) Preliminary Assessment Information Rule (PAIR) 40 CFR 712 </w:t>
              </w:r>
            </w:hyperlink>
            <w:r w:rsidR="00536F1A">
              <w:t xml:space="preserve"> </w:t>
            </w:r>
          </w:p>
        </w:tc>
      </w:tr>
      <w:tr w:rsidR="009F0457" w:rsidTr="00F300BC" w14:paraId="40C5EFAC" w14:textId="77777777">
        <w:tc>
          <w:tcPr>
            <w:tcW w:w="670" w:type="dxa"/>
          </w:tcPr>
          <w:p w:rsidR="009F0457" w:rsidP="009F0457" w:rsidRDefault="009F0457" w14:paraId="361C99D0" w14:textId="6C8700C3">
            <w:pPr>
              <w:widowControl w:val="0"/>
              <w:spacing w:before="40" w:after="40" w:line="240" w:lineRule="auto"/>
              <w:rPr>
                <w:lang w:bidi="en-US"/>
              </w:rPr>
            </w:pPr>
            <w:r>
              <w:rPr>
                <w:lang w:bidi="en-US"/>
              </w:rPr>
              <w:t>3</w:t>
            </w:r>
          </w:p>
        </w:tc>
        <w:tc>
          <w:tcPr>
            <w:tcW w:w="8680" w:type="dxa"/>
          </w:tcPr>
          <w:p w:rsidRPr="008A61D0" w:rsidR="009F0457" w:rsidP="009F0457" w:rsidRDefault="00E302E1" w14:paraId="024589D9" w14:textId="798ACD3D">
            <w:pPr>
              <w:widowControl w:val="0"/>
              <w:spacing w:before="40" w:after="40" w:line="240" w:lineRule="auto"/>
            </w:pPr>
            <w:hyperlink w:history="1" r:id="rId27">
              <w:r w:rsidR="00536F1A">
                <w:rPr>
                  <w:rStyle w:val="Hyperlink"/>
                  <w:rFonts w:cs="Arial"/>
                  <w:szCs w:val="24"/>
                </w:rPr>
                <w:t xml:space="preserve">8(a) PAIR and Dibenzo-para-dioxins/dibenzofurans, 40 CFR 766 </w:t>
              </w:r>
            </w:hyperlink>
            <w:r w:rsidR="00536F1A">
              <w:rPr>
                <w:rFonts w:cs="Arial"/>
                <w:szCs w:val="24"/>
              </w:rPr>
              <w:t xml:space="preserve">  </w:t>
            </w:r>
          </w:p>
        </w:tc>
      </w:tr>
      <w:tr w:rsidR="009F0457" w:rsidTr="00F300BC" w14:paraId="332EAF25" w14:textId="77777777">
        <w:tc>
          <w:tcPr>
            <w:tcW w:w="670" w:type="dxa"/>
          </w:tcPr>
          <w:p w:rsidR="009F0457" w:rsidP="009F0457" w:rsidRDefault="009F0457" w14:paraId="3CD04127" w14:textId="51761747">
            <w:pPr>
              <w:widowControl w:val="0"/>
              <w:spacing w:before="40" w:after="40" w:line="240" w:lineRule="auto"/>
              <w:rPr>
                <w:lang w:bidi="en-US"/>
              </w:rPr>
            </w:pPr>
            <w:r>
              <w:rPr>
                <w:lang w:bidi="en-US"/>
              </w:rPr>
              <w:t>4</w:t>
            </w:r>
          </w:p>
        </w:tc>
        <w:tc>
          <w:tcPr>
            <w:tcW w:w="8680" w:type="dxa"/>
          </w:tcPr>
          <w:p w:rsidRPr="008A61D0" w:rsidR="009F0457" w:rsidP="009F0457" w:rsidRDefault="00DB1971" w14:paraId="1C603DC7" w14:textId="6FC7F4F4">
            <w:pPr>
              <w:widowControl w:val="0"/>
              <w:spacing w:before="40" w:after="40" w:line="240" w:lineRule="auto"/>
            </w:pPr>
            <w:r w:rsidRPr="008A61D0">
              <w:rPr>
                <w:rFonts w:cs="Arial"/>
                <w:szCs w:val="24"/>
              </w:rPr>
              <w:t xml:space="preserve">Dioxin/Furan Report Form </w:t>
            </w:r>
            <w:r w:rsidRPr="008A61D0" w:rsidR="009F0457">
              <w:rPr>
                <w:rFonts w:cs="Arial"/>
                <w:iCs/>
                <w:szCs w:val="24"/>
              </w:rPr>
              <w:t xml:space="preserve">EPA Form </w:t>
            </w:r>
            <w:bookmarkStart w:name="_Hlk103606334" w:id="50"/>
            <w:r w:rsidRPr="008A61D0" w:rsidR="009F0457">
              <w:rPr>
                <w:rFonts w:cs="Arial"/>
                <w:iCs/>
                <w:szCs w:val="24"/>
              </w:rPr>
              <w:t>7710-51</w:t>
            </w:r>
            <w:r w:rsidR="004A50CC">
              <w:rPr>
                <w:rFonts w:cs="Arial"/>
                <w:iCs/>
                <w:szCs w:val="24"/>
              </w:rPr>
              <w:t xml:space="preserve"> </w:t>
            </w:r>
            <w:bookmarkEnd w:id="50"/>
            <w:r w:rsidR="00AE09B7">
              <w:rPr>
                <w:rFonts w:cs="Arial"/>
                <w:iCs/>
                <w:szCs w:val="24"/>
              </w:rPr>
              <w:t>and instructions</w:t>
            </w:r>
          </w:p>
        </w:tc>
      </w:tr>
      <w:tr w:rsidR="00DB1971" w:rsidTr="00F300BC" w14:paraId="055EB06B" w14:textId="77777777">
        <w:tc>
          <w:tcPr>
            <w:tcW w:w="670" w:type="dxa"/>
          </w:tcPr>
          <w:p w:rsidR="00DB1971" w:rsidP="009F0457" w:rsidRDefault="00DB1971" w14:paraId="5E9FE7F4" w14:textId="273F0991">
            <w:pPr>
              <w:widowControl w:val="0"/>
              <w:spacing w:before="40" w:after="40" w:line="240" w:lineRule="auto"/>
              <w:rPr>
                <w:lang w:bidi="en-US"/>
              </w:rPr>
            </w:pPr>
            <w:r>
              <w:rPr>
                <w:lang w:bidi="en-US"/>
              </w:rPr>
              <w:t>5</w:t>
            </w:r>
          </w:p>
        </w:tc>
        <w:tc>
          <w:tcPr>
            <w:tcW w:w="8680" w:type="dxa"/>
          </w:tcPr>
          <w:p w:rsidRPr="008A61D0" w:rsidR="00DB1971" w:rsidP="009F0457" w:rsidRDefault="00E302E1" w14:paraId="37925F4C" w14:textId="5CF09B43">
            <w:pPr>
              <w:widowControl w:val="0"/>
              <w:spacing w:before="40" w:after="40" w:line="240" w:lineRule="auto"/>
              <w:rPr>
                <w:rFonts w:cs="Arial"/>
                <w:szCs w:val="24"/>
              </w:rPr>
            </w:pPr>
            <w:hyperlink w:history="1" r:id="rId28">
              <w:r w:rsidR="004A50CC">
                <w:rPr>
                  <w:rStyle w:val="Hyperlink"/>
                </w:rPr>
                <w:t xml:space="preserve">15 U.S.C. 2625 </w:t>
              </w:r>
            </w:hyperlink>
            <w:r w:rsidR="004A50CC">
              <w:t xml:space="preserve"> </w:t>
            </w:r>
          </w:p>
        </w:tc>
      </w:tr>
      <w:tr w:rsidR="009F0457" w:rsidTr="00F300BC" w14:paraId="23E45502" w14:textId="77777777">
        <w:tc>
          <w:tcPr>
            <w:tcW w:w="670" w:type="dxa"/>
          </w:tcPr>
          <w:p w:rsidR="009F0457" w:rsidP="009F0457" w:rsidRDefault="00DB1971" w14:paraId="0631015B" w14:textId="385ECA74">
            <w:pPr>
              <w:widowControl w:val="0"/>
              <w:spacing w:before="40" w:after="40" w:line="240" w:lineRule="auto"/>
              <w:rPr>
                <w:lang w:bidi="en-US"/>
              </w:rPr>
            </w:pPr>
            <w:r>
              <w:rPr>
                <w:lang w:bidi="en-US"/>
              </w:rPr>
              <w:t>6</w:t>
            </w:r>
          </w:p>
        </w:tc>
        <w:tc>
          <w:tcPr>
            <w:tcW w:w="8680" w:type="dxa"/>
          </w:tcPr>
          <w:p w:rsidRPr="008A61D0" w:rsidR="009F0457" w:rsidP="009F0457" w:rsidRDefault="00E302E1" w14:paraId="210DA79F" w14:textId="15814E28">
            <w:pPr>
              <w:widowControl w:val="0"/>
              <w:spacing w:before="40" w:after="40" w:line="240" w:lineRule="auto"/>
            </w:pPr>
            <w:hyperlink w:history="1" r:id="rId29">
              <w:r w:rsidR="00536F1A">
                <w:rPr>
                  <w:rStyle w:val="Hyperlink"/>
                </w:rPr>
                <w:t xml:space="preserve">Chemical Specific Rules, 40 CFR 704 </w:t>
              </w:r>
            </w:hyperlink>
            <w:r w:rsidR="00536F1A">
              <w:t xml:space="preserve"> </w:t>
            </w:r>
          </w:p>
        </w:tc>
      </w:tr>
      <w:tr w:rsidR="009F0457" w:rsidTr="00F300BC" w14:paraId="13CE0CFA" w14:textId="77777777">
        <w:tc>
          <w:tcPr>
            <w:tcW w:w="670" w:type="dxa"/>
          </w:tcPr>
          <w:p w:rsidR="009F0457" w:rsidP="009F0457" w:rsidRDefault="00DB1971" w14:paraId="6662B4A3" w14:textId="75B4676E">
            <w:pPr>
              <w:widowControl w:val="0"/>
              <w:spacing w:before="40" w:after="40" w:line="240" w:lineRule="auto"/>
              <w:rPr>
                <w:lang w:bidi="en-US"/>
              </w:rPr>
            </w:pPr>
            <w:r>
              <w:rPr>
                <w:lang w:bidi="en-US"/>
              </w:rPr>
              <w:t>7</w:t>
            </w:r>
          </w:p>
        </w:tc>
        <w:tc>
          <w:tcPr>
            <w:tcW w:w="8680" w:type="dxa"/>
          </w:tcPr>
          <w:p w:rsidR="009F0457" w:rsidP="009F0457" w:rsidRDefault="00E302E1" w14:paraId="73B8CE44" w14:textId="1CA00ED4">
            <w:pPr>
              <w:widowControl w:val="0"/>
              <w:spacing w:before="40" w:after="40" w:line="240" w:lineRule="auto"/>
            </w:pPr>
            <w:hyperlink w:history="1" r:id="rId30">
              <w:r w:rsidR="004A50CC">
                <w:rPr>
                  <w:rStyle w:val="Hyperlink"/>
                </w:rPr>
                <w:t xml:space="preserve">Allegations of Adverse Effects, 40 CFR 717 </w:t>
              </w:r>
            </w:hyperlink>
            <w:r w:rsidR="00536F1A">
              <w:t xml:space="preserve">  </w:t>
            </w:r>
          </w:p>
        </w:tc>
      </w:tr>
      <w:tr w:rsidR="009F0457" w:rsidTr="00F300BC" w14:paraId="4D154C86" w14:textId="77777777">
        <w:tc>
          <w:tcPr>
            <w:tcW w:w="670" w:type="dxa"/>
          </w:tcPr>
          <w:p w:rsidR="009F0457" w:rsidP="009F0457" w:rsidRDefault="00DB1971" w14:paraId="36A284E3" w14:textId="24F0E511">
            <w:pPr>
              <w:widowControl w:val="0"/>
              <w:spacing w:before="40" w:after="40" w:line="240" w:lineRule="auto"/>
              <w:rPr>
                <w:lang w:bidi="en-US"/>
              </w:rPr>
            </w:pPr>
            <w:r>
              <w:rPr>
                <w:lang w:bidi="en-US"/>
              </w:rPr>
              <w:t>8</w:t>
            </w:r>
          </w:p>
        </w:tc>
        <w:tc>
          <w:tcPr>
            <w:tcW w:w="8680" w:type="dxa"/>
          </w:tcPr>
          <w:p w:rsidR="009F0457" w:rsidP="009F0457" w:rsidRDefault="00E302E1" w14:paraId="13D0D202" w14:textId="43659AA1">
            <w:pPr>
              <w:widowControl w:val="0"/>
              <w:spacing w:before="40" w:after="40" w:line="240" w:lineRule="auto"/>
            </w:pPr>
            <w:hyperlink w:history="1" r:id="rId31">
              <w:r w:rsidR="004A50CC">
                <w:rPr>
                  <w:rStyle w:val="Hyperlink"/>
                </w:rPr>
                <w:t xml:space="preserve">Health and Safety Data Reporting, 40 CFR 716 </w:t>
              </w:r>
            </w:hyperlink>
            <w:r w:rsidR="004A50CC">
              <w:t xml:space="preserve"> </w:t>
            </w:r>
          </w:p>
        </w:tc>
      </w:tr>
      <w:tr w:rsidR="009F0457" w:rsidTr="00F300BC" w14:paraId="5710A49D" w14:textId="77777777">
        <w:tc>
          <w:tcPr>
            <w:tcW w:w="670" w:type="dxa"/>
          </w:tcPr>
          <w:p w:rsidR="009F0457" w:rsidP="009F0457" w:rsidRDefault="00DB1971" w14:paraId="4B6C7807" w14:textId="07B8F7CC">
            <w:pPr>
              <w:widowControl w:val="0"/>
              <w:spacing w:before="40" w:after="40" w:line="240" w:lineRule="auto"/>
              <w:rPr>
                <w:lang w:bidi="en-US"/>
              </w:rPr>
            </w:pPr>
            <w:r>
              <w:rPr>
                <w:lang w:bidi="en-US"/>
              </w:rPr>
              <w:t>9</w:t>
            </w:r>
          </w:p>
        </w:tc>
        <w:tc>
          <w:tcPr>
            <w:tcW w:w="8680" w:type="dxa"/>
          </w:tcPr>
          <w:p w:rsidRPr="005A16F5" w:rsidR="009F0457" w:rsidP="009F0457" w:rsidRDefault="00DB1971" w14:paraId="1B459277" w14:textId="025948EE">
            <w:pPr>
              <w:widowControl w:val="0"/>
              <w:spacing w:before="40" w:after="40" w:line="240" w:lineRule="auto"/>
              <w:rPr>
                <w:rFonts w:cs="Arial"/>
                <w:bCs/>
                <w:szCs w:val="24"/>
              </w:rPr>
            </w:pPr>
            <w:r>
              <w:rPr>
                <w:rFonts w:cs="Arial"/>
                <w:bCs/>
                <w:szCs w:val="24"/>
              </w:rPr>
              <w:t xml:space="preserve">CDX User Guide 8(d) Health and Safety Data </w:t>
            </w:r>
          </w:p>
        </w:tc>
      </w:tr>
      <w:tr w:rsidR="00DB1971" w:rsidTr="00F300BC" w14:paraId="769CFE0C" w14:textId="77777777">
        <w:tc>
          <w:tcPr>
            <w:tcW w:w="670" w:type="dxa"/>
          </w:tcPr>
          <w:p w:rsidR="00DB1971" w:rsidP="00DB1971" w:rsidRDefault="00DB1971" w14:paraId="3A6C22E1" w14:textId="2AA8661A">
            <w:pPr>
              <w:widowControl w:val="0"/>
              <w:spacing w:before="40" w:after="40" w:line="240" w:lineRule="auto"/>
              <w:rPr>
                <w:lang w:bidi="en-US"/>
              </w:rPr>
            </w:pPr>
            <w:r>
              <w:rPr>
                <w:lang w:bidi="en-US"/>
              </w:rPr>
              <w:t>10</w:t>
            </w:r>
          </w:p>
        </w:tc>
        <w:tc>
          <w:tcPr>
            <w:tcW w:w="8680" w:type="dxa"/>
          </w:tcPr>
          <w:p w:rsidR="00DB1971" w:rsidP="00DB1971" w:rsidRDefault="00DB1971" w14:paraId="6182EBCD" w14:textId="2D860135">
            <w:pPr>
              <w:widowControl w:val="0"/>
              <w:spacing w:before="40" w:after="40" w:line="240" w:lineRule="auto"/>
              <w:rPr>
                <w:rFonts w:cs="Arial"/>
                <w:bCs/>
                <w:szCs w:val="24"/>
              </w:rPr>
            </w:pPr>
            <w:r w:rsidRPr="005A16F5">
              <w:rPr>
                <w:rFonts w:cs="Arial"/>
                <w:szCs w:val="24"/>
              </w:rPr>
              <w:t>CDX Section 8(a) PAIR User Guide</w:t>
            </w:r>
          </w:p>
        </w:tc>
      </w:tr>
      <w:tr w:rsidR="00DB1971" w:rsidTr="00F300BC" w14:paraId="5DDD204F" w14:textId="77777777">
        <w:tc>
          <w:tcPr>
            <w:tcW w:w="670" w:type="dxa"/>
          </w:tcPr>
          <w:p w:rsidR="00DB1971" w:rsidP="00DB1971" w:rsidRDefault="00DB1971" w14:paraId="1BBDAA81" w14:textId="16E4D786">
            <w:pPr>
              <w:widowControl w:val="0"/>
              <w:spacing w:before="40" w:after="40" w:line="240" w:lineRule="auto"/>
              <w:rPr>
                <w:lang w:bidi="en-US"/>
              </w:rPr>
            </w:pPr>
            <w:r>
              <w:rPr>
                <w:lang w:bidi="en-US"/>
              </w:rPr>
              <w:t>1</w:t>
            </w:r>
            <w:r w:rsidR="00D916E8">
              <w:rPr>
                <w:lang w:bidi="en-US"/>
              </w:rPr>
              <w:t>1</w:t>
            </w:r>
          </w:p>
        </w:tc>
        <w:tc>
          <w:tcPr>
            <w:tcW w:w="8680" w:type="dxa"/>
          </w:tcPr>
          <w:p w:rsidR="00FA3255" w:rsidP="00D916E8" w:rsidRDefault="00D916E8" w14:paraId="13D86DEE" w14:textId="742A511D">
            <w:pPr>
              <w:tabs>
                <w:tab w:val="left" w:pos="1800"/>
              </w:tabs>
              <w:autoSpaceDE w:val="0"/>
              <w:autoSpaceDN w:val="0"/>
              <w:adjustRightInd w:val="0"/>
              <w:spacing w:after="0" w:line="240" w:lineRule="auto"/>
              <w:ind w:left="1800" w:hanging="1800"/>
              <w:rPr>
                <w:rFonts w:cs="Arial"/>
                <w:szCs w:val="24"/>
              </w:rPr>
            </w:pPr>
            <w:bookmarkStart w:name="_Hlk6222098" w:id="51"/>
            <w:r w:rsidRPr="005A16F5">
              <w:rPr>
                <w:rFonts w:cs="Arial"/>
                <w:szCs w:val="24"/>
              </w:rPr>
              <w:t>Manufacturer’s Report Preliminary Assessment Information</w:t>
            </w:r>
            <w:bookmarkEnd w:id="51"/>
            <w:r w:rsidRPr="005A16F5">
              <w:rPr>
                <w:rFonts w:cs="Arial"/>
                <w:szCs w:val="24"/>
              </w:rPr>
              <w:t xml:space="preserve"> Form</w:t>
            </w:r>
          </w:p>
          <w:p w:rsidRPr="00FA3255" w:rsidR="00DB1971" w:rsidP="00DB1971" w:rsidRDefault="00D916E8" w14:paraId="5642DB1F" w14:textId="58997C5F">
            <w:pPr>
              <w:tabs>
                <w:tab w:val="left" w:pos="1800"/>
              </w:tabs>
              <w:autoSpaceDE w:val="0"/>
              <w:autoSpaceDN w:val="0"/>
              <w:adjustRightInd w:val="0"/>
              <w:spacing w:after="0" w:line="240" w:lineRule="auto"/>
              <w:ind w:left="1800" w:hanging="1800"/>
              <w:rPr>
                <w:rFonts w:cs="Arial"/>
                <w:szCs w:val="24"/>
              </w:rPr>
            </w:pPr>
            <w:r w:rsidRPr="005A16F5">
              <w:rPr>
                <w:rFonts w:cs="Arial"/>
                <w:szCs w:val="24"/>
              </w:rPr>
              <w:t>(EPA Form</w:t>
            </w:r>
            <w:r w:rsidR="00FA3255">
              <w:rPr>
                <w:rFonts w:cs="Arial"/>
                <w:szCs w:val="24"/>
              </w:rPr>
              <w:t xml:space="preserve"> </w:t>
            </w:r>
            <w:r w:rsidRPr="005A16F5">
              <w:rPr>
                <w:rFonts w:cs="Arial"/>
                <w:szCs w:val="24"/>
              </w:rPr>
              <w:t>7710-35) and instructions</w:t>
            </w:r>
          </w:p>
        </w:tc>
      </w:tr>
      <w:tr w:rsidR="00D916E8" w:rsidTr="00F300BC" w14:paraId="1563FA96" w14:textId="77777777">
        <w:tc>
          <w:tcPr>
            <w:tcW w:w="670" w:type="dxa"/>
          </w:tcPr>
          <w:p w:rsidR="00D916E8" w:rsidP="00D916E8" w:rsidRDefault="00D916E8" w14:paraId="2DCFA206" w14:textId="1836C77E">
            <w:pPr>
              <w:widowControl w:val="0"/>
              <w:spacing w:before="40" w:after="40" w:line="240" w:lineRule="auto"/>
              <w:rPr>
                <w:lang w:bidi="en-US"/>
              </w:rPr>
            </w:pPr>
            <w:r>
              <w:rPr>
                <w:lang w:bidi="en-US"/>
              </w:rPr>
              <w:t>12</w:t>
            </w:r>
          </w:p>
        </w:tc>
        <w:tc>
          <w:tcPr>
            <w:tcW w:w="8680" w:type="dxa"/>
          </w:tcPr>
          <w:p w:rsidRPr="005A16F5" w:rsidR="00D01CBF" w:rsidP="00D916E8" w:rsidRDefault="00E302E1" w14:paraId="11877A1A" w14:textId="43D14D8A">
            <w:pPr>
              <w:tabs>
                <w:tab w:val="left" w:pos="1800"/>
              </w:tabs>
              <w:autoSpaceDE w:val="0"/>
              <w:autoSpaceDN w:val="0"/>
              <w:adjustRightInd w:val="0"/>
              <w:spacing w:after="0" w:line="240" w:lineRule="auto"/>
              <w:ind w:left="1800" w:hanging="1800"/>
              <w:rPr>
                <w:rFonts w:cs="Arial"/>
                <w:szCs w:val="24"/>
              </w:rPr>
            </w:pPr>
            <w:hyperlink w:history="1" r:id="rId32">
              <w:r w:rsidR="004A50CC">
                <w:rPr>
                  <w:rStyle w:val="Hyperlink"/>
                  <w:rFonts w:cs="Arial"/>
                  <w:szCs w:val="24"/>
                </w:rPr>
                <w:t xml:space="preserve">Good Laboratory Practice Standards – 40 CFR 792 </w:t>
              </w:r>
            </w:hyperlink>
            <w:r w:rsidR="004A50CC">
              <w:rPr>
                <w:rFonts w:cs="Arial"/>
                <w:szCs w:val="24"/>
              </w:rPr>
              <w:t xml:space="preserve"> </w:t>
            </w:r>
          </w:p>
        </w:tc>
      </w:tr>
      <w:tr w:rsidR="00D01CBF" w:rsidTr="00F300BC" w14:paraId="0F8BB3A0" w14:textId="77777777">
        <w:tc>
          <w:tcPr>
            <w:tcW w:w="670" w:type="dxa"/>
          </w:tcPr>
          <w:p w:rsidR="00D01CBF" w:rsidP="00D916E8" w:rsidRDefault="00D01CBF" w14:paraId="363C2897" w14:textId="6A64E667">
            <w:pPr>
              <w:widowControl w:val="0"/>
              <w:spacing w:before="40" w:after="40" w:line="240" w:lineRule="auto"/>
              <w:rPr>
                <w:lang w:bidi="en-US"/>
              </w:rPr>
            </w:pPr>
            <w:r>
              <w:rPr>
                <w:lang w:bidi="en-US"/>
              </w:rPr>
              <w:t xml:space="preserve">13. </w:t>
            </w:r>
          </w:p>
        </w:tc>
        <w:tc>
          <w:tcPr>
            <w:tcW w:w="8680" w:type="dxa"/>
          </w:tcPr>
          <w:p w:rsidR="00D01CBF" w:rsidP="00D916E8" w:rsidRDefault="00D01CBF" w14:paraId="3CEDF2E3" w14:textId="4184B8C8">
            <w:pPr>
              <w:tabs>
                <w:tab w:val="left" w:pos="1800"/>
              </w:tabs>
              <w:autoSpaceDE w:val="0"/>
              <w:autoSpaceDN w:val="0"/>
              <w:adjustRightInd w:val="0"/>
              <w:spacing w:after="0" w:line="240" w:lineRule="auto"/>
              <w:ind w:left="1800" w:hanging="1800"/>
            </w:pPr>
            <w:r>
              <w:t>Consultation</w:t>
            </w:r>
          </w:p>
        </w:tc>
      </w:tr>
      <w:tr w:rsidR="00D01CBF" w:rsidTr="00F300BC" w14:paraId="20C58871" w14:textId="77777777">
        <w:tc>
          <w:tcPr>
            <w:tcW w:w="670" w:type="dxa"/>
          </w:tcPr>
          <w:p w:rsidR="00D01CBF" w:rsidP="00D916E8" w:rsidRDefault="00D01CBF" w14:paraId="1E8B60D6" w14:textId="6FD1D56C">
            <w:pPr>
              <w:widowControl w:val="0"/>
              <w:spacing w:before="40" w:after="40" w:line="240" w:lineRule="auto"/>
              <w:rPr>
                <w:lang w:bidi="en-US"/>
              </w:rPr>
            </w:pPr>
            <w:r>
              <w:rPr>
                <w:lang w:bidi="en-US"/>
              </w:rPr>
              <w:t>14</w:t>
            </w:r>
            <w:r w:rsidR="007932F4">
              <w:rPr>
                <w:lang w:bidi="en-US"/>
              </w:rPr>
              <w:t>.</w:t>
            </w:r>
            <w:r>
              <w:rPr>
                <w:lang w:bidi="en-US"/>
              </w:rPr>
              <w:t xml:space="preserve"> </w:t>
            </w:r>
          </w:p>
        </w:tc>
        <w:tc>
          <w:tcPr>
            <w:tcW w:w="8680" w:type="dxa"/>
          </w:tcPr>
          <w:p w:rsidR="00D01CBF" w:rsidP="00D916E8" w:rsidRDefault="00D01CBF" w14:paraId="640EA464" w14:textId="328F1586">
            <w:pPr>
              <w:tabs>
                <w:tab w:val="left" w:pos="1800"/>
              </w:tabs>
              <w:autoSpaceDE w:val="0"/>
              <w:autoSpaceDN w:val="0"/>
              <w:adjustRightInd w:val="0"/>
              <w:spacing w:after="0" w:line="240" w:lineRule="auto"/>
              <w:ind w:left="1800" w:hanging="1800"/>
            </w:pPr>
            <w:r>
              <w:t>Wage Rates</w:t>
            </w:r>
          </w:p>
        </w:tc>
      </w:tr>
    </w:tbl>
    <w:p w:rsidR="0026304B" w:rsidP="0026304B" w:rsidRDefault="0026304B" w14:paraId="402D83F5" w14:textId="1DADCFF4">
      <w:pPr>
        <w:rPr>
          <w:lang w:bidi="en-US"/>
        </w:rPr>
      </w:pPr>
    </w:p>
    <w:p w:rsidR="00F300BC" w:rsidP="00F300BC" w:rsidRDefault="00F300BC" w14:paraId="300F9384" w14:textId="6707C4F7">
      <w:pPr>
        <w:pStyle w:val="Heading1"/>
      </w:pPr>
      <w:r>
        <w:t xml:space="preserve">List of References </w:t>
      </w:r>
    </w:p>
    <w:p w:rsidRPr="008A61D0" w:rsidR="00736ED1" w:rsidP="00270BE8" w:rsidRDefault="00736ED1" w14:paraId="210FBE0E" w14:textId="6E6585B0">
      <w:pPr>
        <w:ind w:left="720" w:hanging="720"/>
        <w:rPr>
          <w:rFonts w:cs="Arial"/>
          <w:iCs/>
          <w:szCs w:val="24"/>
        </w:rPr>
      </w:pPr>
      <w:r w:rsidRPr="008A61D0">
        <w:rPr>
          <w:rFonts w:cs="Arial"/>
          <w:iCs/>
          <w:color w:val="000000"/>
          <w:szCs w:val="24"/>
        </w:rPr>
        <w:t>Economic Impact and Small Business Definition Analysis for the Final TSCA Section 8(a) Preliminary Assessment Information Rule, Final Report (EPA, 1981), previous TSCA Section 8(a) PAIR ICRs updates</w:t>
      </w:r>
    </w:p>
    <w:p w:rsidR="00270BE8" w:rsidP="00270BE8" w:rsidRDefault="00736ED1" w14:paraId="1EFB27AF" w14:textId="361BD8CA">
      <w:pPr>
        <w:ind w:left="720" w:hanging="720"/>
        <w:rPr>
          <w:rFonts w:cs="Arial"/>
          <w:iCs/>
          <w:szCs w:val="24"/>
        </w:rPr>
      </w:pPr>
      <w:r w:rsidRPr="0017004B">
        <w:rPr>
          <w:rFonts w:cs="Arial"/>
          <w:iCs/>
          <w:szCs w:val="24"/>
        </w:rPr>
        <w:t>Economic Analysis for the Electronic Reporting under the Toxic Substances Control Act (TSCA) Final Rule (EPA, 2012)</w:t>
      </w:r>
    </w:p>
    <w:p w:rsidRPr="008A61D0" w:rsidR="002E1B16" w:rsidP="00270BE8" w:rsidRDefault="002E1B16" w14:paraId="5ACFC063" w14:textId="77777777">
      <w:pPr>
        <w:ind w:left="720" w:hanging="720"/>
        <w:rPr>
          <w:rFonts w:cs="Arial"/>
          <w:iCs/>
          <w:szCs w:val="24"/>
        </w:rPr>
      </w:pPr>
      <w:r w:rsidRPr="008A61D0">
        <w:rPr>
          <w:rFonts w:cs="Arial"/>
          <w:iCs/>
          <w:szCs w:val="24"/>
        </w:rPr>
        <w:t xml:space="preserve">The Economic Analysis of the Premanufacture Notification Electronic Reporting Rule (EPA, 2009) and the electronic submission of TSCA 8(b) Chemical Data Reporting (CDR) submissions in the </w:t>
      </w:r>
    </w:p>
    <w:p w:rsidR="00270BE8" w:rsidP="00270BE8" w:rsidRDefault="002E1B16" w14:paraId="1943468B" w14:textId="7E8BA3C5">
      <w:pPr>
        <w:ind w:left="720" w:hanging="720"/>
        <w:rPr>
          <w:rFonts w:cs="Arial"/>
          <w:iCs/>
          <w:szCs w:val="24"/>
        </w:rPr>
      </w:pPr>
      <w:r w:rsidRPr="008A61D0">
        <w:rPr>
          <w:rFonts w:cs="Arial"/>
          <w:iCs/>
          <w:szCs w:val="24"/>
        </w:rPr>
        <w:t>Economic Analysis for the Final Inventory Update Reporting (IUR) Modifications Rule (EPA, 2011).</w:t>
      </w:r>
    </w:p>
    <w:p w:rsidR="006805F6" w:rsidP="00270BE8" w:rsidRDefault="006805F6" w14:paraId="4E16A6F7" w14:textId="1CFDF81D">
      <w:pPr>
        <w:ind w:left="720" w:hanging="720"/>
        <w:rPr>
          <w:rFonts w:eastAsia="Times New Roman" w:cs="Arial"/>
          <w:color w:val="000000"/>
          <w:szCs w:val="24"/>
        </w:rPr>
      </w:pPr>
      <w:r w:rsidRPr="00FA4ED1">
        <w:rPr>
          <w:rFonts w:eastAsia="Times New Roman" w:cs="Arial"/>
          <w:color w:val="000000"/>
          <w:szCs w:val="24"/>
        </w:rPr>
        <w:t>U.S. Bureau of Labor Statistics. 2021. Employer Costs for Employee Compensation (ECEC) Supplementary Tables: December 2006 – December 2020.</w:t>
      </w:r>
    </w:p>
    <w:p w:rsidRPr="006805F6" w:rsidR="006805F6" w:rsidP="00270BE8" w:rsidRDefault="006805F6" w14:paraId="56243F22" w14:textId="6ECC8197">
      <w:pPr>
        <w:ind w:left="720" w:hanging="720"/>
        <w:rPr>
          <w:rFonts w:cs="Arial"/>
          <w:iCs/>
          <w:szCs w:val="24"/>
        </w:rPr>
      </w:pPr>
      <w:r w:rsidRPr="00FA4ED1">
        <w:rPr>
          <w:rFonts w:eastAsia="Times New Roman" w:cs="Arial"/>
          <w:color w:val="000000"/>
          <w:szCs w:val="24"/>
        </w:rPr>
        <w:t>U.S. Bureau of Labor Statistics. 2020. Occupational Employment Statistics (OES) May 2020 National Industry-Specific Occupational Employment and Wage Estimates.</w:t>
      </w:r>
    </w:p>
    <w:p w:rsidR="00361D77" w:rsidP="00270BE8" w:rsidRDefault="00361D77" w14:paraId="3CFA3512" w14:textId="49557617">
      <w:pPr>
        <w:ind w:left="720" w:hanging="720"/>
        <w:rPr>
          <w:rFonts w:cs="Arial"/>
          <w:iCs/>
          <w:szCs w:val="24"/>
        </w:rPr>
      </w:pPr>
      <w:r>
        <w:rPr>
          <w:rFonts w:cs="Arial"/>
          <w:iCs/>
          <w:szCs w:val="24"/>
        </w:rPr>
        <w:t xml:space="preserve">US EPA. 2020. Handbook on Valuing Changes in Time Use Induced by Regulatory Requirements and Other EPA Actions. Accessed on January 25, 2022. </w:t>
      </w:r>
      <w:hyperlink w:history="1" r:id="rId33">
        <w:r w:rsidRPr="00202DE4" w:rsidR="005967C8">
          <w:rPr>
            <w:rStyle w:val="Hyperlink"/>
            <w:rFonts w:cs="Arial"/>
            <w:iCs/>
            <w:szCs w:val="24"/>
          </w:rPr>
          <w:t>https://www.epa.gov/sites/default/files/2020-12/documents/epa_handbook_on_valuing_changes_in_time_use_121520_final_508.pdf</w:t>
        </w:r>
      </w:hyperlink>
    </w:p>
    <w:p w:rsidRPr="008A61D0" w:rsidR="00361D77" w:rsidP="00270BE8" w:rsidRDefault="005967C8" w14:paraId="1744A274" w14:textId="4D23B445">
      <w:pPr>
        <w:ind w:left="720" w:hanging="720"/>
        <w:rPr>
          <w:szCs w:val="24"/>
        </w:rPr>
      </w:pPr>
      <w:r>
        <w:rPr>
          <w:rFonts w:cs="Arial"/>
          <w:iCs/>
          <w:szCs w:val="24"/>
        </w:rPr>
        <w:t xml:space="preserve">US EPA. 2021. Supporting Statement for EPA Information Collection Request Number 2002.08 “Cross-media Electronic Reporting Rule”. </w:t>
      </w:r>
    </w:p>
    <w:sectPr w:rsidRPr="008A61D0" w:rsidR="00361D77" w:rsidSect="00DF3DC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EFC12" w14:textId="77777777" w:rsidR="002353DC" w:rsidRDefault="002353DC" w:rsidP="005645B8">
      <w:pPr>
        <w:spacing w:after="0" w:line="240" w:lineRule="auto"/>
      </w:pPr>
      <w:r>
        <w:separator/>
      </w:r>
    </w:p>
  </w:endnote>
  <w:endnote w:type="continuationSeparator" w:id="0">
    <w:p w14:paraId="76F1C313" w14:textId="77777777" w:rsidR="002353DC" w:rsidRDefault="002353DC" w:rsidP="005645B8">
      <w:pPr>
        <w:spacing w:after="0" w:line="240" w:lineRule="auto"/>
      </w:pPr>
      <w:r>
        <w:continuationSeparator/>
      </w:r>
    </w:p>
  </w:endnote>
  <w:endnote w:type="continuationNotice" w:id="1">
    <w:p w14:paraId="24765427" w14:textId="77777777" w:rsidR="002353DC" w:rsidRDefault="00235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58543"/>
      <w:docPartObj>
        <w:docPartGallery w:val="Page Numbers (Bottom of Page)"/>
        <w:docPartUnique/>
      </w:docPartObj>
    </w:sdtPr>
    <w:sdtEndPr>
      <w:rPr>
        <w:noProof/>
      </w:rPr>
    </w:sdtEndPr>
    <w:sdtContent>
      <w:p w14:paraId="6D345BD8" w14:textId="7FB25EE2" w:rsidR="004D0A32" w:rsidRDefault="004D0A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E3D83" w14:textId="3174E9A6" w:rsidR="004D0A32" w:rsidRPr="00375035" w:rsidRDefault="004D0A32" w:rsidP="00FD6FF1">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4D0A32" w:rsidRDefault="004D0A32"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4D0A32" w:rsidRDefault="00E302E1" w:rsidP="009505AD">
    <w:pPr>
      <w:pStyle w:val="Footer"/>
      <w:spacing w:before="120"/>
      <w:jc w:val="center"/>
    </w:pPr>
    <w:sdt>
      <w:sdtPr>
        <w:id w:val="1988427682"/>
        <w:docPartObj>
          <w:docPartGallery w:val="Page Numbers (Top of Page)"/>
          <w:docPartUnique/>
        </w:docPartObj>
      </w:sdtPr>
      <w:sdtEndPr/>
      <w:sdtContent>
        <w:r w:rsidR="004D0A32" w:rsidRPr="009505AD">
          <w:rPr>
            <w:sz w:val="20"/>
            <w:szCs w:val="20"/>
          </w:rPr>
          <w:t xml:space="preserve">Page </w:t>
        </w:r>
        <w:r w:rsidR="004D0A32" w:rsidRPr="009505AD">
          <w:rPr>
            <w:b/>
            <w:bCs/>
            <w:sz w:val="20"/>
            <w:szCs w:val="20"/>
          </w:rPr>
          <w:fldChar w:fldCharType="begin"/>
        </w:r>
        <w:r w:rsidR="004D0A32" w:rsidRPr="009505AD">
          <w:rPr>
            <w:b/>
            <w:bCs/>
            <w:sz w:val="20"/>
            <w:szCs w:val="20"/>
          </w:rPr>
          <w:instrText xml:space="preserve"> PAGE </w:instrText>
        </w:r>
        <w:r w:rsidR="004D0A32" w:rsidRPr="009505AD">
          <w:rPr>
            <w:b/>
            <w:bCs/>
            <w:sz w:val="20"/>
            <w:szCs w:val="20"/>
          </w:rPr>
          <w:fldChar w:fldCharType="separate"/>
        </w:r>
        <w:r w:rsidR="004D0A32">
          <w:rPr>
            <w:b/>
            <w:bCs/>
            <w:sz w:val="20"/>
            <w:szCs w:val="20"/>
          </w:rPr>
          <w:t>2</w:t>
        </w:r>
        <w:r w:rsidR="004D0A32" w:rsidRPr="009505AD">
          <w:rPr>
            <w:b/>
            <w:bCs/>
            <w:sz w:val="20"/>
            <w:szCs w:val="20"/>
          </w:rPr>
          <w:fldChar w:fldCharType="end"/>
        </w:r>
        <w:r w:rsidR="004D0A32" w:rsidRPr="009505AD">
          <w:rPr>
            <w:sz w:val="20"/>
            <w:szCs w:val="20"/>
          </w:rPr>
          <w:t xml:space="preserve"> of </w:t>
        </w:r>
        <w:r w:rsidR="004D0A32" w:rsidRPr="009505AD">
          <w:rPr>
            <w:b/>
            <w:bCs/>
            <w:sz w:val="20"/>
            <w:szCs w:val="20"/>
          </w:rPr>
          <w:fldChar w:fldCharType="begin"/>
        </w:r>
        <w:r w:rsidR="004D0A32" w:rsidRPr="009505AD">
          <w:rPr>
            <w:b/>
            <w:bCs/>
            <w:sz w:val="20"/>
            <w:szCs w:val="20"/>
          </w:rPr>
          <w:instrText xml:space="preserve"> NUMPAGES  </w:instrText>
        </w:r>
        <w:r w:rsidR="004D0A32" w:rsidRPr="009505AD">
          <w:rPr>
            <w:b/>
            <w:bCs/>
            <w:sz w:val="20"/>
            <w:szCs w:val="20"/>
          </w:rPr>
          <w:fldChar w:fldCharType="separate"/>
        </w:r>
        <w:r w:rsidR="004D0A32">
          <w:rPr>
            <w:b/>
            <w:bCs/>
            <w:sz w:val="20"/>
            <w:szCs w:val="20"/>
          </w:rPr>
          <w:t>5</w:t>
        </w:r>
        <w:r w:rsidR="004D0A32"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D602" w14:textId="77777777" w:rsidR="002353DC" w:rsidRDefault="002353DC" w:rsidP="005645B8">
      <w:pPr>
        <w:spacing w:after="0" w:line="240" w:lineRule="auto"/>
      </w:pPr>
      <w:r>
        <w:separator/>
      </w:r>
    </w:p>
  </w:footnote>
  <w:footnote w:type="continuationSeparator" w:id="0">
    <w:p w14:paraId="62D1A1B2" w14:textId="77777777" w:rsidR="002353DC" w:rsidRDefault="002353DC" w:rsidP="005645B8">
      <w:pPr>
        <w:spacing w:after="0" w:line="240" w:lineRule="auto"/>
      </w:pPr>
      <w:r>
        <w:continuationSeparator/>
      </w:r>
    </w:p>
  </w:footnote>
  <w:footnote w:type="continuationNotice" w:id="1">
    <w:p w14:paraId="52DF3A7D" w14:textId="77777777" w:rsidR="002353DC" w:rsidRDefault="002353DC">
      <w:pPr>
        <w:spacing w:after="0" w:line="240" w:lineRule="auto"/>
      </w:pPr>
    </w:p>
  </w:footnote>
  <w:footnote w:id="2">
    <w:p w14:paraId="0C662A65" w14:textId="77777777" w:rsidR="004D0A32" w:rsidRPr="009A0E9C" w:rsidRDefault="004D0A32" w:rsidP="00FD6FF1">
      <w:pPr>
        <w:autoSpaceDE w:val="0"/>
        <w:autoSpaceDN w:val="0"/>
        <w:adjustRightInd w:val="0"/>
        <w:spacing w:after="0" w:line="240" w:lineRule="auto"/>
        <w:rPr>
          <w:rFonts w:cs="Arial"/>
          <w:color w:val="000000"/>
          <w:sz w:val="20"/>
          <w:szCs w:val="20"/>
        </w:rPr>
      </w:pPr>
      <w:r>
        <w:rPr>
          <w:rStyle w:val="FootnoteReference"/>
        </w:rPr>
        <w:footnoteRef/>
      </w:r>
      <w:r>
        <w:t xml:space="preserve"> </w:t>
      </w:r>
      <w:r w:rsidRPr="009A0E9C">
        <w:rPr>
          <w:rFonts w:cs="Arial"/>
          <w:color w:val="000000"/>
          <w:sz w:val="20"/>
          <w:szCs w:val="20"/>
        </w:rPr>
        <w:t>Economic Impact and Small Business Definition Analysis for the Final TSCA Section 8(a) Preliminary Assessment Information Rule, Final Report, prepared for the EPA by ICF, Inc., Washington, D.C., 1981.</w:t>
      </w:r>
    </w:p>
  </w:footnote>
  <w:footnote w:id="3">
    <w:p w14:paraId="46750ECD" w14:textId="77777777" w:rsidR="004D0A32" w:rsidRDefault="004D0A32" w:rsidP="00FD6FF1">
      <w:pPr>
        <w:pStyle w:val="FootnoteText"/>
      </w:pPr>
      <w:r>
        <w:rPr>
          <w:rStyle w:val="FootnoteReference"/>
        </w:rPr>
        <w:footnoteRef/>
      </w:r>
      <w:r>
        <w:t xml:space="preserve"> </w:t>
      </w:r>
      <w:r w:rsidRPr="00E14C12">
        <w:rPr>
          <w:rFonts w:cs="Arial"/>
          <w:color w:val="000000"/>
        </w:rPr>
        <w:t>40 CFR 712.28 (July 1, 1993).</w:t>
      </w:r>
    </w:p>
  </w:footnote>
  <w:footnote w:id="4">
    <w:p w14:paraId="13C5AB76" w14:textId="77777777" w:rsidR="004D0A32" w:rsidRDefault="004D0A32" w:rsidP="00FD6FF1">
      <w:pPr>
        <w:autoSpaceDE w:val="0"/>
        <w:autoSpaceDN w:val="0"/>
        <w:adjustRightInd w:val="0"/>
        <w:spacing w:after="0" w:line="240" w:lineRule="auto"/>
      </w:pPr>
      <w:r>
        <w:rPr>
          <w:rStyle w:val="FootnoteReference"/>
        </w:rPr>
        <w:footnoteRef/>
      </w:r>
      <w:r>
        <w:t xml:space="preserve"> </w:t>
      </w:r>
      <w:r w:rsidRPr="009A0E9C">
        <w:rPr>
          <w:rFonts w:cs="Arial"/>
          <w:color w:val="000000"/>
          <w:sz w:val="20"/>
          <w:szCs w:val="20"/>
        </w:rPr>
        <w:t xml:space="preserve">Burden Hour and Cost Estimates for PAIR Section 8(a) Reporting (1994 Update), internal U.S. EPA memorandum from Carol </w:t>
      </w:r>
      <w:r w:rsidRPr="009A0E9C">
        <w:rPr>
          <w:rFonts w:cs="Arial"/>
          <w:color w:val="000000"/>
          <w:sz w:val="20"/>
          <w:szCs w:val="20"/>
        </w:rPr>
        <w:t>Rawie, Economics, Exposure, and Technology Division to Karen Boswell, Chemical Testing and Information Branch, May 16, 1994.</w:t>
      </w:r>
    </w:p>
  </w:footnote>
  <w:footnote w:id="5">
    <w:p w14:paraId="214F914E" w14:textId="77777777" w:rsidR="004D0A32" w:rsidRDefault="004D0A32" w:rsidP="00FD6FF1">
      <w:pPr>
        <w:pStyle w:val="FootnoteText"/>
      </w:pPr>
      <w:r>
        <w:rPr>
          <w:rStyle w:val="FootnoteReference"/>
        </w:rPr>
        <w:footnoteRef/>
      </w:r>
      <w:r>
        <w:t xml:space="preserve"> TSCA, Sec. 14(c)(1)(B), (C)</w:t>
      </w:r>
    </w:p>
  </w:footnote>
  <w:footnote w:id="6">
    <w:p w14:paraId="0D0BF329" w14:textId="77777777" w:rsidR="004D0A32" w:rsidRDefault="004D0A32" w:rsidP="005C3BF0">
      <w:r>
        <w:rPr>
          <w:rStyle w:val="FootnoteReference"/>
        </w:rPr>
        <w:footnoteRef/>
      </w:r>
      <w:r>
        <w:t xml:space="preserve"> </w:t>
      </w:r>
      <w:r w:rsidRPr="008358D7">
        <w:rPr>
          <w:color w:val="000000"/>
          <w:sz w:val="20"/>
          <w:szCs w:val="20"/>
        </w:rPr>
        <w:t>U.S.EPA.  “Economic Analysis of TSCA Section 8(c) Significant Adverse Reaction Recordkeeping Rule, OTS/ETD/RIB.” January 1983.</w:t>
      </w:r>
    </w:p>
  </w:footnote>
  <w:footnote w:id="7">
    <w:p w14:paraId="7BDF0938" w14:textId="77777777" w:rsidR="004D0A32" w:rsidRDefault="004D0A32" w:rsidP="00EB1CA3">
      <w:pPr>
        <w:pStyle w:val="FootnoteText"/>
      </w:pPr>
      <w:r>
        <w:rPr>
          <w:rStyle w:val="FootnoteReference"/>
        </w:rPr>
        <w:footnoteRef/>
      </w:r>
      <w:r>
        <w:t xml:space="preserve"> According to 40 CFR 716.5, persons are required to report under a TSCA section 8(d) rule if, during the 10 years preceding the effective date of the rule, they manufactured (including imported) or planned to manufacture (including import) a listed chemical. The CDR data for this analysis is not limited to reporting from chemical manufacturers and petroleum refiners. This scope does not affect the accuracy of the results, given that only firms regulated under TSCA 8(d) submit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2319" w14:textId="63C456AE" w:rsidR="004D0A32" w:rsidRPr="005C3BF0" w:rsidRDefault="004D0A32" w:rsidP="005C3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03CEE431" w:rsidR="004D0A32" w:rsidRDefault="007C5E8E">
    <w:pPr>
      <w:pStyle w:val="Header"/>
    </w:pPr>
    <w:r>
      <w:rPr>
        <w:b/>
        <w:bCs/>
      </w:rPr>
      <w:t>OMB</w:t>
    </w:r>
    <w:r w:rsidR="004D0A32">
      <w:rPr>
        <w:b/>
        <w:bCs/>
      </w:rPr>
      <w:t xml:space="preserve"> Review 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3C30"/>
    <w:multiLevelType w:val="hybridMultilevel"/>
    <w:tmpl w:val="5AB09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4D1164"/>
    <w:multiLevelType w:val="hybridMultilevel"/>
    <w:tmpl w:val="B0764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A7B72"/>
    <w:multiLevelType w:val="hybridMultilevel"/>
    <w:tmpl w:val="0994F0AC"/>
    <w:lvl w:ilvl="0" w:tplc="04090001">
      <w:start w:val="1"/>
      <w:numFmt w:val="bullet"/>
      <w:lvlText w:val=""/>
      <w:lvlJc w:val="left"/>
      <w:pPr>
        <w:ind w:left="1080" w:hanging="360"/>
      </w:pPr>
      <w:rPr>
        <w:rFonts w:ascii="Symbol" w:hAnsi="Symbol"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C47B05"/>
    <w:multiLevelType w:val="hybridMultilevel"/>
    <w:tmpl w:val="95D8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DC13C6"/>
    <w:multiLevelType w:val="hybridMultilevel"/>
    <w:tmpl w:val="90C6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D7C0D"/>
    <w:multiLevelType w:val="hybridMultilevel"/>
    <w:tmpl w:val="31D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B2454B"/>
    <w:multiLevelType w:val="hybridMultilevel"/>
    <w:tmpl w:val="0832BD10"/>
    <w:lvl w:ilvl="0" w:tplc="04090001">
      <w:start w:val="1"/>
      <w:numFmt w:val="bullet"/>
      <w:lvlText w:val=""/>
      <w:lvlJc w:val="left"/>
      <w:pPr>
        <w:ind w:left="1080" w:hanging="360"/>
      </w:pPr>
      <w:rPr>
        <w:rFonts w:ascii="Symbol" w:hAnsi="Symbol" w:hint="default"/>
      </w:rPr>
    </w:lvl>
    <w:lvl w:ilvl="1" w:tplc="C73CBE6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0D4BFD"/>
    <w:multiLevelType w:val="hybridMultilevel"/>
    <w:tmpl w:val="CE423860"/>
    <w:lvl w:ilvl="0" w:tplc="04090001">
      <w:start w:val="1"/>
      <w:numFmt w:val="bullet"/>
      <w:lvlText w:val=""/>
      <w:lvlJc w:val="left"/>
      <w:pPr>
        <w:ind w:left="1080" w:hanging="360"/>
      </w:pPr>
      <w:rPr>
        <w:rFonts w:ascii="Symbol" w:hAnsi="Symbol" w:hint="default"/>
      </w:rPr>
    </w:lvl>
    <w:lvl w:ilvl="1" w:tplc="3ADA4CE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920FFF"/>
    <w:multiLevelType w:val="hybridMultilevel"/>
    <w:tmpl w:val="C4A0A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5942B8"/>
    <w:multiLevelType w:val="hybridMultilevel"/>
    <w:tmpl w:val="B3CC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F37F75"/>
    <w:multiLevelType w:val="hybridMultilevel"/>
    <w:tmpl w:val="08864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970E88"/>
    <w:multiLevelType w:val="hybridMultilevel"/>
    <w:tmpl w:val="C33ED6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F02D2"/>
    <w:multiLevelType w:val="hybridMultilevel"/>
    <w:tmpl w:val="B0CC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7081C"/>
    <w:multiLevelType w:val="hybridMultilevel"/>
    <w:tmpl w:val="0242D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B1A0C2F"/>
    <w:multiLevelType w:val="hybridMultilevel"/>
    <w:tmpl w:val="286AEA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B8347D"/>
    <w:multiLevelType w:val="hybridMultilevel"/>
    <w:tmpl w:val="C0F65152"/>
    <w:lvl w:ilvl="0" w:tplc="D1C89D8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9"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92C6C3C"/>
    <w:multiLevelType w:val="hybridMultilevel"/>
    <w:tmpl w:val="284EB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AF37E8"/>
    <w:multiLevelType w:val="hybridMultilevel"/>
    <w:tmpl w:val="3662D1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527F15"/>
    <w:multiLevelType w:val="hybridMultilevel"/>
    <w:tmpl w:val="D79E4C64"/>
    <w:lvl w:ilvl="0" w:tplc="F738E78C">
      <w:start w:val="1"/>
      <w:numFmt w:val="decimal"/>
      <w:pStyle w:val="Heading2"/>
      <w:lvlText w:val="%1."/>
      <w:lvlJc w:val="center"/>
      <w:pPr>
        <w:ind w:left="720" w:hanging="360"/>
      </w:pPr>
      <w:rPr>
        <w:rFonts w:hint="default"/>
      </w:rPr>
    </w:lvl>
    <w:lvl w:ilvl="1" w:tplc="04090019">
      <w:start w:val="1"/>
      <w:numFmt w:val="lowerLetter"/>
      <w:lvlText w:val="%2."/>
      <w:lvlJc w:val="left"/>
      <w:pPr>
        <w:ind w:left="1440" w:hanging="360"/>
      </w:pPr>
    </w:lvl>
    <w:lvl w:ilvl="2" w:tplc="EE445E5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179B8"/>
    <w:multiLevelType w:val="hybridMultilevel"/>
    <w:tmpl w:val="628ACA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F4D5A"/>
    <w:multiLevelType w:val="hybridMultilevel"/>
    <w:tmpl w:val="F474B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322EC1"/>
    <w:multiLevelType w:val="hybridMultilevel"/>
    <w:tmpl w:val="DBE8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2"/>
  </w:num>
  <w:num w:numId="4">
    <w:abstractNumId w:val="4"/>
  </w:num>
  <w:num w:numId="5">
    <w:abstractNumId w:val="4"/>
    <w:lvlOverride w:ilvl="0">
      <w:startOverride w:val="1"/>
    </w:lvlOverride>
  </w:num>
  <w:num w:numId="6">
    <w:abstractNumId w:val="4"/>
    <w:lvlOverride w:ilvl="0">
      <w:startOverride w:val="1"/>
    </w:lvlOverride>
  </w:num>
  <w:num w:numId="7">
    <w:abstractNumId w:val="0"/>
  </w:num>
  <w:num w:numId="8">
    <w:abstractNumId w:val="14"/>
  </w:num>
  <w:num w:numId="9">
    <w:abstractNumId w:val="7"/>
  </w:num>
  <w:num w:numId="10">
    <w:abstractNumId w:val="24"/>
  </w:num>
  <w:num w:numId="11">
    <w:abstractNumId w:val="8"/>
  </w:num>
  <w:num w:numId="12">
    <w:abstractNumId w:val="2"/>
  </w:num>
  <w:num w:numId="13">
    <w:abstractNumId w:val="12"/>
  </w:num>
  <w:num w:numId="14">
    <w:abstractNumId w:val="23"/>
  </w:num>
  <w:num w:numId="15">
    <w:abstractNumId w:val="1"/>
  </w:num>
  <w:num w:numId="16">
    <w:abstractNumId w:val="15"/>
  </w:num>
  <w:num w:numId="17">
    <w:abstractNumId w:val="20"/>
  </w:num>
  <w:num w:numId="18">
    <w:abstractNumId w:val="10"/>
  </w:num>
  <w:num w:numId="19">
    <w:abstractNumId w:val="16"/>
  </w:num>
  <w:num w:numId="20">
    <w:abstractNumId w:val="25"/>
  </w:num>
  <w:num w:numId="21">
    <w:abstractNumId w:val="13"/>
  </w:num>
  <w:num w:numId="22">
    <w:abstractNumId w:val="21"/>
  </w:num>
  <w:num w:numId="23">
    <w:abstractNumId w:val="5"/>
  </w:num>
  <w:num w:numId="24">
    <w:abstractNumId w:val="9"/>
  </w:num>
  <w:num w:numId="25">
    <w:abstractNumId w:val="11"/>
  </w:num>
  <w:num w:numId="26">
    <w:abstractNumId w:val="17"/>
  </w:num>
  <w:num w:numId="27">
    <w:abstractNumId w:val="6"/>
  </w:num>
  <w:num w:numId="28">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23A2"/>
    <w:rsid w:val="00002BA8"/>
    <w:rsid w:val="0000670B"/>
    <w:rsid w:val="00006B5B"/>
    <w:rsid w:val="00011B61"/>
    <w:rsid w:val="000131E1"/>
    <w:rsid w:val="00015CC5"/>
    <w:rsid w:val="000205B2"/>
    <w:rsid w:val="00020CAE"/>
    <w:rsid w:val="00021E86"/>
    <w:rsid w:val="00022E94"/>
    <w:rsid w:val="000234CF"/>
    <w:rsid w:val="00024679"/>
    <w:rsid w:val="00024E15"/>
    <w:rsid w:val="000274F6"/>
    <w:rsid w:val="00031759"/>
    <w:rsid w:val="0003181D"/>
    <w:rsid w:val="00032C08"/>
    <w:rsid w:val="0003324F"/>
    <w:rsid w:val="000350E4"/>
    <w:rsid w:val="00035222"/>
    <w:rsid w:val="00040DB7"/>
    <w:rsid w:val="00044532"/>
    <w:rsid w:val="000453DB"/>
    <w:rsid w:val="0004769C"/>
    <w:rsid w:val="00057B3B"/>
    <w:rsid w:val="00061DFC"/>
    <w:rsid w:val="00062427"/>
    <w:rsid w:val="00064150"/>
    <w:rsid w:val="0006464F"/>
    <w:rsid w:val="00064851"/>
    <w:rsid w:val="00064873"/>
    <w:rsid w:val="000649A1"/>
    <w:rsid w:val="000656A4"/>
    <w:rsid w:val="00065849"/>
    <w:rsid w:val="000679C3"/>
    <w:rsid w:val="00073171"/>
    <w:rsid w:val="00073B4D"/>
    <w:rsid w:val="000750CE"/>
    <w:rsid w:val="00077B79"/>
    <w:rsid w:val="0008012A"/>
    <w:rsid w:val="000812E9"/>
    <w:rsid w:val="000822B6"/>
    <w:rsid w:val="00083D5A"/>
    <w:rsid w:val="00084BE6"/>
    <w:rsid w:val="00085733"/>
    <w:rsid w:val="00086DC2"/>
    <w:rsid w:val="00087619"/>
    <w:rsid w:val="00087ECA"/>
    <w:rsid w:val="00094EEF"/>
    <w:rsid w:val="00097C0A"/>
    <w:rsid w:val="000A2800"/>
    <w:rsid w:val="000A320F"/>
    <w:rsid w:val="000A51C6"/>
    <w:rsid w:val="000B2A95"/>
    <w:rsid w:val="000B4884"/>
    <w:rsid w:val="000C27B2"/>
    <w:rsid w:val="000C36B4"/>
    <w:rsid w:val="000C5977"/>
    <w:rsid w:val="000D2E77"/>
    <w:rsid w:val="000D3957"/>
    <w:rsid w:val="000D5E31"/>
    <w:rsid w:val="000E2DE8"/>
    <w:rsid w:val="000E2F34"/>
    <w:rsid w:val="000E3D18"/>
    <w:rsid w:val="000E5616"/>
    <w:rsid w:val="000E6379"/>
    <w:rsid w:val="000E663F"/>
    <w:rsid w:val="000E72EF"/>
    <w:rsid w:val="000F0E5D"/>
    <w:rsid w:val="000F1FE7"/>
    <w:rsid w:val="000F3685"/>
    <w:rsid w:val="000F5EED"/>
    <w:rsid w:val="001001BA"/>
    <w:rsid w:val="00100288"/>
    <w:rsid w:val="00103B2E"/>
    <w:rsid w:val="0010633B"/>
    <w:rsid w:val="001067D9"/>
    <w:rsid w:val="00107074"/>
    <w:rsid w:val="00107247"/>
    <w:rsid w:val="0010727B"/>
    <w:rsid w:val="0012070B"/>
    <w:rsid w:val="00120736"/>
    <w:rsid w:val="00121CB7"/>
    <w:rsid w:val="001225C1"/>
    <w:rsid w:val="00126449"/>
    <w:rsid w:val="0012701F"/>
    <w:rsid w:val="001278AD"/>
    <w:rsid w:val="00132736"/>
    <w:rsid w:val="00133BF4"/>
    <w:rsid w:val="00136C5B"/>
    <w:rsid w:val="001407A1"/>
    <w:rsid w:val="00140972"/>
    <w:rsid w:val="00143A31"/>
    <w:rsid w:val="0014429E"/>
    <w:rsid w:val="00145F3E"/>
    <w:rsid w:val="0014678E"/>
    <w:rsid w:val="0014716F"/>
    <w:rsid w:val="001506AC"/>
    <w:rsid w:val="0015099E"/>
    <w:rsid w:val="0015218A"/>
    <w:rsid w:val="00152F59"/>
    <w:rsid w:val="001562F4"/>
    <w:rsid w:val="0015FB5E"/>
    <w:rsid w:val="00160085"/>
    <w:rsid w:val="001602F8"/>
    <w:rsid w:val="00161ED7"/>
    <w:rsid w:val="00163855"/>
    <w:rsid w:val="00166C22"/>
    <w:rsid w:val="0017004B"/>
    <w:rsid w:val="00171502"/>
    <w:rsid w:val="00171F86"/>
    <w:rsid w:val="001740A8"/>
    <w:rsid w:val="00174CD9"/>
    <w:rsid w:val="001759A6"/>
    <w:rsid w:val="00176F5B"/>
    <w:rsid w:val="00183A5E"/>
    <w:rsid w:val="0018575F"/>
    <w:rsid w:val="001873B6"/>
    <w:rsid w:val="00191FFC"/>
    <w:rsid w:val="00192218"/>
    <w:rsid w:val="0019522A"/>
    <w:rsid w:val="00197700"/>
    <w:rsid w:val="001A2E41"/>
    <w:rsid w:val="001A4B7F"/>
    <w:rsid w:val="001A4BBA"/>
    <w:rsid w:val="001A5794"/>
    <w:rsid w:val="001A6E54"/>
    <w:rsid w:val="001B45B0"/>
    <w:rsid w:val="001B53C7"/>
    <w:rsid w:val="001B781F"/>
    <w:rsid w:val="001C3187"/>
    <w:rsid w:val="001C426B"/>
    <w:rsid w:val="001C5239"/>
    <w:rsid w:val="001E0B66"/>
    <w:rsid w:val="001E0DDA"/>
    <w:rsid w:val="001E292F"/>
    <w:rsid w:val="001E3DCB"/>
    <w:rsid w:val="001E5236"/>
    <w:rsid w:val="001E640B"/>
    <w:rsid w:val="001E6C9B"/>
    <w:rsid w:val="001E72FF"/>
    <w:rsid w:val="001F31EA"/>
    <w:rsid w:val="001F412D"/>
    <w:rsid w:val="001F49CF"/>
    <w:rsid w:val="001F6BF7"/>
    <w:rsid w:val="001F759D"/>
    <w:rsid w:val="0020399F"/>
    <w:rsid w:val="002045B7"/>
    <w:rsid w:val="00204CDB"/>
    <w:rsid w:val="002059F4"/>
    <w:rsid w:val="002061D9"/>
    <w:rsid w:val="002076ED"/>
    <w:rsid w:val="00213FB3"/>
    <w:rsid w:val="00215B24"/>
    <w:rsid w:val="00216790"/>
    <w:rsid w:val="0021734F"/>
    <w:rsid w:val="00225F57"/>
    <w:rsid w:val="0022704E"/>
    <w:rsid w:val="00232A5C"/>
    <w:rsid w:val="002348D7"/>
    <w:rsid w:val="00234DEB"/>
    <w:rsid w:val="002353DC"/>
    <w:rsid w:val="0023602B"/>
    <w:rsid w:val="00237194"/>
    <w:rsid w:val="00237226"/>
    <w:rsid w:val="00237617"/>
    <w:rsid w:val="00245A50"/>
    <w:rsid w:val="00247142"/>
    <w:rsid w:val="00247B34"/>
    <w:rsid w:val="002512B6"/>
    <w:rsid w:val="00253A81"/>
    <w:rsid w:val="00257308"/>
    <w:rsid w:val="0026304B"/>
    <w:rsid w:val="00263A29"/>
    <w:rsid w:val="00264209"/>
    <w:rsid w:val="00270BE8"/>
    <w:rsid w:val="00271285"/>
    <w:rsid w:val="00277D4E"/>
    <w:rsid w:val="00280B6F"/>
    <w:rsid w:val="002812AF"/>
    <w:rsid w:val="00281A93"/>
    <w:rsid w:val="002859DE"/>
    <w:rsid w:val="00285E59"/>
    <w:rsid w:val="00286272"/>
    <w:rsid w:val="00286491"/>
    <w:rsid w:val="002910C3"/>
    <w:rsid w:val="002911CB"/>
    <w:rsid w:val="002917DB"/>
    <w:rsid w:val="00292CD0"/>
    <w:rsid w:val="00294EAC"/>
    <w:rsid w:val="00297A53"/>
    <w:rsid w:val="00297E60"/>
    <w:rsid w:val="002A28D8"/>
    <w:rsid w:val="002A3714"/>
    <w:rsid w:val="002A37DA"/>
    <w:rsid w:val="002B1318"/>
    <w:rsid w:val="002B290C"/>
    <w:rsid w:val="002B3A9C"/>
    <w:rsid w:val="002B446C"/>
    <w:rsid w:val="002B60D6"/>
    <w:rsid w:val="002B61D0"/>
    <w:rsid w:val="002B647A"/>
    <w:rsid w:val="002C3C95"/>
    <w:rsid w:val="002C4863"/>
    <w:rsid w:val="002D007A"/>
    <w:rsid w:val="002D07B8"/>
    <w:rsid w:val="002D1104"/>
    <w:rsid w:val="002D1999"/>
    <w:rsid w:val="002D31FC"/>
    <w:rsid w:val="002D48FD"/>
    <w:rsid w:val="002D744D"/>
    <w:rsid w:val="002E0265"/>
    <w:rsid w:val="002E1B16"/>
    <w:rsid w:val="002E2FAA"/>
    <w:rsid w:val="002E302C"/>
    <w:rsid w:val="002E3A57"/>
    <w:rsid w:val="002E6AF1"/>
    <w:rsid w:val="002E7521"/>
    <w:rsid w:val="002E7A97"/>
    <w:rsid w:val="002F07ED"/>
    <w:rsid w:val="002F0984"/>
    <w:rsid w:val="002F1D04"/>
    <w:rsid w:val="002F1E29"/>
    <w:rsid w:val="002F1F2B"/>
    <w:rsid w:val="002F21F7"/>
    <w:rsid w:val="002F3432"/>
    <w:rsid w:val="002F584A"/>
    <w:rsid w:val="003041B0"/>
    <w:rsid w:val="00306437"/>
    <w:rsid w:val="0031010B"/>
    <w:rsid w:val="0031208C"/>
    <w:rsid w:val="00312CA0"/>
    <w:rsid w:val="00315C34"/>
    <w:rsid w:val="00316032"/>
    <w:rsid w:val="003168FB"/>
    <w:rsid w:val="00316E55"/>
    <w:rsid w:val="00320578"/>
    <w:rsid w:val="00332EEF"/>
    <w:rsid w:val="00333BF7"/>
    <w:rsid w:val="00334078"/>
    <w:rsid w:val="0034191D"/>
    <w:rsid w:val="00341D6A"/>
    <w:rsid w:val="0034354D"/>
    <w:rsid w:val="00343CC1"/>
    <w:rsid w:val="003563C6"/>
    <w:rsid w:val="003612E6"/>
    <w:rsid w:val="00361D77"/>
    <w:rsid w:val="00362DC8"/>
    <w:rsid w:val="003641C5"/>
    <w:rsid w:val="003645F8"/>
    <w:rsid w:val="0036645E"/>
    <w:rsid w:val="0037143C"/>
    <w:rsid w:val="00371529"/>
    <w:rsid w:val="00373556"/>
    <w:rsid w:val="0037694E"/>
    <w:rsid w:val="00377490"/>
    <w:rsid w:val="00380382"/>
    <w:rsid w:val="00380A89"/>
    <w:rsid w:val="003832B9"/>
    <w:rsid w:val="00383553"/>
    <w:rsid w:val="003845EA"/>
    <w:rsid w:val="003853DC"/>
    <w:rsid w:val="00390291"/>
    <w:rsid w:val="00392375"/>
    <w:rsid w:val="0039399F"/>
    <w:rsid w:val="00393ED4"/>
    <w:rsid w:val="003951A1"/>
    <w:rsid w:val="00395C2C"/>
    <w:rsid w:val="00399D1C"/>
    <w:rsid w:val="003A0431"/>
    <w:rsid w:val="003A5D02"/>
    <w:rsid w:val="003A6B3A"/>
    <w:rsid w:val="003A7671"/>
    <w:rsid w:val="003B14DD"/>
    <w:rsid w:val="003B1A20"/>
    <w:rsid w:val="003B359A"/>
    <w:rsid w:val="003B39B2"/>
    <w:rsid w:val="003B64E5"/>
    <w:rsid w:val="003B688B"/>
    <w:rsid w:val="003B7942"/>
    <w:rsid w:val="003C1FFC"/>
    <w:rsid w:val="003C265E"/>
    <w:rsid w:val="003C3AA7"/>
    <w:rsid w:val="003C47E0"/>
    <w:rsid w:val="003C48A3"/>
    <w:rsid w:val="003D000E"/>
    <w:rsid w:val="003D096C"/>
    <w:rsid w:val="003D09E2"/>
    <w:rsid w:val="003D0BDA"/>
    <w:rsid w:val="003D326C"/>
    <w:rsid w:val="003D4054"/>
    <w:rsid w:val="003D7C53"/>
    <w:rsid w:val="003E219D"/>
    <w:rsid w:val="003E2F88"/>
    <w:rsid w:val="003E5CB4"/>
    <w:rsid w:val="003E6815"/>
    <w:rsid w:val="003F1A38"/>
    <w:rsid w:val="003F2A32"/>
    <w:rsid w:val="003F5A51"/>
    <w:rsid w:val="003F5FFE"/>
    <w:rsid w:val="003F7815"/>
    <w:rsid w:val="0040159D"/>
    <w:rsid w:val="00401B68"/>
    <w:rsid w:val="004042D1"/>
    <w:rsid w:val="00405014"/>
    <w:rsid w:val="00407192"/>
    <w:rsid w:val="00411B49"/>
    <w:rsid w:val="00411E4A"/>
    <w:rsid w:val="00412A28"/>
    <w:rsid w:val="00420A4C"/>
    <w:rsid w:val="00424CA2"/>
    <w:rsid w:val="004268FF"/>
    <w:rsid w:val="004307CA"/>
    <w:rsid w:val="004321C4"/>
    <w:rsid w:val="00433DB3"/>
    <w:rsid w:val="004350C4"/>
    <w:rsid w:val="004361C8"/>
    <w:rsid w:val="004366B8"/>
    <w:rsid w:val="00443A7F"/>
    <w:rsid w:val="00444A95"/>
    <w:rsid w:val="0045104E"/>
    <w:rsid w:val="004513EC"/>
    <w:rsid w:val="00451735"/>
    <w:rsid w:val="00454013"/>
    <w:rsid w:val="0045503C"/>
    <w:rsid w:val="0045774E"/>
    <w:rsid w:val="00457E2B"/>
    <w:rsid w:val="00460E1C"/>
    <w:rsid w:val="0046116A"/>
    <w:rsid w:val="00461214"/>
    <w:rsid w:val="004653C9"/>
    <w:rsid w:val="0047064D"/>
    <w:rsid w:val="00471309"/>
    <w:rsid w:val="004715ED"/>
    <w:rsid w:val="0047594A"/>
    <w:rsid w:val="00475AA5"/>
    <w:rsid w:val="004824FC"/>
    <w:rsid w:val="0048277F"/>
    <w:rsid w:val="00484D69"/>
    <w:rsid w:val="0048737F"/>
    <w:rsid w:val="0049003D"/>
    <w:rsid w:val="0049040D"/>
    <w:rsid w:val="004917AF"/>
    <w:rsid w:val="00492707"/>
    <w:rsid w:val="00493628"/>
    <w:rsid w:val="00493A74"/>
    <w:rsid w:val="0049506A"/>
    <w:rsid w:val="00495A95"/>
    <w:rsid w:val="004A0297"/>
    <w:rsid w:val="004A0907"/>
    <w:rsid w:val="004A0F4A"/>
    <w:rsid w:val="004A2291"/>
    <w:rsid w:val="004A42A7"/>
    <w:rsid w:val="004A50CC"/>
    <w:rsid w:val="004A7019"/>
    <w:rsid w:val="004A73E2"/>
    <w:rsid w:val="004B165A"/>
    <w:rsid w:val="004B2EA0"/>
    <w:rsid w:val="004B47BA"/>
    <w:rsid w:val="004B4E3B"/>
    <w:rsid w:val="004B4ECA"/>
    <w:rsid w:val="004C24C6"/>
    <w:rsid w:val="004C2DAC"/>
    <w:rsid w:val="004C308A"/>
    <w:rsid w:val="004C3EE4"/>
    <w:rsid w:val="004C5E68"/>
    <w:rsid w:val="004D0A32"/>
    <w:rsid w:val="004D1485"/>
    <w:rsid w:val="004D3203"/>
    <w:rsid w:val="004D36BA"/>
    <w:rsid w:val="004D510F"/>
    <w:rsid w:val="004D59EE"/>
    <w:rsid w:val="004E32DC"/>
    <w:rsid w:val="004E45F4"/>
    <w:rsid w:val="004E5780"/>
    <w:rsid w:val="004E663B"/>
    <w:rsid w:val="004E68B6"/>
    <w:rsid w:val="004E6E2A"/>
    <w:rsid w:val="004F0A1B"/>
    <w:rsid w:val="004F1C1A"/>
    <w:rsid w:val="004F2814"/>
    <w:rsid w:val="004F421C"/>
    <w:rsid w:val="004F49F4"/>
    <w:rsid w:val="004F5041"/>
    <w:rsid w:val="004F6690"/>
    <w:rsid w:val="00502D91"/>
    <w:rsid w:val="00511C30"/>
    <w:rsid w:val="00512CEC"/>
    <w:rsid w:val="00515C96"/>
    <w:rsid w:val="00515F16"/>
    <w:rsid w:val="00515F36"/>
    <w:rsid w:val="00517F17"/>
    <w:rsid w:val="005264DD"/>
    <w:rsid w:val="00526D9F"/>
    <w:rsid w:val="005359F0"/>
    <w:rsid w:val="00535DB1"/>
    <w:rsid w:val="005364D2"/>
    <w:rsid w:val="00536F1A"/>
    <w:rsid w:val="00540F4B"/>
    <w:rsid w:val="00541DA2"/>
    <w:rsid w:val="00545100"/>
    <w:rsid w:val="005474ED"/>
    <w:rsid w:val="00547A9A"/>
    <w:rsid w:val="00551637"/>
    <w:rsid w:val="00555904"/>
    <w:rsid w:val="0056068D"/>
    <w:rsid w:val="00562FD1"/>
    <w:rsid w:val="005645B8"/>
    <w:rsid w:val="00566958"/>
    <w:rsid w:val="00566DC8"/>
    <w:rsid w:val="00566EA2"/>
    <w:rsid w:val="00567DD9"/>
    <w:rsid w:val="00573182"/>
    <w:rsid w:val="00575DC0"/>
    <w:rsid w:val="00577928"/>
    <w:rsid w:val="00580653"/>
    <w:rsid w:val="00581307"/>
    <w:rsid w:val="00581457"/>
    <w:rsid w:val="0059087E"/>
    <w:rsid w:val="0059126E"/>
    <w:rsid w:val="00591726"/>
    <w:rsid w:val="00592C48"/>
    <w:rsid w:val="00594EFF"/>
    <w:rsid w:val="00595EF1"/>
    <w:rsid w:val="005967C8"/>
    <w:rsid w:val="005A0918"/>
    <w:rsid w:val="005A16F5"/>
    <w:rsid w:val="005A1747"/>
    <w:rsid w:val="005A1AB1"/>
    <w:rsid w:val="005A5456"/>
    <w:rsid w:val="005A6CCD"/>
    <w:rsid w:val="005A764B"/>
    <w:rsid w:val="005A7696"/>
    <w:rsid w:val="005A7769"/>
    <w:rsid w:val="005C1BFD"/>
    <w:rsid w:val="005C3BF0"/>
    <w:rsid w:val="005D3FD0"/>
    <w:rsid w:val="005D6FB8"/>
    <w:rsid w:val="005D7F81"/>
    <w:rsid w:val="005E2847"/>
    <w:rsid w:val="005E5210"/>
    <w:rsid w:val="005E73E2"/>
    <w:rsid w:val="005F59AA"/>
    <w:rsid w:val="005F768A"/>
    <w:rsid w:val="005F7BCF"/>
    <w:rsid w:val="00603D22"/>
    <w:rsid w:val="00604073"/>
    <w:rsid w:val="00604419"/>
    <w:rsid w:val="00611B2C"/>
    <w:rsid w:val="00613BEA"/>
    <w:rsid w:val="00614476"/>
    <w:rsid w:val="0062181D"/>
    <w:rsid w:val="00623232"/>
    <w:rsid w:val="00625C1E"/>
    <w:rsid w:val="00630001"/>
    <w:rsid w:val="0063124B"/>
    <w:rsid w:val="006344E9"/>
    <w:rsid w:val="0063707C"/>
    <w:rsid w:val="00637C65"/>
    <w:rsid w:val="0064032E"/>
    <w:rsid w:val="0064084E"/>
    <w:rsid w:val="006419DB"/>
    <w:rsid w:val="00643029"/>
    <w:rsid w:val="00643672"/>
    <w:rsid w:val="00645EF4"/>
    <w:rsid w:val="00646E06"/>
    <w:rsid w:val="0064734A"/>
    <w:rsid w:val="00653E1D"/>
    <w:rsid w:val="00654A49"/>
    <w:rsid w:val="0065573A"/>
    <w:rsid w:val="00662B91"/>
    <w:rsid w:val="00663937"/>
    <w:rsid w:val="006655EA"/>
    <w:rsid w:val="00666FEA"/>
    <w:rsid w:val="0067132F"/>
    <w:rsid w:val="0067168A"/>
    <w:rsid w:val="00672D89"/>
    <w:rsid w:val="0067342A"/>
    <w:rsid w:val="00674C5E"/>
    <w:rsid w:val="00677BEE"/>
    <w:rsid w:val="006805F6"/>
    <w:rsid w:val="00680995"/>
    <w:rsid w:val="00682693"/>
    <w:rsid w:val="00683B78"/>
    <w:rsid w:val="00685A8C"/>
    <w:rsid w:val="00690E22"/>
    <w:rsid w:val="00690ECD"/>
    <w:rsid w:val="006943C3"/>
    <w:rsid w:val="0069491B"/>
    <w:rsid w:val="0069540F"/>
    <w:rsid w:val="00695D89"/>
    <w:rsid w:val="006974B4"/>
    <w:rsid w:val="006A008E"/>
    <w:rsid w:val="006A00A7"/>
    <w:rsid w:val="006A0551"/>
    <w:rsid w:val="006A07BE"/>
    <w:rsid w:val="006A12B3"/>
    <w:rsid w:val="006B1099"/>
    <w:rsid w:val="006B2A1E"/>
    <w:rsid w:val="006B4BCD"/>
    <w:rsid w:val="006B52E1"/>
    <w:rsid w:val="006B5B48"/>
    <w:rsid w:val="006B789D"/>
    <w:rsid w:val="006C4049"/>
    <w:rsid w:val="006C4AF5"/>
    <w:rsid w:val="006C7B98"/>
    <w:rsid w:val="006C7F29"/>
    <w:rsid w:val="006D04DD"/>
    <w:rsid w:val="006D33AE"/>
    <w:rsid w:val="006E04AB"/>
    <w:rsid w:val="006E3AF7"/>
    <w:rsid w:val="006F0977"/>
    <w:rsid w:val="006F3735"/>
    <w:rsid w:val="006F5C57"/>
    <w:rsid w:val="00700C24"/>
    <w:rsid w:val="007055AC"/>
    <w:rsid w:val="00705CE2"/>
    <w:rsid w:val="00705E95"/>
    <w:rsid w:val="00707FE4"/>
    <w:rsid w:val="00710616"/>
    <w:rsid w:val="00711209"/>
    <w:rsid w:val="007113D3"/>
    <w:rsid w:val="007146AE"/>
    <w:rsid w:val="007221CD"/>
    <w:rsid w:val="007267F9"/>
    <w:rsid w:val="007279CB"/>
    <w:rsid w:val="0073054C"/>
    <w:rsid w:val="00734D5E"/>
    <w:rsid w:val="0073657F"/>
    <w:rsid w:val="00736ED1"/>
    <w:rsid w:val="0073711F"/>
    <w:rsid w:val="00741B55"/>
    <w:rsid w:val="00741D14"/>
    <w:rsid w:val="007428AF"/>
    <w:rsid w:val="00743AF8"/>
    <w:rsid w:val="007521AB"/>
    <w:rsid w:val="00760A08"/>
    <w:rsid w:val="00762116"/>
    <w:rsid w:val="00762D55"/>
    <w:rsid w:val="0076547F"/>
    <w:rsid w:val="00765F81"/>
    <w:rsid w:val="0076785B"/>
    <w:rsid w:val="00773DB2"/>
    <w:rsid w:val="007762CB"/>
    <w:rsid w:val="007765F9"/>
    <w:rsid w:val="00780F19"/>
    <w:rsid w:val="00782797"/>
    <w:rsid w:val="007846E9"/>
    <w:rsid w:val="00787BD9"/>
    <w:rsid w:val="0079103B"/>
    <w:rsid w:val="00792002"/>
    <w:rsid w:val="007932F4"/>
    <w:rsid w:val="0079430B"/>
    <w:rsid w:val="007965A1"/>
    <w:rsid w:val="007A01E7"/>
    <w:rsid w:val="007A05FA"/>
    <w:rsid w:val="007A137D"/>
    <w:rsid w:val="007A1885"/>
    <w:rsid w:val="007A3C9E"/>
    <w:rsid w:val="007A3DE7"/>
    <w:rsid w:val="007B04B7"/>
    <w:rsid w:val="007B244D"/>
    <w:rsid w:val="007B3187"/>
    <w:rsid w:val="007B640E"/>
    <w:rsid w:val="007C20C3"/>
    <w:rsid w:val="007C4077"/>
    <w:rsid w:val="007C5E8E"/>
    <w:rsid w:val="007D7596"/>
    <w:rsid w:val="007D7D63"/>
    <w:rsid w:val="007E088C"/>
    <w:rsid w:val="007E0AFB"/>
    <w:rsid w:val="007E2860"/>
    <w:rsid w:val="007E6D43"/>
    <w:rsid w:val="007E75C3"/>
    <w:rsid w:val="007F008A"/>
    <w:rsid w:val="007F2449"/>
    <w:rsid w:val="007F3A69"/>
    <w:rsid w:val="007F448B"/>
    <w:rsid w:val="008004AC"/>
    <w:rsid w:val="0080278E"/>
    <w:rsid w:val="008073B5"/>
    <w:rsid w:val="00810AAE"/>
    <w:rsid w:val="00811A8A"/>
    <w:rsid w:val="008126AF"/>
    <w:rsid w:val="00813320"/>
    <w:rsid w:val="00815461"/>
    <w:rsid w:val="00815AE6"/>
    <w:rsid w:val="00815E9C"/>
    <w:rsid w:val="00816668"/>
    <w:rsid w:val="008175F7"/>
    <w:rsid w:val="008221C3"/>
    <w:rsid w:val="00831D58"/>
    <w:rsid w:val="008331B9"/>
    <w:rsid w:val="00834123"/>
    <w:rsid w:val="0083650B"/>
    <w:rsid w:val="00836825"/>
    <w:rsid w:val="0084018A"/>
    <w:rsid w:val="008420C5"/>
    <w:rsid w:val="00843FBA"/>
    <w:rsid w:val="00844814"/>
    <w:rsid w:val="00845F59"/>
    <w:rsid w:val="00846D0C"/>
    <w:rsid w:val="00854819"/>
    <w:rsid w:val="008572A8"/>
    <w:rsid w:val="0085734E"/>
    <w:rsid w:val="008600C0"/>
    <w:rsid w:val="00860440"/>
    <w:rsid w:val="00863C6D"/>
    <w:rsid w:val="008645F4"/>
    <w:rsid w:val="0086524E"/>
    <w:rsid w:val="00874D43"/>
    <w:rsid w:val="0088236C"/>
    <w:rsid w:val="00884858"/>
    <w:rsid w:val="008851C4"/>
    <w:rsid w:val="008851E4"/>
    <w:rsid w:val="00885220"/>
    <w:rsid w:val="0088652E"/>
    <w:rsid w:val="00887C79"/>
    <w:rsid w:val="0089155D"/>
    <w:rsid w:val="008932E4"/>
    <w:rsid w:val="00897D7E"/>
    <w:rsid w:val="008A094B"/>
    <w:rsid w:val="008A27A8"/>
    <w:rsid w:val="008A52DE"/>
    <w:rsid w:val="008A56E1"/>
    <w:rsid w:val="008A61D0"/>
    <w:rsid w:val="008B506F"/>
    <w:rsid w:val="008B748A"/>
    <w:rsid w:val="008B7F75"/>
    <w:rsid w:val="008C2B73"/>
    <w:rsid w:val="008C31D3"/>
    <w:rsid w:val="008C3F17"/>
    <w:rsid w:val="008C42EB"/>
    <w:rsid w:val="008C5CF6"/>
    <w:rsid w:val="008C602B"/>
    <w:rsid w:val="008C6A2E"/>
    <w:rsid w:val="008C6F95"/>
    <w:rsid w:val="008C772C"/>
    <w:rsid w:val="008D23C0"/>
    <w:rsid w:val="008E06F4"/>
    <w:rsid w:val="008E2A41"/>
    <w:rsid w:val="008E3149"/>
    <w:rsid w:val="008F37B1"/>
    <w:rsid w:val="008F3CFA"/>
    <w:rsid w:val="008F4C74"/>
    <w:rsid w:val="008F4C75"/>
    <w:rsid w:val="008F74A8"/>
    <w:rsid w:val="00901C4B"/>
    <w:rsid w:val="0090644C"/>
    <w:rsid w:val="009088D4"/>
    <w:rsid w:val="0091475F"/>
    <w:rsid w:val="00914ADE"/>
    <w:rsid w:val="00914DE2"/>
    <w:rsid w:val="0091738D"/>
    <w:rsid w:val="00917599"/>
    <w:rsid w:val="0092089F"/>
    <w:rsid w:val="00920BBA"/>
    <w:rsid w:val="00924C51"/>
    <w:rsid w:val="009325DE"/>
    <w:rsid w:val="0093316B"/>
    <w:rsid w:val="00934E36"/>
    <w:rsid w:val="009351BA"/>
    <w:rsid w:val="00941F4C"/>
    <w:rsid w:val="00945645"/>
    <w:rsid w:val="009464FA"/>
    <w:rsid w:val="009466E7"/>
    <w:rsid w:val="009505AD"/>
    <w:rsid w:val="00950692"/>
    <w:rsid w:val="00951B35"/>
    <w:rsid w:val="00952518"/>
    <w:rsid w:val="00954268"/>
    <w:rsid w:val="00956E54"/>
    <w:rsid w:val="0096131B"/>
    <w:rsid w:val="009637A3"/>
    <w:rsid w:val="00964FBB"/>
    <w:rsid w:val="0096551E"/>
    <w:rsid w:val="00970918"/>
    <w:rsid w:val="00971CD0"/>
    <w:rsid w:val="00972CE0"/>
    <w:rsid w:val="009767E8"/>
    <w:rsid w:val="009773A7"/>
    <w:rsid w:val="0098029F"/>
    <w:rsid w:val="009803E7"/>
    <w:rsid w:val="00983761"/>
    <w:rsid w:val="009876D4"/>
    <w:rsid w:val="009876DF"/>
    <w:rsid w:val="00987865"/>
    <w:rsid w:val="00993D9E"/>
    <w:rsid w:val="00996E5D"/>
    <w:rsid w:val="009A0E9C"/>
    <w:rsid w:val="009A4693"/>
    <w:rsid w:val="009A7738"/>
    <w:rsid w:val="009B13AC"/>
    <w:rsid w:val="009B1797"/>
    <w:rsid w:val="009B1E29"/>
    <w:rsid w:val="009B3A6D"/>
    <w:rsid w:val="009C2235"/>
    <w:rsid w:val="009D153F"/>
    <w:rsid w:val="009D1902"/>
    <w:rsid w:val="009D3ECF"/>
    <w:rsid w:val="009D59D5"/>
    <w:rsid w:val="009D5FCB"/>
    <w:rsid w:val="009D7111"/>
    <w:rsid w:val="009E1CB2"/>
    <w:rsid w:val="009E239F"/>
    <w:rsid w:val="009E2651"/>
    <w:rsid w:val="009E60C6"/>
    <w:rsid w:val="009F0457"/>
    <w:rsid w:val="009F0D69"/>
    <w:rsid w:val="009F389D"/>
    <w:rsid w:val="009F3FCF"/>
    <w:rsid w:val="009F499E"/>
    <w:rsid w:val="009F52D6"/>
    <w:rsid w:val="009F59AC"/>
    <w:rsid w:val="009F5EAB"/>
    <w:rsid w:val="00A00A9F"/>
    <w:rsid w:val="00A03F5F"/>
    <w:rsid w:val="00A042D3"/>
    <w:rsid w:val="00A05124"/>
    <w:rsid w:val="00A13E06"/>
    <w:rsid w:val="00A15DA9"/>
    <w:rsid w:val="00A166C1"/>
    <w:rsid w:val="00A2094E"/>
    <w:rsid w:val="00A234F1"/>
    <w:rsid w:val="00A26AA7"/>
    <w:rsid w:val="00A27C4F"/>
    <w:rsid w:val="00A27E1A"/>
    <w:rsid w:val="00A30591"/>
    <w:rsid w:val="00A30D92"/>
    <w:rsid w:val="00A33137"/>
    <w:rsid w:val="00A331C9"/>
    <w:rsid w:val="00A43B2A"/>
    <w:rsid w:val="00A46C62"/>
    <w:rsid w:val="00A46F3E"/>
    <w:rsid w:val="00A47159"/>
    <w:rsid w:val="00A54811"/>
    <w:rsid w:val="00A5487D"/>
    <w:rsid w:val="00A54D26"/>
    <w:rsid w:val="00A56015"/>
    <w:rsid w:val="00A617C0"/>
    <w:rsid w:val="00A61E22"/>
    <w:rsid w:val="00A62217"/>
    <w:rsid w:val="00A62D2A"/>
    <w:rsid w:val="00A640A9"/>
    <w:rsid w:val="00A67118"/>
    <w:rsid w:val="00A67248"/>
    <w:rsid w:val="00A70738"/>
    <w:rsid w:val="00A72919"/>
    <w:rsid w:val="00A740D3"/>
    <w:rsid w:val="00A803AB"/>
    <w:rsid w:val="00A83AD4"/>
    <w:rsid w:val="00A85561"/>
    <w:rsid w:val="00A856BC"/>
    <w:rsid w:val="00A85B28"/>
    <w:rsid w:val="00A871BE"/>
    <w:rsid w:val="00A8721B"/>
    <w:rsid w:val="00A8737D"/>
    <w:rsid w:val="00A901AA"/>
    <w:rsid w:val="00A922AD"/>
    <w:rsid w:val="00A92DD1"/>
    <w:rsid w:val="00A9374B"/>
    <w:rsid w:val="00A9704D"/>
    <w:rsid w:val="00AA49BC"/>
    <w:rsid w:val="00AA622B"/>
    <w:rsid w:val="00AA7A7A"/>
    <w:rsid w:val="00AB7176"/>
    <w:rsid w:val="00AB7ED9"/>
    <w:rsid w:val="00AC440A"/>
    <w:rsid w:val="00AC5254"/>
    <w:rsid w:val="00AC5C55"/>
    <w:rsid w:val="00AC7E97"/>
    <w:rsid w:val="00AD0BB1"/>
    <w:rsid w:val="00AD2280"/>
    <w:rsid w:val="00AD2856"/>
    <w:rsid w:val="00AD2BE1"/>
    <w:rsid w:val="00AD622C"/>
    <w:rsid w:val="00AD7842"/>
    <w:rsid w:val="00AE004F"/>
    <w:rsid w:val="00AE07D8"/>
    <w:rsid w:val="00AE09B7"/>
    <w:rsid w:val="00AE3D31"/>
    <w:rsid w:val="00AE47C0"/>
    <w:rsid w:val="00AE4CFE"/>
    <w:rsid w:val="00AF2ED0"/>
    <w:rsid w:val="00AF34EE"/>
    <w:rsid w:val="00AF4C94"/>
    <w:rsid w:val="00AF7129"/>
    <w:rsid w:val="00B002FA"/>
    <w:rsid w:val="00B00328"/>
    <w:rsid w:val="00B00534"/>
    <w:rsid w:val="00B03A6B"/>
    <w:rsid w:val="00B03E52"/>
    <w:rsid w:val="00B04088"/>
    <w:rsid w:val="00B05739"/>
    <w:rsid w:val="00B10468"/>
    <w:rsid w:val="00B1352E"/>
    <w:rsid w:val="00B15D7F"/>
    <w:rsid w:val="00B16D79"/>
    <w:rsid w:val="00B17A5F"/>
    <w:rsid w:val="00B2051D"/>
    <w:rsid w:val="00B20AB9"/>
    <w:rsid w:val="00B2154A"/>
    <w:rsid w:val="00B21D7F"/>
    <w:rsid w:val="00B23162"/>
    <w:rsid w:val="00B23578"/>
    <w:rsid w:val="00B2546F"/>
    <w:rsid w:val="00B262D4"/>
    <w:rsid w:val="00B26B4B"/>
    <w:rsid w:val="00B3138F"/>
    <w:rsid w:val="00B33E4E"/>
    <w:rsid w:val="00B35FB5"/>
    <w:rsid w:val="00B37291"/>
    <w:rsid w:val="00B37C87"/>
    <w:rsid w:val="00B40181"/>
    <w:rsid w:val="00B40AA6"/>
    <w:rsid w:val="00B440E8"/>
    <w:rsid w:val="00B4524C"/>
    <w:rsid w:val="00B479CC"/>
    <w:rsid w:val="00B51943"/>
    <w:rsid w:val="00B52B03"/>
    <w:rsid w:val="00B54DED"/>
    <w:rsid w:val="00B552E1"/>
    <w:rsid w:val="00B56540"/>
    <w:rsid w:val="00B573C9"/>
    <w:rsid w:val="00B57BED"/>
    <w:rsid w:val="00B61ECA"/>
    <w:rsid w:val="00B63A76"/>
    <w:rsid w:val="00B648D0"/>
    <w:rsid w:val="00B64CF2"/>
    <w:rsid w:val="00B72177"/>
    <w:rsid w:val="00B72B03"/>
    <w:rsid w:val="00B76216"/>
    <w:rsid w:val="00B81E9F"/>
    <w:rsid w:val="00B830D9"/>
    <w:rsid w:val="00B832C8"/>
    <w:rsid w:val="00B83FE0"/>
    <w:rsid w:val="00B852D8"/>
    <w:rsid w:val="00B85C1F"/>
    <w:rsid w:val="00B969BA"/>
    <w:rsid w:val="00BA0923"/>
    <w:rsid w:val="00BA2837"/>
    <w:rsid w:val="00BA338E"/>
    <w:rsid w:val="00BA4B8C"/>
    <w:rsid w:val="00BA5390"/>
    <w:rsid w:val="00BA6551"/>
    <w:rsid w:val="00BB096D"/>
    <w:rsid w:val="00BB0C2C"/>
    <w:rsid w:val="00BB7017"/>
    <w:rsid w:val="00BC6230"/>
    <w:rsid w:val="00BC6D25"/>
    <w:rsid w:val="00BC7A0C"/>
    <w:rsid w:val="00BD1BAB"/>
    <w:rsid w:val="00BD3F8A"/>
    <w:rsid w:val="00BD443C"/>
    <w:rsid w:val="00BD5A79"/>
    <w:rsid w:val="00BD7581"/>
    <w:rsid w:val="00BD7C21"/>
    <w:rsid w:val="00BE0059"/>
    <w:rsid w:val="00BE461C"/>
    <w:rsid w:val="00BE5F9D"/>
    <w:rsid w:val="00BF04C3"/>
    <w:rsid w:val="00BF1AF6"/>
    <w:rsid w:val="00BF1B98"/>
    <w:rsid w:val="00BF269B"/>
    <w:rsid w:val="00BF4AF7"/>
    <w:rsid w:val="00BF750B"/>
    <w:rsid w:val="00BF77A7"/>
    <w:rsid w:val="00C0079F"/>
    <w:rsid w:val="00C01025"/>
    <w:rsid w:val="00C0168B"/>
    <w:rsid w:val="00C01896"/>
    <w:rsid w:val="00C0209D"/>
    <w:rsid w:val="00C020E0"/>
    <w:rsid w:val="00C03C27"/>
    <w:rsid w:val="00C04218"/>
    <w:rsid w:val="00C06667"/>
    <w:rsid w:val="00C068EE"/>
    <w:rsid w:val="00C1046B"/>
    <w:rsid w:val="00C133E2"/>
    <w:rsid w:val="00C133FD"/>
    <w:rsid w:val="00C13C64"/>
    <w:rsid w:val="00C143AE"/>
    <w:rsid w:val="00C15314"/>
    <w:rsid w:val="00C16049"/>
    <w:rsid w:val="00C16430"/>
    <w:rsid w:val="00C17A84"/>
    <w:rsid w:val="00C228CC"/>
    <w:rsid w:val="00C237E2"/>
    <w:rsid w:val="00C23F9C"/>
    <w:rsid w:val="00C2515C"/>
    <w:rsid w:val="00C26101"/>
    <w:rsid w:val="00C27B48"/>
    <w:rsid w:val="00C3063E"/>
    <w:rsid w:val="00C40EF5"/>
    <w:rsid w:val="00C442F4"/>
    <w:rsid w:val="00C455D4"/>
    <w:rsid w:val="00C5210E"/>
    <w:rsid w:val="00C5240E"/>
    <w:rsid w:val="00C54353"/>
    <w:rsid w:val="00C56605"/>
    <w:rsid w:val="00C569A2"/>
    <w:rsid w:val="00C60793"/>
    <w:rsid w:val="00C608C8"/>
    <w:rsid w:val="00C6099C"/>
    <w:rsid w:val="00C61D56"/>
    <w:rsid w:val="00C624CE"/>
    <w:rsid w:val="00C6353F"/>
    <w:rsid w:val="00C7069B"/>
    <w:rsid w:val="00C70F0F"/>
    <w:rsid w:val="00C710EA"/>
    <w:rsid w:val="00C71CC1"/>
    <w:rsid w:val="00C720D3"/>
    <w:rsid w:val="00C7434F"/>
    <w:rsid w:val="00C74BF6"/>
    <w:rsid w:val="00C80701"/>
    <w:rsid w:val="00C81FAD"/>
    <w:rsid w:val="00C84246"/>
    <w:rsid w:val="00C84271"/>
    <w:rsid w:val="00C84A7E"/>
    <w:rsid w:val="00C85DBB"/>
    <w:rsid w:val="00C915E0"/>
    <w:rsid w:val="00C91B80"/>
    <w:rsid w:val="00C94F25"/>
    <w:rsid w:val="00C96748"/>
    <w:rsid w:val="00C978C0"/>
    <w:rsid w:val="00CA0739"/>
    <w:rsid w:val="00CA329F"/>
    <w:rsid w:val="00CA333A"/>
    <w:rsid w:val="00CB3DAF"/>
    <w:rsid w:val="00CC03B6"/>
    <w:rsid w:val="00CC1CFC"/>
    <w:rsid w:val="00CC257E"/>
    <w:rsid w:val="00CC347B"/>
    <w:rsid w:val="00CC4D3C"/>
    <w:rsid w:val="00CC5118"/>
    <w:rsid w:val="00CC5BAF"/>
    <w:rsid w:val="00CC60FC"/>
    <w:rsid w:val="00CD2B0E"/>
    <w:rsid w:val="00CD3E7C"/>
    <w:rsid w:val="00CD4254"/>
    <w:rsid w:val="00CD44D9"/>
    <w:rsid w:val="00CD536C"/>
    <w:rsid w:val="00CD558C"/>
    <w:rsid w:val="00CD5ED7"/>
    <w:rsid w:val="00CD694A"/>
    <w:rsid w:val="00CE085C"/>
    <w:rsid w:val="00CE4BAD"/>
    <w:rsid w:val="00CE4E97"/>
    <w:rsid w:val="00CE6BFE"/>
    <w:rsid w:val="00CE6DBD"/>
    <w:rsid w:val="00CF014F"/>
    <w:rsid w:val="00CF34AB"/>
    <w:rsid w:val="00CF387D"/>
    <w:rsid w:val="00CF4E8B"/>
    <w:rsid w:val="00D01870"/>
    <w:rsid w:val="00D01CBF"/>
    <w:rsid w:val="00D025F8"/>
    <w:rsid w:val="00D0290A"/>
    <w:rsid w:val="00D03BFF"/>
    <w:rsid w:val="00D106FD"/>
    <w:rsid w:val="00D11965"/>
    <w:rsid w:val="00D13DD0"/>
    <w:rsid w:val="00D14E52"/>
    <w:rsid w:val="00D204D7"/>
    <w:rsid w:val="00D247F5"/>
    <w:rsid w:val="00D25295"/>
    <w:rsid w:val="00D26582"/>
    <w:rsid w:val="00D26EB6"/>
    <w:rsid w:val="00D278E1"/>
    <w:rsid w:val="00D311EE"/>
    <w:rsid w:val="00D314F4"/>
    <w:rsid w:val="00D337DB"/>
    <w:rsid w:val="00D34190"/>
    <w:rsid w:val="00D34B4C"/>
    <w:rsid w:val="00D35042"/>
    <w:rsid w:val="00D43C56"/>
    <w:rsid w:val="00D46CEA"/>
    <w:rsid w:val="00D50274"/>
    <w:rsid w:val="00D51B35"/>
    <w:rsid w:val="00D53902"/>
    <w:rsid w:val="00D54A1F"/>
    <w:rsid w:val="00D63099"/>
    <w:rsid w:val="00D630AA"/>
    <w:rsid w:val="00D6376E"/>
    <w:rsid w:val="00D63A83"/>
    <w:rsid w:val="00D63FFD"/>
    <w:rsid w:val="00D643D0"/>
    <w:rsid w:val="00D70E73"/>
    <w:rsid w:val="00D7234B"/>
    <w:rsid w:val="00D73EEB"/>
    <w:rsid w:val="00D74AC0"/>
    <w:rsid w:val="00D80D21"/>
    <w:rsid w:val="00D82BBC"/>
    <w:rsid w:val="00D83509"/>
    <w:rsid w:val="00D83B53"/>
    <w:rsid w:val="00D83EE1"/>
    <w:rsid w:val="00D8458C"/>
    <w:rsid w:val="00D85CD3"/>
    <w:rsid w:val="00D86126"/>
    <w:rsid w:val="00D876F0"/>
    <w:rsid w:val="00D87C2F"/>
    <w:rsid w:val="00D9046D"/>
    <w:rsid w:val="00D91246"/>
    <w:rsid w:val="00D916E8"/>
    <w:rsid w:val="00D923B8"/>
    <w:rsid w:val="00D929C2"/>
    <w:rsid w:val="00D956B9"/>
    <w:rsid w:val="00D96AD2"/>
    <w:rsid w:val="00D9774E"/>
    <w:rsid w:val="00DA20B3"/>
    <w:rsid w:val="00DA357A"/>
    <w:rsid w:val="00DA4976"/>
    <w:rsid w:val="00DA6E35"/>
    <w:rsid w:val="00DB1971"/>
    <w:rsid w:val="00DB1D0A"/>
    <w:rsid w:val="00DB1F1B"/>
    <w:rsid w:val="00DB5514"/>
    <w:rsid w:val="00DB57B7"/>
    <w:rsid w:val="00DB713A"/>
    <w:rsid w:val="00DC13B4"/>
    <w:rsid w:val="00DC571C"/>
    <w:rsid w:val="00DC6056"/>
    <w:rsid w:val="00DC6905"/>
    <w:rsid w:val="00DD0A8F"/>
    <w:rsid w:val="00DD1C3B"/>
    <w:rsid w:val="00DD243C"/>
    <w:rsid w:val="00DD3644"/>
    <w:rsid w:val="00DD3B69"/>
    <w:rsid w:val="00DD4FD4"/>
    <w:rsid w:val="00DD52A5"/>
    <w:rsid w:val="00DD6B59"/>
    <w:rsid w:val="00DE2410"/>
    <w:rsid w:val="00DE5258"/>
    <w:rsid w:val="00DE5415"/>
    <w:rsid w:val="00DF3DC6"/>
    <w:rsid w:val="00DF540F"/>
    <w:rsid w:val="00DF591D"/>
    <w:rsid w:val="00DF7AA8"/>
    <w:rsid w:val="00E00E93"/>
    <w:rsid w:val="00E01C47"/>
    <w:rsid w:val="00E072DC"/>
    <w:rsid w:val="00E07475"/>
    <w:rsid w:val="00E07CA9"/>
    <w:rsid w:val="00E101E9"/>
    <w:rsid w:val="00E11EED"/>
    <w:rsid w:val="00E13704"/>
    <w:rsid w:val="00E14613"/>
    <w:rsid w:val="00E14C12"/>
    <w:rsid w:val="00E16B8D"/>
    <w:rsid w:val="00E16E84"/>
    <w:rsid w:val="00E238A4"/>
    <w:rsid w:val="00E27EDB"/>
    <w:rsid w:val="00E30005"/>
    <w:rsid w:val="00E300BB"/>
    <w:rsid w:val="00E302E1"/>
    <w:rsid w:val="00E30863"/>
    <w:rsid w:val="00E30CAA"/>
    <w:rsid w:val="00E36A37"/>
    <w:rsid w:val="00E414C6"/>
    <w:rsid w:val="00E453DD"/>
    <w:rsid w:val="00E5078C"/>
    <w:rsid w:val="00E600E3"/>
    <w:rsid w:val="00E613EB"/>
    <w:rsid w:val="00E614FB"/>
    <w:rsid w:val="00E636DF"/>
    <w:rsid w:val="00E652E7"/>
    <w:rsid w:val="00E65C11"/>
    <w:rsid w:val="00E66C03"/>
    <w:rsid w:val="00E71577"/>
    <w:rsid w:val="00E71F6A"/>
    <w:rsid w:val="00E765BA"/>
    <w:rsid w:val="00E8164B"/>
    <w:rsid w:val="00E830F1"/>
    <w:rsid w:val="00E859C2"/>
    <w:rsid w:val="00E87E53"/>
    <w:rsid w:val="00E91C60"/>
    <w:rsid w:val="00E91D0D"/>
    <w:rsid w:val="00E96DC2"/>
    <w:rsid w:val="00EA0659"/>
    <w:rsid w:val="00EA107A"/>
    <w:rsid w:val="00EA4349"/>
    <w:rsid w:val="00EB1CA3"/>
    <w:rsid w:val="00EB3546"/>
    <w:rsid w:val="00EB58CA"/>
    <w:rsid w:val="00EB5927"/>
    <w:rsid w:val="00EC352F"/>
    <w:rsid w:val="00EC4276"/>
    <w:rsid w:val="00EC5BB0"/>
    <w:rsid w:val="00EE16A5"/>
    <w:rsid w:val="00EE2A4B"/>
    <w:rsid w:val="00EE4A43"/>
    <w:rsid w:val="00EE7691"/>
    <w:rsid w:val="00EE799A"/>
    <w:rsid w:val="00EF2CD6"/>
    <w:rsid w:val="00EF46E6"/>
    <w:rsid w:val="00EF5826"/>
    <w:rsid w:val="00EF5A45"/>
    <w:rsid w:val="00EF6576"/>
    <w:rsid w:val="00F00614"/>
    <w:rsid w:val="00F02D2E"/>
    <w:rsid w:val="00F036BB"/>
    <w:rsid w:val="00F03F08"/>
    <w:rsid w:val="00F121D8"/>
    <w:rsid w:val="00F142CF"/>
    <w:rsid w:val="00F1765C"/>
    <w:rsid w:val="00F21A2A"/>
    <w:rsid w:val="00F2702D"/>
    <w:rsid w:val="00F300BC"/>
    <w:rsid w:val="00F318AF"/>
    <w:rsid w:val="00F31907"/>
    <w:rsid w:val="00F32D92"/>
    <w:rsid w:val="00F32F55"/>
    <w:rsid w:val="00F409EF"/>
    <w:rsid w:val="00F41EC7"/>
    <w:rsid w:val="00F4329E"/>
    <w:rsid w:val="00F437DE"/>
    <w:rsid w:val="00F455D6"/>
    <w:rsid w:val="00F47DAC"/>
    <w:rsid w:val="00F47EF1"/>
    <w:rsid w:val="00F5012C"/>
    <w:rsid w:val="00F51668"/>
    <w:rsid w:val="00F5224F"/>
    <w:rsid w:val="00F53A60"/>
    <w:rsid w:val="00F55F45"/>
    <w:rsid w:val="00F566F3"/>
    <w:rsid w:val="00F61C06"/>
    <w:rsid w:val="00F62795"/>
    <w:rsid w:val="00F647F8"/>
    <w:rsid w:val="00F64841"/>
    <w:rsid w:val="00F6499C"/>
    <w:rsid w:val="00F71902"/>
    <w:rsid w:val="00F72E79"/>
    <w:rsid w:val="00F75544"/>
    <w:rsid w:val="00F828AC"/>
    <w:rsid w:val="00F83673"/>
    <w:rsid w:val="00F84A9A"/>
    <w:rsid w:val="00F85291"/>
    <w:rsid w:val="00F87D19"/>
    <w:rsid w:val="00F87F6D"/>
    <w:rsid w:val="00F90D21"/>
    <w:rsid w:val="00F93954"/>
    <w:rsid w:val="00F94E64"/>
    <w:rsid w:val="00F95BEB"/>
    <w:rsid w:val="00F96774"/>
    <w:rsid w:val="00FA21C9"/>
    <w:rsid w:val="00FA3255"/>
    <w:rsid w:val="00FA3480"/>
    <w:rsid w:val="00FA4ED1"/>
    <w:rsid w:val="00FA64AE"/>
    <w:rsid w:val="00FB1D0D"/>
    <w:rsid w:val="00FC0EC1"/>
    <w:rsid w:val="00FC222E"/>
    <w:rsid w:val="00FC4640"/>
    <w:rsid w:val="00FC5370"/>
    <w:rsid w:val="00FC5B9A"/>
    <w:rsid w:val="00FC6D79"/>
    <w:rsid w:val="00FD22E1"/>
    <w:rsid w:val="00FD28F1"/>
    <w:rsid w:val="00FD2CB8"/>
    <w:rsid w:val="00FD431E"/>
    <w:rsid w:val="00FD4C05"/>
    <w:rsid w:val="00FD6FF1"/>
    <w:rsid w:val="00FE323B"/>
    <w:rsid w:val="00FE3B32"/>
    <w:rsid w:val="00FE6C27"/>
    <w:rsid w:val="00FE6F22"/>
    <w:rsid w:val="00FE72B8"/>
    <w:rsid w:val="00FE735B"/>
    <w:rsid w:val="00FF038F"/>
    <w:rsid w:val="00FF0E55"/>
    <w:rsid w:val="00FF1CE7"/>
    <w:rsid w:val="00FF699A"/>
    <w:rsid w:val="00FF7399"/>
    <w:rsid w:val="00FF7B00"/>
    <w:rsid w:val="012A4E11"/>
    <w:rsid w:val="02724A8C"/>
    <w:rsid w:val="04021C28"/>
    <w:rsid w:val="046CD0F9"/>
    <w:rsid w:val="04E325DD"/>
    <w:rsid w:val="04FE3817"/>
    <w:rsid w:val="05850C70"/>
    <w:rsid w:val="07601219"/>
    <w:rsid w:val="07D834EA"/>
    <w:rsid w:val="080D4AB1"/>
    <w:rsid w:val="0893AB7C"/>
    <w:rsid w:val="0997AD27"/>
    <w:rsid w:val="0C987B27"/>
    <w:rsid w:val="0D0DAAF5"/>
    <w:rsid w:val="0D703BCF"/>
    <w:rsid w:val="0D9769CB"/>
    <w:rsid w:val="0DBC8517"/>
    <w:rsid w:val="0F1CDEEE"/>
    <w:rsid w:val="0F59764A"/>
    <w:rsid w:val="0FAF4597"/>
    <w:rsid w:val="10EC0F67"/>
    <w:rsid w:val="11C23176"/>
    <w:rsid w:val="1291170C"/>
    <w:rsid w:val="12A4C2A9"/>
    <w:rsid w:val="12DEEC4B"/>
    <w:rsid w:val="13621B4F"/>
    <w:rsid w:val="14BB75F5"/>
    <w:rsid w:val="151D9055"/>
    <w:rsid w:val="1B5D11D0"/>
    <w:rsid w:val="1BD5F756"/>
    <w:rsid w:val="1CF3855C"/>
    <w:rsid w:val="1E7AD2F5"/>
    <w:rsid w:val="1F589941"/>
    <w:rsid w:val="1FF9633F"/>
    <w:rsid w:val="24A8CA22"/>
    <w:rsid w:val="2515948F"/>
    <w:rsid w:val="25E886C1"/>
    <w:rsid w:val="25FF84BB"/>
    <w:rsid w:val="2741ABC2"/>
    <w:rsid w:val="2754322F"/>
    <w:rsid w:val="2771A70C"/>
    <w:rsid w:val="27B164E9"/>
    <w:rsid w:val="28A6452D"/>
    <w:rsid w:val="28CD4991"/>
    <w:rsid w:val="28D72277"/>
    <w:rsid w:val="29FEA13F"/>
    <w:rsid w:val="2A06C09B"/>
    <w:rsid w:val="2A1E7CE2"/>
    <w:rsid w:val="2A34DEEF"/>
    <w:rsid w:val="2A46448A"/>
    <w:rsid w:val="2A58791C"/>
    <w:rsid w:val="2D60DBCB"/>
    <w:rsid w:val="2D6BF69A"/>
    <w:rsid w:val="2D8A6311"/>
    <w:rsid w:val="2DF6CA29"/>
    <w:rsid w:val="2E45F6AD"/>
    <w:rsid w:val="3019DC0C"/>
    <w:rsid w:val="31E28B93"/>
    <w:rsid w:val="322F0E3E"/>
    <w:rsid w:val="32B3EBE4"/>
    <w:rsid w:val="32C2B368"/>
    <w:rsid w:val="33873124"/>
    <w:rsid w:val="33A75714"/>
    <w:rsid w:val="34C6BF24"/>
    <w:rsid w:val="35B01BCB"/>
    <w:rsid w:val="361F7A94"/>
    <w:rsid w:val="3633B518"/>
    <w:rsid w:val="3680048A"/>
    <w:rsid w:val="39A4F108"/>
    <w:rsid w:val="39CBA078"/>
    <w:rsid w:val="3A1EDA16"/>
    <w:rsid w:val="3B27CC27"/>
    <w:rsid w:val="3C87EE9B"/>
    <w:rsid w:val="3D1E6C2A"/>
    <w:rsid w:val="3D5DF019"/>
    <w:rsid w:val="3DDA8F4D"/>
    <w:rsid w:val="3E762B90"/>
    <w:rsid w:val="3F0F2A72"/>
    <w:rsid w:val="3F7ECB9D"/>
    <w:rsid w:val="3FDAFD00"/>
    <w:rsid w:val="40016EBD"/>
    <w:rsid w:val="40A1E637"/>
    <w:rsid w:val="41F693DC"/>
    <w:rsid w:val="42C7795B"/>
    <w:rsid w:val="442CD852"/>
    <w:rsid w:val="44CDEEBC"/>
    <w:rsid w:val="46186410"/>
    <w:rsid w:val="47C05858"/>
    <w:rsid w:val="4878B2DF"/>
    <w:rsid w:val="487AD2D0"/>
    <w:rsid w:val="4A283467"/>
    <w:rsid w:val="4B6D0E72"/>
    <w:rsid w:val="4F3C852C"/>
    <w:rsid w:val="501E1E4C"/>
    <w:rsid w:val="5024AA11"/>
    <w:rsid w:val="50686A86"/>
    <w:rsid w:val="506A9D1F"/>
    <w:rsid w:val="513C46FB"/>
    <w:rsid w:val="519BCE22"/>
    <w:rsid w:val="5367DC2B"/>
    <w:rsid w:val="53B47BC2"/>
    <w:rsid w:val="543AF28B"/>
    <w:rsid w:val="55C99443"/>
    <w:rsid w:val="55C9F28F"/>
    <w:rsid w:val="564D795C"/>
    <w:rsid w:val="58486886"/>
    <w:rsid w:val="58D56BD3"/>
    <w:rsid w:val="5A2ED32C"/>
    <w:rsid w:val="5B161C9E"/>
    <w:rsid w:val="5BC12358"/>
    <w:rsid w:val="5C1FB346"/>
    <w:rsid w:val="5E5953AB"/>
    <w:rsid w:val="5EF82E35"/>
    <w:rsid w:val="5F15866F"/>
    <w:rsid w:val="5F1B262B"/>
    <w:rsid w:val="61333D07"/>
    <w:rsid w:val="61FB4991"/>
    <w:rsid w:val="620DD96D"/>
    <w:rsid w:val="6232F668"/>
    <w:rsid w:val="62D32166"/>
    <w:rsid w:val="62E64035"/>
    <w:rsid w:val="6310A2B9"/>
    <w:rsid w:val="640C2536"/>
    <w:rsid w:val="64561C74"/>
    <w:rsid w:val="650E4228"/>
    <w:rsid w:val="66373A7A"/>
    <w:rsid w:val="68B7B36C"/>
    <w:rsid w:val="69F56090"/>
    <w:rsid w:val="6BCE9FFC"/>
    <w:rsid w:val="6C003FC2"/>
    <w:rsid w:val="6C33D46A"/>
    <w:rsid w:val="6D4476AD"/>
    <w:rsid w:val="6E86902B"/>
    <w:rsid w:val="6EF0C9E7"/>
    <w:rsid w:val="70A3279F"/>
    <w:rsid w:val="7106594F"/>
    <w:rsid w:val="7145027B"/>
    <w:rsid w:val="71D180C2"/>
    <w:rsid w:val="71DB9B48"/>
    <w:rsid w:val="73429F59"/>
    <w:rsid w:val="7377BC37"/>
    <w:rsid w:val="7423083B"/>
    <w:rsid w:val="759E606A"/>
    <w:rsid w:val="762D83C5"/>
    <w:rsid w:val="76E8B4D6"/>
    <w:rsid w:val="78E1B651"/>
    <w:rsid w:val="79541974"/>
    <w:rsid w:val="795817F2"/>
    <w:rsid w:val="7A168B36"/>
    <w:rsid w:val="7A3AD86E"/>
    <w:rsid w:val="7B19F569"/>
    <w:rsid w:val="7B635AE6"/>
    <w:rsid w:val="7C8E1A85"/>
    <w:rsid w:val="7CC3A6A2"/>
    <w:rsid w:val="7D627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299A91"/>
  <w15:chartTrackingRefBased/>
  <w15:docId w15:val="{5A6F1FE0-ECA5-4AE4-8546-03D24D2D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53A81"/>
    <w:pPr>
      <w:numPr>
        <w:numId w:val="3"/>
      </w:numPr>
      <w:pBdr>
        <w:top w:val="single" w:sz="4" w:space="1" w:color="auto"/>
      </w:pBdr>
      <w:tabs>
        <w:tab w:val="left" w:pos="1080"/>
      </w:tabs>
      <w:spacing w:line="240" w:lineRule="auto"/>
      <w:ind w:left="360"/>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53A81"/>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uiPriority w:val="99"/>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uiPriority w:val="99"/>
    <w:rsid w:val="003D09E2"/>
    <w:rPr>
      <w:rFonts w:ascii="Arial" w:eastAsia="Times New Roman" w:hAnsi="Arial" w:cs="Times New Roman"/>
      <w:sz w:val="24"/>
      <w:szCs w:val="20"/>
    </w:rPr>
  </w:style>
  <w:style w:type="paragraph" w:styleId="BodyTextFirstIndent">
    <w:name w:val="Body Text First Indent"/>
    <w:basedOn w:val="BodyText"/>
    <w:link w:val="BodyTextFirstIndentChar"/>
    <w:qFormat/>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styleId="PlainText">
    <w:name w:val="Plain Text"/>
    <w:basedOn w:val="Normal"/>
    <w:link w:val="PlainTextChar"/>
    <w:uiPriority w:val="99"/>
    <w:unhideWhenUsed/>
    <w:rsid w:val="008C2B7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C2B73"/>
    <w:rPr>
      <w:rFonts w:ascii="Consolas" w:hAnsi="Consolas"/>
      <w:sz w:val="21"/>
      <w:szCs w:val="21"/>
    </w:rPr>
  </w:style>
  <w:style w:type="character" w:customStyle="1" w:styleId="apple-converted-space">
    <w:name w:val="apple-converted-space"/>
    <w:basedOn w:val="DefaultParagraphFont"/>
    <w:rsid w:val="008C2B73"/>
  </w:style>
  <w:style w:type="paragraph" w:customStyle="1" w:styleId="a">
    <w:name w:val="آ"/>
    <w:basedOn w:val="Normal"/>
    <w:rsid w:val="00E07475"/>
    <w:pPr>
      <w:widowControl w:val="0"/>
      <w:spacing w:after="0" w:line="240" w:lineRule="auto"/>
    </w:pPr>
    <w:rPr>
      <w:rFonts w:ascii="Times New Roman" w:eastAsia="Times New Roman" w:hAnsi="Times New Roman" w:cs="Times New Roman"/>
      <w:szCs w:val="20"/>
    </w:rPr>
  </w:style>
  <w:style w:type="character" w:styleId="EndnoteReference">
    <w:name w:val="endnote reference"/>
    <w:basedOn w:val="DefaultParagraphFont"/>
    <w:uiPriority w:val="99"/>
    <w:semiHidden/>
    <w:unhideWhenUsed/>
    <w:rsid w:val="00FD6FF1"/>
    <w:rPr>
      <w:vertAlign w:val="superscript"/>
    </w:rPr>
  </w:style>
  <w:style w:type="character" w:styleId="FollowedHyperlink">
    <w:name w:val="FollowedHyperlink"/>
    <w:basedOn w:val="DefaultParagraphFont"/>
    <w:uiPriority w:val="99"/>
    <w:semiHidden/>
    <w:unhideWhenUsed/>
    <w:rsid w:val="00FD6FF1"/>
    <w:rPr>
      <w:color w:val="800080"/>
      <w:u w:val="single"/>
    </w:rPr>
  </w:style>
  <w:style w:type="character" w:styleId="PageNumber">
    <w:name w:val="page number"/>
    <w:basedOn w:val="DefaultParagraphFont"/>
    <w:rsid w:val="00FD6FF1"/>
  </w:style>
  <w:style w:type="character" w:customStyle="1" w:styleId="UnresolvedMention1">
    <w:name w:val="Unresolved Mention1"/>
    <w:basedOn w:val="DefaultParagraphFont"/>
    <w:uiPriority w:val="99"/>
    <w:semiHidden/>
    <w:unhideWhenUsed/>
    <w:rsid w:val="00FD6FF1"/>
    <w:rPr>
      <w:color w:val="808080"/>
      <w:shd w:val="clear" w:color="auto" w:fill="E6E6E6"/>
    </w:rPr>
  </w:style>
  <w:style w:type="character" w:styleId="Emphasis">
    <w:name w:val="Emphasis"/>
    <w:basedOn w:val="DefaultParagraphFont"/>
    <w:uiPriority w:val="20"/>
    <w:qFormat/>
    <w:rsid w:val="00FD6FF1"/>
    <w:rPr>
      <w:i/>
      <w:iCs/>
    </w:rPr>
  </w:style>
  <w:style w:type="character" w:customStyle="1" w:styleId="text">
    <w:name w:val="text"/>
    <w:basedOn w:val="DefaultParagraphFont"/>
    <w:rsid w:val="00FD6FF1"/>
  </w:style>
  <w:style w:type="paragraph" w:customStyle="1" w:styleId="Level1">
    <w:name w:val="Level 1"/>
    <w:uiPriority w:val="99"/>
    <w:rsid w:val="005C3BF0"/>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D0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55">
      <w:bodyDiv w:val="1"/>
      <w:marLeft w:val="0"/>
      <w:marRight w:val="0"/>
      <w:marTop w:val="0"/>
      <w:marBottom w:val="0"/>
      <w:divBdr>
        <w:top w:val="none" w:sz="0" w:space="0" w:color="auto"/>
        <w:left w:val="none" w:sz="0" w:space="0" w:color="auto"/>
        <w:bottom w:val="none" w:sz="0" w:space="0" w:color="auto"/>
        <w:right w:val="none" w:sz="0" w:space="0" w:color="auto"/>
      </w:divBdr>
    </w:div>
    <w:div w:id="29844084">
      <w:bodyDiv w:val="1"/>
      <w:marLeft w:val="0"/>
      <w:marRight w:val="0"/>
      <w:marTop w:val="0"/>
      <w:marBottom w:val="0"/>
      <w:divBdr>
        <w:top w:val="none" w:sz="0" w:space="0" w:color="auto"/>
        <w:left w:val="none" w:sz="0" w:space="0" w:color="auto"/>
        <w:bottom w:val="none" w:sz="0" w:space="0" w:color="auto"/>
        <w:right w:val="none" w:sz="0" w:space="0" w:color="auto"/>
      </w:divBdr>
    </w:div>
    <w:div w:id="45761387">
      <w:bodyDiv w:val="1"/>
      <w:marLeft w:val="0"/>
      <w:marRight w:val="0"/>
      <w:marTop w:val="0"/>
      <w:marBottom w:val="0"/>
      <w:divBdr>
        <w:top w:val="none" w:sz="0" w:space="0" w:color="auto"/>
        <w:left w:val="none" w:sz="0" w:space="0" w:color="auto"/>
        <w:bottom w:val="none" w:sz="0" w:space="0" w:color="auto"/>
        <w:right w:val="none" w:sz="0" w:space="0" w:color="auto"/>
      </w:divBdr>
    </w:div>
    <w:div w:id="156311964">
      <w:bodyDiv w:val="1"/>
      <w:marLeft w:val="0"/>
      <w:marRight w:val="0"/>
      <w:marTop w:val="0"/>
      <w:marBottom w:val="0"/>
      <w:divBdr>
        <w:top w:val="none" w:sz="0" w:space="0" w:color="auto"/>
        <w:left w:val="none" w:sz="0" w:space="0" w:color="auto"/>
        <w:bottom w:val="none" w:sz="0" w:space="0" w:color="auto"/>
        <w:right w:val="none" w:sz="0" w:space="0" w:color="auto"/>
      </w:divBdr>
    </w:div>
    <w:div w:id="200361145">
      <w:bodyDiv w:val="1"/>
      <w:marLeft w:val="0"/>
      <w:marRight w:val="0"/>
      <w:marTop w:val="0"/>
      <w:marBottom w:val="0"/>
      <w:divBdr>
        <w:top w:val="none" w:sz="0" w:space="0" w:color="auto"/>
        <w:left w:val="none" w:sz="0" w:space="0" w:color="auto"/>
        <w:bottom w:val="none" w:sz="0" w:space="0" w:color="auto"/>
        <w:right w:val="none" w:sz="0" w:space="0" w:color="auto"/>
      </w:divBdr>
    </w:div>
    <w:div w:id="201092693">
      <w:bodyDiv w:val="1"/>
      <w:marLeft w:val="0"/>
      <w:marRight w:val="0"/>
      <w:marTop w:val="0"/>
      <w:marBottom w:val="0"/>
      <w:divBdr>
        <w:top w:val="none" w:sz="0" w:space="0" w:color="auto"/>
        <w:left w:val="none" w:sz="0" w:space="0" w:color="auto"/>
        <w:bottom w:val="none" w:sz="0" w:space="0" w:color="auto"/>
        <w:right w:val="none" w:sz="0" w:space="0" w:color="auto"/>
      </w:divBdr>
    </w:div>
    <w:div w:id="386953321">
      <w:bodyDiv w:val="1"/>
      <w:marLeft w:val="0"/>
      <w:marRight w:val="0"/>
      <w:marTop w:val="0"/>
      <w:marBottom w:val="0"/>
      <w:divBdr>
        <w:top w:val="none" w:sz="0" w:space="0" w:color="auto"/>
        <w:left w:val="none" w:sz="0" w:space="0" w:color="auto"/>
        <w:bottom w:val="none" w:sz="0" w:space="0" w:color="auto"/>
        <w:right w:val="none" w:sz="0" w:space="0" w:color="auto"/>
      </w:divBdr>
    </w:div>
    <w:div w:id="393355688">
      <w:bodyDiv w:val="1"/>
      <w:marLeft w:val="0"/>
      <w:marRight w:val="0"/>
      <w:marTop w:val="0"/>
      <w:marBottom w:val="0"/>
      <w:divBdr>
        <w:top w:val="none" w:sz="0" w:space="0" w:color="auto"/>
        <w:left w:val="none" w:sz="0" w:space="0" w:color="auto"/>
        <w:bottom w:val="none" w:sz="0" w:space="0" w:color="auto"/>
        <w:right w:val="none" w:sz="0" w:space="0" w:color="auto"/>
      </w:divBdr>
    </w:div>
    <w:div w:id="402677816">
      <w:bodyDiv w:val="1"/>
      <w:marLeft w:val="0"/>
      <w:marRight w:val="0"/>
      <w:marTop w:val="0"/>
      <w:marBottom w:val="0"/>
      <w:divBdr>
        <w:top w:val="none" w:sz="0" w:space="0" w:color="auto"/>
        <w:left w:val="none" w:sz="0" w:space="0" w:color="auto"/>
        <w:bottom w:val="none" w:sz="0" w:space="0" w:color="auto"/>
        <w:right w:val="none" w:sz="0" w:space="0" w:color="auto"/>
      </w:divBdr>
    </w:div>
    <w:div w:id="412777810">
      <w:bodyDiv w:val="1"/>
      <w:marLeft w:val="0"/>
      <w:marRight w:val="0"/>
      <w:marTop w:val="0"/>
      <w:marBottom w:val="0"/>
      <w:divBdr>
        <w:top w:val="none" w:sz="0" w:space="0" w:color="auto"/>
        <w:left w:val="none" w:sz="0" w:space="0" w:color="auto"/>
        <w:bottom w:val="none" w:sz="0" w:space="0" w:color="auto"/>
        <w:right w:val="none" w:sz="0" w:space="0" w:color="auto"/>
      </w:divBdr>
    </w:div>
    <w:div w:id="467749507">
      <w:bodyDiv w:val="1"/>
      <w:marLeft w:val="0"/>
      <w:marRight w:val="0"/>
      <w:marTop w:val="0"/>
      <w:marBottom w:val="0"/>
      <w:divBdr>
        <w:top w:val="none" w:sz="0" w:space="0" w:color="auto"/>
        <w:left w:val="none" w:sz="0" w:space="0" w:color="auto"/>
        <w:bottom w:val="none" w:sz="0" w:space="0" w:color="auto"/>
        <w:right w:val="none" w:sz="0" w:space="0" w:color="auto"/>
      </w:divBdr>
    </w:div>
    <w:div w:id="489559611">
      <w:bodyDiv w:val="1"/>
      <w:marLeft w:val="0"/>
      <w:marRight w:val="0"/>
      <w:marTop w:val="0"/>
      <w:marBottom w:val="0"/>
      <w:divBdr>
        <w:top w:val="none" w:sz="0" w:space="0" w:color="auto"/>
        <w:left w:val="none" w:sz="0" w:space="0" w:color="auto"/>
        <w:bottom w:val="none" w:sz="0" w:space="0" w:color="auto"/>
        <w:right w:val="none" w:sz="0" w:space="0" w:color="auto"/>
      </w:divBdr>
    </w:div>
    <w:div w:id="520163973">
      <w:bodyDiv w:val="1"/>
      <w:marLeft w:val="0"/>
      <w:marRight w:val="0"/>
      <w:marTop w:val="0"/>
      <w:marBottom w:val="0"/>
      <w:divBdr>
        <w:top w:val="none" w:sz="0" w:space="0" w:color="auto"/>
        <w:left w:val="none" w:sz="0" w:space="0" w:color="auto"/>
        <w:bottom w:val="none" w:sz="0" w:space="0" w:color="auto"/>
        <w:right w:val="none" w:sz="0" w:space="0" w:color="auto"/>
      </w:divBdr>
    </w:div>
    <w:div w:id="525024533">
      <w:bodyDiv w:val="1"/>
      <w:marLeft w:val="0"/>
      <w:marRight w:val="0"/>
      <w:marTop w:val="0"/>
      <w:marBottom w:val="0"/>
      <w:divBdr>
        <w:top w:val="none" w:sz="0" w:space="0" w:color="auto"/>
        <w:left w:val="none" w:sz="0" w:space="0" w:color="auto"/>
        <w:bottom w:val="none" w:sz="0" w:space="0" w:color="auto"/>
        <w:right w:val="none" w:sz="0" w:space="0" w:color="auto"/>
      </w:divBdr>
    </w:div>
    <w:div w:id="540829891">
      <w:bodyDiv w:val="1"/>
      <w:marLeft w:val="0"/>
      <w:marRight w:val="0"/>
      <w:marTop w:val="0"/>
      <w:marBottom w:val="0"/>
      <w:divBdr>
        <w:top w:val="none" w:sz="0" w:space="0" w:color="auto"/>
        <w:left w:val="none" w:sz="0" w:space="0" w:color="auto"/>
        <w:bottom w:val="none" w:sz="0" w:space="0" w:color="auto"/>
        <w:right w:val="none" w:sz="0" w:space="0" w:color="auto"/>
      </w:divBdr>
    </w:div>
    <w:div w:id="564534012">
      <w:bodyDiv w:val="1"/>
      <w:marLeft w:val="0"/>
      <w:marRight w:val="0"/>
      <w:marTop w:val="0"/>
      <w:marBottom w:val="0"/>
      <w:divBdr>
        <w:top w:val="none" w:sz="0" w:space="0" w:color="auto"/>
        <w:left w:val="none" w:sz="0" w:space="0" w:color="auto"/>
        <w:bottom w:val="none" w:sz="0" w:space="0" w:color="auto"/>
        <w:right w:val="none" w:sz="0" w:space="0" w:color="auto"/>
      </w:divBdr>
    </w:div>
    <w:div w:id="567377791">
      <w:bodyDiv w:val="1"/>
      <w:marLeft w:val="0"/>
      <w:marRight w:val="0"/>
      <w:marTop w:val="0"/>
      <w:marBottom w:val="0"/>
      <w:divBdr>
        <w:top w:val="none" w:sz="0" w:space="0" w:color="auto"/>
        <w:left w:val="none" w:sz="0" w:space="0" w:color="auto"/>
        <w:bottom w:val="none" w:sz="0" w:space="0" w:color="auto"/>
        <w:right w:val="none" w:sz="0" w:space="0" w:color="auto"/>
      </w:divBdr>
    </w:div>
    <w:div w:id="569776174">
      <w:bodyDiv w:val="1"/>
      <w:marLeft w:val="0"/>
      <w:marRight w:val="0"/>
      <w:marTop w:val="0"/>
      <w:marBottom w:val="0"/>
      <w:divBdr>
        <w:top w:val="none" w:sz="0" w:space="0" w:color="auto"/>
        <w:left w:val="none" w:sz="0" w:space="0" w:color="auto"/>
        <w:bottom w:val="none" w:sz="0" w:space="0" w:color="auto"/>
        <w:right w:val="none" w:sz="0" w:space="0" w:color="auto"/>
      </w:divBdr>
    </w:div>
    <w:div w:id="611592779">
      <w:bodyDiv w:val="1"/>
      <w:marLeft w:val="0"/>
      <w:marRight w:val="0"/>
      <w:marTop w:val="0"/>
      <w:marBottom w:val="0"/>
      <w:divBdr>
        <w:top w:val="none" w:sz="0" w:space="0" w:color="auto"/>
        <w:left w:val="none" w:sz="0" w:space="0" w:color="auto"/>
        <w:bottom w:val="none" w:sz="0" w:space="0" w:color="auto"/>
        <w:right w:val="none" w:sz="0" w:space="0" w:color="auto"/>
      </w:divBdr>
    </w:div>
    <w:div w:id="613905313">
      <w:bodyDiv w:val="1"/>
      <w:marLeft w:val="0"/>
      <w:marRight w:val="0"/>
      <w:marTop w:val="0"/>
      <w:marBottom w:val="0"/>
      <w:divBdr>
        <w:top w:val="none" w:sz="0" w:space="0" w:color="auto"/>
        <w:left w:val="none" w:sz="0" w:space="0" w:color="auto"/>
        <w:bottom w:val="none" w:sz="0" w:space="0" w:color="auto"/>
        <w:right w:val="none" w:sz="0" w:space="0" w:color="auto"/>
      </w:divBdr>
    </w:div>
    <w:div w:id="623464705">
      <w:bodyDiv w:val="1"/>
      <w:marLeft w:val="0"/>
      <w:marRight w:val="0"/>
      <w:marTop w:val="0"/>
      <w:marBottom w:val="0"/>
      <w:divBdr>
        <w:top w:val="none" w:sz="0" w:space="0" w:color="auto"/>
        <w:left w:val="none" w:sz="0" w:space="0" w:color="auto"/>
        <w:bottom w:val="none" w:sz="0" w:space="0" w:color="auto"/>
        <w:right w:val="none" w:sz="0" w:space="0" w:color="auto"/>
      </w:divBdr>
    </w:div>
    <w:div w:id="640042060">
      <w:bodyDiv w:val="1"/>
      <w:marLeft w:val="0"/>
      <w:marRight w:val="0"/>
      <w:marTop w:val="0"/>
      <w:marBottom w:val="0"/>
      <w:divBdr>
        <w:top w:val="none" w:sz="0" w:space="0" w:color="auto"/>
        <w:left w:val="none" w:sz="0" w:space="0" w:color="auto"/>
        <w:bottom w:val="none" w:sz="0" w:space="0" w:color="auto"/>
        <w:right w:val="none" w:sz="0" w:space="0" w:color="auto"/>
      </w:divBdr>
    </w:div>
    <w:div w:id="660699710">
      <w:bodyDiv w:val="1"/>
      <w:marLeft w:val="0"/>
      <w:marRight w:val="0"/>
      <w:marTop w:val="0"/>
      <w:marBottom w:val="0"/>
      <w:divBdr>
        <w:top w:val="none" w:sz="0" w:space="0" w:color="auto"/>
        <w:left w:val="none" w:sz="0" w:space="0" w:color="auto"/>
        <w:bottom w:val="none" w:sz="0" w:space="0" w:color="auto"/>
        <w:right w:val="none" w:sz="0" w:space="0" w:color="auto"/>
      </w:divBdr>
    </w:div>
    <w:div w:id="762800938">
      <w:bodyDiv w:val="1"/>
      <w:marLeft w:val="0"/>
      <w:marRight w:val="0"/>
      <w:marTop w:val="0"/>
      <w:marBottom w:val="0"/>
      <w:divBdr>
        <w:top w:val="none" w:sz="0" w:space="0" w:color="auto"/>
        <w:left w:val="none" w:sz="0" w:space="0" w:color="auto"/>
        <w:bottom w:val="none" w:sz="0" w:space="0" w:color="auto"/>
        <w:right w:val="none" w:sz="0" w:space="0" w:color="auto"/>
      </w:divBdr>
    </w:div>
    <w:div w:id="826943389">
      <w:bodyDiv w:val="1"/>
      <w:marLeft w:val="0"/>
      <w:marRight w:val="0"/>
      <w:marTop w:val="0"/>
      <w:marBottom w:val="0"/>
      <w:divBdr>
        <w:top w:val="none" w:sz="0" w:space="0" w:color="auto"/>
        <w:left w:val="none" w:sz="0" w:space="0" w:color="auto"/>
        <w:bottom w:val="none" w:sz="0" w:space="0" w:color="auto"/>
        <w:right w:val="none" w:sz="0" w:space="0" w:color="auto"/>
      </w:divBdr>
    </w:div>
    <w:div w:id="832911137">
      <w:bodyDiv w:val="1"/>
      <w:marLeft w:val="0"/>
      <w:marRight w:val="0"/>
      <w:marTop w:val="0"/>
      <w:marBottom w:val="0"/>
      <w:divBdr>
        <w:top w:val="none" w:sz="0" w:space="0" w:color="auto"/>
        <w:left w:val="none" w:sz="0" w:space="0" w:color="auto"/>
        <w:bottom w:val="none" w:sz="0" w:space="0" w:color="auto"/>
        <w:right w:val="none" w:sz="0" w:space="0" w:color="auto"/>
      </w:divBdr>
    </w:div>
    <w:div w:id="866255088">
      <w:bodyDiv w:val="1"/>
      <w:marLeft w:val="0"/>
      <w:marRight w:val="0"/>
      <w:marTop w:val="0"/>
      <w:marBottom w:val="0"/>
      <w:divBdr>
        <w:top w:val="none" w:sz="0" w:space="0" w:color="auto"/>
        <w:left w:val="none" w:sz="0" w:space="0" w:color="auto"/>
        <w:bottom w:val="none" w:sz="0" w:space="0" w:color="auto"/>
        <w:right w:val="none" w:sz="0" w:space="0" w:color="auto"/>
      </w:divBdr>
    </w:div>
    <w:div w:id="919216631">
      <w:bodyDiv w:val="1"/>
      <w:marLeft w:val="0"/>
      <w:marRight w:val="0"/>
      <w:marTop w:val="0"/>
      <w:marBottom w:val="0"/>
      <w:divBdr>
        <w:top w:val="none" w:sz="0" w:space="0" w:color="auto"/>
        <w:left w:val="none" w:sz="0" w:space="0" w:color="auto"/>
        <w:bottom w:val="none" w:sz="0" w:space="0" w:color="auto"/>
        <w:right w:val="none" w:sz="0" w:space="0" w:color="auto"/>
      </w:divBdr>
    </w:div>
    <w:div w:id="963779592">
      <w:bodyDiv w:val="1"/>
      <w:marLeft w:val="0"/>
      <w:marRight w:val="0"/>
      <w:marTop w:val="0"/>
      <w:marBottom w:val="0"/>
      <w:divBdr>
        <w:top w:val="none" w:sz="0" w:space="0" w:color="auto"/>
        <w:left w:val="none" w:sz="0" w:space="0" w:color="auto"/>
        <w:bottom w:val="none" w:sz="0" w:space="0" w:color="auto"/>
        <w:right w:val="none" w:sz="0" w:space="0" w:color="auto"/>
      </w:divBdr>
    </w:div>
    <w:div w:id="1036537900">
      <w:bodyDiv w:val="1"/>
      <w:marLeft w:val="0"/>
      <w:marRight w:val="0"/>
      <w:marTop w:val="0"/>
      <w:marBottom w:val="0"/>
      <w:divBdr>
        <w:top w:val="none" w:sz="0" w:space="0" w:color="auto"/>
        <w:left w:val="none" w:sz="0" w:space="0" w:color="auto"/>
        <w:bottom w:val="none" w:sz="0" w:space="0" w:color="auto"/>
        <w:right w:val="none" w:sz="0" w:space="0" w:color="auto"/>
      </w:divBdr>
    </w:div>
    <w:div w:id="1099251073">
      <w:bodyDiv w:val="1"/>
      <w:marLeft w:val="0"/>
      <w:marRight w:val="0"/>
      <w:marTop w:val="0"/>
      <w:marBottom w:val="0"/>
      <w:divBdr>
        <w:top w:val="none" w:sz="0" w:space="0" w:color="auto"/>
        <w:left w:val="none" w:sz="0" w:space="0" w:color="auto"/>
        <w:bottom w:val="none" w:sz="0" w:space="0" w:color="auto"/>
        <w:right w:val="none" w:sz="0" w:space="0" w:color="auto"/>
      </w:divBdr>
    </w:div>
    <w:div w:id="1100024802">
      <w:bodyDiv w:val="1"/>
      <w:marLeft w:val="0"/>
      <w:marRight w:val="0"/>
      <w:marTop w:val="0"/>
      <w:marBottom w:val="0"/>
      <w:divBdr>
        <w:top w:val="none" w:sz="0" w:space="0" w:color="auto"/>
        <w:left w:val="none" w:sz="0" w:space="0" w:color="auto"/>
        <w:bottom w:val="none" w:sz="0" w:space="0" w:color="auto"/>
        <w:right w:val="none" w:sz="0" w:space="0" w:color="auto"/>
      </w:divBdr>
    </w:div>
    <w:div w:id="1229657453">
      <w:bodyDiv w:val="1"/>
      <w:marLeft w:val="0"/>
      <w:marRight w:val="0"/>
      <w:marTop w:val="0"/>
      <w:marBottom w:val="0"/>
      <w:divBdr>
        <w:top w:val="none" w:sz="0" w:space="0" w:color="auto"/>
        <w:left w:val="none" w:sz="0" w:space="0" w:color="auto"/>
        <w:bottom w:val="none" w:sz="0" w:space="0" w:color="auto"/>
        <w:right w:val="none" w:sz="0" w:space="0" w:color="auto"/>
      </w:divBdr>
    </w:div>
    <w:div w:id="1245719756">
      <w:bodyDiv w:val="1"/>
      <w:marLeft w:val="0"/>
      <w:marRight w:val="0"/>
      <w:marTop w:val="0"/>
      <w:marBottom w:val="0"/>
      <w:divBdr>
        <w:top w:val="none" w:sz="0" w:space="0" w:color="auto"/>
        <w:left w:val="none" w:sz="0" w:space="0" w:color="auto"/>
        <w:bottom w:val="none" w:sz="0" w:space="0" w:color="auto"/>
        <w:right w:val="none" w:sz="0" w:space="0" w:color="auto"/>
      </w:divBdr>
    </w:div>
    <w:div w:id="1343431405">
      <w:bodyDiv w:val="1"/>
      <w:marLeft w:val="0"/>
      <w:marRight w:val="0"/>
      <w:marTop w:val="0"/>
      <w:marBottom w:val="0"/>
      <w:divBdr>
        <w:top w:val="none" w:sz="0" w:space="0" w:color="auto"/>
        <w:left w:val="none" w:sz="0" w:space="0" w:color="auto"/>
        <w:bottom w:val="none" w:sz="0" w:space="0" w:color="auto"/>
        <w:right w:val="none" w:sz="0" w:space="0" w:color="auto"/>
      </w:divBdr>
    </w:div>
    <w:div w:id="1359619285">
      <w:bodyDiv w:val="1"/>
      <w:marLeft w:val="0"/>
      <w:marRight w:val="0"/>
      <w:marTop w:val="0"/>
      <w:marBottom w:val="0"/>
      <w:divBdr>
        <w:top w:val="none" w:sz="0" w:space="0" w:color="auto"/>
        <w:left w:val="none" w:sz="0" w:space="0" w:color="auto"/>
        <w:bottom w:val="none" w:sz="0" w:space="0" w:color="auto"/>
        <w:right w:val="none" w:sz="0" w:space="0" w:color="auto"/>
      </w:divBdr>
    </w:div>
    <w:div w:id="1383628242">
      <w:bodyDiv w:val="1"/>
      <w:marLeft w:val="0"/>
      <w:marRight w:val="0"/>
      <w:marTop w:val="0"/>
      <w:marBottom w:val="0"/>
      <w:divBdr>
        <w:top w:val="none" w:sz="0" w:space="0" w:color="auto"/>
        <w:left w:val="none" w:sz="0" w:space="0" w:color="auto"/>
        <w:bottom w:val="none" w:sz="0" w:space="0" w:color="auto"/>
        <w:right w:val="none" w:sz="0" w:space="0" w:color="auto"/>
      </w:divBdr>
    </w:div>
    <w:div w:id="1419130973">
      <w:bodyDiv w:val="1"/>
      <w:marLeft w:val="0"/>
      <w:marRight w:val="0"/>
      <w:marTop w:val="0"/>
      <w:marBottom w:val="0"/>
      <w:divBdr>
        <w:top w:val="none" w:sz="0" w:space="0" w:color="auto"/>
        <w:left w:val="none" w:sz="0" w:space="0" w:color="auto"/>
        <w:bottom w:val="none" w:sz="0" w:space="0" w:color="auto"/>
        <w:right w:val="none" w:sz="0" w:space="0" w:color="auto"/>
      </w:divBdr>
    </w:div>
    <w:div w:id="1459639688">
      <w:bodyDiv w:val="1"/>
      <w:marLeft w:val="0"/>
      <w:marRight w:val="0"/>
      <w:marTop w:val="0"/>
      <w:marBottom w:val="0"/>
      <w:divBdr>
        <w:top w:val="none" w:sz="0" w:space="0" w:color="auto"/>
        <w:left w:val="none" w:sz="0" w:space="0" w:color="auto"/>
        <w:bottom w:val="none" w:sz="0" w:space="0" w:color="auto"/>
        <w:right w:val="none" w:sz="0" w:space="0" w:color="auto"/>
      </w:divBdr>
    </w:div>
    <w:div w:id="1463963418">
      <w:bodyDiv w:val="1"/>
      <w:marLeft w:val="0"/>
      <w:marRight w:val="0"/>
      <w:marTop w:val="0"/>
      <w:marBottom w:val="0"/>
      <w:divBdr>
        <w:top w:val="none" w:sz="0" w:space="0" w:color="auto"/>
        <w:left w:val="none" w:sz="0" w:space="0" w:color="auto"/>
        <w:bottom w:val="none" w:sz="0" w:space="0" w:color="auto"/>
        <w:right w:val="none" w:sz="0" w:space="0" w:color="auto"/>
      </w:divBdr>
    </w:div>
    <w:div w:id="1467241744">
      <w:bodyDiv w:val="1"/>
      <w:marLeft w:val="0"/>
      <w:marRight w:val="0"/>
      <w:marTop w:val="0"/>
      <w:marBottom w:val="0"/>
      <w:divBdr>
        <w:top w:val="none" w:sz="0" w:space="0" w:color="auto"/>
        <w:left w:val="none" w:sz="0" w:space="0" w:color="auto"/>
        <w:bottom w:val="none" w:sz="0" w:space="0" w:color="auto"/>
        <w:right w:val="none" w:sz="0" w:space="0" w:color="auto"/>
      </w:divBdr>
    </w:div>
    <w:div w:id="1647276966">
      <w:bodyDiv w:val="1"/>
      <w:marLeft w:val="0"/>
      <w:marRight w:val="0"/>
      <w:marTop w:val="0"/>
      <w:marBottom w:val="0"/>
      <w:divBdr>
        <w:top w:val="none" w:sz="0" w:space="0" w:color="auto"/>
        <w:left w:val="none" w:sz="0" w:space="0" w:color="auto"/>
        <w:bottom w:val="none" w:sz="0" w:space="0" w:color="auto"/>
        <w:right w:val="none" w:sz="0" w:space="0" w:color="auto"/>
      </w:divBdr>
    </w:div>
    <w:div w:id="1651592199">
      <w:bodyDiv w:val="1"/>
      <w:marLeft w:val="0"/>
      <w:marRight w:val="0"/>
      <w:marTop w:val="0"/>
      <w:marBottom w:val="0"/>
      <w:divBdr>
        <w:top w:val="none" w:sz="0" w:space="0" w:color="auto"/>
        <w:left w:val="none" w:sz="0" w:space="0" w:color="auto"/>
        <w:bottom w:val="none" w:sz="0" w:space="0" w:color="auto"/>
        <w:right w:val="none" w:sz="0" w:space="0" w:color="auto"/>
      </w:divBdr>
    </w:div>
    <w:div w:id="1737239082">
      <w:bodyDiv w:val="1"/>
      <w:marLeft w:val="0"/>
      <w:marRight w:val="0"/>
      <w:marTop w:val="0"/>
      <w:marBottom w:val="0"/>
      <w:divBdr>
        <w:top w:val="none" w:sz="0" w:space="0" w:color="auto"/>
        <w:left w:val="none" w:sz="0" w:space="0" w:color="auto"/>
        <w:bottom w:val="none" w:sz="0" w:space="0" w:color="auto"/>
        <w:right w:val="none" w:sz="0" w:space="0" w:color="auto"/>
      </w:divBdr>
      <w:divsChild>
        <w:div w:id="152646165">
          <w:marLeft w:val="0"/>
          <w:marRight w:val="0"/>
          <w:marTop w:val="0"/>
          <w:marBottom w:val="0"/>
          <w:divBdr>
            <w:top w:val="none" w:sz="0" w:space="0" w:color="auto"/>
            <w:left w:val="none" w:sz="0" w:space="0" w:color="auto"/>
            <w:bottom w:val="none" w:sz="0" w:space="0" w:color="auto"/>
            <w:right w:val="none" w:sz="0" w:space="0" w:color="auto"/>
          </w:divBdr>
        </w:div>
      </w:divsChild>
    </w:div>
    <w:div w:id="2027320384">
      <w:bodyDiv w:val="1"/>
      <w:marLeft w:val="0"/>
      <w:marRight w:val="0"/>
      <w:marTop w:val="0"/>
      <w:marBottom w:val="0"/>
      <w:divBdr>
        <w:top w:val="none" w:sz="0" w:space="0" w:color="auto"/>
        <w:left w:val="none" w:sz="0" w:space="0" w:color="auto"/>
        <w:bottom w:val="none" w:sz="0" w:space="0" w:color="auto"/>
        <w:right w:val="none" w:sz="0" w:space="0" w:color="auto"/>
      </w:divBdr>
    </w:div>
    <w:div w:id="2055737106">
      <w:bodyDiv w:val="1"/>
      <w:marLeft w:val="0"/>
      <w:marRight w:val="0"/>
      <w:marTop w:val="0"/>
      <w:marBottom w:val="0"/>
      <w:divBdr>
        <w:top w:val="none" w:sz="0" w:space="0" w:color="auto"/>
        <w:left w:val="none" w:sz="0" w:space="0" w:color="auto"/>
        <w:bottom w:val="none" w:sz="0" w:space="0" w:color="auto"/>
        <w:right w:val="none" w:sz="0" w:space="0" w:color="auto"/>
      </w:divBdr>
    </w:div>
    <w:div w:id="2125028677">
      <w:bodyDiv w:val="1"/>
      <w:marLeft w:val="0"/>
      <w:marRight w:val="0"/>
      <w:marTop w:val="0"/>
      <w:marBottom w:val="0"/>
      <w:divBdr>
        <w:top w:val="none" w:sz="0" w:space="0" w:color="auto"/>
        <w:left w:val="none" w:sz="0" w:space="0" w:color="auto"/>
        <w:bottom w:val="none" w:sz="0" w:space="0" w:color="auto"/>
        <w:right w:val="none" w:sz="0" w:space="0" w:color="auto"/>
      </w:divBdr>
    </w:div>
    <w:div w:id="2134978963">
      <w:bodyDiv w:val="1"/>
      <w:marLeft w:val="0"/>
      <w:marRight w:val="0"/>
      <w:marTop w:val="0"/>
      <w:marBottom w:val="0"/>
      <w:divBdr>
        <w:top w:val="none" w:sz="0" w:space="0" w:color="auto"/>
        <w:left w:val="none" w:sz="0" w:space="0" w:color="auto"/>
        <w:bottom w:val="none" w:sz="0" w:space="0" w:color="auto"/>
        <w:right w:val="none" w:sz="0" w:space="0" w:color="auto"/>
      </w:divBdr>
    </w:div>
    <w:div w:id="2135513995">
      <w:bodyDiv w:val="1"/>
      <w:marLeft w:val="0"/>
      <w:marRight w:val="0"/>
      <w:marTop w:val="0"/>
      <w:marBottom w:val="0"/>
      <w:divBdr>
        <w:top w:val="none" w:sz="0" w:space="0" w:color="auto"/>
        <w:left w:val="none" w:sz="0" w:space="0" w:color="auto"/>
        <w:bottom w:val="none" w:sz="0" w:space="0" w:color="auto"/>
        <w:right w:val="none" w:sz="0" w:space="0" w:color="auto"/>
      </w:divBdr>
    </w:div>
    <w:div w:id="2145734334">
      <w:bodyDiv w:val="1"/>
      <w:marLeft w:val="0"/>
      <w:marRight w:val="0"/>
      <w:marTop w:val="0"/>
      <w:marBottom w:val="0"/>
      <w:divBdr>
        <w:top w:val="none" w:sz="0" w:space="0" w:color="auto"/>
        <w:left w:val="none" w:sz="0" w:space="0" w:color="auto"/>
        <w:bottom w:val="none" w:sz="0" w:space="0" w:color="auto"/>
        <w:right w:val="none" w:sz="0" w:space="0" w:color="auto"/>
      </w:divBdr>
      <w:divsChild>
        <w:div w:id="775708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x.epa.gov" TargetMode="External"/><Relationship Id="rId18" Type="http://schemas.openxmlformats.org/officeDocument/2006/relationships/footer" Target="footer3.xml"/><Relationship Id="rId26" Type="http://schemas.openxmlformats.org/officeDocument/2006/relationships/hyperlink" Target="https://www.ecfr.gov/current/title-40/chapter-I/subchapter-R/part-712?toc=1" TargetMode="External"/><Relationship Id="rId3" Type="http://schemas.openxmlformats.org/officeDocument/2006/relationships/customXml" Target="../customXml/item3.xml"/><Relationship Id="rId21" Type="http://schemas.openxmlformats.org/officeDocument/2006/relationships/hyperlink" Target="https://www.cbo.gov/sites/default/files/112th-congress-2011-2012/workingpaper/2012-04fedbenefitswp0.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csrc.nist.gov/publications/PubsFIPS.html" TargetMode="External"/><Relationship Id="rId17" Type="http://schemas.openxmlformats.org/officeDocument/2006/relationships/header" Target="header2.xml"/><Relationship Id="rId25" Type="http://schemas.openxmlformats.org/officeDocument/2006/relationships/hyperlink" Target="https://www.govinfo.gov/content/pkg/USCODE-2012-title15/pdf/USCODE-2012-title15-chap53-subchapI-sec2607.pdf" TargetMode="External"/><Relationship Id="rId33" Type="http://schemas.openxmlformats.org/officeDocument/2006/relationships/hyperlink" Target="https://www.epa.gov/sites/default/files/2020-12/documents/epa_handbook_on_valuing_changes_in_time_use_121520_final_508.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dx.epa.gov" TargetMode="External"/><Relationship Id="rId29" Type="http://schemas.openxmlformats.org/officeDocument/2006/relationships/hyperlink" Target="https://www.ecfr.gov/current/title-40/chapter-I/subchapter-R/part-70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regulations.gov" TargetMode="External"/><Relationship Id="rId32" Type="http://schemas.openxmlformats.org/officeDocument/2006/relationships/hyperlink" Target="https://www.ecfr.gov/current/title-40/chapter-I/subchapter-R/part-792"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reginfo.gov/public/do/PRAMain" TargetMode="External"/><Relationship Id="rId28" Type="http://schemas.openxmlformats.org/officeDocument/2006/relationships/hyperlink" Target="https://www.govinfo.gov/content/pkg/USCODE-2016-title15/pdf/USCODE-2016-title15-chap53-subchapI-sec2625.pdf" TargetMode="External"/><Relationship Id="rId10" Type="http://schemas.openxmlformats.org/officeDocument/2006/relationships/footnotes" Target="footnotes.xml"/><Relationship Id="rId19" Type="http://schemas.openxmlformats.org/officeDocument/2006/relationships/hyperlink" Target="http://www.cdx.epa.gov" TargetMode="External"/><Relationship Id="rId31" Type="http://schemas.openxmlformats.org/officeDocument/2006/relationships/hyperlink" Target="https://www.ecfr.gov/current/title-40/chapter-I/subchapter-R/part-716?toc=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Relationship Id="rId27" Type="http://schemas.openxmlformats.org/officeDocument/2006/relationships/hyperlink" Target="https://www.ecfr.gov/current/title-40/chapter-I/subchapter-R/part-766" TargetMode="External"/><Relationship Id="rId30" Type="http://schemas.openxmlformats.org/officeDocument/2006/relationships/hyperlink" Target="https://www.ecfr.gov/current/title-40/chapter-I/subchapter-R/part-717"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a5d1ca4e-0a3f-4119-b619-e20b93ebd1aa">
      <UserInfo>
        <DisplayName>Brown, Judith</DisplayName>
        <AccountId>17</AccountId>
        <AccountType/>
      </UserInfo>
      <UserInfo>
        <DisplayName>Rice, Cody</DisplayName>
        <AccountId>25</AccountId>
        <AccountType/>
      </UserInfo>
    </SharedWithUsers>
    <CategoryDescription xmlns="http://schemas.microsoft.com/sharepoint.v3" xsi:nil="true"/>
    <FRN_x0020_List_x0020_Item_x0020_ID xmlns="118f882f-1e32-4cf2-ad69-9de43d57f4c6">3813</FRN_x0020_List_x0020_Item_x0020_ID>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2.xml><?xml version="1.0" encoding="utf-8"?>
<ds:datastoreItem xmlns:ds="http://schemas.openxmlformats.org/officeDocument/2006/customXml" ds:itemID="{A85B7540-E5AD-4999-98CC-0A74333C9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44B56-BA86-4284-B1F7-B5381B365F4F}">
  <ds:schemaRefs>
    <ds:schemaRef ds:uri="4ffa91fb-a0ff-4ac5-b2db-65c790d184a4"/>
    <ds:schemaRef ds:uri="http://www.w3.org/XML/1998/namespace"/>
    <ds:schemaRef ds:uri="118f882f-1e32-4cf2-ad69-9de43d57f4c6"/>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a5d1ca4e-0a3f-4119-b619-e20b93ebd1aa"/>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3599066-E9D9-43F6-9BF9-58EC2F7A23F8}">
  <ds:schemaRefs>
    <ds:schemaRef ds:uri="http://schemas.openxmlformats.org/officeDocument/2006/bibliography"/>
  </ds:schemaRefs>
</ds:datastoreItem>
</file>

<file path=customXml/itemProps5.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18541</Words>
  <Characters>105684</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2022-08-24T19:44:00Z</dcterms:created>
  <dcterms:modified xsi:type="dcterms:W3CDTF">2022-08-24T19:44:00Z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