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303AA7" w:rsidRDefault="005645B8" w14:paraId="5616E8D6" w14:textId="03BDFD68">
      <w:pPr>
        <w:pStyle w:val="Heading3"/>
      </w:pPr>
      <w:bookmarkStart w:name="_Toc49148153" w:id="1"/>
      <w:r w:rsidRPr="002059F4">
        <w:t>Identification of the Information Collection – Title and Numbers</w:t>
      </w:r>
      <w:bookmarkEnd w:id="1"/>
    </w:p>
    <w:p w:rsidRPr="00CB4CAC" w:rsidR="005645B8" w:rsidP="00303AA7" w:rsidRDefault="005645B8" w14:paraId="47EF360E" w14:textId="62BC0C59">
      <w:pPr>
        <w:pStyle w:val="NoSpacing"/>
        <w:spacing w:after="120"/>
        <w:ind w:left="720"/>
        <w:rPr>
          <w:rFonts w:ascii="Arial" w:hAnsi="Arial" w:cs="Arial"/>
          <w:sz w:val="24"/>
          <w:szCs w:val="24"/>
        </w:rPr>
      </w:pPr>
      <w:r w:rsidRPr="00CB4CAC">
        <w:rPr>
          <w:rFonts w:ascii="Arial" w:hAnsi="Arial" w:cs="Arial"/>
          <w:b/>
          <w:sz w:val="24"/>
          <w:szCs w:val="24"/>
        </w:rPr>
        <w:t xml:space="preserve">Title: </w:t>
      </w:r>
      <w:r w:rsidRPr="00CB4CAC" w:rsidR="00CB4CAC">
        <w:rPr>
          <w:rFonts w:ascii="Arial" w:hAnsi="Arial" w:cs="Arial"/>
          <w:sz w:val="24"/>
          <w:szCs w:val="24"/>
        </w:rPr>
        <w:t>Assessment of Environmental Performance Standards and Ecolabels for Federal Procurement</w:t>
      </w:r>
    </w:p>
    <w:p w:rsidR="009505AD" w:rsidP="005645B8" w:rsidRDefault="005645B8" w14:paraId="1968D082" w14:textId="5547AB5F">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0077490C">
        <w:rPr>
          <w:rFonts w:ascii="Arial" w:hAnsi="Arial" w:cs="Arial"/>
          <w:sz w:val="24"/>
          <w:szCs w:val="24"/>
        </w:rPr>
        <w:t>2516</w:t>
      </w:r>
      <w:r w:rsidR="003E2F88">
        <w:rPr>
          <w:rFonts w:ascii="Arial" w:hAnsi="Arial" w:cs="Arial"/>
          <w:sz w:val="24"/>
          <w:szCs w:val="24"/>
        </w:rPr>
        <w:t>.</w:t>
      </w:r>
      <w:r w:rsidR="0077490C">
        <w:rPr>
          <w:rFonts w:ascii="Arial" w:hAnsi="Arial" w:cs="Arial"/>
          <w:sz w:val="24"/>
          <w:szCs w:val="24"/>
        </w:rPr>
        <w:t>0</w:t>
      </w:r>
      <w:r w:rsidR="002B523D">
        <w:rPr>
          <w:rFonts w:ascii="Arial" w:hAnsi="Arial" w:cs="Arial"/>
          <w:sz w:val="24"/>
          <w:szCs w:val="24"/>
        </w:rPr>
        <w:t>4</w:t>
      </w:r>
    </w:p>
    <w:p w:rsidR="005645B8" w:rsidP="005645B8" w:rsidRDefault="009505AD" w14:paraId="3EF98889" w14:textId="66C2CA0B">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77490C">
        <w:rPr>
          <w:rFonts w:ascii="Arial" w:hAnsi="Arial" w:cs="Arial"/>
          <w:sz w:val="24"/>
          <w:szCs w:val="24"/>
        </w:rPr>
        <w:t>2070-0199</w:t>
      </w:r>
    </w:p>
    <w:p w:rsidRPr="00C12EA2" w:rsidR="005645B8" w:rsidP="005645B8" w:rsidRDefault="005645B8" w14:paraId="05F7B442" w14:textId="2D2A818C">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77490C">
        <w:rPr>
          <w:rFonts w:ascii="Arial" w:hAnsi="Arial" w:cs="Arial"/>
          <w:sz w:val="24"/>
          <w:szCs w:val="24"/>
        </w:rPr>
        <w:t>OPPT-2014-0838</w:t>
      </w:r>
    </w:p>
    <w:p w:rsidR="0077490C" w:rsidP="00303AA7" w:rsidRDefault="005645B8" w14:paraId="135BF4D2" w14:textId="77777777">
      <w:pPr>
        <w:pStyle w:val="Heading3"/>
        <w:numPr>
          <w:ilvl w:val="0"/>
          <w:numId w:val="0"/>
        </w:numPr>
        <w:spacing w:before="240"/>
      </w:pPr>
      <w:bookmarkStart w:name="_Toc49148156" w:id="2"/>
      <w:r w:rsidRPr="00483711">
        <w:t>Abstract</w:t>
      </w:r>
      <w:bookmarkEnd w:id="2"/>
    </w:p>
    <w:p w:rsidR="000C2828" w:rsidP="00542A63" w:rsidRDefault="00774AAF" w14:paraId="10341C28" w14:textId="48ECF62D">
      <w:pPr>
        <w:spacing w:line="276" w:lineRule="auto"/>
      </w:pPr>
      <w:r w:rsidRPr="00774AAF">
        <w:t xml:space="preserve">This ICR, which seeks to reinstate a previously approved ICR, covers the information collection activities associated with the Agency’s evaluation of private sector </w:t>
      </w:r>
      <w:r w:rsidR="000C2828">
        <w:t>standards and ecolabels per</w:t>
      </w:r>
      <w:r w:rsidRPr="000C2828" w:rsidR="00C24A5B">
        <w:t xml:space="preserve"> </w:t>
      </w:r>
      <w:r w:rsidR="008D55F3">
        <w:t xml:space="preserve">EPA’s </w:t>
      </w:r>
      <w:r w:rsidRPr="008D55F3" w:rsidR="008D55F3">
        <w:t>Framework for the Assessment of Environmental Performance Standards and Ecolabels for Federal Purchasing</w:t>
      </w:r>
      <w:r w:rsidR="008D55F3">
        <w:t xml:space="preserve"> (Framework)</w:t>
      </w:r>
      <w:r w:rsidRPr="000C2828" w:rsidR="00C24A5B">
        <w:t xml:space="preserve">, formerly referred to as the Guidelines. </w:t>
      </w:r>
    </w:p>
    <w:p w:rsidRPr="000C2828" w:rsidR="000C2828" w:rsidP="00542A63" w:rsidRDefault="000C2828" w14:paraId="5156E089" w14:textId="5BBF8849">
      <w:pPr>
        <w:spacing w:line="276" w:lineRule="auto"/>
        <w:rPr>
          <w:b/>
          <w:bCs/>
        </w:rPr>
      </w:pPr>
      <w:r w:rsidRPr="000C2828">
        <w:t xml:space="preserve">EPA’s goal in developing this Framework </w:t>
      </w:r>
      <w:r w:rsidR="00CF3C1C">
        <w:t>is</w:t>
      </w:r>
      <w:r w:rsidRPr="000C2828">
        <w:t xml:space="preserve"> to create a transparent, fair, and consistent approach to selecting product environmental performance standards and ecolabels to support the Agency’s mission and federal sustainable acquisition </w:t>
      </w:r>
      <w:r w:rsidR="00CF3C1C">
        <w:t xml:space="preserve">goals and </w:t>
      </w:r>
      <w:r w:rsidRPr="000C2828">
        <w:t xml:space="preserve">mandates. The fundamental aim of this Framework is to establish a cross-sector approach to be used in recognizing </w:t>
      </w:r>
      <w:r w:rsidR="00FF62C8">
        <w:t>private sector</w:t>
      </w:r>
      <w:r w:rsidRPr="000C2828">
        <w:t xml:space="preserve"> environmental </w:t>
      </w:r>
      <w:r w:rsidR="00CF3C1C">
        <w:t xml:space="preserve">performance </w:t>
      </w:r>
      <w:r w:rsidRPr="000C2828">
        <w:t xml:space="preserve">standards (and consequently, environmentally preferable products and services meeting these standards) for use in federal </w:t>
      </w:r>
      <w:r w:rsidRPr="000C2828" w:rsidR="0052549C">
        <w:t>p</w:t>
      </w:r>
      <w:r w:rsidR="0052549C">
        <w:t>urchasing</w:t>
      </w:r>
      <w:r w:rsidRPr="000C2828">
        <w:t xml:space="preserve">. </w:t>
      </w:r>
    </w:p>
    <w:p w:rsidRPr="000C2828" w:rsidR="000C2828" w:rsidP="00542A63" w:rsidRDefault="000C2828" w14:paraId="0CF0CD00" w14:textId="6EB6A769">
      <w:pPr>
        <w:spacing w:line="276" w:lineRule="auto"/>
        <w:rPr>
          <w:b/>
          <w:bCs/>
        </w:rPr>
      </w:pPr>
      <w:r w:rsidRPr="000C2828">
        <w:t xml:space="preserve">The Framework includes </w:t>
      </w:r>
      <w:r w:rsidR="006F4299">
        <w:t xml:space="preserve">scoping questions and </w:t>
      </w:r>
      <w:r w:rsidRPr="000C2828">
        <w:t>four sections:</w:t>
      </w:r>
    </w:p>
    <w:p w:rsidRPr="00C724AF" w:rsidR="000C2828" w:rsidP="00542A63" w:rsidRDefault="000C2828" w14:paraId="0CF53BB1" w14:textId="6A153EAB">
      <w:pPr>
        <w:pStyle w:val="ListParagraph"/>
        <w:numPr>
          <w:ilvl w:val="0"/>
          <w:numId w:val="45"/>
        </w:numPr>
        <w:spacing w:line="276" w:lineRule="auto"/>
        <w:ind w:left="720"/>
        <w:rPr>
          <w:b/>
          <w:bCs/>
        </w:rPr>
      </w:pPr>
      <w:r w:rsidRPr="00C724AF">
        <w:rPr>
          <w:i/>
          <w:iCs/>
        </w:rPr>
        <w:t>Criteria for the Process for Developing Standards</w:t>
      </w:r>
      <w:r w:rsidRPr="000C2828">
        <w:t xml:space="preserve"> refers to the procedures used to develop, maintain, and update an environmental standard. </w:t>
      </w:r>
    </w:p>
    <w:p w:rsidRPr="00C724AF" w:rsidR="000C2828" w:rsidP="00542A63" w:rsidRDefault="000C2828" w14:paraId="36FF9BBD" w14:textId="3EFACCE5">
      <w:pPr>
        <w:pStyle w:val="ListParagraph"/>
        <w:numPr>
          <w:ilvl w:val="0"/>
          <w:numId w:val="45"/>
        </w:numPr>
        <w:spacing w:line="276" w:lineRule="auto"/>
        <w:ind w:left="720"/>
        <w:rPr>
          <w:b/>
          <w:bCs/>
        </w:rPr>
      </w:pPr>
      <w:r w:rsidRPr="00C724AF">
        <w:rPr>
          <w:i/>
          <w:iCs/>
        </w:rPr>
        <w:t>Criteria for the Environmental Effectiveness of the Standards</w:t>
      </w:r>
      <w:r w:rsidRPr="000C2828">
        <w:t xml:space="preserve"> refers to the criteria in the environmental standard or ecolabel that support the claim of environmental preferability. </w:t>
      </w:r>
    </w:p>
    <w:p w:rsidRPr="00C724AF" w:rsidR="000C2828" w:rsidP="00542A63" w:rsidRDefault="000C2828" w14:paraId="07068279" w14:textId="369342D6">
      <w:pPr>
        <w:pStyle w:val="ListParagraph"/>
        <w:numPr>
          <w:ilvl w:val="0"/>
          <w:numId w:val="45"/>
        </w:numPr>
        <w:spacing w:line="276" w:lineRule="auto"/>
        <w:ind w:left="720"/>
        <w:rPr>
          <w:b/>
          <w:bCs/>
        </w:rPr>
      </w:pPr>
      <w:r w:rsidRPr="00C724AF">
        <w:rPr>
          <w:i/>
          <w:iCs/>
        </w:rPr>
        <w:t>Criteria for Conformity Assessment</w:t>
      </w:r>
      <w:r w:rsidRPr="000C2828">
        <w:t xml:space="preserve"> refers to the procedures and practices by which products are assessed for conformity to the requirements specified by standards and ecolabeling programs. </w:t>
      </w:r>
    </w:p>
    <w:p w:rsidRPr="00C724AF" w:rsidR="000C2828" w:rsidP="00542A63" w:rsidRDefault="000C2828" w14:paraId="1FC80326" w14:textId="4A77D6D2">
      <w:pPr>
        <w:pStyle w:val="ListParagraph"/>
        <w:numPr>
          <w:ilvl w:val="0"/>
          <w:numId w:val="45"/>
        </w:numPr>
        <w:spacing w:line="276" w:lineRule="auto"/>
        <w:ind w:left="720"/>
        <w:rPr>
          <w:b/>
          <w:bCs/>
        </w:rPr>
      </w:pPr>
      <w:r w:rsidRPr="00C724AF">
        <w:rPr>
          <w:i/>
          <w:iCs/>
        </w:rPr>
        <w:t>Criteria for Management of Ecolabeling Programs</w:t>
      </w:r>
      <w:r w:rsidRPr="000C2828">
        <w:t xml:space="preserve"> refers to the organizational and management practices of an ecolabeling program.</w:t>
      </w:r>
    </w:p>
    <w:p w:rsidRPr="00971C51" w:rsidR="0077490C" w:rsidP="00542A63" w:rsidRDefault="0052549C" w14:paraId="776A6F70" w14:textId="48414BFD">
      <w:pPr>
        <w:spacing w:line="276" w:lineRule="auto"/>
        <w:rPr>
          <w:bCs/>
        </w:rPr>
      </w:pPr>
      <w:r>
        <w:lastRenderedPageBreak/>
        <w:t xml:space="preserve">In 2016, </w:t>
      </w:r>
      <w:r w:rsidRPr="000C2828" w:rsidR="000C2828">
        <w:t xml:space="preserve">EPA conducted a pilot </w:t>
      </w:r>
      <w:r>
        <w:rPr>
          <w:bCs/>
        </w:rPr>
        <w:t xml:space="preserve">to test the original set of criteria within the Framework against standards and ecolabels in the </w:t>
      </w:r>
      <w:r w:rsidRPr="000C2828" w:rsidR="000C2828">
        <w:t>flooring, furniture, and paints/coatings</w:t>
      </w:r>
      <w:r>
        <w:t xml:space="preserve"> categories.</w:t>
      </w:r>
      <w:r w:rsidRPr="000C2828" w:rsidR="000C2828">
        <w:t xml:space="preserve"> EPA has made several edits to the Framework based on lessons learned from the pilot</w:t>
      </w:r>
      <w:r>
        <w:t xml:space="preserve"> and the desire to address a broader range of sectors with a more streamlined set of criteria</w:t>
      </w:r>
      <w:r w:rsidRPr="000C2828" w:rsidR="000C2828">
        <w:t>. In this next phase of work, EPA intends to</w:t>
      </w:r>
      <w:r>
        <w:t xml:space="preserve"> expand its recommendations by</w:t>
      </w:r>
      <w:r w:rsidRPr="000C2828" w:rsidR="000C2828">
        <w:t xml:space="preserve"> assess</w:t>
      </w:r>
      <w:r>
        <w:t>ing</w:t>
      </w:r>
      <w:r w:rsidRPr="000C2828" w:rsidR="000C2828">
        <w:t xml:space="preserve"> standards and ecolabels in purchase categories </w:t>
      </w:r>
      <w:r w:rsidR="00D06349">
        <w:t xml:space="preserve">that </w:t>
      </w:r>
      <w:r w:rsidRPr="000C2828" w:rsidR="000C2828">
        <w:t>support Executive Order 14008 Tackling the Climate Crisis at Home and Abroad</w:t>
      </w:r>
      <w:r w:rsidR="00763F18">
        <w:t xml:space="preserve"> and </w:t>
      </w:r>
      <w:r w:rsidR="00201FFC">
        <w:t xml:space="preserve">Executive Order </w:t>
      </w:r>
      <w:r w:rsidR="006F4299">
        <w:t xml:space="preserve">14057 </w:t>
      </w:r>
      <w:r w:rsidR="00201FFC">
        <w:t>on C</w:t>
      </w:r>
      <w:r w:rsidRPr="00201FFC" w:rsidR="00201FFC">
        <w:t xml:space="preserve">atalyzing American </w:t>
      </w:r>
      <w:r w:rsidR="00201FFC">
        <w:t>C</w:t>
      </w:r>
      <w:r w:rsidRPr="00201FFC" w:rsidR="00201FFC">
        <w:t xml:space="preserve">lean </w:t>
      </w:r>
      <w:r w:rsidR="00201FFC">
        <w:t>E</w:t>
      </w:r>
      <w:r w:rsidRPr="00201FFC" w:rsidR="00201FFC">
        <w:t xml:space="preserve">nergy </w:t>
      </w:r>
      <w:r w:rsidR="00201FFC">
        <w:t>In</w:t>
      </w:r>
      <w:r w:rsidRPr="00201FFC" w:rsidR="00201FFC">
        <w:t xml:space="preserve">dustries and </w:t>
      </w:r>
      <w:r w:rsidR="00201FFC">
        <w:t>J</w:t>
      </w:r>
      <w:r w:rsidRPr="00201FFC" w:rsidR="00201FFC">
        <w:t xml:space="preserve">obs through Federal </w:t>
      </w:r>
      <w:r w:rsidR="00201FFC">
        <w:t>S</w:t>
      </w:r>
      <w:r w:rsidRPr="00201FFC" w:rsidR="00201FFC">
        <w:t>ustainability</w:t>
      </w:r>
      <w:r w:rsidR="00763F18">
        <w:t>.</w:t>
      </w:r>
    </w:p>
    <w:p w:rsidR="00303AA7" w:rsidP="00303AA7" w:rsidRDefault="00303AA7" w14:paraId="187A289D" w14:textId="650BB381">
      <w:pPr>
        <w:pStyle w:val="Caption"/>
        <w:keepNext/>
      </w:pPr>
      <w:r>
        <w:t>Summary</w:t>
      </w:r>
      <w:r w:rsidRPr="00303AA7" w:rsidR="007A01E7">
        <w:t xml:space="preserve"> Total Burden and Costs</w:t>
      </w:r>
      <w:r>
        <w:rPr>
          <w:b w:val="0"/>
          <w:bCs w:val="0"/>
        </w:rPr>
        <w:t xml:space="preserve"> </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left w:w="100" w:type="dxa"/>
          <w:right w:w="100" w:type="dxa"/>
        </w:tblCellMar>
        <w:tblLook w:val="0000" w:firstRow="0" w:lastRow="0" w:firstColumn="0" w:lastColumn="0" w:noHBand="0" w:noVBand="0"/>
      </w:tblPr>
      <w:tblGrid>
        <w:gridCol w:w="2164"/>
        <w:gridCol w:w="1721"/>
        <w:gridCol w:w="1976"/>
        <w:gridCol w:w="1791"/>
        <w:gridCol w:w="1693"/>
      </w:tblGrid>
      <w:tr w:rsidRPr="009D5FA6" w:rsidR="00F832B5" w:rsidTr="00F832B5" w14:paraId="0E072983" w14:textId="77777777">
        <w:trPr>
          <w:cantSplit/>
          <w:jc w:val="center"/>
        </w:trPr>
        <w:tc>
          <w:tcPr>
            <w:tcW w:w="0" w:type="auto"/>
            <w:tcBorders>
              <w:right w:val="single" w:color="auto" w:sz="4" w:space="0"/>
            </w:tcBorders>
            <w:shd w:val="clear" w:color="000000" w:fill="BFBFBF"/>
          </w:tcPr>
          <w:p w:rsidRPr="00542A63" w:rsidR="00EB58FE" w:rsidP="00542A63" w:rsidRDefault="00542A63" w14:paraId="7A3B14F6" w14:textId="3E9A0DC1">
            <w:pPr>
              <w:spacing w:after="0"/>
              <w:jc w:val="center"/>
              <w:rPr>
                <w:b/>
                <w:color w:val="000000"/>
              </w:rPr>
            </w:pPr>
            <w:r w:rsidRPr="00542A63">
              <w:rPr>
                <w:b/>
                <w:color w:val="000000"/>
              </w:rPr>
              <w:t>Information Collection</w:t>
            </w:r>
          </w:p>
        </w:tc>
        <w:tc>
          <w:tcPr>
            <w:tcW w:w="0" w:type="auto"/>
            <w:tcBorders>
              <w:top w:val="single" w:color="auto" w:sz="4" w:space="0"/>
              <w:left w:val="single" w:color="auto" w:sz="4" w:space="0"/>
              <w:bottom w:val="single" w:color="auto" w:sz="4" w:space="0"/>
              <w:right w:val="single" w:color="auto" w:sz="4" w:space="0"/>
            </w:tcBorders>
            <w:shd w:val="clear" w:color="000000" w:fill="BFBFBF"/>
          </w:tcPr>
          <w:p w:rsidRPr="00303AA7" w:rsidR="00EB58FE" w:rsidP="009D5FA6" w:rsidRDefault="00EB58FE" w14:paraId="47A02611" w14:textId="0B1BC8D5">
            <w:pPr>
              <w:spacing w:after="0"/>
              <w:jc w:val="center"/>
              <w:rPr>
                <w:b/>
                <w:bCs/>
              </w:rPr>
            </w:pPr>
            <w:r w:rsidRPr="00303AA7">
              <w:rPr>
                <w:b/>
                <w:bCs/>
              </w:rPr>
              <w:t xml:space="preserve">Total Number </w:t>
            </w:r>
            <w:r w:rsidRPr="00303AA7">
              <w:rPr>
                <w:b/>
                <w:bCs/>
              </w:rPr>
              <w:br/>
              <w:t xml:space="preserve">of Respondents </w:t>
            </w:r>
          </w:p>
        </w:tc>
        <w:tc>
          <w:tcPr>
            <w:tcW w:w="1057" w:type="pct"/>
            <w:tcBorders>
              <w:top w:val="single" w:color="auto" w:sz="4" w:space="0"/>
              <w:left w:val="single" w:color="auto" w:sz="4" w:space="0"/>
              <w:bottom w:val="single" w:color="auto" w:sz="4" w:space="0"/>
              <w:right w:val="single" w:color="auto" w:sz="4" w:space="0"/>
            </w:tcBorders>
            <w:shd w:val="clear" w:color="000000" w:fill="BFBFBF"/>
          </w:tcPr>
          <w:p w:rsidRPr="00EB58FE" w:rsidR="00EB58FE" w:rsidP="009D5FA6" w:rsidRDefault="00EB58FE" w14:paraId="0B64E1BE" w14:textId="6EFD3571">
            <w:pPr>
              <w:spacing w:after="0"/>
              <w:jc w:val="center"/>
              <w:rPr>
                <w:b/>
                <w:bCs/>
                <w:szCs w:val="24"/>
              </w:rPr>
            </w:pPr>
            <w:r w:rsidRPr="00EB58FE">
              <w:rPr>
                <w:rFonts w:eastAsia="Times New Roman" w:cs="Arial"/>
                <w:b/>
                <w:bCs/>
                <w:szCs w:val="24"/>
              </w:rPr>
              <w:t>Responses per Respondent</w:t>
            </w:r>
          </w:p>
        </w:tc>
        <w:tc>
          <w:tcPr>
            <w:tcW w:w="958" w:type="pct"/>
            <w:tcBorders>
              <w:top w:val="single" w:color="auto" w:sz="4" w:space="0"/>
              <w:left w:val="single" w:color="auto" w:sz="4" w:space="0"/>
              <w:bottom w:val="single" w:color="auto" w:sz="4" w:space="0"/>
              <w:right w:val="single" w:color="auto" w:sz="4" w:space="0"/>
            </w:tcBorders>
            <w:shd w:val="clear" w:color="000000" w:fill="BFBFBF"/>
          </w:tcPr>
          <w:p w:rsidRPr="00303AA7" w:rsidR="00EB58FE" w:rsidP="009D5FA6" w:rsidRDefault="00EB58FE" w14:paraId="65E12806" w14:textId="410F84C2">
            <w:pPr>
              <w:spacing w:after="0"/>
              <w:jc w:val="center"/>
              <w:rPr>
                <w:b/>
                <w:bCs/>
              </w:rPr>
            </w:pPr>
            <w:r w:rsidRPr="00303AA7">
              <w:rPr>
                <w:b/>
                <w:bCs/>
              </w:rPr>
              <w:t>Annual</w:t>
            </w:r>
            <w:r w:rsidRPr="00303AA7">
              <w:rPr>
                <w:b/>
                <w:bCs/>
              </w:rPr>
              <w:br/>
              <w:t xml:space="preserve">Burden Hours </w:t>
            </w:r>
          </w:p>
        </w:tc>
        <w:tc>
          <w:tcPr>
            <w:tcW w:w="906" w:type="pct"/>
            <w:tcBorders>
              <w:top w:val="single" w:color="auto" w:sz="4" w:space="0"/>
              <w:left w:val="single" w:color="auto" w:sz="4" w:space="0"/>
              <w:bottom w:val="single" w:color="auto" w:sz="4" w:space="0"/>
              <w:right w:val="single" w:color="auto" w:sz="4" w:space="0"/>
            </w:tcBorders>
            <w:shd w:val="clear" w:color="000000" w:fill="BFBFBF"/>
          </w:tcPr>
          <w:p w:rsidRPr="00303AA7" w:rsidR="00EB58FE" w:rsidP="009D5FA6" w:rsidRDefault="00EB58FE" w14:paraId="09C963D2" w14:textId="5E3752F7">
            <w:pPr>
              <w:spacing w:after="0"/>
              <w:jc w:val="center"/>
              <w:rPr>
                <w:b/>
                <w:bCs/>
                <w:color w:val="000000"/>
              </w:rPr>
            </w:pPr>
            <w:r w:rsidRPr="00303AA7">
              <w:rPr>
                <w:b/>
                <w:bCs/>
                <w:color w:val="000000"/>
              </w:rPr>
              <w:t xml:space="preserve">Annual </w:t>
            </w:r>
            <w:r w:rsidRPr="00303AA7">
              <w:rPr>
                <w:b/>
                <w:bCs/>
                <w:color w:val="000000"/>
              </w:rPr>
              <w:br/>
              <w:t>Costs</w:t>
            </w:r>
          </w:p>
        </w:tc>
      </w:tr>
      <w:tr w:rsidRPr="009D5FA6" w:rsidR="00F832B5" w:rsidTr="00F832B5" w14:paraId="70AA9A09" w14:textId="77777777">
        <w:trPr>
          <w:cantSplit/>
          <w:trHeight w:val="408"/>
          <w:jc w:val="center"/>
        </w:trPr>
        <w:tc>
          <w:tcPr>
            <w:tcW w:w="0" w:type="auto"/>
            <w:tcBorders>
              <w:top w:val="single" w:color="auto" w:sz="8" w:space="0"/>
              <w:bottom w:val="single" w:color="auto" w:sz="6" w:space="0"/>
              <w:right w:val="single" w:color="auto" w:sz="4" w:space="0"/>
            </w:tcBorders>
            <w:shd w:val="clear" w:color="auto" w:fill="auto"/>
            <w:vAlign w:val="center"/>
          </w:tcPr>
          <w:p w:rsidRPr="00F832B5" w:rsidR="00F832B5" w:rsidP="00F832B5" w:rsidRDefault="00F832B5" w14:paraId="43D03F3C" w14:textId="175155B1">
            <w:pPr>
              <w:spacing w:after="0"/>
              <w:jc w:val="center"/>
              <w:rPr>
                <w:bCs/>
                <w:color w:val="000000"/>
                <w:szCs w:val="24"/>
              </w:rPr>
            </w:pPr>
            <w:r w:rsidRPr="00F832B5">
              <w:rPr>
                <w:rFonts w:cs="Arial"/>
                <w:color w:val="000000"/>
                <w:szCs w:val="24"/>
              </w:rPr>
              <w:t xml:space="preserve">Standard/Ecolabel Organizations </w:t>
            </w:r>
            <w:r w:rsidRPr="00F832B5">
              <w:rPr>
                <w:rFonts w:cs="Arial"/>
                <w:b/>
                <w:bCs/>
                <w:color w:val="000000"/>
                <w:szCs w:val="24"/>
              </w:rPr>
              <w:t>previously assessed</w:t>
            </w:r>
            <w:r w:rsidRPr="00F832B5">
              <w:rPr>
                <w:rFonts w:cs="Arial"/>
                <w:color w:val="000000"/>
                <w:szCs w:val="24"/>
              </w:rPr>
              <w:t xml:space="preserve"> per EPA Framework</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9D5FA6" w:rsidR="00F832B5" w:rsidP="00F832B5" w:rsidRDefault="00F832B5" w14:paraId="2716C6ED" w14:textId="26513680">
            <w:pPr>
              <w:spacing w:after="0"/>
              <w:jc w:val="center"/>
            </w:pPr>
            <w:r w:rsidRPr="00445A99">
              <w:rPr>
                <w:rFonts w:cs="Arial"/>
                <w:color w:val="000000"/>
                <w:sz w:val="20"/>
                <w:szCs w:val="20"/>
              </w:rPr>
              <w:t>20</w:t>
            </w:r>
          </w:p>
        </w:tc>
        <w:tc>
          <w:tcPr>
            <w:tcW w:w="1057" w:type="pct"/>
            <w:tcBorders>
              <w:top w:val="single" w:color="auto" w:sz="4" w:space="0"/>
              <w:left w:val="single" w:color="auto" w:sz="4" w:space="0"/>
              <w:bottom w:val="single" w:color="auto" w:sz="4" w:space="0"/>
              <w:right w:val="single" w:color="auto" w:sz="4" w:space="0"/>
            </w:tcBorders>
            <w:vAlign w:val="center"/>
          </w:tcPr>
          <w:p w:rsidRPr="00F832B5" w:rsidR="00F832B5" w:rsidP="00F832B5" w:rsidRDefault="00F832B5" w14:paraId="6A6E9147" w14:textId="54B83288">
            <w:pPr>
              <w:spacing w:after="0"/>
              <w:jc w:val="center"/>
              <w:rPr>
                <w:szCs w:val="24"/>
              </w:rPr>
            </w:pPr>
            <w:r w:rsidRPr="00F832B5">
              <w:rPr>
                <w:szCs w:val="24"/>
              </w:rPr>
              <w:t>2</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rsidRPr="00F832B5" w:rsidR="00F832B5" w:rsidP="00F832B5" w:rsidRDefault="00F832B5" w14:paraId="2FDA3BAE" w14:textId="669F99F0">
            <w:pPr>
              <w:spacing w:after="0"/>
              <w:jc w:val="center"/>
              <w:rPr>
                <w:szCs w:val="24"/>
              </w:rPr>
            </w:pPr>
            <w:r w:rsidRPr="00F832B5">
              <w:rPr>
                <w:rFonts w:cs="Arial"/>
                <w:color w:val="000000"/>
                <w:szCs w:val="24"/>
              </w:rPr>
              <w:t>66.67</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rsidRPr="00F832B5" w:rsidR="00F832B5" w:rsidP="00F832B5" w:rsidRDefault="00F832B5" w14:paraId="623043EC" w14:textId="13E1679A">
            <w:pPr>
              <w:spacing w:after="0"/>
              <w:jc w:val="center"/>
              <w:rPr>
                <w:bCs/>
                <w:color w:val="000000"/>
                <w:szCs w:val="24"/>
              </w:rPr>
            </w:pPr>
            <w:r w:rsidRPr="00F832B5">
              <w:rPr>
                <w:rFonts w:cs="Arial"/>
                <w:color w:val="000000"/>
                <w:szCs w:val="24"/>
              </w:rPr>
              <w:t>$4,276</w:t>
            </w:r>
          </w:p>
        </w:tc>
      </w:tr>
      <w:tr w:rsidRPr="009D5FA6" w:rsidR="00F832B5" w:rsidTr="00F832B5" w14:paraId="0FF8F3E8" w14:textId="77777777">
        <w:trPr>
          <w:cantSplit/>
          <w:trHeight w:val="408"/>
          <w:jc w:val="center"/>
        </w:trPr>
        <w:tc>
          <w:tcPr>
            <w:tcW w:w="0" w:type="auto"/>
            <w:tcBorders>
              <w:top w:val="single" w:color="auto" w:sz="6" w:space="0"/>
              <w:right w:val="single" w:color="auto" w:sz="4" w:space="0"/>
            </w:tcBorders>
            <w:shd w:val="clear" w:color="auto" w:fill="auto"/>
            <w:vAlign w:val="center"/>
          </w:tcPr>
          <w:p w:rsidRPr="00F832B5" w:rsidR="00F832B5" w:rsidP="00F832B5" w:rsidRDefault="00F832B5" w14:paraId="006DCA8F" w14:textId="14A4A61E">
            <w:pPr>
              <w:spacing w:after="0"/>
              <w:jc w:val="center"/>
              <w:rPr>
                <w:bCs/>
                <w:color w:val="000000"/>
                <w:szCs w:val="24"/>
              </w:rPr>
            </w:pPr>
            <w:r w:rsidRPr="00F832B5">
              <w:rPr>
                <w:rFonts w:cs="Arial"/>
                <w:color w:val="000000"/>
                <w:szCs w:val="24"/>
              </w:rPr>
              <w:t xml:space="preserve">Standard/Ecolabel Organizations </w:t>
            </w:r>
            <w:r w:rsidRPr="00F832B5">
              <w:rPr>
                <w:rFonts w:cs="Arial"/>
                <w:b/>
                <w:bCs/>
                <w:color w:val="000000"/>
                <w:szCs w:val="24"/>
              </w:rPr>
              <w:t>NOT previously assessed</w:t>
            </w:r>
            <w:r w:rsidRPr="00F832B5">
              <w:rPr>
                <w:rFonts w:cs="Arial"/>
                <w:color w:val="000000"/>
                <w:szCs w:val="24"/>
              </w:rPr>
              <w:t xml:space="preserve"> per EPA Framework</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9D5FA6" w:rsidR="00F832B5" w:rsidP="00F832B5" w:rsidRDefault="00F832B5" w14:paraId="0F00836E" w14:textId="0B8589AB">
            <w:pPr>
              <w:spacing w:after="0"/>
              <w:jc w:val="center"/>
            </w:pPr>
            <w:r w:rsidRPr="00445A99">
              <w:rPr>
                <w:rFonts w:cs="Arial"/>
                <w:color w:val="000000"/>
                <w:sz w:val="20"/>
                <w:szCs w:val="20"/>
              </w:rPr>
              <w:t>80</w:t>
            </w:r>
          </w:p>
        </w:tc>
        <w:tc>
          <w:tcPr>
            <w:tcW w:w="1057" w:type="pct"/>
            <w:tcBorders>
              <w:top w:val="single" w:color="auto" w:sz="4" w:space="0"/>
              <w:left w:val="single" w:color="auto" w:sz="4" w:space="0"/>
              <w:bottom w:val="single" w:color="auto" w:sz="4" w:space="0"/>
              <w:right w:val="single" w:color="auto" w:sz="4" w:space="0"/>
            </w:tcBorders>
            <w:vAlign w:val="center"/>
          </w:tcPr>
          <w:p w:rsidRPr="00F832B5" w:rsidR="00F832B5" w:rsidP="00F832B5" w:rsidRDefault="00F832B5" w14:paraId="21BEBE46" w14:textId="39776B2A">
            <w:pPr>
              <w:spacing w:after="0"/>
              <w:jc w:val="center"/>
              <w:rPr>
                <w:szCs w:val="24"/>
              </w:rPr>
            </w:pPr>
            <w:r w:rsidRPr="00F832B5">
              <w:rPr>
                <w:szCs w:val="24"/>
              </w:rPr>
              <w:t>2</w:t>
            </w:r>
          </w:p>
        </w:tc>
        <w:tc>
          <w:tcPr>
            <w:tcW w:w="958" w:type="pct"/>
            <w:tcBorders>
              <w:top w:val="single" w:color="auto" w:sz="4" w:space="0"/>
              <w:left w:val="single" w:color="auto" w:sz="4" w:space="0"/>
              <w:bottom w:val="single" w:color="auto" w:sz="4" w:space="0"/>
              <w:right w:val="single" w:color="auto" w:sz="4" w:space="0"/>
            </w:tcBorders>
            <w:shd w:val="clear" w:color="auto" w:fill="auto"/>
            <w:vAlign w:val="center"/>
          </w:tcPr>
          <w:p w:rsidRPr="00F832B5" w:rsidR="00F832B5" w:rsidP="00F832B5" w:rsidRDefault="00F832B5" w14:paraId="2D9641F5" w14:textId="49504980">
            <w:pPr>
              <w:spacing w:after="0"/>
              <w:jc w:val="center"/>
              <w:rPr>
                <w:szCs w:val="24"/>
              </w:rPr>
            </w:pPr>
            <w:r w:rsidRPr="00F832B5">
              <w:rPr>
                <w:rFonts w:cs="Arial"/>
                <w:color w:val="000000"/>
                <w:szCs w:val="24"/>
              </w:rPr>
              <w:t>640</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rsidRPr="00F832B5" w:rsidR="00F832B5" w:rsidP="00F832B5" w:rsidRDefault="00F832B5" w14:paraId="786D30E0" w14:textId="28208313">
            <w:pPr>
              <w:spacing w:after="0"/>
              <w:jc w:val="center"/>
              <w:rPr>
                <w:bCs/>
                <w:color w:val="000000"/>
                <w:szCs w:val="24"/>
              </w:rPr>
            </w:pPr>
            <w:r w:rsidRPr="00F832B5">
              <w:rPr>
                <w:rFonts w:cs="Arial"/>
                <w:color w:val="000000"/>
                <w:szCs w:val="24"/>
              </w:rPr>
              <w:t>$41,046</w:t>
            </w:r>
          </w:p>
        </w:tc>
      </w:tr>
      <w:tr w:rsidRPr="009D5FA6" w:rsidR="00F832B5" w:rsidTr="00F832B5" w14:paraId="23BB3F63" w14:textId="77777777">
        <w:trPr>
          <w:cantSplit/>
          <w:trHeight w:val="408"/>
          <w:jc w:val="center"/>
        </w:trPr>
        <w:tc>
          <w:tcPr>
            <w:tcW w:w="0" w:type="auto"/>
            <w:shd w:val="clear" w:color="auto" w:fill="auto"/>
          </w:tcPr>
          <w:p w:rsidRPr="00F832B5" w:rsidR="00F832B5" w:rsidP="00F832B5" w:rsidRDefault="00F832B5" w14:paraId="73BDF7B8" w14:textId="0FA852B5">
            <w:pPr>
              <w:spacing w:after="0"/>
              <w:jc w:val="center"/>
              <w:rPr>
                <w:b/>
                <w:color w:val="000000"/>
                <w:szCs w:val="24"/>
              </w:rPr>
            </w:pPr>
            <w:r w:rsidRPr="00F832B5">
              <w:rPr>
                <w:b/>
                <w:color w:val="000000"/>
                <w:szCs w:val="24"/>
              </w:rPr>
              <w:t xml:space="preserve">Respondent Total </w:t>
            </w:r>
          </w:p>
        </w:tc>
        <w:tc>
          <w:tcPr>
            <w:tcW w:w="0" w:type="auto"/>
            <w:tcBorders>
              <w:top w:val="single" w:color="auto" w:sz="4" w:space="0"/>
            </w:tcBorders>
            <w:shd w:val="clear" w:color="auto" w:fill="auto"/>
          </w:tcPr>
          <w:p w:rsidRPr="00F832B5" w:rsidR="00F832B5" w:rsidP="00F832B5" w:rsidRDefault="00F832B5" w14:paraId="59D55517" w14:textId="424E765E">
            <w:pPr>
              <w:spacing w:after="0"/>
              <w:jc w:val="center"/>
              <w:rPr>
                <w:b/>
              </w:rPr>
            </w:pPr>
            <w:r w:rsidRPr="00F832B5">
              <w:rPr>
                <w:b/>
              </w:rPr>
              <w:t>100</w:t>
            </w:r>
          </w:p>
        </w:tc>
        <w:tc>
          <w:tcPr>
            <w:tcW w:w="1057" w:type="pct"/>
            <w:tcBorders>
              <w:top w:val="single" w:color="auto" w:sz="4" w:space="0"/>
            </w:tcBorders>
          </w:tcPr>
          <w:p w:rsidRPr="00F832B5" w:rsidR="00F832B5" w:rsidP="00F832B5" w:rsidRDefault="00F832B5" w14:paraId="682E27F3" w14:textId="571FDA33">
            <w:pPr>
              <w:spacing w:after="0"/>
              <w:jc w:val="center"/>
              <w:rPr>
                <w:b/>
              </w:rPr>
            </w:pPr>
            <w:r w:rsidRPr="00F832B5">
              <w:rPr>
                <w:b/>
              </w:rPr>
              <w:t>2</w:t>
            </w:r>
          </w:p>
        </w:tc>
        <w:tc>
          <w:tcPr>
            <w:tcW w:w="958" w:type="pct"/>
            <w:tcBorders>
              <w:top w:val="single" w:color="auto" w:sz="4" w:space="0"/>
            </w:tcBorders>
            <w:shd w:val="clear" w:color="auto" w:fill="auto"/>
          </w:tcPr>
          <w:p w:rsidRPr="00F832B5" w:rsidR="00F832B5" w:rsidP="00F832B5" w:rsidRDefault="00F832B5" w14:paraId="4DBF71E3" w14:textId="7C02BF80">
            <w:pPr>
              <w:spacing w:after="0"/>
              <w:jc w:val="center"/>
              <w:rPr>
                <w:b/>
              </w:rPr>
            </w:pPr>
            <w:r w:rsidRPr="00F832B5">
              <w:rPr>
                <w:b/>
              </w:rPr>
              <w:t>707.00</w:t>
            </w:r>
          </w:p>
        </w:tc>
        <w:tc>
          <w:tcPr>
            <w:tcW w:w="906" w:type="pct"/>
            <w:tcBorders>
              <w:top w:val="single" w:color="auto" w:sz="4" w:space="0"/>
            </w:tcBorders>
            <w:shd w:val="clear" w:color="auto" w:fill="auto"/>
          </w:tcPr>
          <w:p w:rsidRPr="00F832B5" w:rsidR="00F832B5" w:rsidP="00F832B5" w:rsidRDefault="00F832B5" w14:paraId="4480FEC9" w14:textId="10797DB3">
            <w:pPr>
              <w:spacing w:after="0"/>
              <w:jc w:val="center"/>
              <w:rPr>
                <w:b/>
                <w:color w:val="000000"/>
              </w:rPr>
            </w:pPr>
            <w:r w:rsidRPr="00F832B5">
              <w:rPr>
                <w:b/>
                <w:color w:val="000000"/>
              </w:rPr>
              <w:t>$45,322</w:t>
            </w:r>
          </w:p>
        </w:tc>
      </w:tr>
      <w:tr w:rsidRPr="009D5FA6" w:rsidR="00F832B5" w:rsidTr="00F832B5" w14:paraId="6F4A33FB" w14:textId="77777777">
        <w:trPr>
          <w:cantSplit/>
          <w:trHeight w:val="435"/>
          <w:jc w:val="center"/>
        </w:trPr>
        <w:tc>
          <w:tcPr>
            <w:tcW w:w="0" w:type="auto"/>
            <w:shd w:val="clear" w:color="auto" w:fill="auto"/>
          </w:tcPr>
          <w:p w:rsidRPr="00F832B5" w:rsidR="00F832B5" w:rsidP="00F832B5" w:rsidRDefault="00F832B5" w14:paraId="5BE43B49" w14:textId="3E87EE80">
            <w:pPr>
              <w:spacing w:after="0"/>
              <w:jc w:val="center"/>
              <w:rPr>
                <w:b/>
                <w:color w:val="000000"/>
                <w:szCs w:val="24"/>
              </w:rPr>
            </w:pPr>
            <w:r w:rsidRPr="00F832B5">
              <w:rPr>
                <w:b/>
                <w:color w:val="000000"/>
                <w:szCs w:val="24"/>
              </w:rPr>
              <w:t xml:space="preserve">Agency Total  </w:t>
            </w:r>
          </w:p>
        </w:tc>
        <w:tc>
          <w:tcPr>
            <w:tcW w:w="0" w:type="auto"/>
            <w:shd w:val="clear" w:color="auto" w:fill="auto"/>
          </w:tcPr>
          <w:p w:rsidRPr="00F832B5" w:rsidR="00F832B5" w:rsidP="00F832B5" w:rsidRDefault="00F832B5" w14:paraId="5DC34EA3" w14:textId="77777777">
            <w:pPr>
              <w:spacing w:after="0"/>
              <w:jc w:val="center"/>
              <w:rPr>
                <w:b/>
              </w:rPr>
            </w:pPr>
            <w:r w:rsidRPr="00F832B5">
              <w:rPr>
                <w:b/>
              </w:rPr>
              <w:t>-</w:t>
            </w:r>
          </w:p>
        </w:tc>
        <w:tc>
          <w:tcPr>
            <w:tcW w:w="1057" w:type="pct"/>
          </w:tcPr>
          <w:p w:rsidRPr="00F832B5" w:rsidR="00F832B5" w:rsidP="00F832B5" w:rsidRDefault="00F832B5" w14:paraId="4B766684" w14:textId="020F0734">
            <w:pPr>
              <w:spacing w:after="0"/>
              <w:jc w:val="center"/>
              <w:rPr>
                <w:rFonts w:cs="Arial"/>
                <w:b/>
                <w:color w:val="000000"/>
              </w:rPr>
            </w:pPr>
            <w:r w:rsidRPr="00F832B5">
              <w:rPr>
                <w:rFonts w:cs="Arial"/>
                <w:b/>
                <w:color w:val="000000"/>
              </w:rPr>
              <w:t>-</w:t>
            </w:r>
          </w:p>
        </w:tc>
        <w:tc>
          <w:tcPr>
            <w:tcW w:w="958" w:type="pct"/>
            <w:shd w:val="clear" w:color="auto" w:fill="auto"/>
            <w:vAlign w:val="center"/>
          </w:tcPr>
          <w:p w:rsidRPr="00F832B5" w:rsidR="00F832B5" w:rsidP="00F832B5" w:rsidRDefault="00F832B5" w14:paraId="28ACAB5E" w14:textId="7FF3EA74">
            <w:pPr>
              <w:spacing w:after="0"/>
              <w:jc w:val="center"/>
              <w:rPr>
                <w:b/>
              </w:rPr>
            </w:pPr>
            <w:r w:rsidRPr="00F832B5">
              <w:rPr>
                <w:rFonts w:cs="Arial"/>
                <w:b/>
                <w:color w:val="000000"/>
              </w:rPr>
              <w:t>303.33</w:t>
            </w:r>
          </w:p>
        </w:tc>
        <w:tc>
          <w:tcPr>
            <w:tcW w:w="906" w:type="pct"/>
            <w:shd w:val="clear" w:color="auto" w:fill="auto"/>
            <w:vAlign w:val="center"/>
          </w:tcPr>
          <w:p w:rsidRPr="00F832B5" w:rsidR="00F832B5" w:rsidP="00F832B5" w:rsidRDefault="00F832B5" w14:paraId="0336FB10" w14:textId="379FF75B">
            <w:pPr>
              <w:spacing w:after="0"/>
              <w:jc w:val="center"/>
              <w:rPr>
                <w:b/>
                <w:color w:val="000000"/>
              </w:rPr>
            </w:pPr>
            <w:r w:rsidRPr="00F832B5">
              <w:rPr>
                <w:rFonts w:cs="Arial"/>
                <w:b/>
                <w:color w:val="000000"/>
              </w:rPr>
              <w:t xml:space="preserve">$32,081 </w:t>
            </w:r>
          </w:p>
        </w:tc>
      </w:tr>
    </w:tbl>
    <w:p w:rsidRPr="00F5126E" w:rsidR="00F5126E" w:rsidP="009F4361" w:rsidRDefault="00F5126E" w14:paraId="400EA55C" w14:textId="77777777"/>
    <w:p w:rsidRPr="00A640A9" w:rsidR="00B262D4" w:rsidP="002059F4" w:rsidRDefault="003041B0" w14:paraId="526A56DE" w14:textId="26ABA31A">
      <w:pPr>
        <w:pStyle w:val="Heading1"/>
      </w:pPr>
      <w:r w:rsidRPr="00A640A9">
        <w:t>Supporting Statement</w:t>
      </w:r>
    </w:p>
    <w:p w:rsidR="00897D7E" w:rsidP="00253A81" w:rsidRDefault="00B1352E" w14:paraId="163FE936" w14:textId="0B354EDA">
      <w:pPr>
        <w:pStyle w:val="Heading2"/>
      </w:pPr>
      <w:bookmarkStart w:name="_Toc49148160" w:id="3"/>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367E7" w:rsidR="008023F3" w:rsidP="00542A63" w:rsidRDefault="0077490C" w14:paraId="17C5B248" w14:textId="459C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Arial Unicode MS" w:cs="Arial"/>
          <w:color w:val="000000"/>
          <w:szCs w:val="24"/>
        </w:rPr>
      </w:pPr>
      <w:bookmarkStart w:name="_Hlk86226690" w:id="4"/>
      <w:r w:rsidRPr="001572D1">
        <w:rPr>
          <w:rFonts w:eastAsia="Arial Unicode MS"/>
          <w:color w:val="000000"/>
          <w:szCs w:val="24"/>
        </w:rPr>
        <w:t>EPA is engaging in this collection pursuant to the authority i</w:t>
      </w:r>
      <w:r>
        <w:rPr>
          <w:rFonts w:eastAsia="Arial Unicode MS"/>
          <w:color w:val="000000"/>
          <w:szCs w:val="24"/>
        </w:rPr>
        <w:t>n the Pollution Prevention Act (</w:t>
      </w:r>
      <w:r w:rsidRPr="001572D1">
        <w:rPr>
          <w:rFonts w:eastAsia="Arial Unicode MS"/>
          <w:color w:val="000000"/>
          <w:szCs w:val="24"/>
        </w:rPr>
        <w:t xml:space="preserve">42 U.S.C.A. </w:t>
      </w:r>
      <w:r>
        <w:rPr>
          <w:rFonts w:eastAsia="Arial Unicode MS"/>
          <w:color w:val="000000"/>
          <w:szCs w:val="24"/>
        </w:rPr>
        <w:t>section</w:t>
      </w:r>
      <w:r w:rsidRPr="001572D1">
        <w:rPr>
          <w:rFonts w:eastAsia="Arial Unicode MS"/>
          <w:color w:val="000000"/>
          <w:szCs w:val="24"/>
        </w:rPr>
        <w:t xml:space="preserve"> 13103(b)(11)</w:t>
      </w:r>
      <w:r>
        <w:rPr>
          <w:rFonts w:eastAsia="Arial Unicode MS"/>
          <w:color w:val="000000"/>
          <w:szCs w:val="24"/>
        </w:rPr>
        <w:t>; see Attachment 1)</w:t>
      </w:r>
      <w:r w:rsidRPr="001572D1">
        <w:rPr>
          <w:rFonts w:eastAsia="Arial Unicode MS"/>
          <w:color w:val="000000"/>
          <w:szCs w:val="24"/>
        </w:rPr>
        <w:t xml:space="preserve"> which requires EPA to “Identify opportunities to use Federal procurement to e</w:t>
      </w:r>
      <w:r>
        <w:rPr>
          <w:rFonts w:eastAsia="Arial Unicode MS"/>
          <w:color w:val="000000"/>
          <w:szCs w:val="24"/>
        </w:rPr>
        <w:t>ncourage source reduction” and s</w:t>
      </w:r>
      <w:r w:rsidRPr="001572D1">
        <w:rPr>
          <w:rFonts w:eastAsia="Arial Unicode MS"/>
          <w:color w:val="000000"/>
          <w:szCs w:val="24"/>
        </w:rPr>
        <w:t xml:space="preserve">ection 12(d) of the </w:t>
      </w:r>
      <w:r w:rsidRPr="00E80D90">
        <w:rPr>
          <w:rFonts w:eastAsia="Arial Unicode MS"/>
          <w:color w:val="000000"/>
          <w:szCs w:val="24"/>
        </w:rPr>
        <w:t>“National Technology Transfer and Advancement Act of 1995” (</w:t>
      </w:r>
      <w:r w:rsidRPr="00D76FFD">
        <w:rPr>
          <w:szCs w:val="24"/>
        </w:rPr>
        <w:t xml:space="preserve">15 U.S.C. </w:t>
      </w:r>
      <w:r w:rsidR="00904C3B">
        <w:rPr>
          <w:szCs w:val="24"/>
        </w:rPr>
        <w:t>3701</w:t>
      </w:r>
      <w:r w:rsidRPr="00D76FFD">
        <w:rPr>
          <w:szCs w:val="24"/>
        </w:rPr>
        <w:t xml:space="preserve"> note</w:t>
      </w:r>
      <w:r w:rsidRPr="00E80D90">
        <w:rPr>
          <w:rFonts w:eastAsia="Arial Unicode MS"/>
          <w:color w:val="000000"/>
          <w:szCs w:val="24"/>
        </w:rPr>
        <w:t>; hereinafter “the NTTAA</w:t>
      </w:r>
      <w:r>
        <w:rPr>
          <w:rFonts w:eastAsia="Arial Unicode MS"/>
          <w:color w:val="000000"/>
          <w:szCs w:val="24"/>
        </w:rPr>
        <w:t>;</w:t>
      </w:r>
      <w:r w:rsidRPr="00E80D90">
        <w:rPr>
          <w:rFonts w:eastAsia="Arial Unicode MS"/>
          <w:color w:val="000000"/>
          <w:szCs w:val="24"/>
        </w:rPr>
        <w:t>”</w:t>
      </w:r>
      <w:r>
        <w:rPr>
          <w:rFonts w:eastAsia="Arial Unicode MS"/>
          <w:color w:val="000000"/>
          <w:szCs w:val="24"/>
        </w:rPr>
        <w:t xml:space="preserve"> see Attachment 2</w:t>
      </w:r>
      <w:r w:rsidRPr="00E80D90">
        <w:rPr>
          <w:rFonts w:eastAsia="Arial Unicode MS"/>
          <w:color w:val="000000"/>
          <w:szCs w:val="24"/>
        </w:rPr>
        <w:t>)</w:t>
      </w:r>
      <w:r w:rsidRPr="001572D1">
        <w:rPr>
          <w:rFonts w:eastAsia="Arial Unicode MS"/>
          <w:color w:val="000000"/>
          <w:szCs w:val="24"/>
        </w:rPr>
        <w:t>,</w:t>
      </w:r>
      <w:r>
        <w:rPr>
          <w:rFonts w:ascii="Helvetica" w:hAnsi="Helvetica" w:eastAsia="Arial Unicode MS" w:cs="Helvetica"/>
          <w:color w:val="000000"/>
          <w:sz w:val="21"/>
          <w:szCs w:val="21"/>
        </w:rPr>
        <w:t xml:space="preserve"> </w:t>
      </w:r>
      <w:r w:rsidRPr="001572D1">
        <w:rPr>
          <w:rFonts w:eastAsia="Arial Unicode MS"/>
          <w:color w:val="000000"/>
          <w:szCs w:val="24"/>
        </w:rPr>
        <w:t xml:space="preserve">which requires Federal agencies to “use technical standards that are developed or adopted by voluntary </w:t>
      </w:r>
      <w:r w:rsidRPr="001572D1">
        <w:rPr>
          <w:rFonts w:eastAsia="Arial Unicode MS"/>
          <w:color w:val="000000"/>
          <w:szCs w:val="24"/>
        </w:rPr>
        <w:lastRenderedPageBreak/>
        <w:t>consensus standards bodies, using such technical standards as a means to carry out policy objectives or activities.”</w:t>
      </w:r>
      <w:r>
        <w:rPr>
          <w:rFonts w:eastAsia="Arial Unicode MS"/>
          <w:color w:val="000000"/>
          <w:szCs w:val="24"/>
        </w:rPr>
        <w:t xml:space="preserve"> </w:t>
      </w:r>
      <w:r w:rsidRPr="00E80D90">
        <w:rPr>
          <w:rFonts w:eastAsia="Arial Unicode MS"/>
          <w:color w:val="000000"/>
          <w:szCs w:val="24"/>
        </w:rPr>
        <w:t xml:space="preserve">Office of Management and Budget (OMB) Circular A-119 (titled “Federal Participation in the Development and Use of Voluntary Consensus Standards and in Conformity Assessment Activities”) reaffirms Federal agency use of </w:t>
      </w:r>
      <w:r w:rsidR="00FF62C8">
        <w:rPr>
          <w:rFonts w:eastAsia="Arial Unicode MS"/>
          <w:color w:val="000000"/>
          <w:szCs w:val="24"/>
        </w:rPr>
        <w:t>private sector</w:t>
      </w:r>
      <w:r w:rsidRPr="00E80D90">
        <w:rPr>
          <w:rFonts w:eastAsia="Arial Unicode MS"/>
          <w:color w:val="000000"/>
          <w:szCs w:val="24"/>
        </w:rPr>
        <w:t xml:space="preserve"> standards in </w:t>
      </w:r>
      <w:r w:rsidRPr="004367E7">
        <w:rPr>
          <w:rFonts w:eastAsia="Arial Unicode MS" w:cs="Arial"/>
          <w:color w:val="000000"/>
          <w:szCs w:val="24"/>
        </w:rPr>
        <w:t>procurement</w:t>
      </w:r>
      <w:r w:rsidRPr="004367E7" w:rsidR="008023F3">
        <w:rPr>
          <w:rFonts w:eastAsia="Arial Unicode MS" w:cs="Arial"/>
          <w:color w:val="000000"/>
          <w:szCs w:val="24"/>
        </w:rPr>
        <w:t xml:space="preserve"> and </w:t>
      </w:r>
      <w:r w:rsidR="00621A06">
        <w:rPr>
          <w:rFonts w:eastAsia="Arial Unicode MS" w:cs="Arial"/>
          <w:color w:val="000000"/>
          <w:szCs w:val="24"/>
        </w:rPr>
        <w:t>Federal Acquisition Regulation (</w:t>
      </w:r>
      <w:r w:rsidRPr="004367E7" w:rsidR="008023F3">
        <w:rPr>
          <w:rFonts w:eastAsia="Arial Unicode MS" w:cs="Arial"/>
          <w:color w:val="000000"/>
          <w:szCs w:val="24"/>
        </w:rPr>
        <w:t>FAR</w:t>
      </w:r>
      <w:r w:rsidR="00621A06">
        <w:rPr>
          <w:rFonts w:eastAsia="Arial Unicode MS" w:cs="Arial"/>
          <w:color w:val="000000"/>
          <w:szCs w:val="24"/>
        </w:rPr>
        <w:t>) Part</w:t>
      </w:r>
      <w:r w:rsidRPr="004367E7" w:rsidR="008023F3">
        <w:rPr>
          <w:rFonts w:eastAsia="Arial Unicode MS" w:cs="Arial"/>
          <w:color w:val="000000"/>
          <w:szCs w:val="24"/>
        </w:rPr>
        <w:t xml:space="preserve"> 23.703 (b) (1)</w:t>
      </w:r>
      <w:r w:rsidR="00B3593A">
        <w:rPr>
          <w:rFonts w:eastAsia="Arial Unicode MS" w:cs="Arial"/>
          <w:color w:val="000000"/>
          <w:szCs w:val="24"/>
        </w:rPr>
        <w:t xml:space="preserve"> directs Federal agencies to </w:t>
      </w:r>
      <w:r w:rsidR="00B3593A">
        <w:rPr>
          <w:rFonts w:cs="Arial"/>
          <w:color w:val="000000"/>
          <w:szCs w:val="24"/>
          <w:shd w:val="clear" w:color="auto" w:fill="FFFFFF"/>
        </w:rPr>
        <w:t>“</w:t>
      </w:r>
      <w:r w:rsidRPr="004367E7" w:rsidR="008023F3">
        <w:rPr>
          <w:rFonts w:cs="Arial"/>
          <w:color w:val="000000"/>
          <w:szCs w:val="24"/>
          <w:shd w:val="clear" w:color="auto" w:fill="FFFFFF"/>
        </w:rPr>
        <w:t>Maximize the utilization of environmentally preferable products and services (based on EPA-issued guidance)”.</w:t>
      </w:r>
    </w:p>
    <w:bookmarkEnd w:id="4"/>
    <w:p w:rsidR="00275864" w:rsidP="00542A63" w:rsidRDefault="00275864" w14:paraId="64EDF0FD" w14:textId="5E22E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Arial Unicode MS"/>
          <w:color w:val="000000"/>
          <w:szCs w:val="24"/>
        </w:rPr>
      </w:pPr>
      <w:r>
        <w:rPr>
          <w:rFonts w:eastAsia="Arial Unicode MS"/>
          <w:color w:val="000000"/>
          <w:szCs w:val="24"/>
        </w:rPr>
        <w:t xml:space="preserve">Federal </w:t>
      </w:r>
      <w:r w:rsidR="00384CD8">
        <w:rPr>
          <w:rFonts w:eastAsia="Arial Unicode MS"/>
          <w:color w:val="000000"/>
          <w:szCs w:val="24"/>
        </w:rPr>
        <w:t xml:space="preserve">purchasers </w:t>
      </w:r>
      <w:r>
        <w:rPr>
          <w:rFonts w:eastAsia="Arial Unicode MS"/>
          <w:color w:val="000000"/>
          <w:szCs w:val="24"/>
        </w:rPr>
        <w:t>need this assessment per the Framework to determine which, among sometimes dozens of private sector standards within a single purchase category, are appropriate and effective in meeting federal procurement goals and mandates.</w:t>
      </w:r>
    </w:p>
    <w:p w:rsidRPr="00C67D15" w:rsidR="0077490C" w:rsidP="00542A63" w:rsidRDefault="0077490C" w14:paraId="11FF2755" w14:textId="729F0739">
      <w:pPr>
        <w:spacing w:line="276" w:lineRule="auto"/>
        <w:rPr>
          <w:rFonts w:eastAsia="Arial Unicode MS"/>
          <w:color w:val="000000"/>
          <w:szCs w:val="24"/>
        </w:rPr>
      </w:pPr>
      <w:r w:rsidRPr="00C67D15">
        <w:rPr>
          <w:rFonts w:eastAsia="Arial Unicode MS"/>
          <w:color w:val="000000"/>
          <w:szCs w:val="24"/>
        </w:rPr>
        <w:t xml:space="preserve">While Federal purchasing policy is clear for the several standards and ecolabels that are listed in statute, regulation, or Executive Order, the lack of independently assessed information about and federal guidance on using other </w:t>
      </w:r>
      <w:r w:rsidR="00384CD8">
        <w:rPr>
          <w:rFonts w:eastAsia="Arial Unicode MS"/>
          <w:color w:val="000000"/>
          <w:szCs w:val="24"/>
        </w:rPr>
        <w:t xml:space="preserve">private sector </w:t>
      </w:r>
      <w:r w:rsidRPr="00C67D15">
        <w:rPr>
          <w:rFonts w:eastAsia="Arial Unicode MS"/>
          <w:color w:val="000000"/>
          <w:szCs w:val="24"/>
        </w:rPr>
        <w:t>environmental performance standards and ecolabels often results in an inconsistent approach by Federal purchasers and confusion and uncertainty for vendors and manufacturers.</w:t>
      </w:r>
    </w:p>
    <w:p w:rsidR="000D5E31" w:rsidP="00253A81" w:rsidRDefault="00B262D4" w14:paraId="36FA8BB3" w14:textId="57DE0CDF">
      <w:pPr>
        <w:pStyle w:val="Heading2"/>
      </w:pPr>
      <w:r w:rsidRPr="00E00E93">
        <w:t>Indicate how, by whom, and for what purpose the information is to be used.  Except for a new collection, indicate the actual use the Agency has made of the information received from the current collection</w:t>
      </w:r>
      <w:bookmarkEnd w:id="3"/>
    </w:p>
    <w:p w:rsidR="0077490C" w:rsidP="00542A63" w:rsidRDefault="0077490C" w14:paraId="775F727A" w14:textId="3E092B32">
      <w:pPr>
        <w:spacing w:line="276" w:lineRule="auto"/>
      </w:pPr>
      <w:r w:rsidRPr="00E80D90">
        <w:t>As envisioned by EPA</w:t>
      </w:r>
      <w:r>
        <w:t xml:space="preserve"> and supported by public comment</w:t>
      </w:r>
      <w:r w:rsidRPr="00E80D90">
        <w:t xml:space="preserve">, </w:t>
      </w:r>
      <w:r>
        <w:t xml:space="preserve">it would not be practical for individual procurement officers or even individual federal agencies to assess and make determinations regarding which </w:t>
      </w:r>
      <w:r w:rsidR="00384CD8">
        <w:t xml:space="preserve">private sector environmental performance </w:t>
      </w:r>
      <w:r>
        <w:t>standards and ecolabels are appropriate and effective in meeting federal procurement goals and mandates. Therefore, EPA serve</w:t>
      </w:r>
      <w:r w:rsidR="00EB1C8B">
        <w:t>s</w:t>
      </w:r>
      <w:r>
        <w:t xml:space="preserve"> government-wide interest in assessing and </w:t>
      </w:r>
      <w:r w:rsidR="00EB1C8B">
        <w:t xml:space="preserve">recommending </w:t>
      </w:r>
      <w:r w:rsidRPr="00E80D90">
        <w:t xml:space="preserve">standards and ecolabels </w:t>
      </w:r>
      <w:r>
        <w:t xml:space="preserve">to support the aforementioned environmentally preferable purchasing goals and mandates in a fair, transparent, and consistent manner based on agreed upon </w:t>
      </w:r>
      <w:r w:rsidR="00EB1C8B">
        <w:t xml:space="preserve">criteria </w:t>
      </w:r>
      <w:r>
        <w:t>and independent assessment.</w:t>
      </w:r>
    </w:p>
    <w:p w:rsidR="0077490C" w:rsidP="00542A63" w:rsidRDefault="0077490C" w14:paraId="5959CFA6" w14:textId="52478760">
      <w:pPr>
        <w:spacing w:line="276" w:lineRule="auto"/>
      </w:pPr>
      <w:r>
        <w:t xml:space="preserve">The </w:t>
      </w:r>
      <w:r w:rsidR="00EB1C8B">
        <w:t xml:space="preserve">Framework </w:t>
      </w:r>
      <w:r>
        <w:t>to be used for assessing standards and ecolabels include</w:t>
      </w:r>
      <w:r w:rsidR="0097606F">
        <w:t>s</w:t>
      </w:r>
      <w:r>
        <w:t xml:space="preserve"> criteria for both the process by which standards and ecolabels are developed and managed and the effectiveness of the standards and ecolabels in protecting environmental and human health. Some of this information can be collected by reading the standard; other aspects need to be collected via </w:t>
      </w:r>
      <w:r w:rsidR="00EB1C8B">
        <w:t>written responses and supporting documentation</w:t>
      </w:r>
      <w:r w:rsidR="00805B2A">
        <w:t xml:space="preserve"> provided by the ecolabel owner or standards development organization</w:t>
      </w:r>
      <w:r>
        <w:t>.</w:t>
      </w:r>
    </w:p>
    <w:p w:rsidR="00131006" w:rsidP="00542A63" w:rsidRDefault="00131006" w14:paraId="3665C010" w14:textId="354AA343">
      <w:pPr>
        <w:spacing w:line="276" w:lineRule="auto"/>
        <w:rPr>
          <w:lang w:bidi="en-US"/>
        </w:rPr>
      </w:pPr>
      <w:r>
        <w:rPr>
          <w:lang w:bidi="en-US"/>
        </w:rPr>
        <w:t>EPA will call for volunteer standard and ecolabel</w:t>
      </w:r>
      <w:r w:rsidR="0097606F">
        <w:rPr>
          <w:lang w:bidi="en-US"/>
        </w:rPr>
        <w:t xml:space="preserve"> organizations</w:t>
      </w:r>
      <w:r>
        <w:rPr>
          <w:lang w:bidi="en-US"/>
        </w:rPr>
        <w:t xml:space="preserve"> to submit information and will phase assessments by purchase category based on Administration priorities and available resources over the next three years. Completed Framework Submission Templates – for those standards and ecolabels that meet minimum criteria and are </w:t>
      </w:r>
      <w:r>
        <w:rPr>
          <w:lang w:bidi="en-US"/>
        </w:rPr>
        <w:lastRenderedPageBreak/>
        <w:t>incorporated into EPA’s Recommendations of Specifications, Standards and Ecolabels – will be made available to interested parties upon request.</w:t>
      </w:r>
    </w:p>
    <w:p w:rsidR="000D5E31" w:rsidP="00253A81" w:rsidRDefault="000D5E31" w14:paraId="44CE1C5B" w14:textId="765AAA8B">
      <w:pPr>
        <w:pStyle w:val="Heading2"/>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131006" w:rsidP="00131006" w:rsidRDefault="00131006" w14:paraId="4B541114" w14:textId="56324B73">
      <w:r>
        <w:t>R</w:t>
      </w:r>
      <w:r w:rsidRPr="00532618">
        <w:t xml:space="preserve">espondent </w:t>
      </w:r>
      <w:r>
        <w:t xml:space="preserve">standard, certification, and ecolabel organizations </w:t>
      </w:r>
      <w:r w:rsidRPr="00532618">
        <w:t>will</w:t>
      </w:r>
      <w:r>
        <w:t xml:space="preserve"> provide written responses and supporting documentation within the Framework submission template via email. </w:t>
      </w:r>
    </w:p>
    <w:p w:rsidR="000D5E31" w:rsidP="00253A81" w:rsidRDefault="003041B0" w14:paraId="3222B018" w14:textId="2CFE9FDA">
      <w:pPr>
        <w:pStyle w:val="Heading2"/>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0077490C" w:rsidP="00542A63" w:rsidRDefault="0077490C" w14:paraId="34FB3004" w14:textId="5DB7966B">
      <w:pPr>
        <w:spacing w:line="276" w:lineRule="auto"/>
      </w:pPr>
      <w:r>
        <w:t xml:space="preserve">There has been no other effort to systematically collect such comprehensive information about </w:t>
      </w:r>
      <w:r w:rsidR="00384CD8">
        <w:t xml:space="preserve">private sector </w:t>
      </w:r>
      <w:r>
        <w:t>standards and ecolabels</w:t>
      </w:r>
      <w:r w:rsidR="00EB1C8B">
        <w:t xml:space="preserve"> for use in federal purchasing</w:t>
      </w:r>
      <w:r>
        <w:t>. Additionally, where public sources of data are available, they will be consulted in lieu of asking respondents to do so.</w:t>
      </w:r>
      <w:r w:rsidR="00805B2A">
        <w:t xml:space="preserve"> EPA has also reviewed and included standards and ecolabels assessed by other federal agencies to reduce burden on standards developers and ecolabel owners and harmonize federal sustainable procurement guidance and use previous federal assessments.  </w:t>
      </w:r>
    </w:p>
    <w:p w:rsidR="000D5E31" w:rsidP="00253A81" w:rsidRDefault="000D5E31" w14:paraId="318B9393" w14:textId="0F61DD54">
      <w:pPr>
        <w:pStyle w:val="Heading2"/>
      </w:pPr>
      <w:r w:rsidRPr="00E00E93">
        <w:t>If the collection of information impacts small businesses or other small entities, describe the methods used to minimize burden.</w:t>
      </w:r>
    </w:p>
    <w:p w:rsidRPr="0077490C" w:rsidR="0077490C" w:rsidP="00542A63" w:rsidRDefault="0077490C" w14:paraId="38749CA8" w14:textId="11EA0DE9">
      <w:pPr>
        <w:spacing w:line="276" w:lineRule="auto"/>
        <w:rPr>
          <w:lang w:bidi="en-US"/>
        </w:rPr>
      </w:pPr>
      <w:r>
        <w:rPr>
          <w:szCs w:val="24"/>
        </w:rPr>
        <w:t xml:space="preserve">It is expected that some of the participants in the effort will be small standards development and ecolabel program entities. The </w:t>
      </w:r>
      <w:r w:rsidR="000C2828">
        <w:rPr>
          <w:szCs w:val="24"/>
        </w:rPr>
        <w:t xml:space="preserve">information collection </w:t>
      </w:r>
      <w:r>
        <w:rPr>
          <w:szCs w:val="24"/>
        </w:rPr>
        <w:t>shall be designed to minimize respondent burden while obtaining sufficient and accurate information. In addition, given the voluntary nature of the collection, it is expected that respondents will participate only if the benefits of participation (greater access to the federal marketplace) outweigh the information collection burden.</w:t>
      </w:r>
    </w:p>
    <w:p w:rsidR="00897D7E" w:rsidP="00253A81" w:rsidRDefault="00BE461C" w14:paraId="5F088A3E" w14:textId="39C71F11">
      <w:pPr>
        <w:pStyle w:val="Heading2"/>
      </w:pPr>
      <w:r w:rsidRPr="00E00E93">
        <w:t>Describe the consequence to Federal program or policy activities if the collection is not conducted or is conducted less frequently, as well as any technical or legal obstacles to reducing burden.</w:t>
      </w:r>
    </w:p>
    <w:p w:rsidRPr="0077490C" w:rsidR="0077490C" w:rsidP="00542A63" w:rsidRDefault="0077490C" w14:paraId="26FF9C6E" w14:textId="7CEC3F1E">
      <w:pPr>
        <w:spacing w:line="276" w:lineRule="auto"/>
        <w:rPr>
          <w:lang w:bidi="en-US"/>
        </w:rPr>
      </w:pPr>
      <w:r>
        <w:rPr>
          <w:szCs w:val="24"/>
        </w:rPr>
        <w:t xml:space="preserve">This effort will inform the frequency of information collection appropriate for Federal procurement needs. It is likely that the frequency of information collection will be dependent upon 1) future business models for collection (e.g., if there is a greater reliance on the private sector’s conformity assessment infrastructure versus federal sponsorship/funding of assessments), 2) the speed of market transformation toward </w:t>
      </w:r>
      <w:r>
        <w:rPr>
          <w:szCs w:val="24"/>
        </w:rPr>
        <w:lastRenderedPageBreak/>
        <w:t>sustainability in particular sectors, and 3) changes in standards and ecolabel trends in particular sectors.</w:t>
      </w:r>
      <w:r w:rsidR="00494F29">
        <w:rPr>
          <w:szCs w:val="24"/>
        </w:rPr>
        <w:t xml:space="preserve">  Less frequent assessments may lead to less effective/useful Recommendations of Standards and Ecolabels for Federal Purchasing since it would result in missing available new and innovative standards and ecolabels to use in federal purchasing.  </w:t>
      </w:r>
    </w:p>
    <w:p w:rsidRPr="00E00E93" w:rsidR="0093316B" w:rsidP="00253A81" w:rsidRDefault="009A7738" w14:paraId="6B8F0DD0" w14:textId="3B129352">
      <w:pPr>
        <w:pStyle w:val="Heading2"/>
      </w:pPr>
      <w:r w:rsidRPr="00E00E93">
        <w:t>Explain any special circumstances that require the collection to be conducted in a manner</w:t>
      </w:r>
      <w:r w:rsidRPr="00E00E93" w:rsidR="0093316B">
        <w:t xml:space="preserve">: </w:t>
      </w:r>
    </w:p>
    <w:p w:rsidRPr="007E4E7D" w:rsidR="001E0046" w:rsidP="00303AA7" w:rsidRDefault="001E0046" w14:paraId="60279A2F" w14:textId="3776ADEE">
      <w:pPr>
        <w:ind w:left="720" w:hanging="360"/>
        <w:rPr>
          <w:b/>
          <w:bCs/>
        </w:rPr>
      </w:pPr>
      <w:r w:rsidRPr="007E4E7D">
        <w:rPr>
          <w:b/>
          <w:bCs/>
        </w:rPr>
        <w:t xml:space="preserve">a) </w:t>
      </w:r>
      <w:r w:rsidRPr="007E4E7D" w:rsidR="00303AA7">
        <w:rPr>
          <w:b/>
          <w:bCs/>
        </w:rPr>
        <w:t xml:space="preserve"> </w:t>
      </w:r>
      <w:r w:rsidRPr="007E4E7D" w:rsidR="0093316B">
        <w:rPr>
          <w:b/>
          <w:bCs/>
        </w:rPr>
        <w:t xml:space="preserve">requiring respondents to report information to the agency more often than </w:t>
      </w:r>
      <w:proofErr w:type="gramStart"/>
      <w:r w:rsidRPr="007E4E7D" w:rsidR="0093316B">
        <w:rPr>
          <w:b/>
          <w:bCs/>
        </w:rPr>
        <w:t>quarterly;</w:t>
      </w:r>
      <w:proofErr w:type="gramEnd"/>
      <w:r w:rsidRPr="007E4E7D" w:rsidR="0093316B">
        <w:rPr>
          <w:b/>
          <w:bCs/>
        </w:rPr>
        <w:t xml:space="preserve"> </w:t>
      </w:r>
    </w:p>
    <w:p w:rsidRPr="007E4E7D" w:rsidR="001E0046" w:rsidP="00303AA7" w:rsidRDefault="001E0046" w14:paraId="55FB2FC5" w14:textId="48D415DB">
      <w:pPr>
        <w:ind w:left="720" w:hanging="360"/>
        <w:rPr>
          <w:b/>
          <w:bCs/>
        </w:rPr>
      </w:pPr>
      <w:r w:rsidRPr="007E4E7D">
        <w:rPr>
          <w:b/>
          <w:bCs/>
        </w:rPr>
        <w:t xml:space="preserve">b) </w:t>
      </w:r>
      <w:r w:rsidRPr="007E4E7D" w:rsidR="00303AA7">
        <w:rPr>
          <w:b/>
          <w:bCs/>
        </w:rPr>
        <w:t xml:space="preserve"> </w:t>
      </w:r>
      <w:r w:rsidRPr="007E4E7D" w:rsidR="0093316B">
        <w:rPr>
          <w:b/>
          <w:bCs/>
        </w:rPr>
        <w:t xml:space="preserve">requiring respondents to prepare a written response to a collection of information in fewer than 30 days after receipt of </w:t>
      </w:r>
      <w:proofErr w:type="gramStart"/>
      <w:r w:rsidRPr="007E4E7D" w:rsidR="0093316B">
        <w:rPr>
          <w:b/>
          <w:bCs/>
        </w:rPr>
        <w:t>it;</w:t>
      </w:r>
      <w:proofErr w:type="gramEnd"/>
      <w:r w:rsidRPr="007E4E7D" w:rsidR="0093316B">
        <w:rPr>
          <w:b/>
          <w:bCs/>
        </w:rPr>
        <w:t xml:space="preserve"> </w:t>
      </w:r>
    </w:p>
    <w:p w:rsidRPr="007E4E7D" w:rsidR="001E0046" w:rsidP="00303AA7" w:rsidRDefault="001E0046" w14:paraId="655A5398" w14:textId="73EA3641">
      <w:pPr>
        <w:ind w:left="720" w:hanging="360"/>
        <w:rPr>
          <w:b/>
          <w:bCs/>
        </w:rPr>
      </w:pPr>
      <w:r w:rsidRPr="007E4E7D">
        <w:rPr>
          <w:b/>
          <w:bCs/>
        </w:rPr>
        <w:t xml:space="preserve">c) </w:t>
      </w:r>
      <w:r w:rsidRPr="007E4E7D" w:rsidR="00303AA7">
        <w:rPr>
          <w:b/>
          <w:bCs/>
        </w:rPr>
        <w:t xml:space="preserve"> </w:t>
      </w:r>
      <w:r w:rsidRPr="007E4E7D" w:rsidR="0093316B">
        <w:rPr>
          <w:b/>
          <w:bCs/>
        </w:rPr>
        <w:t xml:space="preserve">requiring respondents to submit more than an original and two copies of any </w:t>
      </w:r>
      <w:proofErr w:type="gramStart"/>
      <w:r w:rsidRPr="007E4E7D" w:rsidR="0093316B">
        <w:rPr>
          <w:b/>
          <w:bCs/>
        </w:rPr>
        <w:t>document;</w:t>
      </w:r>
      <w:proofErr w:type="gramEnd"/>
      <w:r w:rsidRPr="007E4E7D" w:rsidR="0093316B">
        <w:rPr>
          <w:b/>
          <w:bCs/>
        </w:rPr>
        <w:t xml:space="preserve"> </w:t>
      </w:r>
    </w:p>
    <w:p w:rsidRPr="007E4E7D" w:rsidR="001E0046" w:rsidP="00303AA7" w:rsidRDefault="001E0046" w14:paraId="125E1C8F" w14:textId="4131AC94">
      <w:pPr>
        <w:ind w:left="720" w:hanging="360"/>
        <w:rPr>
          <w:b/>
          <w:bCs/>
        </w:rPr>
      </w:pPr>
      <w:r w:rsidRPr="007E4E7D">
        <w:rPr>
          <w:b/>
          <w:bCs/>
        </w:rPr>
        <w:t xml:space="preserve">d) </w:t>
      </w:r>
      <w:r w:rsidRPr="007E4E7D" w:rsidR="00303AA7">
        <w:rPr>
          <w:b/>
          <w:bCs/>
        </w:rPr>
        <w:t xml:space="preserve"> </w:t>
      </w:r>
      <w:r w:rsidRPr="007E4E7D" w:rsidR="0093316B">
        <w:rPr>
          <w:b/>
          <w:bCs/>
        </w:rPr>
        <w:t xml:space="preserve">requiring respondents to retain records, other than health, medical, government contract, grant-in-aid, or tax records, for more than three </w:t>
      </w:r>
      <w:proofErr w:type="gramStart"/>
      <w:r w:rsidRPr="007E4E7D" w:rsidR="0093316B">
        <w:rPr>
          <w:b/>
          <w:bCs/>
        </w:rPr>
        <w:t>years;</w:t>
      </w:r>
      <w:proofErr w:type="gramEnd"/>
      <w:r w:rsidRPr="007E4E7D" w:rsidR="0093316B">
        <w:rPr>
          <w:b/>
          <w:bCs/>
        </w:rPr>
        <w:t xml:space="preserve"> </w:t>
      </w:r>
    </w:p>
    <w:p w:rsidRPr="007E4E7D" w:rsidR="001E0046" w:rsidP="00303AA7" w:rsidRDefault="001E0046" w14:paraId="2E19D3F0" w14:textId="612AED96">
      <w:pPr>
        <w:ind w:left="720" w:hanging="360"/>
        <w:rPr>
          <w:b/>
          <w:bCs/>
        </w:rPr>
      </w:pPr>
      <w:r w:rsidRPr="007E4E7D">
        <w:rPr>
          <w:b/>
          <w:bCs/>
        </w:rPr>
        <w:t xml:space="preserve">e) </w:t>
      </w:r>
      <w:r w:rsidRPr="007E4E7D" w:rsidR="00303AA7">
        <w:rPr>
          <w:b/>
          <w:bCs/>
        </w:rPr>
        <w:t xml:space="preserve"> </w:t>
      </w:r>
      <w:r w:rsidRPr="007E4E7D" w:rsidR="0093316B">
        <w:rPr>
          <w:b/>
          <w:bCs/>
        </w:rPr>
        <w:t xml:space="preserve">in connection with a statistical survey, that is not designed to produce valid and reliable results that can be generalized to the universe of </w:t>
      </w:r>
      <w:proofErr w:type="gramStart"/>
      <w:r w:rsidRPr="007E4E7D" w:rsidR="0093316B">
        <w:rPr>
          <w:b/>
          <w:bCs/>
        </w:rPr>
        <w:t>study;</w:t>
      </w:r>
      <w:proofErr w:type="gramEnd"/>
    </w:p>
    <w:p w:rsidRPr="007E4E7D" w:rsidR="001E0046" w:rsidP="00303AA7" w:rsidRDefault="001E0046" w14:paraId="47731E78" w14:textId="095BC983">
      <w:pPr>
        <w:ind w:left="720" w:hanging="360"/>
        <w:rPr>
          <w:b/>
          <w:bCs/>
        </w:rPr>
      </w:pPr>
      <w:r w:rsidRPr="007E4E7D">
        <w:rPr>
          <w:b/>
          <w:bCs/>
        </w:rPr>
        <w:t xml:space="preserve">f) </w:t>
      </w:r>
      <w:r w:rsidRPr="007E4E7D" w:rsidR="00303AA7">
        <w:rPr>
          <w:b/>
          <w:bCs/>
        </w:rPr>
        <w:t xml:space="preserve">  </w:t>
      </w:r>
      <w:r w:rsidRPr="007E4E7D" w:rsidR="0093316B">
        <w:rPr>
          <w:b/>
          <w:bCs/>
        </w:rPr>
        <w:t xml:space="preserve">requiring the use of a statistical data classification that has not been reviewed and approved by </w:t>
      </w:r>
      <w:proofErr w:type="gramStart"/>
      <w:r w:rsidRPr="007E4E7D" w:rsidR="0093316B">
        <w:rPr>
          <w:b/>
          <w:bCs/>
        </w:rPr>
        <w:t>OMB;</w:t>
      </w:r>
      <w:proofErr w:type="gramEnd"/>
      <w:r w:rsidRPr="007E4E7D" w:rsidR="0093316B">
        <w:rPr>
          <w:b/>
          <w:bCs/>
        </w:rPr>
        <w:t xml:space="preserve"> </w:t>
      </w:r>
    </w:p>
    <w:p w:rsidRPr="007E4E7D" w:rsidR="001E0046" w:rsidP="00303AA7" w:rsidRDefault="001E0046" w14:paraId="5DC4B290" w14:textId="1FA87D2C">
      <w:pPr>
        <w:ind w:left="720" w:hanging="360"/>
        <w:rPr>
          <w:b/>
          <w:bCs/>
        </w:rPr>
      </w:pPr>
      <w:r w:rsidRPr="007E4E7D">
        <w:rPr>
          <w:b/>
          <w:bCs/>
        </w:rPr>
        <w:t xml:space="preserve">g) </w:t>
      </w:r>
      <w:r w:rsidRPr="007E4E7D" w:rsidR="00303AA7">
        <w:rPr>
          <w:b/>
          <w:bCs/>
        </w:rPr>
        <w:t xml:space="preserve"> </w:t>
      </w:r>
      <w:r w:rsidRPr="007E4E7D" w:rsidR="0093316B">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E4E7D" w:rsidR="0093316B" w:rsidP="00303AA7" w:rsidRDefault="001E0046" w14:paraId="61CF6F88" w14:textId="2130FD4B">
      <w:pPr>
        <w:ind w:left="720" w:hanging="360"/>
        <w:rPr>
          <w:b/>
          <w:bCs/>
        </w:rPr>
      </w:pPr>
      <w:r w:rsidRPr="007E4E7D">
        <w:rPr>
          <w:b/>
          <w:bCs/>
        </w:rPr>
        <w:t xml:space="preserve">h) </w:t>
      </w:r>
      <w:r w:rsidRPr="007E4E7D" w:rsidR="00303AA7">
        <w:rPr>
          <w:b/>
          <w:bCs/>
        </w:rPr>
        <w:t xml:space="preserve"> </w:t>
      </w:r>
      <w:r w:rsidRPr="007E4E7D" w:rsidR="0093316B">
        <w:rPr>
          <w:b/>
          <w:bCs/>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77490C" w:rsidR="0077490C" w:rsidP="0077490C" w:rsidRDefault="0077490C" w14:paraId="496975D6" w14:textId="079664A0">
      <w:r>
        <w:t xml:space="preserve">Not applicable. </w:t>
      </w:r>
    </w:p>
    <w:p w:rsidR="0077490C" w:rsidP="0077490C" w:rsidRDefault="009A7738" w14:paraId="0A0749EF" w14:textId="77777777">
      <w:pPr>
        <w:pStyle w:val="Heading2"/>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201FFC" w:rsidRDefault="009A7738" w14:paraId="4DF9935E" w14:textId="6BBE1C3C">
      <w:pPr>
        <w:ind w:left="360"/>
        <w:rPr>
          <w:b/>
          <w:bCs/>
        </w:rPr>
      </w:pPr>
      <w:r w:rsidRPr="007E4E7D">
        <w:rPr>
          <w:b/>
          <w:bCs/>
        </w:rPr>
        <w:lastRenderedPageBreak/>
        <w:t xml:space="preserve">Describe efforts to consult with persons outside </w:t>
      </w:r>
      <w:r w:rsidRPr="007E4E7D" w:rsidR="002059F4">
        <w:rPr>
          <w:b/>
          <w:bCs/>
        </w:rPr>
        <w:t>EPA</w:t>
      </w:r>
      <w:r w:rsidRPr="007E4E7D">
        <w:rPr>
          <w:b/>
          <w:bCs/>
        </w:rPr>
        <w:t xml:space="preserve"> to obtain their views on the availability of data, frequency of collection, the clarity of instructions and recordkeeping, disclosure, or reporting format (if any), and on the data elements to be recorded, disclosed, or report</w:t>
      </w:r>
      <w:r w:rsidRPr="007E4E7D" w:rsidR="00E00E93">
        <w:rPr>
          <w:b/>
          <w:bCs/>
        </w:rPr>
        <w:t>ed</w:t>
      </w:r>
      <w:r w:rsidRPr="007E4E7D">
        <w:rPr>
          <w:b/>
          <w:bCs/>
        </w:rPr>
        <w:t>.</w:t>
      </w:r>
    </w:p>
    <w:p w:rsidRPr="003C29DA" w:rsidR="003C29DA" w:rsidP="00542A63" w:rsidRDefault="003C29DA" w14:paraId="44B41C2A" w14:textId="387D1E17">
      <w:pPr>
        <w:spacing w:after="0" w:line="276" w:lineRule="auto"/>
        <w:rPr>
          <w:rFonts w:cs="Arial"/>
          <w:szCs w:val="24"/>
        </w:rPr>
      </w:pPr>
      <w:r w:rsidRPr="003C29DA">
        <w:rPr>
          <w:rFonts w:cs="Arial"/>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Attachment </w:t>
      </w:r>
      <w:r w:rsidR="00971E5E">
        <w:rPr>
          <w:rFonts w:cs="Arial"/>
          <w:szCs w:val="24"/>
        </w:rPr>
        <w:t>7</w:t>
      </w:r>
      <w:r w:rsidRPr="003C29DA">
        <w:rPr>
          <w:rFonts w:cs="Arial"/>
          <w:szCs w:val="24"/>
        </w:rPr>
        <w:t xml:space="preserve">. The individual entities contacted were: </w:t>
      </w:r>
    </w:p>
    <w:p w:rsidR="003C29DA" w:rsidP="00542A63" w:rsidRDefault="00FA6ED8" w14:paraId="4CA95D9C" w14:textId="06E50942">
      <w:pPr>
        <w:numPr>
          <w:ilvl w:val="0"/>
          <w:numId w:val="48"/>
        </w:numPr>
        <w:spacing w:after="0" w:line="276" w:lineRule="auto"/>
        <w:rPr>
          <w:rFonts w:eastAsia="Arial" w:cs="Arial"/>
          <w:szCs w:val="24"/>
        </w:rPr>
      </w:pPr>
      <w:r>
        <w:rPr>
          <w:rFonts w:eastAsia="Arial" w:cs="Arial"/>
          <w:szCs w:val="24"/>
        </w:rPr>
        <w:t>NSF International</w:t>
      </w:r>
    </w:p>
    <w:p w:rsidR="00FA6ED8" w:rsidP="00542A63" w:rsidRDefault="00FA6ED8" w14:paraId="6448F04B" w14:textId="68307393">
      <w:pPr>
        <w:numPr>
          <w:ilvl w:val="0"/>
          <w:numId w:val="48"/>
        </w:numPr>
        <w:spacing w:after="0" w:line="276" w:lineRule="auto"/>
        <w:rPr>
          <w:rFonts w:eastAsia="Arial" w:cs="Arial"/>
          <w:szCs w:val="24"/>
        </w:rPr>
      </w:pPr>
      <w:r>
        <w:rPr>
          <w:rFonts w:eastAsia="Arial" w:cs="Arial"/>
          <w:szCs w:val="24"/>
        </w:rPr>
        <w:t>Cradle to Cradle Product Innovations Institute</w:t>
      </w:r>
    </w:p>
    <w:p w:rsidR="00FE1476" w:rsidP="00542A63" w:rsidRDefault="00FE1476" w14:paraId="25CEC0E5" w14:textId="0AF787EB">
      <w:pPr>
        <w:numPr>
          <w:ilvl w:val="0"/>
          <w:numId w:val="48"/>
        </w:numPr>
        <w:spacing w:after="0" w:line="276" w:lineRule="auto"/>
        <w:rPr>
          <w:rFonts w:eastAsia="Arial" w:cs="Arial"/>
          <w:szCs w:val="24"/>
        </w:rPr>
      </w:pPr>
      <w:r>
        <w:rPr>
          <w:rFonts w:eastAsia="Arial" w:cs="Arial"/>
          <w:szCs w:val="24"/>
        </w:rPr>
        <w:t>International Living Future Institute</w:t>
      </w:r>
    </w:p>
    <w:p w:rsidR="00FE1476" w:rsidP="00542A63" w:rsidRDefault="00FE1476" w14:paraId="552600DC" w14:textId="45CC8725">
      <w:pPr>
        <w:numPr>
          <w:ilvl w:val="0"/>
          <w:numId w:val="48"/>
        </w:numPr>
        <w:spacing w:after="0" w:line="276" w:lineRule="auto"/>
        <w:rPr>
          <w:rFonts w:eastAsia="Arial" w:cs="Arial"/>
          <w:szCs w:val="24"/>
        </w:rPr>
      </w:pPr>
      <w:r>
        <w:rPr>
          <w:rFonts w:eastAsia="Arial" w:cs="Arial"/>
          <w:szCs w:val="24"/>
        </w:rPr>
        <w:t>Global Electronics Council</w:t>
      </w:r>
    </w:p>
    <w:p w:rsidR="00FE1476" w:rsidP="00542A63" w:rsidRDefault="00FE1476" w14:paraId="52696F01" w14:textId="26C684D2">
      <w:pPr>
        <w:numPr>
          <w:ilvl w:val="0"/>
          <w:numId w:val="48"/>
        </w:numPr>
        <w:spacing w:after="0" w:line="276" w:lineRule="auto"/>
        <w:rPr>
          <w:rFonts w:eastAsia="Arial" w:cs="Arial"/>
          <w:szCs w:val="24"/>
        </w:rPr>
      </w:pPr>
      <w:r>
        <w:rPr>
          <w:rFonts w:eastAsia="Arial" w:cs="Arial"/>
          <w:szCs w:val="24"/>
        </w:rPr>
        <w:t>Green Seal</w:t>
      </w:r>
    </w:p>
    <w:p w:rsidR="00FA6ED8" w:rsidP="00542A63" w:rsidRDefault="00FE1476" w14:paraId="021EBC25" w14:textId="41549F2C">
      <w:pPr>
        <w:numPr>
          <w:ilvl w:val="0"/>
          <w:numId w:val="48"/>
        </w:numPr>
        <w:spacing w:after="0" w:line="276" w:lineRule="auto"/>
        <w:rPr>
          <w:rFonts w:eastAsia="Arial" w:cs="Arial"/>
          <w:szCs w:val="24"/>
        </w:rPr>
      </w:pPr>
      <w:r>
        <w:rPr>
          <w:rFonts w:eastAsia="Arial" w:cs="Arial"/>
          <w:szCs w:val="24"/>
        </w:rPr>
        <w:t>State of Massachusetts</w:t>
      </w:r>
    </w:p>
    <w:p w:rsidR="00FE1476" w:rsidP="00542A63" w:rsidRDefault="00FE1476" w14:paraId="666B23BD" w14:textId="72589135">
      <w:pPr>
        <w:numPr>
          <w:ilvl w:val="0"/>
          <w:numId w:val="48"/>
        </w:numPr>
        <w:spacing w:after="0" w:line="276" w:lineRule="auto"/>
        <w:rPr>
          <w:rFonts w:eastAsia="Arial" w:cs="Arial"/>
          <w:szCs w:val="24"/>
        </w:rPr>
      </w:pPr>
      <w:r>
        <w:rPr>
          <w:rFonts w:eastAsia="Arial" w:cs="Arial"/>
          <w:szCs w:val="24"/>
        </w:rPr>
        <w:t>State of California</w:t>
      </w:r>
    </w:p>
    <w:p w:rsidRPr="003C29DA" w:rsidR="00FE1476" w:rsidP="00542A63" w:rsidRDefault="00FE1476" w14:paraId="4AC7A5CD" w14:textId="1F81BD13">
      <w:pPr>
        <w:numPr>
          <w:ilvl w:val="0"/>
          <w:numId w:val="48"/>
        </w:numPr>
        <w:spacing w:after="0" w:line="276" w:lineRule="auto"/>
        <w:rPr>
          <w:rFonts w:eastAsia="Arial" w:cs="Arial"/>
          <w:szCs w:val="24"/>
        </w:rPr>
      </w:pPr>
      <w:r>
        <w:rPr>
          <w:rFonts w:eastAsia="Arial" w:cs="Arial"/>
          <w:szCs w:val="24"/>
        </w:rPr>
        <w:t>State of New York</w:t>
      </w:r>
      <w:r>
        <w:rPr>
          <w:rFonts w:eastAsia="Arial" w:cs="Arial"/>
          <w:szCs w:val="24"/>
        </w:rPr>
        <w:br/>
      </w:r>
    </w:p>
    <w:p w:rsidR="00971E5E" w:rsidP="00542A63" w:rsidRDefault="003C29DA" w14:paraId="7EBD2847" w14:textId="74321649">
      <w:pPr>
        <w:spacing w:line="276" w:lineRule="auto"/>
        <w:rPr>
          <w:rFonts w:cs="Arial"/>
        </w:rPr>
      </w:pPr>
      <w:r w:rsidRPr="003C29DA">
        <w:rPr>
          <w:rFonts w:cs="Arial"/>
        </w:rPr>
        <w:t xml:space="preserve">A copy of EPA’s consultation to the above potential respondents are in Attachment </w:t>
      </w:r>
      <w:r w:rsidR="00971E5E">
        <w:rPr>
          <w:rFonts w:cs="Arial"/>
        </w:rPr>
        <w:t>7</w:t>
      </w:r>
      <w:r w:rsidRPr="003C29DA" w:rsidR="00971E5E">
        <w:rPr>
          <w:rFonts w:cs="Arial"/>
        </w:rPr>
        <w:t xml:space="preserve"> </w:t>
      </w:r>
      <w:r w:rsidRPr="003C29DA">
        <w:rPr>
          <w:rFonts w:cs="Arial"/>
        </w:rPr>
        <w:t xml:space="preserve">and are available in the docket. </w:t>
      </w:r>
    </w:p>
    <w:p w:rsidR="003C29DA" w:rsidP="00542A63" w:rsidRDefault="003C29DA" w14:paraId="1FF10337" w14:textId="2A118F8F">
      <w:pPr>
        <w:spacing w:line="276" w:lineRule="auto"/>
        <w:rPr>
          <w:rFonts w:eastAsia="Yu Gothic Light" w:cs="Arial"/>
          <w:color w:val="000000"/>
          <w:shd w:val="clear" w:color="auto" w:fill="FFFFFF"/>
        </w:rPr>
      </w:pPr>
      <w:r w:rsidRPr="003C29DA">
        <w:rPr>
          <w:rFonts w:cs="Arial"/>
        </w:rPr>
        <w:t xml:space="preserve">EPA </w:t>
      </w:r>
      <w:r w:rsidRPr="00542A63">
        <w:rPr>
          <w:rFonts w:cs="Arial"/>
        </w:rPr>
        <w:t xml:space="preserve">received </w:t>
      </w:r>
      <w:r w:rsidR="00F5641F">
        <w:rPr>
          <w:rFonts w:cs="Arial"/>
        </w:rPr>
        <w:t>two</w:t>
      </w:r>
      <w:r w:rsidRPr="00542A63">
        <w:rPr>
          <w:rFonts w:cs="Arial"/>
        </w:rPr>
        <w:t xml:space="preserve"> comment</w:t>
      </w:r>
      <w:r w:rsidR="00F5641F">
        <w:rPr>
          <w:rFonts w:cs="Arial"/>
        </w:rPr>
        <w:t>s</w:t>
      </w:r>
      <w:r w:rsidRPr="00542A63">
        <w:rPr>
          <w:rFonts w:cs="Arial"/>
        </w:rPr>
        <w:t xml:space="preserve"> </w:t>
      </w:r>
      <w:r w:rsidRPr="003C29DA">
        <w:rPr>
          <w:rFonts w:cs="Arial"/>
        </w:rPr>
        <w:t xml:space="preserve">during the </w:t>
      </w:r>
      <w:r w:rsidRPr="003C29DA">
        <w:rPr>
          <w:rFonts w:cs="Arial"/>
          <w:color w:val="000000"/>
          <w:shd w:val="clear" w:color="auto" w:fill="FFFFFF"/>
        </w:rPr>
        <w:t>60-day public review opportunity (</w:t>
      </w:r>
      <w:r w:rsidRPr="003C29DA">
        <w:rPr>
          <w:rFonts w:cs="Arial"/>
        </w:rPr>
        <w:t xml:space="preserve">87 FR </w:t>
      </w:r>
      <w:r w:rsidRPr="00542A63">
        <w:rPr>
          <w:rFonts w:cs="Arial"/>
        </w:rPr>
        <w:t>11426</w:t>
      </w:r>
      <w:r w:rsidRPr="003C29DA">
        <w:rPr>
          <w:rFonts w:cs="Arial"/>
        </w:rPr>
        <w:t>)</w:t>
      </w:r>
      <w:r w:rsidR="00B93163">
        <w:rPr>
          <w:rFonts w:cs="Arial"/>
        </w:rPr>
        <w:t xml:space="preserve"> </w:t>
      </w:r>
      <w:r w:rsidRPr="003C29DA">
        <w:rPr>
          <w:rFonts w:cs="Arial"/>
          <w:color w:val="000000"/>
          <w:shd w:val="clear" w:color="auto" w:fill="FFFFFF"/>
        </w:rPr>
        <w:t>(FRL-9</w:t>
      </w:r>
      <w:r w:rsidRPr="00542A63">
        <w:rPr>
          <w:rFonts w:cs="Arial"/>
          <w:color w:val="000000"/>
          <w:shd w:val="clear" w:color="auto" w:fill="FFFFFF"/>
        </w:rPr>
        <w:t>117</w:t>
      </w:r>
      <w:r w:rsidRPr="003C29DA">
        <w:rPr>
          <w:rFonts w:cs="Arial"/>
          <w:color w:val="000000"/>
          <w:shd w:val="clear" w:color="auto" w:fill="FFFFFF"/>
        </w:rPr>
        <w:t>-01-OCSPP</w:t>
      </w:r>
      <w:r w:rsidRPr="003C29DA">
        <w:rPr>
          <w:rFonts w:eastAsia="Yu Gothic Light" w:cs="Arial"/>
          <w:color w:val="000000"/>
          <w:shd w:val="clear" w:color="auto" w:fill="FFFFFF"/>
        </w:rPr>
        <w:t>)</w:t>
      </w:r>
      <w:r w:rsidRPr="00542A63">
        <w:rPr>
          <w:rFonts w:eastAsia="Yu Gothic Light" w:cs="Arial"/>
          <w:color w:val="000000"/>
          <w:shd w:val="clear" w:color="auto" w:fill="FFFFFF"/>
        </w:rPr>
        <w:t xml:space="preserve">. </w:t>
      </w:r>
    </w:p>
    <w:p w:rsidR="00FF41E8" w:rsidP="00542A63" w:rsidRDefault="000828AE" w14:paraId="57973882" w14:textId="04F94A97">
      <w:pPr>
        <w:spacing w:line="276" w:lineRule="auto"/>
        <w:rPr>
          <w:rFonts w:eastAsia="Yu Gothic Light" w:cs="Arial"/>
          <w:color w:val="000000"/>
          <w:shd w:val="clear" w:color="auto" w:fill="FFFFFF"/>
        </w:rPr>
      </w:pPr>
      <w:r>
        <w:rPr>
          <w:rFonts w:eastAsia="Yu Gothic Light" w:cs="Arial"/>
          <w:color w:val="000000"/>
          <w:shd w:val="clear" w:color="auto" w:fill="FFFFFF"/>
        </w:rPr>
        <w:t>The Resilient Floor Covering Institute submitted a comment</w:t>
      </w:r>
      <w:r w:rsidR="00971E5E">
        <w:rPr>
          <w:rFonts w:eastAsia="Yu Gothic Light" w:cs="Arial"/>
          <w:color w:val="000000"/>
          <w:shd w:val="clear" w:color="auto" w:fill="FFFFFF"/>
        </w:rPr>
        <w:t xml:space="preserve"> (see Attachment 1</w:t>
      </w:r>
      <w:r w:rsidR="001E2767">
        <w:rPr>
          <w:rFonts w:eastAsia="Yu Gothic Light" w:cs="Arial"/>
          <w:color w:val="000000"/>
          <w:shd w:val="clear" w:color="auto" w:fill="FFFFFF"/>
        </w:rPr>
        <w:t>0</w:t>
      </w:r>
      <w:r w:rsidR="00971E5E">
        <w:rPr>
          <w:rFonts w:eastAsia="Yu Gothic Light" w:cs="Arial"/>
          <w:color w:val="000000"/>
          <w:shd w:val="clear" w:color="auto" w:fill="FFFFFF"/>
        </w:rPr>
        <w:t>)</w:t>
      </w:r>
      <w:r w:rsidR="00FE1476">
        <w:rPr>
          <w:rFonts w:eastAsia="Yu Gothic Light" w:cs="Arial"/>
          <w:color w:val="000000"/>
          <w:shd w:val="clear" w:color="auto" w:fill="FFFFFF"/>
        </w:rPr>
        <w:t xml:space="preserve"> </w:t>
      </w:r>
      <w:r w:rsidR="00C23F45">
        <w:rPr>
          <w:rFonts w:eastAsia="Yu Gothic Light" w:cs="Arial"/>
          <w:color w:val="000000"/>
          <w:shd w:val="clear" w:color="auto" w:fill="FFFFFF"/>
        </w:rPr>
        <w:t xml:space="preserve">– </w:t>
      </w:r>
      <w:r w:rsidR="00FE1476">
        <w:rPr>
          <w:rFonts w:eastAsia="Yu Gothic Light" w:cs="Arial"/>
          <w:color w:val="000000"/>
          <w:shd w:val="clear" w:color="auto" w:fill="FFFFFF"/>
        </w:rPr>
        <w:t xml:space="preserve">unrelated to the </w:t>
      </w:r>
      <w:r w:rsidR="00C23F45">
        <w:rPr>
          <w:rFonts w:eastAsia="Yu Gothic Light" w:cs="Arial"/>
          <w:color w:val="000000"/>
          <w:shd w:val="clear" w:color="auto" w:fill="FFFFFF"/>
        </w:rPr>
        <w:t xml:space="preserve">information collection </w:t>
      </w:r>
      <w:r w:rsidR="00FE1476">
        <w:rPr>
          <w:rFonts w:eastAsia="Yu Gothic Light" w:cs="Arial"/>
          <w:color w:val="000000"/>
          <w:shd w:val="clear" w:color="auto" w:fill="FFFFFF"/>
        </w:rPr>
        <w:t>burden</w:t>
      </w:r>
      <w:r>
        <w:rPr>
          <w:rFonts w:eastAsia="Yu Gothic Light" w:cs="Arial"/>
          <w:color w:val="000000"/>
          <w:shd w:val="clear" w:color="auto" w:fill="FFFFFF"/>
        </w:rPr>
        <w:t xml:space="preserve"> </w:t>
      </w:r>
      <w:r w:rsidR="00C23F45">
        <w:rPr>
          <w:rFonts w:eastAsia="Yu Gothic Light" w:cs="Arial"/>
          <w:color w:val="000000"/>
          <w:shd w:val="clear" w:color="auto" w:fill="FFFFFF"/>
        </w:rPr>
        <w:t xml:space="preserve">– </w:t>
      </w:r>
      <w:r>
        <w:rPr>
          <w:rFonts w:eastAsia="Yu Gothic Light" w:cs="Arial"/>
          <w:color w:val="000000"/>
          <w:shd w:val="clear" w:color="auto" w:fill="FFFFFF"/>
        </w:rPr>
        <w:t>regarding the Agency’s</w:t>
      </w:r>
      <w:r w:rsidR="00FE1476">
        <w:t xml:space="preserve"> leadership criterion IV.14 </w:t>
      </w:r>
      <w:r w:rsidR="00C23F45">
        <w:t>for assessing</w:t>
      </w:r>
      <w:r w:rsidR="00FE1476">
        <w:t xml:space="preserve"> directories/registries of certified products/services, suggesting that the </w:t>
      </w:r>
      <w:r w:rsidRPr="00FE1476" w:rsidR="00FE1476">
        <w:t xml:space="preserve">criterion </w:t>
      </w:r>
      <w:r w:rsidR="00FE1476">
        <w:t xml:space="preserve">be stated more clearly and encourage greater functionality of the directories/registries, including </w:t>
      </w:r>
      <w:r w:rsidR="00C23F45">
        <w:t xml:space="preserve">an </w:t>
      </w:r>
      <w:r w:rsidRPr="00C23F45" w:rsidR="00C23F45">
        <w:t>application program interface (API)</w:t>
      </w:r>
      <w:r w:rsidR="00FE1476">
        <w:t xml:space="preserve">. </w:t>
      </w:r>
      <w:r>
        <w:t xml:space="preserve">  </w:t>
      </w:r>
    </w:p>
    <w:p w:rsidR="00FF41E8" w:rsidP="00FF41E8" w:rsidRDefault="00FF41E8" w14:paraId="051DC21F" w14:textId="78056283">
      <w:pPr>
        <w:spacing w:line="276" w:lineRule="auto"/>
      </w:pPr>
      <w:r w:rsidRPr="00FF41E8">
        <w:t xml:space="preserve">EPA appreciates the </w:t>
      </w:r>
      <w:r>
        <w:t xml:space="preserve">suggested edits to </w:t>
      </w:r>
      <w:r w:rsidR="00FE1476">
        <w:t>clarify the intent of</w:t>
      </w:r>
      <w:r w:rsidR="006055B8">
        <w:t xml:space="preserve"> </w:t>
      </w:r>
      <w:r w:rsidR="00FE1476">
        <w:t>this criterion</w:t>
      </w:r>
      <w:r>
        <w:t xml:space="preserve"> and </w:t>
      </w:r>
      <w:r w:rsidR="00C23F45">
        <w:t>has updated the criterion</w:t>
      </w:r>
      <w:r>
        <w:t xml:space="preserve">. </w:t>
      </w:r>
      <w:r w:rsidR="00C23F45">
        <w:t>These edits do not affect the information collection burden.</w:t>
      </w:r>
      <w:r w:rsidR="00E45916">
        <w:t xml:space="preserve"> </w:t>
      </w:r>
    </w:p>
    <w:p w:rsidR="00D3710F" w:rsidP="00FF41E8" w:rsidRDefault="00D3710F" w14:paraId="61E792FE" w14:textId="62D8B19D">
      <w:pPr>
        <w:spacing w:line="276" w:lineRule="auto"/>
      </w:pPr>
      <w:r>
        <w:t xml:space="preserve">The Sustainable Forestry Initiative </w:t>
      </w:r>
      <w:r w:rsidR="00E45916">
        <w:t xml:space="preserve">submitted a comment </w:t>
      </w:r>
      <w:r w:rsidR="00971E5E">
        <w:rPr>
          <w:rFonts w:eastAsia="Yu Gothic Light" w:cs="Arial"/>
          <w:color w:val="000000"/>
          <w:shd w:val="clear" w:color="auto" w:fill="FFFFFF"/>
        </w:rPr>
        <w:t xml:space="preserve">(see Attachment </w:t>
      </w:r>
      <w:r w:rsidR="001E2767">
        <w:rPr>
          <w:rFonts w:eastAsia="Yu Gothic Light" w:cs="Arial"/>
          <w:color w:val="000000"/>
          <w:shd w:val="clear" w:color="auto" w:fill="FFFFFF"/>
        </w:rPr>
        <w:t>9</w:t>
      </w:r>
      <w:r w:rsidR="00971E5E">
        <w:rPr>
          <w:rFonts w:eastAsia="Yu Gothic Light" w:cs="Arial"/>
          <w:color w:val="000000"/>
          <w:shd w:val="clear" w:color="auto" w:fill="FFFFFF"/>
        </w:rPr>
        <w:t xml:space="preserve">) </w:t>
      </w:r>
      <w:r w:rsidR="00E45916">
        <w:t>– also unrelated to t</w:t>
      </w:r>
      <w:r w:rsidR="001A5051">
        <w:t xml:space="preserve">he information collection burden -- </w:t>
      </w:r>
      <w:r w:rsidRPr="001A5051" w:rsidR="001A5051">
        <w:t>encourag</w:t>
      </w:r>
      <w:r w:rsidR="001A5051">
        <w:t>ing</w:t>
      </w:r>
      <w:r w:rsidRPr="001A5051" w:rsidR="001A5051">
        <w:t xml:space="preserve"> </w:t>
      </w:r>
      <w:r w:rsidR="001A5051">
        <w:t>EPA</w:t>
      </w:r>
      <w:r w:rsidRPr="001A5051" w:rsidR="001A5051">
        <w:t xml:space="preserve"> to 1) rely on </w:t>
      </w:r>
      <w:r w:rsidR="001A5051">
        <w:t>voluntary consensus standards</w:t>
      </w:r>
      <w:r w:rsidRPr="001A5051" w:rsidR="001A5051">
        <w:t xml:space="preserve">; 2) ensure that </w:t>
      </w:r>
      <w:r w:rsidR="001A5051">
        <w:t>EPA’s</w:t>
      </w:r>
      <w:r w:rsidRPr="001A5051" w:rsidR="001A5051">
        <w:t xml:space="preserve"> environmental effectiveness assessment recognize</w:t>
      </w:r>
      <w:r w:rsidR="001A5051">
        <w:t xml:space="preserve"> </w:t>
      </w:r>
      <w:r w:rsidRPr="001A5051" w:rsidR="001A5051">
        <w:t>the value of single-attribute standards and rel</w:t>
      </w:r>
      <w:r w:rsidR="001A5051">
        <w:t>y</w:t>
      </w:r>
      <w:r w:rsidRPr="001A5051" w:rsidR="001A5051">
        <w:t xml:space="preserve"> on credible assessment processes</w:t>
      </w:r>
      <w:r w:rsidR="001A5051">
        <w:t>, and</w:t>
      </w:r>
      <w:r w:rsidRPr="001A5051" w:rsidR="001A5051">
        <w:t xml:space="preserve"> 3) rely on independent verification of standards.</w:t>
      </w:r>
      <w:r w:rsidR="001A5051">
        <w:t xml:space="preserve"> </w:t>
      </w:r>
    </w:p>
    <w:p w:rsidRPr="00FF41E8" w:rsidR="0083576D" w:rsidP="00FF41E8" w:rsidRDefault="0083576D" w14:paraId="0573CE3C" w14:textId="2ECA1DB0">
      <w:pPr>
        <w:spacing w:line="276" w:lineRule="auto"/>
      </w:pPr>
      <w:r>
        <w:t>EPA appreciates the</w:t>
      </w:r>
      <w:r w:rsidR="0045075C">
        <w:t>se</w:t>
      </w:r>
      <w:r>
        <w:t xml:space="preserve"> comments which </w:t>
      </w:r>
      <w:r w:rsidR="00BF61CD">
        <w:t>align with the</w:t>
      </w:r>
      <w:r>
        <w:t xml:space="preserve"> </w:t>
      </w:r>
      <w:r w:rsidR="00181744">
        <w:t>Framework approach and implementation intentions.</w:t>
      </w:r>
    </w:p>
    <w:p w:rsidR="009A7738" w:rsidP="00253A81" w:rsidRDefault="009A7738" w14:paraId="68CD10BA" w14:textId="54AC1D0B">
      <w:pPr>
        <w:pStyle w:val="Heading2"/>
      </w:pPr>
      <w:r>
        <w:lastRenderedPageBreak/>
        <w:t>Explain any decision to provide any payment or gift to respondents, other than remuneration of contractors or grantees.</w:t>
      </w:r>
    </w:p>
    <w:p w:rsidRPr="0077490C" w:rsidR="0077490C" w:rsidP="0077490C" w:rsidRDefault="0077490C" w14:paraId="69E30E91" w14:textId="0C1EE714">
      <w:pPr>
        <w:rPr>
          <w:lang w:bidi="en-US"/>
        </w:rPr>
      </w:pPr>
      <w:r>
        <w:rPr>
          <w:lang w:bidi="en-US"/>
        </w:rPr>
        <w:t xml:space="preserve">Not applicable. </w:t>
      </w:r>
    </w:p>
    <w:p w:rsidR="009A7738" w:rsidP="00253A81" w:rsidRDefault="009A7738" w14:paraId="1E0798B2" w14:textId="1893907B">
      <w:pPr>
        <w:pStyle w:val="Heading2"/>
      </w:pPr>
      <w:r w:rsidRPr="003041B0">
        <w:t xml:space="preserve">Describe </w:t>
      </w:r>
      <w:r w:rsidRPr="00253A81">
        <w:t>any</w:t>
      </w:r>
      <w:r w:rsidRPr="003041B0">
        <w:t xml:space="preserve">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77490C" w:rsidR="0077490C" w:rsidP="0077490C" w:rsidRDefault="0077490C" w14:paraId="701A8A95" w14:textId="66DAA080">
      <w:pPr>
        <w:rPr>
          <w:lang w:bidi="en-US"/>
        </w:rPr>
      </w:pPr>
      <w:r>
        <w:rPr>
          <w:szCs w:val="24"/>
        </w:rPr>
        <w:t>It is not expected that any information collected in this ICR will involve confidential business or trade secret information.</w:t>
      </w:r>
    </w:p>
    <w:p w:rsidR="00575DC0" w:rsidP="00253A81" w:rsidRDefault="009A7738" w14:paraId="675D5854" w14:textId="52E3309A">
      <w:pPr>
        <w:pStyle w:val="Heading2"/>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490C" w:rsidR="0077490C" w:rsidP="0077490C" w:rsidRDefault="0077490C" w14:paraId="70CC66B3" w14:textId="74974099">
      <w:pPr>
        <w:rPr>
          <w:lang w:bidi="en-US"/>
        </w:rPr>
      </w:pPr>
      <w:r>
        <w:rPr>
          <w:szCs w:val="24"/>
        </w:rPr>
        <w:t>The information collection activities discussed in this document do not involve any sensitive questions.</w:t>
      </w:r>
    </w:p>
    <w:p w:rsidR="00E00E93" w:rsidP="00253A81" w:rsidRDefault="00294EAC" w14:paraId="29AD7DEB" w14:textId="77777777">
      <w:pPr>
        <w:pStyle w:val="Heading2"/>
      </w:pPr>
      <w:r w:rsidRPr="00C42EF5">
        <w:t>Provide estimates of the hour burden of the collection of information.</w:t>
      </w:r>
      <w:r w:rsidR="00E00E93">
        <w:t xml:space="preserve"> The statement should: </w:t>
      </w:r>
    </w:p>
    <w:p w:rsidRPr="007E4E7D" w:rsidR="00E00E93" w:rsidP="00303AA7" w:rsidRDefault="00E00E93" w14:paraId="7FC47722" w14:textId="77777777">
      <w:pPr>
        <w:pStyle w:val="ListParagraph"/>
        <w:numPr>
          <w:ilvl w:val="0"/>
          <w:numId w:val="46"/>
        </w:numPr>
        <w:rPr>
          <w:b/>
          <w:bCs/>
        </w:rPr>
      </w:pPr>
      <w:r w:rsidRPr="007E4E7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E4E7D" w:rsidR="00E00E93" w:rsidP="00303AA7" w:rsidRDefault="00E00E93" w14:paraId="2F1B6098" w14:textId="77777777">
      <w:pPr>
        <w:pStyle w:val="ListParagraph"/>
        <w:numPr>
          <w:ilvl w:val="0"/>
          <w:numId w:val="46"/>
        </w:numPr>
        <w:rPr>
          <w:b/>
          <w:bCs/>
        </w:rPr>
      </w:pPr>
      <w:r w:rsidRPr="007E4E7D">
        <w:rPr>
          <w:b/>
          <w:bCs/>
        </w:rPr>
        <w:t xml:space="preserve">If this request for approval covers more than one form, provide separate hour burden estimates for each form and aggregate the hour burdens. </w:t>
      </w:r>
    </w:p>
    <w:p w:rsidRPr="007E4E7D" w:rsidR="00294EAC" w:rsidP="00303AA7" w:rsidRDefault="00E00E93" w14:paraId="2E905BB2" w14:textId="50444496">
      <w:pPr>
        <w:pStyle w:val="ListParagraph"/>
        <w:numPr>
          <w:ilvl w:val="0"/>
          <w:numId w:val="46"/>
        </w:numPr>
        <w:rPr>
          <w:b/>
          <w:bCs/>
        </w:rPr>
      </w:pPr>
      <w:r w:rsidRPr="007E4E7D">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01FFC" w:rsidR="0077490C" w:rsidP="00542A63" w:rsidRDefault="0077490C" w14:paraId="381930A4" w14:textId="24857762">
      <w:pPr>
        <w:spacing w:line="276" w:lineRule="auto"/>
        <w:rPr>
          <w:bCs/>
          <w:szCs w:val="24"/>
        </w:rPr>
      </w:pPr>
      <w:r>
        <w:rPr>
          <w:bCs/>
          <w:szCs w:val="24"/>
        </w:rPr>
        <w:t xml:space="preserve">Respondents will be </w:t>
      </w:r>
      <w:r w:rsidRPr="00A57653">
        <w:rPr>
          <w:bCs/>
          <w:szCs w:val="24"/>
        </w:rPr>
        <w:t xml:space="preserve">standards development organizations, ecolabel programs, and certification entities that </w:t>
      </w:r>
      <w:r w:rsidR="00981BE9">
        <w:rPr>
          <w:bCs/>
          <w:szCs w:val="24"/>
        </w:rPr>
        <w:t>manage</w:t>
      </w:r>
      <w:r w:rsidRPr="00A57653">
        <w:rPr>
          <w:bCs/>
          <w:szCs w:val="24"/>
        </w:rPr>
        <w:t xml:space="preserve"> product</w:t>
      </w:r>
      <w:r w:rsidR="00981BE9">
        <w:rPr>
          <w:bCs/>
          <w:szCs w:val="24"/>
        </w:rPr>
        <w:t xml:space="preserve"> or service</w:t>
      </w:r>
      <w:r w:rsidRPr="00A57653">
        <w:rPr>
          <w:bCs/>
          <w:szCs w:val="24"/>
        </w:rPr>
        <w:t xml:space="preserve"> environmental performance </w:t>
      </w:r>
      <w:r w:rsidRPr="00A57653">
        <w:rPr>
          <w:bCs/>
          <w:szCs w:val="24"/>
        </w:rPr>
        <w:lastRenderedPageBreak/>
        <w:t xml:space="preserve">standards and/or ecolabels that could be considered for use in United States federal </w:t>
      </w:r>
      <w:r w:rsidR="00981BE9">
        <w:rPr>
          <w:bCs/>
          <w:szCs w:val="24"/>
        </w:rPr>
        <w:t xml:space="preserve">sustainable </w:t>
      </w:r>
      <w:r w:rsidRPr="00A57653">
        <w:rPr>
          <w:bCs/>
          <w:szCs w:val="24"/>
        </w:rPr>
        <w:t>p</w:t>
      </w:r>
      <w:r>
        <w:rPr>
          <w:bCs/>
          <w:szCs w:val="24"/>
        </w:rPr>
        <w:t>rocurement</w:t>
      </w:r>
      <w:r w:rsidR="00981BE9">
        <w:rPr>
          <w:bCs/>
          <w:szCs w:val="24"/>
        </w:rPr>
        <w:t xml:space="preserve"> efforts</w:t>
      </w:r>
      <w:r w:rsidRPr="00201FFC">
        <w:rPr>
          <w:bCs/>
          <w:szCs w:val="24"/>
        </w:rPr>
        <w:t>.</w:t>
      </w:r>
      <w:r w:rsidRPr="00201FFC" w:rsidR="00275864">
        <w:rPr>
          <w:bCs/>
          <w:szCs w:val="24"/>
        </w:rPr>
        <w:t xml:space="preserve"> In particular, standard</w:t>
      </w:r>
      <w:r w:rsidRPr="00201FFC" w:rsidR="00AC23B6">
        <w:rPr>
          <w:bCs/>
          <w:szCs w:val="24"/>
        </w:rPr>
        <w:t>s</w:t>
      </w:r>
      <w:r w:rsidRPr="00201FFC" w:rsidR="00275864">
        <w:rPr>
          <w:bCs/>
          <w:szCs w:val="24"/>
        </w:rPr>
        <w:t xml:space="preserve"> and ecolabels should </w:t>
      </w:r>
      <w:r w:rsidRPr="00201FFC" w:rsidR="00354D89">
        <w:rPr>
          <w:bCs/>
          <w:szCs w:val="24"/>
        </w:rPr>
        <w:t>cover purchase categories that</w:t>
      </w:r>
      <w:r w:rsidRPr="00201FFC">
        <w:rPr>
          <w:bCs/>
          <w:szCs w:val="24"/>
        </w:rPr>
        <w:t xml:space="preserve"> meet some or all the following criteria:</w:t>
      </w:r>
    </w:p>
    <w:p w:rsidRPr="00201FFC" w:rsidR="0077490C" w:rsidP="00542A63" w:rsidRDefault="0077490C" w14:paraId="396BE5CF" w14:textId="0A175F07">
      <w:pPr>
        <w:pStyle w:val="ListParagraph"/>
        <w:numPr>
          <w:ilvl w:val="0"/>
          <w:numId w:val="38"/>
        </w:numPr>
        <w:spacing w:line="276" w:lineRule="auto"/>
        <w:rPr>
          <w:bCs/>
        </w:rPr>
      </w:pPr>
      <w:r w:rsidRPr="00201FFC">
        <w:rPr>
          <w:bCs/>
        </w:rPr>
        <w:t xml:space="preserve">Potentially significant </w:t>
      </w:r>
      <w:r w:rsidRPr="00201FFC" w:rsidR="001E0046">
        <w:rPr>
          <w:bCs/>
        </w:rPr>
        <w:t>climate</w:t>
      </w:r>
      <w:r w:rsidRPr="00201FFC" w:rsidR="00354D89">
        <w:rPr>
          <w:bCs/>
        </w:rPr>
        <w:t xml:space="preserve">, </w:t>
      </w:r>
      <w:r w:rsidRPr="00201FFC">
        <w:rPr>
          <w:bCs/>
        </w:rPr>
        <w:t>environmental</w:t>
      </w:r>
      <w:r w:rsidRPr="00201FFC" w:rsidR="00354D89">
        <w:rPr>
          <w:bCs/>
        </w:rPr>
        <w:t>,</w:t>
      </w:r>
      <w:r w:rsidRPr="00201FFC">
        <w:rPr>
          <w:bCs/>
        </w:rPr>
        <w:t xml:space="preserve"> and/or human health impact </w:t>
      </w:r>
    </w:p>
    <w:p w:rsidRPr="00201FFC" w:rsidR="0077490C" w:rsidP="00542A63" w:rsidRDefault="0077490C" w14:paraId="16A0B8A5" w14:textId="77777777">
      <w:pPr>
        <w:pStyle w:val="ListParagraph"/>
        <w:numPr>
          <w:ilvl w:val="0"/>
          <w:numId w:val="38"/>
        </w:numPr>
        <w:spacing w:line="276" w:lineRule="auto"/>
        <w:rPr>
          <w:bCs/>
        </w:rPr>
      </w:pPr>
      <w:r w:rsidRPr="00201FFC">
        <w:rPr>
          <w:bCs/>
        </w:rPr>
        <w:t>Significant volume of federal purchases; and</w:t>
      </w:r>
    </w:p>
    <w:p w:rsidRPr="00201FFC" w:rsidR="0077490C" w:rsidP="00542A63" w:rsidRDefault="0077490C" w14:paraId="2ED83D7A" w14:textId="1E0795A5">
      <w:pPr>
        <w:pStyle w:val="ListParagraph"/>
        <w:numPr>
          <w:ilvl w:val="0"/>
          <w:numId w:val="38"/>
        </w:numPr>
        <w:spacing w:line="276" w:lineRule="auto"/>
        <w:rPr>
          <w:bCs/>
        </w:rPr>
      </w:pPr>
      <w:r w:rsidRPr="00201FFC">
        <w:rPr>
          <w:bCs/>
        </w:rPr>
        <w:t>Current federal sustainable acquisition mandates in the category</w:t>
      </w:r>
      <w:r w:rsidRPr="00201FFC" w:rsidR="00C2618A">
        <w:rPr>
          <w:bCs/>
        </w:rPr>
        <w:t xml:space="preserve"> don’t exist,</w:t>
      </w:r>
      <w:r w:rsidRPr="00201FFC">
        <w:rPr>
          <w:bCs/>
        </w:rPr>
        <w:t xml:space="preserve"> </w:t>
      </w:r>
      <w:r w:rsidRPr="00201FFC" w:rsidR="00F136AD">
        <w:rPr>
          <w:bCs/>
        </w:rPr>
        <w:t xml:space="preserve">don’t address all key environmental impacts, </w:t>
      </w:r>
      <w:r w:rsidRPr="00201FFC">
        <w:rPr>
          <w:bCs/>
        </w:rPr>
        <w:t>are limited, out-of-date, and/or could be augmented with private sector standards</w:t>
      </w:r>
      <w:r w:rsidRPr="00201FFC" w:rsidR="00EE66F5">
        <w:rPr>
          <w:bCs/>
        </w:rPr>
        <w:t>/ecolabels</w:t>
      </w:r>
      <w:r w:rsidRPr="00201FFC">
        <w:rPr>
          <w:bCs/>
        </w:rPr>
        <w:t>.</w:t>
      </w:r>
    </w:p>
    <w:p w:rsidRPr="00981BE9" w:rsidR="00981BE9" w:rsidP="00542A63" w:rsidRDefault="00981BE9" w14:paraId="3AC4D91B" w14:textId="2F949324">
      <w:pPr>
        <w:spacing w:line="276" w:lineRule="auto"/>
        <w:rPr>
          <w:bCs/>
        </w:rPr>
      </w:pPr>
      <w:r w:rsidRPr="00201FFC">
        <w:rPr>
          <w:bCs/>
        </w:rPr>
        <w:t>EPA will prioritize assessment of responses per the Framework based on Administration priorities, how well a standard/ecolabel aligns with these criteria</w:t>
      </w:r>
      <w:r w:rsidRPr="00201FFC" w:rsidR="00F136AD">
        <w:rPr>
          <w:bCs/>
        </w:rPr>
        <w:t>, and available resources to conduct assessment activities</w:t>
      </w:r>
      <w:r w:rsidRPr="00201FFC">
        <w:rPr>
          <w:bCs/>
        </w:rPr>
        <w:t>.</w:t>
      </w:r>
    </w:p>
    <w:p w:rsidRPr="00872249" w:rsidR="00872249" w:rsidP="00542A63" w:rsidRDefault="00872249" w14:paraId="3E11E1CB" w14:textId="10A11B6D">
      <w:pPr>
        <w:spacing w:line="276" w:lineRule="auto"/>
      </w:pPr>
      <w:r w:rsidRPr="00872249">
        <w:rPr>
          <w:szCs w:val="24"/>
        </w:rPr>
        <w:t>The need for and timing of future collection of information will be</w:t>
      </w:r>
      <w:r w:rsidR="00E778FE">
        <w:rPr>
          <w:szCs w:val="24"/>
        </w:rPr>
        <w:t xml:space="preserve"> </w:t>
      </w:r>
      <w:r w:rsidRPr="00872249">
        <w:rPr>
          <w:szCs w:val="24"/>
        </w:rPr>
        <w:t>determined in consultation with other federal agencie</w:t>
      </w:r>
      <w:r w:rsidR="00E534CF">
        <w:rPr>
          <w:szCs w:val="24"/>
        </w:rPr>
        <w:t>s</w:t>
      </w:r>
      <w:r w:rsidRPr="00872249">
        <w:rPr>
          <w:szCs w:val="24"/>
        </w:rPr>
        <w:t>.</w:t>
      </w:r>
    </w:p>
    <w:p w:rsidR="00F5126E" w:rsidP="00542A63" w:rsidRDefault="00F5126E" w14:paraId="4453FE9B" w14:textId="040DAF75">
      <w:pPr>
        <w:spacing w:line="276" w:lineRule="auto"/>
        <w:rPr>
          <w:szCs w:val="24"/>
        </w:rPr>
      </w:pPr>
      <w:r w:rsidRPr="0086762A">
        <w:rPr>
          <w:szCs w:val="24"/>
        </w:rPr>
        <w:t>EPA based its burden estimates on a</w:t>
      </w:r>
      <w:r w:rsidR="00E534CF">
        <w:rPr>
          <w:szCs w:val="24"/>
        </w:rPr>
        <w:t>n initial</w:t>
      </w:r>
      <w:r w:rsidRPr="0086762A">
        <w:rPr>
          <w:szCs w:val="24"/>
        </w:rPr>
        <w:t xml:space="preserve"> </w:t>
      </w:r>
      <w:r w:rsidRPr="0086762A">
        <w:rPr>
          <w:rFonts w:eastAsia="Arial Unicode MS"/>
          <w:color w:val="000000"/>
          <w:szCs w:val="24"/>
        </w:rPr>
        <w:t xml:space="preserve">survey of a subset of government and </w:t>
      </w:r>
      <w:r w:rsidR="004367E7">
        <w:rPr>
          <w:rFonts w:eastAsia="Arial Unicode MS"/>
          <w:color w:val="000000"/>
          <w:szCs w:val="24"/>
        </w:rPr>
        <w:t>private sector</w:t>
      </w:r>
      <w:r w:rsidRPr="0086762A">
        <w:rPr>
          <w:rFonts w:eastAsia="Arial Unicode MS"/>
          <w:color w:val="000000"/>
          <w:szCs w:val="24"/>
        </w:rPr>
        <w:t xml:space="preserve"> (less than 9) environmental performance standards and ecolabel developers</w:t>
      </w:r>
      <w:r w:rsidR="00E534CF">
        <w:rPr>
          <w:rFonts w:eastAsia="Arial Unicode MS"/>
          <w:color w:val="000000"/>
          <w:szCs w:val="24"/>
        </w:rPr>
        <w:t xml:space="preserve"> and then the 2016 pilot </w:t>
      </w:r>
      <w:r w:rsidR="00996A80">
        <w:rPr>
          <w:rFonts w:eastAsia="Arial Unicode MS"/>
          <w:color w:val="000000"/>
          <w:szCs w:val="24"/>
        </w:rPr>
        <w:t>participants</w:t>
      </w:r>
      <w:r w:rsidRPr="0086762A">
        <w:rPr>
          <w:rFonts w:eastAsia="Arial Unicode MS"/>
          <w:color w:val="000000"/>
          <w:szCs w:val="24"/>
        </w:rPr>
        <w:t xml:space="preserve">. The respondents were contacted following the survey </w:t>
      </w:r>
      <w:r w:rsidR="00E534CF">
        <w:rPr>
          <w:rFonts w:eastAsia="Arial Unicode MS"/>
          <w:color w:val="000000"/>
          <w:szCs w:val="24"/>
        </w:rPr>
        <w:t xml:space="preserve">and the </w:t>
      </w:r>
      <w:r w:rsidR="00E45088">
        <w:rPr>
          <w:rFonts w:eastAsia="Arial Unicode MS"/>
          <w:color w:val="000000"/>
          <w:szCs w:val="24"/>
        </w:rPr>
        <w:t xml:space="preserve">completion of the </w:t>
      </w:r>
      <w:r w:rsidR="00E534CF">
        <w:rPr>
          <w:rFonts w:eastAsia="Arial Unicode MS"/>
          <w:color w:val="000000"/>
          <w:szCs w:val="24"/>
        </w:rPr>
        <w:t xml:space="preserve">pilot </w:t>
      </w:r>
      <w:r w:rsidRPr="0086762A">
        <w:rPr>
          <w:rFonts w:eastAsia="Arial Unicode MS"/>
          <w:color w:val="000000"/>
          <w:szCs w:val="24"/>
        </w:rPr>
        <w:t>and were asked how long it had taken them to complete</w:t>
      </w:r>
      <w:r w:rsidR="00E45088">
        <w:rPr>
          <w:rFonts w:eastAsia="Arial Unicode MS"/>
          <w:color w:val="000000"/>
          <w:szCs w:val="24"/>
        </w:rPr>
        <w:t xml:space="preserve"> the process</w:t>
      </w:r>
      <w:r w:rsidRPr="0086762A">
        <w:rPr>
          <w:rFonts w:eastAsia="Arial Unicode MS"/>
          <w:color w:val="000000"/>
          <w:szCs w:val="24"/>
        </w:rPr>
        <w:t xml:space="preserve">. </w:t>
      </w:r>
      <w:r w:rsidR="006552F0">
        <w:rPr>
          <w:rFonts w:eastAsia="Arial Unicode MS"/>
          <w:color w:val="000000"/>
          <w:szCs w:val="24"/>
        </w:rPr>
        <w:t>For the initial survey, t</w:t>
      </w:r>
      <w:r w:rsidRPr="0086762A">
        <w:rPr>
          <w:rFonts w:eastAsia="Arial Unicode MS"/>
          <w:color w:val="000000"/>
          <w:szCs w:val="24"/>
        </w:rPr>
        <w:t xml:space="preserve">wo respondents took as little as 30 minutes to </w:t>
      </w:r>
      <w:r>
        <w:rPr>
          <w:rFonts w:eastAsia="Arial Unicode MS"/>
          <w:color w:val="000000"/>
          <w:szCs w:val="24"/>
        </w:rPr>
        <w:t>complete the survey,</w:t>
      </w:r>
      <w:r w:rsidRPr="0086762A">
        <w:rPr>
          <w:rFonts w:eastAsia="Arial Unicode MS"/>
          <w:color w:val="000000"/>
          <w:szCs w:val="24"/>
        </w:rPr>
        <w:t xml:space="preserve"> s</w:t>
      </w:r>
      <w:r>
        <w:rPr>
          <w:rFonts w:eastAsia="Arial Unicode MS"/>
          <w:color w:val="000000"/>
          <w:szCs w:val="24"/>
        </w:rPr>
        <w:t>even respondents took 2-6 hours,</w:t>
      </w:r>
      <w:r w:rsidRPr="0086762A">
        <w:rPr>
          <w:rFonts w:eastAsia="Arial Unicode MS"/>
          <w:color w:val="000000"/>
          <w:szCs w:val="24"/>
        </w:rPr>
        <w:t xml:space="preserve"> two respondents to</w:t>
      </w:r>
      <w:r>
        <w:rPr>
          <w:rFonts w:eastAsia="Arial Unicode MS"/>
          <w:color w:val="000000"/>
          <w:szCs w:val="24"/>
        </w:rPr>
        <w:t>ok 16 hours,</w:t>
      </w:r>
      <w:r w:rsidRPr="0086762A">
        <w:rPr>
          <w:rFonts w:eastAsia="Arial Unicode MS"/>
          <w:color w:val="000000"/>
          <w:szCs w:val="24"/>
        </w:rPr>
        <w:t xml:space="preserve"> and one respondent (who covered three different ecolabels in its responses) took 50-60 hours. </w:t>
      </w:r>
      <w:r w:rsidR="006552F0">
        <w:rPr>
          <w:rFonts w:eastAsia="Arial Unicode MS"/>
          <w:color w:val="000000"/>
          <w:szCs w:val="24"/>
        </w:rPr>
        <w:t xml:space="preserve">For the pilot, respondents were asked to respond to all criteria and provide a broader range of supporting documentation as evidence. </w:t>
      </w:r>
      <w:r w:rsidRPr="0086762A">
        <w:rPr>
          <w:rFonts w:eastAsia="Arial Unicode MS"/>
          <w:color w:val="000000"/>
          <w:szCs w:val="24"/>
        </w:rPr>
        <w:t xml:space="preserve">The average time spent per ecolabel on completing the </w:t>
      </w:r>
      <w:r w:rsidR="006552F0">
        <w:rPr>
          <w:rFonts w:eastAsia="Arial Unicode MS"/>
          <w:color w:val="000000"/>
          <w:szCs w:val="24"/>
        </w:rPr>
        <w:t>final pilot Framework in 201</w:t>
      </w:r>
      <w:r w:rsidR="00E45088">
        <w:rPr>
          <w:rFonts w:eastAsia="Arial Unicode MS"/>
          <w:color w:val="000000"/>
          <w:szCs w:val="24"/>
        </w:rPr>
        <w:t>6</w:t>
      </w:r>
      <w:r w:rsidR="006552F0">
        <w:rPr>
          <w:rFonts w:eastAsia="Arial Unicode MS"/>
          <w:color w:val="000000"/>
          <w:szCs w:val="24"/>
        </w:rPr>
        <w:t xml:space="preserve"> </w:t>
      </w:r>
      <w:r w:rsidRPr="0086762A">
        <w:rPr>
          <w:rFonts w:eastAsia="Arial Unicode MS"/>
          <w:color w:val="000000"/>
          <w:szCs w:val="24"/>
        </w:rPr>
        <w:t xml:space="preserve">was </w:t>
      </w:r>
      <w:r w:rsidR="006552F0">
        <w:rPr>
          <w:rFonts w:eastAsia="Arial Unicode MS"/>
          <w:color w:val="000000"/>
          <w:szCs w:val="24"/>
        </w:rPr>
        <w:t>15</w:t>
      </w:r>
      <w:r w:rsidRPr="0086762A">
        <w:rPr>
          <w:rFonts w:eastAsia="Arial Unicode MS"/>
          <w:color w:val="000000"/>
          <w:szCs w:val="24"/>
        </w:rPr>
        <w:t xml:space="preserve"> hours.</w:t>
      </w:r>
      <w:r w:rsidR="00E534CF">
        <w:rPr>
          <w:rFonts w:eastAsia="Arial Unicode MS"/>
          <w:color w:val="000000"/>
          <w:szCs w:val="24"/>
        </w:rPr>
        <w:t xml:space="preserve"> </w:t>
      </w:r>
    </w:p>
    <w:p w:rsidR="00F5126E" w:rsidP="00542A63" w:rsidRDefault="006552F0" w14:paraId="7AC6CAAF" w14:textId="68023BCF">
      <w:pPr>
        <w:spacing w:line="276" w:lineRule="auto"/>
        <w:rPr>
          <w:rFonts w:eastAsia="Arial Unicode MS"/>
          <w:color w:val="000000"/>
          <w:szCs w:val="24"/>
        </w:rPr>
      </w:pPr>
      <w:bookmarkStart w:name="_Hlk84925442" w:id="5"/>
      <w:r>
        <w:rPr>
          <w:szCs w:val="24"/>
        </w:rPr>
        <w:t xml:space="preserve">Given changes made to this new version of the Framework </w:t>
      </w:r>
      <w:r w:rsidR="00981BE9">
        <w:rPr>
          <w:szCs w:val="24"/>
        </w:rPr>
        <w:t xml:space="preserve">– </w:t>
      </w:r>
      <w:r>
        <w:rPr>
          <w:szCs w:val="24"/>
        </w:rPr>
        <w:t>to streamline criteria required for response and to limit supporting documentation for submission</w:t>
      </w:r>
      <w:r w:rsidR="00981BE9">
        <w:rPr>
          <w:szCs w:val="24"/>
        </w:rPr>
        <w:t xml:space="preserve"> – </w:t>
      </w:r>
      <w:r>
        <w:rPr>
          <w:szCs w:val="24"/>
        </w:rPr>
        <w:t>t</w:t>
      </w:r>
      <w:r w:rsidRPr="0086762A" w:rsidR="00F5126E">
        <w:rPr>
          <w:szCs w:val="24"/>
        </w:rPr>
        <w:t>he average burden is estimated to be 8.5 hours per response</w:t>
      </w:r>
      <w:r>
        <w:rPr>
          <w:szCs w:val="24"/>
        </w:rPr>
        <w:t xml:space="preserve"> (average 12 hours for respondents that did not participate in the pilot; average 5 hours for</w:t>
      </w:r>
      <w:r w:rsidR="00AA404B">
        <w:rPr>
          <w:szCs w:val="24"/>
        </w:rPr>
        <w:t xml:space="preserve"> respondents that did previously participate in the </w:t>
      </w:r>
      <w:r w:rsidR="00996A80">
        <w:rPr>
          <w:szCs w:val="24"/>
        </w:rPr>
        <w:t>pilot</w:t>
      </w:r>
      <w:r w:rsidR="00AA404B">
        <w:rPr>
          <w:szCs w:val="24"/>
        </w:rPr>
        <w:t>)</w:t>
      </w:r>
      <w:r w:rsidRPr="0086762A" w:rsidR="00F5126E">
        <w:rPr>
          <w:szCs w:val="24"/>
        </w:rPr>
        <w:t xml:space="preserve">. </w:t>
      </w:r>
      <w:bookmarkEnd w:id="5"/>
      <w:r w:rsidRPr="0086762A" w:rsidR="00F5126E">
        <w:rPr>
          <w:szCs w:val="24"/>
        </w:rPr>
        <w:t>Only standard development and ecolabel</w:t>
      </w:r>
      <w:r w:rsidR="00CF19A7">
        <w:rPr>
          <w:szCs w:val="24"/>
        </w:rPr>
        <w:t xml:space="preserve"> organizations</w:t>
      </w:r>
      <w:r w:rsidRPr="0086762A" w:rsidR="00F5126E">
        <w:rPr>
          <w:szCs w:val="24"/>
        </w:rPr>
        <w:t xml:space="preserve"> who volunteer for assessment will be </w:t>
      </w:r>
      <w:r w:rsidRPr="00201FFC" w:rsidR="00F5126E">
        <w:rPr>
          <w:szCs w:val="24"/>
        </w:rPr>
        <w:t xml:space="preserve">included. </w:t>
      </w:r>
      <w:bookmarkStart w:name="_Hlk89857945" w:id="6"/>
      <w:r w:rsidRPr="00201FFC" w:rsidR="00E534CF">
        <w:rPr>
          <w:szCs w:val="24"/>
        </w:rPr>
        <w:t xml:space="preserve">EPA anticipates assessing no more than </w:t>
      </w:r>
      <w:r w:rsidRPr="00201FFC" w:rsidR="00EE66F5">
        <w:rPr>
          <w:szCs w:val="24"/>
        </w:rPr>
        <w:t>200</w:t>
      </w:r>
      <w:r w:rsidRPr="00201FFC" w:rsidR="00E534CF">
        <w:rPr>
          <w:szCs w:val="24"/>
        </w:rPr>
        <w:t xml:space="preserve"> standards and ecolabels over the next three years, including </w:t>
      </w:r>
      <w:r w:rsidRPr="00201FFC" w:rsidR="00981BE9">
        <w:rPr>
          <w:szCs w:val="24"/>
        </w:rPr>
        <w:t>reassessments of those already included in the Recommendations</w:t>
      </w:r>
      <w:bookmarkEnd w:id="6"/>
      <w:r w:rsidRPr="00201FFC" w:rsidR="00E534CF">
        <w:rPr>
          <w:szCs w:val="24"/>
        </w:rPr>
        <w:t xml:space="preserve">. </w:t>
      </w:r>
      <w:r w:rsidRPr="00201FFC" w:rsidR="009D5FA6">
        <w:rPr>
          <w:szCs w:val="24"/>
        </w:rPr>
        <w:t>EPA does not know the exact number of assessments that will be conducted in each</w:t>
      </w:r>
      <w:r w:rsidR="009D5FA6">
        <w:rPr>
          <w:szCs w:val="24"/>
        </w:rPr>
        <w:t xml:space="preserve"> of the three years at this time, therefore they are assumed to be equally distributed across the three years in the ICR.</w:t>
      </w:r>
    </w:p>
    <w:p w:rsidR="004C6417" w:rsidP="00542A63" w:rsidRDefault="00551422" w14:paraId="20E007E9" w14:textId="1F443BAF">
      <w:pPr>
        <w:spacing w:line="276" w:lineRule="auto"/>
        <w:rPr>
          <w:szCs w:val="24"/>
        </w:rPr>
      </w:pPr>
      <w:bookmarkStart w:name="_Hlk91491064" w:id="7"/>
      <w:r>
        <w:rPr>
          <w:szCs w:val="24"/>
        </w:rPr>
        <w:lastRenderedPageBreak/>
        <w:t xml:space="preserve">For this ICR, EPA assumes that </w:t>
      </w:r>
      <w:r>
        <w:t xml:space="preserve">nonprofit standards development organizations will be responding to the data collection. </w:t>
      </w:r>
      <w:r w:rsidR="00F5126E">
        <w:rPr>
          <w:szCs w:val="24"/>
        </w:rPr>
        <w:t xml:space="preserve">In order to estimate total respondent </w:t>
      </w:r>
      <w:r w:rsidR="009C4B82">
        <w:rPr>
          <w:szCs w:val="24"/>
        </w:rPr>
        <w:t xml:space="preserve">burden and </w:t>
      </w:r>
      <w:r w:rsidR="00F5126E">
        <w:rPr>
          <w:szCs w:val="24"/>
        </w:rPr>
        <w:t xml:space="preserve">cost associated with this ICR, </w:t>
      </w:r>
      <w:r w:rsidR="00A31252">
        <w:rPr>
          <w:szCs w:val="24"/>
        </w:rPr>
        <w:t xml:space="preserve">Bureau of Labor Statistics (BLS) data on </w:t>
      </w:r>
      <w:r w:rsidR="00F5126E">
        <w:rPr>
          <w:szCs w:val="24"/>
        </w:rPr>
        <w:t>wages</w:t>
      </w:r>
      <w:r>
        <w:rPr>
          <w:szCs w:val="24"/>
        </w:rPr>
        <w:t xml:space="preserve"> and</w:t>
      </w:r>
      <w:r w:rsidR="00A31252">
        <w:rPr>
          <w:szCs w:val="24"/>
        </w:rPr>
        <w:t xml:space="preserve"> fringe benefits</w:t>
      </w:r>
      <w:r w:rsidR="00291D71">
        <w:rPr>
          <w:szCs w:val="24"/>
        </w:rPr>
        <w:t xml:space="preserve"> (total compensation)</w:t>
      </w:r>
      <w:r w:rsidR="00A31252">
        <w:rPr>
          <w:szCs w:val="24"/>
        </w:rPr>
        <w:t xml:space="preserve"> </w:t>
      </w:r>
      <w:r>
        <w:rPr>
          <w:szCs w:val="24"/>
        </w:rPr>
        <w:t>are</w:t>
      </w:r>
      <w:r w:rsidR="00A31252">
        <w:rPr>
          <w:szCs w:val="24"/>
        </w:rPr>
        <w:t xml:space="preserve"> used. </w:t>
      </w:r>
      <w:r>
        <w:rPr>
          <w:szCs w:val="24"/>
        </w:rPr>
        <w:t xml:space="preserve">Note that BLS does not routinely collect </w:t>
      </w:r>
      <w:r w:rsidR="000864F6">
        <w:rPr>
          <w:szCs w:val="24"/>
        </w:rPr>
        <w:t xml:space="preserve">wage </w:t>
      </w:r>
      <w:r>
        <w:rPr>
          <w:szCs w:val="24"/>
        </w:rPr>
        <w:t xml:space="preserve">data on </w:t>
      </w:r>
      <w:r w:rsidR="00291D71">
        <w:rPr>
          <w:szCs w:val="24"/>
        </w:rPr>
        <w:t>nonprofit</w:t>
      </w:r>
      <w:r w:rsidR="009C4B82">
        <w:rPr>
          <w:szCs w:val="24"/>
        </w:rPr>
        <w:t xml:space="preserve"> </w:t>
      </w:r>
      <w:r w:rsidR="008B2BC6">
        <w:rPr>
          <w:szCs w:val="24"/>
        </w:rPr>
        <w:t>organizations,</w:t>
      </w:r>
      <w:r w:rsidR="00291D71">
        <w:rPr>
          <w:szCs w:val="24"/>
        </w:rPr>
        <w:t xml:space="preserve"> </w:t>
      </w:r>
      <w:r w:rsidR="008B2BC6">
        <w:rPr>
          <w:szCs w:val="24"/>
        </w:rPr>
        <w:t xml:space="preserve">however, in a monthly labor review from January 2016, BLS identified total compensation </w:t>
      </w:r>
      <w:r w:rsidR="0037574C">
        <w:rPr>
          <w:szCs w:val="24"/>
        </w:rPr>
        <w:t xml:space="preserve">hourly </w:t>
      </w:r>
      <w:r w:rsidR="008B2BC6">
        <w:rPr>
          <w:szCs w:val="24"/>
        </w:rPr>
        <w:t>rates</w:t>
      </w:r>
      <w:r w:rsidR="0037574C">
        <w:rPr>
          <w:szCs w:val="24"/>
        </w:rPr>
        <w:t xml:space="preserve"> (2014)</w:t>
      </w:r>
      <w:r w:rsidR="008B2BC6">
        <w:rPr>
          <w:szCs w:val="24"/>
        </w:rPr>
        <w:t xml:space="preserve"> for nonprofit organizations in three general industry groups</w:t>
      </w:r>
      <w:r w:rsidR="004C6417">
        <w:rPr>
          <w:szCs w:val="24"/>
        </w:rPr>
        <w:t xml:space="preserve"> as follows:</w:t>
      </w:r>
      <w:r w:rsidR="008B2BC6">
        <w:rPr>
          <w:rStyle w:val="FootnoteReference"/>
          <w:szCs w:val="24"/>
        </w:rPr>
        <w:footnoteReference w:id="2"/>
      </w:r>
      <w:r w:rsidR="008B2BC6">
        <w:rPr>
          <w:szCs w:val="24"/>
        </w:rPr>
        <w:t xml:space="preserve"> </w:t>
      </w:r>
    </w:p>
    <w:p w:rsidR="004C6417" w:rsidP="00542A63" w:rsidRDefault="004C6417" w14:paraId="199E448C" w14:textId="59D35857">
      <w:pPr>
        <w:pStyle w:val="ListParagraph"/>
        <w:numPr>
          <w:ilvl w:val="0"/>
          <w:numId w:val="44"/>
        </w:numPr>
        <w:spacing w:line="276" w:lineRule="auto"/>
        <w:rPr>
          <w:szCs w:val="24"/>
        </w:rPr>
      </w:pPr>
      <w:r>
        <w:rPr>
          <w:szCs w:val="24"/>
        </w:rPr>
        <w:t xml:space="preserve">Professional and </w:t>
      </w:r>
      <w:r w:rsidR="007340E5">
        <w:rPr>
          <w:szCs w:val="24"/>
        </w:rPr>
        <w:t>Business Services - $47.85 per hour</w:t>
      </w:r>
    </w:p>
    <w:p w:rsidR="007340E5" w:rsidP="00542A63" w:rsidRDefault="007340E5" w14:paraId="1BF0EB55" w14:textId="69F36726">
      <w:pPr>
        <w:pStyle w:val="ListParagraph"/>
        <w:numPr>
          <w:ilvl w:val="0"/>
          <w:numId w:val="44"/>
        </w:numPr>
        <w:spacing w:line="276" w:lineRule="auto"/>
        <w:rPr>
          <w:szCs w:val="24"/>
        </w:rPr>
      </w:pPr>
      <w:r>
        <w:rPr>
          <w:szCs w:val="24"/>
        </w:rPr>
        <w:t>Education and Health Services - $37.17 per hour</w:t>
      </w:r>
    </w:p>
    <w:p w:rsidRPr="004C6417" w:rsidR="007340E5" w:rsidP="00542A63" w:rsidRDefault="007340E5" w14:paraId="02B954C5" w14:textId="096893C1">
      <w:pPr>
        <w:pStyle w:val="ListParagraph"/>
        <w:numPr>
          <w:ilvl w:val="0"/>
          <w:numId w:val="44"/>
        </w:numPr>
        <w:spacing w:line="276" w:lineRule="auto"/>
        <w:rPr>
          <w:szCs w:val="24"/>
        </w:rPr>
      </w:pPr>
      <w:r>
        <w:rPr>
          <w:szCs w:val="24"/>
        </w:rPr>
        <w:t>Other Services - $24.79 per hour</w:t>
      </w:r>
    </w:p>
    <w:bookmarkEnd w:id="7"/>
    <w:p w:rsidRPr="00201FFC" w:rsidR="004C6417" w:rsidP="00542A63" w:rsidRDefault="0037574C" w14:paraId="350FF01B" w14:textId="74CAA29A">
      <w:pPr>
        <w:spacing w:line="276" w:lineRule="auto"/>
        <w:rPr>
          <w:szCs w:val="24"/>
          <w:vertAlign w:val="superscript"/>
        </w:rPr>
      </w:pPr>
      <w:r>
        <w:rPr>
          <w:szCs w:val="24"/>
        </w:rPr>
        <w:t xml:space="preserve">EPA assumes that the professional and business services total compensation hourly rate best </w:t>
      </w:r>
      <w:proofErr w:type="gramStart"/>
      <w:r>
        <w:rPr>
          <w:szCs w:val="24"/>
        </w:rPr>
        <w:t>approximates</w:t>
      </w:r>
      <w:proofErr w:type="gramEnd"/>
      <w:r>
        <w:rPr>
          <w:szCs w:val="24"/>
        </w:rPr>
        <w:t xml:space="preserve"> the respondents to this data collection and further assumes that the total compensation rate of $47.85 per hour would be attributed to a manag</w:t>
      </w:r>
      <w:r w:rsidR="0007740E">
        <w:rPr>
          <w:szCs w:val="24"/>
        </w:rPr>
        <w:t xml:space="preserve">erial position. To account for labor expended by a </w:t>
      </w:r>
      <w:r w:rsidR="00A32DC8">
        <w:rPr>
          <w:szCs w:val="24"/>
        </w:rPr>
        <w:t>professional</w:t>
      </w:r>
      <w:r w:rsidR="0007740E">
        <w:rPr>
          <w:szCs w:val="24"/>
        </w:rPr>
        <w:t xml:space="preserve"> staff person, EPA approximated a </w:t>
      </w:r>
      <w:r w:rsidR="00A32DC8">
        <w:rPr>
          <w:szCs w:val="24"/>
        </w:rPr>
        <w:t>professional</w:t>
      </w:r>
      <w:r w:rsidR="0007740E">
        <w:rPr>
          <w:szCs w:val="24"/>
        </w:rPr>
        <w:t xml:space="preserve"> total compensation hourly rate by </w:t>
      </w:r>
      <w:r w:rsidR="00A05367">
        <w:rPr>
          <w:szCs w:val="24"/>
        </w:rPr>
        <w:t xml:space="preserve">assuming that the </w:t>
      </w:r>
      <w:r w:rsidR="00A32DC8">
        <w:rPr>
          <w:szCs w:val="24"/>
        </w:rPr>
        <w:t>professiona</w:t>
      </w:r>
      <w:r w:rsidR="00A05367">
        <w:rPr>
          <w:szCs w:val="24"/>
        </w:rPr>
        <w:t>l rate would be about 9</w:t>
      </w:r>
      <w:r w:rsidR="00A32DC8">
        <w:rPr>
          <w:szCs w:val="24"/>
        </w:rPr>
        <w:t>3</w:t>
      </w:r>
      <w:r w:rsidR="00A05367">
        <w:rPr>
          <w:szCs w:val="24"/>
        </w:rPr>
        <w:t>% of the managerial rate</w:t>
      </w:r>
      <w:r w:rsidR="00055B7C">
        <w:rPr>
          <w:szCs w:val="24"/>
        </w:rPr>
        <w:t>.</w:t>
      </w:r>
      <w:r w:rsidRPr="00201FFC" w:rsidR="00A05367">
        <w:footnoteReference w:id="3"/>
      </w:r>
    </w:p>
    <w:p w:rsidR="00F67A7C" w:rsidP="00542A63" w:rsidRDefault="00055B7C" w14:paraId="52239A69" w14:textId="7D1F746A">
      <w:pPr>
        <w:spacing w:line="276" w:lineRule="auto"/>
      </w:pPr>
      <w:r>
        <w:t xml:space="preserve">For both the managerial and </w:t>
      </w:r>
      <w:r w:rsidR="00B421AB">
        <w:t>professional</w:t>
      </w:r>
      <w:r>
        <w:t xml:space="preserve"> positions, a</w:t>
      </w:r>
      <w:r w:rsidRPr="00201FFC" w:rsidR="00F5126E">
        <w:rPr>
          <w:szCs w:val="24"/>
        </w:rPr>
        <w:t xml:space="preserve">n additional loading factor of </w:t>
      </w:r>
      <w:r w:rsidRPr="00201FFC" w:rsidR="00F67D09">
        <w:rPr>
          <w:szCs w:val="24"/>
        </w:rPr>
        <w:t>20</w:t>
      </w:r>
      <w:r w:rsidRPr="00201FFC" w:rsidR="00F5126E">
        <w:rPr>
          <w:szCs w:val="24"/>
        </w:rPr>
        <w:t xml:space="preserve"> percent is applied to </w:t>
      </w:r>
      <w:r>
        <w:t>total compensation</w:t>
      </w:r>
      <w:r w:rsidRPr="00201FFC" w:rsidR="00F5126E">
        <w:rPr>
          <w:szCs w:val="24"/>
        </w:rPr>
        <w:t xml:space="preserve"> to account for overhead</w:t>
      </w:r>
      <w:r w:rsidR="00DF3FD1">
        <w:t xml:space="preserve"> (</w:t>
      </w:r>
      <w:r>
        <w:t>e.g.,</w:t>
      </w:r>
      <w:r w:rsidR="00DF3FD1">
        <w:t xml:space="preserve"> personnel services, office space</w:t>
      </w:r>
      <w:r>
        <w:t xml:space="preserve">, </w:t>
      </w:r>
      <w:r w:rsidR="00DF3FD1">
        <w:t>training</w:t>
      </w:r>
      <w:r>
        <w:t>, etc</w:t>
      </w:r>
      <w:r w:rsidR="00DF3FD1">
        <w:t>)</w:t>
      </w:r>
      <w:r w:rsidRPr="00201FFC" w:rsidR="00F5126E">
        <w:rPr>
          <w:szCs w:val="24"/>
        </w:rPr>
        <w:t xml:space="preserve">. This approach is </w:t>
      </w:r>
      <w:r w:rsidRPr="00201FFC" w:rsidR="00F67D09">
        <w:rPr>
          <w:szCs w:val="24"/>
        </w:rPr>
        <w:t>recommended in recent EPA guidance titled:</w:t>
      </w:r>
      <w:r w:rsidR="00F67D09">
        <w:t xml:space="preserve"> </w:t>
      </w:r>
      <w:r w:rsidRPr="00201FFC" w:rsidR="00F67D09">
        <w:rPr>
          <w:i/>
          <w:iCs/>
          <w:szCs w:val="24"/>
        </w:rPr>
        <w:t>Handbook on Valuing Changes in Time Use Induced by Regulatory Requirements and Other EPA Actions</w:t>
      </w:r>
      <w:r w:rsidR="005D451B">
        <w:t xml:space="preserve"> (</w:t>
      </w:r>
      <w:r w:rsidRPr="00F67A7C" w:rsidR="005D451B">
        <w:t>EPA-236-B-15-001</w:t>
      </w:r>
      <w:r w:rsidR="00DF3FD1">
        <w:t>,</w:t>
      </w:r>
      <w:r>
        <w:t xml:space="preserve"> </w:t>
      </w:r>
      <w:r w:rsidRPr="00F67A7C" w:rsidR="005D451B">
        <w:t>December 9, 2020)</w:t>
      </w:r>
      <w:r w:rsidR="00F67D09">
        <w:t>.</w:t>
      </w:r>
      <w:r w:rsidR="00DF3FD1">
        <w:t xml:space="preserve"> </w:t>
      </w:r>
      <w:r w:rsidRPr="00201FFC" w:rsidR="00F5126E">
        <w:rPr>
          <w:szCs w:val="24"/>
        </w:rPr>
        <w:t>Th</w:t>
      </w:r>
      <w:r w:rsidR="00DF3FD1">
        <w:t>e</w:t>
      </w:r>
      <w:r w:rsidRPr="00201FFC" w:rsidR="00F5126E">
        <w:rPr>
          <w:szCs w:val="24"/>
        </w:rPr>
        <w:t xml:space="preserve"> overhead loading factor is </w:t>
      </w:r>
      <w:r w:rsidR="00DF3FD1">
        <w:t xml:space="preserve">added to total compensation </w:t>
      </w:r>
      <w:r>
        <w:t xml:space="preserve">to </w:t>
      </w:r>
      <w:r w:rsidRPr="00201FFC" w:rsidR="00F5126E">
        <w:rPr>
          <w:szCs w:val="24"/>
        </w:rPr>
        <w:t xml:space="preserve">derive the fully loaded </w:t>
      </w:r>
      <w:r>
        <w:t xml:space="preserve">hourly </w:t>
      </w:r>
      <w:r w:rsidRPr="00201FFC" w:rsidR="00F5126E">
        <w:rPr>
          <w:szCs w:val="24"/>
        </w:rPr>
        <w:t xml:space="preserve">wage. </w:t>
      </w:r>
      <w:r w:rsidR="00DF3FD1">
        <w:t>Next, because the nonprofit total compensation rate is from 2014, th</w:t>
      </w:r>
      <w:r w:rsidR="00930C8E">
        <w:t>e</w:t>
      </w:r>
      <w:r w:rsidR="00DF3FD1">
        <w:t>s</w:t>
      </w:r>
      <w:r w:rsidR="00930C8E">
        <w:t>e</w:t>
      </w:r>
      <w:r w:rsidR="00DF3FD1">
        <w:t xml:space="preserve"> estimate</w:t>
      </w:r>
      <w:r w:rsidR="00930C8E">
        <w:t>s</w:t>
      </w:r>
      <w:r w:rsidR="00DF3FD1">
        <w:t xml:space="preserve"> </w:t>
      </w:r>
      <w:r w:rsidR="00930C8E">
        <w:t>are</w:t>
      </w:r>
      <w:r w:rsidR="00DF3FD1">
        <w:t xml:space="preserve"> updated to 2020 dollars using the Employee Cost Index</w:t>
      </w:r>
      <w:r w:rsidR="00C638BF">
        <w:t xml:space="preserve"> </w:t>
      </w:r>
      <w:r w:rsidR="00DF3FD1">
        <w:t>(</w:t>
      </w:r>
      <w:r w:rsidR="00C638BF">
        <w:t>ECI).</w:t>
      </w:r>
      <w:r w:rsidRPr="00201FFC" w:rsidR="00C638BF">
        <w:footnoteReference w:id="4"/>
      </w:r>
      <w:r w:rsidRPr="00313519" w:rsidR="00930C8E">
        <w:rPr>
          <w:vertAlign w:val="superscript"/>
        </w:rPr>
        <w:t xml:space="preserve"> </w:t>
      </w:r>
      <w:r w:rsidR="00AB339B">
        <w:fldChar w:fldCharType="begin"/>
      </w:r>
      <w:r w:rsidR="00AB339B">
        <w:instrText xml:space="preserve"> REF _Ref90029871 \h </w:instrText>
      </w:r>
      <w:r w:rsidR="00AB339B">
        <w:fldChar w:fldCharType="separate"/>
      </w:r>
      <w:r w:rsidR="00AB339B">
        <w:t xml:space="preserve">Table </w:t>
      </w:r>
      <w:r w:rsidR="00AB339B">
        <w:rPr>
          <w:noProof/>
        </w:rPr>
        <w:t>1</w:t>
      </w:r>
      <w:r w:rsidR="00AB339B">
        <w:fldChar w:fldCharType="end"/>
      </w:r>
      <w:r w:rsidR="00930C8E">
        <w:t xml:space="preserve"> presents the derived loaded hourly wage rates.</w:t>
      </w:r>
    </w:p>
    <w:p w:rsidR="006A4754" w:rsidRDefault="006A4754" w14:paraId="5E1AB916" w14:textId="77777777">
      <w:pPr>
        <w:spacing w:after="160" w:line="259" w:lineRule="auto"/>
        <w:rPr>
          <w:rFonts w:cs="Arial"/>
          <w:b/>
          <w:bCs/>
          <w:color w:val="000000" w:themeColor="text1"/>
          <w:szCs w:val="18"/>
        </w:rPr>
      </w:pPr>
      <w:bookmarkStart w:name="_Ref90029871" w:id="8"/>
      <w:r>
        <w:br w:type="page"/>
      </w:r>
    </w:p>
    <w:p w:rsidR="00445A99" w:rsidP="00445A99" w:rsidRDefault="00445A99" w14:paraId="5F8E3B53" w14:textId="5761CDA3">
      <w:pPr>
        <w:pStyle w:val="Caption"/>
        <w:keepNext/>
      </w:pPr>
      <w:r>
        <w:lastRenderedPageBreak/>
        <w:t xml:space="preserve">Table </w:t>
      </w:r>
      <w:r w:rsidR="0071604E">
        <w:fldChar w:fldCharType="begin"/>
      </w:r>
      <w:r w:rsidR="0071604E">
        <w:instrText xml:space="preserve"> SEQ Table \* ARABIC </w:instrText>
      </w:r>
      <w:r w:rsidR="0071604E">
        <w:fldChar w:fldCharType="separate"/>
      </w:r>
      <w:r w:rsidR="00AB339B">
        <w:rPr>
          <w:noProof/>
        </w:rPr>
        <w:t>1</w:t>
      </w:r>
      <w:r w:rsidR="0071604E">
        <w:rPr>
          <w:noProof/>
        </w:rPr>
        <w:fldChar w:fldCharType="end"/>
      </w:r>
      <w:bookmarkEnd w:id="8"/>
      <w:r>
        <w:t xml:space="preserve">. </w:t>
      </w:r>
      <w:r w:rsidRPr="00C47194">
        <w:rPr>
          <w:rFonts w:eastAsia="Times New Roman"/>
        </w:rPr>
        <w:t xml:space="preserve">Derivation of Nonprofit </w:t>
      </w:r>
      <w:r>
        <w:rPr>
          <w:rFonts w:eastAsia="Times New Roman"/>
        </w:rPr>
        <w:t xml:space="preserve">Loaded Hourly </w:t>
      </w:r>
      <w:r w:rsidRPr="00C47194">
        <w:rPr>
          <w:rFonts w:eastAsia="Times New Roman"/>
        </w:rPr>
        <w:t>Wage</w:t>
      </w:r>
      <w:r>
        <w:rPr>
          <w:rFonts w:eastAsia="Times New Roman"/>
        </w:rPr>
        <w:t xml:space="preserve"> Rates</w:t>
      </w:r>
    </w:p>
    <w:tbl>
      <w:tblPr>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1464"/>
        <w:gridCol w:w="2354"/>
        <w:gridCol w:w="1762"/>
        <w:gridCol w:w="1978"/>
        <w:gridCol w:w="1782"/>
      </w:tblGrid>
      <w:tr w:rsidRPr="00F67A7C" w:rsidR="009B2345" w:rsidTr="00A84A9E" w14:paraId="64E5005E" w14:textId="77777777">
        <w:trPr>
          <w:cantSplit/>
          <w:trHeight w:val="700"/>
          <w:jc w:val="center"/>
        </w:trPr>
        <w:tc>
          <w:tcPr>
            <w:tcW w:w="1464" w:type="dxa"/>
            <w:tcBorders>
              <w:bottom w:val="single" w:color="auto" w:sz="6" w:space="0"/>
            </w:tcBorders>
            <w:shd w:val="clear" w:color="auto" w:fill="D9D9D9" w:themeFill="background1" w:themeFillShade="D9"/>
            <w:hideMark/>
          </w:tcPr>
          <w:p w:rsidRPr="00F67A7C" w:rsidR="00F67A7C" w:rsidP="00F67A7C" w:rsidRDefault="00F67A7C" w14:paraId="4E3EFEAC" w14:textId="77777777">
            <w:pPr>
              <w:spacing w:after="0"/>
              <w:rPr>
                <w:rFonts w:ascii="Calibri" w:hAnsi="Calibri" w:eastAsia="Times New Roman" w:cs="Calibri"/>
                <w:color w:val="000000"/>
                <w:sz w:val="22"/>
              </w:rPr>
            </w:pPr>
            <w:r w:rsidRPr="00F67A7C">
              <w:rPr>
                <w:rFonts w:ascii="Calibri" w:hAnsi="Calibri" w:eastAsia="Times New Roman" w:cs="Calibri"/>
                <w:color w:val="000000"/>
                <w:sz w:val="22"/>
              </w:rPr>
              <w:t> </w:t>
            </w:r>
          </w:p>
        </w:tc>
        <w:tc>
          <w:tcPr>
            <w:tcW w:w="2354" w:type="dxa"/>
            <w:tcBorders>
              <w:bottom w:val="single" w:color="auto" w:sz="6" w:space="0"/>
            </w:tcBorders>
            <w:shd w:val="clear" w:color="auto" w:fill="D9D9D9" w:themeFill="background1" w:themeFillShade="D9"/>
            <w:vAlign w:val="bottom"/>
            <w:hideMark/>
          </w:tcPr>
          <w:p w:rsidRPr="00201FFC" w:rsidR="00F67A7C" w:rsidP="00F67A7C" w:rsidRDefault="00F67A7C" w14:paraId="61BCF1DC" w14:textId="777693BB">
            <w:pPr>
              <w:spacing w:after="0"/>
              <w:jc w:val="center"/>
              <w:rPr>
                <w:rFonts w:eastAsia="Times New Roman" w:cs="Arial"/>
                <w:b/>
                <w:bCs/>
                <w:color w:val="000000"/>
                <w:szCs w:val="24"/>
              </w:rPr>
            </w:pPr>
            <w:r w:rsidRPr="00201FFC">
              <w:rPr>
                <w:rFonts w:eastAsia="Times New Roman" w:cs="Arial"/>
                <w:b/>
                <w:bCs/>
                <w:color w:val="000000"/>
                <w:szCs w:val="24"/>
              </w:rPr>
              <w:t>Total Compensation</w:t>
            </w:r>
            <w:r w:rsidRPr="00201FFC" w:rsidR="009C4258">
              <w:rPr>
                <w:rFonts w:eastAsia="Times New Roman" w:cs="Arial"/>
                <w:b/>
                <w:bCs/>
                <w:color w:val="000000"/>
                <w:szCs w:val="24"/>
                <w:vertAlign w:val="superscript"/>
              </w:rPr>
              <w:t>1</w:t>
            </w:r>
          </w:p>
        </w:tc>
        <w:tc>
          <w:tcPr>
            <w:tcW w:w="1762" w:type="dxa"/>
            <w:tcBorders>
              <w:bottom w:val="single" w:color="auto" w:sz="6" w:space="0"/>
            </w:tcBorders>
            <w:shd w:val="clear" w:color="auto" w:fill="D9D9D9" w:themeFill="background1" w:themeFillShade="D9"/>
            <w:vAlign w:val="bottom"/>
            <w:hideMark/>
          </w:tcPr>
          <w:p w:rsidRPr="00201FFC" w:rsidR="00F67A7C" w:rsidP="00F67A7C" w:rsidRDefault="00F67A7C" w14:paraId="28977BE9" w14:textId="078EB0E6">
            <w:pPr>
              <w:spacing w:after="0"/>
              <w:jc w:val="center"/>
              <w:rPr>
                <w:rFonts w:eastAsia="Times New Roman" w:cs="Arial"/>
                <w:b/>
                <w:bCs/>
                <w:color w:val="000000"/>
                <w:szCs w:val="24"/>
              </w:rPr>
            </w:pPr>
            <w:r w:rsidRPr="00201FFC">
              <w:rPr>
                <w:rFonts w:eastAsia="Times New Roman" w:cs="Arial"/>
                <w:b/>
                <w:bCs/>
                <w:color w:val="000000"/>
                <w:szCs w:val="24"/>
              </w:rPr>
              <w:t>Overhead</w:t>
            </w:r>
            <w:r w:rsidRPr="00201FFC" w:rsidR="009C4258">
              <w:rPr>
                <w:rFonts w:eastAsia="Times New Roman" w:cs="Arial"/>
                <w:b/>
                <w:bCs/>
                <w:color w:val="000000"/>
                <w:szCs w:val="24"/>
                <w:vertAlign w:val="superscript"/>
              </w:rPr>
              <w:t>2</w:t>
            </w:r>
          </w:p>
        </w:tc>
        <w:tc>
          <w:tcPr>
            <w:tcW w:w="1978" w:type="dxa"/>
            <w:tcBorders>
              <w:bottom w:val="single" w:color="auto" w:sz="6" w:space="0"/>
            </w:tcBorders>
            <w:shd w:val="clear" w:color="auto" w:fill="D9D9D9" w:themeFill="background1" w:themeFillShade="D9"/>
            <w:vAlign w:val="bottom"/>
            <w:hideMark/>
          </w:tcPr>
          <w:p w:rsidRPr="00201FFC" w:rsidR="00F67A7C" w:rsidP="00F67A7C" w:rsidRDefault="00F67A7C" w14:paraId="56795E34" w14:textId="1FB888F8">
            <w:pPr>
              <w:spacing w:after="0"/>
              <w:jc w:val="center"/>
              <w:rPr>
                <w:rFonts w:eastAsia="Times New Roman" w:cs="Arial"/>
                <w:b/>
                <w:bCs/>
                <w:color w:val="000000"/>
                <w:szCs w:val="24"/>
              </w:rPr>
            </w:pPr>
            <w:r w:rsidRPr="00201FFC">
              <w:rPr>
                <w:rFonts w:eastAsia="Times New Roman" w:cs="Arial"/>
                <w:b/>
                <w:bCs/>
                <w:color w:val="000000"/>
                <w:szCs w:val="24"/>
              </w:rPr>
              <w:t>Employment Cost Index</w:t>
            </w:r>
            <w:r w:rsidRPr="00201FFC" w:rsidR="009C4258">
              <w:rPr>
                <w:rFonts w:eastAsia="Times New Roman" w:cs="Arial"/>
                <w:b/>
                <w:bCs/>
                <w:color w:val="000000"/>
                <w:szCs w:val="24"/>
                <w:vertAlign w:val="superscript"/>
              </w:rPr>
              <w:t>3</w:t>
            </w:r>
          </w:p>
        </w:tc>
        <w:tc>
          <w:tcPr>
            <w:tcW w:w="1782" w:type="dxa"/>
            <w:tcBorders>
              <w:bottom w:val="single" w:color="auto" w:sz="6" w:space="0"/>
            </w:tcBorders>
            <w:shd w:val="clear" w:color="auto" w:fill="D9D9D9" w:themeFill="background1" w:themeFillShade="D9"/>
            <w:vAlign w:val="bottom"/>
            <w:hideMark/>
          </w:tcPr>
          <w:p w:rsidRPr="00201FFC" w:rsidR="00F67A7C" w:rsidP="00F67A7C" w:rsidRDefault="00F67A7C" w14:paraId="091FD273" w14:textId="77777777">
            <w:pPr>
              <w:spacing w:after="0"/>
              <w:jc w:val="center"/>
              <w:rPr>
                <w:rFonts w:eastAsia="Times New Roman" w:cs="Arial"/>
                <w:b/>
                <w:bCs/>
                <w:color w:val="000000"/>
                <w:szCs w:val="24"/>
              </w:rPr>
            </w:pPr>
            <w:r w:rsidRPr="00201FFC">
              <w:rPr>
                <w:rFonts w:eastAsia="Times New Roman" w:cs="Arial"/>
                <w:b/>
                <w:bCs/>
                <w:color w:val="000000"/>
                <w:szCs w:val="24"/>
              </w:rPr>
              <w:t>Loaded Hourly Wage Rate ($2020)</w:t>
            </w:r>
          </w:p>
        </w:tc>
      </w:tr>
      <w:tr w:rsidRPr="00F67A7C" w:rsidR="009B2345" w:rsidTr="00A84A9E" w14:paraId="32DB8666" w14:textId="77777777">
        <w:trPr>
          <w:cantSplit/>
          <w:trHeight w:val="288"/>
          <w:jc w:val="center"/>
        </w:trPr>
        <w:tc>
          <w:tcPr>
            <w:tcW w:w="1464" w:type="dxa"/>
            <w:tcBorders>
              <w:top w:val="single" w:color="auto" w:sz="6" w:space="0"/>
              <w:bottom w:val="single" w:color="auto" w:sz="4" w:space="0"/>
            </w:tcBorders>
            <w:shd w:val="clear" w:color="auto" w:fill="auto"/>
            <w:hideMark/>
          </w:tcPr>
          <w:p w:rsidRPr="00313519" w:rsidR="00F67A7C" w:rsidP="00F67A7C" w:rsidRDefault="00F67A7C" w14:paraId="3F506370" w14:textId="77777777">
            <w:pPr>
              <w:spacing w:after="0"/>
              <w:rPr>
                <w:rFonts w:eastAsia="Times New Roman" w:cs="Arial"/>
                <w:color w:val="000000"/>
                <w:sz w:val="20"/>
                <w:szCs w:val="20"/>
              </w:rPr>
            </w:pPr>
            <w:r w:rsidRPr="00313519">
              <w:rPr>
                <w:rFonts w:eastAsia="Times New Roman" w:cs="Arial"/>
                <w:color w:val="000000"/>
                <w:sz w:val="20"/>
                <w:szCs w:val="20"/>
              </w:rPr>
              <w:t>Managerial</w:t>
            </w:r>
          </w:p>
        </w:tc>
        <w:tc>
          <w:tcPr>
            <w:tcW w:w="2354" w:type="dxa"/>
            <w:tcBorders>
              <w:top w:val="single" w:color="auto" w:sz="6" w:space="0"/>
              <w:bottom w:val="single" w:color="auto" w:sz="4" w:space="0"/>
            </w:tcBorders>
            <w:shd w:val="clear" w:color="auto" w:fill="auto"/>
            <w:hideMark/>
          </w:tcPr>
          <w:p w:rsidRPr="00313519" w:rsidR="00F67A7C" w:rsidP="00F67A7C" w:rsidRDefault="00F67A7C" w14:paraId="0A038E24" w14:textId="77777777">
            <w:pPr>
              <w:spacing w:after="0"/>
              <w:jc w:val="right"/>
              <w:rPr>
                <w:rFonts w:eastAsia="Times New Roman" w:cs="Arial"/>
                <w:color w:val="000000"/>
                <w:sz w:val="20"/>
                <w:szCs w:val="20"/>
              </w:rPr>
            </w:pPr>
            <w:r w:rsidRPr="00313519">
              <w:rPr>
                <w:rFonts w:eastAsia="Times New Roman" w:cs="Arial"/>
                <w:color w:val="000000"/>
                <w:sz w:val="20"/>
                <w:szCs w:val="20"/>
              </w:rPr>
              <w:t>$47.85</w:t>
            </w:r>
          </w:p>
        </w:tc>
        <w:tc>
          <w:tcPr>
            <w:tcW w:w="1762" w:type="dxa"/>
            <w:tcBorders>
              <w:top w:val="single" w:color="auto" w:sz="6" w:space="0"/>
              <w:bottom w:val="single" w:color="auto" w:sz="4" w:space="0"/>
            </w:tcBorders>
            <w:shd w:val="clear" w:color="auto" w:fill="auto"/>
            <w:hideMark/>
          </w:tcPr>
          <w:p w:rsidRPr="00313519" w:rsidR="00F67A7C" w:rsidP="00F67A7C" w:rsidRDefault="00F67A7C" w14:paraId="4570B55F" w14:textId="77777777">
            <w:pPr>
              <w:spacing w:after="0"/>
              <w:jc w:val="right"/>
              <w:rPr>
                <w:rFonts w:eastAsia="Times New Roman" w:cs="Arial"/>
                <w:color w:val="000000"/>
                <w:sz w:val="20"/>
                <w:szCs w:val="20"/>
              </w:rPr>
            </w:pPr>
            <w:r w:rsidRPr="00313519">
              <w:rPr>
                <w:rFonts w:eastAsia="Times New Roman" w:cs="Arial"/>
                <w:color w:val="000000"/>
                <w:sz w:val="20"/>
                <w:szCs w:val="20"/>
              </w:rPr>
              <w:t>1.2</w:t>
            </w:r>
          </w:p>
        </w:tc>
        <w:tc>
          <w:tcPr>
            <w:tcW w:w="1978" w:type="dxa"/>
            <w:tcBorders>
              <w:top w:val="single" w:color="auto" w:sz="6" w:space="0"/>
              <w:bottom w:val="single" w:color="auto" w:sz="4" w:space="0"/>
            </w:tcBorders>
            <w:shd w:val="clear" w:color="auto" w:fill="auto"/>
            <w:hideMark/>
          </w:tcPr>
          <w:p w:rsidRPr="00313519" w:rsidR="00F67A7C" w:rsidP="00F67A7C" w:rsidRDefault="00F67A7C" w14:paraId="0FEAE37E" w14:textId="77777777">
            <w:pPr>
              <w:spacing w:after="0"/>
              <w:jc w:val="right"/>
              <w:rPr>
                <w:rFonts w:eastAsia="Times New Roman" w:cs="Arial"/>
                <w:color w:val="000000"/>
                <w:sz w:val="20"/>
                <w:szCs w:val="20"/>
              </w:rPr>
            </w:pPr>
            <w:r w:rsidRPr="00313519">
              <w:rPr>
                <w:rFonts w:eastAsia="Times New Roman" w:cs="Arial"/>
                <w:color w:val="000000"/>
                <w:sz w:val="20"/>
                <w:szCs w:val="20"/>
              </w:rPr>
              <w:t>1.157</w:t>
            </w:r>
          </w:p>
        </w:tc>
        <w:tc>
          <w:tcPr>
            <w:tcW w:w="1782" w:type="dxa"/>
            <w:tcBorders>
              <w:top w:val="single" w:color="auto" w:sz="6" w:space="0"/>
              <w:bottom w:val="single" w:color="auto" w:sz="4" w:space="0"/>
            </w:tcBorders>
            <w:shd w:val="clear" w:color="auto" w:fill="auto"/>
            <w:hideMark/>
          </w:tcPr>
          <w:p w:rsidRPr="00313519" w:rsidR="00F67A7C" w:rsidP="00F67A7C" w:rsidRDefault="00F67A7C" w14:paraId="4126146B" w14:textId="77777777">
            <w:pPr>
              <w:spacing w:after="0"/>
              <w:jc w:val="right"/>
              <w:rPr>
                <w:rFonts w:eastAsia="Times New Roman" w:cs="Arial"/>
                <w:color w:val="000000"/>
                <w:sz w:val="20"/>
                <w:szCs w:val="20"/>
              </w:rPr>
            </w:pPr>
            <w:r w:rsidRPr="00313519">
              <w:rPr>
                <w:rFonts w:eastAsia="Times New Roman" w:cs="Arial"/>
                <w:color w:val="000000"/>
                <w:sz w:val="20"/>
                <w:szCs w:val="20"/>
              </w:rPr>
              <w:t>$66.46</w:t>
            </w:r>
          </w:p>
        </w:tc>
      </w:tr>
      <w:tr w:rsidRPr="00F67A7C" w:rsidR="009B2345" w:rsidTr="00A84A9E" w14:paraId="3F255735" w14:textId="77777777">
        <w:trPr>
          <w:cantSplit/>
          <w:trHeight w:val="288"/>
          <w:jc w:val="center"/>
        </w:trPr>
        <w:tc>
          <w:tcPr>
            <w:tcW w:w="1464" w:type="dxa"/>
            <w:tcBorders>
              <w:top w:val="single" w:color="auto" w:sz="4" w:space="0"/>
              <w:bottom w:val="single" w:color="auto" w:sz="6" w:space="0"/>
            </w:tcBorders>
            <w:shd w:val="clear" w:color="auto" w:fill="auto"/>
            <w:hideMark/>
          </w:tcPr>
          <w:p w:rsidRPr="00313519" w:rsidR="00F67A7C" w:rsidP="00F67A7C" w:rsidRDefault="00F67A7C" w14:paraId="6B7A8134" w14:textId="157EF541">
            <w:pPr>
              <w:spacing w:after="0"/>
              <w:rPr>
                <w:rFonts w:eastAsia="Times New Roman" w:cs="Arial"/>
                <w:color w:val="000000"/>
                <w:sz w:val="20"/>
                <w:szCs w:val="20"/>
              </w:rPr>
            </w:pPr>
            <w:r w:rsidRPr="00313519">
              <w:rPr>
                <w:rFonts w:eastAsia="Times New Roman" w:cs="Arial"/>
                <w:color w:val="000000"/>
                <w:sz w:val="20"/>
                <w:szCs w:val="20"/>
              </w:rPr>
              <w:t>Technical</w:t>
            </w:r>
            <w:r w:rsidRPr="00201FFC" w:rsidR="009C4258">
              <w:rPr>
                <w:rFonts w:eastAsia="Times New Roman" w:cs="Arial"/>
                <w:color w:val="000000"/>
                <w:sz w:val="20"/>
                <w:szCs w:val="20"/>
                <w:vertAlign w:val="superscript"/>
              </w:rPr>
              <w:t>4</w:t>
            </w:r>
          </w:p>
        </w:tc>
        <w:tc>
          <w:tcPr>
            <w:tcW w:w="2354" w:type="dxa"/>
            <w:tcBorders>
              <w:top w:val="single" w:color="auto" w:sz="4" w:space="0"/>
              <w:bottom w:val="single" w:color="auto" w:sz="6" w:space="0"/>
            </w:tcBorders>
            <w:shd w:val="clear" w:color="auto" w:fill="auto"/>
            <w:noWrap/>
            <w:vAlign w:val="bottom"/>
            <w:hideMark/>
          </w:tcPr>
          <w:p w:rsidRPr="00313519" w:rsidR="00F67A7C" w:rsidP="00F67A7C" w:rsidRDefault="00F67A7C" w14:paraId="55BB9F1A" w14:textId="413BDB38">
            <w:pPr>
              <w:spacing w:after="0"/>
              <w:jc w:val="right"/>
              <w:rPr>
                <w:rFonts w:eastAsia="Times New Roman" w:cs="Arial"/>
                <w:color w:val="000000"/>
                <w:sz w:val="20"/>
                <w:szCs w:val="20"/>
              </w:rPr>
            </w:pPr>
            <w:r w:rsidRPr="00313519">
              <w:rPr>
                <w:rFonts w:eastAsia="Times New Roman" w:cs="Arial"/>
                <w:color w:val="000000"/>
                <w:sz w:val="20"/>
                <w:szCs w:val="20"/>
              </w:rPr>
              <w:t>$4</w:t>
            </w:r>
            <w:r w:rsidRPr="00313519" w:rsidR="00130805">
              <w:rPr>
                <w:rFonts w:eastAsia="Times New Roman" w:cs="Arial"/>
                <w:color w:val="000000"/>
                <w:sz w:val="20"/>
                <w:szCs w:val="20"/>
              </w:rPr>
              <w:t>4</w:t>
            </w:r>
            <w:r w:rsidRPr="00313519">
              <w:rPr>
                <w:rFonts w:eastAsia="Times New Roman" w:cs="Arial"/>
                <w:color w:val="000000"/>
                <w:sz w:val="20"/>
                <w:szCs w:val="20"/>
              </w:rPr>
              <w:t>.</w:t>
            </w:r>
            <w:r w:rsidRPr="00313519" w:rsidR="00130805">
              <w:rPr>
                <w:rFonts w:eastAsia="Times New Roman" w:cs="Arial"/>
                <w:color w:val="000000"/>
                <w:sz w:val="20"/>
                <w:szCs w:val="20"/>
              </w:rPr>
              <w:t>5</w:t>
            </w:r>
            <w:r w:rsidRPr="00313519">
              <w:rPr>
                <w:rFonts w:eastAsia="Times New Roman" w:cs="Arial"/>
                <w:color w:val="000000"/>
                <w:sz w:val="20"/>
                <w:szCs w:val="20"/>
              </w:rPr>
              <w:t>0</w:t>
            </w:r>
          </w:p>
        </w:tc>
        <w:tc>
          <w:tcPr>
            <w:tcW w:w="1762" w:type="dxa"/>
            <w:tcBorders>
              <w:top w:val="single" w:color="auto" w:sz="4" w:space="0"/>
              <w:bottom w:val="single" w:color="auto" w:sz="6" w:space="0"/>
            </w:tcBorders>
            <w:shd w:val="clear" w:color="auto" w:fill="auto"/>
            <w:noWrap/>
            <w:vAlign w:val="bottom"/>
            <w:hideMark/>
          </w:tcPr>
          <w:p w:rsidRPr="00313519" w:rsidR="00F67A7C" w:rsidP="00F67A7C" w:rsidRDefault="00F67A7C" w14:paraId="19D381FD" w14:textId="77777777">
            <w:pPr>
              <w:spacing w:after="0"/>
              <w:jc w:val="right"/>
              <w:rPr>
                <w:rFonts w:eastAsia="Times New Roman" w:cs="Arial"/>
                <w:color w:val="000000"/>
                <w:sz w:val="20"/>
                <w:szCs w:val="20"/>
              </w:rPr>
            </w:pPr>
            <w:r w:rsidRPr="00313519">
              <w:rPr>
                <w:rFonts w:eastAsia="Times New Roman" w:cs="Arial"/>
                <w:color w:val="000000"/>
                <w:sz w:val="20"/>
                <w:szCs w:val="20"/>
              </w:rPr>
              <w:t>1.2</w:t>
            </w:r>
          </w:p>
        </w:tc>
        <w:tc>
          <w:tcPr>
            <w:tcW w:w="1978" w:type="dxa"/>
            <w:tcBorders>
              <w:top w:val="single" w:color="auto" w:sz="4" w:space="0"/>
              <w:bottom w:val="single" w:color="auto" w:sz="6" w:space="0"/>
            </w:tcBorders>
            <w:shd w:val="clear" w:color="auto" w:fill="auto"/>
            <w:noWrap/>
            <w:vAlign w:val="bottom"/>
            <w:hideMark/>
          </w:tcPr>
          <w:p w:rsidRPr="00313519" w:rsidR="00F67A7C" w:rsidP="00F67A7C" w:rsidRDefault="00F67A7C" w14:paraId="622E7CB5" w14:textId="77777777">
            <w:pPr>
              <w:spacing w:after="0"/>
              <w:jc w:val="right"/>
              <w:rPr>
                <w:rFonts w:eastAsia="Times New Roman" w:cs="Arial"/>
                <w:color w:val="000000"/>
                <w:sz w:val="20"/>
                <w:szCs w:val="20"/>
              </w:rPr>
            </w:pPr>
            <w:r w:rsidRPr="00313519">
              <w:rPr>
                <w:rFonts w:eastAsia="Times New Roman" w:cs="Arial"/>
                <w:color w:val="000000"/>
                <w:sz w:val="20"/>
                <w:szCs w:val="20"/>
              </w:rPr>
              <w:t>1.157</w:t>
            </w:r>
          </w:p>
        </w:tc>
        <w:tc>
          <w:tcPr>
            <w:tcW w:w="1782" w:type="dxa"/>
            <w:tcBorders>
              <w:top w:val="single" w:color="auto" w:sz="4" w:space="0"/>
              <w:bottom w:val="single" w:color="auto" w:sz="6" w:space="0"/>
            </w:tcBorders>
            <w:shd w:val="clear" w:color="auto" w:fill="auto"/>
            <w:hideMark/>
          </w:tcPr>
          <w:p w:rsidRPr="00313519" w:rsidR="00F67A7C" w:rsidP="00F67A7C" w:rsidRDefault="00F67A7C" w14:paraId="2C7315A1" w14:textId="7FC252FB">
            <w:pPr>
              <w:spacing w:after="0"/>
              <w:jc w:val="right"/>
              <w:rPr>
                <w:rFonts w:eastAsia="Times New Roman" w:cs="Arial"/>
                <w:color w:val="000000"/>
                <w:sz w:val="20"/>
                <w:szCs w:val="20"/>
              </w:rPr>
            </w:pPr>
            <w:r w:rsidRPr="00313519">
              <w:rPr>
                <w:rFonts w:eastAsia="Times New Roman" w:cs="Arial"/>
                <w:color w:val="000000"/>
                <w:sz w:val="20"/>
                <w:szCs w:val="20"/>
              </w:rPr>
              <w:t>$</w:t>
            </w:r>
            <w:r w:rsidRPr="00313519" w:rsidR="00130805">
              <w:rPr>
                <w:rFonts w:eastAsia="Times New Roman" w:cs="Arial"/>
                <w:color w:val="000000"/>
                <w:sz w:val="20"/>
                <w:szCs w:val="20"/>
              </w:rPr>
              <w:t>61</w:t>
            </w:r>
            <w:r w:rsidRPr="00313519">
              <w:rPr>
                <w:rFonts w:eastAsia="Times New Roman" w:cs="Arial"/>
                <w:color w:val="000000"/>
                <w:sz w:val="20"/>
                <w:szCs w:val="20"/>
              </w:rPr>
              <w:t>.81</w:t>
            </w:r>
          </w:p>
        </w:tc>
      </w:tr>
      <w:tr w:rsidRPr="00F67A7C" w:rsidR="009B2345" w:rsidTr="00A84A9E" w14:paraId="023B15CF" w14:textId="77777777">
        <w:trPr>
          <w:cantSplit/>
          <w:trHeight w:val="288"/>
          <w:jc w:val="center"/>
        </w:trPr>
        <w:tc>
          <w:tcPr>
            <w:tcW w:w="9340" w:type="dxa"/>
            <w:gridSpan w:val="5"/>
            <w:tcBorders>
              <w:top w:val="single" w:color="auto" w:sz="6" w:space="0"/>
            </w:tcBorders>
            <w:shd w:val="clear" w:color="auto" w:fill="auto"/>
          </w:tcPr>
          <w:p w:rsidR="009C4258" w:rsidP="009C4258" w:rsidRDefault="009C4258" w14:paraId="0777E04D" w14:textId="318426DD">
            <w:pPr>
              <w:spacing w:after="0"/>
              <w:rPr>
                <w:rFonts w:ascii="Calibri" w:hAnsi="Calibri" w:cs="Calibri"/>
                <w:color w:val="000000"/>
                <w:sz w:val="18"/>
                <w:szCs w:val="18"/>
              </w:rPr>
            </w:pPr>
            <w:r>
              <w:rPr>
                <w:rFonts w:ascii="Calibri" w:hAnsi="Calibri" w:cs="Calibri"/>
                <w:color w:val="000000"/>
                <w:sz w:val="18"/>
                <w:szCs w:val="18"/>
                <w:vertAlign w:val="superscript"/>
              </w:rPr>
              <w:t>1</w:t>
            </w:r>
            <w:r>
              <w:rPr>
                <w:rFonts w:ascii="Calibri" w:hAnsi="Calibri" w:cs="Calibri"/>
                <w:color w:val="000000"/>
                <w:sz w:val="18"/>
                <w:szCs w:val="18"/>
              </w:rPr>
              <w:t xml:space="preserve"> John L. </w:t>
            </w:r>
            <w:proofErr w:type="spellStart"/>
            <w:r>
              <w:rPr>
                <w:rFonts w:ascii="Calibri" w:hAnsi="Calibri" w:cs="Calibri"/>
                <w:color w:val="000000"/>
                <w:sz w:val="18"/>
                <w:szCs w:val="18"/>
              </w:rPr>
              <w:t>Bishow</w:t>
            </w:r>
            <w:proofErr w:type="spellEnd"/>
            <w:r>
              <w:rPr>
                <w:rFonts w:ascii="Calibri" w:hAnsi="Calibri" w:cs="Calibri"/>
                <w:color w:val="000000"/>
                <w:sz w:val="18"/>
                <w:szCs w:val="18"/>
              </w:rPr>
              <w:t xml:space="preserve"> and Kristen Monaco, "Nonprofit pay and benefits: estimates from the National Compensation Survey," Monthly Labor Review, U.S. Bureau of Labor Statistics, January 2016, https://doi.org/10.21916/mlr.2016.4.</w:t>
            </w:r>
            <w:r>
              <w:rPr>
                <w:rFonts w:ascii="Calibri" w:hAnsi="Calibri" w:cs="Calibri"/>
                <w:color w:val="000000"/>
                <w:sz w:val="18"/>
                <w:szCs w:val="18"/>
              </w:rPr>
              <w:br/>
            </w:r>
            <w:r>
              <w:rPr>
                <w:rFonts w:ascii="Calibri" w:hAnsi="Calibri" w:cs="Calibri"/>
                <w:color w:val="000000"/>
                <w:sz w:val="18"/>
                <w:szCs w:val="18"/>
                <w:vertAlign w:val="superscript"/>
              </w:rPr>
              <w:t>2</w:t>
            </w:r>
            <w:r>
              <w:rPr>
                <w:rFonts w:ascii="Calibri" w:hAnsi="Calibri" w:cs="Calibri"/>
                <w:color w:val="000000"/>
                <w:sz w:val="18"/>
                <w:szCs w:val="18"/>
              </w:rPr>
              <w:t xml:space="preserve"> Handbook on Valuing Changes in Time Use Induced by Regulatory Requirements and Other EPA Actions (EPA-236-B-15-001, December 9, 2020)</w:t>
            </w:r>
            <w:r>
              <w:rPr>
                <w:rFonts w:ascii="Calibri" w:hAnsi="Calibri" w:cs="Calibri"/>
                <w:color w:val="000000"/>
                <w:sz w:val="18"/>
                <w:szCs w:val="18"/>
              </w:rPr>
              <w:br/>
            </w:r>
            <w:r>
              <w:rPr>
                <w:rFonts w:ascii="Calibri" w:hAnsi="Calibri" w:cs="Calibri"/>
                <w:color w:val="000000"/>
                <w:sz w:val="18"/>
                <w:szCs w:val="18"/>
                <w:vertAlign w:val="superscript"/>
              </w:rPr>
              <w:t xml:space="preserve">3 </w:t>
            </w:r>
            <w:hyperlink w:history="1" r:id="rId12">
              <w:r w:rsidRPr="008C0451">
                <w:rPr>
                  <w:rStyle w:val="Hyperlink"/>
                  <w:rFonts w:ascii="Calibri" w:hAnsi="Calibri" w:cs="Calibri"/>
                  <w:sz w:val="18"/>
                  <w:szCs w:val="18"/>
                </w:rPr>
                <w:t>https://www.bls.gov/web/eci/eci-current-nominal-dollar.pdf</w:t>
              </w:r>
            </w:hyperlink>
            <w:r w:rsidR="00B421AB">
              <w:rPr>
                <w:rFonts w:ascii="Calibri" w:hAnsi="Calibri" w:cs="Calibri"/>
                <w:color w:val="000000"/>
                <w:sz w:val="18"/>
                <w:szCs w:val="18"/>
              </w:rPr>
              <w:t xml:space="preserve">. Calculated by dividing the </w:t>
            </w:r>
            <w:r w:rsidRPr="00B421AB" w:rsidR="00B421AB">
              <w:rPr>
                <w:rFonts w:ascii="Calibri" w:hAnsi="Calibri" w:cs="Calibri"/>
                <w:color w:val="000000"/>
                <w:sz w:val="18"/>
                <w:szCs w:val="18"/>
              </w:rPr>
              <w:t>4th quarter2020</w:t>
            </w:r>
            <w:r w:rsidR="00B421AB">
              <w:rPr>
                <w:rFonts w:ascii="Calibri" w:hAnsi="Calibri" w:cs="Calibri"/>
                <w:color w:val="000000"/>
                <w:sz w:val="18"/>
                <w:szCs w:val="18"/>
              </w:rPr>
              <w:t xml:space="preserve"> ECI by the </w:t>
            </w:r>
            <w:r w:rsidRPr="00B421AB" w:rsidR="00B421AB">
              <w:rPr>
                <w:rFonts w:ascii="Calibri" w:hAnsi="Calibri" w:cs="Calibri"/>
                <w:color w:val="000000"/>
                <w:sz w:val="18"/>
                <w:szCs w:val="18"/>
              </w:rPr>
              <w:t>1st quarter 2014</w:t>
            </w:r>
            <w:r w:rsidR="00B421AB">
              <w:rPr>
                <w:rFonts w:ascii="Calibri" w:hAnsi="Calibri" w:cs="Calibri"/>
                <w:color w:val="000000"/>
                <w:sz w:val="18"/>
                <w:szCs w:val="18"/>
              </w:rPr>
              <w:t xml:space="preserve"> ECI.</w:t>
            </w:r>
          </w:p>
          <w:p w:rsidRPr="00201FFC" w:rsidR="009C4258" w:rsidP="00201FFC" w:rsidRDefault="009C4258" w14:paraId="1415918B" w14:textId="58B53E79">
            <w:pPr>
              <w:spacing w:after="0"/>
              <w:rPr>
                <w:rFonts w:ascii="Calibri" w:hAnsi="Calibri" w:cs="Calibri"/>
                <w:color w:val="000000"/>
                <w:sz w:val="18"/>
                <w:szCs w:val="18"/>
              </w:rPr>
            </w:pPr>
            <w:r w:rsidRPr="00201FFC">
              <w:rPr>
                <w:rFonts w:ascii="Calibri" w:hAnsi="Calibri" w:cs="Calibri"/>
                <w:color w:val="000000"/>
                <w:sz w:val="18"/>
                <w:szCs w:val="18"/>
                <w:vertAlign w:val="superscript"/>
              </w:rPr>
              <w:t>4</w:t>
            </w:r>
            <w:r>
              <w:rPr>
                <w:rFonts w:ascii="Calibri" w:hAnsi="Calibri" w:cs="Calibri"/>
                <w:color w:val="000000"/>
                <w:sz w:val="18"/>
                <w:szCs w:val="18"/>
              </w:rPr>
              <w:t xml:space="preserve"> Calculated as 9</w:t>
            </w:r>
            <w:r w:rsidR="00A32DC8">
              <w:rPr>
                <w:rFonts w:ascii="Calibri" w:hAnsi="Calibri" w:cs="Calibri"/>
                <w:color w:val="000000"/>
                <w:sz w:val="18"/>
                <w:szCs w:val="18"/>
              </w:rPr>
              <w:t>3</w:t>
            </w:r>
            <w:r>
              <w:rPr>
                <w:rFonts w:ascii="Calibri" w:hAnsi="Calibri" w:cs="Calibri"/>
                <w:color w:val="000000"/>
                <w:sz w:val="18"/>
                <w:szCs w:val="18"/>
              </w:rPr>
              <w:t>% of the managerial total compensation rate.</w:t>
            </w:r>
            <w:r w:rsidR="00E32916">
              <w:rPr>
                <w:rFonts w:ascii="Calibri" w:hAnsi="Calibri" w:cs="Calibri"/>
                <w:color w:val="000000"/>
                <w:sz w:val="18"/>
                <w:szCs w:val="18"/>
              </w:rPr>
              <w:t xml:space="preserve"> </w:t>
            </w:r>
            <w:r w:rsidRPr="00E32916" w:rsidR="00E32916">
              <w:rPr>
                <w:rFonts w:ascii="Calibri" w:hAnsi="Calibri" w:cs="Calibri"/>
                <w:color w:val="000000"/>
                <w:sz w:val="18"/>
                <w:szCs w:val="18"/>
              </w:rPr>
              <w:t>https://www.bls.gov/web/ecec/ecsuphst.pdf</w:t>
            </w:r>
          </w:p>
        </w:tc>
      </w:tr>
    </w:tbl>
    <w:p w:rsidR="006A4754" w:rsidP="002D75C4" w:rsidRDefault="006A4754" w14:paraId="6092A155" w14:textId="77777777">
      <w:pPr>
        <w:pStyle w:val="Caption"/>
        <w:keepNext/>
      </w:pPr>
      <w:bookmarkStart w:name="_Ref90029918" w:id="9"/>
    </w:p>
    <w:p w:rsidR="002D75C4" w:rsidP="002D75C4" w:rsidRDefault="002D75C4" w14:paraId="16165EB6" w14:textId="05E5EBC5">
      <w:pPr>
        <w:pStyle w:val="Caption"/>
        <w:keepNext/>
      </w:pPr>
      <w:r>
        <w:t xml:space="preserve">Table </w:t>
      </w:r>
      <w:r w:rsidR="0071604E">
        <w:fldChar w:fldCharType="begin"/>
      </w:r>
      <w:r w:rsidR="0071604E">
        <w:instrText xml:space="preserve"> SEQ Table \* ARABIC </w:instrText>
      </w:r>
      <w:r w:rsidR="0071604E">
        <w:fldChar w:fldCharType="separate"/>
      </w:r>
      <w:r w:rsidR="00AB339B">
        <w:rPr>
          <w:noProof/>
        </w:rPr>
        <w:t>2</w:t>
      </w:r>
      <w:r w:rsidR="0071604E">
        <w:rPr>
          <w:noProof/>
        </w:rPr>
        <w:fldChar w:fldCharType="end"/>
      </w:r>
      <w:bookmarkEnd w:id="9"/>
      <w:r>
        <w:t xml:space="preserve">. </w:t>
      </w:r>
      <w:r w:rsidRPr="002D75C4">
        <w:rPr>
          <w:szCs w:val="24"/>
        </w:rPr>
        <w:t>Estimated Burden and Cost to Respondents</w:t>
      </w:r>
    </w:p>
    <w:tbl>
      <w:tblPr>
        <w:tblW w:w="941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1502"/>
        <w:gridCol w:w="1171"/>
        <w:gridCol w:w="1644"/>
        <w:gridCol w:w="582"/>
        <w:gridCol w:w="651"/>
        <w:gridCol w:w="551"/>
        <w:gridCol w:w="651"/>
        <w:gridCol w:w="781"/>
        <w:gridCol w:w="781"/>
        <w:gridCol w:w="670"/>
        <w:gridCol w:w="718"/>
      </w:tblGrid>
      <w:tr w:rsidRPr="00E84D04" w:rsidR="00E84D04" w:rsidTr="00E84D04" w14:paraId="0B7C6DA0" w14:textId="77777777">
        <w:trPr>
          <w:trHeight w:val="866"/>
        </w:trPr>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6751E7F5" w14:textId="22DEEEA2">
            <w:pPr>
              <w:spacing w:before="40" w:after="40"/>
              <w:jc w:val="center"/>
              <w:rPr>
                <w:rFonts w:cs="Arial"/>
                <w:b/>
                <w:bCs/>
                <w:color w:val="000000"/>
                <w:sz w:val="18"/>
                <w:szCs w:val="18"/>
              </w:rPr>
            </w:pPr>
            <w:bookmarkStart w:name="RANGE!C3" w:id="10"/>
            <w:r w:rsidRPr="00A84A9E">
              <w:rPr>
                <w:rFonts w:cs="Arial"/>
                <w:b/>
                <w:bCs/>
                <w:color w:val="000000"/>
                <w:sz w:val="18"/>
                <w:szCs w:val="18"/>
              </w:rPr>
              <w:t>Respondent Type</w:t>
            </w:r>
            <w:bookmarkEnd w:id="10"/>
          </w:p>
        </w:tc>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4C3C7E86" w14:textId="77777777">
            <w:pPr>
              <w:spacing w:before="40" w:after="40"/>
              <w:jc w:val="center"/>
              <w:rPr>
                <w:rFonts w:cs="Arial"/>
                <w:b/>
                <w:bCs/>
                <w:color w:val="000000"/>
                <w:sz w:val="18"/>
                <w:szCs w:val="18"/>
              </w:rPr>
            </w:pPr>
            <w:r w:rsidRPr="00A84A9E">
              <w:rPr>
                <w:rFonts w:cs="Arial"/>
                <w:b/>
                <w:bCs/>
                <w:color w:val="000000"/>
                <w:sz w:val="18"/>
                <w:szCs w:val="18"/>
              </w:rPr>
              <w:t>Estimated Number of Respondents</w:t>
            </w:r>
          </w:p>
        </w:tc>
        <w:tc>
          <w:tcPr>
            <w:tcW w:w="1644" w:type="dxa"/>
            <w:vMerge w:val="restart"/>
            <w:shd w:val="clear" w:color="000000" w:fill="BFBFBF"/>
            <w:tcMar>
              <w:top w:w="15" w:type="dxa"/>
              <w:left w:w="15" w:type="dxa"/>
              <w:bottom w:w="0" w:type="dxa"/>
              <w:right w:w="15" w:type="dxa"/>
            </w:tcMar>
            <w:vAlign w:val="center"/>
            <w:hideMark/>
          </w:tcPr>
          <w:p w:rsidRPr="00A84A9E" w:rsidR="00445A99" w:rsidP="00445A99" w:rsidRDefault="00445A99" w14:paraId="33EE065B" w14:textId="77777777">
            <w:pPr>
              <w:spacing w:before="40" w:after="40"/>
              <w:jc w:val="center"/>
              <w:rPr>
                <w:rFonts w:cs="Arial"/>
                <w:b/>
                <w:bCs/>
                <w:color w:val="000000"/>
                <w:sz w:val="18"/>
                <w:szCs w:val="18"/>
              </w:rPr>
            </w:pPr>
            <w:r w:rsidRPr="00A84A9E">
              <w:rPr>
                <w:rFonts w:cs="Arial"/>
                <w:b/>
                <w:bCs/>
                <w:color w:val="000000"/>
                <w:sz w:val="18"/>
                <w:szCs w:val="18"/>
              </w:rPr>
              <w:t>Estimated Responses</w:t>
            </w:r>
          </w:p>
          <w:p w:rsidRPr="00A84A9E" w:rsidR="00445A99" w:rsidRDefault="00445A99" w14:paraId="4D769684" w14:textId="77777777">
            <w:pPr>
              <w:jc w:val="center"/>
              <w:rPr>
                <w:rFonts w:cs="Arial"/>
                <w:b/>
                <w:bCs/>
                <w:color w:val="000000"/>
                <w:sz w:val="18"/>
                <w:szCs w:val="18"/>
              </w:rPr>
            </w:pPr>
            <w:r w:rsidRPr="00A84A9E">
              <w:rPr>
                <w:rFonts w:cs="Arial"/>
                <w:b/>
                <w:bCs/>
                <w:color w:val="000000"/>
                <w:sz w:val="18"/>
                <w:szCs w:val="18"/>
              </w:rPr>
              <w:t>per respondent</w:t>
            </w:r>
          </w:p>
          <w:p w:rsidRPr="00A84A9E" w:rsidR="00445A99" w:rsidP="00445A99" w:rsidRDefault="00445A99" w14:paraId="59792E67" w14:textId="77777777">
            <w:pPr>
              <w:spacing w:after="0"/>
              <w:jc w:val="center"/>
              <w:rPr>
                <w:rFonts w:cs="Arial"/>
                <w:b/>
                <w:bCs/>
                <w:color w:val="000000"/>
                <w:sz w:val="18"/>
                <w:szCs w:val="18"/>
              </w:rPr>
            </w:pPr>
            <w:r w:rsidRPr="00A84A9E">
              <w:rPr>
                <w:rFonts w:cs="Arial"/>
                <w:b/>
                <w:bCs/>
                <w:color w:val="000000"/>
                <w:sz w:val="18"/>
                <w:szCs w:val="18"/>
              </w:rPr>
              <w:t>(i.e., number of standards/</w:t>
            </w:r>
          </w:p>
          <w:p w:rsidRPr="00A84A9E" w:rsidR="00445A99" w:rsidP="00445A99" w:rsidRDefault="00445A99" w14:paraId="47CEB98A" w14:textId="18F60734">
            <w:pPr>
              <w:spacing w:after="0"/>
              <w:jc w:val="center"/>
              <w:rPr>
                <w:rFonts w:cs="Arial"/>
                <w:b/>
                <w:bCs/>
                <w:color w:val="000000"/>
                <w:sz w:val="18"/>
                <w:szCs w:val="18"/>
              </w:rPr>
            </w:pPr>
            <w:r w:rsidRPr="00A84A9E">
              <w:rPr>
                <w:rFonts w:cs="Arial"/>
                <w:b/>
                <w:bCs/>
                <w:color w:val="000000"/>
                <w:sz w:val="18"/>
                <w:szCs w:val="18"/>
              </w:rPr>
              <w:t>ecolabels submitted for assessment)</w:t>
            </w:r>
          </w:p>
        </w:tc>
        <w:tc>
          <w:tcPr>
            <w:tcW w:w="2366" w:type="dxa"/>
            <w:gridSpan w:val="4"/>
            <w:shd w:val="clear" w:color="000000" w:fill="BFBFBF"/>
            <w:tcMar>
              <w:top w:w="15" w:type="dxa"/>
              <w:left w:w="15" w:type="dxa"/>
              <w:bottom w:w="0" w:type="dxa"/>
              <w:right w:w="15" w:type="dxa"/>
            </w:tcMar>
            <w:vAlign w:val="center"/>
            <w:hideMark/>
          </w:tcPr>
          <w:p w:rsidRPr="00A84A9E" w:rsidR="00445A99" w:rsidP="00445A99" w:rsidRDefault="00445A99" w14:paraId="60B0BB52" w14:textId="77777777">
            <w:pPr>
              <w:spacing w:before="40" w:after="40"/>
              <w:jc w:val="center"/>
              <w:rPr>
                <w:rFonts w:cs="Arial"/>
                <w:b/>
                <w:bCs/>
                <w:color w:val="000000"/>
                <w:sz w:val="18"/>
                <w:szCs w:val="18"/>
              </w:rPr>
            </w:pPr>
            <w:r w:rsidRPr="00A84A9E">
              <w:rPr>
                <w:rFonts w:cs="Arial"/>
                <w:b/>
                <w:bCs/>
                <w:color w:val="000000"/>
                <w:sz w:val="18"/>
                <w:szCs w:val="18"/>
              </w:rPr>
              <w:t>Unit Burden and Loaded Hourly Wage Rate by Labor Category</w:t>
            </w:r>
          </w:p>
        </w:tc>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770F30F9" w14:textId="77777777">
            <w:pPr>
              <w:spacing w:before="40" w:after="40"/>
              <w:jc w:val="center"/>
              <w:rPr>
                <w:rFonts w:cs="Arial"/>
                <w:b/>
                <w:bCs/>
                <w:color w:val="000000"/>
                <w:sz w:val="18"/>
                <w:szCs w:val="18"/>
              </w:rPr>
            </w:pPr>
            <w:r w:rsidRPr="00A84A9E">
              <w:rPr>
                <w:rFonts w:cs="Arial"/>
                <w:b/>
                <w:bCs/>
                <w:color w:val="000000"/>
                <w:sz w:val="18"/>
                <w:szCs w:val="18"/>
              </w:rPr>
              <w:t>Total Burden  Over ICR Period (Hours)</w:t>
            </w:r>
          </w:p>
        </w:tc>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1CD6A7C9" w14:textId="77777777">
            <w:pPr>
              <w:spacing w:before="40" w:after="40"/>
              <w:jc w:val="center"/>
              <w:rPr>
                <w:rFonts w:cs="Arial"/>
                <w:b/>
                <w:bCs/>
                <w:color w:val="000000"/>
                <w:sz w:val="18"/>
                <w:szCs w:val="18"/>
              </w:rPr>
            </w:pPr>
            <w:r w:rsidRPr="00A84A9E">
              <w:rPr>
                <w:rFonts w:cs="Arial"/>
                <w:b/>
                <w:bCs/>
                <w:color w:val="000000"/>
                <w:sz w:val="18"/>
                <w:szCs w:val="18"/>
              </w:rPr>
              <w:t>Total Cost Over ICR Period</w:t>
            </w:r>
            <w:r w:rsidRPr="00A84A9E">
              <w:rPr>
                <w:rFonts w:cs="Arial"/>
                <w:b/>
                <w:bCs/>
                <w:color w:val="000000"/>
                <w:sz w:val="18"/>
                <w:szCs w:val="18"/>
              </w:rPr>
              <w:br/>
              <w:t>($2020)</w:t>
            </w:r>
            <w:r w:rsidRPr="00A84A9E">
              <w:rPr>
                <w:rFonts w:cs="Arial"/>
                <w:b/>
                <w:bCs/>
                <w:color w:val="000000"/>
                <w:sz w:val="18"/>
                <w:szCs w:val="18"/>
                <w:vertAlign w:val="superscript"/>
              </w:rPr>
              <w:t>1</w:t>
            </w:r>
          </w:p>
        </w:tc>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71EF9013" w14:textId="77777777">
            <w:pPr>
              <w:spacing w:before="40" w:after="40"/>
              <w:jc w:val="center"/>
              <w:rPr>
                <w:rFonts w:cs="Arial"/>
                <w:b/>
                <w:bCs/>
                <w:color w:val="000000"/>
                <w:sz w:val="18"/>
                <w:szCs w:val="18"/>
              </w:rPr>
            </w:pPr>
            <w:r w:rsidRPr="00A84A9E">
              <w:rPr>
                <w:rFonts w:cs="Arial"/>
                <w:b/>
                <w:bCs/>
                <w:color w:val="000000"/>
                <w:sz w:val="18"/>
                <w:szCs w:val="18"/>
              </w:rPr>
              <w:t>Annual Burden (Hours)</w:t>
            </w:r>
          </w:p>
        </w:tc>
        <w:tc>
          <w:tcPr>
            <w:tcW w:w="0" w:type="auto"/>
            <w:vMerge w:val="restart"/>
            <w:shd w:val="clear" w:color="000000" w:fill="BFBFBF"/>
            <w:tcMar>
              <w:top w:w="15" w:type="dxa"/>
              <w:left w:w="15" w:type="dxa"/>
              <w:bottom w:w="0" w:type="dxa"/>
              <w:right w:w="15" w:type="dxa"/>
            </w:tcMar>
            <w:vAlign w:val="center"/>
            <w:hideMark/>
          </w:tcPr>
          <w:p w:rsidRPr="00A84A9E" w:rsidR="00445A99" w:rsidP="00445A99" w:rsidRDefault="00445A99" w14:paraId="0E7722BD" w14:textId="77777777">
            <w:pPr>
              <w:spacing w:before="40" w:after="40"/>
              <w:jc w:val="center"/>
              <w:rPr>
                <w:rFonts w:cs="Arial"/>
                <w:b/>
                <w:bCs/>
                <w:color w:val="000000"/>
                <w:sz w:val="18"/>
                <w:szCs w:val="18"/>
              </w:rPr>
            </w:pPr>
            <w:r w:rsidRPr="00A84A9E">
              <w:rPr>
                <w:rFonts w:cs="Arial"/>
                <w:b/>
                <w:bCs/>
                <w:color w:val="000000"/>
                <w:sz w:val="18"/>
                <w:szCs w:val="18"/>
              </w:rPr>
              <w:t>Annual Cost</w:t>
            </w:r>
            <w:r w:rsidRPr="00A84A9E">
              <w:rPr>
                <w:rFonts w:cs="Arial"/>
                <w:b/>
                <w:bCs/>
                <w:color w:val="000000"/>
                <w:sz w:val="18"/>
                <w:szCs w:val="18"/>
              </w:rPr>
              <w:br/>
              <w:t>($2020)</w:t>
            </w:r>
            <w:r w:rsidRPr="00A84A9E">
              <w:rPr>
                <w:rFonts w:cs="Arial"/>
                <w:b/>
                <w:bCs/>
                <w:color w:val="000000"/>
                <w:sz w:val="18"/>
                <w:szCs w:val="18"/>
                <w:vertAlign w:val="superscript"/>
              </w:rPr>
              <w:t>2</w:t>
            </w:r>
          </w:p>
        </w:tc>
      </w:tr>
      <w:tr w:rsidRPr="00E84D04" w:rsidR="00E84D04" w:rsidTr="00E84D04" w14:paraId="2360A063" w14:textId="77777777">
        <w:trPr>
          <w:trHeight w:val="528"/>
        </w:trPr>
        <w:tc>
          <w:tcPr>
            <w:tcW w:w="0" w:type="auto"/>
            <w:vMerge/>
            <w:vAlign w:val="center"/>
            <w:hideMark/>
          </w:tcPr>
          <w:p w:rsidRPr="00A84A9E" w:rsidR="00445A99" w:rsidP="00445A99" w:rsidRDefault="00445A99" w14:paraId="1AC96A9D" w14:textId="77777777">
            <w:pPr>
              <w:spacing w:after="0"/>
              <w:rPr>
                <w:rFonts w:cs="Arial"/>
                <w:b/>
                <w:bCs/>
                <w:color w:val="000000"/>
                <w:sz w:val="18"/>
                <w:szCs w:val="18"/>
              </w:rPr>
            </w:pPr>
          </w:p>
        </w:tc>
        <w:tc>
          <w:tcPr>
            <w:tcW w:w="0" w:type="auto"/>
            <w:vMerge/>
            <w:vAlign w:val="center"/>
            <w:hideMark/>
          </w:tcPr>
          <w:p w:rsidRPr="00A84A9E" w:rsidR="00445A99" w:rsidP="00445A99" w:rsidRDefault="00445A99" w14:paraId="3C0BBD69" w14:textId="77777777">
            <w:pPr>
              <w:spacing w:after="0"/>
              <w:rPr>
                <w:rFonts w:cs="Arial"/>
                <w:b/>
                <w:bCs/>
                <w:color w:val="000000"/>
                <w:sz w:val="18"/>
                <w:szCs w:val="18"/>
              </w:rPr>
            </w:pPr>
          </w:p>
        </w:tc>
        <w:tc>
          <w:tcPr>
            <w:tcW w:w="1644" w:type="dxa"/>
            <w:vMerge/>
            <w:shd w:val="clear" w:color="000000" w:fill="BFBFBF"/>
            <w:tcMar>
              <w:top w:w="15" w:type="dxa"/>
              <w:left w:w="15" w:type="dxa"/>
              <w:bottom w:w="0" w:type="dxa"/>
              <w:right w:w="15" w:type="dxa"/>
            </w:tcMar>
            <w:vAlign w:val="center"/>
            <w:hideMark/>
          </w:tcPr>
          <w:p w:rsidRPr="00A84A9E" w:rsidR="00445A99" w:rsidP="006C1996" w:rsidRDefault="00445A99" w14:paraId="296E3DB6" w14:textId="44B924E0">
            <w:pPr>
              <w:jc w:val="center"/>
              <w:rPr>
                <w:rFonts w:cs="Arial"/>
                <w:b/>
                <w:bCs/>
                <w:color w:val="000000"/>
                <w:sz w:val="18"/>
                <w:szCs w:val="18"/>
              </w:rPr>
            </w:pPr>
          </w:p>
        </w:tc>
        <w:tc>
          <w:tcPr>
            <w:tcW w:w="1209" w:type="dxa"/>
            <w:gridSpan w:val="2"/>
            <w:shd w:val="clear" w:color="000000" w:fill="BFBFBF"/>
            <w:tcMar>
              <w:top w:w="15" w:type="dxa"/>
              <w:left w:w="15" w:type="dxa"/>
              <w:bottom w:w="0" w:type="dxa"/>
              <w:right w:w="15" w:type="dxa"/>
            </w:tcMar>
            <w:vAlign w:val="center"/>
            <w:hideMark/>
          </w:tcPr>
          <w:p w:rsidRPr="00A84A9E" w:rsidR="00445A99" w:rsidP="00445A99" w:rsidRDefault="00445A99" w14:paraId="05423D6C" w14:textId="77777777">
            <w:pPr>
              <w:spacing w:after="0"/>
              <w:jc w:val="center"/>
              <w:rPr>
                <w:rFonts w:cs="Arial"/>
                <w:b/>
                <w:bCs/>
                <w:color w:val="000000"/>
                <w:sz w:val="18"/>
                <w:szCs w:val="18"/>
              </w:rPr>
            </w:pPr>
            <w:r w:rsidRPr="00A84A9E">
              <w:rPr>
                <w:rFonts w:cs="Arial"/>
                <w:b/>
                <w:bCs/>
                <w:color w:val="000000"/>
                <w:sz w:val="18"/>
                <w:szCs w:val="18"/>
              </w:rPr>
              <w:t>Managerial</w:t>
            </w:r>
          </w:p>
        </w:tc>
        <w:tc>
          <w:tcPr>
            <w:tcW w:w="0" w:type="auto"/>
            <w:gridSpan w:val="2"/>
            <w:shd w:val="clear" w:color="000000" w:fill="BFBFBF"/>
            <w:tcMar>
              <w:top w:w="15" w:type="dxa"/>
              <w:left w:w="15" w:type="dxa"/>
              <w:bottom w:w="0" w:type="dxa"/>
              <w:right w:w="15" w:type="dxa"/>
            </w:tcMar>
            <w:vAlign w:val="center"/>
            <w:hideMark/>
          </w:tcPr>
          <w:p w:rsidRPr="00A84A9E" w:rsidR="00445A99" w:rsidP="00445A99" w:rsidRDefault="00445A99" w14:paraId="593B0497" w14:textId="77777777">
            <w:pPr>
              <w:spacing w:after="0"/>
              <w:jc w:val="center"/>
              <w:rPr>
                <w:rFonts w:cs="Arial"/>
                <w:b/>
                <w:bCs/>
                <w:color w:val="000000"/>
                <w:sz w:val="18"/>
                <w:szCs w:val="18"/>
              </w:rPr>
            </w:pPr>
            <w:r w:rsidRPr="00A84A9E">
              <w:rPr>
                <w:rFonts w:cs="Arial"/>
                <w:b/>
                <w:bCs/>
                <w:color w:val="000000"/>
                <w:sz w:val="18"/>
                <w:szCs w:val="18"/>
              </w:rPr>
              <w:t>Technical</w:t>
            </w:r>
          </w:p>
        </w:tc>
        <w:tc>
          <w:tcPr>
            <w:tcW w:w="0" w:type="auto"/>
            <w:vMerge/>
            <w:vAlign w:val="center"/>
            <w:hideMark/>
          </w:tcPr>
          <w:p w:rsidRPr="00A84A9E" w:rsidR="00445A99" w:rsidP="00445A99" w:rsidRDefault="00445A99" w14:paraId="482C0313" w14:textId="77777777">
            <w:pPr>
              <w:spacing w:after="0"/>
              <w:rPr>
                <w:rFonts w:cs="Arial"/>
                <w:b/>
                <w:bCs/>
                <w:color w:val="000000"/>
                <w:sz w:val="18"/>
                <w:szCs w:val="18"/>
              </w:rPr>
            </w:pPr>
          </w:p>
        </w:tc>
        <w:tc>
          <w:tcPr>
            <w:tcW w:w="0" w:type="auto"/>
            <w:vMerge/>
            <w:vAlign w:val="center"/>
            <w:hideMark/>
          </w:tcPr>
          <w:p w:rsidRPr="00A84A9E" w:rsidR="00445A99" w:rsidP="00445A99" w:rsidRDefault="00445A99" w14:paraId="5B7ED128" w14:textId="77777777">
            <w:pPr>
              <w:spacing w:after="0"/>
              <w:rPr>
                <w:rFonts w:cs="Arial"/>
                <w:b/>
                <w:bCs/>
                <w:color w:val="000000"/>
                <w:sz w:val="18"/>
                <w:szCs w:val="18"/>
              </w:rPr>
            </w:pPr>
          </w:p>
        </w:tc>
        <w:tc>
          <w:tcPr>
            <w:tcW w:w="0" w:type="auto"/>
            <w:vMerge/>
            <w:vAlign w:val="center"/>
            <w:hideMark/>
          </w:tcPr>
          <w:p w:rsidRPr="00A84A9E" w:rsidR="00445A99" w:rsidP="00445A99" w:rsidRDefault="00445A99" w14:paraId="2B2AE2E5" w14:textId="77777777">
            <w:pPr>
              <w:spacing w:after="0"/>
              <w:rPr>
                <w:rFonts w:cs="Arial"/>
                <w:b/>
                <w:bCs/>
                <w:color w:val="000000"/>
                <w:sz w:val="18"/>
                <w:szCs w:val="18"/>
              </w:rPr>
            </w:pPr>
          </w:p>
        </w:tc>
        <w:tc>
          <w:tcPr>
            <w:tcW w:w="0" w:type="auto"/>
            <w:vMerge/>
            <w:vAlign w:val="center"/>
            <w:hideMark/>
          </w:tcPr>
          <w:p w:rsidRPr="00A84A9E" w:rsidR="00445A99" w:rsidP="00445A99" w:rsidRDefault="00445A99" w14:paraId="274F2C3B" w14:textId="77777777">
            <w:pPr>
              <w:spacing w:after="0"/>
              <w:rPr>
                <w:rFonts w:cs="Arial"/>
                <w:b/>
                <w:bCs/>
                <w:color w:val="000000"/>
                <w:sz w:val="18"/>
                <w:szCs w:val="18"/>
              </w:rPr>
            </w:pPr>
          </w:p>
        </w:tc>
      </w:tr>
      <w:tr w:rsidRPr="00A84A9E" w:rsidR="00E84D04" w:rsidTr="00E84D04" w14:paraId="5713B020" w14:textId="77777777">
        <w:trPr>
          <w:trHeight w:val="641"/>
        </w:trPr>
        <w:tc>
          <w:tcPr>
            <w:tcW w:w="0" w:type="auto"/>
            <w:vMerge/>
            <w:tcBorders>
              <w:bottom w:val="single" w:color="auto" w:sz="8" w:space="0"/>
            </w:tcBorders>
            <w:vAlign w:val="center"/>
            <w:hideMark/>
          </w:tcPr>
          <w:p w:rsidRPr="00A84A9E" w:rsidR="00445A99" w:rsidP="00445A99" w:rsidRDefault="00445A99" w14:paraId="4CF5BE58" w14:textId="77777777">
            <w:pPr>
              <w:spacing w:after="0"/>
              <w:rPr>
                <w:rFonts w:cs="Arial"/>
                <w:b/>
                <w:bCs/>
                <w:color w:val="000000"/>
                <w:sz w:val="18"/>
                <w:szCs w:val="18"/>
              </w:rPr>
            </w:pPr>
          </w:p>
        </w:tc>
        <w:tc>
          <w:tcPr>
            <w:tcW w:w="0" w:type="auto"/>
            <w:vMerge/>
            <w:tcBorders>
              <w:bottom w:val="single" w:color="auto" w:sz="8" w:space="0"/>
            </w:tcBorders>
            <w:vAlign w:val="center"/>
            <w:hideMark/>
          </w:tcPr>
          <w:p w:rsidRPr="00A84A9E" w:rsidR="00445A99" w:rsidP="00445A99" w:rsidRDefault="00445A99" w14:paraId="0A9421A5" w14:textId="77777777">
            <w:pPr>
              <w:spacing w:after="0"/>
              <w:rPr>
                <w:rFonts w:cs="Arial"/>
                <w:b/>
                <w:bCs/>
                <w:color w:val="000000"/>
                <w:sz w:val="18"/>
                <w:szCs w:val="18"/>
              </w:rPr>
            </w:pPr>
          </w:p>
        </w:tc>
        <w:tc>
          <w:tcPr>
            <w:tcW w:w="1644" w:type="dxa"/>
            <w:vMerge/>
            <w:tcBorders>
              <w:bottom w:val="single" w:color="auto" w:sz="8" w:space="0"/>
            </w:tcBorders>
            <w:shd w:val="clear" w:color="000000" w:fill="BFBFBF"/>
            <w:tcMar>
              <w:top w:w="15" w:type="dxa"/>
              <w:left w:w="15" w:type="dxa"/>
              <w:bottom w:w="0" w:type="dxa"/>
              <w:right w:w="15" w:type="dxa"/>
            </w:tcMar>
            <w:vAlign w:val="center"/>
            <w:hideMark/>
          </w:tcPr>
          <w:p w:rsidRPr="00A84A9E" w:rsidR="00445A99" w:rsidP="00445A99" w:rsidRDefault="00445A99" w14:paraId="6FDB6B17" w14:textId="5113B744">
            <w:pPr>
              <w:spacing w:after="0"/>
              <w:jc w:val="center"/>
              <w:rPr>
                <w:rFonts w:cs="Arial"/>
                <w:b/>
                <w:bCs/>
                <w:color w:val="000000"/>
                <w:sz w:val="18"/>
                <w:szCs w:val="18"/>
              </w:rPr>
            </w:pPr>
          </w:p>
        </w:tc>
        <w:tc>
          <w:tcPr>
            <w:tcW w:w="582" w:type="dxa"/>
            <w:tcBorders>
              <w:bottom w:val="single" w:color="auto" w:sz="8" w:space="0"/>
            </w:tcBorders>
            <w:shd w:val="clear" w:color="000000" w:fill="BFBFBF"/>
            <w:tcMar>
              <w:top w:w="15" w:type="dxa"/>
              <w:left w:w="15" w:type="dxa"/>
              <w:bottom w:w="0" w:type="dxa"/>
              <w:right w:w="15" w:type="dxa"/>
            </w:tcMar>
            <w:vAlign w:val="center"/>
            <w:hideMark/>
          </w:tcPr>
          <w:p w:rsidRPr="00A84A9E" w:rsidR="00445A99" w:rsidP="00445A99" w:rsidRDefault="00445A99" w14:paraId="4FA83B61" w14:textId="77777777">
            <w:pPr>
              <w:spacing w:after="0"/>
              <w:jc w:val="center"/>
              <w:rPr>
                <w:rFonts w:cs="Arial"/>
                <w:b/>
                <w:bCs/>
                <w:color w:val="000000"/>
                <w:sz w:val="18"/>
                <w:szCs w:val="18"/>
              </w:rPr>
            </w:pPr>
            <w:r w:rsidRPr="00A84A9E">
              <w:rPr>
                <w:rFonts w:cs="Arial"/>
                <w:b/>
                <w:bCs/>
                <w:color w:val="000000"/>
                <w:sz w:val="18"/>
                <w:szCs w:val="18"/>
              </w:rPr>
              <w:t>Hours</w:t>
            </w:r>
          </w:p>
        </w:tc>
        <w:tc>
          <w:tcPr>
            <w:tcW w:w="0" w:type="auto"/>
            <w:tcBorders>
              <w:bottom w:val="single" w:color="auto" w:sz="8" w:space="0"/>
            </w:tcBorders>
            <w:shd w:val="clear" w:color="000000" w:fill="BFBFBF"/>
            <w:tcMar>
              <w:top w:w="15" w:type="dxa"/>
              <w:left w:w="15" w:type="dxa"/>
              <w:bottom w:w="0" w:type="dxa"/>
              <w:right w:w="15" w:type="dxa"/>
            </w:tcMar>
            <w:vAlign w:val="center"/>
            <w:hideMark/>
          </w:tcPr>
          <w:p w:rsidRPr="00A84A9E" w:rsidR="00445A99" w:rsidP="00445A99" w:rsidRDefault="00445A99" w14:paraId="03FAD2FB" w14:textId="77777777">
            <w:pPr>
              <w:spacing w:after="0"/>
              <w:jc w:val="center"/>
              <w:rPr>
                <w:rFonts w:cs="Arial"/>
                <w:b/>
                <w:bCs/>
                <w:color w:val="000000"/>
                <w:sz w:val="18"/>
                <w:szCs w:val="18"/>
              </w:rPr>
            </w:pPr>
            <w:r w:rsidRPr="00A84A9E">
              <w:rPr>
                <w:rFonts w:cs="Arial"/>
                <w:b/>
                <w:bCs/>
                <w:color w:val="000000"/>
                <w:sz w:val="18"/>
                <w:szCs w:val="18"/>
              </w:rPr>
              <w:t>Wage ($2020)</w:t>
            </w:r>
          </w:p>
        </w:tc>
        <w:tc>
          <w:tcPr>
            <w:tcW w:w="0" w:type="auto"/>
            <w:tcBorders>
              <w:bottom w:val="single" w:color="auto" w:sz="8" w:space="0"/>
            </w:tcBorders>
            <w:shd w:val="clear" w:color="000000" w:fill="BFBFBF"/>
            <w:tcMar>
              <w:top w:w="15" w:type="dxa"/>
              <w:left w:w="15" w:type="dxa"/>
              <w:bottom w:w="0" w:type="dxa"/>
              <w:right w:w="15" w:type="dxa"/>
            </w:tcMar>
            <w:vAlign w:val="center"/>
            <w:hideMark/>
          </w:tcPr>
          <w:p w:rsidRPr="00A84A9E" w:rsidR="00445A99" w:rsidP="00445A99" w:rsidRDefault="00445A99" w14:paraId="487C9963" w14:textId="77777777">
            <w:pPr>
              <w:spacing w:after="0"/>
              <w:jc w:val="center"/>
              <w:rPr>
                <w:rFonts w:cs="Arial"/>
                <w:b/>
                <w:bCs/>
                <w:color w:val="000000"/>
                <w:sz w:val="18"/>
                <w:szCs w:val="18"/>
              </w:rPr>
            </w:pPr>
            <w:r w:rsidRPr="00A84A9E">
              <w:rPr>
                <w:rFonts w:cs="Arial"/>
                <w:b/>
                <w:bCs/>
                <w:color w:val="000000"/>
                <w:sz w:val="18"/>
                <w:szCs w:val="18"/>
              </w:rPr>
              <w:t>Hours</w:t>
            </w:r>
          </w:p>
        </w:tc>
        <w:tc>
          <w:tcPr>
            <w:tcW w:w="0" w:type="auto"/>
            <w:tcBorders>
              <w:bottom w:val="single" w:color="auto" w:sz="8" w:space="0"/>
            </w:tcBorders>
            <w:shd w:val="clear" w:color="000000" w:fill="BFBFBF"/>
            <w:tcMar>
              <w:top w:w="15" w:type="dxa"/>
              <w:left w:w="15" w:type="dxa"/>
              <w:bottom w:w="0" w:type="dxa"/>
              <w:right w:w="15" w:type="dxa"/>
            </w:tcMar>
            <w:vAlign w:val="center"/>
            <w:hideMark/>
          </w:tcPr>
          <w:p w:rsidRPr="00A84A9E" w:rsidR="00445A99" w:rsidP="00445A99" w:rsidRDefault="00445A99" w14:paraId="6F153943" w14:textId="77777777">
            <w:pPr>
              <w:spacing w:after="0"/>
              <w:jc w:val="center"/>
              <w:rPr>
                <w:rFonts w:cs="Arial"/>
                <w:b/>
                <w:bCs/>
                <w:color w:val="000000"/>
                <w:sz w:val="18"/>
                <w:szCs w:val="18"/>
              </w:rPr>
            </w:pPr>
            <w:r w:rsidRPr="00A84A9E">
              <w:rPr>
                <w:rFonts w:cs="Arial"/>
                <w:b/>
                <w:bCs/>
                <w:color w:val="000000"/>
                <w:sz w:val="18"/>
                <w:szCs w:val="18"/>
              </w:rPr>
              <w:t>Wage ($2020)</w:t>
            </w:r>
          </w:p>
        </w:tc>
        <w:tc>
          <w:tcPr>
            <w:tcW w:w="0" w:type="auto"/>
            <w:vMerge/>
            <w:tcBorders>
              <w:bottom w:val="single" w:color="auto" w:sz="8" w:space="0"/>
            </w:tcBorders>
            <w:vAlign w:val="center"/>
            <w:hideMark/>
          </w:tcPr>
          <w:p w:rsidRPr="00A84A9E" w:rsidR="00445A99" w:rsidP="00445A99" w:rsidRDefault="00445A99" w14:paraId="1C42B86D" w14:textId="77777777">
            <w:pPr>
              <w:spacing w:after="0"/>
              <w:rPr>
                <w:rFonts w:cs="Arial"/>
                <w:b/>
                <w:bCs/>
                <w:color w:val="000000"/>
                <w:sz w:val="18"/>
                <w:szCs w:val="18"/>
              </w:rPr>
            </w:pPr>
          </w:p>
        </w:tc>
        <w:tc>
          <w:tcPr>
            <w:tcW w:w="0" w:type="auto"/>
            <w:vMerge/>
            <w:tcBorders>
              <w:bottom w:val="single" w:color="auto" w:sz="8" w:space="0"/>
            </w:tcBorders>
            <w:vAlign w:val="center"/>
            <w:hideMark/>
          </w:tcPr>
          <w:p w:rsidRPr="00A84A9E" w:rsidR="00445A99" w:rsidP="00445A99" w:rsidRDefault="00445A99" w14:paraId="46A9F574" w14:textId="77777777">
            <w:pPr>
              <w:spacing w:after="0"/>
              <w:rPr>
                <w:rFonts w:cs="Arial"/>
                <w:b/>
                <w:bCs/>
                <w:color w:val="000000"/>
                <w:sz w:val="18"/>
                <w:szCs w:val="18"/>
              </w:rPr>
            </w:pPr>
          </w:p>
        </w:tc>
        <w:tc>
          <w:tcPr>
            <w:tcW w:w="0" w:type="auto"/>
            <w:vMerge/>
            <w:tcBorders>
              <w:bottom w:val="single" w:color="auto" w:sz="8" w:space="0"/>
            </w:tcBorders>
            <w:vAlign w:val="center"/>
            <w:hideMark/>
          </w:tcPr>
          <w:p w:rsidRPr="00A84A9E" w:rsidR="00445A99" w:rsidP="00445A99" w:rsidRDefault="00445A99" w14:paraId="013A4467" w14:textId="77777777">
            <w:pPr>
              <w:spacing w:after="0"/>
              <w:rPr>
                <w:rFonts w:cs="Arial"/>
                <w:b/>
                <w:bCs/>
                <w:color w:val="000000"/>
                <w:sz w:val="18"/>
                <w:szCs w:val="18"/>
              </w:rPr>
            </w:pPr>
          </w:p>
        </w:tc>
        <w:tc>
          <w:tcPr>
            <w:tcW w:w="0" w:type="auto"/>
            <w:vMerge/>
            <w:tcBorders>
              <w:bottom w:val="single" w:color="auto" w:sz="8" w:space="0"/>
            </w:tcBorders>
            <w:vAlign w:val="center"/>
            <w:hideMark/>
          </w:tcPr>
          <w:p w:rsidRPr="00A84A9E" w:rsidR="00445A99" w:rsidP="00445A99" w:rsidRDefault="00445A99" w14:paraId="335ECE0E" w14:textId="77777777">
            <w:pPr>
              <w:spacing w:after="0"/>
              <w:rPr>
                <w:rFonts w:cs="Arial"/>
                <w:b/>
                <w:bCs/>
                <w:color w:val="000000"/>
                <w:sz w:val="18"/>
                <w:szCs w:val="18"/>
              </w:rPr>
            </w:pPr>
          </w:p>
        </w:tc>
      </w:tr>
      <w:tr w:rsidRPr="00E84D04" w:rsidR="00E84D04" w:rsidTr="00E84D04" w14:paraId="61887281" w14:textId="77777777">
        <w:trPr>
          <w:trHeight w:val="1390"/>
        </w:trPr>
        <w:tc>
          <w:tcPr>
            <w:tcW w:w="0" w:type="auto"/>
            <w:tcBorders>
              <w:top w:val="single" w:color="auto" w:sz="8" w:space="0"/>
              <w:bottom w:val="single" w:color="auto" w:sz="6" w:space="0"/>
            </w:tcBorders>
            <w:shd w:val="clear" w:color="auto" w:fill="auto"/>
            <w:tcMar>
              <w:top w:w="15" w:type="dxa"/>
              <w:left w:w="15" w:type="dxa"/>
              <w:bottom w:w="0" w:type="dxa"/>
              <w:right w:w="15" w:type="dxa"/>
            </w:tcMar>
            <w:vAlign w:val="center"/>
            <w:hideMark/>
          </w:tcPr>
          <w:p w:rsidRPr="00A84A9E" w:rsidR="00B12451" w:rsidRDefault="00B12451" w14:paraId="29589414" w14:textId="77777777">
            <w:pPr>
              <w:rPr>
                <w:rFonts w:cs="Arial"/>
                <w:color w:val="000000"/>
                <w:sz w:val="18"/>
                <w:szCs w:val="18"/>
              </w:rPr>
            </w:pPr>
            <w:r w:rsidRPr="00A84A9E">
              <w:rPr>
                <w:rFonts w:cs="Arial"/>
                <w:color w:val="000000"/>
                <w:sz w:val="18"/>
                <w:szCs w:val="18"/>
              </w:rPr>
              <w:t xml:space="preserve">Standard/Ecolabel Organizations </w:t>
            </w:r>
            <w:r w:rsidRPr="00A84A9E">
              <w:rPr>
                <w:rFonts w:cs="Arial"/>
                <w:b/>
                <w:bCs/>
                <w:color w:val="000000"/>
                <w:sz w:val="18"/>
                <w:szCs w:val="18"/>
              </w:rPr>
              <w:t>previously assessed</w:t>
            </w:r>
            <w:r w:rsidRPr="00A84A9E">
              <w:rPr>
                <w:rFonts w:cs="Arial"/>
                <w:color w:val="000000"/>
                <w:sz w:val="18"/>
                <w:szCs w:val="18"/>
              </w:rPr>
              <w:t xml:space="preserve"> per EPA Framework</w:t>
            </w:r>
          </w:p>
        </w:tc>
        <w:tc>
          <w:tcPr>
            <w:tcW w:w="0" w:type="auto"/>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46359A55" w14:textId="77777777">
            <w:pPr>
              <w:jc w:val="center"/>
              <w:rPr>
                <w:rFonts w:cs="Arial"/>
                <w:color w:val="000000"/>
                <w:sz w:val="18"/>
                <w:szCs w:val="18"/>
              </w:rPr>
            </w:pPr>
            <w:r w:rsidRPr="00A84A9E">
              <w:rPr>
                <w:rFonts w:cs="Arial"/>
                <w:color w:val="000000"/>
                <w:sz w:val="18"/>
                <w:szCs w:val="18"/>
              </w:rPr>
              <w:t>20</w:t>
            </w:r>
          </w:p>
        </w:tc>
        <w:tc>
          <w:tcPr>
            <w:tcW w:w="1644" w:type="dxa"/>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116E8B45" w14:textId="77777777">
            <w:pPr>
              <w:jc w:val="center"/>
              <w:rPr>
                <w:rFonts w:cs="Arial"/>
                <w:color w:val="000000"/>
                <w:sz w:val="18"/>
                <w:szCs w:val="18"/>
              </w:rPr>
            </w:pPr>
            <w:r w:rsidRPr="00A84A9E">
              <w:rPr>
                <w:rFonts w:cs="Arial"/>
                <w:color w:val="000000"/>
                <w:sz w:val="18"/>
                <w:szCs w:val="18"/>
              </w:rPr>
              <w:t>2</w:t>
            </w:r>
          </w:p>
        </w:tc>
        <w:tc>
          <w:tcPr>
            <w:tcW w:w="582" w:type="dxa"/>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58E1881E" w14:textId="77777777">
            <w:pPr>
              <w:jc w:val="center"/>
              <w:rPr>
                <w:rFonts w:cs="Arial"/>
                <w:color w:val="000000"/>
                <w:sz w:val="18"/>
                <w:szCs w:val="18"/>
              </w:rPr>
            </w:pPr>
            <w:r w:rsidRPr="00A84A9E">
              <w:rPr>
                <w:rFonts w:cs="Arial"/>
                <w:color w:val="000000"/>
                <w:sz w:val="18"/>
                <w:szCs w:val="18"/>
              </w:rPr>
              <w:t>2.5</w:t>
            </w:r>
          </w:p>
        </w:tc>
        <w:tc>
          <w:tcPr>
            <w:tcW w:w="0" w:type="auto"/>
            <w:tcBorders>
              <w:top w:val="single" w:color="auto" w:sz="8" w:space="0"/>
              <w:bottom w:val="single" w:color="auto" w:sz="6" w:space="0"/>
            </w:tcBorders>
            <w:shd w:val="clear" w:color="auto" w:fill="auto"/>
            <w:tcMar>
              <w:top w:w="15" w:type="dxa"/>
              <w:left w:w="15" w:type="dxa"/>
              <w:bottom w:w="0" w:type="dxa"/>
              <w:right w:w="15" w:type="dxa"/>
            </w:tcMar>
            <w:vAlign w:val="center"/>
            <w:hideMark/>
          </w:tcPr>
          <w:p w:rsidRPr="00A84A9E" w:rsidR="00B12451" w:rsidRDefault="00B12451" w14:paraId="5F2FCDA0" w14:textId="77777777">
            <w:pPr>
              <w:jc w:val="center"/>
              <w:rPr>
                <w:rFonts w:cs="Arial"/>
                <w:color w:val="000000"/>
                <w:sz w:val="18"/>
                <w:szCs w:val="18"/>
              </w:rPr>
            </w:pPr>
            <w:r w:rsidRPr="00A84A9E">
              <w:rPr>
                <w:rFonts w:cs="Arial"/>
                <w:color w:val="000000"/>
                <w:sz w:val="18"/>
                <w:szCs w:val="18"/>
              </w:rPr>
              <w:t>$66.46</w:t>
            </w:r>
          </w:p>
        </w:tc>
        <w:tc>
          <w:tcPr>
            <w:tcW w:w="0" w:type="auto"/>
            <w:tcBorders>
              <w:top w:val="single" w:color="auto" w:sz="8" w:space="0"/>
              <w:bottom w:val="single" w:color="auto" w:sz="6" w:space="0"/>
            </w:tcBorders>
            <w:shd w:val="clear" w:color="auto" w:fill="auto"/>
            <w:tcMar>
              <w:top w:w="15" w:type="dxa"/>
              <w:left w:w="15" w:type="dxa"/>
              <w:bottom w:w="0" w:type="dxa"/>
              <w:right w:w="15" w:type="dxa"/>
            </w:tcMar>
            <w:vAlign w:val="center"/>
            <w:hideMark/>
          </w:tcPr>
          <w:p w:rsidRPr="00A84A9E" w:rsidR="00B12451" w:rsidRDefault="00B12451" w14:paraId="47F04E16" w14:textId="77777777">
            <w:pPr>
              <w:jc w:val="center"/>
              <w:rPr>
                <w:rFonts w:cs="Arial"/>
                <w:color w:val="000000"/>
                <w:sz w:val="18"/>
                <w:szCs w:val="18"/>
              </w:rPr>
            </w:pPr>
            <w:r w:rsidRPr="00A84A9E">
              <w:rPr>
                <w:rFonts w:cs="Arial"/>
                <w:color w:val="000000"/>
                <w:sz w:val="18"/>
                <w:szCs w:val="18"/>
              </w:rPr>
              <w:t>2.5</w:t>
            </w:r>
          </w:p>
        </w:tc>
        <w:tc>
          <w:tcPr>
            <w:tcW w:w="0" w:type="auto"/>
            <w:tcBorders>
              <w:top w:val="single" w:color="auto" w:sz="8" w:space="0"/>
              <w:bottom w:val="single" w:color="auto" w:sz="6" w:space="0"/>
            </w:tcBorders>
            <w:shd w:val="clear" w:color="auto" w:fill="auto"/>
            <w:tcMar>
              <w:top w:w="15" w:type="dxa"/>
              <w:left w:w="15" w:type="dxa"/>
              <w:bottom w:w="0" w:type="dxa"/>
              <w:right w:w="15" w:type="dxa"/>
            </w:tcMar>
            <w:vAlign w:val="center"/>
            <w:hideMark/>
          </w:tcPr>
          <w:p w:rsidRPr="00A84A9E" w:rsidR="00B12451" w:rsidRDefault="00B12451" w14:paraId="68F08F76" w14:textId="77777777">
            <w:pPr>
              <w:jc w:val="center"/>
              <w:rPr>
                <w:rFonts w:cs="Arial"/>
                <w:color w:val="000000"/>
                <w:sz w:val="18"/>
                <w:szCs w:val="18"/>
              </w:rPr>
            </w:pPr>
            <w:r w:rsidRPr="00A84A9E">
              <w:rPr>
                <w:rFonts w:cs="Arial"/>
                <w:color w:val="000000"/>
                <w:sz w:val="18"/>
                <w:szCs w:val="18"/>
              </w:rPr>
              <w:t>$61.81</w:t>
            </w:r>
          </w:p>
        </w:tc>
        <w:tc>
          <w:tcPr>
            <w:tcW w:w="0" w:type="auto"/>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6FBC8A2A" w14:textId="77777777">
            <w:pPr>
              <w:jc w:val="center"/>
              <w:rPr>
                <w:rFonts w:cs="Arial"/>
                <w:color w:val="000000"/>
                <w:sz w:val="18"/>
                <w:szCs w:val="18"/>
              </w:rPr>
            </w:pPr>
            <w:r w:rsidRPr="00A84A9E">
              <w:rPr>
                <w:rFonts w:cs="Arial"/>
                <w:color w:val="000000"/>
                <w:sz w:val="18"/>
                <w:szCs w:val="18"/>
              </w:rPr>
              <w:t>200</w:t>
            </w:r>
          </w:p>
        </w:tc>
        <w:tc>
          <w:tcPr>
            <w:tcW w:w="0" w:type="auto"/>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2F0D6778" w14:textId="77777777">
            <w:pPr>
              <w:jc w:val="center"/>
              <w:rPr>
                <w:rFonts w:cs="Arial"/>
                <w:color w:val="000000"/>
                <w:sz w:val="18"/>
                <w:szCs w:val="18"/>
              </w:rPr>
            </w:pPr>
            <w:r w:rsidRPr="00A84A9E">
              <w:rPr>
                <w:rFonts w:cs="Arial"/>
                <w:color w:val="000000"/>
                <w:sz w:val="18"/>
                <w:szCs w:val="18"/>
              </w:rPr>
              <w:t>$12,827</w:t>
            </w:r>
          </w:p>
        </w:tc>
        <w:tc>
          <w:tcPr>
            <w:tcW w:w="0" w:type="auto"/>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304723F6" w14:textId="77777777">
            <w:pPr>
              <w:jc w:val="center"/>
              <w:rPr>
                <w:rFonts w:cs="Arial"/>
                <w:color w:val="000000"/>
                <w:sz w:val="18"/>
                <w:szCs w:val="18"/>
              </w:rPr>
            </w:pPr>
            <w:r w:rsidRPr="00A84A9E">
              <w:rPr>
                <w:rFonts w:cs="Arial"/>
                <w:color w:val="000000"/>
                <w:sz w:val="18"/>
                <w:szCs w:val="18"/>
              </w:rPr>
              <w:t>66.67</w:t>
            </w:r>
          </w:p>
        </w:tc>
        <w:tc>
          <w:tcPr>
            <w:tcW w:w="0" w:type="auto"/>
            <w:tcBorders>
              <w:top w:val="single" w:color="auto" w:sz="8" w:space="0"/>
              <w:bottom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343B6524" w14:textId="77777777">
            <w:pPr>
              <w:jc w:val="center"/>
              <w:rPr>
                <w:rFonts w:cs="Arial"/>
                <w:color w:val="000000"/>
                <w:sz w:val="18"/>
                <w:szCs w:val="18"/>
              </w:rPr>
            </w:pPr>
            <w:r w:rsidRPr="00A84A9E">
              <w:rPr>
                <w:rFonts w:cs="Arial"/>
                <w:color w:val="000000"/>
                <w:sz w:val="18"/>
                <w:szCs w:val="18"/>
              </w:rPr>
              <w:t>$4,276</w:t>
            </w:r>
          </w:p>
        </w:tc>
      </w:tr>
      <w:tr w:rsidRPr="00E84D04" w:rsidR="00E84D04" w:rsidTr="00E84D04" w14:paraId="7FF1B895" w14:textId="77777777">
        <w:trPr>
          <w:trHeight w:val="1231"/>
        </w:trPr>
        <w:tc>
          <w:tcPr>
            <w:tcW w:w="0" w:type="auto"/>
            <w:tcBorders>
              <w:top w:val="single" w:color="auto" w:sz="6" w:space="0"/>
            </w:tcBorders>
            <w:shd w:val="clear" w:color="auto" w:fill="auto"/>
            <w:tcMar>
              <w:top w:w="15" w:type="dxa"/>
              <w:left w:w="15" w:type="dxa"/>
              <w:bottom w:w="0" w:type="dxa"/>
              <w:right w:w="15" w:type="dxa"/>
            </w:tcMar>
            <w:vAlign w:val="center"/>
            <w:hideMark/>
          </w:tcPr>
          <w:p w:rsidRPr="00A84A9E" w:rsidR="00B12451" w:rsidRDefault="00B12451" w14:paraId="5C1E28B7" w14:textId="77777777">
            <w:pPr>
              <w:rPr>
                <w:rFonts w:cs="Arial"/>
                <w:color w:val="000000"/>
                <w:sz w:val="18"/>
                <w:szCs w:val="18"/>
              </w:rPr>
            </w:pPr>
            <w:r w:rsidRPr="00A84A9E">
              <w:rPr>
                <w:rFonts w:cs="Arial"/>
                <w:color w:val="000000"/>
                <w:sz w:val="18"/>
                <w:szCs w:val="18"/>
              </w:rPr>
              <w:t xml:space="preserve">Standard/Ecolabel Organizations </w:t>
            </w:r>
            <w:r w:rsidRPr="00A84A9E">
              <w:rPr>
                <w:rFonts w:cs="Arial"/>
                <w:b/>
                <w:bCs/>
                <w:color w:val="000000"/>
                <w:sz w:val="18"/>
                <w:szCs w:val="18"/>
              </w:rPr>
              <w:t>NOT previously assessed</w:t>
            </w:r>
            <w:r w:rsidRPr="00A84A9E">
              <w:rPr>
                <w:rFonts w:cs="Arial"/>
                <w:color w:val="000000"/>
                <w:sz w:val="18"/>
                <w:szCs w:val="18"/>
              </w:rPr>
              <w:t xml:space="preserve"> per EPA Framework</w:t>
            </w:r>
          </w:p>
        </w:tc>
        <w:tc>
          <w:tcPr>
            <w:tcW w:w="0" w:type="auto"/>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0C0CE21B" w14:textId="77777777">
            <w:pPr>
              <w:jc w:val="center"/>
              <w:rPr>
                <w:rFonts w:cs="Arial"/>
                <w:color w:val="000000"/>
                <w:sz w:val="18"/>
                <w:szCs w:val="18"/>
              </w:rPr>
            </w:pPr>
            <w:r w:rsidRPr="00A84A9E">
              <w:rPr>
                <w:rFonts w:cs="Arial"/>
                <w:color w:val="000000"/>
                <w:sz w:val="18"/>
                <w:szCs w:val="18"/>
              </w:rPr>
              <w:t>80</w:t>
            </w:r>
          </w:p>
        </w:tc>
        <w:tc>
          <w:tcPr>
            <w:tcW w:w="1644" w:type="dxa"/>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654ACF51" w14:textId="77777777">
            <w:pPr>
              <w:jc w:val="center"/>
              <w:rPr>
                <w:rFonts w:cs="Arial"/>
                <w:color w:val="000000"/>
                <w:sz w:val="18"/>
                <w:szCs w:val="18"/>
              </w:rPr>
            </w:pPr>
            <w:r w:rsidRPr="00A84A9E">
              <w:rPr>
                <w:rFonts w:cs="Arial"/>
                <w:color w:val="000000"/>
                <w:sz w:val="18"/>
                <w:szCs w:val="18"/>
              </w:rPr>
              <w:t>2</w:t>
            </w:r>
          </w:p>
        </w:tc>
        <w:tc>
          <w:tcPr>
            <w:tcW w:w="582" w:type="dxa"/>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02004865" w14:textId="77777777">
            <w:pPr>
              <w:jc w:val="center"/>
              <w:rPr>
                <w:rFonts w:cs="Arial"/>
                <w:color w:val="000000"/>
                <w:sz w:val="18"/>
                <w:szCs w:val="18"/>
              </w:rPr>
            </w:pPr>
            <w:r w:rsidRPr="00A84A9E">
              <w:rPr>
                <w:rFonts w:cs="Arial"/>
                <w:color w:val="000000"/>
                <w:sz w:val="18"/>
                <w:szCs w:val="18"/>
              </w:rPr>
              <w:t>6</w:t>
            </w:r>
          </w:p>
        </w:tc>
        <w:tc>
          <w:tcPr>
            <w:tcW w:w="0" w:type="auto"/>
            <w:tcBorders>
              <w:top w:val="single" w:color="auto" w:sz="6" w:space="0"/>
            </w:tcBorders>
            <w:shd w:val="clear" w:color="auto" w:fill="auto"/>
            <w:tcMar>
              <w:top w:w="15" w:type="dxa"/>
              <w:left w:w="15" w:type="dxa"/>
              <w:bottom w:w="0" w:type="dxa"/>
              <w:right w:w="15" w:type="dxa"/>
            </w:tcMar>
            <w:vAlign w:val="center"/>
            <w:hideMark/>
          </w:tcPr>
          <w:p w:rsidRPr="00A84A9E" w:rsidR="00B12451" w:rsidRDefault="00B12451" w14:paraId="5FE608BB" w14:textId="77777777">
            <w:pPr>
              <w:jc w:val="center"/>
              <w:rPr>
                <w:rFonts w:cs="Arial"/>
                <w:color w:val="000000"/>
                <w:sz w:val="18"/>
                <w:szCs w:val="18"/>
              </w:rPr>
            </w:pPr>
            <w:r w:rsidRPr="00A84A9E">
              <w:rPr>
                <w:rFonts w:cs="Arial"/>
                <w:color w:val="000000"/>
                <w:sz w:val="18"/>
                <w:szCs w:val="18"/>
              </w:rPr>
              <w:t>$66.46</w:t>
            </w:r>
          </w:p>
        </w:tc>
        <w:tc>
          <w:tcPr>
            <w:tcW w:w="0" w:type="auto"/>
            <w:tcBorders>
              <w:top w:val="single" w:color="auto" w:sz="6" w:space="0"/>
            </w:tcBorders>
            <w:shd w:val="clear" w:color="auto" w:fill="auto"/>
            <w:tcMar>
              <w:top w:w="15" w:type="dxa"/>
              <w:left w:w="15" w:type="dxa"/>
              <w:bottom w:w="0" w:type="dxa"/>
              <w:right w:w="15" w:type="dxa"/>
            </w:tcMar>
            <w:vAlign w:val="center"/>
            <w:hideMark/>
          </w:tcPr>
          <w:p w:rsidRPr="00A84A9E" w:rsidR="00B12451" w:rsidRDefault="00B12451" w14:paraId="16E9D710" w14:textId="77777777">
            <w:pPr>
              <w:jc w:val="center"/>
              <w:rPr>
                <w:rFonts w:cs="Arial"/>
                <w:color w:val="000000"/>
                <w:sz w:val="18"/>
                <w:szCs w:val="18"/>
              </w:rPr>
            </w:pPr>
            <w:r w:rsidRPr="00A84A9E">
              <w:rPr>
                <w:rFonts w:cs="Arial"/>
                <w:color w:val="000000"/>
                <w:sz w:val="18"/>
                <w:szCs w:val="18"/>
              </w:rPr>
              <w:t>6</w:t>
            </w:r>
          </w:p>
        </w:tc>
        <w:tc>
          <w:tcPr>
            <w:tcW w:w="0" w:type="auto"/>
            <w:tcBorders>
              <w:top w:val="single" w:color="auto" w:sz="6" w:space="0"/>
            </w:tcBorders>
            <w:shd w:val="clear" w:color="auto" w:fill="auto"/>
            <w:tcMar>
              <w:top w:w="15" w:type="dxa"/>
              <w:left w:w="15" w:type="dxa"/>
              <w:bottom w:w="0" w:type="dxa"/>
              <w:right w:w="15" w:type="dxa"/>
            </w:tcMar>
            <w:vAlign w:val="center"/>
            <w:hideMark/>
          </w:tcPr>
          <w:p w:rsidRPr="00A84A9E" w:rsidR="00B12451" w:rsidRDefault="00B12451" w14:paraId="23EC4539" w14:textId="77777777">
            <w:pPr>
              <w:jc w:val="center"/>
              <w:rPr>
                <w:rFonts w:cs="Arial"/>
                <w:color w:val="000000"/>
                <w:sz w:val="18"/>
                <w:szCs w:val="18"/>
              </w:rPr>
            </w:pPr>
            <w:r w:rsidRPr="00A84A9E">
              <w:rPr>
                <w:rFonts w:cs="Arial"/>
                <w:color w:val="000000"/>
                <w:sz w:val="18"/>
                <w:szCs w:val="18"/>
              </w:rPr>
              <w:t>$61.81</w:t>
            </w:r>
          </w:p>
        </w:tc>
        <w:tc>
          <w:tcPr>
            <w:tcW w:w="0" w:type="auto"/>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3A286F54" w14:textId="77777777">
            <w:pPr>
              <w:jc w:val="center"/>
              <w:rPr>
                <w:rFonts w:cs="Arial"/>
                <w:color w:val="000000"/>
                <w:sz w:val="18"/>
                <w:szCs w:val="18"/>
              </w:rPr>
            </w:pPr>
            <w:r w:rsidRPr="00A84A9E">
              <w:rPr>
                <w:rFonts w:cs="Arial"/>
                <w:color w:val="000000"/>
                <w:sz w:val="18"/>
                <w:szCs w:val="18"/>
              </w:rPr>
              <w:t xml:space="preserve">      1,920 </w:t>
            </w:r>
          </w:p>
        </w:tc>
        <w:tc>
          <w:tcPr>
            <w:tcW w:w="0" w:type="auto"/>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3C43B844" w14:textId="77777777">
            <w:pPr>
              <w:jc w:val="center"/>
              <w:rPr>
                <w:rFonts w:cs="Arial"/>
                <w:color w:val="000000"/>
                <w:sz w:val="18"/>
                <w:szCs w:val="18"/>
              </w:rPr>
            </w:pPr>
            <w:r w:rsidRPr="00A84A9E">
              <w:rPr>
                <w:rFonts w:cs="Arial"/>
                <w:color w:val="000000"/>
                <w:sz w:val="18"/>
                <w:szCs w:val="18"/>
              </w:rPr>
              <w:t>$123,139</w:t>
            </w:r>
          </w:p>
        </w:tc>
        <w:tc>
          <w:tcPr>
            <w:tcW w:w="0" w:type="auto"/>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0D00DEE0" w14:textId="77777777">
            <w:pPr>
              <w:jc w:val="center"/>
              <w:rPr>
                <w:rFonts w:cs="Arial"/>
                <w:color w:val="000000"/>
                <w:sz w:val="18"/>
                <w:szCs w:val="18"/>
              </w:rPr>
            </w:pPr>
            <w:r w:rsidRPr="00A84A9E">
              <w:rPr>
                <w:rFonts w:cs="Arial"/>
                <w:color w:val="000000"/>
                <w:sz w:val="18"/>
                <w:szCs w:val="18"/>
              </w:rPr>
              <w:t>640</w:t>
            </w:r>
          </w:p>
        </w:tc>
        <w:tc>
          <w:tcPr>
            <w:tcW w:w="0" w:type="auto"/>
            <w:tcBorders>
              <w:top w:val="single" w:color="auto" w:sz="6" w:space="0"/>
            </w:tcBorders>
            <w:shd w:val="clear" w:color="auto" w:fill="auto"/>
            <w:noWrap/>
            <w:tcMar>
              <w:top w:w="15" w:type="dxa"/>
              <w:left w:w="15" w:type="dxa"/>
              <w:bottom w:w="0" w:type="dxa"/>
              <w:right w:w="15" w:type="dxa"/>
            </w:tcMar>
            <w:vAlign w:val="center"/>
            <w:hideMark/>
          </w:tcPr>
          <w:p w:rsidRPr="00A84A9E" w:rsidR="00B12451" w:rsidRDefault="00B12451" w14:paraId="7572E681" w14:textId="77777777">
            <w:pPr>
              <w:jc w:val="center"/>
              <w:rPr>
                <w:rFonts w:cs="Arial"/>
                <w:color w:val="000000"/>
                <w:sz w:val="18"/>
                <w:szCs w:val="18"/>
              </w:rPr>
            </w:pPr>
            <w:r w:rsidRPr="00A84A9E">
              <w:rPr>
                <w:rFonts w:cs="Arial"/>
                <w:color w:val="000000"/>
                <w:sz w:val="18"/>
                <w:szCs w:val="18"/>
              </w:rPr>
              <w:t>$41,046</w:t>
            </w:r>
          </w:p>
        </w:tc>
      </w:tr>
      <w:tr w:rsidRPr="00E84D04" w:rsidR="00E84D04" w:rsidTr="00E84D04" w14:paraId="59D07010" w14:textId="77777777">
        <w:trPr>
          <w:trHeight w:val="317"/>
        </w:trPr>
        <w:tc>
          <w:tcPr>
            <w:tcW w:w="0" w:type="auto"/>
            <w:shd w:val="clear" w:color="auto" w:fill="auto"/>
            <w:noWrap/>
            <w:tcMar>
              <w:top w:w="15" w:type="dxa"/>
              <w:left w:w="15" w:type="dxa"/>
              <w:bottom w:w="0" w:type="dxa"/>
              <w:right w:w="15" w:type="dxa"/>
            </w:tcMar>
            <w:vAlign w:val="center"/>
            <w:hideMark/>
          </w:tcPr>
          <w:p w:rsidRPr="00A84A9E" w:rsidR="00B12451" w:rsidRDefault="00B12451" w14:paraId="6323E661" w14:textId="77777777">
            <w:pPr>
              <w:rPr>
                <w:rFonts w:cs="Arial"/>
                <w:b/>
                <w:bCs/>
                <w:color w:val="000000"/>
                <w:sz w:val="18"/>
                <w:szCs w:val="18"/>
              </w:rPr>
            </w:pPr>
            <w:r w:rsidRPr="00A84A9E">
              <w:rPr>
                <w:rFonts w:cs="Arial"/>
                <w:b/>
                <w:bCs/>
                <w:color w:val="000000"/>
                <w:sz w:val="18"/>
                <w:szCs w:val="18"/>
              </w:rPr>
              <w:t>Total</w:t>
            </w:r>
          </w:p>
        </w:tc>
        <w:tc>
          <w:tcPr>
            <w:tcW w:w="0" w:type="auto"/>
            <w:shd w:val="clear" w:color="auto" w:fill="auto"/>
            <w:noWrap/>
            <w:tcMar>
              <w:top w:w="15" w:type="dxa"/>
              <w:left w:w="15" w:type="dxa"/>
              <w:bottom w:w="0" w:type="dxa"/>
              <w:right w:w="15" w:type="dxa"/>
            </w:tcMar>
            <w:vAlign w:val="center"/>
            <w:hideMark/>
          </w:tcPr>
          <w:p w:rsidRPr="00A84A9E" w:rsidR="00B12451" w:rsidRDefault="00B12451" w14:paraId="7349F618" w14:textId="77777777">
            <w:pPr>
              <w:jc w:val="center"/>
              <w:rPr>
                <w:rFonts w:cs="Arial"/>
                <w:b/>
                <w:bCs/>
                <w:color w:val="000000"/>
                <w:sz w:val="18"/>
                <w:szCs w:val="18"/>
              </w:rPr>
            </w:pPr>
            <w:r w:rsidRPr="00A84A9E">
              <w:rPr>
                <w:rFonts w:cs="Arial"/>
                <w:b/>
                <w:bCs/>
                <w:color w:val="000000"/>
                <w:sz w:val="18"/>
                <w:szCs w:val="18"/>
              </w:rPr>
              <w:t>100</w:t>
            </w:r>
          </w:p>
        </w:tc>
        <w:tc>
          <w:tcPr>
            <w:tcW w:w="1644" w:type="dxa"/>
            <w:shd w:val="clear" w:color="auto" w:fill="auto"/>
            <w:noWrap/>
            <w:tcMar>
              <w:top w:w="15" w:type="dxa"/>
              <w:left w:w="15" w:type="dxa"/>
              <w:bottom w:w="0" w:type="dxa"/>
              <w:right w:w="15" w:type="dxa"/>
            </w:tcMar>
            <w:vAlign w:val="center"/>
            <w:hideMark/>
          </w:tcPr>
          <w:p w:rsidRPr="00A84A9E" w:rsidR="00B12451" w:rsidRDefault="00B12451" w14:paraId="7772F545" w14:textId="77777777">
            <w:pPr>
              <w:jc w:val="center"/>
              <w:rPr>
                <w:rFonts w:cs="Arial"/>
                <w:b/>
                <w:bCs/>
                <w:color w:val="000000"/>
                <w:sz w:val="18"/>
                <w:szCs w:val="18"/>
              </w:rPr>
            </w:pPr>
            <w:r w:rsidRPr="00A84A9E">
              <w:rPr>
                <w:rFonts w:cs="Arial"/>
                <w:b/>
                <w:bCs/>
                <w:color w:val="000000"/>
                <w:sz w:val="18"/>
                <w:szCs w:val="18"/>
              </w:rPr>
              <w:t>2</w:t>
            </w:r>
          </w:p>
        </w:tc>
        <w:tc>
          <w:tcPr>
            <w:tcW w:w="582" w:type="dxa"/>
            <w:shd w:val="clear" w:color="auto" w:fill="auto"/>
            <w:noWrap/>
            <w:tcMar>
              <w:top w:w="15" w:type="dxa"/>
              <w:left w:w="15" w:type="dxa"/>
              <w:bottom w:w="0" w:type="dxa"/>
              <w:right w:w="15" w:type="dxa"/>
            </w:tcMar>
            <w:vAlign w:val="center"/>
            <w:hideMark/>
          </w:tcPr>
          <w:p w:rsidRPr="00A84A9E" w:rsidR="00B12451" w:rsidRDefault="006C01AD" w14:paraId="10385054" w14:textId="5274C784">
            <w:pPr>
              <w:jc w:val="center"/>
              <w:rPr>
                <w:rFonts w:cs="Arial"/>
                <w:b/>
                <w:bCs/>
                <w:color w:val="000000"/>
                <w:sz w:val="18"/>
                <w:szCs w:val="18"/>
              </w:rPr>
            </w:pPr>
            <w:r w:rsidRPr="00A84A9E">
              <w:rPr>
                <w:rFonts w:cs="Arial"/>
                <w:b/>
                <w:bCs/>
                <w:color w:val="000000"/>
                <w:sz w:val="18"/>
                <w:szCs w:val="18"/>
              </w:rPr>
              <w:t>--</w:t>
            </w:r>
          </w:p>
        </w:tc>
        <w:tc>
          <w:tcPr>
            <w:tcW w:w="0" w:type="auto"/>
            <w:shd w:val="clear" w:color="auto" w:fill="auto"/>
            <w:tcMar>
              <w:top w:w="15" w:type="dxa"/>
              <w:left w:w="15" w:type="dxa"/>
              <w:bottom w:w="0" w:type="dxa"/>
              <w:right w:w="15" w:type="dxa"/>
            </w:tcMar>
            <w:vAlign w:val="center"/>
            <w:hideMark/>
          </w:tcPr>
          <w:p w:rsidRPr="00A84A9E" w:rsidR="00B12451" w:rsidRDefault="00B12451" w14:paraId="5B6E6E85" w14:textId="77777777">
            <w:pPr>
              <w:jc w:val="center"/>
              <w:rPr>
                <w:rFonts w:cs="Arial"/>
                <w:b/>
                <w:bCs/>
                <w:color w:val="000000"/>
                <w:sz w:val="18"/>
                <w:szCs w:val="18"/>
              </w:rPr>
            </w:pPr>
            <w:r w:rsidRPr="00A84A9E">
              <w:rPr>
                <w:rFonts w:cs="Arial"/>
                <w:b/>
                <w:bCs/>
                <w:color w:val="000000"/>
                <w:sz w:val="18"/>
                <w:szCs w:val="18"/>
              </w:rPr>
              <w:t>--</w:t>
            </w:r>
          </w:p>
        </w:tc>
        <w:tc>
          <w:tcPr>
            <w:tcW w:w="0" w:type="auto"/>
            <w:shd w:val="clear" w:color="auto" w:fill="auto"/>
            <w:tcMar>
              <w:top w:w="15" w:type="dxa"/>
              <w:left w:w="15" w:type="dxa"/>
              <w:bottom w:w="0" w:type="dxa"/>
              <w:right w:w="15" w:type="dxa"/>
            </w:tcMar>
            <w:vAlign w:val="center"/>
            <w:hideMark/>
          </w:tcPr>
          <w:p w:rsidRPr="00A84A9E" w:rsidR="00B12451" w:rsidRDefault="006C01AD" w14:paraId="3692D383" w14:textId="6516EF6A">
            <w:pPr>
              <w:jc w:val="center"/>
              <w:rPr>
                <w:rFonts w:cs="Arial"/>
                <w:b/>
                <w:bCs/>
                <w:color w:val="000000"/>
                <w:sz w:val="18"/>
                <w:szCs w:val="18"/>
              </w:rPr>
            </w:pPr>
            <w:r w:rsidRPr="00A84A9E">
              <w:rPr>
                <w:rFonts w:cs="Arial"/>
                <w:b/>
                <w:bCs/>
                <w:color w:val="000000"/>
                <w:sz w:val="18"/>
                <w:szCs w:val="18"/>
              </w:rPr>
              <w:t>--</w:t>
            </w:r>
          </w:p>
        </w:tc>
        <w:tc>
          <w:tcPr>
            <w:tcW w:w="0" w:type="auto"/>
            <w:shd w:val="clear" w:color="auto" w:fill="auto"/>
            <w:tcMar>
              <w:top w:w="15" w:type="dxa"/>
              <w:left w:w="15" w:type="dxa"/>
              <w:bottom w:w="0" w:type="dxa"/>
              <w:right w:w="15" w:type="dxa"/>
            </w:tcMar>
            <w:vAlign w:val="center"/>
            <w:hideMark/>
          </w:tcPr>
          <w:p w:rsidRPr="00A84A9E" w:rsidR="00B12451" w:rsidRDefault="00B12451" w14:paraId="39C91159" w14:textId="77777777">
            <w:pPr>
              <w:jc w:val="center"/>
              <w:rPr>
                <w:rFonts w:cs="Arial"/>
                <w:b/>
                <w:bCs/>
                <w:color w:val="000000"/>
                <w:sz w:val="18"/>
                <w:szCs w:val="18"/>
              </w:rPr>
            </w:pPr>
            <w:r w:rsidRPr="00A84A9E">
              <w:rPr>
                <w:rFonts w:cs="Arial"/>
                <w:b/>
                <w:bCs/>
                <w:color w:val="000000"/>
                <w:sz w:val="18"/>
                <w:szCs w:val="18"/>
              </w:rPr>
              <w:t>--</w:t>
            </w:r>
          </w:p>
        </w:tc>
        <w:tc>
          <w:tcPr>
            <w:tcW w:w="0" w:type="auto"/>
            <w:shd w:val="clear" w:color="auto" w:fill="auto"/>
            <w:noWrap/>
            <w:tcMar>
              <w:top w:w="15" w:type="dxa"/>
              <w:left w:w="15" w:type="dxa"/>
              <w:bottom w:w="0" w:type="dxa"/>
              <w:right w:w="15" w:type="dxa"/>
            </w:tcMar>
            <w:vAlign w:val="center"/>
            <w:hideMark/>
          </w:tcPr>
          <w:p w:rsidRPr="00A84A9E" w:rsidR="00B12451" w:rsidRDefault="00B12451" w14:paraId="71AB451E" w14:textId="77777777">
            <w:pPr>
              <w:jc w:val="center"/>
              <w:rPr>
                <w:rFonts w:cs="Arial"/>
                <w:b/>
                <w:bCs/>
                <w:color w:val="000000"/>
                <w:sz w:val="18"/>
                <w:szCs w:val="18"/>
              </w:rPr>
            </w:pPr>
            <w:r w:rsidRPr="00A84A9E">
              <w:rPr>
                <w:rFonts w:cs="Arial"/>
                <w:b/>
                <w:bCs/>
                <w:color w:val="000000"/>
                <w:sz w:val="18"/>
                <w:szCs w:val="18"/>
              </w:rPr>
              <w:t xml:space="preserve">      2,120 </w:t>
            </w:r>
          </w:p>
        </w:tc>
        <w:tc>
          <w:tcPr>
            <w:tcW w:w="0" w:type="auto"/>
            <w:shd w:val="clear" w:color="auto" w:fill="auto"/>
            <w:noWrap/>
            <w:tcMar>
              <w:top w:w="15" w:type="dxa"/>
              <w:left w:w="15" w:type="dxa"/>
              <w:bottom w:w="0" w:type="dxa"/>
              <w:right w:w="15" w:type="dxa"/>
            </w:tcMar>
            <w:vAlign w:val="center"/>
            <w:hideMark/>
          </w:tcPr>
          <w:p w:rsidRPr="00A84A9E" w:rsidR="00B12451" w:rsidRDefault="00B12451" w14:paraId="52877C2B" w14:textId="77777777">
            <w:pPr>
              <w:jc w:val="center"/>
              <w:rPr>
                <w:rFonts w:cs="Arial"/>
                <w:b/>
                <w:bCs/>
                <w:color w:val="000000"/>
                <w:sz w:val="18"/>
                <w:szCs w:val="18"/>
              </w:rPr>
            </w:pPr>
            <w:r w:rsidRPr="00A84A9E">
              <w:rPr>
                <w:rFonts w:cs="Arial"/>
                <w:b/>
                <w:bCs/>
                <w:color w:val="000000"/>
                <w:sz w:val="18"/>
                <w:szCs w:val="18"/>
              </w:rPr>
              <w:t>$135,966</w:t>
            </w:r>
          </w:p>
        </w:tc>
        <w:tc>
          <w:tcPr>
            <w:tcW w:w="0" w:type="auto"/>
            <w:shd w:val="clear" w:color="auto" w:fill="auto"/>
            <w:noWrap/>
            <w:tcMar>
              <w:top w:w="15" w:type="dxa"/>
              <w:left w:w="15" w:type="dxa"/>
              <w:bottom w:w="0" w:type="dxa"/>
              <w:right w:w="15" w:type="dxa"/>
            </w:tcMar>
            <w:vAlign w:val="center"/>
            <w:hideMark/>
          </w:tcPr>
          <w:p w:rsidRPr="00A84A9E" w:rsidR="00B12451" w:rsidRDefault="00B12451" w14:paraId="32B36998" w14:textId="77777777">
            <w:pPr>
              <w:jc w:val="center"/>
              <w:rPr>
                <w:rFonts w:cs="Arial"/>
                <w:b/>
                <w:bCs/>
                <w:color w:val="000000"/>
                <w:sz w:val="18"/>
                <w:szCs w:val="18"/>
              </w:rPr>
            </w:pPr>
            <w:r w:rsidRPr="00A84A9E">
              <w:rPr>
                <w:rFonts w:cs="Arial"/>
                <w:b/>
                <w:bCs/>
                <w:color w:val="000000"/>
                <w:sz w:val="18"/>
                <w:szCs w:val="18"/>
              </w:rPr>
              <w:t xml:space="preserve">      707 </w:t>
            </w:r>
          </w:p>
        </w:tc>
        <w:tc>
          <w:tcPr>
            <w:tcW w:w="0" w:type="auto"/>
            <w:shd w:val="clear" w:color="auto" w:fill="auto"/>
            <w:noWrap/>
            <w:tcMar>
              <w:top w:w="15" w:type="dxa"/>
              <w:left w:w="15" w:type="dxa"/>
              <w:bottom w:w="0" w:type="dxa"/>
              <w:right w:w="15" w:type="dxa"/>
            </w:tcMar>
            <w:vAlign w:val="center"/>
            <w:hideMark/>
          </w:tcPr>
          <w:p w:rsidRPr="00A84A9E" w:rsidR="00B12451" w:rsidRDefault="00B12451" w14:paraId="27E6BC3E" w14:textId="77777777">
            <w:pPr>
              <w:jc w:val="center"/>
              <w:rPr>
                <w:rFonts w:cs="Arial"/>
                <w:b/>
                <w:bCs/>
                <w:color w:val="000000"/>
                <w:sz w:val="18"/>
                <w:szCs w:val="18"/>
              </w:rPr>
            </w:pPr>
            <w:r w:rsidRPr="00A84A9E">
              <w:rPr>
                <w:rFonts w:cs="Arial"/>
                <w:b/>
                <w:bCs/>
                <w:color w:val="000000"/>
                <w:sz w:val="18"/>
                <w:szCs w:val="18"/>
              </w:rPr>
              <w:t>$45,322</w:t>
            </w:r>
          </w:p>
        </w:tc>
      </w:tr>
      <w:tr w:rsidRPr="00A84A9E" w:rsidR="00B12451" w:rsidTr="00A84A9E" w14:paraId="2ABAC755" w14:textId="77777777">
        <w:trPr>
          <w:trHeight w:val="1133"/>
        </w:trPr>
        <w:tc>
          <w:tcPr>
            <w:tcW w:w="0" w:type="auto"/>
            <w:gridSpan w:val="11"/>
            <w:shd w:val="clear" w:color="auto" w:fill="auto"/>
            <w:tcMar>
              <w:top w:w="15" w:type="dxa"/>
              <w:left w:w="15" w:type="dxa"/>
              <w:bottom w:w="0" w:type="dxa"/>
              <w:right w:w="15" w:type="dxa"/>
            </w:tcMar>
            <w:vAlign w:val="bottom"/>
            <w:hideMark/>
          </w:tcPr>
          <w:p w:rsidRPr="00A84A9E" w:rsidR="00B12451" w:rsidRDefault="00B12451" w14:paraId="2C67F1FA" w14:textId="3BEBABE5">
            <w:pPr>
              <w:rPr>
                <w:rFonts w:cs="Arial"/>
                <w:color w:val="000000"/>
                <w:sz w:val="18"/>
                <w:szCs w:val="18"/>
              </w:rPr>
            </w:pPr>
            <w:r w:rsidRPr="00A84A9E">
              <w:rPr>
                <w:rFonts w:cs="Arial"/>
                <w:color w:val="000000"/>
                <w:sz w:val="18"/>
                <w:szCs w:val="18"/>
                <w:vertAlign w:val="superscript"/>
              </w:rPr>
              <w:t>1</w:t>
            </w:r>
            <w:r w:rsidRPr="00A84A9E">
              <w:rPr>
                <w:rFonts w:cs="Arial"/>
                <w:color w:val="000000"/>
                <w:sz w:val="18"/>
                <w:szCs w:val="18"/>
              </w:rPr>
              <w:t>Total Cost is calculated by multiplying burden hours by the loaded hourly wage rate for each labor category and summing across labor categories, and then multiplying by total number of responses.</w:t>
            </w:r>
            <w:r w:rsidRPr="00A84A9E">
              <w:rPr>
                <w:rFonts w:cs="Arial"/>
                <w:color w:val="000000"/>
                <w:sz w:val="18"/>
                <w:szCs w:val="18"/>
              </w:rPr>
              <w:br/>
            </w:r>
            <w:r w:rsidRPr="00A84A9E">
              <w:rPr>
                <w:rFonts w:cs="Arial"/>
                <w:color w:val="000000"/>
                <w:sz w:val="18"/>
                <w:szCs w:val="18"/>
                <w:vertAlign w:val="superscript"/>
              </w:rPr>
              <w:t>2</w:t>
            </w:r>
            <w:r w:rsidRPr="00A84A9E">
              <w:rPr>
                <w:rFonts w:cs="Arial"/>
                <w:color w:val="000000"/>
                <w:sz w:val="18"/>
                <w:szCs w:val="18"/>
              </w:rPr>
              <w:t xml:space="preserve"> Annual Cost is calculated by dividing the Total Cost over the </w:t>
            </w:r>
            <w:r w:rsidRPr="00E84D04" w:rsidR="00E84D04">
              <w:rPr>
                <w:rFonts w:cs="Arial"/>
                <w:color w:val="000000"/>
                <w:sz w:val="18"/>
                <w:szCs w:val="18"/>
              </w:rPr>
              <w:t>three-year</w:t>
            </w:r>
            <w:r w:rsidRPr="00A84A9E">
              <w:rPr>
                <w:rFonts w:cs="Arial"/>
                <w:color w:val="000000"/>
                <w:sz w:val="18"/>
                <w:szCs w:val="18"/>
              </w:rPr>
              <w:t xml:space="preserve"> ICR period by three to account for the fact that data collection activities will occur in each of the three years. Because EPA does not know the exact distribution over the three years, an even distribution of one third each year is assumed.</w:t>
            </w:r>
          </w:p>
        </w:tc>
      </w:tr>
    </w:tbl>
    <w:p w:rsidR="00B12451" w:rsidRDefault="00B12451" w14:paraId="52087758" w14:textId="70D2FAC3">
      <w:pPr>
        <w:spacing w:after="160" w:line="259" w:lineRule="auto"/>
        <w:rPr>
          <w:szCs w:val="24"/>
        </w:rPr>
      </w:pPr>
    </w:p>
    <w:p w:rsidR="00B12451" w:rsidRDefault="00B12451" w14:paraId="31C3FDDB" w14:textId="77777777">
      <w:pPr>
        <w:spacing w:line="360" w:lineRule="auto"/>
        <w:rPr>
          <w:szCs w:val="24"/>
        </w:rPr>
        <w:sectPr w:rsidR="00B12451" w:rsidSect="00A84A9E">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pPr>
    </w:p>
    <w:p w:rsidR="007F3A69" w:rsidP="00253A81" w:rsidRDefault="004C3EE4" w14:paraId="13966A39" w14:textId="77777777">
      <w:pPr>
        <w:pStyle w:val="Heading2"/>
      </w:pPr>
      <w:bookmarkStart w:name="_Toc49148207" w:id="11"/>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Pr="007E4E7D" w:rsidR="007F3A69" w:rsidP="002D75C4" w:rsidRDefault="007F3A69" w14:paraId="0C75D53E" w14:textId="77777777">
      <w:pPr>
        <w:pStyle w:val="ListParagraph"/>
        <w:numPr>
          <w:ilvl w:val="0"/>
          <w:numId w:val="47"/>
        </w:numPr>
        <w:rPr>
          <w:b/>
          <w:bCs/>
        </w:rPr>
      </w:pPr>
      <w:r w:rsidRPr="007E4E7D">
        <w:rPr>
          <w:b/>
          <w:bCs/>
        </w:rPr>
        <w:t xml:space="preserve">The cost estimate should be split into two components: (a) a total capital and start-up cost component (annualized over its expected useful life) and </w:t>
      </w:r>
      <w:r w:rsidRPr="007E4E7D">
        <w:rPr>
          <w:b/>
          <w:bCs/>
        </w:rPr>
        <w:lastRenderedPageBreak/>
        <w:t xml:space="preserve">(b) a total operation and maintenance and purchase of services component. The estimates should </w:t>
      </w:r>
      <w:proofErr w:type="gramStart"/>
      <w:r w:rsidRPr="007E4E7D">
        <w:rPr>
          <w:b/>
          <w:bCs/>
        </w:rPr>
        <w:t>take into account</w:t>
      </w:r>
      <w:proofErr w:type="gramEnd"/>
      <w:r w:rsidRPr="007E4E7D">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E4E7D" w:rsidR="007F3A69" w:rsidP="002D75C4" w:rsidRDefault="007F3A69" w14:paraId="1F825868" w14:textId="77777777">
      <w:pPr>
        <w:pStyle w:val="ListParagraph"/>
        <w:numPr>
          <w:ilvl w:val="0"/>
          <w:numId w:val="47"/>
        </w:numPr>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E4E7D" w:rsidR="007F3A69" w:rsidP="002D75C4" w:rsidRDefault="007F3A69" w14:paraId="6686600D" w14:textId="72198C57">
      <w:pPr>
        <w:pStyle w:val="ListParagraph"/>
        <w:numPr>
          <w:ilvl w:val="0"/>
          <w:numId w:val="47"/>
        </w:numPr>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77ED3" w:rsidR="00877ED3" w:rsidP="00877ED3" w:rsidRDefault="00131006" w14:paraId="5929DC24" w14:textId="3D76B66C">
      <w:r>
        <w:t>There are no operation and maintenance costs associated with this collection.</w:t>
      </w:r>
    </w:p>
    <w:bookmarkEnd w:id="11"/>
    <w:p w:rsidR="003D09E2" w:rsidP="00253A81" w:rsidRDefault="003D09E2" w14:paraId="391F5A09" w14:textId="67999CD2">
      <w:pPr>
        <w:pStyle w:val="Heading2"/>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7490C" w:rsidP="0077490C" w:rsidRDefault="0077490C" w14:paraId="0550C057" w14:textId="358CD6D2">
      <w:r>
        <w:rPr>
          <w:szCs w:val="24"/>
        </w:rPr>
        <w:t>To collect this</w:t>
      </w:r>
      <w:r w:rsidR="00872249">
        <w:rPr>
          <w:szCs w:val="24"/>
        </w:rPr>
        <w:t xml:space="preserve"> information, </w:t>
      </w:r>
      <w:r w:rsidR="00BD3F57">
        <w:rPr>
          <w:szCs w:val="24"/>
        </w:rPr>
        <w:t xml:space="preserve">EPA has developed a Framework </w:t>
      </w:r>
      <w:r w:rsidR="00CF3C1C">
        <w:rPr>
          <w:szCs w:val="24"/>
        </w:rPr>
        <w:t>Submission Template</w:t>
      </w:r>
      <w:r w:rsidR="00BD3F57">
        <w:rPr>
          <w:szCs w:val="24"/>
        </w:rPr>
        <w:t xml:space="preserve">, </w:t>
      </w:r>
      <w:r w:rsidR="002A0F03">
        <w:rPr>
          <w:szCs w:val="24"/>
        </w:rPr>
        <w:t>which provides</w:t>
      </w:r>
      <w:r w:rsidR="00BD3F57">
        <w:rPr>
          <w:szCs w:val="24"/>
        </w:rPr>
        <w:t xml:space="preserve"> </w:t>
      </w:r>
      <w:r w:rsidR="00CF3C1C">
        <w:rPr>
          <w:szCs w:val="24"/>
        </w:rPr>
        <w:t xml:space="preserve">clear instructions and </w:t>
      </w:r>
      <w:r w:rsidR="00BD3F57">
        <w:rPr>
          <w:szCs w:val="24"/>
        </w:rPr>
        <w:t>example sources of evidence.</w:t>
      </w:r>
    </w:p>
    <w:p w:rsidR="00F5126E" w:rsidP="00F5126E" w:rsidRDefault="00AB339B" w14:paraId="12BC2813" w14:textId="6E59A2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fldChar w:fldCharType="begin"/>
      </w:r>
      <w:r>
        <w:rPr>
          <w:szCs w:val="24"/>
        </w:rPr>
        <w:instrText xml:space="preserve"> REF _Ref90030053 \h </w:instrText>
      </w:r>
      <w:r>
        <w:rPr>
          <w:szCs w:val="24"/>
        </w:rPr>
      </w:r>
      <w:r>
        <w:rPr>
          <w:szCs w:val="24"/>
        </w:rPr>
        <w:fldChar w:fldCharType="separate"/>
      </w:r>
      <w:r>
        <w:t xml:space="preserve">Table </w:t>
      </w:r>
      <w:r>
        <w:rPr>
          <w:noProof/>
        </w:rPr>
        <w:t>3</w:t>
      </w:r>
      <w:r>
        <w:rPr>
          <w:szCs w:val="24"/>
        </w:rPr>
        <w:fldChar w:fldCharType="end"/>
      </w:r>
      <w:r w:rsidR="00B421AB">
        <w:rPr>
          <w:szCs w:val="24"/>
        </w:rPr>
        <w:t xml:space="preserve"> </w:t>
      </w:r>
      <w:r w:rsidRPr="004C79C0" w:rsidR="00F5126E">
        <w:rPr>
          <w:szCs w:val="24"/>
        </w:rPr>
        <w:t xml:space="preserve">presents the estimated Agency </w:t>
      </w:r>
      <w:r w:rsidR="009A0606">
        <w:rPr>
          <w:szCs w:val="24"/>
        </w:rPr>
        <w:t xml:space="preserve">annual </w:t>
      </w:r>
      <w:r w:rsidRPr="004C79C0" w:rsidR="00F5126E">
        <w:rPr>
          <w:szCs w:val="24"/>
        </w:rPr>
        <w:t>burden hours and costs associated with the information</w:t>
      </w:r>
      <w:r w:rsidRPr="005A2F96" w:rsidR="00F5126E">
        <w:rPr>
          <w:szCs w:val="24"/>
        </w:rPr>
        <w:t xml:space="preserve"> collection activities under this ICR.</w:t>
      </w:r>
      <w:r w:rsidR="00F5126E">
        <w:rPr>
          <w:szCs w:val="24"/>
        </w:rPr>
        <w:t xml:space="preserve"> EPA based its burden estimates on </w:t>
      </w:r>
      <w:r w:rsidR="00BD3F57">
        <w:rPr>
          <w:szCs w:val="24"/>
        </w:rPr>
        <w:t xml:space="preserve">the pilot assessment </w:t>
      </w:r>
      <w:r w:rsidR="00F5126E">
        <w:rPr>
          <w:szCs w:val="24"/>
        </w:rPr>
        <w:t>effort</w:t>
      </w:r>
      <w:r w:rsidR="00BD3F57">
        <w:rPr>
          <w:szCs w:val="24"/>
        </w:rPr>
        <w:t xml:space="preserve">. </w:t>
      </w:r>
      <w:r w:rsidR="0093435D">
        <w:rPr>
          <w:szCs w:val="24"/>
        </w:rPr>
        <w:t>Similar to the respondent burden, EPA assumed that Agency burden will be equally distributed across the three years in the ICR.</w:t>
      </w:r>
    </w:p>
    <w:p w:rsidR="00F5126E" w:rsidP="00F5126E" w:rsidRDefault="00F5126E" w14:paraId="39395777" w14:textId="3BF2C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01FFC">
        <w:rPr>
          <w:szCs w:val="24"/>
        </w:rPr>
        <w:t>Agency wage rate data used to calculate labor costs were gathered from the U.S. Office of Personnel Management Salary Table 20</w:t>
      </w:r>
      <w:r w:rsidR="00697303">
        <w:rPr>
          <w:szCs w:val="24"/>
        </w:rPr>
        <w:t>20</w:t>
      </w:r>
      <w:r w:rsidRPr="00201FFC">
        <w:rPr>
          <w:szCs w:val="24"/>
        </w:rPr>
        <w:t>-DCB, for a GS-14, step 5, employee in the Washington, D.C. area. A loading factor of 1.6 was applied to the base rate to arrive at the 2</w:t>
      </w:r>
      <w:r w:rsidRPr="00201FFC" w:rsidR="002A0F03">
        <w:rPr>
          <w:szCs w:val="24"/>
        </w:rPr>
        <w:t>0</w:t>
      </w:r>
      <w:r w:rsidR="00697303">
        <w:rPr>
          <w:szCs w:val="24"/>
        </w:rPr>
        <w:t>20</w:t>
      </w:r>
      <w:r w:rsidRPr="00201FFC">
        <w:rPr>
          <w:szCs w:val="24"/>
        </w:rPr>
        <w:t xml:space="preserve"> loaded salary of $</w:t>
      </w:r>
      <w:r w:rsidR="00697303">
        <w:rPr>
          <w:szCs w:val="24"/>
        </w:rPr>
        <w:t>219,986</w:t>
      </w:r>
      <w:r w:rsidRPr="00201FFC">
        <w:rPr>
          <w:szCs w:val="24"/>
        </w:rPr>
        <w:t xml:space="preserve"> per year. The hourly wage rate was computed by </w:t>
      </w:r>
      <w:r w:rsidRPr="00201FFC">
        <w:rPr>
          <w:szCs w:val="24"/>
        </w:rPr>
        <w:lastRenderedPageBreak/>
        <w:t xml:space="preserve">dividing the loaded wage by 2,080 hours, the hours associated with a </w:t>
      </w:r>
      <w:proofErr w:type="gramStart"/>
      <w:r w:rsidRPr="00201FFC">
        <w:rPr>
          <w:szCs w:val="24"/>
        </w:rPr>
        <w:t>full time</w:t>
      </w:r>
      <w:proofErr w:type="gramEnd"/>
      <w:r w:rsidRPr="00201FFC">
        <w:rPr>
          <w:szCs w:val="24"/>
        </w:rPr>
        <w:t xml:space="preserve"> employee. This loaded hourly wage rate of $</w:t>
      </w:r>
      <w:r w:rsidR="00697303">
        <w:rPr>
          <w:szCs w:val="24"/>
        </w:rPr>
        <w:t>105.76</w:t>
      </w:r>
      <w:r w:rsidRPr="00201FFC">
        <w:rPr>
          <w:szCs w:val="24"/>
        </w:rPr>
        <w:t xml:space="preserve"> was used in calculations of Agency cost.</w:t>
      </w:r>
    </w:p>
    <w:p w:rsidR="002D75C4" w:rsidP="002D75C4" w:rsidRDefault="00AB339B" w14:paraId="1603C030" w14:textId="6B11F4B9">
      <w:pPr>
        <w:pStyle w:val="Caption"/>
        <w:keepNext/>
      </w:pPr>
      <w:bookmarkStart w:name="_Ref90030053" w:id="12"/>
      <w:r>
        <w:t xml:space="preserve">Table </w:t>
      </w:r>
      <w:r w:rsidR="00763F18">
        <w:rPr>
          <w:b w:val="0"/>
          <w:bCs w:val="0"/>
        </w:rPr>
        <w:fldChar w:fldCharType="begin"/>
      </w:r>
      <w:r w:rsidR="00763F18">
        <w:rPr>
          <w:b w:val="0"/>
          <w:bCs w:val="0"/>
        </w:rPr>
        <w:instrText xml:space="preserve"> SEQ Table \* ARABIC </w:instrText>
      </w:r>
      <w:r w:rsidR="00763F18">
        <w:rPr>
          <w:b w:val="0"/>
          <w:bCs w:val="0"/>
        </w:rPr>
        <w:fldChar w:fldCharType="separate"/>
      </w:r>
      <w:r>
        <w:rPr>
          <w:noProof/>
        </w:rPr>
        <w:t>3</w:t>
      </w:r>
      <w:r w:rsidR="00763F18">
        <w:rPr>
          <w:rFonts w:cstheme="minorBidi"/>
          <w:b w:val="0"/>
          <w:bCs w:val="0"/>
          <w:noProof/>
          <w:color w:val="auto"/>
          <w:szCs w:val="22"/>
        </w:rPr>
        <w:fldChar w:fldCharType="end"/>
      </w:r>
      <w:bookmarkEnd w:id="12"/>
      <w:r w:rsidRPr="008D55F3">
        <w:rPr>
          <w:b w:val="0"/>
          <w:bCs w:val="0"/>
        </w:rPr>
        <w:t>.</w:t>
      </w:r>
      <w:r w:rsidRPr="002D75C4" w:rsidR="00F5126E">
        <w:t xml:space="preserve">Estimated Burden and Cost to </w:t>
      </w:r>
      <w:r w:rsidRPr="002D75C4" w:rsidR="009A0606">
        <w:t xml:space="preserve">the </w:t>
      </w:r>
      <w:r w:rsidRPr="002D75C4" w:rsidR="00F5126E">
        <w:t>Agency</w:t>
      </w:r>
      <w:r w:rsidR="002D75C4">
        <w:rPr>
          <w:b w:val="0"/>
          <w:bCs w:val="0"/>
        </w:rPr>
        <w:t xml:space="preserve"> </w:t>
      </w:r>
    </w:p>
    <w:tbl>
      <w:tblPr>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3320"/>
        <w:gridCol w:w="1732"/>
        <w:gridCol w:w="2014"/>
        <w:gridCol w:w="1329"/>
        <w:gridCol w:w="945"/>
      </w:tblGrid>
      <w:tr w:rsidRPr="009A0606" w:rsidR="00445A99" w:rsidTr="005E0CF4" w14:paraId="1C246E0D" w14:textId="77777777">
        <w:trPr>
          <w:trHeight w:val="1080"/>
          <w:jc w:val="center"/>
        </w:trPr>
        <w:tc>
          <w:tcPr>
            <w:tcW w:w="3297" w:type="dxa"/>
            <w:shd w:val="clear" w:color="000000" w:fill="BFBFBF"/>
            <w:vAlign w:val="bottom"/>
            <w:hideMark/>
          </w:tcPr>
          <w:p w:rsidRPr="009A0606" w:rsidR="009A0606" w:rsidP="00201FFC" w:rsidRDefault="009A0606" w14:paraId="6C65ED2D" w14:textId="77777777">
            <w:pPr>
              <w:spacing w:after="0"/>
              <w:rPr>
                <w:rFonts w:eastAsia="Times New Roman" w:cs="Arial"/>
                <w:b/>
                <w:bCs/>
                <w:color w:val="000000"/>
                <w:sz w:val="20"/>
                <w:szCs w:val="20"/>
              </w:rPr>
            </w:pPr>
            <w:r w:rsidRPr="009A0606">
              <w:rPr>
                <w:rFonts w:eastAsia="Times New Roman" w:cs="Arial"/>
                <w:b/>
                <w:bCs/>
                <w:color w:val="000000"/>
                <w:sz w:val="20"/>
                <w:szCs w:val="20"/>
              </w:rPr>
              <w:t>Collection Activity</w:t>
            </w:r>
          </w:p>
        </w:tc>
        <w:tc>
          <w:tcPr>
            <w:tcW w:w="1720" w:type="dxa"/>
            <w:shd w:val="clear" w:color="000000" w:fill="BFBFBF"/>
            <w:vAlign w:val="bottom"/>
            <w:hideMark/>
          </w:tcPr>
          <w:p w:rsidRPr="009A0606" w:rsidR="009A0606" w:rsidP="009A0606" w:rsidRDefault="009A0606" w14:paraId="1D48C977"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Total EPA Burden Over the Three Year ICR Period (Hours)</w:t>
            </w:r>
          </w:p>
        </w:tc>
        <w:tc>
          <w:tcPr>
            <w:tcW w:w="2000" w:type="dxa"/>
            <w:shd w:val="clear" w:color="000000" w:fill="BFBFBF"/>
            <w:vAlign w:val="bottom"/>
            <w:hideMark/>
          </w:tcPr>
          <w:p w:rsidRPr="009A0606" w:rsidR="009A0606" w:rsidP="009A0606" w:rsidRDefault="009A0606" w14:paraId="0C65A649"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Total EPA Costs Over the Three Year ICR Period ($2020)</w:t>
            </w:r>
          </w:p>
        </w:tc>
        <w:tc>
          <w:tcPr>
            <w:tcW w:w="1320" w:type="dxa"/>
            <w:shd w:val="clear" w:color="000000" w:fill="BFBFBF"/>
            <w:vAlign w:val="bottom"/>
            <w:hideMark/>
          </w:tcPr>
          <w:p w:rsidRPr="009A0606" w:rsidR="009A0606" w:rsidP="009A0606" w:rsidRDefault="009A0606" w14:paraId="32A90002"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Annual EPA Burden (Hours)</w:t>
            </w:r>
          </w:p>
        </w:tc>
        <w:tc>
          <w:tcPr>
            <w:tcW w:w="939" w:type="dxa"/>
            <w:shd w:val="clear" w:color="000000" w:fill="BFBFBF"/>
            <w:vAlign w:val="bottom"/>
            <w:hideMark/>
          </w:tcPr>
          <w:p w:rsidRPr="009A0606" w:rsidR="009A0606" w:rsidP="009A0606" w:rsidRDefault="009A0606" w14:paraId="18721D21"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Annual EPA Costs ($2020)</w:t>
            </w:r>
          </w:p>
        </w:tc>
      </w:tr>
      <w:tr w:rsidRPr="009A0606" w:rsidR="009A0606" w:rsidTr="00201FFC" w14:paraId="082D8504" w14:textId="77777777">
        <w:trPr>
          <w:trHeight w:val="930"/>
          <w:jc w:val="center"/>
        </w:trPr>
        <w:tc>
          <w:tcPr>
            <w:tcW w:w="3297" w:type="dxa"/>
            <w:tcBorders>
              <w:bottom w:val="single" w:color="auto" w:sz="4" w:space="0"/>
            </w:tcBorders>
            <w:shd w:val="clear" w:color="auto" w:fill="auto"/>
            <w:vAlign w:val="bottom"/>
            <w:hideMark/>
          </w:tcPr>
          <w:p w:rsidRPr="009A0606" w:rsidR="009A0606" w:rsidP="009A0606" w:rsidRDefault="009A0606" w14:paraId="2274C380" w14:textId="77777777">
            <w:pPr>
              <w:spacing w:after="0"/>
              <w:rPr>
                <w:rFonts w:eastAsia="Times New Roman" w:cs="Arial"/>
                <w:color w:val="000000"/>
                <w:sz w:val="20"/>
                <w:szCs w:val="20"/>
              </w:rPr>
            </w:pPr>
            <w:r w:rsidRPr="009A0606">
              <w:rPr>
                <w:rFonts w:eastAsia="Times New Roman" w:cs="Arial"/>
                <w:color w:val="000000"/>
                <w:sz w:val="20"/>
                <w:szCs w:val="20"/>
              </w:rPr>
              <w:t>Issue Framework SUBMISSION TEMPLATE to applicant SDOs and ecolabel programs (respondents)</w:t>
            </w:r>
          </w:p>
        </w:tc>
        <w:tc>
          <w:tcPr>
            <w:tcW w:w="1720" w:type="dxa"/>
            <w:tcBorders>
              <w:bottom w:val="single" w:color="auto" w:sz="4" w:space="0"/>
            </w:tcBorders>
            <w:shd w:val="clear" w:color="auto" w:fill="auto"/>
            <w:noWrap/>
            <w:vAlign w:val="bottom"/>
            <w:hideMark/>
          </w:tcPr>
          <w:p w:rsidRPr="009A0606" w:rsidR="009A0606" w:rsidP="009A0606" w:rsidRDefault="009A0606" w14:paraId="747CCAF5" w14:textId="77777777">
            <w:pPr>
              <w:spacing w:after="0"/>
              <w:jc w:val="center"/>
              <w:rPr>
                <w:rFonts w:eastAsia="Times New Roman" w:cs="Arial"/>
                <w:color w:val="000000"/>
                <w:sz w:val="20"/>
                <w:szCs w:val="20"/>
              </w:rPr>
            </w:pPr>
            <w:r w:rsidRPr="009A0606">
              <w:rPr>
                <w:rFonts w:eastAsia="Times New Roman" w:cs="Arial"/>
                <w:color w:val="000000"/>
                <w:sz w:val="20"/>
                <w:szCs w:val="20"/>
              </w:rPr>
              <w:t>10</w:t>
            </w:r>
          </w:p>
        </w:tc>
        <w:tc>
          <w:tcPr>
            <w:tcW w:w="2000" w:type="dxa"/>
            <w:tcBorders>
              <w:bottom w:val="single" w:color="auto" w:sz="4" w:space="0"/>
            </w:tcBorders>
            <w:shd w:val="clear" w:color="auto" w:fill="auto"/>
            <w:noWrap/>
            <w:vAlign w:val="bottom"/>
            <w:hideMark/>
          </w:tcPr>
          <w:p w:rsidRPr="009A0606" w:rsidR="009A0606" w:rsidP="009A0606" w:rsidRDefault="009A0606" w14:paraId="72830174"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$1,058 </w:t>
            </w:r>
          </w:p>
        </w:tc>
        <w:tc>
          <w:tcPr>
            <w:tcW w:w="1320" w:type="dxa"/>
            <w:tcBorders>
              <w:bottom w:val="single" w:color="auto" w:sz="4" w:space="0"/>
            </w:tcBorders>
            <w:shd w:val="clear" w:color="auto" w:fill="auto"/>
            <w:noWrap/>
            <w:vAlign w:val="bottom"/>
            <w:hideMark/>
          </w:tcPr>
          <w:p w:rsidRPr="009A0606" w:rsidR="009A0606" w:rsidP="009A0606" w:rsidRDefault="009A0606" w14:paraId="26DBA113" w14:textId="77777777">
            <w:pPr>
              <w:spacing w:after="0"/>
              <w:jc w:val="center"/>
              <w:rPr>
                <w:rFonts w:eastAsia="Times New Roman" w:cs="Arial"/>
                <w:color w:val="000000"/>
                <w:sz w:val="20"/>
                <w:szCs w:val="20"/>
              </w:rPr>
            </w:pPr>
            <w:r w:rsidRPr="009A0606">
              <w:rPr>
                <w:rFonts w:eastAsia="Times New Roman" w:cs="Arial"/>
                <w:color w:val="000000"/>
                <w:sz w:val="20"/>
                <w:szCs w:val="20"/>
              </w:rPr>
              <w:t>3.33</w:t>
            </w:r>
          </w:p>
        </w:tc>
        <w:tc>
          <w:tcPr>
            <w:tcW w:w="939" w:type="dxa"/>
            <w:tcBorders>
              <w:bottom w:val="single" w:color="auto" w:sz="4" w:space="0"/>
            </w:tcBorders>
            <w:shd w:val="clear" w:color="auto" w:fill="auto"/>
            <w:noWrap/>
            <w:vAlign w:val="bottom"/>
            <w:hideMark/>
          </w:tcPr>
          <w:p w:rsidRPr="009A0606" w:rsidR="009A0606" w:rsidP="009A0606" w:rsidRDefault="009A0606" w14:paraId="52BF18F6"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$353 </w:t>
            </w:r>
          </w:p>
        </w:tc>
      </w:tr>
      <w:tr w:rsidRPr="009A0606" w:rsidR="009A0606" w:rsidTr="00201FFC" w14:paraId="4DBD615E" w14:textId="77777777">
        <w:trPr>
          <w:trHeight w:val="360"/>
          <w:jc w:val="center"/>
        </w:trPr>
        <w:tc>
          <w:tcPr>
            <w:tcW w:w="3297" w:type="dxa"/>
            <w:tcBorders>
              <w:top w:val="single" w:color="auto" w:sz="4" w:space="0"/>
              <w:bottom w:val="single" w:color="auto" w:sz="4" w:space="0"/>
            </w:tcBorders>
            <w:shd w:val="clear" w:color="auto" w:fill="auto"/>
            <w:vAlign w:val="bottom"/>
            <w:hideMark/>
          </w:tcPr>
          <w:p w:rsidRPr="009A0606" w:rsidR="009A0606" w:rsidP="009A0606" w:rsidRDefault="009A0606" w14:paraId="5554904A" w14:textId="77777777">
            <w:pPr>
              <w:spacing w:after="0"/>
              <w:rPr>
                <w:rFonts w:eastAsia="Times New Roman" w:cs="Arial"/>
                <w:color w:val="000000"/>
                <w:sz w:val="20"/>
                <w:szCs w:val="20"/>
              </w:rPr>
            </w:pPr>
            <w:r w:rsidRPr="009A0606">
              <w:rPr>
                <w:rFonts w:eastAsia="Times New Roman" w:cs="Arial"/>
                <w:color w:val="000000"/>
                <w:sz w:val="20"/>
                <w:szCs w:val="20"/>
              </w:rPr>
              <w:t>Follow up with respondents via email/phone</w:t>
            </w:r>
          </w:p>
        </w:tc>
        <w:tc>
          <w:tcPr>
            <w:tcW w:w="1720" w:type="dxa"/>
            <w:tcBorders>
              <w:top w:val="single" w:color="auto" w:sz="4" w:space="0"/>
              <w:bottom w:val="single" w:color="auto" w:sz="4" w:space="0"/>
            </w:tcBorders>
            <w:shd w:val="clear" w:color="auto" w:fill="auto"/>
            <w:noWrap/>
            <w:vAlign w:val="bottom"/>
            <w:hideMark/>
          </w:tcPr>
          <w:p w:rsidRPr="009A0606" w:rsidR="009A0606" w:rsidP="009A0606" w:rsidRDefault="009A0606" w14:paraId="28305CAC" w14:textId="77777777">
            <w:pPr>
              <w:spacing w:after="0"/>
              <w:jc w:val="center"/>
              <w:rPr>
                <w:rFonts w:eastAsia="Times New Roman" w:cs="Arial"/>
                <w:color w:val="000000"/>
                <w:sz w:val="20"/>
                <w:szCs w:val="20"/>
              </w:rPr>
            </w:pPr>
            <w:r w:rsidRPr="009A0606">
              <w:rPr>
                <w:rFonts w:eastAsia="Times New Roman" w:cs="Arial"/>
                <w:color w:val="000000"/>
                <w:sz w:val="20"/>
                <w:szCs w:val="20"/>
              </w:rPr>
              <w:t>100</w:t>
            </w:r>
          </w:p>
        </w:tc>
        <w:tc>
          <w:tcPr>
            <w:tcW w:w="2000" w:type="dxa"/>
            <w:tcBorders>
              <w:top w:val="single" w:color="auto" w:sz="4" w:space="0"/>
              <w:bottom w:val="single" w:color="auto" w:sz="4" w:space="0"/>
            </w:tcBorders>
            <w:shd w:val="clear" w:color="auto" w:fill="auto"/>
            <w:noWrap/>
            <w:vAlign w:val="bottom"/>
            <w:hideMark/>
          </w:tcPr>
          <w:p w:rsidRPr="009A0606" w:rsidR="009A0606" w:rsidP="009A0606" w:rsidRDefault="009A0606" w14:paraId="625FFAA3"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$10,576 </w:t>
            </w:r>
          </w:p>
        </w:tc>
        <w:tc>
          <w:tcPr>
            <w:tcW w:w="1320" w:type="dxa"/>
            <w:tcBorders>
              <w:top w:val="single" w:color="auto" w:sz="4" w:space="0"/>
              <w:bottom w:val="single" w:color="auto" w:sz="4" w:space="0"/>
            </w:tcBorders>
            <w:shd w:val="clear" w:color="auto" w:fill="auto"/>
            <w:noWrap/>
            <w:vAlign w:val="bottom"/>
            <w:hideMark/>
          </w:tcPr>
          <w:p w:rsidRPr="009A0606" w:rsidR="009A0606" w:rsidP="009A0606" w:rsidRDefault="009A0606" w14:paraId="171F3C59" w14:textId="77777777">
            <w:pPr>
              <w:spacing w:after="0"/>
              <w:jc w:val="center"/>
              <w:rPr>
                <w:rFonts w:eastAsia="Times New Roman" w:cs="Arial"/>
                <w:color w:val="000000"/>
                <w:sz w:val="20"/>
                <w:szCs w:val="20"/>
              </w:rPr>
            </w:pPr>
            <w:r w:rsidRPr="009A0606">
              <w:rPr>
                <w:rFonts w:eastAsia="Times New Roman" w:cs="Arial"/>
                <w:color w:val="000000"/>
                <w:sz w:val="20"/>
                <w:szCs w:val="20"/>
              </w:rPr>
              <w:t>33.33</w:t>
            </w:r>
          </w:p>
        </w:tc>
        <w:tc>
          <w:tcPr>
            <w:tcW w:w="939" w:type="dxa"/>
            <w:tcBorders>
              <w:top w:val="single" w:color="auto" w:sz="4" w:space="0"/>
              <w:bottom w:val="single" w:color="auto" w:sz="4" w:space="0"/>
            </w:tcBorders>
            <w:shd w:val="clear" w:color="auto" w:fill="auto"/>
            <w:noWrap/>
            <w:vAlign w:val="bottom"/>
            <w:hideMark/>
          </w:tcPr>
          <w:p w:rsidRPr="009A0606" w:rsidR="009A0606" w:rsidP="009A0606" w:rsidRDefault="009A0606" w14:paraId="245AE2D9"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$3,525 </w:t>
            </w:r>
          </w:p>
        </w:tc>
      </w:tr>
      <w:tr w:rsidRPr="009A0606" w:rsidR="009A0606" w:rsidTr="00201FFC" w14:paraId="771EC169" w14:textId="77777777">
        <w:trPr>
          <w:trHeight w:val="660"/>
          <w:jc w:val="center"/>
        </w:trPr>
        <w:tc>
          <w:tcPr>
            <w:tcW w:w="3297" w:type="dxa"/>
            <w:tcBorders>
              <w:top w:val="single" w:color="auto" w:sz="4" w:space="0"/>
              <w:bottom w:val="single" w:color="auto" w:sz="4" w:space="0"/>
            </w:tcBorders>
            <w:shd w:val="clear" w:color="auto" w:fill="auto"/>
            <w:vAlign w:val="bottom"/>
            <w:hideMark/>
          </w:tcPr>
          <w:p w:rsidRPr="009A0606" w:rsidR="009A0606" w:rsidP="009A0606" w:rsidRDefault="009A0606" w14:paraId="754D3860" w14:textId="77777777">
            <w:pPr>
              <w:spacing w:after="0"/>
              <w:rPr>
                <w:rFonts w:eastAsia="Times New Roman" w:cs="Arial"/>
                <w:color w:val="000000"/>
                <w:sz w:val="20"/>
                <w:szCs w:val="20"/>
              </w:rPr>
            </w:pPr>
            <w:r w:rsidRPr="009A0606">
              <w:rPr>
                <w:rFonts w:eastAsia="Times New Roman" w:cs="Arial"/>
                <w:color w:val="000000"/>
                <w:sz w:val="20"/>
                <w:szCs w:val="20"/>
              </w:rPr>
              <w:t>Prepare analysis and report of the assessment results</w:t>
            </w:r>
          </w:p>
        </w:tc>
        <w:tc>
          <w:tcPr>
            <w:tcW w:w="1720" w:type="dxa"/>
            <w:tcBorders>
              <w:top w:val="single" w:color="auto" w:sz="4" w:space="0"/>
              <w:bottom w:val="single" w:color="auto" w:sz="4" w:space="0"/>
            </w:tcBorders>
            <w:shd w:val="clear" w:color="auto" w:fill="auto"/>
            <w:noWrap/>
            <w:vAlign w:val="bottom"/>
            <w:hideMark/>
          </w:tcPr>
          <w:p w:rsidRPr="009A0606" w:rsidR="009A0606" w:rsidP="009A0606" w:rsidRDefault="009A0606" w14:paraId="2E78A3ED" w14:textId="77777777">
            <w:pPr>
              <w:spacing w:after="0"/>
              <w:jc w:val="center"/>
              <w:rPr>
                <w:rFonts w:eastAsia="Times New Roman" w:cs="Arial"/>
                <w:color w:val="000000"/>
                <w:sz w:val="20"/>
                <w:szCs w:val="20"/>
              </w:rPr>
            </w:pPr>
            <w:r w:rsidRPr="009A0606">
              <w:rPr>
                <w:rFonts w:eastAsia="Times New Roman" w:cs="Arial"/>
                <w:color w:val="000000"/>
                <w:sz w:val="20"/>
                <w:szCs w:val="20"/>
              </w:rPr>
              <w:t>800</w:t>
            </w:r>
          </w:p>
        </w:tc>
        <w:tc>
          <w:tcPr>
            <w:tcW w:w="2000" w:type="dxa"/>
            <w:tcBorders>
              <w:top w:val="single" w:color="auto" w:sz="4" w:space="0"/>
              <w:bottom w:val="single" w:color="auto" w:sz="4" w:space="0"/>
            </w:tcBorders>
            <w:shd w:val="clear" w:color="auto" w:fill="auto"/>
            <w:noWrap/>
            <w:vAlign w:val="bottom"/>
            <w:hideMark/>
          </w:tcPr>
          <w:p w:rsidRPr="009A0606" w:rsidR="009A0606" w:rsidP="009A0606" w:rsidRDefault="009A0606" w14:paraId="6535880C"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$84,608 </w:t>
            </w:r>
          </w:p>
        </w:tc>
        <w:tc>
          <w:tcPr>
            <w:tcW w:w="1320" w:type="dxa"/>
            <w:tcBorders>
              <w:top w:val="single" w:color="auto" w:sz="4" w:space="0"/>
              <w:bottom w:val="single" w:color="auto" w:sz="4" w:space="0"/>
            </w:tcBorders>
            <w:shd w:val="clear" w:color="auto" w:fill="auto"/>
            <w:noWrap/>
            <w:vAlign w:val="bottom"/>
            <w:hideMark/>
          </w:tcPr>
          <w:p w:rsidRPr="009A0606" w:rsidR="009A0606" w:rsidP="009A0606" w:rsidRDefault="009A0606" w14:paraId="51B1231A" w14:textId="77777777">
            <w:pPr>
              <w:spacing w:after="0"/>
              <w:jc w:val="center"/>
              <w:rPr>
                <w:rFonts w:eastAsia="Times New Roman" w:cs="Arial"/>
                <w:color w:val="000000"/>
                <w:sz w:val="20"/>
                <w:szCs w:val="20"/>
              </w:rPr>
            </w:pPr>
            <w:r w:rsidRPr="009A0606">
              <w:rPr>
                <w:rFonts w:eastAsia="Times New Roman" w:cs="Arial"/>
                <w:color w:val="000000"/>
                <w:sz w:val="20"/>
                <w:szCs w:val="20"/>
              </w:rPr>
              <w:t>266.67</w:t>
            </w:r>
          </w:p>
        </w:tc>
        <w:tc>
          <w:tcPr>
            <w:tcW w:w="939" w:type="dxa"/>
            <w:tcBorders>
              <w:top w:val="single" w:color="auto" w:sz="4" w:space="0"/>
              <w:bottom w:val="single" w:color="auto" w:sz="4" w:space="0"/>
            </w:tcBorders>
            <w:shd w:val="clear" w:color="auto" w:fill="auto"/>
            <w:noWrap/>
            <w:vAlign w:val="bottom"/>
            <w:hideMark/>
          </w:tcPr>
          <w:p w:rsidRPr="009A0606" w:rsidR="009A0606" w:rsidP="009A0606" w:rsidRDefault="009A0606" w14:paraId="139C881F" w14:textId="77777777">
            <w:pPr>
              <w:spacing w:after="0"/>
              <w:jc w:val="center"/>
              <w:rPr>
                <w:rFonts w:eastAsia="Times New Roman" w:cs="Arial"/>
                <w:color w:val="000000"/>
                <w:sz w:val="20"/>
                <w:szCs w:val="20"/>
              </w:rPr>
            </w:pPr>
            <w:r w:rsidRPr="009A0606">
              <w:rPr>
                <w:rFonts w:eastAsia="Times New Roman" w:cs="Arial"/>
                <w:color w:val="000000"/>
                <w:sz w:val="20"/>
                <w:szCs w:val="20"/>
              </w:rPr>
              <w:t xml:space="preserve">$28,203 </w:t>
            </w:r>
          </w:p>
        </w:tc>
      </w:tr>
      <w:tr w:rsidRPr="009A0606" w:rsidR="009A0606" w:rsidTr="00201FFC" w14:paraId="548CBD8E" w14:textId="77777777">
        <w:trPr>
          <w:trHeight w:val="315"/>
          <w:jc w:val="center"/>
        </w:trPr>
        <w:tc>
          <w:tcPr>
            <w:tcW w:w="3297" w:type="dxa"/>
            <w:tcBorders>
              <w:top w:val="single" w:color="auto" w:sz="4" w:space="0"/>
            </w:tcBorders>
            <w:shd w:val="clear" w:color="auto" w:fill="auto"/>
            <w:vAlign w:val="bottom"/>
            <w:hideMark/>
          </w:tcPr>
          <w:p w:rsidRPr="009A0606" w:rsidR="009A0606" w:rsidP="009A0606" w:rsidRDefault="009A0606" w14:paraId="71EEC32A" w14:textId="77777777">
            <w:pPr>
              <w:spacing w:after="0"/>
              <w:jc w:val="right"/>
              <w:rPr>
                <w:rFonts w:eastAsia="Times New Roman" w:cs="Arial"/>
                <w:b/>
                <w:bCs/>
                <w:color w:val="000000"/>
                <w:sz w:val="20"/>
                <w:szCs w:val="20"/>
              </w:rPr>
            </w:pPr>
            <w:r w:rsidRPr="009A0606">
              <w:rPr>
                <w:rFonts w:eastAsia="Times New Roman" w:cs="Arial"/>
                <w:b/>
                <w:bCs/>
                <w:color w:val="000000"/>
                <w:sz w:val="20"/>
                <w:szCs w:val="20"/>
              </w:rPr>
              <w:t>Total</w:t>
            </w:r>
          </w:p>
        </w:tc>
        <w:tc>
          <w:tcPr>
            <w:tcW w:w="1720" w:type="dxa"/>
            <w:tcBorders>
              <w:top w:val="single" w:color="auto" w:sz="4" w:space="0"/>
            </w:tcBorders>
            <w:shd w:val="clear" w:color="auto" w:fill="auto"/>
            <w:noWrap/>
            <w:vAlign w:val="bottom"/>
            <w:hideMark/>
          </w:tcPr>
          <w:p w:rsidRPr="009A0606" w:rsidR="009A0606" w:rsidP="009A0606" w:rsidRDefault="009A0606" w14:paraId="6FC2235B"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910</w:t>
            </w:r>
          </w:p>
        </w:tc>
        <w:tc>
          <w:tcPr>
            <w:tcW w:w="2000" w:type="dxa"/>
            <w:tcBorders>
              <w:top w:val="single" w:color="auto" w:sz="4" w:space="0"/>
            </w:tcBorders>
            <w:shd w:val="clear" w:color="auto" w:fill="auto"/>
            <w:noWrap/>
            <w:vAlign w:val="bottom"/>
            <w:hideMark/>
          </w:tcPr>
          <w:p w:rsidRPr="009A0606" w:rsidR="009A0606" w:rsidP="009A0606" w:rsidRDefault="009A0606" w14:paraId="05D35911"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 xml:space="preserve">$96,242 </w:t>
            </w:r>
          </w:p>
        </w:tc>
        <w:tc>
          <w:tcPr>
            <w:tcW w:w="1320" w:type="dxa"/>
            <w:tcBorders>
              <w:top w:val="single" w:color="auto" w:sz="4" w:space="0"/>
            </w:tcBorders>
            <w:shd w:val="clear" w:color="auto" w:fill="auto"/>
            <w:noWrap/>
            <w:vAlign w:val="bottom"/>
            <w:hideMark/>
          </w:tcPr>
          <w:p w:rsidRPr="009A0606" w:rsidR="009A0606" w:rsidP="009A0606" w:rsidRDefault="009A0606" w14:paraId="180C9029"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303.33</w:t>
            </w:r>
          </w:p>
        </w:tc>
        <w:tc>
          <w:tcPr>
            <w:tcW w:w="939" w:type="dxa"/>
            <w:tcBorders>
              <w:top w:val="single" w:color="auto" w:sz="4" w:space="0"/>
            </w:tcBorders>
            <w:shd w:val="clear" w:color="auto" w:fill="auto"/>
            <w:noWrap/>
            <w:vAlign w:val="bottom"/>
            <w:hideMark/>
          </w:tcPr>
          <w:p w:rsidRPr="009A0606" w:rsidR="009A0606" w:rsidP="009A0606" w:rsidRDefault="009A0606" w14:paraId="3503241A" w14:textId="77777777">
            <w:pPr>
              <w:spacing w:after="0"/>
              <w:jc w:val="center"/>
              <w:rPr>
                <w:rFonts w:eastAsia="Times New Roman" w:cs="Arial"/>
                <w:b/>
                <w:bCs/>
                <w:color w:val="000000"/>
                <w:sz w:val="20"/>
                <w:szCs w:val="20"/>
              </w:rPr>
            </w:pPr>
            <w:r w:rsidRPr="009A0606">
              <w:rPr>
                <w:rFonts w:eastAsia="Times New Roman" w:cs="Arial"/>
                <w:b/>
                <w:bCs/>
                <w:color w:val="000000"/>
                <w:sz w:val="20"/>
                <w:szCs w:val="20"/>
              </w:rPr>
              <w:t xml:space="preserve">$32,081 </w:t>
            </w:r>
          </w:p>
        </w:tc>
      </w:tr>
    </w:tbl>
    <w:p w:rsidR="00F5126E" w:rsidP="00303AA7" w:rsidRDefault="00F5126E" w14:paraId="21FD6FF1" w14:textId="77777777"/>
    <w:p w:rsidR="00BD1BAB" w:rsidP="00253A81" w:rsidRDefault="003D09E2" w14:paraId="3AB88F5C" w14:textId="2C5BAC8D">
      <w:pPr>
        <w:pStyle w:val="Heading2"/>
      </w:pPr>
      <w:r w:rsidRPr="00A640A9">
        <w:t xml:space="preserve">Explain the reasons for any program changes or adjustments reported in </w:t>
      </w:r>
      <w:r w:rsidR="007F3A69">
        <w:t>hour or cost burden</w:t>
      </w:r>
      <w:r w:rsidRPr="00A640A9">
        <w:t>.</w:t>
      </w:r>
    </w:p>
    <w:p w:rsidR="005E0CF4" w:rsidP="003C29DA" w:rsidRDefault="00354677" w14:paraId="1013B5EF" w14:textId="0E4E2EA6">
      <w:pPr>
        <w:spacing w:line="276" w:lineRule="auto"/>
      </w:pPr>
      <w:r w:rsidRPr="00354677">
        <w:t xml:space="preserve">The </w:t>
      </w:r>
      <w:r w:rsidR="003D4FF1">
        <w:t xml:space="preserve">2016 </w:t>
      </w:r>
      <w:r w:rsidRPr="00354677">
        <w:t>pilot, under the previous ICR and Framework, required more time for respondents than had been estimated</w:t>
      </w:r>
      <w:r w:rsidR="00131006">
        <w:t xml:space="preserve"> due to more interest from the potential respondent community and challenges in answering some of the questions</w:t>
      </w:r>
      <w:r w:rsidRPr="00354677">
        <w:t xml:space="preserve">. As a result, a number of changes to the </w:t>
      </w:r>
      <w:r w:rsidR="00131006">
        <w:t>criteria/</w:t>
      </w:r>
      <w:r w:rsidRPr="0073177C" w:rsidR="00131006">
        <w:t xml:space="preserve">questions, </w:t>
      </w:r>
      <w:r w:rsidRPr="0073177C">
        <w:t>Framework submission template</w:t>
      </w:r>
      <w:r w:rsidRPr="0073177C" w:rsidR="00131006">
        <w:t>,</w:t>
      </w:r>
      <w:r w:rsidRPr="0073177C">
        <w:t xml:space="preserve"> and process have been made to streamline the effort for respondents. </w:t>
      </w:r>
      <w:r w:rsidRPr="0073177C" w:rsidR="00AF113C">
        <w:t xml:space="preserve">For a detailed explanation of changes made to the Framework, please see </w:t>
      </w:r>
      <w:r w:rsidRPr="0073177C" w:rsidR="0073177C">
        <w:rPr>
          <w:i/>
          <w:iCs/>
        </w:rPr>
        <w:t>ADDENDUM: Changes in the 2022 Update of the United States Environmental Protection Agency’s Framework for the Assessment of Environmental Performance Standards and Ecolabels for Federal Purchasing</w:t>
      </w:r>
      <w:r w:rsidRPr="0073177C" w:rsidR="0073177C">
        <w:t xml:space="preserve"> [</w:t>
      </w:r>
      <w:r w:rsidRPr="00C0640A" w:rsidR="00C0640A">
        <w:t>https://www.epa.gov/system/files/documents/2022-05/updated-framework-addendum_5-2022.pdf</w:t>
      </w:r>
      <w:r w:rsidRPr="0073177C" w:rsidR="0073177C">
        <w:t>]</w:t>
      </w:r>
      <w:r w:rsidRPr="0073177C" w:rsidR="00AF113C">
        <w:t xml:space="preserve">. </w:t>
      </w:r>
      <w:r w:rsidRPr="0073177C">
        <w:t xml:space="preserve">The average respondent burden is estimated to be 8.5 hours per response, based on an average 12 hours for respondents that did not previously participate in the pilot and an average 5 hours for respondents that did previously participate in </w:t>
      </w:r>
      <w:r w:rsidRPr="0073177C" w:rsidR="003D4FF1">
        <w:t>pilot</w:t>
      </w:r>
      <w:r w:rsidRPr="0073177C">
        <w:t>.</w:t>
      </w:r>
      <w:r w:rsidRPr="0073177C" w:rsidR="003D4FF1">
        <w:t xml:space="preserve"> </w:t>
      </w:r>
      <w:r w:rsidRPr="0073177C">
        <w:t>In addition</w:t>
      </w:r>
      <w:r w:rsidRPr="00354677">
        <w:t>, the Framework development, testing, refinements, and significant Agency policy development and decision-making were part of the previous Agency cost and burden estimates. The proposed streamlined information collection (e.g., more opportunities for organizations to submit attestations in lieu of documentation) and pre-determined approaches based on the lessons learned</w:t>
      </w:r>
      <w:r w:rsidR="00354FD7">
        <w:t xml:space="preserve"> from the pilot</w:t>
      </w:r>
      <w:r w:rsidRPr="00354677">
        <w:t xml:space="preserve"> </w:t>
      </w:r>
      <w:r w:rsidR="00CF19A7">
        <w:t>are</w:t>
      </w:r>
      <w:r w:rsidRPr="00354677">
        <w:t xml:space="preserve"> anticipated to reduce the burden on respondents and the Agency.</w:t>
      </w:r>
    </w:p>
    <w:p w:rsidRPr="00354677" w:rsidR="00A640A9" w:rsidP="00354677" w:rsidRDefault="00D278E1" w14:paraId="67020DB0" w14:textId="00C27432">
      <w:pPr>
        <w:pStyle w:val="Heading2"/>
        <w:rPr>
          <w:rFonts w:eastAsiaTheme="minorHAnsi" w:cstheme="minorBidi"/>
          <w:szCs w:val="22"/>
        </w:rPr>
      </w:pPr>
      <w:r w:rsidRPr="00A640A9">
        <w:t>For collections whose results will be published, outline the plans for tabulation and publication.</w:t>
      </w:r>
      <w:r w:rsidR="007F3A69">
        <w:t xml:space="preserve"> </w:t>
      </w:r>
      <w:r w:rsidRPr="007F3A69" w:rsidR="007F3A69">
        <w:t xml:space="preserve">Address any complex analytical techniques that </w:t>
      </w:r>
      <w:r w:rsidRPr="007F3A69" w:rsidR="007F3A69">
        <w:lastRenderedPageBreak/>
        <w:t>will be used. Provide the time schedule for the entire project, including beginning and ending dates of the collection of information, completion of report, publication dates, and other actions.</w:t>
      </w:r>
    </w:p>
    <w:p w:rsidRPr="0073212F" w:rsidR="0073212F" w:rsidP="00542A63" w:rsidRDefault="00344E24" w14:paraId="55634D30" w14:textId="56B39707">
      <w:pPr>
        <w:spacing w:line="276" w:lineRule="auto"/>
        <w:rPr>
          <w:lang w:bidi="en-US"/>
        </w:rPr>
      </w:pPr>
      <w:r>
        <w:rPr>
          <w:lang w:bidi="en-US"/>
        </w:rPr>
        <w:t>There will not be a statistical analysis of the results. Please see the general plan for information collection and public release per EPA’s Recommendations of Specifications, Standards, and Ecolabels for Federal Purchasing under the description of Agency activities.</w:t>
      </w:r>
      <w:r w:rsidR="006010C2">
        <w:rPr>
          <w:lang w:bidi="en-US"/>
        </w:rPr>
        <w:t xml:space="preserve"> </w:t>
      </w:r>
    </w:p>
    <w:p w:rsidR="00D278E1" w:rsidP="00253A81" w:rsidRDefault="00A640A9" w14:paraId="3C058E98" w14:textId="5E583DDD">
      <w:pPr>
        <w:pStyle w:val="Heading2"/>
      </w:pPr>
      <w:r>
        <w:t>If</w:t>
      </w:r>
      <w:r w:rsidR="00D278E1">
        <w:t xml:space="preserve"> seeking approval to not display the expiration date for OMB approval of the information collection, explain the reasons why display would be inappropriate.</w:t>
      </w:r>
    </w:p>
    <w:p w:rsidRPr="0073212F" w:rsidR="0073212F" w:rsidP="0073212F" w:rsidRDefault="0073212F" w14:paraId="7A4A3773" w14:textId="048C5B9D">
      <w:pPr>
        <w:rPr>
          <w:lang w:bidi="en-US"/>
        </w:rPr>
      </w:pPr>
      <w:r>
        <w:rPr>
          <w:lang w:bidi="en-US"/>
        </w:rPr>
        <w:t xml:space="preserve">Not applicable. </w:t>
      </w:r>
    </w:p>
    <w:p w:rsidR="005D6FB8" w:rsidP="00253A81" w:rsidRDefault="00D278E1" w14:paraId="380B6953" w14:textId="583B243D">
      <w:pPr>
        <w:pStyle w:val="Heading2"/>
      </w:pPr>
      <w:r>
        <w:t xml:space="preserve">Explain each exception to the certification statement identified in </w:t>
      </w:r>
      <w:r w:rsidRPr="007F3A69" w:rsidR="007F3A69">
        <w:t>“Certification for Paperwork Reduction Act Submissions.”</w:t>
      </w:r>
    </w:p>
    <w:p w:rsidRPr="00ED1F0D" w:rsidR="00E6594B" w:rsidP="00E6594B" w:rsidRDefault="00E6594B" w14:paraId="25E1F888" w14:textId="77777777">
      <w:r>
        <w:t xml:space="preserve">EPA does not request an exception to the certification of this information collection. </w:t>
      </w:r>
    </w:p>
    <w:p w:rsidR="0026304B" w:rsidP="002059F4" w:rsidRDefault="007A01E7" w14:paraId="6054E19E" w14:textId="080567FA">
      <w:pPr>
        <w:pStyle w:val="Heading1"/>
      </w:pPr>
      <w:r>
        <w:t>Supplemental Information</w:t>
      </w:r>
    </w:p>
    <w:p w:rsidR="00877ED3" w:rsidP="003C29DA" w:rsidRDefault="00877ED3" w14:paraId="4576C995" w14:textId="0AA00B58">
      <w:pPr>
        <w:spacing w:line="276" w:lineRule="auto"/>
        <w:rPr>
          <w:szCs w:val="24"/>
        </w:rPr>
      </w:pPr>
      <w:bookmarkStart w:name="_Hlk83721559" w:id="13"/>
      <w:r w:rsidRPr="0073212F">
        <w:rPr>
          <w:szCs w:val="24"/>
        </w:rPr>
        <w:t>This collection of information is approved by OMB under the Paperwork Reduction Act, 44 U.S.C. 3501 et seq. (OMB Control No. 2070-</w:t>
      </w:r>
      <w:r w:rsidRPr="0073212F" w:rsidR="0073212F">
        <w:rPr>
          <w:szCs w:val="24"/>
        </w:rPr>
        <w:t>0199</w:t>
      </w:r>
      <w:r w:rsidRPr="0073212F">
        <w:rPr>
          <w:szCs w:val="24"/>
        </w:rPr>
        <w:t xml:space="preserve">). Responses to this collection of information are </w:t>
      </w:r>
      <w:r w:rsidR="00131006">
        <w:rPr>
          <w:szCs w:val="24"/>
        </w:rPr>
        <w:t>voluntary</w:t>
      </w:r>
      <w:r w:rsidRPr="0073212F">
        <w:rPr>
          <w:szCs w:val="24"/>
        </w:rPr>
        <w:t xml:space="preserve"> for certain persons, as specified at </w:t>
      </w:r>
      <w:r w:rsidRPr="0073212F" w:rsidR="0073212F">
        <w:rPr>
          <w:szCs w:val="24"/>
        </w:rPr>
        <w:t>42 U.S.C 13101 and 15 U.S.C.3701</w:t>
      </w:r>
      <w:r w:rsidRPr="0073212F">
        <w:rPr>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201FFC">
        <w:rPr>
          <w:szCs w:val="24"/>
        </w:rPr>
        <w:t>be 8.5 hours per response</w:t>
      </w:r>
      <w:r w:rsidRPr="00201FFC" w:rsidR="00004287">
        <w:rPr>
          <w:szCs w:val="24"/>
        </w:rPr>
        <w:t xml:space="preserve"> on average</w:t>
      </w:r>
      <w:r w:rsidRPr="00201FFC">
        <w:rPr>
          <w:szCs w:val="24"/>
        </w:rPr>
        <w:t>. Send comments on the Agency’s need for this information, the accuracy of the provided</w:t>
      </w:r>
      <w:r>
        <w:rPr>
          <w:szCs w:val="24"/>
        </w:rPr>
        <w:t xml:space="preserve">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3C29DA" w:rsidR="003C29DA" w:rsidP="003C29DA" w:rsidRDefault="003C29DA" w14:paraId="4F3FE4C9" w14:textId="486EC48A">
      <w:pPr>
        <w:numPr>
          <w:ilvl w:val="12"/>
          <w:numId w:val="0"/>
        </w:numPr>
        <w:spacing w:line="276" w:lineRule="auto"/>
        <w:rPr>
          <w:color w:val="0F0F0F"/>
          <w:szCs w:val="24"/>
        </w:rPr>
      </w:pPr>
      <w:r w:rsidRPr="003C29DA">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3C29DA">
        <w:rPr>
          <w:szCs w:val="24"/>
        </w:rPr>
        <w:t>Number EPA-HQ-OPPT-20</w:t>
      </w:r>
      <w:r w:rsidR="00CB1B65">
        <w:rPr>
          <w:szCs w:val="24"/>
        </w:rPr>
        <w:t>14-0838</w:t>
      </w:r>
      <w:r w:rsidRPr="003C29DA">
        <w:rPr>
          <w:szCs w:val="24"/>
        </w:rPr>
        <w:t xml:space="preserve">, which </w:t>
      </w:r>
      <w:r w:rsidRPr="003C29DA">
        <w:rPr>
          <w:color w:val="0F0F0F"/>
          <w:szCs w:val="24"/>
        </w:rPr>
        <w:t xml:space="preserve">is available at </w:t>
      </w:r>
      <w:hyperlink w:history="1" r:id="rId16">
        <w:r w:rsidRPr="003C29DA">
          <w:rPr>
            <w:color w:val="0563C1" w:themeColor="hyperlink"/>
            <w:szCs w:val="24"/>
            <w:u w:val="single"/>
          </w:rPr>
          <w:t>http://www.regulations.gov</w:t>
        </w:r>
      </w:hyperlink>
      <w:r w:rsidRPr="003C29DA">
        <w:rPr>
          <w:color w:val="0563C1" w:themeColor="hyperlink"/>
          <w:szCs w:val="24"/>
          <w:u w:val="single"/>
        </w:rPr>
        <w:t>.</w:t>
      </w:r>
      <w:r w:rsidRPr="003C29DA">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3C29DA" w:rsidR="003C29DA" w:rsidP="003C29DA" w:rsidRDefault="003C29DA" w14:paraId="6138D3D3" w14:textId="77777777">
      <w:pPr>
        <w:spacing w:line="276" w:lineRule="auto"/>
      </w:pPr>
      <w:r w:rsidRPr="003C29DA">
        <w:rPr>
          <w:color w:val="0F0F0F"/>
          <w:szCs w:val="24"/>
        </w:rPr>
        <w:lastRenderedPageBreak/>
        <w:t xml:space="preserve">You can also provide comments to the Office of Information and Regulatory Affairs, Office of Management and Budget </w:t>
      </w:r>
      <w:r w:rsidRPr="003C29DA">
        <w:t xml:space="preserve">via </w:t>
      </w:r>
      <w:hyperlink w:history="1" r:id="rId17">
        <w:r w:rsidRPr="003C29DA">
          <w:rPr>
            <w:color w:val="0563C1" w:themeColor="hyperlink"/>
            <w:u w:val="single"/>
          </w:rPr>
          <w:t>http://www.reginfo.gov/public/do/PRAMain</w:t>
        </w:r>
      </w:hyperlink>
      <w:r w:rsidRPr="003C29DA">
        <w:t>. Find this particular information collection by selecting ‘‘Currently under 30-day Review—Open for Public Comments’’ or by using the search function.</w:t>
      </w:r>
    </w:p>
    <w:p w:rsidR="003C29DA" w:rsidP="003C29DA" w:rsidRDefault="003C29DA" w14:paraId="5C233991" w14:textId="73BABA16">
      <w:pPr>
        <w:spacing w:line="276" w:lineRule="auto"/>
      </w:pPr>
      <w:r w:rsidRPr="003C29DA">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542A63" w:rsidR="00542A63" w:rsidP="00542A63" w:rsidRDefault="00542A63" w14:paraId="2A184ABE" w14:textId="4AFBD147">
      <w:bookmarkStart w:name="_Hlk79500589" w:id="14"/>
      <w:r w:rsidRPr="00542A63">
        <w:t xml:space="preserve">For the latest status information on EPA/DC services and docket access, visit </w:t>
      </w:r>
      <w:r w:rsidRPr="00542A63">
        <w:rPr>
          <w:color w:val="0563C1" w:themeColor="hyperlink"/>
          <w:u w:val="single"/>
        </w:rPr>
        <w:t>https://www.epa.gov/dockets</w:t>
      </w:r>
      <w:r w:rsidRPr="00542A63">
        <w:t>.</w:t>
      </w:r>
      <w:bookmarkEnd w:id="14"/>
    </w:p>
    <w:bookmarkEnd w:id="13"/>
    <w:p w:rsidR="00A640A9" w:rsidP="002059F4" w:rsidRDefault="00A640A9" w14:paraId="4CFB748D" w14:textId="1CD4CFAD">
      <w:pPr>
        <w:pStyle w:val="Heading1"/>
      </w:pPr>
      <w:r>
        <w:t>List of Attachments</w:t>
      </w:r>
    </w:p>
    <w:p w:rsidR="005E0CF4" w:rsidP="0026304B" w:rsidRDefault="0026304B" w14:paraId="4BA9D995" w14:textId="595A9DCC">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8">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877ED3">
        <w:rPr>
          <w:rFonts w:cs="Arial"/>
          <w:szCs w:val="24"/>
        </w:rPr>
        <w:t>OPPT</w:t>
      </w:r>
      <w:r>
        <w:rPr>
          <w:rFonts w:cs="Arial"/>
          <w:szCs w:val="24"/>
        </w:rPr>
        <w:t>-</w:t>
      </w:r>
      <w:r w:rsidR="00877ED3">
        <w:rPr>
          <w:rFonts w:cs="Arial"/>
          <w:szCs w:val="24"/>
        </w:rPr>
        <w:t>2014</w:t>
      </w:r>
      <w:r>
        <w:rPr>
          <w:rFonts w:cs="Arial"/>
          <w:szCs w:val="24"/>
        </w:rPr>
        <w:t>-</w:t>
      </w:r>
      <w:r w:rsidR="009B40E7">
        <w:rPr>
          <w:rFonts w:cs="Arial"/>
          <w:szCs w:val="24"/>
        </w:rPr>
        <w:t>0838</w:t>
      </w:r>
      <w:r>
        <w:rPr>
          <w:lang w:bidi="en-US"/>
        </w:rPr>
        <w:t>.</w:t>
      </w:r>
    </w:p>
    <w:tbl>
      <w:tblPr>
        <w:tblStyle w:val="TableGrid"/>
        <w:tblW w:w="0" w:type="auto"/>
        <w:tblLook w:val="04A0" w:firstRow="1" w:lastRow="0" w:firstColumn="1" w:lastColumn="0" w:noHBand="0" w:noVBand="1"/>
      </w:tblPr>
      <w:tblGrid>
        <w:gridCol w:w="670"/>
        <w:gridCol w:w="8680"/>
      </w:tblGrid>
      <w:tr w:rsidR="0026304B" w:rsidTr="005E0CF4" w14:paraId="3C28984B" w14:textId="77777777">
        <w:tc>
          <w:tcPr>
            <w:tcW w:w="670" w:type="dxa"/>
          </w:tcPr>
          <w:p w:rsidRPr="0026304B" w:rsidR="0026304B" w:rsidP="0026304B" w:rsidRDefault="0026304B" w14:paraId="20CF178A" w14:textId="5677487C">
            <w:pPr>
              <w:widowControl w:val="0"/>
              <w:spacing w:before="40" w:after="40"/>
              <w:rPr>
                <w:b/>
                <w:bCs/>
                <w:lang w:bidi="en-US"/>
              </w:rPr>
            </w:pPr>
            <w:r w:rsidRPr="0026304B">
              <w:rPr>
                <w:b/>
                <w:bCs/>
                <w:lang w:bidi="en-US"/>
              </w:rPr>
              <w:t>Ref.</w:t>
            </w:r>
          </w:p>
        </w:tc>
        <w:tc>
          <w:tcPr>
            <w:tcW w:w="8680" w:type="dxa"/>
          </w:tcPr>
          <w:p w:rsidRPr="0026304B" w:rsidR="0026304B" w:rsidP="0026304B" w:rsidRDefault="002867C2" w14:paraId="43C6C962" w14:textId="7BAE6565">
            <w:pPr>
              <w:widowControl w:val="0"/>
              <w:spacing w:before="40" w:after="40"/>
              <w:rPr>
                <w:b/>
                <w:bCs/>
                <w:lang w:bidi="en-US"/>
              </w:rPr>
            </w:pPr>
            <w:r>
              <w:rPr>
                <w:b/>
                <w:bCs/>
                <w:lang w:bidi="en-US"/>
              </w:rPr>
              <w:t xml:space="preserve">Title </w:t>
            </w:r>
          </w:p>
        </w:tc>
      </w:tr>
      <w:tr w:rsidR="0026304B" w:rsidTr="005E0CF4" w14:paraId="653EF079" w14:textId="77777777">
        <w:tc>
          <w:tcPr>
            <w:tcW w:w="670" w:type="dxa"/>
          </w:tcPr>
          <w:p w:rsidR="0026304B" w:rsidP="005E0CF4" w:rsidRDefault="00B1352E" w14:paraId="244D5D03" w14:textId="3D501ABF">
            <w:pPr>
              <w:widowControl w:val="0"/>
              <w:spacing w:before="40" w:after="0"/>
              <w:rPr>
                <w:lang w:bidi="en-US"/>
              </w:rPr>
            </w:pPr>
            <w:r>
              <w:rPr>
                <w:lang w:bidi="en-US"/>
              </w:rPr>
              <w:t>1.</w:t>
            </w:r>
          </w:p>
        </w:tc>
        <w:tc>
          <w:tcPr>
            <w:tcW w:w="8680" w:type="dxa"/>
          </w:tcPr>
          <w:p w:rsidRPr="00877ED3" w:rsidR="0026304B" w:rsidP="005E0CF4" w:rsidRDefault="0071604E" w14:paraId="46F5F82F" w14:textId="51537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4"/>
                <w:lang w:val="fr-FR"/>
              </w:rPr>
            </w:pPr>
            <w:hyperlink w:history="1" r:id="rId19">
              <w:r w:rsidR="0073212F">
                <w:rPr>
                  <w:rStyle w:val="Hyperlink"/>
                  <w:rFonts w:eastAsia="Arial Unicode MS"/>
                  <w:szCs w:val="24"/>
                  <w:lang w:val="fr-FR"/>
                </w:rPr>
                <w:t xml:space="preserve">Pollution Prevention Act, 42 U.S.C. 13101 et seq. </w:t>
              </w:r>
            </w:hyperlink>
            <w:r w:rsidR="0073212F">
              <w:rPr>
                <w:rFonts w:eastAsia="Arial Unicode MS"/>
                <w:color w:val="000000"/>
                <w:szCs w:val="24"/>
                <w:lang w:val="fr-FR"/>
              </w:rPr>
              <w:t xml:space="preserve"> </w:t>
            </w:r>
          </w:p>
        </w:tc>
      </w:tr>
      <w:tr w:rsidR="00B1352E" w:rsidTr="005E0CF4" w14:paraId="5BBC1B5F" w14:textId="77777777">
        <w:tc>
          <w:tcPr>
            <w:tcW w:w="670" w:type="dxa"/>
          </w:tcPr>
          <w:p w:rsidR="00B1352E" w:rsidP="005E0CF4" w:rsidRDefault="00B1352E" w14:paraId="2DB440ED" w14:textId="078D2013">
            <w:pPr>
              <w:widowControl w:val="0"/>
              <w:spacing w:before="40" w:after="0"/>
              <w:rPr>
                <w:lang w:bidi="en-US"/>
              </w:rPr>
            </w:pPr>
            <w:r>
              <w:rPr>
                <w:lang w:bidi="en-US"/>
              </w:rPr>
              <w:t>2.</w:t>
            </w:r>
          </w:p>
        </w:tc>
        <w:tc>
          <w:tcPr>
            <w:tcW w:w="8680" w:type="dxa"/>
          </w:tcPr>
          <w:p w:rsidRPr="00877ED3" w:rsidR="00B1352E" w:rsidP="005E0CF4" w:rsidRDefault="0071604E" w14:paraId="772B85E2" w14:textId="3F4A7F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2160"/>
              <w:rPr>
                <w:szCs w:val="24"/>
              </w:rPr>
            </w:pPr>
            <w:hyperlink w:history="1" r:id="rId20">
              <w:r w:rsidR="0073212F">
                <w:rPr>
                  <w:rStyle w:val="Hyperlink"/>
                  <w:rFonts w:eastAsia="Arial Unicode MS"/>
                  <w:szCs w:val="24"/>
                </w:rPr>
                <w:t>National Technology Transfer and Advancement Act of 1995, 15 U.S.C. 3701</w:t>
              </w:r>
            </w:hyperlink>
            <w:r w:rsidR="00877ED3">
              <w:rPr>
                <w:rFonts w:eastAsia="Arial Unicode MS"/>
                <w:color w:val="000000"/>
                <w:szCs w:val="24"/>
              </w:rPr>
              <w:t xml:space="preserve"> </w:t>
            </w:r>
          </w:p>
        </w:tc>
      </w:tr>
      <w:tr w:rsidR="00B1352E" w:rsidTr="005E0CF4" w14:paraId="3F3D5BB1" w14:textId="77777777">
        <w:tc>
          <w:tcPr>
            <w:tcW w:w="670" w:type="dxa"/>
          </w:tcPr>
          <w:p w:rsidR="00B1352E" w:rsidP="0026304B" w:rsidRDefault="00B1352E" w14:paraId="1933E784" w14:textId="2A8F6EF0">
            <w:pPr>
              <w:widowControl w:val="0"/>
              <w:spacing w:before="40" w:after="40"/>
              <w:rPr>
                <w:lang w:bidi="en-US"/>
              </w:rPr>
            </w:pPr>
            <w:r>
              <w:rPr>
                <w:lang w:bidi="en-US"/>
              </w:rPr>
              <w:t>3.</w:t>
            </w:r>
          </w:p>
        </w:tc>
        <w:tc>
          <w:tcPr>
            <w:tcW w:w="8680" w:type="dxa"/>
          </w:tcPr>
          <w:p w:rsidR="00B1352E" w:rsidP="0026304B" w:rsidRDefault="00877ED3" w14:paraId="774578EF" w14:textId="7841C6B7">
            <w:pPr>
              <w:widowControl w:val="0"/>
              <w:spacing w:before="40" w:after="40"/>
              <w:rPr>
                <w:lang w:bidi="en-US"/>
              </w:rPr>
            </w:pPr>
            <w:r w:rsidRPr="007A5B7E">
              <w:rPr>
                <w:lang w:bidi="en-US"/>
              </w:rPr>
              <w:t>Information Collection Instrument</w:t>
            </w:r>
            <w:r w:rsidRPr="007A5B7E" w:rsidR="007A5B7E">
              <w:rPr>
                <w:lang w:bidi="en-US"/>
              </w:rPr>
              <w:t xml:space="preserve"> – Submission Template for the Framework for the Assessment of Environmental Performance Standards and Ecolabels for Federal Purchasing</w:t>
            </w:r>
            <w:r w:rsidR="005900E0">
              <w:rPr>
                <w:lang w:bidi="en-US"/>
              </w:rPr>
              <w:t xml:space="preserve"> </w:t>
            </w:r>
            <w:r w:rsidR="00F96D3E">
              <w:rPr>
                <w:lang w:bidi="en-US"/>
              </w:rPr>
              <w:t>(</w:t>
            </w:r>
            <w:r w:rsidRPr="00F96D3E" w:rsidR="00F96D3E">
              <w:rPr>
                <w:lang w:bidi="en-US"/>
              </w:rPr>
              <w:t>EPA Form No. 9600-038</w:t>
            </w:r>
            <w:r w:rsidR="00F96D3E">
              <w:rPr>
                <w:lang w:bidi="en-US"/>
              </w:rPr>
              <w:t>)</w:t>
            </w:r>
          </w:p>
        </w:tc>
      </w:tr>
      <w:tr w:rsidR="0073177C" w:rsidTr="005E0CF4" w14:paraId="340CB7A4" w14:textId="77777777">
        <w:tc>
          <w:tcPr>
            <w:tcW w:w="670" w:type="dxa"/>
          </w:tcPr>
          <w:p w:rsidR="0073177C" w:rsidP="0026304B" w:rsidRDefault="0073177C" w14:paraId="227D4B7E" w14:textId="4E6D7464">
            <w:pPr>
              <w:widowControl w:val="0"/>
              <w:spacing w:before="40" w:after="40"/>
              <w:rPr>
                <w:lang w:bidi="en-US"/>
              </w:rPr>
            </w:pPr>
            <w:r>
              <w:rPr>
                <w:lang w:bidi="en-US"/>
              </w:rPr>
              <w:t>4.</w:t>
            </w:r>
          </w:p>
        </w:tc>
        <w:tc>
          <w:tcPr>
            <w:tcW w:w="8680" w:type="dxa"/>
          </w:tcPr>
          <w:p w:rsidRPr="007A5B7E" w:rsidR="0073177C" w:rsidP="0026304B" w:rsidRDefault="0071604E" w14:paraId="3BC5F31F" w14:textId="52193EAA">
            <w:pPr>
              <w:widowControl w:val="0"/>
              <w:spacing w:before="40" w:after="40"/>
              <w:rPr>
                <w:lang w:bidi="en-US"/>
              </w:rPr>
            </w:pPr>
            <w:hyperlink w:history="1" r:id="rId21">
              <w:r w:rsidRPr="0073177C" w:rsidR="0073177C">
                <w:rPr>
                  <w:rStyle w:val="Hyperlink"/>
                  <w:lang w:bidi="en-US"/>
                </w:rPr>
                <w:t>Framework for the Assessment of Environmental Performance Standards and Ecolabels for Federal Purchasing</w:t>
              </w:r>
            </w:hyperlink>
          </w:p>
        </w:tc>
      </w:tr>
      <w:tr w:rsidR="0073177C" w:rsidTr="005E0CF4" w14:paraId="304D1562" w14:textId="77777777">
        <w:tc>
          <w:tcPr>
            <w:tcW w:w="670" w:type="dxa"/>
          </w:tcPr>
          <w:p w:rsidR="0073177C" w:rsidP="0026304B" w:rsidRDefault="0073177C" w14:paraId="193E0222" w14:textId="05E6377E">
            <w:pPr>
              <w:widowControl w:val="0"/>
              <w:spacing w:before="40" w:after="40"/>
              <w:rPr>
                <w:lang w:bidi="en-US"/>
              </w:rPr>
            </w:pPr>
            <w:r>
              <w:rPr>
                <w:lang w:bidi="en-US"/>
              </w:rPr>
              <w:t>5.</w:t>
            </w:r>
          </w:p>
        </w:tc>
        <w:tc>
          <w:tcPr>
            <w:tcW w:w="8680" w:type="dxa"/>
          </w:tcPr>
          <w:p w:rsidRPr="005900E0" w:rsidR="0073177C" w:rsidP="0026304B" w:rsidRDefault="0071604E" w14:paraId="7AE4A2F9" w14:textId="2D85DCE5">
            <w:pPr>
              <w:widowControl w:val="0"/>
              <w:spacing w:before="40" w:after="40"/>
              <w:rPr>
                <w:lang w:bidi="en-US"/>
              </w:rPr>
            </w:pPr>
            <w:hyperlink w:history="1" r:id="rId22">
              <w:r w:rsidRPr="005900E0" w:rsidR="0073177C">
                <w:rPr>
                  <w:rStyle w:val="Hyperlink"/>
                </w:rPr>
                <w:t>ADDENDUM: Changes in the 2022 Update of the United States Environmental Protection Agency’s Framework for the Assessment of Environmental Performance Standards and Ecolabels for Federal Purchasing</w:t>
              </w:r>
            </w:hyperlink>
            <w:r w:rsidRPr="005900E0" w:rsidR="0073177C">
              <w:t xml:space="preserve"> </w:t>
            </w:r>
          </w:p>
        </w:tc>
      </w:tr>
      <w:tr w:rsidR="005900E0" w:rsidTr="005E0CF4" w14:paraId="2B691AFB" w14:textId="77777777">
        <w:tc>
          <w:tcPr>
            <w:tcW w:w="670" w:type="dxa"/>
          </w:tcPr>
          <w:p w:rsidR="005900E0" w:rsidP="0026304B" w:rsidRDefault="005900E0" w14:paraId="19F67C41" w14:textId="0A68E386">
            <w:pPr>
              <w:widowControl w:val="0"/>
              <w:spacing w:before="40" w:after="40"/>
              <w:rPr>
                <w:lang w:bidi="en-US"/>
              </w:rPr>
            </w:pPr>
            <w:r>
              <w:rPr>
                <w:lang w:bidi="en-US"/>
              </w:rPr>
              <w:t>6.</w:t>
            </w:r>
          </w:p>
        </w:tc>
        <w:tc>
          <w:tcPr>
            <w:tcW w:w="8680" w:type="dxa"/>
          </w:tcPr>
          <w:p w:rsidRPr="005900E0" w:rsidR="005900E0" w:rsidP="0026304B" w:rsidRDefault="0071604E" w14:paraId="20099A17" w14:textId="04D2901F">
            <w:pPr>
              <w:widowControl w:val="0"/>
              <w:spacing w:before="40" w:after="40"/>
            </w:pPr>
            <w:hyperlink w:history="1" r:id="rId23">
              <w:r w:rsidRPr="005900E0" w:rsidR="005900E0">
                <w:rPr>
                  <w:rStyle w:val="Hyperlink"/>
                </w:rPr>
                <w:t>Recommendations of Specifications, Standards, and Ecolabels for Federal Purchasing</w:t>
              </w:r>
            </w:hyperlink>
          </w:p>
        </w:tc>
      </w:tr>
      <w:tr w:rsidR="00542A63" w:rsidTr="005E0CF4" w14:paraId="7311737F" w14:textId="77777777">
        <w:tc>
          <w:tcPr>
            <w:tcW w:w="670" w:type="dxa"/>
          </w:tcPr>
          <w:p w:rsidR="00542A63" w:rsidP="0026304B" w:rsidRDefault="00542A63" w14:paraId="4FEB35E6" w14:textId="1D4B0119">
            <w:pPr>
              <w:widowControl w:val="0"/>
              <w:spacing w:before="40" w:after="40"/>
              <w:rPr>
                <w:lang w:bidi="en-US"/>
              </w:rPr>
            </w:pPr>
            <w:r>
              <w:rPr>
                <w:lang w:bidi="en-US"/>
              </w:rPr>
              <w:t xml:space="preserve">7. </w:t>
            </w:r>
          </w:p>
        </w:tc>
        <w:tc>
          <w:tcPr>
            <w:tcW w:w="8680" w:type="dxa"/>
          </w:tcPr>
          <w:p w:rsidR="00542A63" w:rsidP="0026304B" w:rsidRDefault="00542A63" w14:paraId="0D7F98B1" w14:textId="09A556BF">
            <w:pPr>
              <w:widowControl w:val="0"/>
              <w:spacing w:before="40" w:after="40"/>
            </w:pPr>
            <w:r>
              <w:t>Consultation</w:t>
            </w:r>
            <w:r w:rsidR="00971E5E">
              <w:t>s</w:t>
            </w:r>
          </w:p>
        </w:tc>
      </w:tr>
      <w:tr w:rsidR="00260C0F" w:rsidTr="005E0CF4" w14:paraId="15AC7008" w14:textId="77777777">
        <w:tc>
          <w:tcPr>
            <w:tcW w:w="670" w:type="dxa"/>
          </w:tcPr>
          <w:p w:rsidR="00260C0F" w:rsidP="0026304B" w:rsidRDefault="00260C0F" w14:paraId="6D5A5EB3" w14:textId="4CFDBC26">
            <w:pPr>
              <w:widowControl w:val="0"/>
              <w:spacing w:before="40" w:after="40"/>
              <w:rPr>
                <w:lang w:bidi="en-US"/>
              </w:rPr>
            </w:pPr>
            <w:r>
              <w:rPr>
                <w:lang w:bidi="en-US"/>
              </w:rPr>
              <w:t xml:space="preserve">8. </w:t>
            </w:r>
          </w:p>
        </w:tc>
        <w:tc>
          <w:tcPr>
            <w:tcW w:w="8680" w:type="dxa"/>
          </w:tcPr>
          <w:p w:rsidR="00260C0F" w:rsidP="0026304B" w:rsidRDefault="00260C0F" w14:paraId="3EEFEEE4" w14:textId="296AF712">
            <w:pPr>
              <w:widowControl w:val="0"/>
              <w:spacing w:before="40" w:after="40"/>
            </w:pPr>
            <w:r>
              <w:t>Wage Rates</w:t>
            </w:r>
          </w:p>
        </w:tc>
      </w:tr>
      <w:tr w:rsidR="006A4754" w:rsidTr="005E0CF4" w14:paraId="1B77B0A4" w14:textId="77777777">
        <w:tc>
          <w:tcPr>
            <w:tcW w:w="670" w:type="dxa"/>
          </w:tcPr>
          <w:p w:rsidR="006A4754" w:rsidP="0026304B" w:rsidRDefault="006A4754" w14:paraId="157CD53B" w14:textId="6DA0582F">
            <w:pPr>
              <w:widowControl w:val="0"/>
              <w:spacing w:before="40" w:after="40"/>
              <w:rPr>
                <w:lang w:bidi="en-US"/>
              </w:rPr>
            </w:pPr>
            <w:r>
              <w:rPr>
                <w:lang w:bidi="en-US"/>
              </w:rPr>
              <w:t>9.</w:t>
            </w:r>
          </w:p>
        </w:tc>
        <w:tc>
          <w:tcPr>
            <w:tcW w:w="8680" w:type="dxa"/>
          </w:tcPr>
          <w:p w:rsidR="006A4754" w:rsidP="0026304B" w:rsidRDefault="006A4754" w14:paraId="710D04A2" w14:textId="36ACEE0E">
            <w:pPr>
              <w:widowControl w:val="0"/>
              <w:spacing w:before="40" w:after="40"/>
            </w:pPr>
            <w:r>
              <w:t xml:space="preserve">Public Comment: </w:t>
            </w:r>
            <w:r w:rsidR="00E84D04">
              <w:t>Sustainable Forestry Initiative</w:t>
            </w:r>
          </w:p>
        </w:tc>
      </w:tr>
      <w:tr w:rsidR="001E2767" w:rsidTr="005E0CF4" w14:paraId="29172F22" w14:textId="77777777">
        <w:tc>
          <w:tcPr>
            <w:tcW w:w="670" w:type="dxa"/>
          </w:tcPr>
          <w:p w:rsidR="001E2767" w:rsidP="0026304B" w:rsidRDefault="006A4754" w14:paraId="4D8082CD" w14:textId="289913A9">
            <w:pPr>
              <w:widowControl w:val="0"/>
              <w:spacing w:before="40" w:after="40"/>
              <w:rPr>
                <w:lang w:bidi="en-US"/>
              </w:rPr>
            </w:pPr>
            <w:r>
              <w:rPr>
                <w:lang w:bidi="en-US"/>
              </w:rPr>
              <w:t>10.</w:t>
            </w:r>
          </w:p>
        </w:tc>
        <w:tc>
          <w:tcPr>
            <w:tcW w:w="8680" w:type="dxa"/>
          </w:tcPr>
          <w:p w:rsidR="001E2767" w:rsidP="0026304B" w:rsidRDefault="006A4754" w14:paraId="5626C9C3" w14:textId="2F54B9AC">
            <w:pPr>
              <w:widowControl w:val="0"/>
              <w:spacing w:before="40" w:after="40"/>
            </w:pPr>
            <w:r>
              <w:rPr>
                <w:rFonts w:eastAsia="Yu Gothic Light" w:cs="Arial"/>
                <w:color w:val="000000"/>
                <w:shd w:val="clear" w:color="auto" w:fill="FFFFFF"/>
              </w:rPr>
              <w:t>Public Comment: Resilient Floor Covering Institute</w:t>
            </w:r>
          </w:p>
        </w:tc>
      </w:tr>
    </w:tbl>
    <w:p w:rsidRPr="0026304B" w:rsidR="0026304B" w:rsidP="00E84D04" w:rsidRDefault="0026304B" w14:paraId="402D83F5" w14:textId="77777777">
      <w:pPr>
        <w:rPr>
          <w:lang w:bidi="en-US"/>
        </w:rPr>
      </w:pPr>
    </w:p>
    <w:sectPr w:rsidRPr="0026304B" w:rsidR="0026304B" w:rsidSect="00A84A9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7590" w14:textId="77777777" w:rsidR="00A37EBE" w:rsidRDefault="00A37EBE" w:rsidP="005645B8">
      <w:pPr>
        <w:spacing w:after="0"/>
      </w:pPr>
      <w:r>
        <w:separator/>
      </w:r>
    </w:p>
  </w:endnote>
  <w:endnote w:type="continuationSeparator" w:id="0">
    <w:p w14:paraId="02D580FB" w14:textId="77777777" w:rsidR="00A37EBE" w:rsidRDefault="00A37EBE" w:rsidP="005645B8">
      <w:pPr>
        <w:spacing w:after="0"/>
      </w:pPr>
      <w:r>
        <w:continuationSeparator/>
      </w:r>
    </w:p>
  </w:endnote>
  <w:endnote w:type="continuationNotice" w:id="1">
    <w:p w14:paraId="4FE158E0" w14:textId="77777777" w:rsidR="00A37EBE" w:rsidRDefault="00A37E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9505AD" w:rsidRDefault="009505AD"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9505AD" w:rsidRDefault="0071604E" w:rsidP="009505AD">
    <w:pPr>
      <w:pStyle w:val="Footer"/>
      <w:spacing w:before="120"/>
      <w:jc w:val="center"/>
    </w:pPr>
    <w:sdt>
      <w:sdtPr>
        <w:id w:val="1988427682"/>
        <w:docPartObj>
          <w:docPartGallery w:val="Page Numbers (Top of Page)"/>
          <w:docPartUnique/>
        </w:docPartObj>
      </w:sdtPr>
      <w:sdtEndPr/>
      <w:sdtContent>
        <w:r w:rsidR="009505AD" w:rsidRPr="009505AD">
          <w:rPr>
            <w:sz w:val="20"/>
            <w:szCs w:val="20"/>
          </w:rPr>
          <w:t xml:space="preserve">Page </w:t>
        </w:r>
        <w:r w:rsidR="009505AD" w:rsidRPr="009505AD">
          <w:rPr>
            <w:b/>
            <w:bCs/>
            <w:sz w:val="20"/>
            <w:szCs w:val="20"/>
          </w:rPr>
          <w:fldChar w:fldCharType="begin"/>
        </w:r>
        <w:r w:rsidR="009505AD" w:rsidRPr="009505AD">
          <w:rPr>
            <w:b/>
            <w:bCs/>
            <w:sz w:val="20"/>
            <w:szCs w:val="20"/>
          </w:rPr>
          <w:instrText xml:space="preserve"> PAGE </w:instrText>
        </w:r>
        <w:r w:rsidR="009505AD" w:rsidRPr="009505AD">
          <w:rPr>
            <w:b/>
            <w:bCs/>
            <w:sz w:val="20"/>
            <w:szCs w:val="20"/>
          </w:rPr>
          <w:fldChar w:fldCharType="separate"/>
        </w:r>
        <w:r w:rsidR="009505AD">
          <w:rPr>
            <w:b/>
            <w:bCs/>
            <w:sz w:val="20"/>
            <w:szCs w:val="20"/>
          </w:rPr>
          <w:t>2</w:t>
        </w:r>
        <w:r w:rsidR="009505AD" w:rsidRPr="009505AD">
          <w:rPr>
            <w:b/>
            <w:bCs/>
            <w:sz w:val="20"/>
            <w:szCs w:val="20"/>
          </w:rPr>
          <w:fldChar w:fldCharType="end"/>
        </w:r>
        <w:r w:rsidR="009505AD" w:rsidRPr="009505AD">
          <w:rPr>
            <w:sz w:val="20"/>
            <w:szCs w:val="20"/>
          </w:rPr>
          <w:t xml:space="preserve"> of </w:t>
        </w:r>
        <w:r w:rsidR="009505AD" w:rsidRPr="009505AD">
          <w:rPr>
            <w:b/>
            <w:bCs/>
            <w:sz w:val="20"/>
            <w:szCs w:val="20"/>
          </w:rPr>
          <w:fldChar w:fldCharType="begin"/>
        </w:r>
        <w:r w:rsidR="009505AD" w:rsidRPr="009505AD">
          <w:rPr>
            <w:b/>
            <w:bCs/>
            <w:sz w:val="20"/>
            <w:szCs w:val="20"/>
          </w:rPr>
          <w:instrText xml:space="preserve"> NUMPAGES  </w:instrText>
        </w:r>
        <w:r w:rsidR="009505AD" w:rsidRPr="009505AD">
          <w:rPr>
            <w:b/>
            <w:bCs/>
            <w:sz w:val="20"/>
            <w:szCs w:val="20"/>
          </w:rPr>
          <w:fldChar w:fldCharType="separate"/>
        </w:r>
        <w:r w:rsidR="009505AD">
          <w:rPr>
            <w:b/>
            <w:bCs/>
            <w:sz w:val="20"/>
            <w:szCs w:val="20"/>
          </w:rPr>
          <w:t>5</w:t>
        </w:r>
        <w:r w:rsidR="009505AD"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F6A7" w14:textId="77777777" w:rsidR="00A37EBE" w:rsidRDefault="00A37EBE" w:rsidP="005645B8">
      <w:pPr>
        <w:spacing w:after="0"/>
      </w:pPr>
      <w:r>
        <w:separator/>
      </w:r>
    </w:p>
  </w:footnote>
  <w:footnote w:type="continuationSeparator" w:id="0">
    <w:p w14:paraId="170FDB11" w14:textId="77777777" w:rsidR="00A37EBE" w:rsidRDefault="00A37EBE" w:rsidP="005645B8">
      <w:pPr>
        <w:spacing w:after="0"/>
      </w:pPr>
      <w:r>
        <w:continuationSeparator/>
      </w:r>
    </w:p>
  </w:footnote>
  <w:footnote w:type="continuationNotice" w:id="1">
    <w:p w14:paraId="67C432FE" w14:textId="77777777" w:rsidR="00A37EBE" w:rsidRDefault="00A37EBE">
      <w:pPr>
        <w:spacing w:after="0"/>
      </w:pPr>
    </w:p>
  </w:footnote>
  <w:footnote w:id="2">
    <w:p w14:paraId="427E16D1" w14:textId="00945E67" w:rsidR="008B2BC6" w:rsidRDefault="008B2BC6">
      <w:pPr>
        <w:pStyle w:val="FootnoteText"/>
      </w:pPr>
      <w:r>
        <w:rPr>
          <w:rStyle w:val="FootnoteReference"/>
        </w:rPr>
        <w:footnoteRef/>
      </w:r>
      <w:r>
        <w:t xml:space="preserve"> </w:t>
      </w:r>
      <w:r w:rsidRPr="009C4B82">
        <w:rPr>
          <w:szCs w:val="24"/>
        </w:rPr>
        <w:t>John L. Bishow and Kristen Monaco, "Nonprofit pay and benefits: estimates from the National Compensation Survey," Monthly Labor Review, U.S. Bureau of Labor Statistics, January 2016, https://doi.org/10.21916/mlr.2016.4</w:t>
      </w:r>
    </w:p>
  </w:footnote>
  <w:footnote w:id="3">
    <w:p w14:paraId="3773A432" w14:textId="61D25BE6" w:rsidR="00A05367" w:rsidRDefault="00A05367">
      <w:pPr>
        <w:pStyle w:val="FootnoteText"/>
      </w:pPr>
      <w:r>
        <w:rPr>
          <w:rStyle w:val="FootnoteReference"/>
        </w:rPr>
        <w:footnoteRef/>
      </w:r>
      <w:r>
        <w:t xml:space="preserve"> This assumption is based on comparison of manage</w:t>
      </w:r>
      <w:r w:rsidR="00A32DC8">
        <w:t>rial and professional</w:t>
      </w:r>
      <w:r>
        <w:t xml:space="preserve"> total compensation rates in the </w:t>
      </w:r>
      <w:r w:rsidR="00A32DC8">
        <w:t>professional and business services</w:t>
      </w:r>
      <w:r>
        <w:t xml:space="preserve"> sector over the period of 20</w:t>
      </w:r>
      <w:r w:rsidR="00A32DC8">
        <w:t>06</w:t>
      </w:r>
      <w:r>
        <w:t xml:space="preserve"> – 202</w:t>
      </w:r>
      <w:r w:rsidR="00A32DC8">
        <w:t>1</w:t>
      </w:r>
      <w:r w:rsidR="000864F6">
        <w:t xml:space="preserve"> (</w:t>
      </w:r>
      <w:r w:rsidR="000864F6" w:rsidRPr="00201FFC">
        <w:t>https://www.bls.gov/web/ecec/ecsuphst.pdf)</w:t>
      </w:r>
      <w:r>
        <w:t>.</w:t>
      </w:r>
    </w:p>
  </w:footnote>
  <w:footnote w:id="4">
    <w:p w14:paraId="15D264D9" w14:textId="04CEF6CB" w:rsidR="00C638BF" w:rsidRDefault="00C638BF">
      <w:pPr>
        <w:pStyle w:val="FootnoteText"/>
      </w:pPr>
      <w:r w:rsidRPr="00201FFC">
        <w:rPr>
          <w:szCs w:val="24"/>
        </w:rPr>
        <w:footnoteRef/>
      </w:r>
      <w:r w:rsidRPr="00C638BF">
        <w:rPr>
          <w:szCs w:val="24"/>
        </w:rPr>
        <w:t xml:space="preserve">  </w:t>
      </w:r>
      <w:r>
        <w:rPr>
          <w:szCs w:val="24"/>
        </w:rPr>
        <w:t xml:space="preserve">BLS, Employment Cost Index, </w:t>
      </w:r>
      <w:r w:rsidRPr="00201FFC">
        <w:rPr>
          <w:szCs w:val="24"/>
        </w:rPr>
        <w:t>Historical Listing – Volume III National Compensation Survey</w:t>
      </w:r>
      <w:r>
        <w:rPr>
          <w:szCs w:val="24"/>
        </w:rPr>
        <w:t xml:space="preserve">, </w:t>
      </w:r>
      <w:r w:rsidRPr="00C638BF">
        <w:rPr>
          <w:szCs w:val="24"/>
        </w:rPr>
        <w:t>Table 1. Employment Cost Index for total compensation1</w:t>
      </w:r>
      <w:r w:rsidRPr="00C638BF">
        <w:t>, by occupational group and industry (Seasonally adjusted)</w:t>
      </w:r>
      <w:r>
        <w:t xml:space="preserve">. </w:t>
      </w:r>
      <w:r w:rsidRPr="00C638BF">
        <w:t>https://www.bls.gov/web/eci/eci-current-nominal-dollar.pdf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5CD801C9" w:rsidR="009505AD" w:rsidRDefault="00950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823"/>
    <w:multiLevelType w:val="hybridMultilevel"/>
    <w:tmpl w:val="642A1F2A"/>
    <w:lvl w:ilvl="0" w:tplc="070837EC">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CD4E5E"/>
    <w:multiLevelType w:val="hybridMultilevel"/>
    <w:tmpl w:val="69287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E28E5"/>
    <w:multiLevelType w:val="hybridMultilevel"/>
    <w:tmpl w:val="2272CC8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7" w15:restartNumberingAfterBreak="0">
    <w:nsid w:val="220D7C0D"/>
    <w:multiLevelType w:val="hybridMultilevel"/>
    <w:tmpl w:val="31D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732618"/>
    <w:multiLevelType w:val="hybridMultilevel"/>
    <w:tmpl w:val="2CD8A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1"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9741BCF"/>
    <w:multiLevelType w:val="hybridMultilevel"/>
    <w:tmpl w:val="1D12B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6B6E"/>
    <w:multiLevelType w:val="hybridMultilevel"/>
    <w:tmpl w:val="2EA6F068"/>
    <w:lvl w:ilvl="0" w:tplc="90E4EF4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F05E52"/>
    <w:multiLevelType w:val="hybridMultilevel"/>
    <w:tmpl w:val="6B70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077342B"/>
    <w:multiLevelType w:val="hybridMultilevel"/>
    <w:tmpl w:val="426C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A174B"/>
    <w:multiLevelType w:val="hybridMultilevel"/>
    <w:tmpl w:val="BA62C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5A7A55BD"/>
    <w:multiLevelType w:val="hybridMultilevel"/>
    <w:tmpl w:val="065C74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27F15"/>
    <w:multiLevelType w:val="hybridMultilevel"/>
    <w:tmpl w:val="5DC2657E"/>
    <w:lvl w:ilvl="0" w:tplc="F738E78C">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24"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8"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32"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3"/>
  </w:num>
  <w:num w:numId="3">
    <w:abstractNumId w:val="33"/>
  </w:num>
  <w:num w:numId="4">
    <w:abstractNumId w:val="26"/>
  </w:num>
  <w:num w:numId="5">
    <w:abstractNumId w:val="8"/>
  </w:num>
  <w:num w:numId="6">
    <w:abstractNumId w:val="12"/>
  </w:num>
  <w:num w:numId="7">
    <w:abstractNumId w:val="5"/>
  </w:num>
  <w:num w:numId="8">
    <w:abstractNumId w:val="29"/>
  </w:num>
  <w:num w:numId="9">
    <w:abstractNumId w:val="28"/>
  </w:num>
  <w:num w:numId="10">
    <w:abstractNumId w:val="25"/>
  </w:num>
  <w:num w:numId="11">
    <w:abstractNumId w:val="17"/>
  </w:num>
  <w:num w:numId="12">
    <w:abstractNumId w:val="11"/>
  </w:num>
  <w:num w:numId="13">
    <w:abstractNumId w:val="6"/>
  </w:num>
  <w:num w:numId="14">
    <w:abstractNumId w:val="31"/>
  </w:num>
  <w:num w:numId="15">
    <w:abstractNumId w:val="32"/>
  </w:num>
  <w:num w:numId="16">
    <w:abstractNumId w:val="24"/>
  </w:num>
  <w:num w:numId="17">
    <w:abstractNumId w:val="16"/>
  </w:num>
  <w:num w:numId="18">
    <w:abstractNumId w:val="30"/>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7"/>
    </w:lvlOverride>
  </w:num>
  <w:num w:numId="30">
    <w:abstractNumId w:val="10"/>
    <w:lvlOverride w:ilvl="0">
      <w:startOverride w:val="17"/>
    </w:lvlOverride>
  </w:num>
  <w:num w:numId="31">
    <w:abstractNumId w:val="2"/>
  </w:num>
  <w:num w:numId="32">
    <w:abstractNumId w:val="20"/>
  </w:num>
  <w:num w:numId="33">
    <w:abstractNumId w:val="22"/>
  </w:num>
  <w:num w:numId="34">
    <w:abstractNumId w:val="4"/>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19"/>
  </w:num>
  <w:num w:numId="39">
    <w:abstractNumId w:val="9"/>
  </w:num>
  <w:num w:numId="40">
    <w:abstractNumId w:val="3"/>
  </w:num>
  <w:num w:numId="41">
    <w:abstractNumId w:val="18"/>
  </w:num>
  <w:num w:numId="42">
    <w:abstractNumId w:val="13"/>
  </w:num>
  <w:num w:numId="43">
    <w:abstractNumId w:val="14"/>
  </w:num>
  <w:num w:numId="44">
    <w:abstractNumId w:val="15"/>
  </w:num>
  <w:num w:numId="45">
    <w:abstractNumId w:val="0"/>
  </w:num>
  <w:num w:numId="46">
    <w:abstractNumId w:val="1"/>
  </w:num>
  <w:num w:numId="47">
    <w:abstractNumId w:val="2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4287"/>
    <w:rsid w:val="0000670B"/>
    <w:rsid w:val="00006B5B"/>
    <w:rsid w:val="00013EFE"/>
    <w:rsid w:val="00020FF1"/>
    <w:rsid w:val="0003181D"/>
    <w:rsid w:val="000354C7"/>
    <w:rsid w:val="00040D8F"/>
    <w:rsid w:val="00040FE7"/>
    <w:rsid w:val="000453DB"/>
    <w:rsid w:val="00051199"/>
    <w:rsid w:val="00054D47"/>
    <w:rsid w:val="00055B7C"/>
    <w:rsid w:val="00061DFC"/>
    <w:rsid w:val="0006464F"/>
    <w:rsid w:val="000656A4"/>
    <w:rsid w:val="00073171"/>
    <w:rsid w:val="0007740E"/>
    <w:rsid w:val="000807B6"/>
    <w:rsid w:val="000828AE"/>
    <w:rsid w:val="000851D1"/>
    <w:rsid w:val="000864F6"/>
    <w:rsid w:val="00086DC2"/>
    <w:rsid w:val="00097C0A"/>
    <w:rsid w:val="000A2152"/>
    <w:rsid w:val="000A5FB9"/>
    <w:rsid w:val="000B244B"/>
    <w:rsid w:val="000C2828"/>
    <w:rsid w:val="000D5E31"/>
    <w:rsid w:val="000F0EED"/>
    <w:rsid w:val="000F3685"/>
    <w:rsid w:val="000F6215"/>
    <w:rsid w:val="00100812"/>
    <w:rsid w:val="00103B2E"/>
    <w:rsid w:val="00107247"/>
    <w:rsid w:val="0012070B"/>
    <w:rsid w:val="00120736"/>
    <w:rsid w:val="001278AD"/>
    <w:rsid w:val="00130805"/>
    <w:rsid w:val="00131006"/>
    <w:rsid w:val="00136C5B"/>
    <w:rsid w:val="0014094A"/>
    <w:rsid w:val="00146400"/>
    <w:rsid w:val="001506AC"/>
    <w:rsid w:val="00154D55"/>
    <w:rsid w:val="00161306"/>
    <w:rsid w:val="00161ED7"/>
    <w:rsid w:val="00165007"/>
    <w:rsid w:val="00174CD9"/>
    <w:rsid w:val="00180CC0"/>
    <w:rsid w:val="00181744"/>
    <w:rsid w:val="00183A5E"/>
    <w:rsid w:val="0018575F"/>
    <w:rsid w:val="00192218"/>
    <w:rsid w:val="001947B8"/>
    <w:rsid w:val="00197BFF"/>
    <w:rsid w:val="001A4BBA"/>
    <w:rsid w:val="001A5051"/>
    <w:rsid w:val="001B45B0"/>
    <w:rsid w:val="001B53C7"/>
    <w:rsid w:val="001C3187"/>
    <w:rsid w:val="001E0046"/>
    <w:rsid w:val="001E0DDA"/>
    <w:rsid w:val="001E2767"/>
    <w:rsid w:val="001E5236"/>
    <w:rsid w:val="00201FFC"/>
    <w:rsid w:val="002059F4"/>
    <w:rsid w:val="002061D9"/>
    <w:rsid w:val="00215B24"/>
    <w:rsid w:val="0022704E"/>
    <w:rsid w:val="0023602B"/>
    <w:rsid w:val="00253A81"/>
    <w:rsid w:val="00260C0F"/>
    <w:rsid w:val="0026304B"/>
    <w:rsid w:val="00266717"/>
    <w:rsid w:val="00271285"/>
    <w:rsid w:val="00275864"/>
    <w:rsid w:val="00282578"/>
    <w:rsid w:val="002867C2"/>
    <w:rsid w:val="002910C3"/>
    <w:rsid w:val="002917DB"/>
    <w:rsid w:val="00291D71"/>
    <w:rsid w:val="00294EAC"/>
    <w:rsid w:val="002A0F03"/>
    <w:rsid w:val="002A3714"/>
    <w:rsid w:val="002B290C"/>
    <w:rsid w:val="002B45AA"/>
    <w:rsid w:val="002B523D"/>
    <w:rsid w:val="002D481A"/>
    <w:rsid w:val="002D5856"/>
    <w:rsid w:val="002D75C4"/>
    <w:rsid w:val="002E3A57"/>
    <w:rsid w:val="002F07ED"/>
    <w:rsid w:val="002F0984"/>
    <w:rsid w:val="002F21F7"/>
    <w:rsid w:val="00303AA7"/>
    <w:rsid w:val="003041B0"/>
    <w:rsid w:val="003058A8"/>
    <w:rsid w:val="00313519"/>
    <w:rsid w:val="00341D6A"/>
    <w:rsid w:val="00344E24"/>
    <w:rsid w:val="00354677"/>
    <w:rsid w:val="00354D89"/>
    <w:rsid w:val="00354FD7"/>
    <w:rsid w:val="003645F8"/>
    <w:rsid w:val="0037574C"/>
    <w:rsid w:val="00377490"/>
    <w:rsid w:val="003832B9"/>
    <w:rsid w:val="003845EA"/>
    <w:rsid w:val="00384CD8"/>
    <w:rsid w:val="003853DC"/>
    <w:rsid w:val="00393ED4"/>
    <w:rsid w:val="003951A1"/>
    <w:rsid w:val="00395C2C"/>
    <w:rsid w:val="00397B1E"/>
    <w:rsid w:val="003A6B3A"/>
    <w:rsid w:val="003C29DA"/>
    <w:rsid w:val="003C48A3"/>
    <w:rsid w:val="003D096C"/>
    <w:rsid w:val="003D09E2"/>
    <w:rsid w:val="003D4FF1"/>
    <w:rsid w:val="003E219D"/>
    <w:rsid w:val="003E2F88"/>
    <w:rsid w:val="003E5CB4"/>
    <w:rsid w:val="003F1A38"/>
    <w:rsid w:val="003F3BFE"/>
    <w:rsid w:val="004107C9"/>
    <w:rsid w:val="004301BA"/>
    <w:rsid w:val="00433DB3"/>
    <w:rsid w:val="004367E7"/>
    <w:rsid w:val="00445A99"/>
    <w:rsid w:val="0045075C"/>
    <w:rsid w:val="00450B8B"/>
    <w:rsid w:val="0045503C"/>
    <w:rsid w:val="00456C69"/>
    <w:rsid w:val="00461214"/>
    <w:rsid w:val="0048552B"/>
    <w:rsid w:val="0049003D"/>
    <w:rsid w:val="004917AF"/>
    <w:rsid w:val="00491A51"/>
    <w:rsid w:val="00494F29"/>
    <w:rsid w:val="004A0907"/>
    <w:rsid w:val="004A4812"/>
    <w:rsid w:val="004A7019"/>
    <w:rsid w:val="004A73E2"/>
    <w:rsid w:val="004B1003"/>
    <w:rsid w:val="004C2DAC"/>
    <w:rsid w:val="004C3EE4"/>
    <w:rsid w:val="004C6417"/>
    <w:rsid w:val="00502D91"/>
    <w:rsid w:val="00513C50"/>
    <w:rsid w:val="00514C00"/>
    <w:rsid w:val="00515F16"/>
    <w:rsid w:val="0052549C"/>
    <w:rsid w:val="00542A63"/>
    <w:rsid w:val="00551422"/>
    <w:rsid w:val="00551637"/>
    <w:rsid w:val="00555904"/>
    <w:rsid w:val="005645B8"/>
    <w:rsid w:val="00566EA2"/>
    <w:rsid w:val="00575DC0"/>
    <w:rsid w:val="005873E8"/>
    <w:rsid w:val="005900E0"/>
    <w:rsid w:val="005902C8"/>
    <w:rsid w:val="0059087E"/>
    <w:rsid w:val="00595EF1"/>
    <w:rsid w:val="005D451B"/>
    <w:rsid w:val="005D6FB8"/>
    <w:rsid w:val="005E0CF4"/>
    <w:rsid w:val="005E2098"/>
    <w:rsid w:val="005F768A"/>
    <w:rsid w:val="006010C2"/>
    <w:rsid w:val="006055B8"/>
    <w:rsid w:val="00614476"/>
    <w:rsid w:val="00621A06"/>
    <w:rsid w:val="00630001"/>
    <w:rsid w:val="0063647F"/>
    <w:rsid w:val="0064734A"/>
    <w:rsid w:val="006552F0"/>
    <w:rsid w:val="00666FEA"/>
    <w:rsid w:val="00677BEE"/>
    <w:rsid w:val="006943C3"/>
    <w:rsid w:val="00697303"/>
    <w:rsid w:val="006A00A7"/>
    <w:rsid w:val="006A07BE"/>
    <w:rsid w:val="006A4754"/>
    <w:rsid w:val="006A5C95"/>
    <w:rsid w:val="006B52E1"/>
    <w:rsid w:val="006C01AD"/>
    <w:rsid w:val="006D3B4B"/>
    <w:rsid w:val="006F3735"/>
    <w:rsid w:val="006F4299"/>
    <w:rsid w:val="00710616"/>
    <w:rsid w:val="0071604E"/>
    <w:rsid w:val="0073054C"/>
    <w:rsid w:val="0073177C"/>
    <w:rsid w:val="0073212F"/>
    <w:rsid w:val="007340E5"/>
    <w:rsid w:val="007511EE"/>
    <w:rsid w:val="00760944"/>
    <w:rsid w:val="00763F18"/>
    <w:rsid w:val="00773DB2"/>
    <w:rsid w:val="0077490C"/>
    <w:rsid w:val="00774AAF"/>
    <w:rsid w:val="00792002"/>
    <w:rsid w:val="0079430B"/>
    <w:rsid w:val="007A01E7"/>
    <w:rsid w:val="007A1817"/>
    <w:rsid w:val="007A3C9E"/>
    <w:rsid w:val="007A3DE7"/>
    <w:rsid w:val="007A5B7E"/>
    <w:rsid w:val="007B244D"/>
    <w:rsid w:val="007B3187"/>
    <w:rsid w:val="007C6D40"/>
    <w:rsid w:val="007E0AFB"/>
    <w:rsid w:val="007E4E7D"/>
    <w:rsid w:val="007F3A69"/>
    <w:rsid w:val="007F6965"/>
    <w:rsid w:val="008023F3"/>
    <w:rsid w:val="00805B2A"/>
    <w:rsid w:val="00826965"/>
    <w:rsid w:val="00831D58"/>
    <w:rsid w:val="0083576D"/>
    <w:rsid w:val="00845C7A"/>
    <w:rsid w:val="008572A8"/>
    <w:rsid w:val="00863C6D"/>
    <w:rsid w:val="008645F4"/>
    <w:rsid w:val="00872249"/>
    <w:rsid w:val="00877ED3"/>
    <w:rsid w:val="008851C4"/>
    <w:rsid w:val="008851E4"/>
    <w:rsid w:val="00885220"/>
    <w:rsid w:val="00897D7E"/>
    <w:rsid w:val="008A094B"/>
    <w:rsid w:val="008B2BC6"/>
    <w:rsid w:val="008C31D3"/>
    <w:rsid w:val="008C3F3E"/>
    <w:rsid w:val="008D39BF"/>
    <w:rsid w:val="008D55F3"/>
    <w:rsid w:val="008F313D"/>
    <w:rsid w:val="00904C3B"/>
    <w:rsid w:val="00930C8E"/>
    <w:rsid w:val="0093316B"/>
    <w:rsid w:val="0093435D"/>
    <w:rsid w:val="009464FA"/>
    <w:rsid w:val="009505AD"/>
    <w:rsid w:val="0095718D"/>
    <w:rsid w:val="00971E5E"/>
    <w:rsid w:val="0097606F"/>
    <w:rsid w:val="009767E8"/>
    <w:rsid w:val="009803E7"/>
    <w:rsid w:val="00981BE9"/>
    <w:rsid w:val="00993D9E"/>
    <w:rsid w:val="00996A80"/>
    <w:rsid w:val="009A0606"/>
    <w:rsid w:val="009A7738"/>
    <w:rsid w:val="009B2345"/>
    <w:rsid w:val="009B40E7"/>
    <w:rsid w:val="009C4258"/>
    <w:rsid w:val="009C4B82"/>
    <w:rsid w:val="009D1902"/>
    <w:rsid w:val="009D5FA6"/>
    <w:rsid w:val="009F0D69"/>
    <w:rsid w:val="009F4361"/>
    <w:rsid w:val="009F52D6"/>
    <w:rsid w:val="00A042D3"/>
    <w:rsid w:val="00A047B6"/>
    <w:rsid w:val="00A05367"/>
    <w:rsid w:val="00A13E06"/>
    <w:rsid w:val="00A15DA9"/>
    <w:rsid w:val="00A31252"/>
    <w:rsid w:val="00A32DC8"/>
    <w:rsid w:val="00A33137"/>
    <w:rsid w:val="00A37EBE"/>
    <w:rsid w:val="00A46F3E"/>
    <w:rsid w:val="00A47159"/>
    <w:rsid w:val="00A56015"/>
    <w:rsid w:val="00A62217"/>
    <w:rsid w:val="00A640A9"/>
    <w:rsid w:val="00A72919"/>
    <w:rsid w:val="00A84A9E"/>
    <w:rsid w:val="00A85561"/>
    <w:rsid w:val="00A85B28"/>
    <w:rsid w:val="00A92DD1"/>
    <w:rsid w:val="00AA404B"/>
    <w:rsid w:val="00AA7A7A"/>
    <w:rsid w:val="00AB339B"/>
    <w:rsid w:val="00AB67B5"/>
    <w:rsid w:val="00AB7ED9"/>
    <w:rsid w:val="00AC23B6"/>
    <w:rsid w:val="00AC6DF9"/>
    <w:rsid w:val="00AD2BE1"/>
    <w:rsid w:val="00AD5193"/>
    <w:rsid w:val="00AD7842"/>
    <w:rsid w:val="00AD79D1"/>
    <w:rsid w:val="00AE47C0"/>
    <w:rsid w:val="00AE51C1"/>
    <w:rsid w:val="00AE52B5"/>
    <w:rsid w:val="00AF113C"/>
    <w:rsid w:val="00AF2ED0"/>
    <w:rsid w:val="00AF7129"/>
    <w:rsid w:val="00B002FA"/>
    <w:rsid w:val="00B0270B"/>
    <w:rsid w:val="00B10468"/>
    <w:rsid w:val="00B12451"/>
    <w:rsid w:val="00B1352E"/>
    <w:rsid w:val="00B17D48"/>
    <w:rsid w:val="00B23162"/>
    <w:rsid w:val="00B262D4"/>
    <w:rsid w:val="00B33E4E"/>
    <w:rsid w:val="00B3593A"/>
    <w:rsid w:val="00B421AB"/>
    <w:rsid w:val="00B440E8"/>
    <w:rsid w:val="00B57BED"/>
    <w:rsid w:val="00B6099C"/>
    <w:rsid w:val="00B61ECA"/>
    <w:rsid w:val="00B63A76"/>
    <w:rsid w:val="00B76216"/>
    <w:rsid w:val="00B93163"/>
    <w:rsid w:val="00B969BA"/>
    <w:rsid w:val="00BB0C2C"/>
    <w:rsid w:val="00BB1660"/>
    <w:rsid w:val="00BB7017"/>
    <w:rsid w:val="00BC6D25"/>
    <w:rsid w:val="00BC7A0C"/>
    <w:rsid w:val="00BD1BAB"/>
    <w:rsid w:val="00BD3F57"/>
    <w:rsid w:val="00BE461C"/>
    <w:rsid w:val="00BF04C3"/>
    <w:rsid w:val="00BF61CD"/>
    <w:rsid w:val="00C0168B"/>
    <w:rsid w:val="00C01896"/>
    <w:rsid w:val="00C0640A"/>
    <w:rsid w:val="00C06667"/>
    <w:rsid w:val="00C068EE"/>
    <w:rsid w:val="00C13C64"/>
    <w:rsid w:val="00C237E2"/>
    <w:rsid w:val="00C23F45"/>
    <w:rsid w:val="00C24A5B"/>
    <w:rsid w:val="00C2618A"/>
    <w:rsid w:val="00C27864"/>
    <w:rsid w:val="00C27B48"/>
    <w:rsid w:val="00C455D4"/>
    <w:rsid w:val="00C5240E"/>
    <w:rsid w:val="00C56605"/>
    <w:rsid w:val="00C569A2"/>
    <w:rsid w:val="00C57973"/>
    <w:rsid w:val="00C60793"/>
    <w:rsid w:val="00C608C8"/>
    <w:rsid w:val="00C61D56"/>
    <w:rsid w:val="00C624CE"/>
    <w:rsid w:val="00C6353F"/>
    <w:rsid w:val="00C638BF"/>
    <w:rsid w:val="00C7069B"/>
    <w:rsid w:val="00C720D3"/>
    <w:rsid w:val="00C724AF"/>
    <w:rsid w:val="00C81FAD"/>
    <w:rsid w:val="00C84271"/>
    <w:rsid w:val="00C87A21"/>
    <w:rsid w:val="00CB1B65"/>
    <w:rsid w:val="00CB4CAC"/>
    <w:rsid w:val="00CC4D3C"/>
    <w:rsid w:val="00CC6922"/>
    <w:rsid w:val="00CD536C"/>
    <w:rsid w:val="00CE4BAD"/>
    <w:rsid w:val="00CF19A7"/>
    <w:rsid w:val="00CF3C1C"/>
    <w:rsid w:val="00D01870"/>
    <w:rsid w:val="00D025F8"/>
    <w:rsid w:val="00D0290A"/>
    <w:rsid w:val="00D03BFF"/>
    <w:rsid w:val="00D06349"/>
    <w:rsid w:val="00D1785C"/>
    <w:rsid w:val="00D23D68"/>
    <w:rsid w:val="00D278E1"/>
    <w:rsid w:val="00D3710F"/>
    <w:rsid w:val="00D51B35"/>
    <w:rsid w:val="00D53902"/>
    <w:rsid w:val="00D63099"/>
    <w:rsid w:val="00D630AA"/>
    <w:rsid w:val="00D643D0"/>
    <w:rsid w:val="00D73EEB"/>
    <w:rsid w:val="00D80D21"/>
    <w:rsid w:val="00D83509"/>
    <w:rsid w:val="00D85CD3"/>
    <w:rsid w:val="00D923B8"/>
    <w:rsid w:val="00DB1F1B"/>
    <w:rsid w:val="00DC6056"/>
    <w:rsid w:val="00DC6905"/>
    <w:rsid w:val="00DD3644"/>
    <w:rsid w:val="00DD3B69"/>
    <w:rsid w:val="00DD52A5"/>
    <w:rsid w:val="00DE2410"/>
    <w:rsid w:val="00DE5258"/>
    <w:rsid w:val="00DE5415"/>
    <w:rsid w:val="00DF3FD1"/>
    <w:rsid w:val="00DF591D"/>
    <w:rsid w:val="00E00E93"/>
    <w:rsid w:val="00E01C47"/>
    <w:rsid w:val="00E101E9"/>
    <w:rsid w:val="00E10273"/>
    <w:rsid w:val="00E13704"/>
    <w:rsid w:val="00E14613"/>
    <w:rsid w:val="00E27EDB"/>
    <w:rsid w:val="00E30005"/>
    <w:rsid w:val="00E30863"/>
    <w:rsid w:val="00E30CAA"/>
    <w:rsid w:val="00E32916"/>
    <w:rsid w:val="00E45088"/>
    <w:rsid w:val="00E453DD"/>
    <w:rsid w:val="00E45916"/>
    <w:rsid w:val="00E534CF"/>
    <w:rsid w:val="00E6594B"/>
    <w:rsid w:val="00E778FE"/>
    <w:rsid w:val="00E84D04"/>
    <w:rsid w:val="00EA107A"/>
    <w:rsid w:val="00EA4238"/>
    <w:rsid w:val="00EA6C09"/>
    <w:rsid w:val="00EB1C8B"/>
    <w:rsid w:val="00EB293E"/>
    <w:rsid w:val="00EB58FE"/>
    <w:rsid w:val="00EC352F"/>
    <w:rsid w:val="00EE2A4B"/>
    <w:rsid w:val="00EE66F5"/>
    <w:rsid w:val="00EF28EC"/>
    <w:rsid w:val="00EF5826"/>
    <w:rsid w:val="00EF5A45"/>
    <w:rsid w:val="00EF6576"/>
    <w:rsid w:val="00F12AF0"/>
    <w:rsid w:val="00F136AD"/>
    <w:rsid w:val="00F171D0"/>
    <w:rsid w:val="00F31907"/>
    <w:rsid w:val="00F4047E"/>
    <w:rsid w:val="00F4329E"/>
    <w:rsid w:val="00F47DAC"/>
    <w:rsid w:val="00F47EF1"/>
    <w:rsid w:val="00F5126E"/>
    <w:rsid w:val="00F5641F"/>
    <w:rsid w:val="00F67A7C"/>
    <w:rsid w:val="00F67D09"/>
    <w:rsid w:val="00F74981"/>
    <w:rsid w:val="00F832B5"/>
    <w:rsid w:val="00F87F6D"/>
    <w:rsid w:val="00F96D3E"/>
    <w:rsid w:val="00FA1379"/>
    <w:rsid w:val="00FA21C9"/>
    <w:rsid w:val="00FA6ED8"/>
    <w:rsid w:val="00FC4A19"/>
    <w:rsid w:val="00FE1476"/>
    <w:rsid w:val="00FE28DE"/>
    <w:rsid w:val="00FE6E1D"/>
    <w:rsid w:val="00FF41E8"/>
    <w:rsid w:val="00FF62C8"/>
    <w:rsid w:val="00FF699A"/>
    <w:rsid w:val="04FE3817"/>
    <w:rsid w:val="34C6B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4AF"/>
    <w:pPr>
      <w:spacing w:after="200" w:line="240" w:lineRule="auto"/>
    </w:pPr>
    <w:rPr>
      <w:rFonts w:ascii="Arial" w:hAnsi="Arial"/>
      <w:sz w:val="24"/>
    </w:rPr>
  </w:style>
  <w:style w:type="paragraph" w:styleId="Heading1">
    <w:name w:val="heading 1"/>
    <w:basedOn w:val="Normal"/>
    <w:next w:val="Normal"/>
    <w:link w:val="Heading1Char"/>
    <w:uiPriority w:val="9"/>
    <w:qFormat/>
    <w:rsid w:val="007A01E7"/>
    <w:pPr>
      <w:spacing w:before="240"/>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3"/>
      </w:numPr>
      <w:pBdr>
        <w:top w:val="single" w:sz="4" w:space="1" w:color="auto"/>
      </w:pBdr>
      <w:tabs>
        <w:tab w:val="left" w:pos="1080"/>
      </w:tabs>
      <w:ind w:left="36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7F6965"/>
    <w:pPr>
      <w:ind w:left="720"/>
    </w:pPr>
  </w:style>
  <w:style w:type="character" w:customStyle="1" w:styleId="Heading2Char">
    <w:name w:val="Heading 2 Char"/>
    <w:basedOn w:val="DefaultParagraphFont"/>
    <w:link w:val="Heading2"/>
    <w:uiPriority w:val="9"/>
    <w:rsid w:val="00253A81"/>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nhideWhenUsed/>
    <w:qFormat/>
    <w:rsid w:val="00303AA7"/>
    <w:pPr>
      <w:spacing w:after="120"/>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character" w:styleId="FollowedHyperlink">
    <w:name w:val="FollowedHyperlink"/>
    <w:basedOn w:val="DefaultParagraphFont"/>
    <w:uiPriority w:val="99"/>
    <w:semiHidden/>
    <w:unhideWhenUsed/>
    <w:rsid w:val="00904C3B"/>
    <w:rPr>
      <w:color w:val="954F72" w:themeColor="followedHyperlink"/>
      <w:u w:val="single"/>
    </w:rPr>
  </w:style>
  <w:style w:type="paragraph" w:customStyle="1" w:styleId="sub2">
    <w:name w:val="sub2"/>
    <w:basedOn w:val="Normal"/>
    <w:rsid w:val="007C6D40"/>
    <w:pPr>
      <w:spacing w:before="100" w:beforeAutospacing="1" w:after="100" w:afterAutospacing="1"/>
    </w:pPr>
    <w:rPr>
      <w:rFonts w:ascii="Times New Roman" w:eastAsia="Times New Roman" w:hAnsi="Times New Roman" w:cs="Times New Roman"/>
      <w:szCs w:val="24"/>
    </w:rPr>
  </w:style>
  <w:style w:type="character" w:customStyle="1" w:styleId="datavalue">
    <w:name w:val="datavalue"/>
    <w:basedOn w:val="DefaultParagraphFont"/>
    <w:rsid w:val="007C6D40"/>
  </w:style>
  <w:style w:type="paragraph" w:customStyle="1" w:styleId="sub3">
    <w:name w:val="sub3"/>
    <w:basedOn w:val="Normal"/>
    <w:rsid w:val="007C6D40"/>
    <w:pPr>
      <w:spacing w:before="100" w:beforeAutospacing="1" w:after="100" w:afterAutospacing="1"/>
    </w:pPr>
    <w:rPr>
      <w:rFonts w:ascii="Times New Roman" w:eastAsia="Times New Roman" w:hAnsi="Times New Roman" w:cs="Times New Roman"/>
      <w:szCs w:val="24"/>
    </w:rPr>
  </w:style>
  <w:style w:type="paragraph" w:customStyle="1" w:styleId="sub4">
    <w:name w:val="sub4"/>
    <w:basedOn w:val="Normal"/>
    <w:rsid w:val="007C6D40"/>
    <w:pPr>
      <w:spacing w:before="100" w:beforeAutospacing="1" w:after="100" w:afterAutospacing="1"/>
    </w:pPr>
    <w:rPr>
      <w:rFonts w:ascii="Times New Roman" w:eastAsia="Times New Roman" w:hAnsi="Times New Roman" w:cs="Times New Roman"/>
      <w:szCs w:val="24"/>
    </w:rPr>
  </w:style>
  <w:style w:type="character" w:customStyle="1" w:styleId="tabletitle">
    <w:name w:val="tabletitle"/>
    <w:basedOn w:val="DefaultParagraphFont"/>
    <w:rsid w:val="007C6D40"/>
  </w:style>
  <w:style w:type="character" w:customStyle="1" w:styleId="headnote">
    <w:name w:val="headnote"/>
    <w:basedOn w:val="DefaultParagraphFont"/>
    <w:rsid w:val="007C6D40"/>
  </w:style>
  <w:style w:type="character" w:customStyle="1" w:styleId="footnoterefs">
    <w:name w:val="footnoterefs"/>
    <w:basedOn w:val="DefaultParagraphFont"/>
    <w:rsid w:val="007C6D40"/>
  </w:style>
  <w:style w:type="character" w:customStyle="1" w:styleId="ph">
    <w:name w:val="ph"/>
    <w:basedOn w:val="DefaultParagraphFont"/>
    <w:rsid w:val="008023F3"/>
  </w:style>
  <w:style w:type="paragraph" w:customStyle="1" w:styleId="Default">
    <w:name w:val="Default"/>
    <w:rsid w:val="00F67D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0395">
      <w:bodyDiv w:val="1"/>
      <w:marLeft w:val="0"/>
      <w:marRight w:val="0"/>
      <w:marTop w:val="0"/>
      <w:marBottom w:val="0"/>
      <w:divBdr>
        <w:top w:val="none" w:sz="0" w:space="0" w:color="auto"/>
        <w:left w:val="none" w:sz="0" w:space="0" w:color="auto"/>
        <w:bottom w:val="none" w:sz="0" w:space="0" w:color="auto"/>
        <w:right w:val="none" w:sz="0" w:space="0" w:color="auto"/>
      </w:divBdr>
    </w:div>
    <w:div w:id="349989462">
      <w:bodyDiv w:val="1"/>
      <w:marLeft w:val="0"/>
      <w:marRight w:val="0"/>
      <w:marTop w:val="0"/>
      <w:marBottom w:val="0"/>
      <w:divBdr>
        <w:top w:val="none" w:sz="0" w:space="0" w:color="auto"/>
        <w:left w:val="none" w:sz="0" w:space="0" w:color="auto"/>
        <w:bottom w:val="none" w:sz="0" w:space="0" w:color="auto"/>
        <w:right w:val="none" w:sz="0" w:space="0" w:color="auto"/>
      </w:divBdr>
    </w:div>
    <w:div w:id="552472694">
      <w:bodyDiv w:val="1"/>
      <w:marLeft w:val="0"/>
      <w:marRight w:val="0"/>
      <w:marTop w:val="0"/>
      <w:marBottom w:val="0"/>
      <w:divBdr>
        <w:top w:val="none" w:sz="0" w:space="0" w:color="auto"/>
        <w:left w:val="none" w:sz="0" w:space="0" w:color="auto"/>
        <w:bottom w:val="none" w:sz="0" w:space="0" w:color="auto"/>
        <w:right w:val="none" w:sz="0" w:space="0" w:color="auto"/>
      </w:divBdr>
    </w:div>
    <w:div w:id="731852067">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1106340910">
      <w:bodyDiv w:val="1"/>
      <w:marLeft w:val="0"/>
      <w:marRight w:val="0"/>
      <w:marTop w:val="0"/>
      <w:marBottom w:val="0"/>
      <w:divBdr>
        <w:top w:val="none" w:sz="0" w:space="0" w:color="auto"/>
        <w:left w:val="none" w:sz="0" w:space="0" w:color="auto"/>
        <w:bottom w:val="none" w:sz="0" w:space="0" w:color="auto"/>
        <w:right w:val="none" w:sz="0" w:space="0" w:color="auto"/>
      </w:divBdr>
    </w:div>
    <w:div w:id="1190756234">
      <w:bodyDiv w:val="1"/>
      <w:marLeft w:val="0"/>
      <w:marRight w:val="0"/>
      <w:marTop w:val="0"/>
      <w:marBottom w:val="0"/>
      <w:divBdr>
        <w:top w:val="none" w:sz="0" w:space="0" w:color="auto"/>
        <w:left w:val="none" w:sz="0" w:space="0" w:color="auto"/>
        <w:bottom w:val="none" w:sz="0" w:space="0" w:color="auto"/>
        <w:right w:val="none" w:sz="0" w:space="0" w:color="auto"/>
      </w:divBdr>
    </w:div>
    <w:div w:id="1564217978">
      <w:bodyDiv w:val="1"/>
      <w:marLeft w:val="0"/>
      <w:marRight w:val="0"/>
      <w:marTop w:val="0"/>
      <w:marBottom w:val="0"/>
      <w:divBdr>
        <w:top w:val="none" w:sz="0" w:space="0" w:color="auto"/>
        <w:left w:val="none" w:sz="0" w:space="0" w:color="auto"/>
        <w:bottom w:val="none" w:sz="0" w:space="0" w:color="auto"/>
        <w:right w:val="none" w:sz="0" w:space="0" w:color="auto"/>
      </w:divBdr>
    </w:div>
    <w:div w:id="1597664915">
      <w:bodyDiv w:val="1"/>
      <w:marLeft w:val="0"/>
      <w:marRight w:val="0"/>
      <w:marTop w:val="0"/>
      <w:marBottom w:val="0"/>
      <w:divBdr>
        <w:top w:val="none" w:sz="0" w:space="0" w:color="auto"/>
        <w:left w:val="none" w:sz="0" w:space="0" w:color="auto"/>
        <w:bottom w:val="none" w:sz="0" w:space="0" w:color="auto"/>
        <w:right w:val="none" w:sz="0" w:space="0" w:color="auto"/>
      </w:divBdr>
    </w:div>
    <w:div w:id="1734111975">
      <w:bodyDiv w:val="1"/>
      <w:marLeft w:val="0"/>
      <w:marRight w:val="0"/>
      <w:marTop w:val="0"/>
      <w:marBottom w:val="0"/>
      <w:divBdr>
        <w:top w:val="none" w:sz="0" w:space="0" w:color="auto"/>
        <w:left w:val="none" w:sz="0" w:space="0" w:color="auto"/>
        <w:bottom w:val="none" w:sz="0" w:space="0" w:color="auto"/>
        <w:right w:val="none" w:sz="0" w:space="0" w:color="auto"/>
      </w:divBdr>
    </w:div>
    <w:div w:id="18445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https://www.epa.gov/system/files/documents/2022-05/updated-framework_5-2022.pdf" TargetMode="External"/><Relationship Id="rId7" Type="http://schemas.openxmlformats.org/officeDocument/2006/relationships/styles" Target="styles.xml"/><Relationship Id="rId12" Type="http://schemas.openxmlformats.org/officeDocument/2006/relationships/hyperlink" Target="https://www.bls.gov/web/eci/eci-current-nominal-dollar.pdf" TargetMode="External"/><Relationship Id="rId17" Type="http://schemas.openxmlformats.org/officeDocument/2006/relationships/hyperlink" Target="http://www.reginfo.gov/public/do/PRAMai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0" Type="http://schemas.openxmlformats.org/officeDocument/2006/relationships/hyperlink" Target="https://www.govinfo.gov/content/pkg/PLAW-104publ113/pdf/PLAW-104publ11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pa.gov/greenerproducts/recommendations-specifications-standards-and-ecolabels-federal-purchasing" TargetMode="External"/><Relationship Id="rId10" Type="http://schemas.openxmlformats.org/officeDocument/2006/relationships/footnotes" Target="footnotes.xml"/><Relationship Id="rId19" Type="http://schemas.openxmlformats.org/officeDocument/2006/relationships/hyperlink" Target="https://www.govinfo.gov/content/pkg/USCODE-2010-title42/pdf/USCODE-2010-title42-chap13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pa.gov/system/files/documents/2022-05/updated-framework-addendum_5-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Brown, Judith</DisplayName>
        <AccountId>17</AccountId>
        <AccountType/>
      </UserInfo>
      <UserInfo>
        <DisplayName>Rice, Cody</DisplayName>
        <AccountId>25</AccountId>
        <AccountType/>
      </UserInfo>
    </SharedWithUsers>
    <CategoryDescription xmlns="http://schemas.microsoft.com/sharepoint.v3" xsi:nil="true"/>
    <FRN_x0020_List_x0020_Item_x0020_ID xmlns="118f882f-1e32-4cf2-ad69-9de43d57f4c6">3795</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4B56-BA86-4284-B1F7-B5381B365F4F}">
  <ds:schemaRefs>
    <ds:schemaRef ds:uri="http://schemas.microsoft.com/sharepoint.v3"/>
    <ds:schemaRef ds:uri="http://schemas.microsoft.com/office/infopath/2007/PartnerControls"/>
    <ds:schemaRef ds:uri="118f882f-1e32-4cf2-ad69-9de43d57f4c6"/>
    <ds:schemaRef ds:uri="http://schemas.microsoft.com/sharepoint/v3"/>
    <ds:schemaRef ds:uri="a5d1ca4e-0a3f-4119-b619-e20b93ebd1aa"/>
    <ds:schemaRef ds:uri="http://purl.org/dc/terms/"/>
    <ds:schemaRef ds:uri="http://schemas.microsoft.com/office/2006/metadata/properties"/>
    <ds:schemaRef ds:uri="4ffa91fb-a0ff-4ac5-b2db-65c790d184a4"/>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971A04-9032-416E-8988-0C85EFA74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5.xml><?xml version="1.0" encoding="utf-8"?>
<ds:datastoreItem xmlns:ds="http://schemas.openxmlformats.org/officeDocument/2006/customXml" ds:itemID="{60FC1958-765E-4429-964D-21312E44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2022-08-12T00:46:00Z</dcterms:created>
  <dcterms:modified xsi:type="dcterms:W3CDTF">2022-08-12T00:46:00Z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