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B5632" w:rsidR="009C07C9" w:rsidP="157E67A4" w:rsidRDefault="009C07C9" w14:paraId="26C7F15D" w14:textId="59A5EE25">
      <w:pPr>
        <w:pStyle w:val="NormalWeb"/>
        <w:jc w:val="center"/>
        <w:rPr>
          <w:rFonts w:ascii="Arial" w:hAnsi="Arial" w:cs="Arial"/>
          <w:b/>
          <w:bCs/>
          <w:sz w:val="22"/>
          <w:szCs w:val="22"/>
        </w:rPr>
      </w:pPr>
      <w:r w:rsidRPr="157E67A4">
        <w:rPr>
          <w:rFonts w:ascii="Arial" w:hAnsi="Arial" w:cs="Arial"/>
          <w:b/>
          <w:bCs/>
          <w:sz w:val="22"/>
          <w:szCs w:val="22"/>
        </w:rPr>
        <w:t xml:space="preserve">Ocean Shipping Reform Act (OSRA) </w:t>
      </w:r>
      <w:r w:rsidRPr="157E67A4" w:rsidR="00C57AAC">
        <w:rPr>
          <w:rFonts w:ascii="Arial" w:hAnsi="Arial" w:cs="Arial"/>
          <w:b/>
          <w:bCs/>
          <w:sz w:val="22"/>
          <w:szCs w:val="22"/>
        </w:rPr>
        <w:t xml:space="preserve">Pilot </w:t>
      </w:r>
      <w:r w:rsidRPr="157E67A4">
        <w:rPr>
          <w:rFonts w:ascii="Arial" w:hAnsi="Arial" w:cs="Arial"/>
          <w:b/>
          <w:bCs/>
          <w:sz w:val="22"/>
          <w:szCs w:val="22"/>
        </w:rPr>
        <w:t>Data Collection</w:t>
      </w:r>
    </w:p>
    <w:p w:rsidR="157E67A4" w:rsidP="157E67A4" w:rsidRDefault="157E67A4" w14:paraId="40EFBFE9" w14:textId="0E3EE627">
      <w:pPr>
        <w:jc w:val="center"/>
      </w:pPr>
      <w:r w:rsidRPr="157E67A4">
        <w:rPr>
          <w:rFonts w:ascii="Times New Roman" w:hAnsi="Times New Roman" w:eastAsia="Times New Roman" w:cs="Times New Roman"/>
          <w:b/>
          <w:bCs/>
          <w:sz w:val="32"/>
          <w:szCs w:val="32"/>
        </w:rPr>
        <w:t>SUPPORTING STATEMENT</w:t>
      </w:r>
    </w:p>
    <w:p w:rsidR="00E408B5" w:rsidRDefault="00E408B5" w14:paraId="3B399CB6" w14:textId="77777777">
      <w:pPr>
        <w:rPr>
          <w:rFonts w:ascii="Times New Roman" w:hAnsi="Times New Roman" w:eastAsia="Times New Roman" w:cs="Times New Roman"/>
          <w:b/>
          <w:bCs/>
          <w:sz w:val="24"/>
          <w:szCs w:val="24"/>
        </w:rPr>
      </w:pPr>
    </w:p>
    <w:p w:rsidR="157E67A4" w:rsidRDefault="157E67A4" w14:paraId="45E4CE35" w14:textId="351A99D2">
      <w:r w:rsidRPr="157E67A4">
        <w:rPr>
          <w:rFonts w:ascii="Times New Roman" w:hAnsi="Times New Roman" w:eastAsia="Times New Roman" w:cs="Times New Roman"/>
          <w:b/>
          <w:bCs/>
          <w:sz w:val="24"/>
          <w:szCs w:val="24"/>
        </w:rPr>
        <w:t xml:space="preserve"> </w:t>
      </w:r>
      <w:r w:rsidRPr="157E67A4">
        <w:rPr>
          <w:rFonts w:ascii="Times New Roman" w:hAnsi="Times New Roman" w:eastAsia="Times New Roman" w:cs="Times New Roman"/>
          <w:b/>
          <w:bCs/>
          <w:sz w:val="32"/>
          <w:szCs w:val="32"/>
        </w:rPr>
        <w:t>Part A.</w:t>
      </w:r>
      <w:r>
        <w:tab/>
      </w:r>
      <w:r w:rsidRPr="157E67A4">
        <w:rPr>
          <w:rFonts w:ascii="Times New Roman" w:hAnsi="Times New Roman" w:eastAsia="Times New Roman" w:cs="Times New Roman"/>
          <w:b/>
          <w:bCs/>
          <w:sz w:val="32"/>
          <w:szCs w:val="32"/>
        </w:rPr>
        <w:t xml:space="preserve">  </w:t>
      </w:r>
    </w:p>
    <w:p w:rsidR="157E67A4" w:rsidP="157E67A4" w:rsidRDefault="157E67A4" w14:paraId="59ADFF12" w14:textId="4D4401C0">
      <w:pPr>
        <w:jc w:val="center"/>
      </w:pPr>
      <w:r w:rsidRPr="157E67A4">
        <w:rPr>
          <w:rFonts w:ascii="Times New Roman" w:hAnsi="Times New Roman" w:eastAsia="Times New Roman" w:cs="Times New Roman"/>
          <w:b/>
          <w:bCs/>
          <w:sz w:val="32"/>
          <w:szCs w:val="32"/>
        </w:rPr>
        <w:t xml:space="preserve"> JUSTIFICATION</w:t>
      </w:r>
    </w:p>
    <w:sdt>
      <w:sdtPr>
        <w:rPr>
          <w:rFonts w:ascii="Times New Roman" w:hAnsi="Times New Roman" w:eastAsia="Times New Roman" w:cs="Times New Roman"/>
          <w:b w:val="0"/>
          <w:bCs w:val="0"/>
          <w:color w:val="auto"/>
          <w:sz w:val="24"/>
          <w:szCs w:val="24"/>
          <w:lang w:eastAsia="en-US"/>
        </w:rPr>
        <w:id w:val="-242884136"/>
        <w:docPartObj>
          <w:docPartGallery w:val="Table of Contents"/>
          <w:docPartUnique/>
        </w:docPartObj>
      </w:sdtPr>
      <w:sdtEndPr>
        <w:rPr>
          <w:rFonts w:eastAsiaTheme="minorHAnsi"/>
          <w:noProof/>
        </w:rPr>
      </w:sdtEndPr>
      <w:sdtContent>
        <w:p w:rsidRPr="00792969" w:rsidR="0038578A" w:rsidP="0038578A" w:rsidRDefault="0038578A" w14:paraId="7203FEB9" w14:textId="77777777">
          <w:pPr>
            <w:pStyle w:val="TOCHeading"/>
            <w:framePr w:wrap="notBeside"/>
            <w:rPr>
              <w:rFonts w:ascii="Times New Roman" w:hAnsi="Times New Roman" w:cs="Times New Roman"/>
              <w:color w:val="auto"/>
              <w:sz w:val="24"/>
              <w:szCs w:val="24"/>
            </w:rPr>
          </w:pPr>
          <w:r w:rsidRPr="00792969">
            <w:rPr>
              <w:rFonts w:ascii="Times New Roman" w:hAnsi="Times New Roman" w:cs="Times New Roman"/>
              <w:color w:val="auto"/>
              <w:sz w:val="24"/>
              <w:szCs w:val="24"/>
            </w:rPr>
            <w:t>Table of Contents</w:t>
          </w:r>
        </w:p>
        <w:p w:rsidRPr="00792969" w:rsidR="004B2BB6" w:rsidP="004B2BB6" w:rsidRDefault="004B2BB6" w14:paraId="06952199" w14:textId="7CAA0DE3">
          <w:pPr>
            <w:pStyle w:val="ListParagraph"/>
            <w:numPr>
              <w:ilvl w:val="0"/>
              <w:numId w:val="12"/>
            </w:numPr>
            <w:rPr>
              <w:rFonts w:cs="Times New Roman"/>
              <w:noProof/>
              <w:szCs w:val="24"/>
            </w:rPr>
          </w:pPr>
          <w:r w:rsidRPr="00792969">
            <w:rPr>
              <w:rFonts w:cs="Times New Roman"/>
              <w:noProof/>
              <w:szCs w:val="24"/>
            </w:rPr>
            <w:t>Circumstances that make collection of information necess</w:t>
          </w:r>
          <w:r w:rsidR="00210F88">
            <w:rPr>
              <w:rFonts w:cs="Times New Roman"/>
              <w:noProof/>
              <w:szCs w:val="24"/>
            </w:rPr>
            <w:t xml:space="preserve">ary </w:t>
          </w:r>
          <w:r w:rsidRPr="00792969" w:rsidR="000076A1">
            <w:rPr>
              <w:rFonts w:cs="Times New Roman"/>
              <w:noProof/>
              <w:szCs w:val="24"/>
            </w:rPr>
            <w:t>………………………..</w:t>
          </w:r>
          <w:r w:rsidRPr="00792969" w:rsidR="00792969">
            <w:rPr>
              <w:rFonts w:cs="Times New Roman"/>
              <w:noProof/>
              <w:szCs w:val="24"/>
            </w:rPr>
            <w:t>1</w:t>
          </w:r>
        </w:p>
        <w:p w:rsidRPr="00792969" w:rsidR="00F020FA" w:rsidP="004B2BB6" w:rsidRDefault="00F020FA" w14:paraId="38F334FA" w14:textId="418024B1">
          <w:pPr>
            <w:pStyle w:val="ListParagraph"/>
            <w:numPr>
              <w:ilvl w:val="0"/>
              <w:numId w:val="12"/>
            </w:numPr>
            <w:rPr>
              <w:rFonts w:cs="Times New Roman"/>
              <w:noProof/>
              <w:szCs w:val="24"/>
            </w:rPr>
          </w:pPr>
          <w:r w:rsidRPr="00792969">
            <w:rPr>
              <w:rFonts w:cs="Times New Roman"/>
              <w:noProof/>
              <w:szCs w:val="24"/>
            </w:rPr>
            <w:t>How, by whom, and for what purpose is the informaiton used</w:t>
          </w:r>
          <w:r w:rsidR="00AA60B1">
            <w:rPr>
              <w:rFonts w:cs="Times New Roman"/>
              <w:noProof/>
              <w:szCs w:val="24"/>
            </w:rPr>
            <w:t xml:space="preserve"> ...</w:t>
          </w:r>
          <w:r w:rsidRPr="00792969" w:rsidR="00792969">
            <w:rPr>
              <w:rFonts w:cs="Times New Roman"/>
              <w:noProof/>
              <w:szCs w:val="24"/>
            </w:rPr>
            <w:t>……………………..2</w:t>
          </w:r>
        </w:p>
        <w:p w:rsidRPr="00792969" w:rsidR="000076A1" w:rsidP="004B2BB6" w:rsidRDefault="001A15C5" w14:paraId="10C24C7D" w14:textId="6C6E3433">
          <w:pPr>
            <w:pStyle w:val="ListParagraph"/>
            <w:numPr>
              <w:ilvl w:val="0"/>
              <w:numId w:val="12"/>
            </w:numPr>
            <w:rPr>
              <w:rStyle w:val="markedcontent"/>
              <w:rFonts w:cs="Times New Roman"/>
              <w:noProof/>
              <w:szCs w:val="24"/>
            </w:rPr>
          </w:pPr>
          <w:r w:rsidRPr="00792969">
            <w:rPr>
              <w:rStyle w:val="markedcontent"/>
              <w:rFonts w:cs="Times New Roman"/>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92969" w:rsidR="00792969">
            <w:rPr>
              <w:rStyle w:val="markedcontent"/>
              <w:rFonts w:cs="Times New Roman"/>
              <w:szCs w:val="24"/>
            </w:rPr>
            <w:t>……………</w:t>
          </w:r>
          <w:r w:rsidR="00695742">
            <w:rPr>
              <w:rStyle w:val="markedcontent"/>
              <w:rFonts w:cs="Times New Roman"/>
              <w:szCs w:val="24"/>
            </w:rPr>
            <w:t>.</w:t>
          </w:r>
          <w:r w:rsidRPr="00792969" w:rsidR="00792969">
            <w:rPr>
              <w:rStyle w:val="markedcontent"/>
              <w:rFonts w:cs="Times New Roman"/>
              <w:szCs w:val="24"/>
            </w:rPr>
            <w:t>……….3</w:t>
          </w:r>
        </w:p>
        <w:p w:rsidRPr="00792969" w:rsidR="0081408E" w:rsidP="004B2BB6" w:rsidRDefault="0081408E" w14:paraId="015FC483" w14:textId="31462E62">
          <w:pPr>
            <w:pStyle w:val="ListParagraph"/>
            <w:numPr>
              <w:ilvl w:val="0"/>
              <w:numId w:val="12"/>
            </w:numPr>
            <w:rPr>
              <w:rFonts w:cs="Times New Roman"/>
              <w:noProof/>
              <w:szCs w:val="24"/>
            </w:rPr>
          </w:pPr>
          <w:r w:rsidRPr="00792969">
            <w:rPr>
              <w:rFonts w:cs="Times New Roman"/>
              <w:noProof/>
              <w:szCs w:val="24"/>
            </w:rPr>
            <w:t>Efforts to identify duplication</w:t>
          </w:r>
          <w:r w:rsidR="00695742">
            <w:rPr>
              <w:rFonts w:cs="Times New Roman"/>
              <w:noProof/>
              <w:szCs w:val="24"/>
            </w:rPr>
            <w:t>…………………………………………………………3</w:t>
          </w:r>
        </w:p>
        <w:p w:rsidRPr="00792969" w:rsidR="0081408E" w:rsidP="004B2BB6" w:rsidRDefault="0081408E" w14:paraId="1A0AD1C1" w14:textId="7BAD3433">
          <w:pPr>
            <w:pStyle w:val="ListParagraph"/>
            <w:numPr>
              <w:ilvl w:val="0"/>
              <w:numId w:val="12"/>
            </w:numPr>
            <w:rPr>
              <w:rFonts w:cs="Times New Roman"/>
              <w:noProof/>
              <w:szCs w:val="24"/>
            </w:rPr>
          </w:pPr>
          <w:r w:rsidRPr="00792969">
            <w:rPr>
              <w:rFonts w:cs="Times New Roman"/>
              <w:noProof/>
              <w:szCs w:val="24"/>
            </w:rPr>
            <w:t>Efforts to minimize the burden on small business</w:t>
          </w:r>
          <w:r w:rsidR="00185BBE">
            <w:rPr>
              <w:rFonts w:cs="Times New Roman"/>
              <w:noProof/>
              <w:szCs w:val="24"/>
            </w:rPr>
            <w:t>…………………………………….3</w:t>
          </w:r>
        </w:p>
        <w:p w:rsidRPr="00792969" w:rsidR="005F6419" w:rsidP="004B2BB6" w:rsidRDefault="005F6419" w14:paraId="5B659356" w14:textId="673C33C4">
          <w:pPr>
            <w:pStyle w:val="ListParagraph"/>
            <w:numPr>
              <w:ilvl w:val="0"/>
              <w:numId w:val="12"/>
            </w:numPr>
            <w:rPr>
              <w:rFonts w:cs="Times New Roman"/>
              <w:noProof/>
              <w:szCs w:val="24"/>
            </w:rPr>
          </w:pPr>
          <w:r w:rsidRPr="00792969">
            <w:rPr>
              <w:rFonts w:cs="Times New Roman"/>
              <w:noProof/>
              <w:szCs w:val="24"/>
            </w:rPr>
            <w:t>Impact of less frequent collection of information</w:t>
          </w:r>
          <w:r w:rsidR="00185BBE">
            <w:rPr>
              <w:rFonts w:cs="Times New Roman"/>
              <w:noProof/>
              <w:szCs w:val="24"/>
            </w:rPr>
            <w:t>……………………………………..4</w:t>
          </w:r>
        </w:p>
        <w:p w:rsidRPr="00792969" w:rsidR="00224295" w:rsidP="004B2BB6" w:rsidRDefault="005F6419" w14:paraId="3EBD7ACF" w14:textId="77777777">
          <w:pPr>
            <w:pStyle w:val="ListParagraph"/>
            <w:numPr>
              <w:ilvl w:val="0"/>
              <w:numId w:val="12"/>
            </w:numPr>
            <w:rPr>
              <w:rFonts w:cs="Times New Roman"/>
              <w:noProof/>
              <w:szCs w:val="24"/>
            </w:rPr>
          </w:pPr>
          <w:r w:rsidRPr="00792969">
            <w:rPr>
              <w:rFonts w:cs="Times New Roman"/>
              <w:noProof/>
              <w:szCs w:val="24"/>
            </w:rPr>
            <w:t>Explain any special circumstances that would cause an information collection to be conducted in a manner</w:t>
          </w:r>
          <w:r w:rsidRPr="00792969" w:rsidR="00224295">
            <w:rPr>
              <w:rFonts w:cs="Times New Roman"/>
              <w:noProof/>
              <w:szCs w:val="24"/>
            </w:rPr>
            <w:t xml:space="preserve"> inconsistent with the guidelines set forth in 5 CFR 1320.6</w:t>
          </w:r>
        </w:p>
        <w:p w:rsidRPr="00792969" w:rsidR="004E1BEB" w:rsidP="004B2BB6" w:rsidRDefault="004E1BEB" w14:paraId="7CE3C16D" w14:textId="170A4DEA">
          <w:pPr>
            <w:pStyle w:val="ListParagraph"/>
            <w:numPr>
              <w:ilvl w:val="0"/>
              <w:numId w:val="12"/>
            </w:numPr>
            <w:rPr>
              <w:rFonts w:cs="Times New Roman"/>
              <w:noProof/>
              <w:szCs w:val="24"/>
            </w:rPr>
          </w:pPr>
          <w:r w:rsidRPr="00792969">
            <w:rPr>
              <w:rFonts w:cs="Times New Roman"/>
              <w:noProof/>
              <w:szCs w:val="24"/>
            </w:rPr>
            <w:t>Compliance with 5 CFR 1320.8</w:t>
          </w:r>
          <w:r w:rsidR="00185BBE">
            <w:rPr>
              <w:rFonts w:cs="Times New Roman"/>
              <w:noProof/>
              <w:szCs w:val="24"/>
            </w:rPr>
            <w:t>…………………………………….…………………4</w:t>
          </w:r>
        </w:p>
        <w:p w:rsidRPr="00792969" w:rsidR="00163BDF" w:rsidP="004B2BB6" w:rsidRDefault="004E1BEB" w14:paraId="2F27351A" w14:textId="150FAAB1">
          <w:pPr>
            <w:pStyle w:val="ListParagraph"/>
            <w:numPr>
              <w:ilvl w:val="0"/>
              <w:numId w:val="12"/>
            </w:numPr>
            <w:rPr>
              <w:rFonts w:cs="Times New Roman"/>
              <w:noProof/>
              <w:szCs w:val="24"/>
            </w:rPr>
          </w:pPr>
          <w:r w:rsidRPr="00792969">
            <w:rPr>
              <w:rFonts w:cs="Times New Roman"/>
              <w:noProof/>
              <w:szCs w:val="24"/>
            </w:rPr>
            <w:t>Payments or gifts to respondents</w:t>
          </w:r>
          <w:r w:rsidR="00185BBE">
            <w:rPr>
              <w:rFonts w:cs="Times New Roman"/>
              <w:noProof/>
              <w:szCs w:val="24"/>
            </w:rPr>
            <w:t xml:space="preserve"> …………………………………………...………....5</w:t>
          </w:r>
        </w:p>
        <w:p w:rsidRPr="00792969" w:rsidR="00163BDF" w:rsidP="004B2BB6" w:rsidRDefault="00163BDF" w14:paraId="6BCEEAC6" w14:textId="2D11285E">
          <w:pPr>
            <w:pStyle w:val="ListParagraph"/>
            <w:numPr>
              <w:ilvl w:val="0"/>
              <w:numId w:val="12"/>
            </w:numPr>
            <w:rPr>
              <w:rFonts w:cs="Times New Roman"/>
              <w:noProof/>
              <w:szCs w:val="24"/>
            </w:rPr>
          </w:pPr>
          <w:r w:rsidRPr="00792969">
            <w:rPr>
              <w:rFonts w:cs="Times New Roman"/>
              <w:noProof/>
              <w:szCs w:val="24"/>
            </w:rPr>
            <w:t>Assurance of confidentiality</w:t>
          </w:r>
          <w:r w:rsidR="00616CCB">
            <w:rPr>
              <w:rFonts w:cs="Times New Roman"/>
              <w:noProof/>
              <w:szCs w:val="24"/>
            </w:rPr>
            <w:t xml:space="preserve"> …………………………………………………………..5</w:t>
          </w:r>
        </w:p>
        <w:p w:rsidRPr="00792969" w:rsidR="00163BDF" w:rsidP="004B2BB6" w:rsidRDefault="00163BDF" w14:paraId="516048A4" w14:textId="08D45FFD">
          <w:pPr>
            <w:pStyle w:val="ListParagraph"/>
            <w:numPr>
              <w:ilvl w:val="0"/>
              <w:numId w:val="12"/>
            </w:numPr>
            <w:rPr>
              <w:rFonts w:cs="Times New Roman"/>
              <w:noProof/>
              <w:szCs w:val="24"/>
            </w:rPr>
          </w:pPr>
          <w:r w:rsidRPr="00792969">
            <w:rPr>
              <w:rFonts w:cs="Times New Roman"/>
              <w:noProof/>
              <w:szCs w:val="24"/>
            </w:rPr>
            <w:t>Justification for collection of senstive information</w:t>
          </w:r>
          <w:r w:rsidR="00616CCB">
            <w:rPr>
              <w:rFonts w:cs="Times New Roman"/>
              <w:noProof/>
              <w:szCs w:val="24"/>
            </w:rPr>
            <w:t xml:space="preserve"> …………………………………...5</w:t>
          </w:r>
        </w:p>
        <w:p w:rsidRPr="00792969" w:rsidR="00163BDF" w:rsidP="004B2BB6" w:rsidRDefault="00163BDF" w14:paraId="00164966" w14:textId="2505A6B0">
          <w:pPr>
            <w:pStyle w:val="ListParagraph"/>
            <w:numPr>
              <w:ilvl w:val="0"/>
              <w:numId w:val="12"/>
            </w:numPr>
            <w:rPr>
              <w:rFonts w:cs="Times New Roman"/>
              <w:noProof/>
              <w:szCs w:val="24"/>
            </w:rPr>
          </w:pPr>
          <w:r w:rsidRPr="00792969">
            <w:rPr>
              <w:rFonts w:cs="Times New Roman"/>
              <w:noProof/>
              <w:szCs w:val="24"/>
            </w:rPr>
            <w:t>Estimate of burden hours for information requested</w:t>
          </w:r>
          <w:r w:rsidR="00616CCB">
            <w:rPr>
              <w:rFonts w:cs="Times New Roman"/>
              <w:noProof/>
              <w:szCs w:val="24"/>
            </w:rPr>
            <w:t xml:space="preserve"> ………………………………….</w:t>
          </w:r>
          <w:r w:rsidR="00CB0E1A">
            <w:rPr>
              <w:rFonts w:cs="Times New Roman"/>
              <w:noProof/>
              <w:szCs w:val="24"/>
            </w:rPr>
            <w:t>5</w:t>
          </w:r>
        </w:p>
        <w:p w:rsidRPr="00792969" w:rsidR="00C15013" w:rsidP="004B2BB6" w:rsidRDefault="00CF3D6D" w14:paraId="12D5B845" w14:textId="6042A175">
          <w:pPr>
            <w:pStyle w:val="ListParagraph"/>
            <w:numPr>
              <w:ilvl w:val="0"/>
              <w:numId w:val="12"/>
            </w:numPr>
            <w:rPr>
              <w:rFonts w:cs="Times New Roman"/>
              <w:noProof/>
              <w:szCs w:val="24"/>
            </w:rPr>
          </w:pPr>
          <w:r w:rsidRPr="00792969">
            <w:rPr>
              <w:rFonts w:cs="Times New Roman"/>
              <w:noProof/>
              <w:szCs w:val="24"/>
            </w:rPr>
            <w:t>Provide an estimate of cost to the respondents.  Do not includ</w:t>
          </w:r>
          <w:r w:rsidRPr="00792969" w:rsidR="00F76BD8">
            <w:rPr>
              <w:rFonts w:cs="Times New Roman"/>
              <w:noProof/>
              <w:szCs w:val="24"/>
            </w:rPr>
            <w:t>e the cost of any hour burden shown in items 12 and 14.  General estiamtes should not includes purchase of equipment or services</w:t>
          </w:r>
          <w:r w:rsidRPr="00792969" w:rsidR="00C15013">
            <w:rPr>
              <w:rFonts w:cs="Times New Roman"/>
              <w:noProof/>
              <w:szCs w:val="24"/>
            </w:rPr>
            <w:t>,</w:t>
          </w:r>
          <w:r w:rsidRPr="00792969" w:rsidR="00F76BD8">
            <w:rPr>
              <w:rFonts w:cs="Times New Roman"/>
              <w:noProof/>
              <w:szCs w:val="24"/>
            </w:rPr>
            <w:t xml:space="preserve"> or portions thereof made prior to October 1995</w:t>
          </w:r>
          <w:r w:rsidR="00616CCB">
            <w:rPr>
              <w:rFonts w:cs="Times New Roman"/>
              <w:noProof/>
              <w:szCs w:val="24"/>
            </w:rPr>
            <w:t xml:space="preserve"> ……………..</w:t>
          </w:r>
          <w:r w:rsidR="00CB0E1A">
            <w:rPr>
              <w:rFonts w:cs="Times New Roman"/>
              <w:noProof/>
              <w:szCs w:val="24"/>
            </w:rPr>
            <w:t>5</w:t>
          </w:r>
        </w:p>
        <w:p w:rsidRPr="00792969" w:rsidR="00C15013" w:rsidP="00C15013" w:rsidRDefault="00C15013" w14:paraId="650EB245" w14:textId="3C6B47A8">
          <w:pPr>
            <w:pStyle w:val="ListParagraph"/>
            <w:numPr>
              <w:ilvl w:val="0"/>
              <w:numId w:val="12"/>
            </w:numPr>
            <w:rPr>
              <w:rFonts w:cs="Times New Roman"/>
              <w:noProof/>
              <w:szCs w:val="24"/>
            </w:rPr>
          </w:pPr>
          <w:r w:rsidRPr="00792969">
            <w:rPr>
              <w:rFonts w:cs="Times New Roman"/>
              <w:noProof/>
              <w:szCs w:val="24"/>
            </w:rPr>
            <w:t>Estaimte of cost to the Federal government</w:t>
          </w:r>
          <w:r w:rsidR="00CB0E1A">
            <w:rPr>
              <w:rFonts w:cs="Times New Roman"/>
              <w:noProof/>
              <w:szCs w:val="24"/>
            </w:rPr>
            <w:t xml:space="preserve"> ………………………………………….6</w:t>
          </w:r>
        </w:p>
        <w:p w:rsidRPr="00792969" w:rsidR="00C15013" w:rsidP="00C15013" w:rsidRDefault="00C15013" w14:paraId="560AC7A4" w14:textId="584C670D">
          <w:pPr>
            <w:pStyle w:val="ListParagraph"/>
            <w:numPr>
              <w:ilvl w:val="0"/>
              <w:numId w:val="12"/>
            </w:numPr>
            <w:rPr>
              <w:rFonts w:cs="Times New Roman"/>
              <w:noProof/>
              <w:szCs w:val="24"/>
            </w:rPr>
          </w:pPr>
          <w:r w:rsidRPr="00792969">
            <w:rPr>
              <w:rFonts w:cs="Times New Roman"/>
              <w:noProof/>
              <w:szCs w:val="24"/>
            </w:rPr>
            <w:t>Explaination of program changes or adjustments</w:t>
          </w:r>
          <w:r w:rsidR="00CB0E1A">
            <w:rPr>
              <w:rFonts w:cs="Times New Roman"/>
              <w:noProof/>
              <w:szCs w:val="24"/>
            </w:rPr>
            <w:t xml:space="preserve"> ……………………………………6</w:t>
          </w:r>
        </w:p>
        <w:p w:rsidRPr="00792969" w:rsidR="00550018" w:rsidP="00C15013" w:rsidRDefault="00C15013" w14:paraId="0A18F83A" w14:textId="3DE0D980">
          <w:pPr>
            <w:pStyle w:val="ListParagraph"/>
            <w:numPr>
              <w:ilvl w:val="0"/>
              <w:numId w:val="12"/>
            </w:numPr>
            <w:rPr>
              <w:rFonts w:cs="Times New Roman"/>
              <w:noProof/>
              <w:szCs w:val="24"/>
            </w:rPr>
          </w:pPr>
          <w:r w:rsidRPr="00792969">
            <w:rPr>
              <w:rFonts w:cs="Times New Roman"/>
              <w:noProof/>
              <w:szCs w:val="24"/>
            </w:rPr>
            <w:t>Publication of results of data collec</w:t>
          </w:r>
          <w:r w:rsidRPr="00792969" w:rsidR="00F876D4">
            <w:rPr>
              <w:rFonts w:cs="Times New Roman"/>
              <w:noProof/>
              <w:szCs w:val="24"/>
            </w:rPr>
            <w:t>tion</w:t>
          </w:r>
          <w:r w:rsidR="00CB0E1A">
            <w:rPr>
              <w:rFonts w:cs="Times New Roman"/>
              <w:noProof/>
              <w:szCs w:val="24"/>
            </w:rPr>
            <w:t xml:space="preserve"> ……………………………………………...6</w:t>
          </w:r>
        </w:p>
        <w:p w:rsidRPr="00792969" w:rsidR="00550018" w:rsidP="00C15013" w:rsidRDefault="00550018" w14:paraId="166D9696" w14:textId="01CB2D63">
          <w:pPr>
            <w:pStyle w:val="ListParagraph"/>
            <w:numPr>
              <w:ilvl w:val="0"/>
              <w:numId w:val="12"/>
            </w:numPr>
            <w:rPr>
              <w:rFonts w:cs="Times New Roman"/>
              <w:noProof/>
              <w:szCs w:val="24"/>
            </w:rPr>
          </w:pPr>
          <w:r w:rsidRPr="00792969">
            <w:rPr>
              <w:rFonts w:cs="Times New Roman"/>
              <w:noProof/>
              <w:szCs w:val="24"/>
            </w:rPr>
            <w:t>Approval for not displaying the expiration date of OMB approval</w:t>
          </w:r>
          <w:r w:rsidR="00DB3A25">
            <w:rPr>
              <w:rFonts w:cs="Times New Roman"/>
              <w:noProof/>
              <w:szCs w:val="24"/>
            </w:rPr>
            <w:t xml:space="preserve"> ………………….6</w:t>
          </w:r>
        </w:p>
        <w:p w:rsidR="005946E0" w:rsidP="009865FC" w:rsidRDefault="00550018" w14:paraId="4ADB5570" w14:textId="77777777">
          <w:pPr>
            <w:pStyle w:val="ListParagraph"/>
            <w:numPr>
              <w:ilvl w:val="0"/>
              <w:numId w:val="12"/>
            </w:numPr>
            <w:rPr>
              <w:rFonts w:cs="Times New Roman"/>
              <w:noProof/>
              <w:szCs w:val="24"/>
            </w:rPr>
          </w:pPr>
          <w:r w:rsidRPr="00792969">
            <w:rPr>
              <w:rFonts w:cs="Times New Roman"/>
              <w:noProof/>
              <w:szCs w:val="24"/>
            </w:rPr>
            <w:t>Exceptions to certification statement</w:t>
          </w:r>
          <w:r w:rsidR="00DB3A25">
            <w:rPr>
              <w:rFonts w:cs="Times New Roman"/>
              <w:noProof/>
              <w:szCs w:val="24"/>
            </w:rPr>
            <w:t xml:space="preserve"> ………………………………………………...6</w:t>
          </w:r>
        </w:p>
        <w:p w:rsidRPr="00792969" w:rsidR="00315B01" w:rsidP="009865FC" w:rsidRDefault="005946E0" w14:paraId="33107354" w14:textId="3D71ADBB">
          <w:pPr>
            <w:pStyle w:val="ListParagraph"/>
            <w:numPr>
              <w:ilvl w:val="0"/>
              <w:numId w:val="12"/>
            </w:numPr>
            <w:rPr>
              <w:rFonts w:cs="Times New Roman"/>
              <w:noProof/>
              <w:szCs w:val="24"/>
            </w:rPr>
          </w:pPr>
          <w:r>
            <w:rPr>
              <w:rFonts w:cs="Times New Roman"/>
              <w:noProof/>
              <w:szCs w:val="24"/>
            </w:rPr>
            <w:t>References ……………………………………………………………………………7</w:t>
          </w:r>
        </w:p>
      </w:sdtContent>
    </w:sdt>
    <w:p w:rsidR="0074245C" w:rsidRDefault="0074245C" w14:paraId="36336F39" w14:textId="77777777">
      <w:pPr>
        <w:rPr>
          <w:rFonts w:ascii="Times New Roman" w:hAnsi="Times New Roman" w:eastAsia="Arial Unicode MS" w:cs="Times New Roman"/>
          <w:sz w:val="24"/>
          <w:szCs w:val="24"/>
          <w:u w:val="single"/>
        </w:rPr>
      </w:pPr>
      <w:r>
        <w:rPr>
          <w:rFonts w:ascii="Times New Roman" w:hAnsi="Times New Roman" w:cs="Times New Roman"/>
          <w:u w:val="single"/>
        </w:rPr>
        <w:br w:type="page"/>
      </w:r>
    </w:p>
    <w:p w:rsidR="009C07C9" w:rsidP="009C07C9" w:rsidRDefault="009C07C9" w14:paraId="5F834E75" w14:textId="6B79AECA">
      <w:pPr>
        <w:pStyle w:val="NormalWeb"/>
        <w:rPr>
          <w:rFonts w:ascii="Times New Roman" w:hAnsi="Times New Roman" w:cs="Times New Roman"/>
        </w:rPr>
      </w:pPr>
      <w:r w:rsidRPr="00CE649C">
        <w:rPr>
          <w:rFonts w:ascii="Times New Roman" w:hAnsi="Times New Roman" w:cs="Times New Roman"/>
          <w:u w:val="single"/>
        </w:rPr>
        <w:lastRenderedPageBreak/>
        <w:t>Part A. Justification</w:t>
      </w:r>
      <w:r w:rsidRPr="00CE649C">
        <w:rPr>
          <w:rFonts w:ascii="Times New Roman" w:hAnsi="Times New Roman" w:cs="Times New Roman"/>
        </w:rPr>
        <w:t>.</w:t>
      </w:r>
    </w:p>
    <w:p w:rsidRPr="00CE649C" w:rsidR="00C37765" w:rsidP="00C37765" w:rsidRDefault="00C37765" w14:paraId="59085865" w14:textId="77777777">
      <w:pPr>
        <w:pStyle w:val="NormalWeb"/>
        <w:rPr>
          <w:rFonts w:ascii="Times New Roman" w:hAnsi="Times New Roman" w:cs="Times New Roman"/>
        </w:rPr>
      </w:pPr>
      <w:r w:rsidRPr="00CE649C">
        <w:rPr>
          <w:rFonts w:ascii="Times New Roman" w:hAnsi="Times New Roman" w:cs="Times New Roman"/>
        </w:rPr>
        <w:t xml:space="preserve">1. </w:t>
      </w:r>
      <w:r w:rsidRPr="00CE649C">
        <w:rPr>
          <w:rFonts w:ascii="Times New Roman" w:hAnsi="Times New Roman" w:cs="Times New Roman"/>
          <w:u w:val="single"/>
        </w:rPr>
        <w:t>Circumstances that make collection of information necessary</w:t>
      </w:r>
      <w:r w:rsidRPr="00CE649C">
        <w:rPr>
          <w:rFonts w:ascii="Times New Roman" w:hAnsi="Times New Roman" w:cs="Times New Roman"/>
        </w:rPr>
        <w:t>:</w:t>
      </w:r>
    </w:p>
    <w:p w:rsidRPr="00C37765" w:rsidR="00C37765" w:rsidP="00C37765" w:rsidRDefault="00C57AAC" w14:paraId="39E5C570" w14:textId="64201B3B">
      <w:pPr>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sidRPr="00C37765" w:rsidR="00C37765">
        <w:rPr>
          <w:rFonts w:ascii="Times New Roman" w:hAnsi="Times New Roman" w:eastAsia="Times New Roman" w:cs="Times New Roman"/>
          <w:sz w:val="24"/>
          <w:szCs w:val="24"/>
        </w:rPr>
        <w:t xml:space="preserve">he country </w:t>
      </w:r>
      <w:r>
        <w:rPr>
          <w:rFonts w:ascii="Times New Roman" w:hAnsi="Times New Roman" w:eastAsia="Times New Roman" w:cs="Times New Roman"/>
          <w:sz w:val="24"/>
          <w:szCs w:val="24"/>
        </w:rPr>
        <w:t xml:space="preserve">has been struggling with unprecedented </w:t>
      </w:r>
      <w:r w:rsidRPr="00C37765" w:rsidR="00C37765">
        <w:rPr>
          <w:rFonts w:ascii="Times New Roman" w:hAnsi="Times New Roman" w:eastAsia="Times New Roman" w:cs="Times New Roman"/>
          <w:sz w:val="24"/>
          <w:szCs w:val="24"/>
        </w:rPr>
        <w:t>supply chain disruptions</w:t>
      </w:r>
      <w:r>
        <w:rPr>
          <w:rFonts w:ascii="Times New Roman" w:hAnsi="Times New Roman" w:eastAsia="Times New Roman" w:cs="Times New Roman"/>
          <w:sz w:val="24"/>
          <w:szCs w:val="24"/>
        </w:rPr>
        <w:t xml:space="preserve">, along with a surge in the need for containerized cargo through our ports and intermodal networks.  In response, </w:t>
      </w:r>
      <w:r w:rsidRPr="00C37765" w:rsidR="00C37765">
        <w:rPr>
          <w:rFonts w:ascii="Times New Roman" w:hAnsi="Times New Roman" w:eastAsia="Times New Roman" w:cs="Times New Roman"/>
          <w:sz w:val="24"/>
          <w:szCs w:val="24"/>
        </w:rPr>
        <w:t xml:space="preserve">Congress passed the </w:t>
      </w:r>
      <w:r w:rsidRPr="00D8605B" w:rsidR="00C37765">
        <w:rPr>
          <w:rFonts w:ascii="Times New Roman" w:hAnsi="Times New Roman" w:eastAsia="Times New Roman" w:cs="Times New Roman"/>
          <w:i/>
          <w:sz w:val="24"/>
          <w:szCs w:val="24"/>
        </w:rPr>
        <w:t>Ocean Shipping Reform Act of 2022</w:t>
      </w:r>
      <w:r w:rsidRPr="00C37765" w:rsidR="00C37765">
        <w:rPr>
          <w:rFonts w:ascii="Times New Roman" w:hAnsi="Times New Roman" w:eastAsia="Times New Roman" w:cs="Times New Roman"/>
          <w:sz w:val="24"/>
          <w:szCs w:val="24"/>
        </w:rPr>
        <w:t xml:space="preserve"> (OSRA 22)</w:t>
      </w:r>
      <w:r w:rsidRPr="00C50F5B" w:rsidR="00C50F5B">
        <w:rPr>
          <w:rFonts w:ascii="Times New Roman" w:hAnsi="Times New Roman" w:eastAsia="Times New Roman" w:cs="Times New Roman"/>
          <w:sz w:val="24"/>
          <w:szCs w:val="24"/>
          <w:vertAlign w:val="superscript"/>
        </w:rPr>
        <w:t>1</w:t>
      </w:r>
      <w:r>
        <w:rPr>
          <w:rFonts w:ascii="Times New Roman" w:hAnsi="Times New Roman" w:eastAsia="Times New Roman" w:cs="Times New Roman"/>
          <w:sz w:val="24"/>
          <w:szCs w:val="24"/>
        </w:rPr>
        <w:t xml:space="preserve"> on June 15, 2022</w:t>
      </w:r>
      <w:r w:rsidRPr="00C37765" w:rsidR="00C37765">
        <w:rPr>
          <w:rFonts w:ascii="Times New Roman" w:hAnsi="Times New Roman" w:eastAsia="Times New Roman" w:cs="Times New Roman"/>
          <w:sz w:val="24"/>
          <w:szCs w:val="24"/>
        </w:rPr>
        <w:t xml:space="preserve">. Section 16 of the </w:t>
      </w:r>
      <w:r w:rsidRPr="00C37765" w:rsidR="00FA2F6E">
        <w:rPr>
          <w:rFonts w:ascii="Times New Roman" w:hAnsi="Times New Roman" w:eastAsia="Times New Roman" w:cs="Times New Roman"/>
          <w:sz w:val="24"/>
          <w:szCs w:val="24"/>
        </w:rPr>
        <w:t>OSRA 22</w:t>
      </w:r>
      <w:r w:rsidRPr="00C37765" w:rsidR="00C37765">
        <w:rPr>
          <w:rFonts w:ascii="Times New Roman" w:hAnsi="Times New Roman" w:eastAsia="Times New Roman" w:cs="Times New Roman"/>
          <w:sz w:val="24"/>
          <w:szCs w:val="24"/>
        </w:rPr>
        <w:t xml:space="preserve"> mandates BTS to produce statistics on the total street dwell time from all causes of </w:t>
      </w:r>
      <w:r w:rsidR="00E83939">
        <w:rPr>
          <w:rFonts w:ascii="Times New Roman" w:hAnsi="Times New Roman" w:eastAsia="Times New Roman" w:cs="Times New Roman"/>
          <w:sz w:val="24"/>
          <w:szCs w:val="24"/>
        </w:rPr>
        <w:t>intermodal</w:t>
      </w:r>
      <w:r w:rsidR="00C163BF">
        <w:rPr>
          <w:rFonts w:ascii="Times New Roman" w:hAnsi="Times New Roman" w:eastAsia="Times New Roman" w:cs="Times New Roman"/>
          <w:sz w:val="24"/>
          <w:szCs w:val="24"/>
        </w:rPr>
        <w:t xml:space="preserve"> shipping containers</w:t>
      </w:r>
      <w:r w:rsidRPr="00C37765" w:rsidR="00C37765">
        <w:rPr>
          <w:rFonts w:ascii="Times New Roman" w:hAnsi="Times New Roman" w:eastAsia="Times New Roman" w:cs="Times New Roman"/>
          <w:sz w:val="24"/>
          <w:szCs w:val="24"/>
        </w:rPr>
        <w:t xml:space="preserve"> </w:t>
      </w:r>
      <w:r w:rsidRPr="45745A0B" w:rsidR="00C163BF">
        <w:rPr>
          <w:rFonts w:ascii="Times New Roman" w:hAnsi="Times New Roman" w:eastAsia="Times New Roman" w:cs="Times New Roman"/>
          <w:sz w:val="24"/>
          <w:szCs w:val="24"/>
        </w:rPr>
        <w:t>(ISO 668)</w:t>
      </w:r>
      <w:r w:rsidRPr="00C37765" w:rsidR="00C37765">
        <w:rPr>
          <w:rFonts w:ascii="Times New Roman" w:hAnsi="Times New Roman" w:eastAsia="Times New Roman" w:cs="Times New Roman"/>
          <w:sz w:val="24"/>
          <w:szCs w:val="24"/>
        </w:rPr>
        <w:t xml:space="preserve"> and chassis and the average out of service percentage of chassis. BTS was granted the authority to collect data from “each port, marine terminal operator, and chassis owner or provider with a fleet of over 50 chassis that supply chassis for a fee” (OSRA 22) as deemed necessary to produce these statistics. </w:t>
      </w:r>
    </w:p>
    <w:p w:rsidRPr="00C37765" w:rsidR="00C37765" w:rsidP="00C37765" w:rsidRDefault="00C57AAC" w14:paraId="6C45852C" w14:textId="6BD09F9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Under the law, </w:t>
      </w:r>
      <w:r w:rsidRPr="00C37765" w:rsidR="00C37765">
        <w:rPr>
          <w:rFonts w:ascii="Times New Roman" w:hAnsi="Times New Roman" w:eastAsia="Times New Roman" w:cs="Times New Roman"/>
          <w:sz w:val="24"/>
          <w:szCs w:val="24"/>
        </w:rPr>
        <w:t>BTS is tasked with establishing a new data collectio</w:t>
      </w:r>
      <w:r>
        <w:rPr>
          <w:rFonts w:ascii="Times New Roman" w:hAnsi="Times New Roman" w:eastAsia="Times New Roman" w:cs="Times New Roman"/>
          <w:sz w:val="24"/>
          <w:szCs w:val="24"/>
        </w:rPr>
        <w:t xml:space="preserve">n and </w:t>
      </w:r>
      <w:r w:rsidRPr="31A58D4C" w:rsidR="00C37765">
        <w:rPr>
          <w:rFonts w:ascii="Times New Roman" w:hAnsi="Times New Roman" w:eastAsia="Times New Roman" w:cs="Times New Roman"/>
          <w:sz w:val="24"/>
          <w:szCs w:val="24"/>
        </w:rPr>
        <w:t>produc</w:t>
      </w:r>
      <w:r w:rsidRPr="31A58D4C" w:rsidR="7E85E0B3">
        <w:rPr>
          <w:rFonts w:ascii="Times New Roman" w:hAnsi="Times New Roman" w:eastAsia="Times New Roman" w:cs="Times New Roman"/>
          <w:sz w:val="24"/>
          <w:szCs w:val="24"/>
        </w:rPr>
        <w:t>ing</w:t>
      </w:r>
      <w:r w:rsidRPr="00C37765" w:rsidR="00C37765">
        <w:rPr>
          <w:rFonts w:ascii="Times New Roman" w:hAnsi="Times New Roman" w:eastAsia="Times New Roman" w:cs="Times New Roman"/>
          <w:sz w:val="24"/>
          <w:szCs w:val="24"/>
        </w:rPr>
        <w:t xml:space="preserve"> the first monthly report no later than 240 days from the request. As part of establishing a new data collection, BTS needs to establish a sample frame and research available data sources and data items from in scope ports, terminals, and intermodal equipment providers. A pilot test will build a foundation upon which a national program can be built.</w:t>
      </w:r>
    </w:p>
    <w:p w:rsidRPr="00CE649C" w:rsidR="00C57AAC" w:rsidP="00C57AAC" w:rsidRDefault="00C57AAC" w14:paraId="2306FC37" w14:textId="77777777">
      <w:pPr>
        <w:pStyle w:val="NormalWeb"/>
        <w:rPr>
          <w:rFonts w:ascii="Times New Roman" w:hAnsi="Times New Roman" w:cs="Times New Roman"/>
        </w:rPr>
      </w:pPr>
      <w:r w:rsidRPr="00CE649C">
        <w:rPr>
          <w:rFonts w:ascii="Times New Roman" w:hAnsi="Times New Roman" w:cs="Times New Roman"/>
        </w:rPr>
        <w:t xml:space="preserve">2. </w:t>
      </w:r>
      <w:r w:rsidRPr="00CE649C">
        <w:rPr>
          <w:rFonts w:ascii="Times New Roman" w:hAnsi="Times New Roman" w:cs="Times New Roman"/>
          <w:u w:val="single"/>
        </w:rPr>
        <w:t>How, by whom, and for what purpose is the information used</w:t>
      </w:r>
      <w:r w:rsidRPr="00CE649C">
        <w:rPr>
          <w:rFonts w:ascii="Times New Roman" w:hAnsi="Times New Roman" w:cs="Times New Roman"/>
        </w:rPr>
        <w:t>:</w:t>
      </w:r>
    </w:p>
    <w:p w:rsidR="000633EE" w:rsidRDefault="00C57AAC" w14:paraId="00FF652E" w14:textId="4F39E23E">
      <w:pPr>
        <w:rPr>
          <w:rFonts w:ascii="Times New Roman" w:hAnsi="Times New Roman" w:eastAsia="Times New Roman" w:cs="Times New Roman"/>
          <w:sz w:val="24"/>
          <w:szCs w:val="24"/>
        </w:rPr>
      </w:pPr>
      <w:r w:rsidRPr="000322FB">
        <w:rPr>
          <w:rFonts w:ascii="Times New Roman" w:hAnsi="Times New Roman" w:eastAsia="Times New Roman" w:cs="Times New Roman"/>
          <w:sz w:val="24"/>
          <w:szCs w:val="24"/>
        </w:rPr>
        <w:t xml:space="preserve">This </w:t>
      </w:r>
      <w:r w:rsidR="000322FB">
        <w:rPr>
          <w:rFonts w:ascii="Times New Roman" w:hAnsi="Times New Roman" w:eastAsia="Times New Roman" w:cs="Times New Roman"/>
          <w:sz w:val="24"/>
          <w:szCs w:val="24"/>
        </w:rPr>
        <w:t xml:space="preserve">pilot </w:t>
      </w:r>
      <w:r w:rsidRPr="000322FB">
        <w:rPr>
          <w:rFonts w:ascii="Times New Roman" w:hAnsi="Times New Roman" w:eastAsia="Times New Roman" w:cs="Times New Roman"/>
          <w:sz w:val="24"/>
          <w:szCs w:val="24"/>
        </w:rPr>
        <w:t xml:space="preserve">data collection will be used to determine what data </w:t>
      </w:r>
      <w:r w:rsidRPr="5EAB0EA4">
        <w:rPr>
          <w:rFonts w:ascii="Times New Roman" w:hAnsi="Times New Roman" w:eastAsia="Times New Roman" w:cs="Times New Roman"/>
          <w:sz w:val="24"/>
          <w:szCs w:val="24"/>
        </w:rPr>
        <w:t>are</w:t>
      </w:r>
      <w:r w:rsidRPr="000322FB">
        <w:rPr>
          <w:rFonts w:ascii="Times New Roman" w:hAnsi="Times New Roman" w:eastAsia="Times New Roman" w:cs="Times New Roman"/>
          <w:sz w:val="24"/>
          <w:szCs w:val="24"/>
        </w:rPr>
        <w:t xml:space="preserve"> available to assess </w:t>
      </w:r>
      <w:r w:rsidR="00E83939">
        <w:rPr>
          <w:rFonts w:ascii="Times New Roman" w:hAnsi="Times New Roman" w:eastAsia="Times New Roman" w:cs="Times New Roman"/>
          <w:sz w:val="24"/>
          <w:szCs w:val="24"/>
        </w:rPr>
        <w:t>intermodal shipping containers</w:t>
      </w:r>
      <w:r w:rsidRPr="00C37765" w:rsidR="00E83939">
        <w:rPr>
          <w:rFonts w:ascii="Times New Roman" w:hAnsi="Times New Roman" w:eastAsia="Times New Roman" w:cs="Times New Roman"/>
          <w:sz w:val="24"/>
          <w:szCs w:val="24"/>
        </w:rPr>
        <w:t xml:space="preserve"> </w:t>
      </w:r>
      <w:r w:rsidRPr="000322FB" w:rsidR="000322FB">
        <w:rPr>
          <w:rFonts w:ascii="Times New Roman" w:hAnsi="Times New Roman" w:eastAsia="Times New Roman" w:cs="Times New Roman"/>
          <w:sz w:val="24"/>
          <w:szCs w:val="24"/>
        </w:rPr>
        <w:t>and chassis dwell time and</w:t>
      </w:r>
      <w:r w:rsidR="00F35B45">
        <w:rPr>
          <w:rFonts w:ascii="Times New Roman" w:hAnsi="Times New Roman" w:eastAsia="Times New Roman" w:cs="Times New Roman"/>
          <w:sz w:val="24"/>
          <w:szCs w:val="24"/>
        </w:rPr>
        <w:t xml:space="preserve"> the</w:t>
      </w:r>
      <w:r w:rsidRPr="000322FB" w:rsidR="000322FB">
        <w:rPr>
          <w:rFonts w:ascii="Times New Roman" w:hAnsi="Times New Roman" w:eastAsia="Times New Roman" w:cs="Times New Roman"/>
          <w:sz w:val="24"/>
          <w:szCs w:val="24"/>
        </w:rPr>
        <w:t xml:space="preserve"> chassis out of service rate.  </w:t>
      </w:r>
      <w:r w:rsidRPr="000322FB">
        <w:rPr>
          <w:rFonts w:ascii="Times New Roman" w:hAnsi="Times New Roman" w:eastAsia="Times New Roman" w:cs="Times New Roman"/>
          <w:sz w:val="24"/>
          <w:szCs w:val="24"/>
        </w:rPr>
        <w:t xml:space="preserve"> </w:t>
      </w:r>
    </w:p>
    <w:p w:rsidR="009A7295" w:rsidRDefault="000322FB" w14:paraId="253FD95E" w14:textId="7AA93BA9">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 do this, BTS will </w:t>
      </w:r>
      <w:r w:rsidR="009A7295">
        <w:rPr>
          <w:rFonts w:ascii="Times New Roman" w:hAnsi="Times New Roman" w:eastAsia="Times New Roman" w:cs="Times New Roman"/>
          <w:sz w:val="24"/>
          <w:szCs w:val="24"/>
        </w:rPr>
        <w:t xml:space="preserve">contract with </w:t>
      </w:r>
      <w:r>
        <w:rPr>
          <w:rFonts w:ascii="Times New Roman" w:hAnsi="Times New Roman" w:eastAsia="Times New Roman" w:cs="Times New Roman"/>
          <w:sz w:val="24"/>
          <w:szCs w:val="24"/>
        </w:rPr>
        <w:t>national experts in the ocean shipping industry</w:t>
      </w:r>
      <w:r w:rsidR="009A7295">
        <w:rPr>
          <w:rFonts w:ascii="Times New Roman" w:hAnsi="Times New Roman" w:eastAsia="Times New Roman" w:cs="Times New Roman"/>
          <w:sz w:val="24"/>
          <w:szCs w:val="24"/>
        </w:rPr>
        <w:t xml:space="preserve"> that will be required</w:t>
      </w:r>
      <w:r>
        <w:rPr>
          <w:rFonts w:ascii="Times New Roman" w:hAnsi="Times New Roman" w:eastAsia="Times New Roman" w:cs="Times New Roman"/>
          <w:sz w:val="24"/>
          <w:szCs w:val="24"/>
        </w:rPr>
        <w:t xml:space="preserve"> to develop a scope for measuring street dwell time of intermodal chassis and </w:t>
      </w:r>
      <w:r w:rsidRPr="45745A0B" w:rsidR="00C163BF">
        <w:rPr>
          <w:rFonts w:ascii="Times New Roman" w:hAnsi="Times New Roman" w:eastAsia="Times New Roman" w:cs="Times New Roman"/>
          <w:sz w:val="24"/>
          <w:szCs w:val="24"/>
        </w:rPr>
        <w:t>intermodal</w:t>
      </w:r>
      <w:r w:rsidR="00C163BF">
        <w:rPr>
          <w:rFonts w:ascii="Times New Roman" w:hAnsi="Times New Roman" w:eastAsia="Times New Roman" w:cs="Times New Roman"/>
          <w:sz w:val="24"/>
          <w:szCs w:val="24"/>
        </w:rPr>
        <w:t xml:space="preserve"> shipping containers</w:t>
      </w:r>
      <w:r>
        <w:rPr>
          <w:rFonts w:ascii="Times New Roman" w:hAnsi="Times New Roman" w:eastAsia="Times New Roman" w:cs="Times New Roman"/>
          <w:sz w:val="24"/>
          <w:szCs w:val="24"/>
        </w:rPr>
        <w:t xml:space="preserve"> </w:t>
      </w:r>
      <w:r w:rsidRPr="45745A0B">
        <w:rPr>
          <w:rFonts w:ascii="Times New Roman" w:hAnsi="Times New Roman" w:eastAsia="Times New Roman" w:cs="Times New Roman"/>
          <w:sz w:val="24"/>
          <w:szCs w:val="24"/>
        </w:rPr>
        <w:t>(ISO</w:t>
      </w:r>
      <w:r w:rsidR="00C2144B">
        <w:rPr>
          <w:rFonts w:ascii="Times New Roman" w:hAnsi="Times New Roman" w:eastAsia="Times New Roman" w:cs="Times New Roman"/>
          <w:sz w:val="24"/>
          <w:szCs w:val="24"/>
        </w:rPr>
        <w:t xml:space="preserve"> </w:t>
      </w:r>
      <w:r w:rsidRPr="45745A0B" w:rsidR="00C2144B">
        <w:rPr>
          <w:rFonts w:ascii="Times New Roman" w:hAnsi="Times New Roman" w:eastAsia="Times New Roman" w:cs="Times New Roman"/>
          <w:sz w:val="24"/>
          <w:szCs w:val="24"/>
        </w:rPr>
        <w:t>668</w:t>
      </w:r>
      <w:r w:rsidRPr="45745A0B">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at ports and inland ports.  </w:t>
      </w:r>
      <w:r w:rsidR="009A7295">
        <w:rPr>
          <w:rFonts w:ascii="Times New Roman" w:hAnsi="Times New Roman" w:eastAsia="Times New Roman" w:cs="Times New Roman"/>
          <w:sz w:val="24"/>
          <w:szCs w:val="24"/>
        </w:rPr>
        <w:t>At a minimum the following information will need to be captured to develop the pilot data collection:</w:t>
      </w:r>
    </w:p>
    <w:p w:rsidR="009A7295" w:rsidP="009A7295" w:rsidRDefault="00C359E9" w14:paraId="1AA4007A" w14:textId="2997A64E">
      <w:pPr>
        <w:pStyle w:val="ListParagraph"/>
        <w:numPr>
          <w:ilvl w:val="0"/>
          <w:numId w:val="2"/>
        </w:numPr>
        <w:rPr>
          <w:rFonts w:cs="Times New Roman"/>
        </w:rPr>
      </w:pPr>
      <w:r>
        <w:rPr>
          <w:rFonts w:cs="Times New Roman"/>
        </w:rPr>
        <w:t xml:space="preserve">A </w:t>
      </w:r>
      <w:r w:rsidR="00803EC6">
        <w:rPr>
          <w:rFonts w:cs="Times New Roman"/>
        </w:rPr>
        <w:t>u</w:t>
      </w:r>
      <w:r w:rsidRPr="620FA888" w:rsidR="00803EC6">
        <w:rPr>
          <w:rFonts w:cs="Times New Roman"/>
        </w:rPr>
        <w:t xml:space="preserve">niverse </w:t>
      </w:r>
      <w:r w:rsidRPr="620FA888" w:rsidR="009A7295">
        <w:rPr>
          <w:rFonts w:cs="Times New Roman"/>
        </w:rPr>
        <w:t xml:space="preserve">of all </w:t>
      </w:r>
      <w:r w:rsidR="009A7295">
        <w:rPr>
          <w:rFonts w:cs="Times New Roman"/>
        </w:rPr>
        <w:t>Intermodal Equipment Providers (</w:t>
      </w:r>
      <w:r w:rsidRPr="620FA888" w:rsidR="009A7295">
        <w:rPr>
          <w:rFonts w:cs="Times New Roman"/>
        </w:rPr>
        <w:t>IEPs</w:t>
      </w:r>
      <w:r w:rsidR="009A7295">
        <w:rPr>
          <w:rFonts w:cs="Times New Roman"/>
        </w:rPr>
        <w:t>)</w:t>
      </w:r>
      <w:r w:rsidRPr="620FA888" w:rsidR="009A7295">
        <w:rPr>
          <w:rFonts w:cs="Times New Roman"/>
        </w:rPr>
        <w:t xml:space="preserve"> serving the U</w:t>
      </w:r>
      <w:r w:rsidR="00803EC6">
        <w:rPr>
          <w:rFonts w:cs="Times New Roman"/>
        </w:rPr>
        <w:t>.</w:t>
      </w:r>
      <w:r w:rsidRPr="620FA888" w:rsidR="009A7295">
        <w:rPr>
          <w:rFonts w:cs="Times New Roman"/>
        </w:rPr>
        <w:t>S</w:t>
      </w:r>
      <w:r w:rsidR="00803EC6">
        <w:rPr>
          <w:rFonts w:cs="Times New Roman"/>
        </w:rPr>
        <w:t>.</w:t>
      </w:r>
    </w:p>
    <w:p w:rsidR="009A7295" w:rsidP="009A7295" w:rsidRDefault="00CE3965" w14:paraId="20B2FD72" w14:textId="21844C31">
      <w:pPr>
        <w:pStyle w:val="ListParagraph"/>
        <w:numPr>
          <w:ilvl w:val="0"/>
          <w:numId w:val="2"/>
        </w:numPr>
      </w:pPr>
      <w:r>
        <w:rPr>
          <w:rFonts w:cs="Times New Roman"/>
        </w:rPr>
        <w:t>A l</w:t>
      </w:r>
      <w:r w:rsidRPr="620FA888" w:rsidR="009A7295">
        <w:rPr>
          <w:rFonts w:cs="Times New Roman"/>
        </w:rPr>
        <w:t>ist of IEPs</w:t>
      </w:r>
      <w:r w:rsidRPr="7BB23806" w:rsidR="009A7295">
        <w:rPr>
          <w:rFonts w:cs="Times New Roman"/>
        </w:rPr>
        <w:t xml:space="preserve"> that have </w:t>
      </w:r>
      <w:r w:rsidRPr="6ED4E0F4" w:rsidR="009A7295">
        <w:rPr>
          <w:rFonts w:cs="Times New Roman"/>
        </w:rPr>
        <w:t xml:space="preserve">a fleet of </w:t>
      </w:r>
      <w:r w:rsidRPr="7BB23806" w:rsidR="009A7295">
        <w:rPr>
          <w:rFonts w:cs="Times New Roman"/>
        </w:rPr>
        <w:t>50 or more chassis</w:t>
      </w:r>
      <w:r w:rsidRPr="620FA888" w:rsidR="009A7295">
        <w:rPr>
          <w:rFonts w:cs="Times New Roman"/>
        </w:rPr>
        <w:t xml:space="preserve"> that </w:t>
      </w:r>
      <w:r w:rsidRPr="6ED4E0F4" w:rsidR="009A7295">
        <w:rPr>
          <w:rFonts w:cs="Times New Roman"/>
        </w:rPr>
        <w:t>offer service to</w:t>
      </w:r>
      <w:r w:rsidRPr="620FA888" w:rsidR="009A7295">
        <w:rPr>
          <w:rFonts w:cs="Times New Roman"/>
        </w:rPr>
        <w:t xml:space="preserve"> the U</w:t>
      </w:r>
      <w:r w:rsidR="00803EC6">
        <w:rPr>
          <w:rFonts w:cs="Times New Roman"/>
        </w:rPr>
        <w:t>.</w:t>
      </w:r>
      <w:r w:rsidRPr="620FA888" w:rsidR="009A7295">
        <w:rPr>
          <w:rFonts w:cs="Times New Roman"/>
        </w:rPr>
        <w:t>S</w:t>
      </w:r>
      <w:r w:rsidR="00803EC6">
        <w:rPr>
          <w:rFonts w:cs="Times New Roman"/>
        </w:rPr>
        <w:t>.</w:t>
      </w:r>
      <w:r w:rsidRPr="6ED4E0F4" w:rsidR="009A7295">
        <w:rPr>
          <w:rFonts w:cs="Times New Roman"/>
        </w:rPr>
        <w:t xml:space="preserve"> market for a fee</w:t>
      </w:r>
    </w:p>
    <w:p w:rsidRPr="00A2550C" w:rsidR="009A7295" w:rsidP="009A7295" w:rsidRDefault="00CE3965" w14:paraId="7982F5A3" w14:textId="5CB32512">
      <w:pPr>
        <w:pStyle w:val="ListParagraph"/>
        <w:numPr>
          <w:ilvl w:val="0"/>
          <w:numId w:val="2"/>
        </w:numPr>
        <w:rPr>
          <w:rFonts w:cs="Times New Roman"/>
          <w:szCs w:val="24"/>
        </w:rPr>
      </w:pPr>
      <w:r>
        <w:rPr>
          <w:rFonts w:cs="Times New Roman"/>
          <w:szCs w:val="24"/>
        </w:rPr>
        <w:t>A d</w:t>
      </w:r>
      <w:r w:rsidR="009A7295">
        <w:rPr>
          <w:rFonts w:cs="Times New Roman"/>
          <w:szCs w:val="24"/>
        </w:rPr>
        <w:t xml:space="preserve">escription and identification of the universe of </w:t>
      </w:r>
      <w:r w:rsidR="00C163BF">
        <w:rPr>
          <w:rFonts w:cs="Times New Roman"/>
          <w:szCs w:val="24"/>
        </w:rPr>
        <w:t>international shipping containers</w:t>
      </w:r>
      <w:r w:rsidR="009A7295">
        <w:rPr>
          <w:rFonts w:cs="Times New Roman"/>
          <w:szCs w:val="24"/>
        </w:rPr>
        <w:t xml:space="preserve"> at ports and inland ports</w:t>
      </w:r>
    </w:p>
    <w:p w:rsidR="009A7295" w:rsidP="009A7295" w:rsidRDefault="000B328F" w14:paraId="30166B0C" w14:textId="23EBF264">
      <w:pPr>
        <w:pStyle w:val="ListParagraph"/>
        <w:numPr>
          <w:ilvl w:val="0"/>
          <w:numId w:val="2"/>
        </w:numPr>
        <w:rPr>
          <w:rFonts w:cs="Times New Roman"/>
          <w:szCs w:val="24"/>
        </w:rPr>
      </w:pPr>
      <w:r>
        <w:rPr>
          <w:rFonts w:cs="Times New Roman"/>
          <w:szCs w:val="24"/>
        </w:rPr>
        <w:t>A l</w:t>
      </w:r>
      <w:r w:rsidR="009A7295">
        <w:rPr>
          <w:rFonts w:cs="Times New Roman"/>
          <w:szCs w:val="24"/>
        </w:rPr>
        <w:t xml:space="preserve">ist of the top 25 ports and inland ports </w:t>
      </w:r>
      <w:r w:rsidR="00BF2188">
        <w:rPr>
          <w:rFonts w:cs="Times New Roman"/>
          <w:szCs w:val="24"/>
        </w:rPr>
        <w:t xml:space="preserve">as measured </w:t>
      </w:r>
      <w:r w:rsidR="009A7295">
        <w:rPr>
          <w:rFonts w:cs="Times New Roman"/>
          <w:szCs w:val="24"/>
        </w:rPr>
        <w:t xml:space="preserve">by </w:t>
      </w:r>
      <w:r w:rsidRPr="00960EF3" w:rsidR="00960EF3">
        <w:rPr>
          <w:rFonts w:cs="Times New Roman"/>
          <w:szCs w:val="24"/>
        </w:rPr>
        <w:t>twenty-foot equivalent unit (abbreviated</w:t>
      </w:r>
      <w:r w:rsidR="009A7295">
        <w:rPr>
          <w:rFonts w:cs="Times New Roman"/>
          <w:szCs w:val="24"/>
        </w:rPr>
        <w:t xml:space="preserve"> TEU</w:t>
      </w:r>
      <w:r w:rsidR="00960EF3">
        <w:rPr>
          <w:rFonts w:cs="Times New Roman"/>
          <w:szCs w:val="24"/>
        </w:rPr>
        <w:t>)</w:t>
      </w:r>
    </w:p>
    <w:p w:rsidRPr="00336AD8" w:rsidR="009A7295" w:rsidP="009A7295" w:rsidRDefault="009A7295" w14:paraId="67157683" w14:textId="5C0244E1">
      <w:pPr>
        <w:pStyle w:val="ListParagraph"/>
        <w:numPr>
          <w:ilvl w:val="0"/>
          <w:numId w:val="2"/>
        </w:numPr>
        <w:rPr>
          <w:rFonts w:cs="Times New Roman"/>
        </w:rPr>
      </w:pPr>
      <w:r w:rsidRPr="6ED4E0F4">
        <w:rPr>
          <w:rFonts w:cs="Times New Roman"/>
        </w:rPr>
        <w:t>How street dwell time is calculated and documented for chassis</w:t>
      </w:r>
      <w:r w:rsidR="00C163BF">
        <w:rPr>
          <w:rFonts w:cs="Times New Roman"/>
        </w:rPr>
        <w:t xml:space="preserve"> and </w:t>
      </w:r>
      <w:r w:rsidR="00C2144B">
        <w:rPr>
          <w:rFonts w:cs="Times New Roman"/>
        </w:rPr>
        <w:t>intermodal</w:t>
      </w:r>
      <w:r w:rsidR="00C163BF">
        <w:rPr>
          <w:rFonts w:cs="Times New Roman"/>
        </w:rPr>
        <w:t xml:space="preserve"> shipping containers</w:t>
      </w:r>
    </w:p>
    <w:p w:rsidR="009A7295" w:rsidP="009A7295" w:rsidRDefault="009A7295" w14:paraId="3D70608C" w14:textId="515DE678">
      <w:pPr>
        <w:pStyle w:val="ListParagraph"/>
        <w:numPr>
          <w:ilvl w:val="0"/>
          <w:numId w:val="1"/>
        </w:numPr>
        <w:rPr>
          <w:rFonts w:cs="Times New Roman"/>
          <w:szCs w:val="24"/>
        </w:rPr>
      </w:pPr>
      <w:r>
        <w:rPr>
          <w:rFonts w:cs="Times New Roman"/>
          <w:szCs w:val="24"/>
        </w:rPr>
        <w:t xml:space="preserve">The normal bounds for a typical street dwell time and what would be considered outside normal bounds for chassis and </w:t>
      </w:r>
      <w:r w:rsidR="00C2144B">
        <w:rPr>
          <w:rFonts w:cs="Times New Roman"/>
          <w:szCs w:val="24"/>
        </w:rPr>
        <w:t>intermodal</w:t>
      </w:r>
      <w:r w:rsidR="00C163BF">
        <w:rPr>
          <w:rFonts w:cs="Times New Roman"/>
          <w:szCs w:val="24"/>
        </w:rPr>
        <w:t xml:space="preserve"> shipping containers</w:t>
      </w:r>
    </w:p>
    <w:p w:rsidR="009A7295" w:rsidP="009A7295" w:rsidRDefault="009A7295" w14:paraId="1B34B659" w14:textId="77777777">
      <w:pPr>
        <w:pStyle w:val="ListParagraph"/>
        <w:numPr>
          <w:ilvl w:val="0"/>
          <w:numId w:val="1"/>
        </w:numPr>
        <w:rPr>
          <w:rFonts w:cs="Times New Roman"/>
        </w:rPr>
      </w:pPr>
      <w:r w:rsidRPr="620FA888">
        <w:rPr>
          <w:rFonts w:cs="Times New Roman"/>
        </w:rPr>
        <w:t>Frame and methods to capture out of service chassis</w:t>
      </w:r>
    </w:p>
    <w:p w:rsidRPr="009A7295" w:rsidR="009A7295" w:rsidP="009A7295" w:rsidRDefault="009A7295" w14:paraId="06E05007" w14:textId="3555A17A">
      <w:pPr>
        <w:pStyle w:val="ListParagraph"/>
        <w:numPr>
          <w:ilvl w:val="0"/>
          <w:numId w:val="1"/>
        </w:numPr>
        <w:rPr>
          <w:rFonts w:cs="Times New Roman"/>
        </w:rPr>
      </w:pPr>
      <w:r w:rsidRPr="620FA888">
        <w:rPr>
          <w:rFonts w:cs="Times New Roman"/>
        </w:rPr>
        <w:t>Frame and methods to capture container street dwell tim</w:t>
      </w:r>
      <w:r>
        <w:rPr>
          <w:rFonts w:cs="Times New Roman"/>
        </w:rPr>
        <w:t>e</w:t>
      </w:r>
    </w:p>
    <w:p w:rsidR="009A7295" w:rsidRDefault="009A7295" w14:paraId="61AD089E" w14:textId="46308D6F">
      <w:pPr>
        <w:rPr>
          <w:rFonts w:ascii="Times New Roman" w:hAnsi="Times New Roman" w:eastAsia="Times New Roman" w:cs="Times New Roman"/>
          <w:sz w:val="24"/>
          <w:szCs w:val="24"/>
        </w:rPr>
      </w:pPr>
    </w:p>
    <w:p w:rsidRPr="009A7295" w:rsidR="009A7295" w:rsidP="009A7295" w:rsidRDefault="009A7295" w14:paraId="33038F77" w14:textId="1A5F7113">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 obtain such information, the contractors will be required to conduct outreach to marine container ports (both ports and inland ports), </w:t>
      </w:r>
      <w:r w:rsidRPr="009A7295">
        <w:rPr>
          <w:rFonts w:ascii="Times New Roman" w:hAnsi="Times New Roman" w:eastAsia="Times New Roman" w:cs="Times New Roman"/>
          <w:sz w:val="24"/>
          <w:szCs w:val="24"/>
        </w:rPr>
        <w:t xml:space="preserve">terminals, ocean carriers, </w:t>
      </w:r>
      <w:r>
        <w:rPr>
          <w:rFonts w:ascii="Times New Roman" w:hAnsi="Times New Roman" w:eastAsia="Times New Roman" w:cs="Times New Roman"/>
          <w:sz w:val="24"/>
          <w:szCs w:val="24"/>
        </w:rPr>
        <w:t>IEPs</w:t>
      </w:r>
      <w:r w:rsidRPr="009A7295">
        <w:rPr>
          <w:rFonts w:ascii="Times New Roman" w:hAnsi="Times New Roman" w:eastAsia="Times New Roman" w:cs="Times New Roman"/>
          <w:sz w:val="24"/>
          <w:szCs w:val="24"/>
        </w:rPr>
        <w:t xml:space="preserve">, and other industry </w:t>
      </w:r>
      <w:r w:rsidRPr="009A7295">
        <w:rPr>
          <w:rFonts w:ascii="Times New Roman" w:hAnsi="Times New Roman" w:eastAsia="Times New Roman" w:cs="Times New Roman"/>
          <w:sz w:val="24"/>
          <w:szCs w:val="24"/>
        </w:rPr>
        <w:lastRenderedPageBreak/>
        <w:t>entities to research available data sources and data items</w:t>
      </w:r>
      <w:r>
        <w:rPr>
          <w:rFonts w:ascii="Times New Roman" w:hAnsi="Times New Roman" w:eastAsia="Times New Roman" w:cs="Times New Roman"/>
          <w:sz w:val="24"/>
          <w:szCs w:val="24"/>
        </w:rPr>
        <w:t xml:space="preserve">, such as, ocean shipping associations, advocacy, or membership groups.  </w:t>
      </w:r>
      <w:r w:rsidRPr="009A7295">
        <w:rPr>
          <w:rFonts w:ascii="Times New Roman" w:hAnsi="Times New Roman" w:eastAsia="Times New Roman" w:cs="Times New Roman"/>
          <w:sz w:val="24"/>
          <w:szCs w:val="24"/>
        </w:rPr>
        <w:t xml:space="preserve">The Contractor will then be required to evaluate available data elements and sources for their usefulness in developing statistics on street dwell time and out-of-service </w:t>
      </w:r>
      <w:r w:rsidR="005F2F41">
        <w:rPr>
          <w:rFonts w:ascii="Times New Roman" w:hAnsi="Times New Roman" w:eastAsia="Times New Roman" w:cs="Times New Roman"/>
          <w:sz w:val="24"/>
          <w:szCs w:val="24"/>
        </w:rPr>
        <w:t>rate</w:t>
      </w:r>
      <w:r w:rsidRPr="009A7295" w:rsidR="005F2F41">
        <w:rPr>
          <w:rFonts w:ascii="Times New Roman" w:hAnsi="Times New Roman" w:eastAsia="Times New Roman" w:cs="Times New Roman"/>
          <w:sz w:val="24"/>
          <w:szCs w:val="24"/>
        </w:rPr>
        <w:t xml:space="preserve"> </w:t>
      </w:r>
      <w:r w:rsidRPr="009A7295">
        <w:rPr>
          <w:rFonts w:ascii="Times New Roman" w:hAnsi="Times New Roman" w:eastAsia="Times New Roman" w:cs="Times New Roman"/>
          <w:sz w:val="24"/>
          <w:szCs w:val="24"/>
        </w:rPr>
        <w:t>for addressing the OSRA 22 requirements.</w:t>
      </w:r>
    </w:p>
    <w:p w:rsidR="009A7295" w:rsidP="009A7295" w:rsidRDefault="009A7295" w14:paraId="184586CF" w14:textId="45B67AC4">
      <w:pPr>
        <w:rPr>
          <w:rFonts w:ascii="Times New Roman" w:hAnsi="Times New Roman" w:eastAsia="Times New Roman" w:cs="Times New Roman"/>
          <w:sz w:val="24"/>
          <w:szCs w:val="24"/>
        </w:rPr>
      </w:pPr>
      <w:r w:rsidRPr="009A7295">
        <w:rPr>
          <w:rFonts w:ascii="Times New Roman" w:hAnsi="Times New Roman" w:eastAsia="Times New Roman" w:cs="Times New Roman"/>
          <w:sz w:val="24"/>
          <w:szCs w:val="24"/>
        </w:rPr>
        <w:t>The contractor</w:t>
      </w:r>
      <w:r w:rsidRPr="5EAB0EA4">
        <w:rPr>
          <w:rFonts w:ascii="Times New Roman" w:hAnsi="Times New Roman" w:eastAsia="Times New Roman" w:cs="Times New Roman"/>
          <w:sz w:val="24"/>
          <w:szCs w:val="24"/>
        </w:rPr>
        <w:t xml:space="preserve"> will</w:t>
      </w:r>
      <w:r w:rsidRPr="009A7295">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be required to help BTS d</w:t>
      </w:r>
      <w:r w:rsidRPr="009A7295">
        <w:rPr>
          <w:rFonts w:ascii="Times New Roman" w:hAnsi="Times New Roman" w:eastAsia="Times New Roman" w:cs="Times New Roman"/>
          <w:sz w:val="24"/>
          <w:szCs w:val="24"/>
        </w:rPr>
        <w:t xml:space="preserve">etermine public or private performance measures from the reporting entities and/or data sources that can be compared across data sources to develop the necessary statistics for the OSRA 22 requirement. </w:t>
      </w:r>
      <w:r>
        <w:rPr>
          <w:rFonts w:ascii="Times New Roman" w:hAnsi="Times New Roman" w:eastAsia="Times New Roman" w:cs="Times New Roman"/>
          <w:sz w:val="24"/>
          <w:szCs w:val="24"/>
        </w:rPr>
        <w:t xml:space="preserve"> </w:t>
      </w:r>
      <w:r w:rsidRPr="009A7295">
        <w:rPr>
          <w:rFonts w:ascii="Times New Roman" w:hAnsi="Times New Roman" w:eastAsia="Times New Roman" w:cs="Times New Roman"/>
          <w:sz w:val="24"/>
          <w:szCs w:val="24"/>
        </w:rPr>
        <w:t>All data sources, methods, processes, and procedures that the Contractor develops shall be readily identifiable, accessible, understandable, and implementable by BTS</w:t>
      </w:r>
      <w:r>
        <w:rPr>
          <w:rFonts w:ascii="Times New Roman" w:hAnsi="Times New Roman" w:eastAsia="Times New Roman" w:cs="Times New Roman"/>
          <w:sz w:val="24"/>
          <w:szCs w:val="24"/>
        </w:rPr>
        <w:t xml:space="preserve"> for the purposes of the OSRA 22 requirement only.  </w:t>
      </w:r>
    </w:p>
    <w:p w:rsidR="00167494" w:rsidP="009A7295" w:rsidRDefault="00167494" w14:paraId="7E889331" w14:textId="6139F4BD">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 a result of the outreach, BTS will better understand the: </w:t>
      </w:r>
    </w:p>
    <w:p w:rsidRPr="00DB6624" w:rsidR="00167494" w:rsidP="00167494" w:rsidRDefault="00167494" w14:paraId="42E53D4A" w14:textId="77777777">
      <w:pPr>
        <w:pStyle w:val="ListParagraph"/>
        <w:numPr>
          <w:ilvl w:val="0"/>
          <w:numId w:val="3"/>
        </w:numPr>
        <w:spacing w:line="259" w:lineRule="auto"/>
        <w:rPr>
          <w:rFonts w:cs="Times New Roman" w:eastAsiaTheme="minorEastAsia"/>
        </w:rPr>
      </w:pPr>
      <w:r w:rsidRPr="7BB23806">
        <w:rPr>
          <w:rFonts w:cs="Times New Roman" w:eastAsiaTheme="minorEastAsia"/>
        </w:rPr>
        <w:t xml:space="preserve">Available data to measure marine container and chassis street dwell time and </w:t>
      </w:r>
      <w:r w:rsidRPr="1A9AB581">
        <w:rPr>
          <w:rFonts w:cs="Times New Roman" w:eastAsiaTheme="minorEastAsia"/>
        </w:rPr>
        <w:t xml:space="preserve">the number of </w:t>
      </w:r>
      <w:r w:rsidRPr="7BB23806">
        <w:rPr>
          <w:rFonts w:cs="Times New Roman" w:eastAsiaTheme="minorEastAsia"/>
        </w:rPr>
        <w:t xml:space="preserve">chassis </w:t>
      </w:r>
      <w:r w:rsidRPr="1A9AB581">
        <w:rPr>
          <w:rFonts w:cs="Times New Roman" w:eastAsiaTheme="minorEastAsia"/>
        </w:rPr>
        <w:t xml:space="preserve">available and </w:t>
      </w:r>
      <w:r w:rsidRPr="7BB23806">
        <w:rPr>
          <w:rFonts w:cs="Times New Roman" w:eastAsiaTheme="minorEastAsia"/>
        </w:rPr>
        <w:t>out of service, and their source.</w:t>
      </w:r>
    </w:p>
    <w:p w:rsidRPr="00DB6624" w:rsidR="00167494" w:rsidP="00167494" w:rsidRDefault="00167494" w14:paraId="6F6D2568" w14:textId="77777777">
      <w:pPr>
        <w:pStyle w:val="ListParagraph"/>
        <w:numPr>
          <w:ilvl w:val="0"/>
          <w:numId w:val="3"/>
        </w:numPr>
        <w:spacing w:line="259" w:lineRule="auto"/>
        <w:rPr>
          <w:rFonts w:cs="Times New Roman" w:eastAsiaTheme="minorEastAsia"/>
          <w:szCs w:val="24"/>
        </w:rPr>
      </w:pPr>
      <w:r w:rsidRPr="00DB6624">
        <w:rPr>
          <w:rFonts w:cs="Times New Roman" w:eastAsiaTheme="minorEastAsia"/>
          <w:szCs w:val="24"/>
        </w:rPr>
        <w:t>Data structure and attributes.</w:t>
      </w:r>
    </w:p>
    <w:p w:rsidRPr="00DB6624" w:rsidR="00167494" w:rsidP="00167494" w:rsidRDefault="00167494" w14:paraId="49410BB4" w14:textId="77777777">
      <w:pPr>
        <w:pStyle w:val="ListParagraph"/>
        <w:numPr>
          <w:ilvl w:val="0"/>
          <w:numId w:val="3"/>
        </w:numPr>
        <w:spacing w:line="259" w:lineRule="auto"/>
        <w:rPr>
          <w:rFonts w:cs="Times New Roman" w:eastAsiaTheme="minorEastAsia"/>
          <w:szCs w:val="24"/>
        </w:rPr>
      </w:pPr>
      <w:r w:rsidRPr="00DB6624">
        <w:rPr>
          <w:rFonts w:cs="Times New Roman" w:eastAsiaTheme="minorEastAsia"/>
          <w:szCs w:val="24"/>
        </w:rPr>
        <w:t>Methods and processes for collecting and compiling the data and developing the statistics.</w:t>
      </w:r>
    </w:p>
    <w:p w:rsidRPr="00DB6624" w:rsidR="00167494" w:rsidP="00167494" w:rsidRDefault="00167494" w14:paraId="5F6ADB38" w14:textId="77777777">
      <w:pPr>
        <w:pStyle w:val="ListParagraph"/>
        <w:numPr>
          <w:ilvl w:val="0"/>
          <w:numId w:val="3"/>
        </w:numPr>
        <w:spacing w:line="259" w:lineRule="auto"/>
        <w:rPr>
          <w:rFonts w:cs="Times New Roman" w:eastAsiaTheme="minorEastAsia"/>
          <w:szCs w:val="24"/>
        </w:rPr>
      </w:pPr>
      <w:r w:rsidRPr="00DB6624">
        <w:rPr>
          <w:rFonts w:cs="Times New Roman" w:eastAsiaTheme="minorEastAsia"/>
          <w:szCs w:val="24"/>
        </w:rPr>
        <w:t>Any limitations on the dissemination of the data to the public.</w:t>
      </w:r>
    </w:p>
    <w:p w:rsidRPr="00DB6624" w:rsidR="00167494" w:rsidP="00167494" w:rsidRDefault="00167494" w14:paraId="2168E397" w14:textId="77777777">
      <w:pPr>
        <w:pStyle w:val="ListParagraph"/>
        <w:numPr>
          <w:ilvl w:val="0"/>
          <w:numId w:val="3"/>
        </w:numPr>
        <w:spacing w:line="259" w:lineRule="auto"/>
        <w:rPr>
          <w:rFonts w:cs="Times New Roman" w:eastAsiaTheme="minorEastAsia"/>
          <w:szCs w:val="24"/>
        </w:rPr>
      </w:pPr>
      <w:r w:rsidRPr="00DB6624">
        <w:rPr>
          <w:rFonts w:cs="Times New Roman" w:eastAsiaTheme="minorEastAsia"/>
          <w:szCs w:val="24"/>
        </w:rPr>
        <w:t>Potential weaknesses and shortcomings of the data</w:t>
      </w:r>
      <w:r>
        <w:rPr>
          <w:rFonts w:cs="Times New Roman" w:eastAsiaTheme="minorEastAsia"/>
          <w:szCs w:val="24"/>
        </w:rPr>
        <w:t xml:space="preserve"> for developing the statistics</w:t>
      </w:r>
      <w:r w:rsidRPr="00DB6624">
        <w:rPr>
          <w:rFonts w:cs="Times New Roman" w:eastAsiaTheme="minorEastAsia"/>
          <w:szCs w:val="24"/>
        </w:rPr>
        <w:t>.</w:t>
      </w:r>
    </w:p>
    <w:p w:rsidRPr="00DB6624" w:rsidR="00167494" w:rsidP="00167494" w:rsidRDefault="00167494" w14:paraId="4FEFCF14" w14:textId="77777777">
      <w:pPr>
        <w:pStyle w:val="ListParagraph"/>
        <w:numPr>
          <w:ilvl w:val="0"/>
          <w:numId w:val="3"/>
        </w:numPr>
        <w:spacing w:line="259" w:lineRule="auto"/>
        <w:rPr>
          <w:rFonts w:cs="Times New Roman" w:eastAsiaTheme="minorEastAsia"/>
          <w:szCs w:val="24"/>
        </w:rPr>
      </w:pPr>
      <w:r w:rsidRPr="00DB6624">
        <w:rPr>
          <w:rFonts w:cs="Times New Roman" w:eastAsiaTheme="minorEastAsia"/>
          <w:szCs w:val="24"/>
        </w:rPr>
        <w:t>Issues, risks, and potential challenges of using the data</w:t>
      </w:r>
      <w:r>
        <w:rPr>
          <w:rFonts w:cs="Times New Roman" w:eastAsiaTheme="minorEastAsia"/>
          <w:szCs w:val="24"/>
        </w:rPr>
        <w:t xml:space="preserve"> to develop the statistics</w:t>
      </w:r>
      <w:r w:rsidRPr="00DB6624">
        <w:rPr>
          <w:rFonts w:cs="Times New Roman" w:eastAsiaTheme="minorEastAsia"/>
          <w:szCs w:val="24"/>
        </w:rPr>
        <w:t>.</w:t>
      </w:r>
    </w:p>
    <w:p w:rsidR="00167494" w:rsidP="00167494" w:rsidRDefault="00167494" w14:paraId="3DE80716" w14:textId="77777777">
      <w:pPr>
        <w:pStyle w:val="ListParagraph"/>
        <w:numPr>
          <w:ilvl w:val="0"/>
          <w:numId w:val="3"/>
        </w:numPr>
        <w:spacing w:line="259" w:lineRule="auto"/>
        <w:rPr>
          <w:rFonts w:cs="Times New Roman" w:eastAsiaTheme="minorEastAsia"/>
          <w:szCs w:val="24"/>
        </w:rPr>
      </w:pPr>
      <w:r w:rsidRPr="00DB6624">
        <w:rPr>
          <w:rFonts w:cs="Times New Roman" w:eastAsiaTheme="minorEastAsia"/>
          <w:szCs w:val="24"/>
        </w:rPr>
        <w:t>The timeliness</w:t>
      </w:r>
      <w:r>
        <w:rPr>
          <w:rFonts w:cs="Times New Roman" w:eastAsiaTheme="minorEastAsia"/>
          <w:szCs w:val="24"/>
        </w:rPr>
        <w:t xml:space="preserve"> and</w:t>
      </w:r>
      <w:r w:rsidRPr="00DB6624">
        <w:t xml:space="preserve"> </w:t>
      </w:r>
      <w:r w:rsidRPr="00DB6624">
        <w:rPr>
          <w:rFonts w:cs="Times New Roman" w:eastAsiaTheme="minorEastAsia"/>
          <w:szCs w:val="24"/>
        </w:rPr>
        <w:t>granularity (level of detail) that is estimated will result from use of the data source</w:t>
      </w:r>
      <w:r>
        <w:rPr>
          <w:rFonts w:cs="Times New Roman" w:eastAsiaTheme="minorEastAsia"/>
          <w:szCs w:val="24"/>
        </w:rPr>
        <w:t xml:space="preserve"> to develop the statistics</w:t>
      </w:r>
      <w:r w:rsidRPr="00DB6624">
        <w:rPr>
          <w:rFonts w:cs="Times New Roman" w:eastAsiaTheme="minorEastAsia"/>
          <w:szCs w:val="24"/>
        </w:rPr>
        <w:t>.</w:t>
      </w:r>
    </w:p>
    <w:p w:rsidR="00167494" w:rsidP="00167494" w:rsidRDefault="00167494" w14:paraId="0964A226" w14:textId="77777777">
      <w:pPr>
        <w:pStyle w:val="ListParagraph"/>
        <w:numPr>
          <w:ilvl w:val="0"/>
          <w:numId w:val="3"/>
        </w:numPr>
        <w:spacing w:line="259" w:lineRule="auto"/>
        <w:rPr>
          <w:rFonts w:cs="Times New Roman" w:eastAsiaTheme="minorEastAsia"/>
          <w:szCs w:val="24"/>
        </w:rPr>
      </w:pPr>
      <w:r>
        <w:rPr>
          <w:rFonts w:cs="Times New Roman" w:eastAsiaTheme="minorEastAsia"/>
          <w:szCs w:val="24"/>
        </w:rPr>
        <w:t>Reporting processes and structure</w:t>
      </w:r>
    </w:p>
    <w:p w:rsidRPr="00D8605B" w:rsidR="00167494" w:rsidP="00D46B28" w:rsidRDefault="00167494" w14:paraId="076EDB71" w14:textId="0853CBB8">
      <w:pPr>
        <w:pStyle w:val="ListParagraph"/>
        <w:numPr>
          <w:ilvl w:val="0"/>
          <w:numId w:val="3"/>
        </w:numPr>
        <w:spacing w:line="259" w:lineRule="auto"/>
        <w:rPr>
          <w:rFonts w:eastAsia="Times New Roman" w:cs="Times New Roman"/>
          <w:szCs w:val="24"/>
        </w:rPr>
      </w:pPr>
      <w:r>
        <w:rPr>
          <w:rFonts w:cs="Times New Roman" w:eastAsiaTheme="minorEastAsia"/>
          <w:szCs w:val="24"/>
        </w:rPr>
        <w:t>Disclosure avoidance methodology</w:t>
      </w:r>
    </w:p>
    <w:p w:rsidRPr="00CE649C" w:rsidR="00F14D4A" w:rsidP="00F14D4A" w:rsidRDefault="00F14D4A" w14:paraId="08F2CC41" w14:textId="77777777">
      <w:pPr>
        <w:pStyle w:val="NormalWeb"/>
        <w:rPr>
          <w:rFonts w:ascii="Times New Roman" w:hAnsi="Times New Roman" w:cs="Times New Roman"/>
        </w:rPr>
      </w:pPr>
      <w:r w:rsidRPr="00CE649C">
        <w:rPr>
          <w:rFonts w:ascii="Times New Roman" w:hAnsi="Times New Roman" w:cs="Times New Roman"/>
        </w:rPr>
        <w:t>3.</w:t>
      </w:r>
      <w:r w:rsidRPr="00CE649C">
        <w:rPr>
          <w:rStyle w:val="Strong"/>
          <w:rFonts w:ascii="Times New Roman" w:hAnsi="Times New Roman" w:cs="Times New Roman"/>
        </w:rPr>
        <w:t xml:space="preserve"> </w:t>
      </w:r>
      <w:r w:rsidRPr="00CE649C">
        <w:rPr>
          <w:rStyle w:val="markedcontent"/>
          <w:rFonts w:ascii="Times New Roman" w:hAnsi="Times New Roman" w:cs="Times New Roman"/>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CE649C">
        <w:rPr>
          <w:rStyle w:val="markedcontent"/>
          <w:rFonts w:ascii="Times New Roman" w:hAnsi="Times New Roman" w:cs="Times New Roman"/>
        </w:rPr>
        <w:t xml:space="preserve"> </w:t>
      </w:r>
      <w:r w:rsidRPr="00CE649C">
        <w:rPr>
          <w:rFonts w:ascii="Times New Roman" w:hAnsi="Times New Roman" w:cs="Times New Roman"/>
        </w:rPr>
        <w:t xml:space="preserve"> </w:t>
      </w:r>
    </w:p>
    <w:p w:rsidR="009A7295" w:rsidP="009A7295" w:rsidRDefault="00F14D4A" w14:paraId="078D5476" w14:textId="24F0E402">
      <w:pPr>
        <w:rPr>
          <w:rFonts w:ascii="Times New Roman" w:hAnsi="Times New Roman" w:eastAsia="Times New Roman" w:cs="Times New Roman"/>
          <w:sz w:val="24"/>
          <w:szCs w:val="24"/>
        </w:rPr>
      </w:pPr>
      <w:r w:rsidRPr="00C37765">
        <w:rPr>
          <w:rFonts w:ascii="Times New Roman" w:hAnsi="Times New Roman" w:eastAsia="Times New Roman" w:cs="Times New Roman"/>
          <w:sz w:val="24"/>
          <w:szCs w:val="24"/>
        </w:rPr>
        <w:t>BTS was granted the authority to collect data from “each port, marine terminal operator, and chassis owner or provider with a fleet of over 50 chassis that supply chassis for a fee” (OSRA 22) as deemed necessary to produce these statistics.</w:t>
      </w:r>
      <w:r>
        <w:rPr>
          <w:rFonts w:ascii="Times New Roman" w:hAnsi="Times New Roman" w:eastAsia="Times New Roman" w:cs="Times New Roman"/>
          <w:sz w:val="24"/>
          <w:szCs w:val="24"/>
        </w:rPr>
        <w:t xml:space="preserve">  The data will be collected electronically through a secure portal.  The pilot will assess the ways in which the data can be efficiently transferred in an automated way for the national program.  </w:t>
      </w:r>
    </w:p>
    <w:p w:rsidRPr="00CE649C" w:rsidR="00F14D4A" w:rsidP="00F14D4A" w:rsidRDefault="00F14D4A" w14:paraId="4EE510E9" w14:textId="77777777">
      <w:pPr>
        <w:pStyle w:val="NormalWeb"/>
        <w:rPr>
          <w:rFonts w:ascii="Times New Roman" w:hAnsi="Times New Roman" w:cs="Times New Roman"/>
        </w:rPr>
      </w:pPr>
      <w:r w:rsidRPr="00CE649C">
        <w:rPr>
          <w:rFonts w:ascii="Times New Roman" w:hAnsi="Times New Roman" w:cs="Times New Roman"/>
        </w:rPr>
        <w:t xml:space="preserve">4. </w:t>
      </w:r>
      <w:r w:rsidRPr="00CE649C">
        <w:rPr>
          <w:rFonts w:ascii="Times New Roman" w:hAnsi="Times New Roman" w:cs="Times New Roman"/>
          <w:u w:val="single"/>
        </w:rPr>
        <w:t>Efforts to identify duplication</w:t>
      </w:r>
      <w:r w:rsidRPr="00CE649C">
        <w:rPr>
          <w:rFonts w:ascii="Times New Roman" w:hAnsi="Times New Roman" w:cs="Times New Roman"/>
        </w:rPr>
        <w:t>:</w:t>
      </w:r>
    </w:p>
    <w:p w:rsidR="00F14D4A" w:rsidP="00F14D4A" w:rsidRDefault="00837D47" w14:paraId="334661E3" w14:textId="635BA9CC">
      <w:pPr>
        <w:rPr>
          <w:rFonts w:ascii="Times New Roman" w:hAnsi="Times New Roman" w:eastAsia="Times New Roman" w:cs="Times New Roman"/>
          <w:sz w:val="24"/>
          <w:szCs w:val="24"/>
        </w:rPr>
      </w:pPr>
      <w:r>
        <w:rPr>
          <w:rFonts w:ascii="Times New Roman" w:hAnsi="Times New Roman" w:eastAsia="Times New Roman" w:cs="Times New Roman"/>
          <w:sz w:val="24"/>
          <w:szCs w:val="24"/>
        </w:rPr>
        <w:t>Based upon our interagency outreach, t</w:t>
      </w:r>
      <w:r w:rsidRPr="00F14D4A" w:rsidR="00F14D4A">
        <w:rPr>
          <w:rFonts w:ascii="Times New Roman" w:hAnsi="Times New Roman" w:eastAsia="Times New Roman" w:cs="Times New Roman"/>
          <w:sz w:val="24"/>
          <w:szCs w:val="24"/>
        </w:rPr>
        <w:t>hese data are not currently collected by the DOT</w:t>
      </w:r>
      <w:r>
        <w:rPr>
          <w:rFonts w:ascii="Times New Roman" w:hAnsi="Times New Roman" w:eastAsia="Times New Roman" w:cs="Times New Roman"/>
          <w:sz w:val="24"/>
          <w:szCs w:val="24"/>
        </w:rPr>
        <w:t xml:space="preserve"> or any other federal agency</w:t>
      </w:r>
      <w:r w:rsidRPr="00F14D4A" w:rsidR="00F14D4A">
        <w:rPr>
          <w:rFonts w:ascii="Times New Roman" w:hAnsi="Times New Roman" w:eastAsia="Times New Roman" w:cs="Times New Roman"/>
          <w:sz w:val="24"/>
          <w:szCs w:val="24"/>
        </w:rPr>
        <w:t xml:space="preserve">. </w:t>
      </w:r>
      <w:r w:rsidR="00A5265D">
        <w:rPr>
          <w:rFonts w:ascii="Times New Roman" w:hAnsi="Times New Roman" w:eastAsia="Times New Roman" w:cs="Times New Roman"/>
          <w:sz w:val="24"/>
          <w:szCs w:val="24"/>
        </w:rPr>
        <w:t>The n</w:t>
      </w:r>
      <w:r w:rsidRPr="00F14D4A" w:rsidR="00F14D4A">
        <w:rPr>
          <w:rFonts w:ascii="Times New Roman" w:hAnsi="Times New Roman" w:eastAsia="Times New Roman" w:cs="Times New Roman"/>
          <w:sz w:val="24"/>
          <w:szCs w:val="24"/>
        </w:rPr>
        <w:t xml:space="preserve">eed for these data were identified by </w:t>
      </w:r>
      <w:r w:rsidR="00A5265D">
        <w:rPr>
          <w:rFonts w:ascii="Times New Roman" w:hAnsi="Times New Roman" w:eastAsia="Times New Roman" w:cs="Times New Roman"/>
          <w:sz w:val="24"/>
          <w:szCs w:val="24"/>
        </w:rPr>
        <w:t xml:space="preserve">Congress and mandated through OSRA 22.  There is no known marine container and chassis datasets that can provide the statistics have been requested to fulfill the mandate.  </w:t>
      </w:r>
    </w:p>
    <w:p w:rsidRPr="00CE649C" w:rsidR="001F77A5" w:rsidP="001F77A5" w:rsidRDefault="001F77A5" w14:paraId="5AB84CB0" w14:textId="77777777">
      <w:pPr>
        <w:pStyle w:val="NormalWeb"/>
        <w:rPr>
          <w:rFonts w:ascii="Times New Roman" w:hAnsi="Times New Roman" w:cs="Times New Roman"/>
        </w:rPr>
      </w:pPr>
      <w:r w:rsidRPr="00CE649C">
        <w:rPr>
          <w:rFonts w:ascii="Times New Roman" w:hAnsi="Times New Roman" w:cs="Times New Roman"/>
        </w:rPr>
        <w:lastRenderedPageBreak/>
        <w:t xml:space="preserve">5. </w:t>
      </w:r>
      <w:r w:rsidRPr="00CE649C">
        <w:rPr>
          <w:rFonts w:ascii="Times New Roman" w:hAnsi="Times New Roman" w:cs="Times New Roman"/>
          <w:u w:val="single"/>
        </w:rPr>
        <w:t>Efforts to minimize the burden on small businesses</w:t>
      </w:r>
      <w:r w:rsidRPr="00CE649C">
        <w:rPr>
          <w:rFonts w:ascii="Times New Roman" w:hAnsi="Times New Roman" w:cs="Times New Roman"/>
        </w:rPr>
        <w:t>:</w:t>
      </w:r>
    </w:p>
    <w:p w:rsidR="00185BBE" w:rsidP="001F77A5" w:rsidRDefault="001F77A5" w14:paraId="4945558A" w14:textId="56F79C5E">
      <w:pPr>
        <w:rPr>
          <w:rFonts w:ascii="Times New Roman" w:hAnsi="Times New Roman" w:eastAsia="Times New Roman" w:cs="Times New Roman"/>
          <w:sz w:val="24"/>
          <w:szCs w:val="24"/>
        </w:rPr>
      </w:pPr>
      <w:r w:rsidRPr="001F77A5">
        <w:rPr>
          <w:rFonts w:ascii="Times New Roman" w:hAnsi="Times New Roman" w:eastAsia="Times New Roman" w:cs="Times New Roman"/>
          <w:sz w:val="24"/>
          <w:szCs w:val="24"/>
        </w:rPr>
        <w:t>No small businesses will be included in the pilot test.</w:t>
      </w:r>
      <w:r>
        <w:rPr>
          <w:rFonts w:ascii="Times New Roman" w:hAnsi="Times New Roman" w:eastAsia="Times New Roman" w:cs="Times New Roman"/>
          <w:sz w:val="24"/>
          <w:szCs w:val="24"/>
        </w:rPr>
        <w:t xml:space="preserve">  As requested within OSRA 22, BTS will only collect data from </w:t>
      </w:r>
      <w:r w:rsidRPr="00C37765">
        <w:rPr>
          <w:rFonts w:ascii="Times New Roman" w:hAnsi="Times New Roman" w:eastAsia="Times New Roman" w:cs="Times New Roman"/>
          <w:sz w:val="24"/>
          <w:szCs w:val="24"/>
        </w:rPr>
        <w:t>“each port, marine terminal operator, and chassis owner or provider with a fleet of over 50 chassis that supply chassis for a fee</w:t>
      </w:r>
      <w:r>
        <w:rPr>
          <w:rFonts w:ascii="Times New Roman" w:hAnsi="Times New Roman" w:eastAsia="Times New Roman" w:cs="Times New Roman"/>
          <w:sz w:val="24"/>
          <w:szCs w:val="24"/>
        </w:rPr>
        <w:t>.”</w:t>
      </w:r>
    </w:p>
    <w:p w:rsidRPr="00CE649C" w:rsidR="001F77A5" w:rsidP="001F77A5" w:rsidRDefault="001F77A5" w14:paraId="15083584" w14:textId="77777777">
      <w:pPr>
        <w:pStyle w:val="NormalWeb"/>
        <w:rPr>
          <w:rFonts w:ascii="Times New Roman" w:hAnsi="Times New Roman" w:cs="Times New Roman"/>
        </w:rPr>
      </w:pPr>
      <w:r w:rsidRPr="00CE649C">
        <w:rPr>
          <w:rFonts w:ascii="Times New Roman" w:hAnsi="Times New Roman" w:cs="Times New Roman"/>
        </w:rPr>
        <w:t xml:space="preserve">6. </w:t>
      </w:r>
      <w:r w:rsidRPr="00CE649C">
        <w:rPr>
          <w:rFonts w:ascii="Times New Roman" w:hAnsi="Times New Roman" w:cs="Times New Roman"/>
          <w:u w:val="single"/>
        </w:rPr>
        <w:t>Impact of less frequent collection of information</w:t>
      </w:r>
      <w:r w:rsidRPr="00CE649C">
        <w:rPr>
          <w:rFonts w:ascii="Times New Roman" w:hAnsi="Times New Roman" w:cs="Times New Roman"/>
        </w:rPr>
        <w:t>:</w:t>
      </w:r>
    </w:p>
    <w:p w:rsidRPr="001F77A5" w:rsidR="001F77A5" w:rsidP="001F77A5" w:rsidRDefault="001F77A5" w14:paraId="6D37CFC1" w14:textId="386D30BD">
      <w:pPr>
        <w:rPr>
          <w:rFonts w:ascii="Times New Roman" w:hAnsi="Times New Roman" w:eastAsia="Times New Roman" w:cs="Times New Roman"/>
          <w:sz w:val="24"/>
          <w:szCs w:val="24"/>
        </w:rPr>
      </w:pPr>
      <w:r w:rsidRPr="001F77A5">
        <w:rPr>
          <w:rFonts w:ascii="Times New Roman" w:hAnsi="Times New Roman" w:eastAsia="Times New Roman" w:cs="Times New Roman"/>
          <w:sz w:val="24"/>
          <w:szCs w:val="24"/>
        </w:rPr>
        <w:t xml:space="preserve">The pilot data collection will be a one-time burden to determine how the data collection can be automated for the OSRA National data collection. If the </w:t>
      </w:r>
      <w:r>
        <w:rPr>
          <w:rFonts w:ascii="Times New Roman" w:hAnsi="Times New Roman" w:eastAsia="Times New Roman" w:cs="Times New Roman"/>
          <w:sz w:val="24"/>
          <w:szCs w:val="24"/>
        </w:rPr>
        <w:t xml:space="preserve">pilot </w:t>
      </w:r>
      <w:r w:rsidRPr="001F77A5">
        <w:rPr>
          <w:rFonts w:ascii="Times New Roman" w:hAnsi="Times New Roman" w:eastAsia="Times New Roman" w:cs="Times New Roman"/>
          <w:sz w:val="24"/>
          <w:szCs w:val="24"/>
        </w:rPr>
        <w:t>data are not collected, the proof-of-concept cannot be created</w:t>
      </w:r>
      <w:r>
        <w:rPr>
          <w:rFonts w:ascii="Times New Roman" w:hAnsi="Times New Roman" w:eastAsia="Times New Roman" w:cs="Times New Roman"/>
          <w:sz w:val="24"/>
          <w:szCs w:val="24"/>
        </w:rPr>
        <w:t xml:space="preserve"> for the mandated OSRA National program. </w:t>
      </w:r>
    </w:p>
    <w:p w:rsidRPr="001F77A5" w:rsidR="001F77A5" w:rsidP="001F77A5" w:rsidRDefault="001F77A5" w14:paraId="6EE0E63F" w14:textId="7436976A">
      <w:pPr>
        <w:rPr>
          <w:rFonts w:ascii="Times New Roman" w:hAnsi="Times New Roman" w:eastAsia="Times New Roman" w:cs="Times New Roman"/>
          <w:sz w:val="24"/>
          <w:szCs w:val="24"/>
        </w:rPr>
      </w:pPr>
      <w:r w:rsidRPr="001F77A5">
        <w:rPr>
          <w:rFonts w:ascii="Times New Roman" w:hAnsi="Times New Roman" w:eastAsia="Times New Roman" w:cs="Times New Roman"/>
          <w:sz w:val="24"/>
          <w:szCs w:val="24"/>
        </w:rPr>
        <w:t xml:space="preserve">Due to automation, reducing the frequency of the collection will not decrease the burden. </w:t>
      </w:r>
      <w:r>
        <w:rPr>
          <w:rFonts w:ascii="Times New Roman" w:hAnsi="Times New Roman" w:eastAsia="Times New Roman" w:cs="Times New Roman"/>
          <w:sz w:val="24"/>
          <w:szCs w:val="24"/>
        </w:rPr>
        <w:t xml:space="preserve">OSRA 22 requires that BTS collect the data at least monthly.  BTS will not collect the data at any greater frequency than once monthly, which will be frequent enough to provide the requested data. </w:t>
      </w:r>
      <w:r w:rsidRPr="001F77A5">
        <w:rPr>
          <w:rFonts w:ascii="Times New Roman" w:hAnsi="Times New Roman" w:eastAsia="Times New Roman" w:cs="Times New Roman"/>
          <w:sz w:val="24"/>
          <w:szCs w:val="24"/>
        </w:rPr>
        <w:t xml:space="preserve"> </w:t>
      </w:r>
    </w:p>
    <w:p w:rsidRPr="001F77A5" w:rsidR="001F77A5" w:rsidP="001F77A5" w:rsidRDefault="001F77A5" w14:paraId="59E9AC9B" w14:textId="77777777">
      <w:pPr>
        <w:spacing w:after="0"/>
        <w:rPr>
          <w:rFonts w:ascii="Times New Roman" w:hAnsi="Times New Roman" w:eastAsia="Times New Roman" w:cs="Times New Roman"/>
          <w:sz w:val="24"/>
          <w:szCs w:val="24"/>
          <w:u w:val="single"/>
        </w:rPr>
      </w:pPr>
      <w:r w:rsidRPr="001F77A5">
        <w:rPr>
          <w:rFonts w:ascii="Times New Roman" w:hAnsi="Times New Roman" w:eastAsia="Times New Roman" w:cs="Times New Roman"/>
          <w:sz w:val="24"/>
          <w:szCs w:val="24"/>
          <w:u w:val="single"/>
        </w:rPr>
        <w:t>7. Explain any special circumstances that would cause an information collection to be conducted in a manner:</w:t>
      </w:r>
    </w:p>
    <w:p w:rsidRPr="001F77A5" w:rsidR="001F77A5" w:rsidP="001F77A5" w:rsidRDefault="001F77A5" w14:paraId="748F9072" w14:textId="77777777">
      <w:pPr>
        <w:spacing w:after="0"/>
        <w:rPr>
          <w:rFonts w:ascii="Times New Roman" w:hAnsi="Times New Roman" w:eastAsia="Times New Roman" w:cs="Times New Roman"/>
          <w:sz w:val="24"/>
          <w:szCs w:val="24"/>
          <w:u w:val="single"/>
        </w:rPr>
      </w:pPr>
    </w:p>
    <w:p w:rsidRPr="001F77A5" w:rsidR="001F77A5" w:rsidP="001F77A5" w:rsidRDefault="001F77A5" w14:paraId="42A552F6" w14:textId="77777777">
      <w:pPr>
        <w:numPr>
          <w:ilvl w:val="0"/>
          <w:numId w:val="4"/>
        </w:numPr>
        <w:spacing w:after="0" w:line="240" w:lineRule="auto"/>
        <w:rPr>
          <w:rFonts w:ascii="Times New Roman" w:hAnsi="Times New Roman" w:eastAsia="Times New Roman" w:cs="Times New Roman"/>
          <w:sz w:val="24"/>
          <w:szCs w:val="24"/>
          <w:u w:val="single"/>
        </w:rPr>
      </w:pPr>
      <w:r w:rsidRPr="001F77A5">
        <w:rPr>
          <w:rFonts w:ascii="Times New Roman" w:hAnsi="Times New Roman" w:eastAsia="Times New Roman" w:cs="Times New Roman"/>
          <w:sz w:val="24"/>
          <w:szCs w:val="24"/>
          <w:u w:val="single"/>
        </w:rPr>
        <w:t>requiring respondents to report information to the agency more often than quarterly;</w:t>
      </w:r>
    </w:p>
    <w:p w:rsidRPr="001F77A5" w:rsidR="001F77A5" w:rsidP="001F77A5" w:rsidRDefault="001F77A5" w14:paraId="5B6C706C" w14:textId="77777777">
      <w:pPr>
        <w:spacing w:after="0"/>
        <w:rPr>
          <w:rFonts w:ascii="Times New Roman" w:hAnsi="Times New Roman" w:eastAsia="Times New Roman" w:cs="Times New Roman"/>
          <w:sz w:val="24"/>
          <w:szCs w:val="24"/>
          <w:u w:val="single"/>
        </w:rPr>
      </w:pPr>
    </w:p>
    <w:p w:rsidRPr="001F77A5" w:rsidR="001F77A5" w:rsidP="001F77A5" w:rsidRDefault="001F77A5" w14:paraId="6A21BCE4" w14:textId="77777777">
      <w:pPr>
        <w:numPr>
          <w:ilvl w:val="0"/>
          <w:numId w:val="5"/>
        </w:numPr>
        <w:spacing w:after="0" w:line="240" w:lineRule="auto"/>
        <w:rPr>
          <w:rFonts w:ascii="Times New Roman" w:hAnsi="Times New Roman" w:eastAsia="Times New Roman" w:cs="Times New Roman"/>
          <w:sz w:val="24"/>
          <w:szCs w:val="24"/>
          <w:u w:val="single"/>
        </w:rPr>
      </w:pPr>
      <w:r w:rsidRPr="001F77A5">
        <w:rPr>
          <w:rFonts w:ascii="Times New Roman" w:hAnsi="Times New Roman" w:eastAsia="Times New Roman" w:cs="Times New Roman"/>
          <w:sz w:val="24"/>
          <w:szCs w:val="24"/>
          <w:u w:val="single"/>
        </w:rPr>
        <w:t>requiring respondents to prepare a written response to a collection of information in fewer than 30 days after receipt of it;</w:t>
      </w:r>
    </w:p>
    <w:p w:rsidRPr="001F77A5" w:rsidR="001F77A5" w:rsidP="001F77A5" w:rsidRDefault="001F77A5" w14:paraId="2B5878FB" w14:textId="77777777">
      <w:pPr>
        <w:spacing w:after="0"/>
        <w:rPr>
          <w:rFonts w:ascii="Times New Roman" w:hAnsi="Times New Roman" w:eastAsia="Times New Roman" w:cs="Times New Roman"/>
          <w:sz w:val="24"/>
          <w:szCs w:val="24"/>
          <w:u w:val="single"/>
        </w:rPr>
      </w:pPr>
    </w:p>
    <w:p w:rsidRPr="001F77A5" w:rsidR="001F77A5" w:rsidP="001F77A5" w:rsidRDefault="001F77A5" w14:paraId="7C25FC36" w14:textId="77777777">
      <w:pPr>
        <w:numPr>
          <w:ilvl w:val="0"/>
          <w:numId w:val="6"/>
        </w:numPr>
        <w:spacing w:after="0" w:line="240" w:lineRule="auto"/>
        <w:rPr>
          <w:rFonts w:ascii="Times New Roman" w:hAnsi="Times New Roman" w:eastAsia="Times New Roman" w:cs="Times New Roman"/>
          <w:sz w:val="24"/>
          <w:szCs w:val="24"/>
          <w:u w:val="single"/>
        </w:rPr>
      </w:pPr>
      <w:r w:rsidRPr="001F77A5">
        <w:rPr>
          <w:rFonts w:ascii="Times New Roman" w:hAnsi="Times New Roman" w:eastAsia="Times New Roman" w:cs="Times New Roman"/>
          <w:sz w:val="24"/>
          <w:szCs w:val="24"/>
          <w:u w:val="single"/>
        </w:rPr>
        <w:t>requiring respondents to submit more than an original and two copies of any document;</w:t>
      </w:r>
    </w:p>
    <w:p w:rsidRPr="001F77A5" w:rsidR="001F77A5" w:rsidP="001F77A5" w:rsidRDefault="001F77A5" w14:paraId="5849AB50" w14:textId="77777777">
      <w:pPr>
        <w:spacing w:after="0"/>
        <w:rPr>
          <w:rFonts w:ascii="Times New Roman" w:hAnsi="Times New Roman" w:eastAsia="Times New Roman" w:cs="Times New Roman"/>
          <w:sz w:val="24"/>
          <w:szCs w:val="24"/>
          <w:u w:val="single"/>
        </w:rPr>
      </w:pPr>
    </w:p>
    <w:p w:rsidRPr="001F77A5" w:rsidR="001F77A5" w:rsidP="001F77A5" w:rsidRDefault="001F77A5" w14:paraId="1D3DF41B" w14:textId="77777777">
      <w:pPr>
        <w:numPr>
          <w:ilvl w:val="0"/>
          <w:numId w:val="7"/>
        </w:numPr>
        <w:spacing w:after="0" w:line="240" w:lineRule="auto"/>
        <w:rPr>
          <w:rFonts w:ascii="Times New Roman" w:hAnsi="Times New Roman" w:eastAsia="Times New Roman" w:cs="Times New Roman"/>
          <w:sz w:val="24"/>
          <w:szCs w:val="24"/>
          <w:u w:val="single"/>
        </w:rPr>
      </w:pPr>
      <w:r w:rsidRPr="001F77A5">
        <w:rPr>
          <w:rFonts w:ascii="Times New Roman" w:hAnsi="Times New Roman" w:eastAsia="Times New Roman" w:cs="Times New Roman"/>
          <w:sz w:val="24"/>
          <w:szCs w:val="24"/>
          <w:u w:val="single"/>
        </w:rPr>
        <w:t>requiring respondents to retain records, other than health, government contracts, grant-in-aid, or tax records for more than 3 years;</w:t>
      </w:r>
    </w:p>
    <w:p w:rsidRPr="001F77A5" w:rsidR="001F77A5" w:rsidP="001F77A5" w:rsidRDefault="001F77A5" w14:paraId="6CCA73B1" w14:textId="77777777">
      <w:pPr>
        <w:spacing w:after="0"/>
        <w:rPr>
          <w:rFonts w:ascii="Times New Roman" w:hAnsi="Times New Roman" w:eastAsia="Times New Roman" w:cs="Times New Roman"/>
          <w:sz w:val="24"/>
          <w:szCs w:val="24"/>
          <w:u w:val="single"/>
        </w:rPr>
      </w:pPr>
    </w:p>
    <w:p w:rsidRPr="001F77A5" w:rsidR="001F77A5" w:rsidP="001F77A5" w:rsidRDefault="001F77A5" w14:paraId="2DC53CDF" w14:textId="77777777">
      <w:pPr>
        <w:numPr>
          <w:ilvl w:val="0"/>
          <w:numId w:val="8"/>
        </w:numPr>
        <w:spacing w:after="0" w:line="240" w:lineRule="auto"/>
        <w:rPr>
          <w:rFonts w:ascii="Times New Roman" w:hAnsi="Times New Roman" w:eastAsia="Times New Roman" w:cs="Times New Roman"/>
          <w:sz w:val="24"/>
          <w:szCs w:val="24"/>
          <w:u w:val="single"/>
        </w:rPr>
      </w:pPr>
      <w:r w:rsidRPr="001F77A5">
        <w:rPr>
          <w:rFonts w:ascii="Times New Roman" w:hAnsi="Times New Roman" w:eastAsia="Times New Roman" w:cs="Times New Roman"/>
          <w:sz w:val="24"/>
          <w:szCs w:val="24"/>
          <w:u w:val="single"/>
        </w:rPr>
        <w:t>in connection with a statistical survey, that is not designed to produce valid and reliable results that can be generalized to the universe of study;</w:t>
      </w:r>
    </w:p>
    <w:p w:rsidRPr="001F77A5" w:rsidR="001F77A5" w:rsidP="001F77A5" w:rsidRDefault="001F77A5" w14:paraId="02BCFC53" w14:textId="77777777">
      <w:pPr>
        <w:spacing w:after="0"/>
        <w:rPr>
          <w:rFonts w:ascii="Times New Roman" w:hAnsi="Times New Roman" w:eastAsia="Times New Roman" w:cs="Times New Roman"/>
          <w:sz w:val="24"/>
          <w:szCs w:val="24"/>
          <w:u w:val="single"/>
        </w:rPr>
      </w:pPr>
    </w:p>
    <w:p w:rsidRPr="001F77A5" w:rsidR="001F77A5" w:rsidP="001F77A5" w:rsidRDefault="001F77A5" w14:paraId="2728B04E" w14:textId="77777777">
      <w:pPr>
        <w:numPr>
          <w:ilvl w:val="0"/>
          <w:numId w:val="9"/>
        </w:numPr>
        <w:spacing w:after="0" w:line="240" w:lineRule="auto"/>
        <w:rPr>
          <w:rFonts w:ascii="Times New Roman" w:hAnsi="Times New Roman" w:eastAsia="Times New Roman" w:cs="Times New Roman"/>
          <w:sz w:val="24"/>
          <w:szCs w:val="24"/>
          <w:u w:val="single"/>
        </w:rPr>
      </w:pPr>
      <w:r w:rsidRPr="001F77A5">
        <w:rPr>
          <w:rFonts w:ascii="Times New Roman" w:hAnsi="Times New Roman" w:eastAsia="Times New Roman" w:cs="Times New Roman"/>
          <w:sz w:val="24"/>
          <w:szCs w:val="24"/>
          <w:u w:val="single"/>
        </w:rPr>
        <w:t>requiring the use of statistical data classification that has not been reviewed and approved by OMB;</w:t>
      </w:r>
    </w:p>
    <w:p w:rsidRPr="001F77A5" w:rsidR="001F77A5" w:rsidP="001F77A5" w:rsidRDefault="001F77A5" w14:paraId="5F0063FF" w14:textId="77777777">
      <w:pPr>
        <w:spacing w:after="0"/>
        <w:rPr>
          <w:rFonts w:ascii="Times New Roman" w:hAnsi="Times New Roman" w:eastAsia="Times New Roman" w:cs="Times New Roman"/>
          <w:sz w:val="24"/>
          <w:szCs w:val="24"/>
          <w:u w:val="single"/>
        </w:rPr>
      </w:pPr>
    </w:p>
    <w:p w:rsidRPr="001F77A5" w:rsidR="001F77A5" w:rsidP="001F77A5" w:rsidRDefault="001F77A5" w14:paraId="2D091F4E" w14:textId="77777777">
      <w:pPr>
        <w:numPr>
          <w:ilvl w:val="0"/>
          <w:numId w:val="10"/>
        </w:numPr>
        <w:spacing w:after="0" w:line="240" w:lineRule="auto"/>
        <w:rPr>
          <w:rFonts w:ascii="Times New Roman" w:hAnsi="Times New Roman" w:eastAsia="Times New Roman" w:cs="Times New Roman"/>
          <w:sz w:val="24"/>
          <w:szCs w:val="24"/>
          <w:u w:val="single"/>
        </w:rPr>
      </w:pPr>
      <w:r w:rsidRPr="001F77A5">
        <w:rPr>
          <w:rFonts w:ascii="Times New Roman" w:hAnsi="Times New Roman" w:eastAsia="Times New Roman" w:cs="Times New Roman"/>
          <w:sz w:val="24"/>
          <w:szCs w:val="24"/>
          <w:u w:val="single"/>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F77A5" w:rsidR="001F77A5" w:rsidP="001F77A5" w:rsidRDefault="001F77A5" w14:paraId="5202BBDE" w14:textId="77777777">
      <w:pPr>
        <w:spacing w:after="0"/>
        <w:rPr>
          <w:rFonts w:ascii="Times New Roman" w:hAnsi="Times New Roman" w:eastAsia="Times New Roman" w:cs="Times New Roman"/>
          <w:sz w:val="24"/>
          <w:szCs w:val="24"/>
          <w:u w:val="single"/>
        </w:rPr>
      </w:pPr>
    </w:p>
    <w:p w:rsidRPr="001F77A5" w:rsidR="001F77A5" w:rsidP="001F77A5" w:rsidRDefault="001F77A5" w14:paraId="4DEE06E5" w14:textId="77777777">
      <w:pPr>
        <w:numPr>
          <w:ilvl w:val="0"/>
          <w:numId w:val="11"/>
        </w:numPr>
        <w:spacing w:after="0" w:line="240" w:lineRule="auto"/>
        <w:rPr>
          <w:rFonts w:ascii="Times New Roman" w:hAnsi="Times New Roman" w:eastAsia="Times New Roman" w:cs="Times New Roman"/>
          <w:sz w:val="24"/>
          <w:szCs w:val="24"/>
          <w:u w:val="single"/>
        </w:rPr>
      </w:pPr>
      <w:r w:rsidRPr="001F77A5">
        <w:rPr>
          <w:rFonts w:ascii="Times New Roman" w:hAnsi="Times New Roman" w:eastAsia="Times New Roman" w:cs="Times New Roman"/>
          <w:sz w:val="24"/>
          <w:szCs w:val="24"/>
          <w:u w:val="single"/>
        </w:rPr>
        <w:t>requiring respondents to submit proprietary trade secrets, or other confidential information unless the agency can demonstrate that it has instituted procedures to protect the information’s confidentiality to the extent permitted by law.</w:t>
      </w:r>
    </w:p>
    <w:p w:rsidRPr="001F77A5" w:rsidR="001F77A5" w:rsidP="001F77A5" w:rsidRDefault="001F77A5" w14:paraId="3F8B5177" w14:textId="77777777">
      <w:pPr>
        <w:rPr>
          <w:rFonts w:ascii="Times New Roman" w:hAnsi="Times New Roman" w:eastAsia="Times New Roman" w:cs="Times New Roman"/>
          <w:sz w:val="24"/>
          <w:szCs w:val="24"/>
        </w:rPr>
      </w:pPr>
    </w:p>
    <w:p w:rsidRPr="00CE649C" w:rsidR="001F77A5" w:rsidP="001F77A5" w:rsidRDefault="001F77A5" w14:paraId="5EC106A3" w14:textId="77777777">
      <w:pPr>
        <w:spacing w:after="0"/>
      </w:pPr>
      <w:r w:rsidRPr="001F77A5">
        <w:rPr>
          <w:rFonts w:ascii="Times New Roman" w:hAnsi="Times New Roman" w:eastAsia="Times New Roman" w:cs="Times New Roman"/>
          <w:sz w:val="24"/>
          <w:szCs w:val="24"/>
        </w:rPr>
        <w:t>There are no special circumstances that pertain to this information collection.</w:t>
      </w:r>
    </w:p>
    <w:p w:rsidRPr="00CE649C" w:rsidR="004A4C96" w:rsidP="004A4C96" w:rsidRDefault="004A4C96" w14:paraId="63471EA2" w14:textId="77777777">
      <w:pPr>
        <w:pStyle w:val="NormalWeb"/>
        <w:rPr>
          <w:rFonts w:ascii="Times New Roman" w:hAnsi="Times New Roman" w:cs="Times New Roman"/>
        </w:rPr>
      </w:pPr>
      <w:r w:rsidRPr="00CE649C">
        <w:rPr>
          <w:rFonts w:ascii="Times New Roman" w:hAnsi="Times New Roman" w:cs="Times New Roman"/>
        </w:rPr>
        <w:lastRenderedPageBreak/>
        <w:t xml:space="preserve">8. </w:t>
      </w:r>
      <w:r w:rsidRPr="00CE649C">
        <w:rPr>
          <w:rFonts w:ascii="Times New Roman" w:hAnsi="Times New Roman" w:cs="Times New Roman"/>
          <w:u w:val="single"/>
        </w:rPr>
        <w:t>Compliance with 5 CFR 1320.8</w:t>
      </w:r>
      <w:r w:rsidRPr="00CE649C">
        <w:rPr>
          <w:rFonts w:ascii="Times New Roman" w:hAnsi="Times New Roman" w:cs="Times New Roman"/>
        </w:rPr>
        <w:t>:</w:t>
      </w:r>
    </w:p>
    <w:p w:rsidRPr="00CE649C" w:rsidR="004A4C96" w:rsidP="002446F5" w:rsidRDefault="004A4C96" w14:paraId="3A6F07BE" w14:textId="77777777">
      <w:pPr>
        <w:spacing w:after="0"/>
        <w:rPr>
          <w:rFonts w:ascii="Times New Roman" w:hAnsi="Times New Roman" w:cs="Times New Roman"/>
          <w:sz w:val="24"/>
          <w:szCs w:val="24"/>
        </w:rPr>
      </w:pPr>
      <w:r w:rsidRPr="002446F5">
        <w:rPr>
          <w:rFonts w:ascii="Times New Roman" w:hAnsi="Times New Roman" w:eastAsia="Times New Roman" w:cs="Times New Roman"/>
          <w:sz w:val="24"/>
          <w:szCs w:val="24"/>
        </w:rPr>
        <w:t xml:space="preserve">Collection of these data is conducted in a manner consistent with the guidelines in 5 CFR 1320.5. </w:t>
      </w:r>
    </w:p>
    <w:p w:rsidRPr="00CE649C" w:rsidR="004A4C96" w:rsidP="004A4C96" w:rsidRDefault="004A4C96" w14:paraId="5088C429" w14:textId="77777777">
      <w:pPr>
        <w:pStyle w:val="NormalWeb"/>
        <w:rPr>
          <w:rFonts w:ascii="Times New Roman" w:hAnsi="Times New Roman" w:cs="Times New Roman"/>
        </w:rPr>
      </w:pPr>
      <w:r w:rsidRPr="00CE649C">
        <w:rPr>
          <w:rFonts w:ascii="Times New Roman" w:hAnsi="Times New Roman" w:cs="Times New Roman"/>
        </w:rPr>
        <w:t xml:space="preserve">9. </w:t>
      </w:r>
      <w:r w:rsidRPr="00CE649C">
        <w:rPr>
          <w:rFonts w:ascii="Times New Roman" w:hAnsi="Times New Roman" w:cs="Times New Roman"/>
          <w:u w:val="single"/>
        </w:rPr>
        <w:t>Payments or gifts to respondents</w:t>
      </w:r>
      <w:r w:rsidRPr="00CE649C">
        <w:rPr>
          <w:rFonts w:ascii="Times New Roman" w:hAnsi="Times New Roman" w:cs="Times New Roman"/>
        </w:rPr>
        <w:t>:</w:t>
      </w:r>
    </w:p>
    <w:p w:rsidRPr="00CE649C" w:rsidR="004A4C96" w:rsidP="004A4C96" w:rsidRDefault="004A4C96" w14:paraId="29DA4551" w14:textId="77777777">
      <w:pPr>
        <w:pStyle w:val="BodyText"/>
        <w:rPr>
          <w:rFonts w:ascii="Times New Roman" w:hAnsi="Times New Roman" w:cs="Times New Roman"/>
          <w:color w:val="auto"/>
          <w:sz w:val="24"/>
          <w:szCs w:val="24"/>
        </w:rPr>
      </w:pPr>
      <w:r w:rsidRPr="00CE649C">
        <w:rPr>
          <w:rFonts w:ascii="Times New Roman" w:hAnsi="Times New Roman" w:cs="Times New Roman"/>
          <w:color w:val="auto"/>
          <w:sz w:val="24"/>
          <w:szCs w:val="24"/>
        </w:rPr>
        <w:t>No payments or gifts to respondents.</w:t>
      </w:r>
    </w:p>
    <w:p w:rsidRPr="00CE649C" w:rsidR="004A4C96" w:rsidP="004A4C96" w:rsidRDefault="004A4C96" w14:paraId="2BA698E7" w14:textId="77777777">
      <w:pPr>
        <w:pStyle w:val="NormalWeb"/>
        <w:rPr>
          <w:rFonts w:ascii="Times New Roman" w:hAnsi="Times New Roman" w:cs="Times New Roman"/>
        </w:rPr>
      </w:pPr>
      <w:r w:rsidRPr="00CE649C">
        <w:rPr>
          <w:rFonts w:ascii="Times New Roman" w:hAnsi="Times New Roman" w:cs="Times New Roman"/>
        </w:rPr>
        <w:t xml:space="preserve">10. </w:t>
      </w:r>
      <w:r w:rsidRPr="00CE649C">
        <w:rPr>
          <w:rFonts w:ascii="Times New Roman" w:hAnsi="Times New Roman" w:cs="Times New Roman"/>
          <w:u w:val="single"/>
        </w:rPr>
        <w:t>Assurance of confidentiality</w:t>
      </w:r>
      <w:r w:rsidRPr="00CE649C">
        <w:rPr>
          <w:rFonts w:ascii="Times New Roman" w:hAnsi="Times New Roman" w:cs="Times New Roman"/>
        </w:rPr>
        <w:t>:</w:t>
      </w:r>
    </w:p>
    <w:p w:rsidRPr="00CE649C" w:rsidR="004A4C96" w:rsidP="004A4C96" w:rsidRDefault="004A4C96" w14:paraId="3144A26C" w14:textId="74C4B736">
      <w:pPr>
        <w:pStyle w:val="BodyText"/>
        <w:rPr>
          <w:rFonts w:ascii="Times New Roman" w:hAnsi="Times New Roman" w:cs="Times New Roman"/>
          <w:color w:val="auto"/>
          <w:sz w:val="24"/>
          <w:szCs w:val="24"/>
        </w:rPr>
      </w:pPr>
      <w:r w:rsidRPr="00CE649C">
        <w:rPr>
          <w:rFonts w:ascii="Times New Roman" w:hAnsi="Times New Roman" w:cs="Times New Roman"/>
          <w:color w:val="auto"/>
          <w:sz w:val="24"/>
          <w:szCs w:val="24"/>
        </w:rPr>
        <w:t>BTS will protect the confidentiality of the data under its own confidentiality statute (49 U.S.C. 6307(b))</w:t>
      </w:r>
      <w:r>
        <w:rPr>
          <w:rFonts w:ascii="Times New Roman" w:hAnsi="Times New Roman" w:cs="Times New Roman"/>
          <w:color w:val="auto"/>
          <w:sz w:val="24"/>
          <w:szCs w:val="24"/>
        </w:rPr>
        <w:t xml:space="preserve">, </w:t>
      </w:r>
      <w:r w:rsidRPr="00CE649C">
        <w:rPr>
          <w:rFonts w:ascii="Times New Roman" w:hAnsi="Times New Roman" w:cs="Times New Roman"/>
          <w:color w:val="auto"/>
          <w:sz w:val="24"/>
          <w:szCs w:val="24"/>
        </w:rPr>
        <w:t xml:space="preserve">the </w:t>
      </w:r>
      <w:r w:rsidRPr="002446F5">
        <w:rPr>
          <w:rFonts w:ascii="Times New Roman" w:hAnsi="Times New Roman" w:cs="Times New Roman"/>
          <w:i/>
          <w:color w:val="auto"/>
          <w:sz w:val="24"/>
          <w:szCs w:val="24"/>
        </w:rPr>
        <w:t>Confidential Information Protection and Statistical Efficiency Act</w:t>
      </w:r>
      <w:r w:rsidRPr="00CE649C">
        <w:rPr>
          <w:rFonts w:ascii="Times New Roman" w:hAnsi="Times New Roman" w:cs="Times New Roman"/>
          <w:color w:val="auto"/>
          <w:sz w:val="24"/>
          <w:szCs w:val="24"/>
        </w:rPr>
        <w:t xml:space="preserve"> (CIPSEA) (44 U.S.C. </w:t>
      </w:r>
      <w:r w:rsidRPr="00DF7F32">
        <w:rPr>
          <w:rFonts w:ascii="Times New Roman" w:hAnsi="Times New Roman" w:cs="Times New Roman"/>
          <w:color w:val="auto"/>
          <w:sz w:val="24"/>
          <w:szCs w:val="24"/>
        </w:rPr>
        <w:t>§ 3501)</w:t>
      </w:r>
      <w:r>
        <w:rPr>
          <w:rFonts w:ascii="Times New Roman" w:hAnsi="Times New Roman" w:cs="Times New Roman"/>
          <w:color w:val="auto"/>
          <w:sz w:val="24"/>
          <w:szCs w:val="24"/>
        </w:rPr>
        <w:t xml:space="preserve">, and the </w:t>
      </w:r>
      <w:r w:rsidRPr="002446F5">
        <w:rPr>
          <w:rFonts w:ascii="Times New Roman" w:hAnsi="Times New Roman" w:cs="Times New Roman"/>
          <w:i/>
          <w:color w:val="auto"/>
          <w:sz w:val="24"/>
          <w:szCs w:val="24"/>
        </w:rPr>
        <w:t>Foundations for Evidence-Based Policymaking Act</w:t>
      </w:r>
      <w:r>
        <w:rPr>
          <w:rFonts w:ascii="Times New Roman" w:hAnsi="Times New Roman" w:cs="Times New Roman"/>
          <w:color w:val="auto"/>
          <w:sz w:val="24"/>
          <w:szCs w:val="24"/>
        </w:rPr>
        <w:t xml:space="preserve"> of 2018 (Title 3 of Public Law 115-438)</w:t>
      </w:r>
      <w:r w:rsidRPr="00CE649C">
        <w:rPr>
          <w:rFonts w:ascii="Times New Roman" w:hAnsi="Times New Roman" w:cs="Times New Roman"/>
          <w:color w:val="auto"/>
          <w:sz w:val="24"/>
          <w:szCs w:val="24"/>
        </w:rPr>
        <w:t>.</w:t>
      </w:r>
      <w:r>
        <w:rPr>
          <w:rFonts w:ascii="Times New Roman" w:hAnsi="Times New Roman" w:cs="Times New Roman"/>
          <w:color w:val="auto"/>
          <w:sz w:val="24"/>
          <w:szCs w:val="24"/>
        </w:rPr>
        <w:t xml:space="preserve"> Only regional or national statistics will be shared, not the raw data and appropriate disclosure avoidance methods will be applied if there is any disclosure risk.</w:t>
      </w:r>
    </w:p>
    <w:p w:rsidRPr="00CE649C" w:rsidR="00195D19" w:rsidP="00195D19" w:rsidRDefault="00195D19" w14:paraId="4CE4CD40" w14:textId="77777777">
      <w:pPr>
        <w:pStyle w:val="NormalWeb"/>
        <w:rPr>
          <w:rFonts w:ascii="Times New Roman" w:hAnsi="Times New Roman" w:cs="Times New Roman"/>
        </w:rPr>
      </w:pPr>
      <w:r w:rsidRPr="00CE649C">
        <w:rPr>
          <w:rFonts w:ascii="Times New Roman" w:hAnsi="Times New Roman" w:cs="Times New Roman"/>
        </w:rPr>
        <w:t xml:space="preserve">11. </w:t>
      </w:r>
      <w:r w:rsidRPr="00CE649C">
        <w:rPr>
          <w:rFonts w:ascii="Times New Roman" w:hAnsi="Times New Roman" w:cs="Times New Roman"/>
          <w:u w:val="single"/>
        </w:rPr>
        <w:t>Justification for collection of sensitive information</w:t>
      </w:r>
      <w:r w:rsidRPr="00CE649C">
        <w:rPr>
          <w:rFonts w:ascii="Times New Roman" w:hAnsi="Times New Roman" w:cs="Times New Roman"/>
        </w:rPr>
        <w:t>:</w:t>
      </w:r>
    </w:p>
    <w:p w:rsidR="009A7295" w:rsidP="0081247F" w:rsidRDefault="00195D19" w14:paraId="4FAEB4B7" w14:textId="68A08780">
      <w:pPr>
        <w:pStyle w:val="BodyText"/>
      </w:pPr>
      <w:r w:rsidRPr="00CE649C">
        <w:rPr>
          <w:rFonts w:ascii="Times New Roman" w:hAnsi="Times New Roman" w:cs="Times New Roman"/>
          <w:color w:val="auto"/>
          <w:sz w:val="24"/>
          <w:szCs w:val="24"/>
        </w:rPr>
        <w:t>Collected data may be considered business sensitive. These data will be protected under CIPSEA and provided voluntarily.</w:t>
      </w:r>
    </w:p>
    <w:p w:rsidRPr="00CE649C" w:rsidR="00195D19" w:rsidP="00195D19" w:rsidRDefault="00195D19" w14:paraId="33976C5F" w14:textId="764222F4">
      <w:pPr>
        <w:pStyle w:val="NormalWeb"/>
        <w:rPr>
          <w:rFonts w:ascii="Times New Roman" w:hAnsi="Times New Roman" w:cs="Times New Roman"/>
        </w:rPr>
      </w:pPr>
      <w:r w:rsidRPr="00CE649C">
        <w:rPr>
          <w:rFonts w:ascii="Times New Roman" w:hAnsi="Times New Roman" w:cs="Times New Roman"/>
        </w:rPr>
        <w:t xml:space="preserve">12. </w:t>
      </w:r>
      <w:r w:rsidRPr="00CE649C">
        <w:rPr>
          <w:rFonts w:ascii="Times New Roman" w:hAnsi="Times New Roman" w:cs="Times New Roman"/>
          <w:u w:val="single"/>
        </w:rPr>
        <w:t>Estimate of burden hours for information requested</w:t>
      </w:r>
      <w:r w:rsidRPr="00CE649C">
        <w:rPr>
          <w:rFonts w:ascii="Times New Roman" w:hAnsi="Times New Roman" w:cs="Times New Roman"/>
        </w:rPr>
        <w:t>:</w:t>
      </w:r>
    </w:p>
    <w:tbl>
      <w:tblPr>
        <w:tblStyle w:val="TableGrid"/>
        <w:tblW w:w="0" w:type="auto"/>
        <w:tblLook w:val="04A0" w:firstRow="1" w:lastRow="0" w:firstColumn="1" w:lastColumn="0" w:noHBand="0" w:noVBand="1"/>
      </w:tblPr>
      <w:tblGrid>
        <w:gridCol w:w="2157"/>
        <w:gridCol w:w="2157"/>
        <w:gridCol w:w="2158"/>
        <w:gridCol w:w="2158"/>
      </w:tblGrid>
      <w:tr w:rsidR="00195D19" w:rsidTr="0081247F" w14:paraId="575A9F46" w14:textId="77777777">
        <w:trPr>
          <w:trHeight w:val="737"/>
        </w:trPr>
        <w:tc>
          <w:tcPr>
            <w:tcW w:w="2157" w:type="dxa"/>
            <w:shd w:val="clear" w:color="auto" w:fill="E7E6E6" w:themeFill="background2"/>
          </w:tcPr>
          <w:p w:rsidRPr="00DF7F32" w:rsidR="00195D19" w:rsidP="000633EE" w:rsidRDefault="00195D19" w14:paraId="53254ADB" w14:textId="77777777">
            <w:pPr>
              <w:pStyle w:val="BodyText"/>
              <w:rPr>
                <w:rFonts w:ascii="Times New Roman" w:hAnsi="Times New Roman" w:cs="Times New Roman"/>
                <w:color w:val="auto"/>
                <w:sz w:val="24"/>
                <w:szCs w:val="24"/>
              </w:rPr>
            </w:pPr>
            <w:r w:rsidRPr="00DF7F32">
              <w:rPr>
                <w:rFonts w:ascii="Times New Roman" w:hAnsi="Times New Roman" w:cs="Times New Roman"/>
                <w:color w:val="auto"/>
                <w:sz w:val="24"/>
                <w:szCs w:val="24"/>
              </w:rPr>
              <w:t>Participant Type</w:t>
            </w:r>
          </w:p>
        </w:tc>
        <w:tc>
          <w:tcPr>
            <w:tcW w:w="2157" w:type="dxa"/>
            <w:shd w:val="clear" w:color="auto" w:fill="E7E6E6" w:themeFill="background2"/>
          </w:tcPr>
          <w:p w:rsidRPr="00DF7F32" w:rsidR="00195D19" w:rsidP="000633EE" w:rsidRDefault="00195D19" w14:paraId="58B5A54C" w14:textId="77777777">
            <w:pPr>
              <w:pStyle w:val="BodyText"/>
              <w:rPr>
                <w:rFonts w:ascii="Times New Roman" w:hAnsi="Times New Roman" w:cs="Times New Roman"/>
                <w:color w:val="auto"/>
                <w:sz w:val="24"/>
                <w:szCs w:val="24"/>
              </w:rPr>
            </w:pPr>
            <w:r w:rsidRPr="00DF7F32">
              <w:rPr>
                <w:rFonts w:ascii="Times New Roman" w:hAnsi="Times New Roman" w:cs="Times New Roman"/>
                <w:color w:val="auto"/>
                <w:sz w:val="24"/>
                <w:szCs w:val="24"/>
              </w:rPr>
              <w:t>Expected Burden</w:t>
            </w:r>
            <w:r>
              <w:rPr>
                <w:rFonts w:ascii="Times New Roman" w:hAnsi="Times New Roman" w:cs="Times New Roman"/>
                <w:color w:val="auto"/>
                <w:sz w:val="24"/>
                <w:szCs w:val="24"/>
              </w:rPr>
              <w:t xml:space="preserve"> Hours Per</w:t>
            </w:r>
          </w:p>
        </w:tc>
        <w:tc>
          <w:tcPr>
            <w:tcW w:w="2158" w:type="dxa"/>
            <w:shd w:val="clear" w:color="auto" w:fill="E7E6E6" w:themeFill="background2"/>
          </w:tcPr>
          <w:p w:rsidRPr="00DF7F32" w:rsidR="00195D19" w:rsidP="000633EE" w:rsidRDefault="00195D19" w14:paraId="4B934A79" w14:textId="77777777">
            <w:pPr>
              <w:pStyle w:val="BodyText"/>
              <w:rPr>
                <w:rFonts w:ascii="Times New Roman" w:hAnsi="Times New Roman" w:cs="Times New Roman"/>
                <w:color w:val="auto"/>
                <w:sz w:val="24"/>
                <w:szCs w:val="24"/>
              </w:rPr>
            </w:pPr>
            <w:r w:rsidRPr="00DF7F32">
              <w:rPr>
                <w:rFonts w:ascii="Times New Roman" w:hAnsi="Times New Roman" w:cs="Times New Roman"/>
                <w:color w:val="auto"/>
                <w:sz w:val="24"/>
                <w:szCs w:val="24"/>
              </w:rPr>
              <w:t>Number of Participants</w:t>
            </w:r>
          </w:p>
        </w:tc>
        <w:tc>
          <w:tcPr>
            <w:tcW w:w="2158" w:type="dxa"/>
            <w:shd w:val="clear" w:color="auto" w:fill="E7E6E6" w:themeFill="background2"/>
          </w:tcPr>
          <w:p w:rsidRPr="00DF7F32" w:rsidR="00195D19" w:rsidP="000633EE" w:rsidRDefault="00195D19" w14:paraId="6C9CD314" w14:textId="77777777">
            <w:pPr>
              <w:pStyle w:val="BodyText"/>
              <w:rPr>
                <w:rFonts w:ascii="Times New Roman" w:hAnsi="Times New Roman" w:cs="Times New Roman"/>
                <w:color w:val="auto"/>
                <w:sz w:val="24"/>
                <w:szCs w:val="24"/>
              </w:rPr>
            </w:pPr>
            <w:r w:rsidRPr="00DF7F32">
              <w:rPr>
                <w:rFonts w:ascii="Times New Roman" w:hAnsi="Times New Roman" w:cs="Times New Roman"/>
                <w:color w:val="auto"/>
                <w:sz w:val="24"/>
                <w:szCs w:val="24"/>
              </w:rPr>
              <w:t>Total Burden</w:t>
            </w:r>
          </w:p>
        </w:tc>
      </w:tr>
      <w:tr w:rsidR="00BA5757" w:rsidTr="00837D47" w14:paraId="508A0DB7" w14:textId="77777777">
        <w:tc>
          <w:tcPr>
            <w:tcW w:w="2157" w:type="dxa"/>
            <w:shd w:val="clear" w:color="auto" w:fill="auto"/>
          </w:tcPr>
          <w:p w:rsidRPr="00DF7F32" w:rsidR="00BA5757" w:rsidP="000633EE" w:rsidRDefault="00BA5757" w14:paraId="5DD65362" w14:textId="7769A8D5">
            <w:pPr>
              <w:pStyle w:val="BodyText"/>
              <w:rPr>
                <w:rFonts w:ascii="Times New Roman" w:hAnsi="Times New Roman" w:cs="Times New Roman"/>
                <w:color w:val="auto"/>
                <w:sz w:val="24"/>
                <w:szCs w:val="24"/>
              </w:rPr>
            </w:pPr>
            <w:r>
              <w:rPr>
                <w:rFonts w:ascii="Times New Roman" w:hAnsi="Times New Roman" w:cs="Times New Roman"/>
                <w:color w:val="auto"/>
                <w:sz w:val="24"/>
                <w:szCs w:val="24"/>
              </w:rPr>
              <w:t>Ocean Carriers</w:t>
            </w:r>
          </w:p>
        </w:tc>
        <w:tc>
          <w:tcPr>
            <w:tcW w:w="2157" w:type="dxa"/>
            <w:shd w:val="clear" w:color="auto" w:fill="auto"/>
          </w:tcPr>
          <w:p w:rsidRPr="00DF7F32" w:rsidR="00BA5757" w:rsidP="000633EE" w:rsidRDefault="00F62F4A" w14:paraId="0249CE57" w14:textId="4E49EA58">
            <w:pPr>
              <w:pStyle w:val="BodyText"/>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2158" w:type="dxa"/>
            <w:shd w:val="clear" w:color="auto" w:fill="auto"/>
          </w:tcPr>
          <w:p w:rsidRPr="00DF7F32" w:rsidR="00BA5757" w:rsidP="000633EE" w:rsidRDefault="0FEBA56A" w14:paraId="647D9D1F" w14:textId="29718F20">
            <w:pPr>
              <w:pStyle w:val="BodyText"/>
              <w:rPr>
                <w:rFonts w:ascii="Times New Roman" w:hAnsi="Times New Roman" w:cs="Times New Roman"/>
                <w:color w:val="auto"/>
                <w:sz w:val="24"/>
                <w:szCs w:val="24"/>
              </w:rPr>
            </w:pPr>
            <w:r w:rsidRPr="0FEBA56A">
              <w:rPr>
                <w:rFonts w:ascii="Times New Roman" w:hAnsi="Times New Roman" w:cs="Times New Roman"/>
                <w:color w:val="auto"/>
                <w:sz w:val="24"/>
                <w:szCs w:val="24"/>
              </w:rPr>
              <w:t>154</w:t>
            </w:r>
          </w:p>
        </w:tc>
        <w:tc>
          <w:tcPr>
            <w:tcW w:w="2158" w:type="dxa"/>
            <w:shd w:val="clear" w:color="auto" w:fill="auto"/>
          </w:tcPr>
          <w:p w:rsidRPr="00DF7F32" w:rsidR="00BA5757" w:rsidP="000633EE" w:rsidRDefault="0FEBA56A" w14:paraId="42018CF9" w14:textId="618FCF04">
            <w:pPr>
              <w:pStyle w:val="BodyText"/>
              <w:rPr>
                <w:rFonts w:ascii="Times New Roman" w:hAnsi="Times New Roman" w:cs="Times New Roman"/>
                <w:color w:val="auto"/>
                <w:sz w:val="24"/>
                <w:szCs w:val="24"/>
              </w:rPr>
            </w:pPr>
            <w:r w:rsidRPr="0FEBA56A">
              <w:rPr>
                <w:rFonts w:ascii="Times New Roman" w:hAnsi="Times New Roman" w:cs="Times New Roman"/>
                <w:color w:val="auto"/>
                <w:sz w:val="24"/>
                <w:szCs w:val="24"/>
              </w:rPr>
              <w:t>308</w:t>
            </w:r>
          </w:p>
        </w:tc>
      </w:tr>
      <w:tr w:rsidR="00195D19" w:rsidTr="000633EE" w14:paraId="4C5FF273" w14:textId="77777777">
        <w:tc>
          <w:tcPr>
            <w:tcW w:w="2157" w:type="dxa"/>
          </w:tcPr>
          <w:p w:rsidRPr="00DF7F32" w:rsidR="00195D19" w:rsidP="000633EE" w:rsidRDefault="00195D19" w14:paraId="4A9D27C1" w14:textId="11BE8E3B">
            <w:pPr>
              <w:pStyle w:val="BodyText"/>
              <w:rPr>
                <w:rFonts w:ascii="Times New Roman" w:hAnsi="Times New Roman" w:cs="Times New Roman"/>
                <w:color w:val="auto"/>
                <w:sz w:val="24"/>
                <w:szCs w:val="24"/>
              </w:rPr>
            </w:pPr>
            <w:r>
              <w:rPr>
                <w:rFonts w:ascii="Times New Roman" w:hAnsi="Times New Roman" w:cs="Times New Roman"/>
                <w:color w:val="auto"/>
                <w:sz w:val="24"/>
                <w:szCs w:val="24"/>
              </w:rPr>
              <w:t>Port</w:t>
            </w:r>
            <w:r w:rsidR="00E67011">
              <w:rPr>
                <w:rFonts w:ascii="Times New Roman" w:hAnsi="Times New Roman" w:cs="Times New Roman"/>
                <w:color w:val="auto"/>
                <w:sz w:val="24"/>
                <w:szCs w:val="24"/>
              </w:rPr>
              <w:t>, including inland dry ports</w:t>
            </w:r>
          </w:p>
        </w:tc>
        <w:tc>
          <w:tcPr>
            <w:tcW w:w="2157" w:type="dxa"/>
          </w:tcPr>
          <w:p w:rsidRPr="00DF7F32" w:rsidR="00195D19" w:rsidP="000633EE" w:rsidRDefault="00195D19" w14:paraId="0A0B0377" w14:textId="6D5E5F28">
            <w:pPr>
              <w:pStyle w:val="BodyText"/>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2158" w:type="dxa"/>
          </w:tcPr>
          <w:p w:rsidRPr="00DF7F32" w:rsidR="00195D19" w:rsidP="000633EE" w:rsidRDefault="00195D19" w14:paraId="6390925E" w14:textId="48DBC611">
            <w:pPr>
              <w:pStyle w:val="BodyText"/>
              <w:rPr>
                <w:rFonts w:ascii="Times New Roman" w:hAnsi="Times New Roman" w:cs="Times New Roman"/>
                <w:color w:val="auto"/>
                <w:sz w:val="24"/>
                <w:szCs w:val="24"/>
              </w:rPr>
            </w:pPr>
            <w:r>
              <w:rPr>
                <w:rFonts w:ascii="Times New Roman" w:hAnsi="Times New Roman" w:cs="Times New Roman"/>
                <w:color w:val="auto"/>
                <w:sz w:val="24"/>
                <w:szCs w:val="24"/>
              </w:rPr>
              <w:t>25</w:t>
            </w:r>
          </w:p>
        </w:tc>
        <w:tc>
          <w:tcPr>
            <w:tcW w:w="2158" w:type="dxa"/>
          </w:tcPr>
          <w:p w:rsidRPr="00DF7F32" w:rsidR="00195D19" w:rsidP="000633EE" w:rsidRDefault="00195D19" w14:paraId="3C4C0B72" w14:textId="36A79B92">
            <w:pPr>
              <w:pStyle w:val="BodyText"/>
              <w:rPr>
                <w:rFonts w:ascii="Times New Roman" w:hAnsi="Times New Roman" w:cs="Times New Roman"/>
                <w:color w:val="auto"/>
                <w:sz w:val="24"/>
                <w:szCs w:val="24"/>
              </w:rPr>
            </w:pPr>
            <w:r>
              <w:rPr>
                <w:rFonts w:ascii="Times New Roman" w:hAnsi="Times New Roman" w:cs="Times New Roman"/>
                <w:color w:val="auto"/>
                <w:sz w:val="24"/>
                <w:szCs w:val="24"/>
              </w:rPr>
              <w:t>50</w:t>
            </w:r>
          </w:p>
        </w:tc>
      </w:tr>
      <w:tr w:rsidR="00195D19" w:rsidTr="000633EE" w14:paraId="4CAFE5F1" w14:textId="77777777">
        <w:tc>
          <w:tcPr>
            <w:tcW w:w="2157" w:type="dxa"/>
          </w:tcPr>
          <w:p w:rsidRPr="00DF7F32" w:rsidR="00195D19" w:rsidP="000633EE" w:rsidRDefault="00195D19" w14:paraId="17E4FE0C" w14:textId="376CB8BE">
            <w:pPr>
              <w:pStyle w:val="BodyText"/>
              <w:rPr>
                <w:rFonts w:ascii="Times New Roman" w:hAnsi="Times New Roman" w:cs="Times New Roman"/>
                <w:color w:val="auto"/>
                <w:sz w:val="24"/>
                <w:szCs w:val="24"/>
              </w:rPr>
            </w:pPr>
            <w:r>
              <w:rPr>
                <w:rFonts w:ascii="Times New Roman" w:hAnsi="Times New Roman" w:cs="Times New Roman"/>
                <w:color w:val="auto"/>
                <w:sz w:val="24"/>
                <w:szCs w:val="24"/>
              </w:rPr>
              <w:t>Marine terminal operator</w:t>
            </w:r>
            <w:r w:rsidR="00754487">
              <w:rPr>
                <w:rFonts w:ascii="Times New Roman" w:hAnsi="Times New Roman" w:cs="Times New Roman"/>
                <w:color w:val="auto"/>
                <w:sz w:val="24"/>
                <w:szCs w:val="24"/>
              </w:rPr>
              <w:t xml:space="preserve">, </w:t>
            </w:r>
            <w:r w:rsidR="00DF5951">
              <w:rPr>
                <w:rFonts w:ascii="Times New Roman" w:hAnsi="Times New Roman" w:cs="Times New Roman"/>
                <w:color w:val="auto"/>
                <w:sz w:val="24"/>
                <w:szCs w:val="24"/>
              </w:rPr>
              <w:t>i</w:t>
            </w:r>
            <w:r w:rsidRPr="005E15CF" w:rsidR="005E15CF">
              <w:rPr>
                <w:rFonts w:ascii="Times New Roman" w:hAnsi="Times New Roman" w:cs="Times New Roman"/>
                <w:color w:val="auto"/>
                <w:sz w:val="24"/>
                <w:szCs w:val="24"/>
              </w:rPr>
              <w:t>ntermodal terminal facilities</w:t>
            </w:r>
            <w:r w:rsidR="003023B7">
              <w:rPr>
                <w:rFonts w:ascii="Times New Roman" w:hAnsi="Times New Roman" w:cs="Times New Roman"/>
                <w:color w:val="auto"/>
                <w:sz w:val="24"/>
                <w:szCs w:val="24"/>
              </w:rPr>
              <w:t xml:space="preserve"> operators</w:t>
            </w:r>
            <w:r w:rsidR="005E15CF">
              <w:rPr>
                <w:rFonts w:ascii="Times New Roman" w:hAnsi="Times New Roman" w:cs="Times New Roman"/>
                <w:color w:val="auto"/>
                <w:sz w:val="24"/>
                <w:szCs w:val="24"/>
              </w:rPr>
              <w:t xml:space="preserve"> (e.g., ICTF)</w:t>
            </w:r>
          </w:p>
        </w:tc>
        <w:tc>
          <w:tcPr>
            <w:tcW w:w="2157" w:type="dxa"/>
          </w:tcPr>
          <w:p w:rsidRPr="00DF7F32" w:rsidR="00195D19" w:rsidP="000633EE" w:rsidRDefault="00195D19" w14:paraId="46F2C4C9" w14:textId="51A0E6E7">
            <w:pPr>
              <w:pStyle w:val="BodyText"/>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2158" w:type="dxa"/>
          </w:tcPr>
          <w:p w:rsidRPr="00DF7F32" w:rsidR="00195D19" w:rsidP="000633EE" w:rsidRDefault="007044E6" w14:paraId="6A743639" w14:textId="6F57F42D">
            <w:pPr>
              <w:pStyle w:val="BodyText"/>
              <w:rPr>
                <w:rFonts w:ascii="Times New Roman" w:hAnsi="Times New Roman" w:cs="Times New Roman"/>
                <w:color w:val="auto"/>
                <w:sz w:val="24"/>
                <w:szCs w:val="24"/>
              </w:rPr>
            </w:pPr>
            <w:r>
              <w:rPr>
                <w:rFonts w:ascii="Times New Roman" w:hAnsi="Times New Roman" w:cs="Times New Roman"/>
                <w:color w:val="auto"/>
                <w:sz w:val="24"/>
                <w:szCs w:val="24"/>
              </w:rPr>
              <w:t>75</w:t>
            </w:r>
          </w:p>
        </w:tc>
        <w:tc>
          <w:tcPr>
            <w:tcW w:w="2158" w:type="dxa"/>
          </w:tcPr>
          <w:p w:rsidRPr="00DF7F32" w:rsidR="00195D19" w:rsidP="000633EE" w:rsidRDefault="00917C69" w14:paraId="0751156F" w14:textId="2946CC57">
            <w:pPr>
              <w:pStyle w:val="BodyText"/>
              <w:rPr>
                <w:rFonts w:ascii="Times New Roman" w:hAnsi="Times New Roman" w:cs="Times New Roman"/>
                <w:color w:val="auto"/>
                <w:sz w:val="24"/>
                <w:szCs w:val="24"/>
              </w:rPr>
            </w:pPr>
            <w:r>
              <w:rPr>
                <w:rFonts w:ascii="Times New Roman" w:hAnsi="Times New Roman" w:cs="Times New Roman"/>
                <w:color w:val="auto"/>
                <w:sz w:val="24"/>
                <w:szCs w:val="24"/>
              </w:rPr>
              <w:t>150</w:t>
            </w:r>
          </w:p>
        </w:tc>
      </w:tr>
      <w:tr w:rsidR="00195D19" w:rsidTr="000633EE" w14:paraId="3FF72EFE" w14:textId="77777777">
        <w:tc>
          <w:tcPr>
            <w:tcW w:w="2157" w:type="dxa"/>
          </w:tcPr>
          <w:p w:rsidRPr="00DF7F32" w:rsidR="00195D19" w:rsidP="000633EE" w:rsidRDefault="00195D19" w14:paraId="1315253F" w14:textId="50DC4A6D">
            <w:pPr>
              <w:pStyle w:val="BodyText"/>
              <w:rPr>
                <w:rFonts w:ascii="Times New Roman" w:hAnsi="Times New Roman" w:cs="Times New Roman"/>
                <w:color w:val="auto"/>
                <w:sz w:val="24"/>
                <w:szCs w:val="24"/>
              </w:rPr>
            </w:pPr>
            <w:r w:rsidRPr="00837D47">
              <w:rPr>
                <w:rFonts w:ascii="Times New Roman" w:hAnsi="Times New Roman" w:cs="Times New Roman"/>
                <w:color w:val="auto"/>
                <w:sz w:val="24"/>
                <w:szCs w:val="24"/>
              </w:rPr>
              <w:t>Chassis owner</w:t>
            </w:r>
            <w:r w:rsidRPr="00837D47" w:rsidR="00D56ED6">
              <w:rPr>
                <w:rFonts w:ascii="Times New Roman" w:hAnsi="Times New Roman" w:cs="Times New Roman"/>
                <w:color w:val="auto"/>
                <w:sz w:val="24"/>
                <w:szCs w:val="24"/>
              </w:rPr>
              <w:t>, motor carrier,</w:t>
            </w:r>
            <w:r w:rsidRPr="00837D47">
              <w:rPr>
                <w:rFonts w:ascii="Times New Roman" w:hAnsi="Times New Roman" w:cs="Times New Roman"/>
                <w:color w:val="auto"/>
                <w:sz w:val="24"/>
                <w:szCs w:val="24"/>
              </w:rPr>
              <w:t xml:space="preserve"> or IEPs</w:t>
            </w:r>
          </w:p>
        </w:tc>
        <w:tc>
          <w:tcPr>
            <w:tcW w:w="2157" w:type="dxa"/>
          </w:tcPr>
          <w:p w:rsidRPr="00DF7F32" w:rsidR="00195D19" w:rsidP="000633EE" w:rsidRDefault="00195D19" w14:paraId="2D429B6F" w14:textId="24C7011D">
            <w:pPr>
              <w:pStyle w:val="BodyText"/>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2158" w:type="dxa"/>
          </w:tcPr>
          <w:p w:rsidRPr="00DF7F32" w:rsidR="00195D19" w:rsidP="000633EE" w:rsidRDefault="00B67501" w14:paraId="6F51B7FB" w14:textId="680885C4">
            <w:pPr>
              <w:pStyle w:val="BodyText"/>
              <w:rPr>
                <w:rFonts w:ascii="Times New Roman" w:hAnsi="Times New Roman" w:cs="Times New Roman"/>
                <w:color w:val="auto"/>
                <w:sz w:val="24"/>
                <w:szCs w:val="24"/>
              </w:rPr>
            </w:pPr>
            <w:r>
              <w:rPr>
                <w:rFonts w:ascii="Times New Roman" w:hAnsi="Times New Roman" w:cs="Times New Roman"/>
                <w:color w:val="auto"/>
                <w:sz w:val="24"/>
                <w:szCs w:val="24"/>
              </w:rPr>
              <w:t>150</w:t>
            </w:r>
          </w:p>
        </w:tc>
        <w:tc>
          <w:tcPr>
            <w:tcW w:w="2158" w:type="dxa"/>
          </w:tcPr>
          <w:p w:rsidRPr="00DF7F32" w:rsidR="00195D19" w:rsidP="000633EE" w:rsidRDefault="00F62F4A" w14:paraId="2D0BFD0A" w14:textId="3FA89A2F">
            <w:pPr>
              <w:pStyle w:val="BodyText"/>
              <w:rPr>
                <w:rFonts w:ascii="Times New Roman" w:hAnsi="Times New Roman" w:cs="Times New Roman"/>
                <w:color w:val="auto"/>
                <w:sz w:val="24"/>
                <w:szCs w:val="24"/>
              </w:rPr>
            </w:pPr>
            <w:r>
              <w:rPr>
                <w:rFonts w:ascii="Times New Roman" w:hAnsi="Times New Roman" w:cs="Times New Roman"/>
                <w:color w:val="auto"/>
                <w:sz w:val="24"/>
                <w:szCs w:val="24"/>
              </w:rPr>
              <w:t>300</w:t>
            </w:r>
          </w:p>
        </w:tc>
      </w:tr>
      <w:tr w:rsidR="00195D19" w:rsidTr="000633EE" w14:paraId="5FEECD22" w14:textId="77777777">
        <w:tc>
          <w:tcPr>
            <w:tcW w:w="2157" w:type="dxa"/>
            <w:tcBorders>
              <w:right w:val="nil"/>
            </w:tcBorders>
          </w:tcPr>
          <w:p w:rsidRPr="003337BD" w:rsidR="00195D19" w:rsidP="000633EE" w:rsidRDefault="00195D19" w14:paraId="7ACC5724" w14:textId="77777777">
            <w:pPr>
              <w:pStyle w:val="BodyText"/>
              <w:rPr>
                <w:rFonts w:ascii="Times New Roman" w:hAnsi="Times New Roman" w:cs="Times New Roman"/>
                <w:color w:val="auto"/>
                <w:sz w:val="24"/>
                <w:szCs w:val="24"/>
              </w:rPr>
            </w:pPr>
          </w:p>
        </w:tc>
        <w:tc>
          <w:tcPr>
            <w:tcW w:w="2157" w:type="dxa"/>
            <w:tcBorders>
              <w:left w:val="nil"/>
              <w:right w:val="nil"/>
            </w:tcBorders>
          </w:tcPr>
          <w:p w:rsidR="00195D19" w:rsidP="000633EE" w:rsidRDefault="00195D19" w14:paraId="0C37E8AE" w14:textId="77777777">
            <w:pPr>
              <w:pStyle w:val="BodyText"/>
              <w:rPr>
                <w:rFonts w:ascii="Times New Roman" w:hAnsi="Times New Roman" w:cs="Times New Roman"/>
                <w:color w:val="auto"/>
                <w:sz w:val="24"/>
                <w:szCs w:val="24"/>
              </w:rPr>
            </w:pPr>
          </w:p>
        </w:tc>
        <w:tc>
          <w:tcPr>
            <w:tcW w:w="2158" w:type="dxa"/>
            <w:tcBorders>
              <w:left w:val="nil"/>
              <w:right w:val="single" w:color="auto" w:sz="4" w:space="0"/>
            </w:tcBorders>
          </w:tcPr>
          <w:p w:rsidR="00195D19" w:rsidP="000633EE" w:rsidRDefault="00195D19" w14:paraId="57E62491" w14:textId="77777777">
            <w:pPr>
              <w:pStyle w:val="BodyText"/>
              <w:jc w:val="right"/>
              <w:rPr>
                <w:rFonts w:ascii="Times New Roman" w:hAnsi="Times New Roman" w:cs="Times New Roman"/>
                <w:color w:val="auto"/>
                <w:sz w:val="24"/>
                <w:szCs w:val="24"/>
              </w:rPr>
            </w:pPr>
            <w:r>
              <w:rPr>
                <w:rFonts w:ascii="Times New Roman" w:hAnsi="Times New Roman" w:cs="Times New Roman"/>
                <w:color w:val="auto"/>
                <w:sz w:val="24"/>
                <w:szCs w:val="24"/>
              </w:rPr>
              <w:t>Total</w:t>
            </w:r>
          </w:p>
        </w:tc>
        <w:tc>
          <w:tcPr>
            <w:tcW w:w="2158" w:type="dxa"/>
            <w:tcBorders>
              <w:left w:val="single" w:color="auto" w:sz="4" w:space="0"/>
            </w:tcBorders>
          </w:tcPr>
          <w:p w:rsidR="00195D19" w:rsidP="000633EE" w:rsidRDefault="193EE504" w14:paraId="3315A1D9" w14:textId="3073E4DC">
            <w:pPr>
              <w:pStyle w:val="BodyText"/>
              <w:rPr>
                <w:rFonts w:ascii="Times New Roman" w:hAnsi="Times New Roman" w:cs="Times New Roman"/>
                <w:color w:val="auto"/>
                <w:sz w:val="24"/>
                <w:szCs w:val="24"/>
              </w:rPr>
            </w:pPr>
            <w:r w:rsidRPr="0FEBA56A">
              <w:rPr>
                <w:rFonts w:ascii="Times New Roman" w:hAnsi="Times New Roman" w:cs="Times New Roman"/>
                <w:color w:val="auto"/>
                <w:sz w:val="24"/>
                <w:szCs w:val="24"/>
              </w:rPr>
              <w:t>808</w:t>
            </w:r>
            <w:r w:rsidR="00E638A0">
              <w:rPr>
                <w:rFonts w:ascii="Times New Roman" w:hAnsi="Times New Roman" w:cs="Times New Roman"/>
                <w:color w:val="auto"/>
                <w:sz w:val="24"/>
                <w:szCs w:val="24"/>
              </w:rPr>
              <w:t xml:space="preserve"> </w:t>
            </w:r>
            <w:r w:rsidR="00195D19">
              <w:rPr>
                <w:rFonts w:ascii="Times New Roman" w:hAnsi="Times New Roman" w:cs="Times New Roman"/>
                <w:color w:val="auto"/>
                <w:sz w:val="24"/>
                <w:szCs w:val="24"/>
              </w:rPr>
              <w:t>hours</w:t>
            </w:r>
          </w:p>
        </w:tc>
      </w:tr>
    </w:tbl>
    <w:p w:rsidR="00F8202C" w:rsidP="00F8202C" w:rsidRDefault="00F8202C" w14:paraId="6937FC98" w14:textId="77777777">
      <w:pPr>
        <w:spacing w:after="0" w:line="240" w:lineRule="auto"/>
        <w:rPr>
          <w:rFonts w:ascii="Times New Roman" w:hAnsi="Times New Roman" w:eastAsia="Times New Roman" w:cs="Times New Roman"/>
          <w:sz w:val="24"/>
          <w:szCs w:val="24"/>
        </w:rPr>
      </w:pPr>
    </w:p>
    <w:p w:rsidR="00F8202C" w:rsidP="00F8202C" w:rsidRDefault="00F8202C" w14:paraId="03B5C409" w14:textId="3DA9FF2E">
      <w:pPr>
        <w:spacing w:after="0" w:line="240" w:lineRule="auto"/>
        <w:rPr>
          <w:rFonts w:ascii="Times New Roman" w:hAnsi="Times New Roman" w:cs="Times New Roman"/>
          <w:sz w:val="24"/>
          <w:szCs w:val="24"/>
        </w:rPr>
      </w:pPr>
      <w:r w:rsidRPr="00F8202C">
        <w:rPr>
          <w:rFonts w:ascii="Times New Roman" w:hAnsi="Times New Roman" w:eastAsia="Times New Roman" w:cs="Times New Roman"/>
          <w:sz w:val="24"/>
          <w:szCs w:val="24"/>
        </w:rPr>
        <w:t xml:space="preserve">It is expected to take approximately 2 hours for each participant to gather their data and connect to the portal. The total burden hours for the </w:t>
      </w:r>
      <w:r w:rsidRPr="0081247F">
        <w:rPr>
          <w:rFonts w:ascii="Times New Roman" w:hAnsi="Times New Roman" w:eastAsia="Times New Roman" w:cs="Times New Roman"/>
          <w:sz w:val="24"/>
          <w:szCs w:val="24"/>
        </w:rPr>
        <w:t xml:space="preserve">pilot are </w:t>
      </w:r>
      <w:r w:rsidRPr="0081247F" w:rsidR="00A31FE1">
        <w:rPr>
          <w:rFonts w:ascii="Times New Roman" w:hAnsi="Times New Roman" w:cs="Times New Roman"/>
          <w:sz w:val="24"/>
          <w:szCs w:val="24"/>
        </w:rPr>
        <w:t>808</w:t>
      </w:r>
      <w:r w:rsidRPr="0081247F">
        <w:rPr>
          <w:rFonts w:ascii="Times New Roman" w:hAnsi="Times New Roman" w:cs="Times New Roman"/>
          <w:sz w:val="24"/>
          <w:szCs w:val="24"/>
        </w:rPr>
        <w:t xml:space="preserve"> hours.</w:t>
      </w:r>
    </w:p>
    <w:p w:rsidR="00C50F5B" w:rsidP="00F8202C" w:rsidRDefault="00C50F5B" w14:paraId="7B07909F" w14:textId="77777777">
      <w:pPr>
        <w:spacing w:after="0" w:line="240" w:lineRule="auto"/>
        <w:rPr>
          <w:rFonts w:ascii="Times New Roman" w:hAnsi="Times New Roman" w:eastAsia="Times New Roman" w:cs="Times New Roman"/>
          <w:sz w:val="24"/>
          <w:szCs w:val="24"/>
        </w:rPr>
      </w:pPr>
    </w:p>
    <w:p w:rsidR="00DB69A9" w:rsidP="00F8202C" w:rsidRDefault="00DB69A9" w14:paraId="0A9DC9A7" w14:textId="0581944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It is </w:t>
      </w:r>
      <w:r w:rsidRPr="00F8202C" w:rsidR="00F8202C">
        <w:rPr>
          <w:rFonts w:ascii="Times New Roman" w:hAnsi="Times New Roman" w:eastAsia="Times New Roman" w:cs="Times New Roman"/>
          <w:sz w:val="24"/>
          <w:szCs w:val="24"/>
        </w:rPr>
        <w:t>estimate</w:t>
      </w:r>
      <w:r>
        <w:rPr>
          <w:rFonts w:ascii="Times New Roman" w:hAnsi="Times New Roman" w:eastAsia="Times New Roman" w:cs="Times New Roman"/>
          <w:sz w:val="24"/>
          <w:szCs w:val="24"/>
        </w:rPr>
        <w:t>d</w:t>
      </w:r>
      <w:r w:rsidRPr="00F8202C" w:rsidR="00F8202C">
        <w:rPr>
          <w:rFonts w:ascii="Times New Roman" w:hAnsi="Times New Roman" w:eastAsia="Times New Roman" w:cs="Times New Roman"/>
          <w:sz w:val="24"/>
          <w:szCs w:val="24"/>
        </w:rPr>
        <w:t xml:space="preserve"> a Transportation, Storage, and Distribution manager will be able to </w:t>
      </w:r>
      <w:r>
        <w:rPr>
          <w:rFonts w:ascii="Times New Roman" w:hAnsi="Times New Roman" w:eastAsia="Times New Roman" w:cs="Times New Roman"/>
          <w:sz w:val="24"/>
          <w:szCs w:val="24"/>
        </w:rPr>
        <w:t>complete the request</w:t>
      </w:r>
      <w:r w:rsidRPr="00F8202C" w:rsidR="00F8202C">
        <w:rPr>
          <w:rFonts w:ascii="Times New Roman" w:hAnsi="Times New Roman" w:eastAsia="Times New Roman" w:cs="Times New Roman"/>
          <w:sz w:val="24"/>
          <w:szCs w:val="24"/>
        </w:rPr>
        <w:t>. The</w:t>
      </w:r>
      <w:r>
        <w:rPr>
          <w:rFonts w:ascii="Times New Roman" w:hAnsi="Times New Roman" w:eastAsia="Times New Roman" w:cs="Times New Roman"/>
          <w:sz w:val="24"/>
          <w:szCs w:val="24"/>
        </w:rPr>
        <w:t xml:space="preserve"> median </w:t>
      </w:r>
      <w:r w:rsidRPr="00F8202C" w:rsidR="00F8202C">
        <w:rPr>
          <w:rFonts w:ascii="Times New Roman" w:hAnsi="Times New Roman" w:eastAsia="Times New Roman" w:cs="Times New Roman"/>
          <w:sz w:val="24"/>
          <w:szCs w:val="24"/>
        </w:rPr>
        <w:t>hourly wage rate is $4</w:t>
      </w:r>
      <w:r>
        <w:rPr>
          <w:rFonts w:ascii="Times New Roman" w:hAnsi="Times New Roman" w:eastAsia="Times New Roman" w:cs="Times New Roman"/>
          <w:sz w:val="24"/>
          <w:szCs w:val="24"/>
        </w:rPr>
        <w:t>7.22</w:t>
      </w:r>
      <w:r w:rsidRPr="00C50F5B" w:rsidR="00C50F5B">
        <w:rPr>
          <w:rFonts w:ascii="Times New Roman" w:hAnsi="Times New Roman" w:eastAsia="Times New Roman" w:cs="Times New Roman"/>
          <w:sz w:val="24"/>
          <w:szCs w:val="24"/>
          <w:vertAlign w:val="superscript"/>
        </w:rPr>
        <w:t>2</w:t>
      </w:r>
      <w:r w:rsidRPr="00F8202C" w:rsidR="00F8202C">
        <w:rPr>
          <w:rFonts w:ascii="Times New Roman" w:hAnsi="Times New Roman" w:eastAsia="Times New Roman" w:cs="Times New Roman"/>
          <w:sz w:val="24"/>
          <w:szCs w:val="24"/>
        </w:rPr>
        <w:t>. Therefore, the total cost for this effort per respondent is $</w:t>
      </w:r>
      <w:r>
        <w:rPr>
          <w:rFonts w:ascii="Times New Roman" w:hAnsi="Times New Roman" w:eastAsia="Times New Roman" w:cs="Times New Roman"/>
          <w:sz w:val="24"/>
          <w:szCs w:val="24"/>
        </w:rPr>
        <w:t>94.44</w:t>
      </w:r>
      <w:r w:rsidRPr="00F8202C" w:rsidR="00F8202C">
        <w:rPr>
          <w:rFonts w:ascii="Times New Roman" w:hAnsi="Times New Roman" w:eastAsia="Times New Roman" w:cs="Times New Roman"/>
          <w:sz w:val="24"/>
          <w:szCs w:val="24"/>
        </w:rPr>
        <w:t>.</w:t>
      </w:r>
    </w:p>
    <w:p w:rsidRPr="00F3276E" w:rsidR="00DB69A9" w:rsidP="00DB69A9" w:rsidRDefault="00DB69A9" w14:paraId="7260221A" w14:textId="414D9EC3">
      <w:pPr>
        <w:pStyle w:val="NormalWeb"/>
        <w:rPr>
          <w:rFonts w:ascii="Times New Roman" w:hAnsi="Times New Roman" w:cs="Times New Roman"/>
        </w:rPr>
      </w:pPr>
      <w:r w:rsidRPr="00F3276E">
        <w:rPr>
          <w:rFonts w:ascii="Times New Roman" w:hAnsi="Times New Roman" w:cs="Times New Roman"/>
        </w:rPr>
        <w:lastRenderedPageBreak/>
        <w:t xml:space="preserve">13. </w:t>
      </w:r>
      <w:r w:rsidRPr="00DF7F32">
        <w:rPr>
          <w:rFonts w:ascii="Times New Roman" w:hAnsi="Times New Roman" w:cs="Times New Roman"/>
          <w:u w:val="single"/>
        </w:rPr>
        <w:t>Provide an estimate of cost to the respondents. Do not include the cost of any hour burden shown in items 12 and 14. General estimates should not include purchase of equipment or services</w:t>
      </w:r>
      <w:r w:rsidRPr="5EAB0EA4">
        <w:rPr>
          <w:rFonts w:ascii="Times New Roman" w:hAnsi="Times New Roman" w:cs="Times New Roman"/>
          <w:u w:val="single"/>
        </w:rPr>
        <w:t>,</w:t>
      </w:r>
      <w:r w:rsidRPr="00DF7F32">
        <w:rPr>
          <w:rFonts w:ascii="Times New Roman" w:hAnsi="Times New Roman" w:cs="Times New Roman"/>
          <w:u w:val="single"/>
        </w:rPr>
        <w:t xml:space="preserve"> or portions thereof made prior to October 1995.</w:t>
      </w:r>
    </w:p>
    <w:p w:rsidRPr="00CE649C" w:rsidR="00DB69A9" w:rsidP="00DB69A9" w:rsidRDefault="00DB69A9" w14:paraId="6D09250C" w14:textId="77777777">
      <w:pPr>
        <w:pStyle w:val="NormalWeb"/>
        <w:rPr>
          <w:rFonts w:ascii="Times New Roman" w:hAnsi="Times New Roman" w:cs="Times New Roman"/>
        </w:rPr>
      </w:pPr>
      <w:r>
        <w:rPr>
          <w:rFonts w:ascii="Times New Roman" w:hAnsi="Times New Roman" w:cs="Times New Roman"/>
        </w:rPr>
        <w:t>There is no additional cost to the respondents.</w:t>
      </w:r>
    </w:p>
    <w:p w:rsidRPr="00CE649C" w:rsidR="00DB69A9" w:rsidP="00DB69A9" w:rsidRDefault="00DB69A9" w14:paraId="12DF22E4" w14:textId="77777777">
      <w:pPr>
        <w:pStyle w:val="NormalWeb"/>
        <w:rPr>
          <w:rFonts w:ascii="Times New Roman" w:hAnsi="Times New Roman" w:cs="Times New Roman"/>
        </w:rPr>
      </w:pPr>
      <w:r w:rsidRPr="00CE649C">
        <w:rPr>
          <w:rFonts w:ascii="Times New Roman" w:hAnsi="Times New Roman" w:cs="Times New Roman"/>
        </w:rPr>
        <w:t xml:space="preserve">14. </w:t>
      </w:r>
      <w:r w:rsidRPr="00CE649C">
        <w:rPr>
          <w:rFonts w:ascii="Times New Roman" w:hAnsi="Times New Roman" w:cs="Times New Roman"/>
          <w:u w:val="single"/>
        </w:rPr>
        <w:t>Estimate of cost to the Federal government</w:t>
      </w:r>
      <w:r w:rsidRPr="00CE649C">
        <w:rPr>
          <w:rFonts w:ascii="Times New Roman" w:hAnsi="Times New Roman" w:cs="Times New Roman"/>
        </w:rPr>
        <w:t>:</w:t>
      </w:r>
    </w:p>
    <w:p w:rsidR="00DB69A9" w:rsidP="00DB69A9" w:rsidRDefault="00DB69A9" w14:paraId="0E8380C1" w14:textId="7BEF8F90">
      <w:pPr>
        <w:pStyle w:val="BodyText"/>
        <w:rPr>
          <w:rFonts w:ascii="Times New Roman" w:hAnsi="Times New Roman" w:cs="Times New Roman"/>
          <w:color w:val="auto"/>
          <w:sz w:val="24"/>
          <w:szCs w:val="24"/>
        </w:rPr>
      </w:pPr>
      <w:r>
        <w:rPr>
          <w:rFonts w:ascii="Times New Roman" w:hAnsi="Times New Roman" w:cs="Times New Roman"/>
          <w:color w:val="auto"/>
          <w:sz w:val="24"/>
          <w:szCs w:val="24"/>
        </w:rPr>
        <w:t>The cost of pilot data collection phase to the Federal government will be</w:t>
      </w:r>
      <w:r w:rsidR="00F71684">
        <w:rPr>
          <w:rFonts w:ascii="Times New Roman" w:hAnsi="Times New Roman" w:cs="Times New Roman"/>
          <w:color w:val="auto"/>
          <w:sz w:val="24"/>
          <w:szCs w:val="24"/>
        </w:rPr>
        <w:t xml:space="preserve"> a total of</w:t>
      </w:r>
      <w:r>
        <w:rPr>
          <w:rFonts w:ascii="Times New Roman" w:hAnsi="Times New Roman" w:cs="Times New Roman"/>
          <w:color w:val="auto"/>
          <w:sz w:val="24"/>
          <w:szCs w:val="24"/>
        </w:rPr>
        <w:t xml:space="preserve">: </w:t>
      </w:r>
      <w:r w:rsidR="000242F3">
        <w:rPr>
          <w:rFonts w:ascii="Times New Roman" w:hAnsi="Times New Roman" w:cs="Times New Roman"/>
          <w:color w:val="auto"/>
          <w:sz w:val="24"/>
          <w:szCs w:val="24"/>
        </w:rPr>
        <w:t>$450,000</w:t>
      </w:r>
    </w:p>
    <w:p w:rsidR="00DB69A9" w:rsidP="00DB69A9" w:rsidRDefault="00DB69A9" w14:paraId="154A3D1A" w14:textId="1E809EB0">
      <w:pPr>
        <w:pStyle w:val="BodyText"/>
        <w:rPr>
          <w:rFonts w:ascii="Times New Roman" w:hAnsi="Times New Roman" w:cs="Times New Roman"/>
          <w:color w:val="auto"/>
          <w:sz w:val="24"/>
          <w:szCs w:val="24"/>
        </w:rPr>
      </w:pPr>
      <w:r>
        <w:rPr>
          <w:rFonts w:ascii="Times New Roman" w:hAnsi="Times New Roman" w:cs="Times New Roman"/>
          <w:color w:val="auto"/>
          <w:sz w:val="24"/>
          <w:szCs w:val="24"/>
        </w:rPr>
        <w:t>This includes one full</w:t>
      </w:r>
      <w:r w:rsidRPr="00CE649C">
        <w:rPr>
          <w:rFonts w:ascii="Times New Roman" w:hAnsi="Times New Roman" w:cs="Times New Roman"/>
          <w:color w:val="auto"/>
          <w:sz w:val="24"/>
          <w:szCs w:val="24"/>
        </w:rPr>
        <w:t>-time employee</w:t>
      </w:r>
      <w:r>
        <w:rPr>
          <w:rFonts w:ascii="Times New Roman" w:hAnsi="Times New Roman" w:cs="Times New Roman"/>
          <w:color w:val="auto"/>
          <w:sz w:val="24"/>
          <w:szCs w:val="24"/>
        </w:rPr>
        <w:t xml:space="preserve"> at the cost of:</w:t>
      </w:r>
      <w:r w:rsidR="000242F3">
        <w:rPr>
          <w:rFonts w:ascii="Times New Roman" w:hAnsi="Times New Roman" w:cs="Times New Roman"/>
          <w:color w:val="auto"/>
          <w:sz w:val="24"/>
          <w:szCs w:val="24"/>
        </w:rPr>
        <w:t xml:space="preserve"> $1</w:t>
      </w:r>
      <w:r w:rsidR="0072186C">
        <w:rPr>
          <w:rFonts w:ascii="Times New Roman" w:hAnsi="Times New Roman" w:cs="Times New Roman"/>
          <w:color w:val="auto"/>
          <w:sz w:val="24"/>
          <w:szCs w:val="24"/>
        </w:rPr>
        <w:t>6</w:t>
      </w:r>
      <w:r w:rsidR="000242F3">
        <w:rPr>
          <w:rFonts w:ascii="Times New Roman" w:hAnsi="Times New Roman" w:cs="Times New Roman"/>
          <w:color w:val="auto"/>
          <w:sz w:val="24"/>
          <w:szCs w:val="24"/>
        </w:rPr>
        <w:t>0,000</w:t>
      </w:r>
    </w:p>
    <w:p w:rsidR="00DB69A9" w:rsidP="00DB69A9" w:rsidRDefault="00DB69A9" w14:paraId="700B7CB7" w14:textId="2000836E">
      <w:pPr>
        <w:pStyle w:val="BodyText"/>
        <w:rPr>
          <w:rFonts w:ascii="Times New Roman" w:hAnsi="Times New Roman" w:cs="Times New Roman"/>
          <w:color w:val="auto"/>
          <w:sz w:val="24"/>
          <w:szCs w:val="24"/>
        </w:rPr>
      </w:pPr>
      <w:r>
        <w:rPr>
          <w:rFonts w:ascii="Times New Roman" w:hAnsi="Times New Roman" w:cs="Times New Roman"/>
          <w:color w:val="auto"/>
          <w:sz w:val="24"/>
          <w:szCs w:val="24"/>
        </w:rPr>
        <w:t xml:space="preserve">Secure server space for the data collection will be needed at the cost of: </w:t>
      </w:r>
      <w:r w:rsidR="000242F3">
        <w:rPr>
          <w:rFonts w:ascii="Times New Roman" w:hAnsi="Times New Roman" w:cs="Times New Roman"/>
          <w:color w:val="auto"/>
          <w:sz w:val="24"/>
          <w:szCs w:val="24"/>
        </w:rPr>
        <w:t>$20,000</w:t>
      </w:r>
    </w:p>
    <w:p w:rsidRPr="00CE649C" w:rsidR="00DB69A9" w:rsidP="00DB69A9" w:rsidRDefault="00DB69A9" w14:paraId="5220076F" w14:textId="34ED1690">
      <w:pPr>
        <w:pStyle w:val="BodyText"/>
        <w:rPr>
          <w:rFonts w:ascii="Times New Roman" w:hAnsi="Times New Roman" w:cs="Times New Roman"/>
          <w:color w:val="auto"/>
          <w:sz w:val="24"/>
          <w:szCs w:val="24"/>
        </w:rPr>
      </w:pPr>
      <w:r>
        <w:rPr>
          <w:rFonts w:ascii="Times New Roman" w:hAnsi="Times New Roman" w:cs="Times New Roman"/>
          <w:color w:val="auto"/>
          <w:sz w:val="24"/>
          <w:szCs w:val="24"/>
        </w:rPr>
        <w:t xml:space="preserve">One </w:t>
      </w:r>
      <w:r w:rsidR="00356F5D">
        <w:rPr>
          <w:rFonts w:ascii="Times New Roman" w:hAnsi="Times New Roman" w:cs="Times New Roman"/>
          <w:color w:val="auto"/>
          <w:sz w:val="24"/>
          <w:szCs w:val="24"/>
        </w:rPr>
        <w:t>senior</w:t>
      </w:r>
      <w:r w:rsidR="004D1ACA">
        <w:rPr>
          <w:rFonts w:ascii="Times New Roman" w:hAnsi="Times New Roman" w:cs="Times New Roman"/>
          <w:color w:val="auto"/>
          <w:sz w:val="24"/>
          <w:szCs w:val="24"/>
        </w:rPr>
        <w:t xml:space="preserve"> project manager, </w:t>
      </w:r>
      <w:r w:rsidR="00A512CC">
        <w:rPr>
          <w:rFonts w:ascii="Times New Roman" w:hAnsi="Times New Roman" w:cs="Times New Roman"/>
          <w:color w:val="auto"/>
          <w:sz w:val="24"/>
          <w:szCs w:val="24"/>
        </w:rPr>
        <w:t xml:space="preserve">national </w:t>
      </w:r>
      <w:r w:rsidR="006824D7">
        <w:rPr>
          <w:rFonts w:ascii="Times New Roman" w:hAnsi="Times New Roman" w:cs="Times New Roman"/>
          <w:color w:val="auto"/>
          <w:sz w:val="24"/>
          <w:szCs w:val="24"/>
        </w:rPr>
        <w:t xml:space="preserve">and mid-level </w:t>
      </w:r>
      <w:r w:rsidR="00A512CC">
        <w:rPr>
          <w:rFonts w:ascii="Times New Roman" w:hAnsi="Times New Roman" w:cs="Times New Roman"/>
          <w:color w:val="auto"/>
          <w:sz w:val="24"/>
          <w:szCs w:val="24"/>
        </w:rPr>
        <w:t xml:space="preserve">expert logistician/supply chain specialist, </w:t>
      </w:r>
      <w:r w:rsidR="00C2221B">
        <w:rPr>
          <w:rFonts w:ascii="Times New Roman" w:hAnsi="Times New Roman" w:cs="Times New Roman"/>
          <w:color w:val="auto"/>
          <w:sz w:val="24"/>
          <w:szCs w:val="24"/>
        </w:rPr>
        <w:t xml:space="preserve">senior </w:t>
      </w:r>
      <w:r w:rsidR="006824D7">
        <w:rPr>
          <w:rFonts w:ascii="Times New Roman" w:hAnsi="Times New Roman" w:cs="Times New Roman"/>
          <w:color w:val="auto"/>
          <w:sz w:val="24"/>
          <w:szCs w:val="24"/>
        </w:rPr>
        <w:t xml:space="preserve">and junior </w:t>
      </w:r>
      <w:r w:rsidR="000E76E2">
        <w:rPr>
          <w:rFonts w:ascii="Times New Roman" w:hAnsi="Times New Roman" w:cs="Times New Roman"/>
          <w:color w:val="auto"/>
          <w:sz w:val="24"/>
          <w:szCs w:val="24"/>
        </w:rPr>
        <w:t>transportation specialist/analyst</w:t>
      </w:r>
      <w:r w:rsidR="006824D7">
        <w:rPr>
          <w:rFonts w:ascii="Times New Roman" w:hAnsi="Times New Roman" w:cs="Times New Roman"/>
          <w:color w:val="auto"/>
          <w:sz w:val="24"/>
          <w:szCs w:val="24"/>
        </w:rPr>
        <w:t xml:space="preserve">, </w:t>
      </w:r>
      <w:r w:rsidR="00231D79">
        <w:rPr>
          <w:rFonts w:ascii="Times New Roman" w:hAnsi="Times New Roman" w:cs="Times New Roman"/>
          <w:color w:val="auto"/>
          <w:sz w:val="24"/>
          <w:szCs w:val="24"/>
        </w:rPr>
        <w:t xml:space="preserve">mid-level research analyst, senior survey statistician, senior math statistician, mid-level data analyst, </w:t>
      </w:r>
      <w:r w:rsidR="00567EBE">
        <w:rPr>
          <w:rFonts w:ascii="Times New Roman" w:hAnsi="Times New Roman" w:cs="Times New Roman"/>
          <w:color w:val="auto"/>
          <w:sz w:val="24"/>
          <w:szCs w:val="24"/>
        </w:rPr>
        <w:t xml:space="preserve">junior </w:t>
      </w:r>
      <w:r w:rsidR="007F1C35">
        <w:rPr>
          <w:rFonts w:ascii="Times New Roman" w:hAnsi="Times New Roman" w:cs="Times New Roman"/>
          <w:color w:val="auto"/>
          <w:sz w:val="24"/>
          <w:szCs w:val="24"/>
        </w:rPr>
        <w:t xml:space="preserve">dynamic </w:t>
      </w:r>
      <w:r w:rsidR="00567EBE">
        <w:rPr>
          <w:rFonts w:ascii="Times New Roman" w:hAnsi="Times New Roman" w:cs="Times New Roman"/>
          <w:color w:val="auto"/>
          <w:sz w:val="24"/>
          <w:szCs w:val="24"/>
        </w:rPr>
        <w:t>visualization specialist,</w:t>
      </w:r>
      <w:r w:rsidR="007F1C35">
        <w:rPr>
          <w:rFonts w:ascii="Times New Roman" w:hAnsi="Times New Roman" w:cs="Times New Roman"/>
          <w:color w:val="auto"/>
          <w:sz w:val="24"/>
          <w:szCs w:val="24"/>
        </w:rPr>
        <w:t xml:space="preserve"> senior technical writer, and mid-level editor</w:t>
      </w:r>
      <w:r w:rsidR="00567EBE">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will be needed at the cost of: </w:t>
      </w:r>
      <w:r w:rsidR="000242F3">
        <w:rPr>
          <w:rFonts w:ascii="Times New Roman" w:hAnsi="Times New Roman" w:cs="Times New Roman"/>
          <w:color w:val="auto"/>
          <w:sz w:val="24"/>
          <w:szCs w:val="24"/>
        </w:rPr>
        <w:t>$</w:t>
      </w:r>
      <w:r w:rsidR="00837D47">
        <w:rPr>
          <w:rFonts w:ascii="Times New Roman" w:hAnsi="Times New Roman" w:cs="Times New Roman"/>
          <w:color w:val="auto"/>
          <w:sz w:val="24"/>
          <w:szCs w:val="24"/>
        </w:rPr>
        <w:t>716,784.50</w:t>
      </w:r>
    </w:p>
    <w:p w:rsidRPr="00CE649C" w:rsidR="00DB69A9" w:rsidP="00DB69A9" w:rsidRDefault="00DB69A9" w14:paraId="5C16D1BB" w14:textId="77777777">
      <w:pPr>
        <w:pStyle w:val="NormalWeb"/>
        <w:rPr>
          <w:rFonts w:ascii="Times New Roman" w:hAnsi="Times New Roman" w:cs="Times New Roman"/>
        </w:rPr>
      </w:pPr>
      <w:r w:rsidRPr="00CE649C">
        <w:rPr>
          <w:rFonts w:ascii="Times New Roman" w:hAnsi="Times New Roman" w:cs="Times New Roman"/>
        </w:rPr>
        <w:t xml:space="preserve">15. </w:t>
      </w:r>
      <w:r w:rsidRPr="00CE649C">
        <w:rPr>
          <w:rFonts w:ascii="Times New Roman" w:hAnsi="Times New Roman" w:cs="Times New Roman"/>
          <w:u w:val="single"/>
        </w:rPr>
        <w:t>Explanation of program changes or adjustments</w:t>
      </w:r>
      <w:r w:rsidRPr="00CE649C">
        <w:rPr>
          <w:rFonts w:ascii="Times New Roman" w:hAnsi="Times New Roman" w:cs="Times New Roman"/>
        </w:rPr>
        <w:t>:</w:t>
      </w:r>
    </w:p>
    <w:p w:rsidRPr="00CE649C" w:rsidR="00DB69A9" w:rsidP="00DB69A9" w:rsidRDefault="00DB69A9" w14:paraId="7278D11E" w14:textId="77777777">
      <w:pPr>
        <w:pStyle w:val="BodyText"/>
        <w:rPr>
          <w:rFonts w:ascii="Times New Roman" w:hAnsi="Times New Roman" w:cs="Times New Roman"/>
          <w:color w:val="auto"/>
          <w:sz w:val="24"/>
          <w:szCs w:val="24"/>
        </w:rPr>
      </w:pPr>
      <w:r w:rsidRPr="00CE649C">
        <w:rPr>
          <w:rFonts w:ascii="Times New Roman" w:hAnsi="Times New Roman" w:cs="Times New Roman"/>
          <w:color w:val="auto"/>
          <w:sz w:val="24"/>
          <w:szCs w:val="24"/>
        </w:rPr>
        <w:t xml:space="preserve">This is a new ICR. </w:t>
      </w:r>
    </w:p>
    <w:p w:rsidR="00DB69A9" w:rsidP="00DB69A9" w:rsidRDefault="00DB69A9" w14:paraId="1FFB521A" w14:textId="29441197">
      <w:pPr>
        <w:pStyle w:val="NormalWeb"/>
        <w:rPr>
          <w:rFonts w:ascii="Times New Roman" w:hAnsi="Times New Roman" w:cs="Times New Roman"/>
        </w:rPr>
      </w:pPr>
      <w:r w:rsidRPr="00CE649C">
        <w:rPr>
          <w:rFonts w:ascii="Times New Roman" w:hAnsi="Times New Roman" w:cs="Times New Roman"/>
        </w:rPr>
        <w:t xml:space="preserve">16. </w:t>
      </w:r>
      <w:r w:rsidRPr="00CE649C">
        <w:rPr>
          <w:rFonts w:ascii="Times New Roman" w:hAnsi="Times New Roman" w:cs="Times New Roman"/>
          <w:u w:val="single"/>
        </w:rPr>
        <w:t>Publication of results of data collection</w:t>
      </w:r>
      <w:r w:rsidRPr="00CE649C">
        <w:rPr>
          <w:rFonts w:ascii="Times New Roman" w:hAnsi="Times New Roman" w:cs="Times New Roman"/>
        </w:rPr>
        <w:t>:</w:t>
      </w:r>
    </w:p>
    <w:p w:rsidR="000242F3" w:rsidP="00DB69A9" w:rsidRDefault="000242F3" w14:paraId="462E4491" w14:textId="4DBB2D6C">
      <w:pPr>
        <w:pStyle w:val="NormalWeb"/>
        <w:rPr>
          <w:rFonts w:ascii="Times New Roman" w:hAnsi="Times New Roman" w:cs="Times New Roman"/>
        </w:rPr>
      </w:pPr>
      <w:r>
        <w:rPr>
          <w:rFonts w:ascii="Times New Roman" w:hAnsi="Times New Roman" w:cs="Times New Roman"/>
        </w:rPr>
        <w:t xml:space="preserve">At the conclusion of this six-week pilot, the resulting data will be analyzed to produce preliminary </w:t>
      </w:r>
      <w:r w:rsidRPr="000242F3">
        <w:rPr>
          <w:rFonts w:ascii="Times New Roman" w:hAnsi="Times New Roman" w:cs="Times New Roman"/>
        </w:rPr>
        <w:t>marine container and chassis street dwell time and chassis out-of-service statistics</w:t>
      </w:r>
      <w:r>
        <w:rPr>
          <w:rFonts w:ascii="Times New Roman" w:hAnsi="Times New Roman" w:cs="Times New Roman"/>
        </w:rPr>
        <w:t xml:space="preserve">.   More importantly, an understanding of the available data, data respondents, data collection processes and procedures necessary data to satisfy the OSRA 22 mandate will be developed to stand up a OSRA national data collection.  In addition to the contractors being required to produce the preliminary statistics </w:t>
      </w:r>
      <w:r w:rsidR="007478AA">
        <w:rPr>
          <w:rFonts w:ascii="Times New Roman" w:hAnsi="Times New Roman" w:cs="Times New Roman"/>
        </w:rPr>
        <w:t>because of</w:t>
      </w:r>
      <w:r>
        <w:rPr>
          <w:rFonts w:ascii="Times New Roman" w:hAnsi="Times New Roman" w:cs="Times New Roman"/>
        </w:rPr>
        <w:t xml:space="preserve"> the pilot data collection, they will also be required to assess the pilot and develop an approach for the BTS OSRA National Data Collection program and methodology for disclosure avoidance.  </w:t>
      </w:r>
    </w:p>
    <w:p w:rsidRPr="00CE649C" w:rsidR="00DB69A9" w:rsidP="00DB69A9" w:rsidRDefault="00DB69A9" w14:paraId="4100173A" w14:textId="77777777">
      <w:pPr>
        <w:pStyle w:val="NormalWeb"/>
        <w:rPr>
          <w:rFonts w:ascii="Times New Roman" w:hAnsi="Times New Roman" w:cs="Times New Roman"/>
        </w:rPr>
      </w:pPr>
      <w:r w:rsidRPr="00CE649C">
        <w:rPr>
          <w:rFonts w:ascii="Times New Roman" w:hAnsi="Times New Roman" w:cs="Times New Roman"/>
        </w:rPr>
        <w:t xml:space="preserve">17. </w:t>
      </w:r>
      <w:r w:rsidRPr="00CE649C">
        <w:rPr>
          <w:rFonts w:ascii="Times New Roman" w:hAnsi="Times New Roman" w:cs="Times New Roman"/>
          <w:u w:val="single"/>
        </w:rPr>
        <w:t>Approval for not displaying the expiration date of OMB approval</w:t>
      </w:r>
      <w:r w:rsidRPr="00CE649C">
        <w:rPr>
          <w:rFonts w:ascii="Times New Roman" w:hAnsi="Times New Roman" w:cs="Times New Roman"/>
        </w:rPr>
        <w:t>:</w:t>
      </w:r>
    </w:p>
    <w:p w:rsidRPr="00CE649C" w:rsidR="00DB69A9" w:rsidP="00DB69A9" w:rsidRDefault="00DB69A9" w14:paraId="3B87F1C0" w14:textId="77777777">
      <w:pPr>
        <w:pStyle w:val="BodyText"/>
        <w:rPr>
          <w:rFonts w:ascii="Times New Roman" w:hAnsi="Times New Roman" w:cs="Times New Roman"/>
          <w:color w:val="auto"/>
          <w:sz w:val="24"/>
          <w:szCs w:val="24"/>
        </w:rPr>
      </w:pPr>
      <w:r w:rsidRPr="00CE649C">
        <w:rPr>
          <w:rFonts w:ascii="Times New Roman" w:hAnsi="Times New Roman" w:cs="Times New Roman"/>
          <w:color w:val="auto"/>
          <w:sz w:val="24"/>
          <w:szCs w:val="24"/>
        </w:rPr>
        <w:t>Not applicable. BTS is not seeking approval to not display the expiration date.</w:t>
      </w:r>
    </w:p>
    <w:p w:rsidRPr="00CE649C" w:rsidR="00DB69A9" w:rsidP="00DB69A9" w:rsidRDefault="00DB69A9" w14:paraId="0D91708B" w14:textId="77777777">
      <w:pPr>
        <w:pStyle w:val="NormalWeb"/>
        <w:rPr>
          <w:rFonts w:ascii="Times New Roman" w:hAnsi="Times New Roman" w:cs="Times New Roman"/>
        </w:rPr>
      </w:pPr>
      <w:r w:rsidRPr="00CE649C">
        <w:rPr>
          <w:rFonts w:ascii="Times New Roman" w:hAnsi="Times New Roman" w:cs="Times New Roman"/>
        </w:rPr>
        <w:t xml:space="preserve">18. </w:t>
      </w:r>
      <w:r w:rsidRPr="00CE649C">
        <w:rPr>
          <w:rFonts w:ascii="Times New Roman" w:hAnsi="Times New Roman" w:cs="Times New Roman"/>
          <w:u w:val="single"/>
        </w:rPr>
        <w:t>Exceptions to certification statement</w:t>
      </w:r>
      <w:r w:rsidRPr="00CE649C">
        <w:rPr>
          <w:rFonts w:ascii="Times New Roman" w:hAnsi="Times New Roman" w:cs="Times New Roman"/>
        </w:rPr>
        <w:t>:</w:t>
      </w:r>
    </w:p>
    <w:p w:rsidR="00195D19" w:rsidP="000242F3" w:rsidRDefault="00DB69A9" w14:paraId="6B967D15" w14:textId="5752C1E2">
      <w:pPr>
        <w:pStyle w:val="NormalWeb"/>
        <w:rPr>
          <w:rFonts w:ascii="Times New Roman" w:hAnsi="Times New Roman" w:eastAsia="Times New Roman" w:cs="Times New Roman"/>
        </w:rPr>
      </w:pPr>
      <w:r w:rsidRPr="00CE649C">
        <w:rPr>
          <w:rFonts w:ascii="Times New Roman" w:hAnsi="Times New Roman" w:eastAsia="Times New Roman" w:cs="Times New Roman"/>
        </w:rPr>
        <w:t>Not applicable. BTS does not have any exceptions to the certification statement.</w:t>
      </w:r>
    </w:p>
    <w:p w:rsidR="00C50F5B" w:rsidP="00C50F5B" w:rsidRDefault="00C50F5B" w14:paraId="47045906" w14:textId="1DC25D63">
      <w:pPr>
        <w:pStyle w:val="NormalWeb"/>
        <w:rPr>
          <w:rFonts w:ascii="Times New Roman" w:hAnsi="Times New Roman" w:eastAsia="Times New Roman" w:cs="Times New Roman"/>
        </w:rPr>
      </w:pPr>
      <w:r w:rsidRPr="00C50F5B">
        <w:rPr>
          <w:rFonts w:ascii="Times New Roman" w:hAnsi="Times New Roman" w:eastAsia="Times New Roman" w:cs="Times New Roman"/>
        </w:rPr>
        <w:t>19.</w:t>
      </w:r>
      <w:r>
        <w:rPr>
          <w:rFonts w:ascii="Times New Roman" w:hAnsi="Times New Roman" w:eastAsia="Times New Roman" w:cs="Times New Roman"/>
        </w:rPr>
        <w:t xml:space="preserve"> </w:t>
      </w:r>
      <w:r w:rsidRPr="0081247F">
        <w:rPr>
          <w:rFonts w:ascii="Times New Roman" w:hAnsi="Times New Roman" w:eastAsia="Times New Roman" w:cs="Times New Roman"/>
          <w:u w:val="single"/>
        </w:rPr>
        <w:t>References</w:t>
      </w:r>
    </w:p>
    <w:p w:rsidRPr="00C070CF" w:rsidR="00C50F5B" w:rsidP="00C50F5B" w:rsidRDefault="00C50F5B" w14:paraId="7F37583C" w14:textId="5D79A666">
      <w:pPr>
        <w:pStyle w:val="NormalWeb"/>
        <w:rPr>
          <w:rFonts w:ascii="Times New Roman" w:hAnsi="Times New Roman" w:eastAsia="Times New Roman" w:cs="Times New Roman"/>
          <w:sz w:val="22"/>
          <w:szCs w:val="22"/>
        </w:rPr>
      </w:pPr>
      <w:r w:rsidRPr="00C070CF">
        <w:rPr>
          <w:rFonts w:ascii="Times New Roman" w:hAnsi="Times New Roman" w:eastAsia="Times New Roman" w:cs="Times New Roman"/>
          <w:sz w:val="22"/>
          <w:szCs w:val="22"/>
          <w:vertAlign w:val="superscript"/>
        </w:rPr>
        <w:t>1</w:t>
      </w:r>
      <w:hyperlink w:history="1" r:id="rId7">
        <w:r w:rsidRPr="00C070CF" w:rsidR="00C070CF">
          <w:rPr>
            <w:rStyle w:val="Hyperlink"/>
            <w:rFonts w:ascii="Times New Roman" w:hAnsi="Times New Roman" w:cs="Times New Roman"/>
            <w:sz w:val="22"/>
            <w:szCs w:val="22"/>
          </w:rPr>
          <w:t>S.3580 - 117th Congress (2021-2022): Ocean Shipping Reform Act of 2022 | Congress.gov | Library of Congress</w:t>
        </w:r>
      </w:hyperlink>
    </w:p>
    <w:p w:rsidRPr="00C070CF" w:rsidR="00C50F5B" w:rsidP="00C070CF" w:rsidRDefault="00C50F5B" w14:paraId="3E3D1BC5" w14:textId="016E12BE">
      <w:pPr>
        <w:spacing w:after="0" w:line="240" w:lineRule="auto"/>
        <w:rPr>
          <w:rFonts w:ascii="Times New Roman" w:hAnsi="Times New Roman" w:cs="Times New Roman"/>
        </w:rPr>
      </w:pPr>
      <w:r w:rsidRPr="00C070CF">
        <w:rPr>
          <w:rFonts w:ascii="Times New Roman" w:hAnsi="Times New Roman" w:cs="Times New Roman"/>
          <w:vertAlign w:val="superscript"/>
        </w:rPr>
        <w:t>2</w:t>
      </w:r>
      <w:hyperlink w:history="1" r:id="rId8">
        <w:r w:rsidRPr="00C070CF">
          <w:rPr>
            <w:rStyle w:val="Hyperlink"/>
            <w:rFonts w:ascii="Times New Roman" w:hAnsi="Times New Roman" w:cs="Times New Roman"/>
          </w:rPr>
          <w:t>Transportation, Storage, and Distribution Managers (bls.gov)</w:t>
        </w:r>
      </w:hyperlink>
    </w:p>
    <w:sectPr w:rsidRPr="00C070CF" w:rsidR="00C50F5B" w:rsidSect="008C30F0">
      <w:footerReference w:type="default" r:id="rId9"/>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89D3F" w14:textId="77777777" w:rsidR="0037526E" w:rsidRDefault="0037526E" w:rsidP="000076A1">
      <w:pPr>
        <w:spacing w:after="0" w:line="240" w:lineRule="auto"/>
      </w:pPr>
      <w:r>
        <w:separator/>
      </w:r>
    </w:p>
  </w:endnote>
  <w:endnote w:type="continuationSeparator" w:id="0">
    <w:p w14:paraId="217C5898" w14:textId="77777777" w:rsidR="0037526E" w:rsidRDefault="0037526E" w:rsidP="000076A1">
      <w:pPr>
        <w:spacing w:after="0" w:line="240" w:lineRule="auto"/>
      </w:pPr>
      <w:r>
        <w:continuationSeparator/>
      </w:r>
    </w:p>
  </w:endnote>
  <w:endnote w:type="continuationNotice" w:id="1">
    <w:p w14:paraId="7AD9C72B" w14:textId="77777777" w:rsidR="0037526E" w:rsidRDefault="003752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C373" w14:textId="362D5468" w:rsidR="00F36F7D" w:rsidRPr="00F36F7D" w:rsidRDefault="00F36F7D">
    <w:pPr>
      <w:pStyle w:val="Footer"/>
      <w:rPr>
        <w:rFonts w:ascii="Times New Roman" w:hAnsi="Times New Roman" w:cs="Times New Roman"/>
        <w:sz w:val="24"/>
        <w:szCs w:val="24"/>
      </w:rPr>
    </w:pPr>
    <w:r w:rsidRPr="00F36F7D">
      <w:rPr>
        <w:rFonts w:ascii="Times New Roman" w:hAnsi="Times New Roman" w:cs="Times New Roman"/>
        <w:sz w:val="24"/>
        <w:szCs w:val="24"/>
      </w:rPr>
      <w:ptab w:relativeTo="margin" w:alignment="center" w:leader="none"/>
    </w:r>
    <w:r w:rsidRPr="00F36F7D">
      <w:rPr>
        <w:rFonts w:ascii="Times New Roman" w:hAnsi="Times New Roman" w:cs="Times New Roman"/>
        <w:sz w:val="24"/>
        <w:szCs w:val="24"/>
      </w:rPr>
      <w:ptab w:relativeTo="margin" w:alignment="right" w:leader="none"/>
    </w:r>
    <w:r w:rsidRPr="00F36F7D">
      <w:rPr>
        <w:rFonts w:ascii="Times New Roman" w:hAnsi="Times New Roman" w:cs="Times New Roman"/>
        <w:sz w:val="24"/>
        <w:szCs w:val="24"/>
      </w:rPr>
      <w:t>OSRA</w:t>
    </w:r>
  </w:p>
  <w:p w14:paraId="040BE829" w14:textId="4BCC8A3F" w:rsidR="00F36F7D" w:rsidRPr="00F36F7D" w:rsidRDefault="00F36F7D">
    <w:pPr>
      <w:pStyle w:val="Footer"/>
      <w:rPr>
        <w:rFonts w:ascii="Times New Roman" w:hAnsi="Times New Roman" w:cs="Times New Roman"/>
        <w:sz w:val="24"/>
        <w:szCs w:val="24"/>
      </w:rPr>
    </w:pPr>
    <w:r w:rsidRPr="00F36F7D">
      <w:rPr>
        <w:rFonts w:ascii="Times New Roman" w:hAnsi="Times New Roman" w:cs="Times New Roman"/>
        <w:sz w:val="24"/>
        <w:szCs w:val="24"/>
      </w:rPr>
      <w:tab/>
    </w:r>
    <w:r w:rsidRPr="00F36F7D">
      <w:rPr>
        <w:rFonts w:ascii="Times New Roman" w:hAnsi="Times New Roman" w:cs="Times New Roman"/>
        <w:sz w:val="24"/>
        <w:szCs w:val="24"/>
      </w:rPr>
      <w:tab/>
      <w:t xml:space="preserve">ICR Section Part A, Page </w:t>
    </w:r>
    <w:r w:rsidRPr="00F36F7D">
      <w:rPr>
        <w:rFonts w:ascii="Times New Roman" w:hAnsi="Times New Roman" w:cs="Times New Roman"/>
        <w:sz w:val="24"/>
        <w:szCs w:val="24"/>
      </w:rPr>
      <w:fldChar w:fldCharType="begin"/>
    </w:r>
    <w:r w:rsidRPr="00F36F7D">
      <w:rPr>
        <w:rFonts w:ascii="Times New Roman" w:hAnsi="Times New Roman" w:cs="Times New Roman"/>
        <w:sz w:val="24"/>
        <w:szCs w:val="24"/>
      </w:rPr>
      <w:instrText xml:space="preserve"> PAGE   \* MERGEFORMAT </w:instrText>
    </w:r>
    <w:r w:rsidRPr="00F36F7D">
      <w:rPr>
        <w:rFonts w:ascii="Times New Roman" w:hAnsi="Times New Roman" w:cs="Times New Roman"/>
        <w:sz w:val="24"/>
        <w:szCs w:val="24"/>
      </w:rPr>
      <w:fldChar w:fldCharType="separate"/>
    </w:r>
    <w:r w:rsidRPr="00F36F7D">
      <w:rPr>
        <w:rFonts w:ascii="Times New Roman" w:hAnsi="Times New Roman" w:cs="Times New Roman"/>
        <w:noProof/>
        <w:sz w:val="24"/>
        <w:szCs w:val="24"/>
      </w:rPr>
      <w:t>1</w:t>
    </w:r>
    <w:r w:rsidRPr="00F36F7D">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F5F9C" w14:textId="77777777" w:rsidR="0037526E" w:rsidRDefault="0037526E" w:rsidP="000076A1">
      <w:pPr>
        <w:spacing w:after="0" w:line="240" w:lineRule="auto"/>
      </w:pPr>
      <w:r>
        <w:separator/>
      </w:r>
    </w:p>
  </w:footnote>
  <w:footnote w:type="continuationSeparator" w:id="0">
    <w:p w14:paraId="722BC30F" w14:textId="77777777" w:rsidR="0037526E" w:rsidRDefault="0037526E" w:rsidP="000076A1">
      <w:pPr>
        <w:spacing w:after="0" w:line="240" w:lineRule="auto"/>
      </w:pPr>
      <w:r>
        <w:continuationSeparator/>
      </w:r>
    </w:p>
  </w:footnote>
  <w:footnote w:type="continuationNotice" w:id="1">
    <w:p w14:paraId="1ED94A68" w14:textId="77777777" w:rsidR="0037526E" w:rsidRDefault="003752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8351E"/>
    <w:multiLevelType w:val="multilevel"/>
    <w:tmpl w:val="074A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C5E5C"/>
    <w:multiLevelType w:val="multilevel"/>
    <w:tmpl w:val="72A6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46243"/>
    <w:multiLevelType w:val="multilevel"/>
    <w:tmpl w:val="00A6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4829B7"/>
    <w:multiLevelType w:val="multilevel"/>
    <w:tmpl w:val="2858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6F135C"/>
    <w:multiLevelType w:val="multilevel"/>
    <w:tmpl w:val="BAE2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F06A98"/>
    <w:multiLevelType w:val="multilevel"/>
    <w:tmpl w:val="1A824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C31A16"/>
    <w:multiLevelType w:val="multilevel"/>
    <w:tmpl w:val="0240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14E43"/>
    <w:multiLevelType w:val="multilevel"/>
    <w:tmpl w:val="6E80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5C07B8"/>
    <w:multiLevelType w:val="hybridMultilevel"/>
    <w:tmpl w:val="7018C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2D3707"/>
    <w:multiLevelType w:val="hybridMultilevel"/>
    <w:tmpl w:val="F6B4F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F223D7"/>
    <w:multiLevelType w:val="hybridMultilevel"/>
    <w:tmpl w:val="5AEC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2E1543"/>
    <w:multiLevelType w:val="hybridMultilevel"/>
    <w:tmpl w:val="E482E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86A4298"/>
    <w:multiLevelType w:val="hybridMultilevel"/>
    <w:tmpl w:val="9EB8A5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56800276">
      <w:numFmt w:val="bullet"/>
      <w:lvlText w:val="•"/>
      <w:lvlJc w:val="left"/>
      <w:pPr>
        <w:ind w:left="2520" w:hanging="72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9"/>
  </w:num>
  <w:num w:numId="4">
    <w:abstractNumId w:val="5"/>
  </w:num>
  <w:num w:numId="5">
    <w:abstractNumId w:val="7"/>
  </w:num>
  <w:num w:numId="6">
    <w:abstractNumId w:val="6"/>
  </w:num>
  <w:num w:numId="7">
    <w:abstractNumId w:val="3"/>
  </w:num>
  <w:num w:numId="8">
    <w:abstractNumId w:val="4"/>
  </w:num>
  <w:num w:numId="9">
    <w:abstractNumId w:val="0"/>
  </w:num>
  <w:num w:numId="10">
    <w:abstractNumId w:val="2"/>
  </w:num>
  <w:num w:numId="11">
    <w:abstractNumId w:val="1"/>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7C9"/>
    <w:rsid w:val="000076A1"/>
    <w:rsid w:val="000242F3"/>
    <w:rsid w:val="000322FB"/>
    <w:rsid w:val="000476D7"/>
    <w:rsid w:val="00054CC6"/>
    <w:rsid w:val="000633EE"/>
    <w:rsid w:val="000B0CEE"/>
    <w:rsid w:val="000B328F"/>
    <w:rsid w:val="000D3F9B"/>
    <w:rsid w:val="000E76E2"/>
    <w:rsid w:val="00140E8D"/>
    <w:rsid w:val="00140F0B"/>
    <w:rsid w:val="00151594"/>
    <w:rsid w:val="00163BDF"/>
    <w:rsid w:val="00167494"/>
    <w:rsid w:val="00181A3D"/>
    <w:rsid w:val="00184450"/>
    <w:rsid w:val="00185BBE"/>
    <w:rsid w:val="00195D19"/>
    <w:rsid w:val="001A15C5"/>
    <w:rsid w:val="001F77A5"/>
    <w:rsid w:val="00203F46"/>
    <w:rsid w:val="00210F88"/>
    <w:rsid w:val="00224295"/>
    <w:rsid w:val="00231D79"/>
    <w:rsid w:val="002446F5"/>
    <w:rsid w:val="00245495"/>
    <w:rsid w:val="002735D4"/>
    <w:rsid w:val="00276827"/>
    <w:rsid w:val="002D4B90"/>
    <w:rsid w:val="003023B7"/>
    <w:rsid w:val="00315B01"/>
    <w:rsid w:val="00343B21"/>
    <w:rsid w:val="00356F5D"/>
    <w:rsid w:val="0037526E"/>
    <w:rsid w:val="0038578A"/>
    <w:rsid w:val="003D4AC5"/>
    <w:rsid w:val="0045546A"/>
    <w:rsid w:val="00457439"/>
    <w:rsid w:val="0048721A"/>
    <w:rsid w:val="004A4C96"/>
    <w:rsid w:val="004A565F"/>
    <w:rsid w:val="004B0543"/>
    <w:rsid w:val="004B2BB6"/>
    <w:rsid w:val="004D1ACA"/>
    <w:rsid w:val="004E1BEB"/>
    <w:rsid w:val="004F3D65"/>
    <w:rsid w:val="005246F6"/>
    <w:rsid w:val="00550018"/>
    <w:rsid w:val="0055664B"/>
    <w:rsid w:val="00567EBE"/>
    <w:rsid w:val="005946E0"/>
    <w:rsid w:val="005A545F"/>
    <w:rsid w:val="005A6839"/>
    <w:rsid w:val="005E15CF"/>
    <w:rsid w:val="005F2F41"/>
    <w:rsid w:val="005F5748"/>
    <w:rsid w:val="005F6419"/>
    <w:rsid w:val="00610F8B"/>
    <w:rsid w:val="00616CCB"/>
    <w:rsid w:val="006546F1"/>
    <w:rsid w:val="00664B47"/>
    <w:rsid w:val="006724D3"/>
    <w:rsid w:val="006824D7"/>
    <w:rsid w:val="0068504B"/>
    <w:rsid w:val="00691BFD"/>
    <w:rsid w:val="00695742"/>
    <w:rsid w:val="006B13ED"/>
    <w:rsid w:val="006E2343"/>
    <w:rsid w:val="007044E6"/>
    <w:rsid w:val="0071015C"/>
    <w:rsid w:val="0072186C"/>
    <w:rsid w:val="0074245C"/>
    <w:rsid w:val="00743F85"/>
    <w:rsid w:val="00747583"/>
    <w:rsid w:val="007478AA"/>
    <w:rsid w:val="00754487"/>
    <w:rsid w:val="0078346B"/>
    <w:rsid w:val="00792969"/>
    <w:rsid w:val="007C5E85"/>
    <w:rsid w:val="007D21B0"/>
    <w:rsid w:val="007F1C35"/>
    <w:rsid w:val="00803EC6"/>
    <w:rsid w:val="0080522E"/>
    <w:rsid w:val="0081247F"/>
    <w:rsid w:val="0081408E"/>
    <w:rsid w:val="00826979"/>
    <w:rsid w:val="00837D47"/>
    <w:rsid w:val="0084057A"/>
    <w:rsid w:val="0086690D"/>
    <w:rsid w:val="008C30F0"/>
    <w:rsid w:val="008E117C"/>
    <w:rsid w:val="00917C69"/>
    <w:rsid w:val="00960EF3"/>
    <w:rsid w:val="00983AED"/>
    <w:rsid w:val="009865FC"/>
    <w:rsid w:val="009A7295"/>
    <w:rsid w:val="009C07C9"/>
    <w:rsid w:val="009D39E9"/>
    <w:rsid w:val="00A31FE1"/>
    <w:rsid w:val="00A512CC"/>
    <w:rsid w:val="00A5265D"/>
    <w:rsid w:val="00A8354B"/>
    <w:rsid w:val="00A97A67"/>
    <w:rsid w:val="00AA60B1"/>
    <w:rsid w:val="00AC04DA"/>
    <w:rsid w:val="00B20B8C"/>
    <w:rsid w:val="00B67501"/>
    <w:rsid w:val="00BA5757"/>
    <w:rsid w:val="00BB0B4B"/>
    <w:rsid w:val="00BB771F"/>
    <w:rsid w:val="00BF2188"/>
    <w:rsid w:val="00C070CF"/>
    <w:rsid w:val="00C15013"/>
    <w:rsid w:val="00C163BF"/>
    <w:rsid w:val="00C20293"/>
    <w:rsid w:val="00C2144B"/>
    <w:rsid w:val="00C2221B"/>
    <w:rsid w:val="00C359E9"/>
    <w:rsid w:val="00C37765"/>
    <w:rsid w:val="00C50F5B"/>
    <w:rsid w:val="00C57AAC"/>
    <w:rsid w:val="00CA6804"/>
    <w:rsid w:val="00CB0E1A"/>
    <w:rsid w:val="00CD1BB4"/>
    <w:rsid w:val="00CD631B"/>
    <w:rsid w:val="00CE3965"/>
    <w:rsid w:val="00CF3D6D"/>
    <w:rsid w:val="00CF62E8"/>
    <w:rsid w:val="00D04104"/>
    <w:rsid w:val="00D373AC"/>
    <w:rsid w:val="00D46B28"/>
    <w:rsid w:val="00D56ED6"/>
    <w:rsid w:val="00D776D8"/>
    <w:rsid w:val="00D8605B"/>
    <w:rsid w:val="00DB272D"/>
    <w:rsid w:val="00DB3A25"/>
    <w:rsid w:val="00DB69A9"/>
    <w:rsid w:val="00DC4650"/>
    <w:rsid w:val="00DF5951"/>
    <w:rsid w:val="00E15EA6"/>
    <w:rsid w:val="00E178F2"/>
    <w:rsid w:val="00E408B5"/>
    <w:rsid w:val="00E62F12"/>
    <w:rsid w:val="00E638A0"/>
    <w:rsid w:val="00E65DEA"/>
    <w:rsid w:val="00E67011"/>
    <w:rsid w:val="00E83939"/>
    <w:rsid w:val="00E86167"/>
    <w:rsid w:val="00F020FA"/>
    <w:rsid w:val="00F14A00"/>
    <w:rsid w:val="00F14D4A"/>
    <w:rsid w:val="00F35B45"/>
    <w:rsid w:val="00F36F7D"/>
    <w:rsid w:val="00F62F4A"/>
    <w:rsid w:val="00F71684"/>
    <w:rsid w:val="00F76BD8"/>
    <w:rsid w:val="00F8202C"/>
    <w:rsid w:val="00F876D4"/>
    <w:rsid w:val="00FA2F6E"/>
    <w:rsid w:val="00FB3312"/>
    <w:rsid w:val="00FE604E"/>
    <w:rsid w:val="02B5A26A"/>
    <w:rsid w:val="0FEBA56A"/>
    <w:rsid w:val="157E67A4"/>
    <w:rsid w:val="193EE504"/>
    <w:rsid w:val="25ABB29B"/>
    <w:rsid w:val="285AC413"/>
    <w:rsid w:val="30765C2E"/>
    <w:rsid w:val="3192B98F"/>
    <w:rsid w:val="31A58D4C"/>
    <w:rsid w:val="36491355"/>
    <w:rsid w:val="3DA84C17"/>
    <w:rsid w:val="3FB47F44"/>
    <w:rsid w:val="44FED46F"/>
    <w:rsid w:val="45745A0B"/>
    <w:rsid w:val="4D20B04B"/>
    <w:rsid w:val="52A18C37"/>
    <w:rsid w:val="5D0F3E43"/>
    <w:rsid w:val="5EAB0EA4"/>
    <w:rsid w:val="65F5A9B7"/>
    <w:rsid w:val="6A385278"/>
    <w:rsid w:val="6A6D3D80"/>
    <w:rsid w:val="75EC43B3"/>
    <w:rsid w:val="7840050B"/>
    <w:rsid w:val="7E85E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0C325"/>
  <w15:chartTrackingRefBased/>
  <w15:docId w15:val="{AAEA94D0-F629-4CBC-9404-575C028A4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7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C07C9"/>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aliases w:val="numbered,FooterText,List Paragraph1,Paragraphe de liste1,Bulletr List Paragraph,列出段落,列出段落1,Bullet List,List Paragraph2,List Paragraph21,Párrafo de lista1,Parágrafo da Lista1,リスト段落1,Listeafsnit1,Bullet Level 2,Use Case List Paragraph,lp1"/>
    <w:basedOn w:val="Normal"/>
    <w:link w:val="ListParagraphChar"/>
    <w:uiPriority w:val="34"/>
    <w:qFormat/>
    <w:rsid w:val="009A7295"/>
    <w:pPr>
      <w:spacing w:after="0" w:line="240" w:lineRule="auto"/>
      <w:ind w:left="720" w:hanging="187"/>
      <w:contextualSpacing/>
    </w:pPr>
    <w:rPr>
      <w:rFonts w:ascii="Times New Roman" w:hAnsi="Times New Roman"/>
      <w:sz w:val="24"/>
    </w:rPr>
  </w:style>
  <w:style w:type="character" w:customStyle="1" w:styleId="ListParagraphChar">
    <w:name w:val="List Paragraph Char"/>
    <w:aliases w:val="numbered Char,FooterText Char,List Paragraph1 Char,Paragraphe de liste1 Char,Bulletr List Paragraph Char,列出段落 Char,列出段落1 Char,Bullet List Char,List Paragraph2 Char,List Paragraph21 Char,Párrafo de lista1 Char,Parágrafo da Lista1 Char"/>
    <w:link w:val="ListParagraph"/>
    <w:uiPriority w:val="34"/>
    <w:rsid w:val="009A7295"/>
    <w:rPr>
      <w:rFonts w:ascii="Times New Roman" w:hAnsi="Times New Roman"/>
      <w:sz w:val="24"/>
    </w:rPr>
  </w:style>
  <w:style w:type="character" w:styleId="Strong">
    <w:name w:val="Strong"/>
    <w:qFormat/>
    <w:rsid w:val="00F14D4A"/>
    <w:rPr>
      <w:b/>
      <w:bCs/>
    </w:rPr>
  </w:style>
  <w:style w:type="character" w:customStyle="1" w:styleId="markedcontent">
    <w:name w:val="markedcontent"/>
    <w:basedOn w:val="DefaultParagraphFont"/>
    <w:rsid w:val="00F14D4A"/>
  </w:style>
  <w:style w:type="character" w:styleId="CommentReference">
    <w:name w:val="annotation reference"/>
    <w:uiPriority w:val="99"/>
    <w:rsid w:val="001F77A5"/>
    <w:rPr>
      <w:sz w:val="16"/>
      <w:szCs w:val="16"/>
    </w:rPr>
  </w:style>
  <w:style w:type="paragraph" w:styleId="CommentText">
    <w:name w:val="annotation text"/>
    <w:basedOn w:val="Normal"/>
    <w:link w:val="CommentTextChar"/>
    <w:uiPriority w:val="99"/>
    <w:rsid w:val="001F77A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F77A5"/>
    <w:rPr>
      <w:rFonts w:ascii="Times New Roman" w:eastAsia="Times New Roman" w:hAnsi="Times New Roman" w:cs="Times New Roman"/>
      <w:sz w:val="20"/>
      <w:szCs w:val="20"/>
    </w:rPr>
  </w:style>
  <w:style w:type="paragraph" w:styleId="BodyText">
    <w:name w:val="Body Text"/>
    <w:basedOn w:val="Normal"/>
    <w:link w:val="BodyTextChar"/>
    <w:rsid w:val="004A4C96"/>
    <w:pPr>
      <w:spacing w:after="0" w:line="240" w:lineRule="auto"/>
    </w:pPr>
    <w:rPr>
      <w:rFonts w:ascii="Arial" w:eastAsia="Times New Roman" w:hAnsi="Arial" w:cs="Arial"/>
      <w:color w:val="FF0000"/>
      <w:sz w:val="20"/>
      <w:szCs w:val="20"/>
    </w:rPr>
  </w:style>
  <w:style w:type="character" w:customStyle="1" w:styleId="BodyTextChar">
    <w:name w:val="Body Text Char"/>
    <w:basedOn w:val="DefaultParagraphFont"/>
    <w:link w:val="BodyText"/>
    <w:rsid w:val="004A4C96"/>
    <w:rPr>
      <w:rFonts w:ascii="Arial" w:eastAsia="Times New Roman" w:hAnsi="Arial" w:cs="Arial"/>
      <w:color w:val="FF0000"/>
      <w:sz w:val="20"/>
      <w:szCs w:val="20"/>
    </w:rPr>
  </w:style>
  <w:style w:type="table" w:styleId="TableGrid">
    <w:name w:val="Table Grid"/>
    <w:basedOn w:val="TableNormal"/>
    <w:rsid w:val="00195D19"/>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724D3"/>
    <w:rPr>
      <w:color w:val="0000FF"/>
      <w:u w:val="single"/>
    </w:rPr>
  </w:style>
  <w:style w:type="character" w:customStyle="1" w:styleId="Heading1Char">
    <w:name w:val="Heading 1 Char"/>
    <w:basedOn w:val="DefaultParagraphFont"/>
    <w:link w:val="Heading1"/>
    <w:uiPriority w:val="9"/>
    <w:rsid w:val="0038578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78A"/>
    <w:pPr>
      <w:framePr w:wrap="notBeside" w:vAnchor="text" w:hAnchor="text" w:y="1"/>
      <w:spacing w:before="480" w:line="276" w:lineRule="auto"/>
      <w:outlineLvl w:val="9"/>
    </w:pPr>
    <w:rPr>
      <w:b/>
      <w:bCs/>
      <w:sz w:val="28"/>
      <w:szCs w:val="28"/>
      <w:lang w:eastAsia="ja-JP"/>
    </w:rPr>
  </w:style>
  <w:style w:type="paragraph" w:styleId="TOC1">
    <w:name w:val="toc 1"/>
    <w:basedOn w:val="Normal"/>
    <w:next w:val="Normal"/>
    <w:autoRedefine/>
    <w:uiPriority w:val="39"/>
    <w:unhideWhenUsed/>
    <w:rsid w:val="0038578A"/>
    <w:pPr>
      <w:spacing w:after="100"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38578A"/>
    <w:pPr>
      <w:spacing w:after="100" w:line="240" w:lineRule="auto"/>
      <w:ind w:left="480"/>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38578A"/>
    <w:pPr>
      <w:spacing w:after="10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07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6A1"/>
  </w:style>
  <w:style w:type="paragraph" w:styleId="Footer">
    <w:name w:val="footer"/>
    <w:basedOn w:val="Normal"/>
    <w:link w:val="FooterChar"/>
    <w:uiPriority w:val="99"/>
    <w:unhideWhenUsed/>
    <w:rsid w:val="00007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6A1"/>
  </w:style>
  <w:style w:type="paragraph" w:styleId="CommentSubject">
    <w:name w:val="annotation subject"/>
    <w:basedOn w:val="CommentText"/>
    <w:next w:val="CommentText"/>
    <w:link w:val="CommentSubjectChar"/>
    <w:uiPriority w:val="99"/>
    <w:semiHidden/>
    <w:unhideWhenUsed/>
    <w:rsid w:val="00181A3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81A3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588226">
      <w:bodyDiv w:val="1"/>
      <w:marLeft w:val="0"/>
      <w:marRight w:val="0"/>
      <w:marTop w:val="0"/>
      <w:marBottom w:val="0"/>
      <w:divBdr>
        <w:top w:val="none" w:sz="0" w:space="0" w:color="auto"/>
        <w:left w:val="none" w:sz="0" w:space="0" w:color="auto"/>
        <w:bottom w:val="none" w:sz="0" w:space="0" w:color="auto"/>
        <w:right w:val="none" w:sz="0" w:space="0" w:color="auto"/>
      </w:divBdr>
    </w:div>
    <w:div w:id="1041395034">
      <w:bodyDiv w:val="1"/>
      <w:marLeft w:val="0"/>
      <w:marRight w:val="0"/>
      <w:marTop w:val="0"/>
      <w:marBottom w:val="0"/>
      <w:divBdr>
        <w:top w:val="none" w:sz="0" w:space="0" w:color="auto"/>
        <w:left w:val="none" w:sz="0" w:space="0" w:color="auto"/>
        <w:bottom w:val="none" w:sz="0" w:space="0" w:color="auto"/>
        <w:right w:val="none" w:sz="0" w:space="0" w:color="auto"/>
      </w:divBdr>
    </w:div>
    <w:div w:id="191635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13071.htm" TargetMode="External"/><Relationship Id="rId3" Type="http://schemas.openxmlformats.org/officeDocument/2006/relationships/settings" Target="settings.xml"/><Relationship Id="rId7" Type="http://schemas.openxmlformats.org/officeDocument/2006/relationships/hyperlink" Target="https://www.congress.gov/bill/117th-congress/senate-bill/35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2077</Words>
  <Characters>11844</Characters>
  <Application>Microsoft Office Word</Application>
  <DocSecurity>0</DocSecurity>
  <Lines>98</Lines>
  <Paragraphs>27</Paragraphs>
  <ScaleCrop>false</ScaleCrop>
  <Company/>
  <LinksUpToDate>false</LinksUpToDate>
  <CharactersWithSpaces>13894</CharactersWithSpaces>
  <SharedDoc>false</SharedDoc>
  <HLinks>
    <vt:vector size="18" baseType="variant">
      <vt:variant>
        <vt:i4>4980760</vt:i4>
      </vt:variant>
      <vt:variant>
        <vt:i4>6</vt:i4>
      </vt:variant>
      <vt:variant>
        <vt:i4>0</vt:i4>
      </vt:variant>
      <vt:variant>
        <vt:i4>5</vt:i4>
      </vt:variant>
      <vt:variant>
        <vt:lpwstr>https://www.bls.gov/oes/current/oes113071.htm</vt:lpwstr>
      </vt:variant>
      <vt:variant>
        <vt:lpwstr/>
      </vt:variant>
      <vt:variant>
        <vt:i4>5898271</vt:i4>
      </vt:variant>
      <vt:variant>
        <vt:i4>3</vt:i4>
      </vt:variant>
      <vt:variant>
        <vt:i4>0</vt:i4>
      </vt:variant>
      <vt:variant>
        <vt:i4>5</vt:i4>
      </vt:variant>
      <vt:variant>
        <vt:lpwstr>https://www.congress.gov/bill/117th-congress/senate-bill/3580</vt:lpwstr>
      </vt:variant>
      <vt:variant>
        <vt:lpwstr/>
      </vt:variant>
      <vt:variant>
        <vt:i4>4980760</vt:i4>
      </vt:variant>
      <vt:variant>
        <vt:i4>0</vt:i4>
      </vt:variant>
      <vt:variant>
        <vt:i4>0</vt:i4>
      </vt:variant>
      <vt:variant>
        <vt:i4>5</vt:i4>
      </vt:variant>
      <vt:variant>
        <vt:lpwstr>https://www.bls.gov/oes/current/oes113071.htm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McFadden, Janine (OST)</dc:creator>
  <cp:keywords/>
  <dc:description/>
  <cp:lastModifiedBy>Webb, Kimberly (OST)</cp:lastModifiedBy>
  <cp:revision>2</cp:revision>
  <dcterms:created xsi:type="dcterms:W3CDTF">2022-08-09T13:12:00Z</dcterms:created>
  <dcterms:modified xsi:type="dcterms:W3CDTF">2022-08-09T13:12:00Z</dcterms:modified>
</cp:coreProperties>
</file>