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149" w:rsidP="00565149" w:rsidRDefault="00565149" w14:paraId="36A6B0C0" w14:textId="77777777">
      <w:pPr>
        <w:widowControl w:val="0"/>
        <w:tabs>
          <w:tab w:val="left" w:pos="720"/>
        </w:tabs>
        <w:autoSpaceDE w:val="0"/>
        <w:autoSpaceDN w:val="0"/>
        <w:adjustRightInd w:val="0"/>
        <w:ind w:left="720" w:hanging="720"/>
        <w:jc w:val="center"/>
        <w:rPr>
          <w:b/>
          <w:bCs/>
        </w:rPr>
      </w:pPr>
      <w:r>
        <w:rPr>
          <w:b/>
          <w:bCs/>
        </w:rPr>
        <w:t>Information Collection Request Supporting Statement: Section B</w:t>
      </w:r>
    </w:p>
    <w:p w:rsidR="00565149" w:rsidP="00565149" w:rsidRDefault="00565149" w14:paraId="33D7895F" w14:textId="72027818">
      <w:pPr>
        <w:widowControl w:val="0"/>
        <w:tabs>
          <w:tab w:val="left" w:pos="720"/>
        </w:tabs>
        <w:autoSpaceDE w:val="0"/>
        <w:autoSpaceDN w:val="0"/>
        <w:adjustRightInd w:val="0"/>
        <w:ind w:left="720" w:hanging="720"/>
        <w:jc w:val="center"/>
        <w:rPr>
          <w:b/>
          <w:bCs/>
        </w:rPr>
      </w:pPr>
      <w:r>
        <w:rPr>
          <w:b/>
          <w:bCs/>
        </w:rPr>
        <w:t>Ocean Shipping Reform Act (OSRA) Pilot Data Collection</w:t>
      </w:r>
    </w:p>
    <w:p w:rsidR="00264DC6" w:rsidRDefault="00264DC6" w14:paraId="13805783" w14:textId="0CE4C879"/>
    <w:p w:rsidR="00F131D6" w:rsidP="00F131D6" w:rsidRDefault="00A40F47" w14:paraId="74C0710E" w14:textId="47EC9018">
      <w:r w:rsidRPr="1EE8F228">
        <w:rPr>
          <w:i/>
          <w:iCs/>
        </w:rPr>
        <w:t>Abstract:</w:t>
      </w:r>
      <w:r w:rsidRPr="00F53792">
        <w:rPr>
          <w:rStyle w:val="FootnoteReference"/>
        </w:rPr>
        <w:footnoteReference w:id="2"/>
      </w:r>
      <w:r w:rsidRPr="1EE8F228">
        <w:rPr>
          <w:i/>
          <w:iCs/>
        </w:rPr>
        <w:t xml:space="preserve">  </w:t>
      </w:r>
      <w:r w:rsidR="00F131D6">
        <w:t>The Bureau of Transportation Statistics (BTS) of the U.S. Department of Transportation is seeking approval to collect information</w:t>
      </w:r>
      <w:r w:rsidR="0026086B">
        <w:t xml:space="preserve"> on “the total street dwell time from all causes of marine containers and chassis and the average out of service percentage of chassis” from “each port, marine terminal operator, and chassis owner or provider with a fleet of over 50 chassis that supply chassis for a fee” as mandated by the </w:t>
      </w:r>
      <w:r w:rsidRPr="0026086B" w:rsidR="0026086B">
        <w:rPr>
          <w:i/>
          <w:iCs/>
        </w:rPr>
        <w:t>Ocean Shipping Reform Act (OSRA) 22</w:t>
      </w:r>
      <w:r w:rsidR="0026086B">
        <w:t xml:space="preserve">.   </w:t>
      </w:r>
      <w:r w:rsidR="00F131D6">
        <w:t>BTS proposes to conduct</w:t>
      </w:r>
      <w:r w:rsidR="0026086B">
        <w:t xml:space="preserve"> an OSRA 22</w:t>
      </w:r>
      <w:r w:rsidR="0013292B">
        <w:t xml:space="preserve"> </w:t>
      </w:r>
      <w:r w:rsidR="00F131D6">
        <w:t xml:space="preserve">pilot data collection </w:t>
      </w:r>
      <w:r w:rsidR="00BC1D5E">
        <w:t xml:space="preserve">to scope </w:t>
      </w:r>
      <w:r w:rsidR="0013292B">
        <w:t xml:space="preserve">intermodal marine container and chassis data sources and data items </w:t>
      </w:r>
      <w:r w:rsidR="007E3200">
        <w:t xml:space="preserve">through the process of exploratory interviews </w:t>
      </w:r>
      <w:r w:rsidR="0013292B">
        <w:t xml:space="preserve">to determine the feasibility of producing monthly statistics on marine container and chassis street dwell time and chassis out of service rates. </w:t>
      </w:r>
      <w:r w:rsidR="007E3200">
        <w:t xml:space="preserve">The population of interest will include approximately </w:t>
      </w:r>
      <w:r w:rsidR="00286787">
        <w:t>190-</w:t>
      </w:r>
      <w:r w:rsidR="00443968">
        <w:t>265</w:t>
      </w:r>
      <w:r w:rsidR="00286787">
        <w:t xml:space="preserve"> </w:t>
      </w:r>
      <w:r w:rsidR="007E3200">
        <w:t xml:space="preserve">respondents representing the </w:t>
      </w:r>
      <w:r w:rsidR="00BC1D5E">
        <w:t xml:space="preserve">approximate set of </w:t>
      </w:r>
      <w:r w:rsidR="007E3200">
        <w:t xml:space="preserve">90 </w:t>
      </w:r>
      <w:r w:rsidR="006541D3">
        <w:t>chassis owner</w:t>
      </w:r>
      <w:r w:rsidR="00E7073B">
        <w:t>s</w:t>
      </w:r>
      <w:r w:rsidR="006541D3">
        <w:t xml:space="preserve">, </w:t>
      </w:r>
      <w:r w:rsidR="00F71C91">
        <w:t>motor carrier</w:t>
      </w:r>
      <w:r w:rsidR="00E7073B">
        <w:t>s</w:t>
      </w:r>
      <w:r w:rsidR="006541D3">
        <w:t xml:space="preserve">, </w:t>
      </w:r>
      <w:r w:rsidR="008500A0">
        <w:t xml:space="preserve">and/or </w:t>
      </w:r>
      <w:r w:rsidRPr="006471F0" w:rsidR="006471F0">
        <w:t>intermodal equipment provider</w:t>
      </w:r>
      <w:r w:rsidR="006471F0">
        <w:t>s</w:t>
      </w:r>
      <w:r w:rsidRPr="006471F0" w:rsidR="006471F0">
        <w:t xml:space="preserve"> (IEP</w:t>
      </w:r>
      <w:r w:rsidR="006471F0">
        <w:t>s</w:t>
      </w:r>
      <w:r w:rsidRPr="006471F0" w:rsidR="006471F0">
        <w:t>)</w:t>
      </w:r>
      <w:r w:rsidR="00E7073B">
        <w:t xml:space="preserve">, </w:t>
      </w:r>
      <w:r w:rsidR="00056234">
        <w:t>as well as</w:t>
      </w:r>
      <w:r w:rsidR="007E3200">
        <w:t xml:space="preserve"> </w:t>
      </w:r>
      <w:r w:rsidR="00E7073B">
        <w:t xml:space="preserve">the </w:t>
      </w:r>
      <w:r w:rsidR="007E3200">
        <w:t>top 25 ports and inland ports and their approximately 75</w:t>
      </w:r>
      <w:r w:rsidR="00B74A7D">
        <w:t>-150</w:t>
      </w:r>
      <w:r w:rsidR="007E3200">
        <w:t xml:space="preserve"> </w:t>
      </w:r>
      <w:r w:rsidR="00F43B57">
        <w:t>intermodal terminal facilities</w:t>
      </w:r>
      <w:r w:rsidR="007F34C4">
        <w:t xml:space="preserve">, </w:t>
      </w:r>
      <w:r w:rsidR="00823B3E">
        <w:t xml:space="preserve">inland dry ports, </w:t>
      </w:r>
      <w:r w:rsidRPr="00E04952" w:rsidR="00E04952">
        <w:t>intermodal terminal facilities operators (e.g., ICTF</w:t>
      </w:r>
      <w:r w:rsidR="00F71C91">
        <w:t xml:space="preserve"> = </w:t>
      </w:r>
      <w:r w:rsidRPr="00F71C91" w:rsidR="00F71C91">
        <w:t>Intermodal Container Transfer Facility</w:t>
      </w:r>
      <w:r w:rsidRPr="00E04952" w:rsidR="00E04952">
        <w:t>)</w:t>
      </w:r>
      <w:r w:rsidR="007E3200">
        <w:t xml:space="preserve">.  The data of interest will yield statistics on the total intermodal marine container and chassis street dwell time and the chassis out of service rate to satisfy the OSRA 22 mandate.  </w:t>
      </w:r>
    </w:p>
    <w:p w:rsidR="00A40F47" w:rsidP="00A40F47" w:rsidRDefault="00A40F47" w14:paraId="6BB7C484" w14:textId="15BE0C37">
      <w:pPr>
        <w:spacing w:after="120"/>
        <w:rPr>
          <w:i/>
        </w:rPr>
      </w:pPr>
    </w:p>
    <w:p w:rsidR="002D37CC" w:rsidP="002D37CC" w:rsidRDefault="002D37CC" w14:paraId="09434EE3" w14:textId="63C3AFD3">
      <w:pPr>
        <w:widowControl w:val="0"/>
        <w:tabs>
          <w:tab w:val="left" w:pos="720"/>
        </w:tabs>
        <w:autoSpaceDE w:val="0"/>
        <w:autoSpaceDN w:val="0"/>
        <w:adjustRightInd w:val="0"/>
        <w:ind w:left="720" w:hanging="720"/>
        <w:rPr>
          <w:b/>
          <w:bCs/>
        </w:rPr>
      </w:pPr>
      <w:r>
        <w:rPr>
          <w:b/>
          <w:bCs/>
        </w:rPr>
        <w:t>B.1.</w:t>
      </w:r>
      <w:r>
        <w:rPr>
          <w:b/>
          <w:bCs/>
        </w:rPr>
        <w:tab/>
        <w:t>Describe the potential respondent universe and any sampling or other respondent selection method to be used.</w:t>
      </w:r>
    </w:p>
    <w:p w:rsidR="008751A9" w:rsidP="002D37CC" w:rsidRDefault="008751A9" w14:paraId="653D274A" w14:textId="77777777">
      <w:pPr>
        <w:widowControl w:val="0"/>
        <w:tabs>
          <w:tab w:val="left" w:pos="720"/>
        </w:tabs>
        <w:autoSpaceDE w:val="0"/>
        <w:autoSpaceDN w:val="0"/>
        <w:adjustRightInd w:val="0"/>
        <w:ind w:left="720" w:hanging="720"/>
        <w:rPr>
          <w:b/>
          <w:bCs/>
        </w:rPr>
      </w:pPr>
    </w:p>
    <w:p w:rsidR="002D37CC" w:rsidP="002D37CC" w:rsidRDefault="002D37CC" w14:paraId="37C25A90" w14:textId="156B9474">
      <w:pPr>
        <w:spacing w:after="120"/>
        <w:jc w:val="both"/>
        <w:rPr>
          <w:u w:val="single"/>
        </w:rPr>
      </w:pPr>
      <w:r w:rsidRPr="004F4783">
        <w:rPr>
          <w:u w:val="single"/>
        </w:rPr>
        <w:t>B.1.a.</w:t>
      </w:r>
      <w:r w:rsidRPr="004F4783">
        <w:rPr>
          <w:u w:val="single"/>
        </w:rPr>
        <w:tab/>
        <w:t>Respondent Universe</w:t>
      </w:r>
    </w:p>
    <w:p w:rsidRPr="0013292B" w:rsidR="0013292B" w:rsidP="002D37CC" w:rsidRDefault="0013292B" w14:paraId="5B2AE574" w14:textId="0CCB6C20">
      <w:pPr>
        <w:spacing w:after="120"/>
        <w:jc w:val="both"/>
      </w:pPr>
      <w:r>
        <w:t xml:space="preserve">The pilot data collection will draw from two unique response universes. </w:t>
      </w:r>
    </w:p>
    <w:p w:rsidR="0013292B" w:rsidP="00BC1D5E" w:rsidRDefault="0013292B" w14:paraId="72FB527D" w14:textId="2E45A9EB">
      <w:pPr>
        <w:spacing w:after="120"/>
        <w:jc w:val="both"/>
      </w:pPr>
      <w:r>
        <w:t xml:space="preserve">The first is the universe </w:t>
      </w:r>
      <w:r w:rsidR="00BC1D5E">
        <w:t xml:space="preserve">of chassis providers that have a fleet of 50 or more chassis that offer common-carriage service to the U.S. market for a fee.  </w:t>
      </w:r>
    </w:p>
    <w:p w:rsidRPr="0013292B" w:rsidR="0013292B" w:rsidP="1EE8F228" w:rsidRDefault="0013292B" w14:paraId="0538943B" w14:textId="206D2FFE">
      <w:pPr>
        <w:spacing w:after="120"/>
        <w:jc w:val="both"/>
      </w:pPr>
      <w:r>
        <w:t xml:space="preserve">The second is the universe of </w:t>
      </w:r>
      <w:r w:rsidR="006471F0">
        <w:t>intermodal shipping containers</w:t>
      </w:r>
      <w:r>
        <w:t xml:space="preserve"> at ports and inland ports.  The subpopulation of interest as determined by OSRA 22 will be the top 25 ports and inland ports by </w:t>
      </w:r>
      <w:r w:rsidRPr="1EE8F228" w:rsidR="1EE8F228">
        <w:lastRenderedPageBreak/>
        <w:t>total number of intermodal shipping containers (ISO</w:t>
      </w:r>
      <w:r w:rsidR="006471F0">
        <w:t xml:space="preserve"> 668</w:t>
      </w:r>
      <w:r w:rsidRPr="1EE8F228" w:rsidR="1EE8F228">
        <w:t>) handled as measured in twenty-foot equivalent units (TEU)</w:t>
      </w:r>
      <w:r>
        <w:t xml:space="preserve">.  </w:t>
      </w:r>
    </w:p>
    <w:p w:rsidR="1EE8F228" w:rsidP="1EE8F228" w:rsidRDefault="1EE8F228" w14:paraId="2DF7B2A1" w14:textId="48F50387">
      <w:pPr>
        <w:spacing w:after="120"/>
        <w:jc w:val="both"/>
        <w:rPr>
          <w:u w:val="single"/>
        </w:rPr>
      </w:pPr>
    </w:p>
    <w:p w:rsidR="002D37CC" w:rsidP="002D37CC" w:rsidRDefault="002D37CC" w14:paraId="4E53F4C5" w14:textId="5E741BCD">
      <w:pPr>
        <w:spacing w:after="120"/>
        <w:jc w:val="both"/>
        <w:rPr>
          <w:u w:val="single"/>
        </w:rPr>
      </w:pPr>
      <w:r w:rsidRPr="159CC1E8">
        <w:rPr>
          <w:u w:val="single"/>
        </w:rPr>
        <w:t>B.1.b.</w:t>
      </w:r>
      <w:r>
        <w:tab/>
      </w:r>
      <w:r w:rsidRPr="159CC1E8">
        <w:rPr>
          <w:u w:val="single"/>
        </w:rPr>
        <w:t>Respondent Sampling</w:t>
      </w:r>
    </w:p>
    <w:p w:rsidRPr="004F4783" w:rsidR="0013292B" w:rsidP="159CC1E8" w:rsidRDefault="159CC1E8" w14:paraId="1CCA32F1" w14:textId="0C905FA6">
      <w:pPr>
        <w:spacing w:after="120"/>
        <w:jc w:val="both"/>
      </w:pPr>
      <w:r w:rsidRPr="1EE8F228">
        <w:t>Just as the data collection will draw from two unique response universes, there will be two respondent samples for the data collection.</w:t>
      </w:r>
    </w:p>
    <w:p w:rsidRPr="004F4783" w:rsidR="0013292B" w:rsidP="159CC1E8" w:rsidRDefault="159CC1E8" w14:paraId="262DDD08" w14:textId="24252791">
      <w:pPr>
        <w:spacing w:after="120"/>
        <w:jc w:val="both"/>
      </w:pPr>
      <w:r w:rsidRPr="6EC41006">
        <w:t xml:space="preserve">The sample of </w:t>
      </w:r>
      <w:r w:rsidR="00BC1D5E">
        <w:t xml:space="preserve">common-carriage </w:t>
      </w:r>
      <w:r w:rsidRPr="6EC41006">
        <w:t xml:space="preserve">chassis </w:t>
      </w:r>
      <w:r w:rsidR="00500B74">
        <w:t xml:space="preserve">owners and/or </w:t>
      </w:r>
      <w:r w:rsidR="00E13022">
        <w:t xml:space="preserve">providers </w:t>
      </w:r>
      <w:r w:rsidRPr="6EC41006">
        <w:t>will be drawn from the universe of IEPs</w:t>
      </w:r>
      <w:r w:rsidR="00500B74">
        <w:t xml:space="preserve">.  </w:t>
      </w:r>
      <w:r w:rsidRPr="6EC41006">
        <w:t>The sample will be selected from just those IEPs that have over 50 chassis that supply chassis for a fee, as identified by OSRA 22.</w:t>
      </w:r>
      <w:r w:rsidR="005943C5">
        <w:t xml:space="preserve"> </w:t>
      </w:r>
      <w:r w:rsidR="00227865">
        <w:t xml:space="preserve">The sample of </w:t>
      </w:r>
      <w:r w:rsidR="001C3010">
        <w:t xml:space="preserve">chassis owners </w:t>
      </w:r>
      <w:r w:rsidR="00273530">
        <w:t>and/or providers will be s</w:t>
      </w:r>
      <w:r w:rsidR="0073113C">
        <w:t xml:space="preserve">tratified by </w:t>
      </w:r>
      <w:r w:rsidR="00071F6F">
        <w:t>business characteristics and sampled to ensure every type of chassis</w:t>
      </w:r>
      <w:r w:rsidR="00CB73E8">
        <w:t xml:space="preserve"> owner and/or</w:t>
      </w:r>
      <w:r w:rsidR="00071F6F">
        <w:t xml:space="preserve"> provider is interviewed to understand the full scope of providers and the variations</w:t>
      </w:r>
      <w:r w:rsidR="006E12B1">
        <w:t xml:space="preserve"> </w:t>
      </w:r>
      <w:r w:rsidR="00071F6F">
        <w:t xml:space="preserve">in </w:t>
      </w:r>
      <w:r w:rsidR="007149D2">
        <w:t>their dat</w:t>
      </w:r>
      <w:r w:rsidR="00AD27B1">
        <w:t xml:space="preserve">a; i.e. type, storage, access to, and possible limitations. </w:t>
      </w:r>
    </w:p>
    <w:p w:rsidRPr="004F4783" w:rsidR="0013292B" w:rsidP="1EE8F228" w:rsidRDefault="159CC1E8" w14:paraId="5A3BA04D" w14:textId="4DF10A56">
      <w:pPr>
        <w:spacing w:after="120"/>
        <w:jc w:val="both"/>
      </w:pPr>
      <w:r w:rsidRPr="1EE8F228">
        <w:t>The sample of the top 25 ports will be selected by ranking t</w:t>
      </w:r>
      <w:r w:rsidRPr="1EE8F228" w:rsidR="1EE8F228">
        <w:t>he ports by the total number of intermodal shipping containers (ISO/maritime and domestic) handled as measured in twenty-foot equivalent units (TEU), as defined by either:</w:t>
      </w:r>
    </w:p>
    <w:p w:rsidRPr="004F4783" w:rsidR="0013292B" w:rsidP="159CC1E8" w:rsidRDefault="159CC1E8" w14:paraId="24ABFF65" w14:textId="2153764B">
      <w:pPr>
        <w:pStyle w:val="ListParagraph"/>
        <w:numPr>
          <w:ilvl w:val="0"/>
          <w:numId w:val="4"/>
        </w:numPr>
        <w:spacing w:after="120"/>
        <w:jc w:val="both"/>
        <w:rPr>
          <w:rFonts w:asciiTheme="minorHAnsi" w:hAnsiTheme="minorHAnsi" w:eastAsiaTheme="minorEastAsia" w:cstheme="minorBidi"/>
        </w:rPr>
      </w:pPr>
      <w:r w:rsidRPr="159CC1E8">
        <w:t xml:space="preserve">Top 25 container ports only including ocean and inland waterway ports by TEU; or </w:t>
      </w:r>
    </w:p>
    <w:p w:rsidR="0013292B" w:rsidP="00761444" w:rsidRDefault="159CC1E8" w14:paraId="31356A97" w14:textId="6C9D2454">
      <w:pPr>
        <w:pStyle w:val="ListParagraph"/>
        <w:numPr>
          <w:ilvl w:val="0"/>
          <w:numId w:val="4"/>
        </w:numPr>
        <w:spacing w:after="120"/>
        <w:jc w:val="both"/>
      </w:pPr>
      <w:r w:rsidRPr="1EE8F228">
        <w:t>Top 25 container ports including ocean ports, inland waterway ports and inland dry ports/inland intermodal rail terminals by TEU</w:t>
      </w:r>
    </w:p>
    <w:p w:rsidRPr="004F4783" w:rsidR="00947514" w:rsidP="00761444" w:rsidRDefault="00947514" w14:paraId="6567E83F" w14:textId="7E32188E">
      <w:pPr>
        <w:spacing w:after="120"/>
        <w:jc w:val="both"/>
      </w:pPr>
      <w:r>
        <w:t>The ports will then be further sampled</w:t>
      </w:r>
      <w:r w:rsidR="00401204">
        <w:t xml:space="preserve">, first </w:t>
      </w:r>
      <w:r>
        <w:t>by geogr</w:t>
      </w:r>
      <w:r w:rsidR="007844B5">
        <w:t xml:space="preserve">aphy </w:t>
      </w:r>
      <w:r w:rsidR="00071CED">
        <w:t xml:space="preserve">and </w:t>
      </w:r>
      <w:r w:rsidR="00401204">
        <w:t xml:space="preserve">then by </w:t>
      </w:r>
      <w:r w:rsidR="00071CED">
        <w:t xml:space="preserve">size </w:t>
      </w:r>
      <w:r w:rsidR="007844B5">
        <w:t xml:space="preserve">to </w:t>
      </w:r>
      <w:r w:rsidR="00E5771B">
        <w:t xml:space="preserve">ensure that </w:t>
      </w:r>
      <w:r w:rsidR="00E00CF4">
        <w:t xml:space="preserve">the interviews </w:t>
      </w:r>
      <w:r w:rsidR="00777D47">
        <w:t xml:space="preserve">gather </w:t>
      </w:r>
      <w:r w:rsidR="00EC2889">
        <w:t xml:space="preserve">a full picture </w:t>
      </w:r>
      <w:r w:rsidR="003F24E0">
        <w:t xml:space="preserve">on the variations in the ways in which ports gather, store, and supply access to their </w:t>
      </w:r>
      <w:r w:rsidR="00BC1D5E">
        <w:t>data,</w:t>
      </w:r>
      <w:r w:rsidR="003F24E0">
        <w:t xml:space="preserve"> in addition to all possible data limitations. </w:t>
      </w:r>
    </w:p>
    <w:p w:rsidRPr="004F4783" w:rsidR="0013292B" w:rsidP="159CC1E8" w:rsidRDefault="0013292B" w14:paraId="7EED9E32" w14:textId="6EF835AF">
      <w:pPr>
        <w:spacing w:after="120"/>
        <w:jc w:val="both"/>
      </w:pPr>
    </w:p>
    <w:p w:rsidRPr="004F4783" w:rsidR="002D37CC" w:rsidP="002D37CC" w:rsidRDefault="002D37CC" w14:paraId="52D2971E" w14:textId="77777777">
      <w:pPr>
        <w:spacing w:after="120"/>
        <w:jc w:val="both"/>
        <w:rPr>
          <w:u w:val="single"/>
        </w:rPr>
      </w:pPr>
      <w:r w:rsidRPr="159CC1E8">
        <w:rPr>
          <w:u w:val="single"/>
        </w:rPr>
        <w:t>B.1.b.1 Sampling Frame</w:t>
      </w:r>
    </w:p>
    <w:p w:rsidR="159CC1E8" w:rsidP="159CC1E8" w:rsidRDefault="159CC1E8" w14:paraId="07CF16E6" w14:textId="1A0AC56E">
      <w:pPr>
        <w:spacing w:after="120"/>
        <w:jc w:val="both"/>
      </w:pPr>
      <w:r w:rsidRPr="1EE8F228">
        <w:t>The sampling frame for chassis providers will come from the Federal Motor Carrier Safety Administration’s mandatory IEP registration list.</w:t>
      </w:r>
    </w:p>
    <w:p w:rsidR="159CC1E8" w:rsidP="159CC1E8" w:rsidRDefault="159CC1E8" w14:paraId="44E83443" w14:textId="5B522AFA">
      <w:pPr>
        <w:spacing w:after="120"/>
        <w:jc w:val="both"/>
      </w:pPr>
      <w:r w:rsidRPr="1EE8F228">
        <w:t xml:space="preserve">The sampling frame for </w:t>
      </w:r>
      <w:r w:rsidR="006471F0">
        <w:t>intermodal shipping containers</w:t>
      </w:r>
      <w:r w:rsidRPr="1EE8F228">
        <w:t xml:space="preserve"> at the top 25 ports will be synthesized through several different sources, including port authority</w:t>
      </w:r>
      <w:r w:rsidR="00BC1D5E">
        <w:t xml:space="preserve"> data</w:t>
      </w:r>
      <w:r w:rsidRPr="1EE8F228">
        <w:t xml:space="preserve"> and the </w:t>
      </w:r>
      <w:r w:rsidR="00E80C32">
        <w:t xml:space="preserve">U.S. </w:t>
      </w:r>
      <w:r w:rsidRPr="1EE8F228">
        <w:t xml:space="preserve">Army Corps of Engineers container port data.  </w:t>
      </w:r>
    </w:p>
    <w:p w:rsidR="002F1062" w:rsidP="159CC1E8" w:rsidRDefault="002F1062" w14:paraId="316E09A0" w14:textId="77777777">
      <w:pPr>
        <w:spacing w:after="120"/>
        <w:jc w:val="both"/>
      </w:pPr>
    </w:p>
    <w:p w:rsidR="3B5F806F" w:rsidP="3B5F806F" w:rsidRDefault="3B5F806F" w14:paraId="2A20C773" w14:textId="1600F86C">
      <w:pPr>
        <w:spacing w:after="120"/>
        <w:jc w:val="both"/>
        <w:rPr>
          <w:u w:val="single"/>
        </w:rPr>
      </w:pPr>
      <w:r w:rsidRPr="3B5F806F">
        <w:rPr>
          <w:u w:val="single"/>
        </w:rPr>
        <w:t>B.1.c.1 Data Elements</w:t>
      </w:r>
    </w:p>
    <w:p w:rsidR="3B5F806F" w:rsidP="3B5F806F" w:rsidRDefault="3B5F806F" w14:paraId="434F18DA" w14:textId="2B9D51D5">
      <w:pPr>
        <w:spacing w:after="120"/>
        <w:jc w:val="both"/>
        <w:rPr>
          <w:u w:val="single"/>
        </w:rPr>
      </w:pPr>
      <w:r w:rsidRPr="1EE8F228">
        <w:t xml:space="preserve">The pilot will begin with exploratory interviews to gather </w:t>
      </w:r>
      <w:r w:rsidR="000B78F6">
        <w:t xml:space="preserve">what data elements are available to </w:t>
      </w:r>
      <w:r w:rsidR="00742BAB">
        <w:t xml:space="preserve">inform </w:t>
      </w:r>
      <w:r w:rsidR="00092C6F">
        <w:t xml:space="preserve">the necessary </w:t>
      </w:r>
      <w:r w:rsidR="00761444">
        <w:t>statistics requested in OSRA 22</w:t>
      </w:r>
      <w:r w:rsidR="001E080E">
        <w:t xml:space="preserve">, as well as </w:t>
      </w:r>
      <w:r w:rsidR="00BF5303">
        <w:t xml:space="preserve">how the data is stored, </w:t>
      </w:r>
      <w:r w:rsidR="000330FD">
        <w:t xml:space="preserve">how frequently it is updated, how it can be transferred </w:t>
      </w:r>
      <w:r w:rsidR="00D0691C">
        <w:t xml:space="preserve">and </w:t>
      </w:r>
      <w:r w:rsidR="0040524A">
        <w:t>any limitations</w:t>
      </w:r>
      <w:r w:rsidR="00092C6F">
        <w:t xml:space="preserve"> of the data</w:t>
      </w:r>
      <w:r w:rsidR="0040524A">
        <w:t xml:space="preserve">. </w:t>
      </w:r>
      <w:r w:rsidR="006E24F5">
        <w:t xml:space="preserve"> </w:t>
      </w:r>
      <w:r w:rsidR="0099206F">
        <w:t>This information</w:t>
      </w:r>
      <w:r w:rsidR="00DD77B3">
        <w:t xml:space="preserve"> and</w:t>
      </w:r>
      <w:r w:rsidR="00264DC6">
        <w:t xml:space="preserve">, if possible, </w:t>
      </w:r>
      <w:r w:rsidR="00DD77B3">
        <w:t>preliminary data</w:t>
      </w:r>
      <w:r w:rsidR="0099206F">
        <w:t xml:space="preserve"> will </w:t>
      </w:r>
      <w:r w:rsidR="006E1E1B">
        <w:t xml:space="preserve">be </w:t>
      </w:r>
      <w:r w:rsidR="004A2F05">
        <w:t>used to</w:t>
      </w:r>
      <w:r w:rsidR="00DD77B3">
        <w:t xml:space="preserve"> </w:t>
      </w:r>
      <w:r w:rsidRPr="1EE8F228">
        <w:t xml:space="preserve">further define and develop a National OSRA data collection program.  Tables 1 and 2 give an overview of the types of data </w:t>
      </w:r>
      <w:r w:rsidR="00367176">
        <w:t xml:space="preserve">that </w:t>
      </w:r>
      <w:r w:rsidRPr="1EE8F228">
        <w:t xml:space="preserve">will possibly be collected to develop national marine container and chassis dwell time statistics, as well as chassis out of service statistics.  </w:t>
      </w:r>
    </w:p>
    <w:p w:rsidR="3B5F806F" w:rsidP="3B5F806F" w:rsidRDefault="3B5F806F" w14:paraId="0FF368C3" w14:textId="595AE034">
      <w:pPr>
        <w:spacing w:after="120"/>
        <w:jc w:val="both"/>
        <w:rPr>
          <w:u w:val="single"/>
        </w:rPr>
      </w:pPr>
    </w:p>
    <w:p w:rsidR="006471F0" w:rsidRDefault="006471F0" w14:paraId="254C0EB2" w14:textId="77777777">
      <w:pPr>
        <w:spacing w:after="160" w:line="259" w:lineRule="auto"/>
      </w:pPr>
      <w:r>
        <w:br w:type="page"/>
      </w:r>
    </w:p>
    <w:p w:rsidR="159CC1E8" w:rsidP="159CC1E8" w:rsidRDefault="159CC1E8" w14:paraId="21BD6FA6" w14:textId="3491F9D3">
      <w:pPr>
        <w:jc w:val="both"/>
      </w:pPr>
      <w:r w:rsidRPr="159CC1E8">
        <w:lastRenderedPageBreak/>
        <w:t xml:space="preserve">Table 1. </w:t>
      </w:r>
      <w:bookmarkStart w:name="_Hlk109992980" w:id="0"/>
      <w:r w:rsidRPr="159CC1E8">
        <w:t xml:space="preserve">Possible Intermodal </w:t>
      </w:r>
      <w:r w:rsidR="008241B7">
        <w:t>Shipping</w:t>
      </w:r>
      <w:r w:rsidRPr="159CC1E8" w:rsidR="008241B7">
        <w:t xml:space="preserve"> </w:t>
      </w:r>
      <w:r w:rsidRPr="159CC1E8">
        <w:t>Container Data Elements to be Collected</w:t>
      </w:r>
      <w:bookmarkEnd w:id="0"/>
    </w:p>
    <w:tbl>
      <w:tblPr>
        <w:tblStyle w:val="TableGrid"/>
        <w:tblW w:w="9060" w:type="dxa"/>
        <w:tblInd w:w="-10" w:type="dxa"/>
        <w:tblLayout w:type="fixed"/>
        <w:tblLook w:val="04A0" w:firstRow="1" w:lastRow="0" w:firstColumn="1" w:lastColumn="0" w:noHBand="0" w:noVBand="1"/>
      </w:tblPr>
      <w:tblGrid>
        <w:gridCol w:w="1560"/>
        <w:gridCol w:w="1575"/>
        <w:gridCol w:w="1710"/>
        <w:gridCol w:w="1740"/>
        <w:gridCol w:w="2475"/>
      </w:tblGrid>
      <w:tr w:rsidR="00761444" w:rsidTr="00761444" w14:paraId="4F4BC503" w14:textId="7D507072">
        <w:trPr>
          <w:trHeight w:val="700"/>
        </w:trPr>
        <w:tc>
          <w:tcPr>
            <w:tcW w:w="1560" w:type="dxa"/>
            <w:tcBorders>
              <w:top w:val="single" w:color="4472C4" w:themeColor="accent1" w:sz="8" w:space="0"/>
              <w:left w:val="single" w:color="4472C4" w:themeColor="accent1" w:sz="8" w:space="0"/>
              <w:bottom w:val="nil"/>
              <w:right w:val="nil"/>
            </w:tcBorders>
            <w:shd w:val="clear" w:color="auto" w:fill="4472C4" w:themeFill="accent1"/>
          </w:tcPr>
          <w:p w:rsidR="00761444" w:rsidRDefault="00761444" w14:paraId="07D08458" w14:textId="0C4A8EE9">
            <w:r w:rsidRPr="159CC1E8">
              <w:rPr>
                <w:b/>
                <w:bCs/>
                <w:color w:val="FFFFFF" w:themeColor="background1"/>
              </w:rPr>
              <w:t>Data Element</w:t>
            </w:r>
          </w:p>
        </w:tc>
        <w:tc>
          <w:tcPr>
            <w:tcW w:w="1575" w:type="dxa"/>
            <w:tcBorders>
              <w:top w:val="single" w:color="4472C4" w:themeColor="accent1" w:sz="8" w:space="0"/>
              <w:left w:val="nil"/>
              <w:bottom w:val="nil"/>
              <w:right w:val="nil"/>
            </w:tcBorders>
            <w:shd w:val="clear" w:color="auto" w:fill="4472C4" w:themeFill="accent1"/>
          </w:tcPr>
          <w:p w:rsidR="00761444" w:rsidRDefault="00761444" w14:paraId="224238F0" w14:textId="0F17C4E4">
            <w:r w:rsidRPr="159CC1E8">
              <w:rPr>
                <w:b/>
                <w:bCs/>
                <w:color w:val="FFFFFF" w:themeColor="background1"/>
              </w:rPr>
              <w:t>Unit</w:t>
            </w:r>
          </w:p>
        </w:tc>
        <w:tc>
          <w:tcPr>
            <w:tcW w:w="1710" w:type="dxa"/>
            <w:tcBorders>
              <w:top w:val="single" w:color="4472C4" w:themeColor="accent1" w:sz="8" w:space="0"/>
              <w:left w:val="nil"/>
              <w:bottom w:val="nil"/>
              <w:right w:val="nil"/>
            </w:tcBorders>
            <w:shd w:val="clear" w:color="auto" w:fill="4472C4" w:themeFill="accent1"/>
          </w:tcPr>
          <w:p w:rsidR="00761444" w:rsidRDefault="00761444" w14:paraId="253E435F" w14:textId="5172E59C">
            <w:r w:rsidRPr="159CC1E8">
              <w:rPr>
                <w:b/>
                <w:bCs/>
                <w:color w:val="FFFFFF" w:themeColor="background1"/>
              </w:rPr>
              <w:t>Frequency</w:t>
            </w:r>
          </w:p>
        </w:tc>
        <w:tc>
          <w:tcPr>
            <w:tcW w:w="1740" w:type="dxa"/>
            <w:tcBorders>
              <w:top w:val="single" w:color="4472C4" w:themeColor="accent1" w:sz="8" w:space="0"/>
              <w:left w:val="nil"/>
              <w:bottom w:val="nil"/>
              <w:right w:val="nil"/>
            </w:tcBorders>
            <w:shd w:val="clear" w:color="auto" w:fill="4472C4" w:themeFill="accent1"/>
          </w:tcPr>
          <w:p w:rsidR="00761444" w:rsidRDefault="00761444" w14:paraId="7CF90C78" w14:textId="34DDC4F4">
            <w:r w:rsidRPr="159CC1E8">
              <w:rPr>
                <w:b/>
                <w:bCs/>
                <w:color w:val="FFFFFF" w:themeColor="background1"/>
              </w:rPr>
              <w:t>Node</w:t>
            </w:r>
          </w:p>
        </w:tc>
        <w:tc>
          <w:tcPr>
            <w:tcW w:w="2475" w:type="dxa"/>
            <w:tcBorders>
              <w:top w:val="single" w:color="4472C4" w:themeColor="accent1" w:sz="8" w:space="0"/>
              <w:left w:val="nil"/>
              <w:bottom w:val="nil"/>
              <w:right w:val="single" w:color="4472C4" w:themeColor="accent1" w:sz="8" w:space="0"/>
            </w:tcBorders>
            <w:shd w:val="clear" w:color="auto" w:fill="4472C4" w:themeFill="accent1"/>
          </w:tcPr>
          <w:p w:rsidR="00761444" w:rsidRDefault="00761444" w14:paraId="40EE2253" w14:textId="2BC4D8EA">
            <w:r w:rsidRPr="159CC1E8">
              <w:rPr>
                <w:b/>
                <w:bCs/>
                <w:color w:val="FFFFFF" w:themeColor="background1"/>
              </w:rPr>
              <w:t>Owner/Provider</w:t>
            </w:r>
          </w:p>
        </w:tc>
      </w:tr>
      <w:tr w:rsidR="00761444" w:rsidTr="00761444" w14:paraId="27396533" w14:textId="65972863">
        <w:trPr>
          <w:trHeight w:val="1140"/>
        </w:trPr>
        <w:tc>
          <w:tcPr>
            <w:tcW w:w="1560" w:type="dxa"/>
            <w:tcBorders>
              <w:top w:val="single" w:color="4472C4" w:themeColor="accent1" w:sz="8" w:space="0"/>
              <w:left w:val="single" w:color="4472C4" w:themeColor="accent1" w:sz="8" w:space="0"/>
              <w:bottom w:val="single" w:color="4472C4" w:themeColor="accent1" w:sz="8" w:space="0"/>
              <w:right w:val="nil"/>
            </w:tcBorders>
            <w:shd w:val="clear" w:color="auto" w:fill="FFFFFF" w:themeFill="background1"/>
          </w:tcPr>
          <w:p w:rsidR="00761444" w:rsidP="0020402E" w:rsidRDefault="00761444" w14:paraId="6A47471D" w14:textId="661C4E51">
            <w:r>
              <w:rPr>
                <w:b/>
                <w:bCs/>
                <w:color w:val="000000" w:themeColor="text1"/>
              </w:rPr>
              <w:t>Intermodal shipping</w:t>
            </w:r>
            <w:r w:rsidRPr="159CC1E8">
              <w:rPr>
                <w:b/>
                <w:bCs/>
                <w:color w:val="000000" w:themeColor="text1"/>
              </w:rPr>
              <w:t xml:space="preserve"> container </w:t>
            </w:r>
            <w:r>
              <w:rPr>
                <w:b/>
                <w:bCs/>
                <w:color w:val="000000" w:themeColor="text1"/>
              </w:rPr>
              <w:t>u</w:t>
            </w:r>
            <w:r w:rsidRPr="159CC1E8">
              <w:rPr>
                <w:b/>
                <w:bCs/>
                <w:color w:val="000000" w:themeColor="text1"/>
              </w:rPr>
              <w:t>niverse</w:t>
            </w:r>
          </w:p>
        </w:tc>
        <w:tc>
          <w:tcPr>
            <w:tcW w:w="1575" w:type="dxa"/>
            <w:tcBorders>
              <w:top w:val="single" w:color="4472C4" w:themeColor="accent1" w:sz="8" w:space="0"/>
              <w:left w:val="nil"/>
              <w:bottom w:val="single" w:color="4472C4" w:themeColor="accent1" w:sz="8" w:space="0"/>
              <w:right w:val="nil"/>
            </w:tcBorders>
          </w:tcPr>
          <w:p w:rsidR="00761444" w:rsidP="0020402E" w:rsidRDefault="00761444" w14:paraId="59DA96DA" w14:textId="4D1E3A4E">
            <w:r w:rsidRPr="159CC1E8">
              <w:t xml:space="preserve">Estimated total number of </w:t>
            </w:r>
            <w:r>
              <w:t>intermodal shipping containers</w:t>
            </w:r>
            <w:r w:rsidRPr="159CC1E8">
              <w:t xml:space="preserve"> </w:t>
            </w:r>
            <w:r>
              <w:t>as measured by</w:t>
            </w:r>
            <w:r w:rsidRPr="159CC1E8">
              <w:t xml:space="preserve"> TEU</w:t>
            </w:r>
            <w:r>
              <w:t xml:space="preserve"> in the US</w:t>
            </w:r>
          </w:p>
        </w:tc>
        <w:tc>
          <w:tcPr>
            <w:tcW w:w="1710" w:type="dxa"/>
            <w:tcBorders>
              <w:top w:val="single" w:color="4472C4" w:themeColor="accent1" w:sz="8" w:space="0"/>
              <w:left w:val="nil"/>
              <w:bottom w:val="single" w:color="4472C4" w:themeColor="accent1" w:sz="8" w:space="0"/>
              <w:right w:val="nil"/>
            </w:tcBorders>
          </w:tcPr>
          <w:p w:rsidR="00761444" w:rsidP="0020402E" w:rsidRDefault="00761444" w14:paraId="26457C7D" w14:textId="02F5AC15">
            <w:r w:rsidRPr="159CC1E8">
              <w:t>Monthly</w:t>
            </w:r>
          </w:p>
        </w:tc>
        <w:tc>
          <w:tcPr>
            <w:tcW w:w="1740" w:type="dxa"/>
            <w:tcBorders>
              <w:top w:val="single" w:color="4472C4" w:themeColor="accent1" w:sz="8" w:space="0"/>
              <w:left w:val="nil"/>
              <w:bottom w:val="single" w:color="4472C4" w:themeColor="accent1" w:sz="8" w:space="0"/>
              <w:right w:val="nil"/>
            </w:tcBorders>
          </w:tcPr>
          <w:p w:rsidR="00761444" w:rsidP="0020402E" w:rsidRDefault="00761444" w14:paraId="21E615B1" w14:textId="03130AC3">
            <w:r w:rsidRPr="159CC1E8">
              <w:t>Country of origin, port of destination, rail yard, end destination</w:t>
            </w:r>
          </w:p>
        </w:tc>
        <w:tc>
          <w:tcPr>
            <w:tcW w:w="2475" w:type="dxa"/>
            <w:tcBorders>
              <w:top w:val="single" w:color="4472C4" w:themeColor="accent1" w:sz="8" w:space="0"/>
              <w:left w:val="nil"/>
              <w:bottom w:val="single" w:color="4472C4" w:themeColor="accent1" w:sz="8" w:space="0"/>
              <w:right w:val="single" w:color="4472C4" w:themeColor="accent1" w:sz="8" w:space="0"/>
            </w:tcBorders>
          </w:tcPr>
          <w:p w:rsidR="00761444" w:rsidP="0020402E" w:rsidRDefault="00761444" w14:paraId="3C85DB0F" w14:textId="1D92F00A">
            <w:bookmarkStart w:name="_Hlk109993000" w:id="1"/>
            <w:r>
              <w:t>Ocean Carrier, Port, including inland dry ports</w:t>
            </w:r>
            <w:r w:rsidRPr="00E158BD">
              <w:t xml:space="preserve"> </w:t>
            </w:r>
            <w:r>
              <w:t xml:space="preserve">/ </w:t>
            </w:r>
            <w:r w:rsidRPr="00E158BD">
              <w:t>Marine terminal operator, intermodal terminal facilities operators (e.g., ICTF)</w:t>
            </w:r>
            <w:bookmarkEnd w:id="1"/>
          </w:p>
        </w:tc>
      </w:tr>
      <w:tr w:rsidR="00761444" w:rsidTr="00761444" w14:paraId="00AA2BD2" w14:textId="477B6834">
        <w:trPr>
          <w:trHeight w:val="1140"/>
        </w:trPr>
        <w:tc>
          <w:tcPr>
            <w:tcW w:w="1560" w:type="dxa"/>
            <w:tcBorders>
              <w:top w:val="single" w:color="4472C4" w:themeColor="accent1" w:sz="8" w:space="0"/>
              <w:left w:val="single" w:color="4472C4" w:themeColor="accent1" w:sz="8" w:space="0"/>
              <w:bottom w:val="nil"/>
              <w:right w:val="nil"/>
            </w:tcBorders>
            <w:shd w:val="clear" w:color="auto" w:fill="FFFFFF" w:themeFill="background1"/>
          </w:tcPr>
          <w:p w:rsidR="00761444" w:rsidP="0020402E" w:rsidRDefault="00761444" w14:paraId="4BBCCAA3" w14:textId="4E5FBA96">
            <w:bookmarkStart w:name="_Hlk109992793" w:id="2"/>
            <w:r>
              <w:rPr>
                <w:b/>
                <w:bCs/>
                <w:color w:val="000000" w:themeColor="text1"/>
              </w:rPr>
              <w:t>Intermodal shipping</w:t>
            </w:r>
            <w:r w:rsidRPr="159CC1E8">
              <w:rPr>
                <w:b/>
                <w:bCs/>
                <w:color w:val="000000" w:themeColor="text1"/>
              </w:rPr>
              <w:t xml:space="preserve"> container</w:t>
            </w:r>
            <w:bookmarkEnd w:id="2"/>
            <w:r>
              <w:rPr>
                <w:b/>
                <w:bCs/>
                <w:color w:val="000000" w:themeColor="text1"/>
              </w:rPr>
              <w:t>s at the top 25 ports</w:t>
            </w:r>
          </w:p>
        </w:tc>
        <w:tc>
          <w:tcPr>
            <w:tcW w:w="1575" w:type="dxa"/>
            <w:tcBorders>
              <w:top w:val="single" w:color="4472C4" w:themeColor="accent1" w:sz="8" w:space="0"/>
              <w:left w:val="nil"/>
              <w:bottom w:val="nil"/>
              <w:right w:val="nil"/>
            </w:tcBorders>
          </w:tcPr>
          <w:p w:rsidR="00761444" w:rsidP="0020402E" w:rsidRDefault="00761444" w14:paraId="6ECEBDF8" w14:textId="786BB209">
            <w:r w:rsidRPr="159CC1E8">
              <w:t>Estimated total</w:t>
            </w:r>
            <w:r>
              <w:t xml:space="preserve"> </w:t>
            </w:r>
            <w:r w:rsidRPr="159CC1E8">
              <w:t xml:space="preserve">number of </w:t>
            </w:r>
            <w:r>
              <w:t>intermodal shipping containers</w:t>
            </w:r>
            <w:r w:rsidRPr="159CC1E8">
              <w:t xml:space="preserve"> </w:t>
            </w:r>
            <w:r>
              <w:t>as measured by</w:t>
            </w:r>
            <w:r w:rsidRPr="159CC1E8">
              <w:t xml:space="preserve"> TEU</w:t>
            </w:r>
            <w:r>
              <w:t xml:space="preserve"> surveyed at the top 25 ports</w:t>
            </w:r>
          </w:p>
        </w:tc>
        <w:tc>
          <w:tcPr>
            <w:tcW w:w="1710" w:type="dxa"/>
            <w:tcBorders>
              <w:top w:val="single" w:color="4472C4" w:themeColor="accent1" w:sz="8" w:space="0"/>
              <w:left w:val="nil"/>
              <w:bottom w:val="nil"/>
              <w:right w:val="nil"/>
            </w:tcBorders>
          </w:tcPr>
          <w:p w:rsidR="00761444" w:rsidP="0020402E" w:rsidRDefault="00761444" w14:paraId="7853439C" w14:textId="2A42D036">
            <w:r w:rsidRPr="159CC1E8">
              <w:t>Monthly</w:t>
            </w:r>
          </w:p>
        </w:tc>
        <w:tc>
          <w:tcPr>
            <w:tcW w:w="1740" w:type="dxa"/>
            <w:tcBorders>
              <w:top w:val="single" w:color="4472C4" w:themeColor="accent1" w:sz="8" w:space="0"/>
              <w:left w:val="nil"/>
              <w:bottom w:val="nil"/>
              <w:right w:val="nil"/>
            </w:tcBorders>
          </w:tcPr>
          <w:p w:rsidR="00761444" w:rsidP="0020402E" w:rsidRDefault="00761444" w14:paraId="25F7F6B1" w14:textId="7938206E">
            <w:r w:rsidRPr="159CC1E8">
              <w:t>Port of origin, port of destination, rail yard, end destination</w:t>
            </w:r>
          </w:p>
        </w:tc>
        <w:tc>
          <w:tcPr>
            <w:tcW w:w="2475" w:type="dxa"/>
            <w:tcBorders>
              <w:top w:val="single" w:color="4472C4" w:themeColor="accent1" w:sz="8" w:space="0"/>
              <w:left w:val="nil"/>
              <w:bottom w:val="nil"/>
              <w:right w:val="single" w:color="4472C4" w:themeColor="accent1" w:sz="8" w:space="0"/>
            </w:tcBorders>
          </w:tcPr>
          <w:p w:rsidR="00761444" w:rsidP="0020402E" w:rsidRDefault="00761444" w14:paraId="1B701634" w14:textId="17E84C8D">
            <w:r>
              <w:t>Ocean Carrier, Port, including inland dry ports</w:t>
            </w:r>
            <w:r w:rsidRPr="00E158BD">
              <w:t xml:space="preserve"> </w:t>
            </w:r>
            <w:r>
              <w:t xml:space="preserve">/ </w:t>
            </w:r>
            <w:r w:rsidRPr="00E158BD">
              <w:t>Marine terminal operator, intermodal terminal facilities operators (e.g., ICTF)</w:t>
            </w:r>
          </w:p>
        </w:tc>
      </w:tr>
      <w:tr w:rsidR="00761444" w:rsidTr="00761444" w14:paraId="474CEFC2" w14:textId="53BEA9D9">
        <w:trPr>
          <w:trHeight w:val="1290"/>
        </w:trPr>
        <w:tc>
          <w:tcPr>
            <w:tcW w:w="1560" w:type="dxa"/>
            <w:tcBorders>
              <w:top w:val="single" w:color="4472C4" w:themeColor="accent1" w:sz="8" w:space="0"/>
              <w:left w:val="single" w:color="4472C4" w:themeColor="accent1" w:sz="8" w:space="0"/>
              <w:bottom w:val="single" w:color="4472C4" w:themeColor="accent1" w:sz="8" w:space="0"/>
              <w:right w:val="nil"/>
            </w:tcBorders>
            <w:shd w:val="clear" w:color="auto" w:fill="FFFFFF" w:themeFill="background1"/>
          </w:tcPr>
          <w:p w:rsidR="00761444" w:rsidP="0020402E" w:rsidRDefault="00761444" w14:paraId="6BCB1E9E" w14:textId="3119DA48">
            <w:r w:rsidRPr="159CC1E8">
              <w:rPr>
                <w:b/>
                <w:bCs/>
                <w:color w:val="000000" w:themeColor="text1"/>
              </w:rPr>
              <w:t xml:space="preserve">Available </w:t>
            </w:r>
            <w:r>
              <w:rPr>
                <w:b/>
                <w:bCs/>
                <w:color w:val="000000" w:themeColor="text1"/>
              </w:rPr>
              <w:t>intermodal shipping containers</w:t>
            </w:r>
            <w:r w:rsidRPr="159CC1E8">
              <w:rPr>
                <w:b/>
                <w:bCs/>
                <w:color w:val="000000" w:themeColor="text1"/>
              </w:rPr>
              <w:t xml:space="preserve"> </w:t>
            </w:r>
            <w:r>
              <w:rPr>
                <w:b/>
                <w:bCs/>
                <w:color w:val="000000" w:themeColor="text1"/>
              </w:rPr>
              <w:t>for export</w:t>
            </w:r>
          </w:p>
        </w:tc>
        <w:tc>
          <w:tcPr>
            <w:tcW w:w="1575" w:type="dxa"/>
            <w:tcBorders>
              <w:top w:val="single" w:color="4472C4" w:themeColor="accent1" w:sz="8" w:space="0"/>
              <w:left w:val="nil"/>
              <w:bottom w:val="single" w:color="4472C4" w:themeColor="accent1" w:sz="8" w:space="0"/>
              <w:right w:val="nil"/>
            </w:tcBorders>
          </w:tcPr>
          <w:p w:rsidR="00761444" w:rsidP="0020402E" w:rsidRDefault="00761444" w14:paraId="4F9D5B43" w14:textId="214F338A">
            <w:r w:rsidRPr="159CC1E8">
              <w:t xml:space="preserve">Estimated number of loaded or unloaded </w:t>
            </w:r>
            <w:r>
              <w:t>intermodal shipping containers surveyed from the top 25 ports</w:t>
            </w:r>
          </w:p>
        </w:tc>
        <w:tc>
          <w:tcPr>
            <w:tcW w:w="1710" w:type="dxa"/>
            <w:tcBorders>
              <w:top w:val="single" w:color="4472C4" w:themeColor="accent1" w:sz="8" w:space="0"/>
              <w:left w:val="nil"/>
              <w:bottom w:val="single" w:color="4472C4" w:themeColor="accent1" w:sz="8" w:space="0"/>
              <w:right w:val="nil"/>
            </w:tcBorders>
          </w:tcPr>
          <w:p w:rsidR="00761444" w:rsidP="0020402E" w:rsidRDefault="00761444" w14:paraId="06F19E4C" w14:textId="2F0F92DE">
            <w:r w:rsidRPr="159CC1E8">
              <w:t>Monthly</w:t>
            </w:r>
          </w:p>
        </w:tc>
        <w:tc>
          <w:tcPr>
            <w:tcW w:w="1740" w:type="dxa"/>
            <w:tcBorders>
              <w:top w:val="single" w:color="4472C4" w:themeColor="accent1" w:sz="8" w:space="0"/>
              <w:left w:val="nil"/>
              <w:bottom w:val="single" w:color="4472C4" w:themeColor="accent1" w:sz="8" w:space="0"/>
              <w:right w:val="nil"/>
            </w:tcBorders>
          </w:tcPr>
          <w:p w:rsidR="00761444" w:rsidP="0020402E" w:rsidRDefault="00761444" w14:paraId="71B5587B" w14:textId="17B00F4D">
            <w:r w:rsidRPr="159CC1E8">
              <w:t>Port of origin, destination marine terminal, rail yard, end destination</w:t>
            </w:r>
          </w:p>
        </w:tc>
        <w:tc>
          <w:tcPr>
            <w:tcW w:w="2475" w:type="dxa"/>
            <w:tcBorders>
              <w:top w:val="single" w:color="4472C4" w:themeColor="accent1" w:sz="8" w:space="0"/>
              <w:left w:val="nil"/>
              <w:bottom w:val="single" w:color="4472C4" w:themeColor="accent1" w:sz="8" w:space="0"/>
              <w:right w:val="single" w:color="4472C4" w:themeColor="accent1" w:sz="8" w:space="0"/>
            </w:tcBorders>
          </w:tcPr>
          <w:p w:rsidR="00761444" w:rsidP="0020402E" w:rsidRDefault="00761444" w14:paraId="72A15C51" w14:textId="3CB25965">
            <w:r>
              <w:t>Ocean Carrier? Port, including inland dry ports</w:t>
            </w:r>
            <w:r w:rsidRPr="00E158BD">
              <w:t xml:space="preserve"> </w:t>
            </w:r>
            <w:r>
              <w:t xml:space="preserve">/ </w:t>
            </w:r>
            <w:r w:rsidRPr="00E158BD">
              <w:t>Marine terminal operator, intermodal terminal facilities operators (e.g., ICTF)</w:t>
            </w:r>
          </w:p>
        </w:tc>
      </w:tr>
      <w:tr w:rsidR="00761444" w:rsidTr="00761444" w14:paraId="0AE70B9A" w14:textId="53B99060">
        <w:trPr>
          <w:trHeight w:val="1290"/>
        </w:trPr>
        <w:tc>
          <w:tcPr>
            <w:tcW w:w="1560" w:type="dxa"/>
            <w:tcBorders>
              <w:top w:val="single" w:color="4472C4" w:themeColor="accent1" w:sz="8" w:space="0"/>
              <w:left w:val="single" w:color="4472C4" w:themeColor="accent1" w:sz="8" w:space="0"/>
              <w:bottom w:val="single" w:color="4472C4" w:themeColor="accent1" w:sz="8" w:space="0"/>
              <w:right w:val="nil"/>
            </w:tcBorders>
            <w:shd w:val="clear" w:color="auto" w:fill="FFFFFF" w:themeFill="background1"/>
          </w:tcPr>
          <w:p w:rsidR="00761444" w:rsidP="0020402E" w:rsidRDefault="00761444" w14:paraId="7485308C" w14:textId="3A1DCCD4">
            <w:r w:rsidRPr="159CC1E8">
              <w:rPr>
                <w:b/>
                <w:bCs/>
                <w:color w:val="000000" w:themeColor="text1"/>
              </w:rPr>
              <w:t xml:space="preserve">Unavailable </w:t>
            </w:r>
            <w:r>
              <w:rPr>
                <w:b/>
                <w:bCs/>
                <w:color w:val="000000" w:themeColor="text1"/>
              </w:rPr>
              <w:t>intermodal shipping containers</w:t>
            </w:r>
            <w:r w:rsidRPr="159CC1E8">
              <w:rPr>
                <w:b/>
                <w:bCs/>
                <w:color w:val="000000" w:themeColor="text1"/>
              </w:rPr>
              <w:t xml:space="preserve"> </w:t>
            </w:r>
            <w:r>
              <w:rPr>
                <w:b/>
                <w:bCs/>
                <w:color w:val="000000" w:themeColor="text1"/>
              </w:rPr>
              <w:t>for export</w:t>
            </w:r>
          </w:p>
        </w:tc>
        <w:tc>
          <w:tcPr>
            <w:tcW w:w="1575" w:type="dxa"/>
            <w:tcBorders>
              <w:top w:val="single" w:color="4472C4" w:themeColor="accent1" w:sz="8" w:space="0"/>
              <w:left w:val="nil"/>
              <w:bottom w:val="single" w:color="4472C4" w:themeColor="accent1" w:sz="8" w:space="0"/>
              <w:right w:val="nil"/>
            </w:tcBorders>
          </w:tcPr>
          <w:p w:rsidR="00761444" w:rsidP="0020402E" w:rsidRDefault="00761444" w14:paraId="7D60B796" w14:textId="51C972D6">
            <w:r w:rsidRPr="159CC1E8">
              <w:t xml:space="preserve">Estimated number of </w:t>
            </w:r>
            <w:r>
              <w:t>intermodal shipping containers</w:t>
            </w:r>
            <w:r w:rsidRPr="159CC1E8">
              <w:t xml:space="preserve"> </w:t>
            </w:r>
            <w:r>
              <w:t>and</w:t>
            </w:r>
            <w:r w:rsidRPr="159CC1E8">
              <w:t xml:space="preserve"> dwell time</w:t>
            </w:r>
            <w:r>
              <w:t xml:space="preserve"> surveyed from the top 25 ports</w:t>
            </w:r>
          </w:p>
        </w:tc>
        <w:tc>
          <w:tcPr>
            <w:tcW w:w="1710" w:type="dxa"/>
            <w:tcBorders>
              <w:top w:val="single" w:color="4472C4" w:themeColor="accent1" w:sz="8" w:space="0"/>
              <w:left w:val="nil"/>
              <w:bottom w:val="single" w:color="4472C4" w:themeColor="accent1" w:sz="8" w:space="0"/>
              <w:right w:val="nil"/>
            </w:tcBorders>
          </w:tcPr>
          <w:p w:rsidR="00761444" w:rsidP="0020402E" w:rsidRDefault="00761444" w14:paraId="182C591C" w14:textId="40E703D4">
            <w:r w:rsidRPr="159CC1E8">
              <w:t>Monthly</w:t>
            </w:r>
          </w:p>
        </w:tc>
        <w:tc>
          <w:tcPr>
            <w:tcW w:w="1740" w:type="dxa"/>
            <w:tcBorders>
              <w:top w:val="single" w:color="4472C4" w:themeColor="accent1" w:sz="8" w:space="0"/>
              <w:left w:val="nil"/>
              <w:bottom w:val="single" w:color="4472C4" w:themeColor="accent1" w:sz="8" w:space="0"/>
              <w:right w:val="nil"/>
            </w:tcBorders>
          </w:tcPr>
          <w:p w:rsidR="00761444" w:rsidP="0020402E" w:rsidRDefault="00761444" w14:paraId="5C83C189" w14:textId="7326A5DD">
            <w:r w:rsidRPr="159CC1E8">
              <w:t>Port of origin, destination marine terminal, rail yard, end destination</w:t>
            </w:r>
          </w:p>
        </w:tc>
        <w:tc>
          <w:tcPr>
            <w:tcW w:w="2475" w:type="dxa"/>
            <w:tcBorders>
              <w:top w:val="single" w:color="4472C4" w:themeColor="accent1" w:sz="8" w:space="0"/>
              <w:left w:val="nil"/>
              <w:bottom w:val="single" w:color="4472C4" w:themeColor="accent1" w:sz="8" w:space="0"/>
              <w:right w:val="single" w:color="4472C4" w:themeColor="accent1" w:sz="8" w:space="0"/>
            </w:tcBorders>
          </w:tcPr>
          <w:p w:rsidR="00761444" w:rsidP="0020402E" w:rsidRDefault="00761444" w14:paraId="660389A0" w14:textId="211C41A6">
            <w:r>
              <w:t>Ocean Carrier? Port, including inland dry ports</w:t>
            </w:r>
            <w:r w:rsidRPr="00E158BD">
              <w:t xml:space="preserve"> </w:t>
            </w:r>
            <w:r>
              <w:t xml:space="preserve">/ </w:t>
            </w:r>
            <w:r w:rsidRPr="00E158BD">
              <w:t>Marine terminal operator, intermodal terminal facilities operators (e.g., ICTF)</w:t>
            </w:r>
          </w:p>
        </w:tc>
      </w:tr>
    </w:tbl>
    <w:p w:rsidR="159CC1E8" w:rsidP="159CC1E8" w:rsidRDefault="159CC1E8" w14:paraId="0748803C" w14:textId="79D4589C">
      <w:pPr>
        <w:spacing w:after="120"/>
        <w:jc w:val="both"/>
        <w:rPr>
          <w:u w:val="single"/>
        </w:rPr>
      </w:pPr>
    </w:p>
    <w:p w:rsidR="006471F0" w:rsidRDefault="006471F0" w14:paraId="33EBEC69" w14:textId="77777777">
      <w:pPr>
        <w:spacing w:after="160" w:line="259" w:lineRule="auto"/>
      </w:pPr>
      <w:r>
        <w:br w:type="page"/>
      </w:r>
    </w:p>
    <w:p w:rsidR="159CC1E8" w:rsidP="159CC1E8" w:rsidRDefault="159CC1E8" w14:paraId="37EA5194" w14:textId="005765E0">
      <w:pPr>
        <w:jc w:val="both"/>
      </w:pPr>
      <w:r w:rsidRPr="159CC1E8">
        <w:lastRenderedPageBreak/>
        <w:t>Table 2. Possible Chassis Data Elements to be Collected</w:t>
      </w:r>
    </w:p>
    <w:tbl>
      <w:tblPr>
        <w:tblStyle w:val="TableGrid"/>
        <w:tblW w:w="0" w:type="auto"/>
        <w:tblLayout w:type="fixed"/>
        <w:tblLook w:val="04A0" w:firstRow="1" w:lastRow="0" w:firstColumn="1" w:lastColumn="0" w:noHBand="0" w:noVBand="1"/>
      </w:tblPr>
      <w:tblGrid>
        <w:gridCol w:w="1560"/>
        <w:gridCol w:w="1575"/>
        <w:gridCol w:w="1710"/>
        <w:gridCol w:w="1740"/>
        <w:gridCol w:w="2475"/>
      </w:tblGrid>
      <w:tr w:rsidR="159CC1E8" w:rsidTr="159CC1E8" w14:paraId="12AF5977" w14:textId="77777777">
        <w:trPr>
          <w:trHeight w:val="330"/>
        </w:trPr>
        <w:tc>
          <w:tcPr>
            <w:tcW w:w="1560" w:type="dxa"/>
            <w:tcBorders>
              <w:top w:val="single" w:color="4472C4" w:themeColor="accent1" w:sz="8" w:space="0"/>
              <w:left w:val="single" w:color="4472C4" w:themeColor="accent1" w:sz="8" w:space="0"/>
              <w:bottom w:val="nil"/>
              <w:right w:val="nil"/>
            </w:tcBorders>
            <w:shd w:val="clear" w:color="auto" w:fill="4472C4" w:themeFill="accent1"/>
          </w:tcPr>
          <w:p w:rsidR="159CC1E8" w:rsidRDefault="159CC1E8" w14:paraId="28D6A5CF" w14:textId="6F60F7C4">
            <w:r w:rsidRPr="159CC1E8">
              <w:rPr>
                <w:b/>
                <w:bCs/>
                <w:color w:val="FFFFFF" w:themeColor="background1"/>
              </w:rPr>
              <w:t>Data Element</w:t>
            </w:r>
          </w:p>
        </w:tc>
        <w:tc>
          <w:tcPr>
            <w:tcW w:w="1575" w:type="dxa"/>
            <w:tcBorders>
              <w:top w:val="single" w:color="4472C4" w:themeColor="accent1" w:sz="8" w:space="0"/>
              <w:left w:val="nil"/>
              <w:bottom w:val="nil"/>
              <w:right w:val="nil"/>
            </w:tcBorders>
            <w:shd w:val="clear" w:color="auto" w:fill="4472C4" w:themeFill="accent1"/>
          </w:tcPr>
          <w:p w:rsidR="159CC1E8" w:rsidRDefault="159CC1E8" w14:paraId="6D592D51" w14:textId="1AC0FE16">
            <w:r w:rsidRPr="159CC1E8">
              <w:rPr>
                <w:b/>
                <w:bCs/>
                <w:color w:val="FFFFFF" w:themeColor="background1"/>
              </w:rPr>
              <w:t>Unit</w:t>
            </w:r>
          </w:p>
        </w:tc>
        <w:tc>
          <w:tcPr>
            <w:tcW w:w="1710" w:type="dxa"/>
            <w:tcBorders>
              <w:top w:val="single" w:color="4472C4" w:themeColor="accent1" w:sz="8" w:space="0"/>
              <w:left w:val="nil"/>
              <w:bottom w:val="nil"/>
              <w:right w:val="nil"/>
            </w:tcBorders>
            <w:shd w:val="clear" w:color="auto" w:fill="4472C4" w:themeFill="accent1"/>
          </w:tcPr>
          <w:p w:rsidR="159CC1E8" w:rsidRDefault="159CC1E8" w14:paraId="63004FB6" w14:textId="40F4AAF2">
            <w:r w:rsidRPr="159CC1E8">
              <w:rPr>
                <w:b/>
                <w:bCs/>
                <w:color w:val="FFFFFF" w:themeColor="background1"/>
              </w:rPr>
              <w:t>Frequency</w:t>
            </w:r>
          </w:p>
        </w:tc>
        <w:tc>
          <w:tcPr>
            <w:tcW w:w="1740" w:type="dxa"/>
            <w:tcBorders>
              <w:top w:val="single" w:color="4472C4" w:themeColor="accent1" w:sz="8" w:space="0"/>
              <w:left w:val="nil"/>
              <w:bottom w:val="nil"/>
              <w:right w:val="nil"/>
            </w:tcBorders>
            <w:shd w:val="clear" w:color="auto" w:fill="4472C4" w:themeFill="accent1"/>
          </w:tcPr>
          <w:p w:rsidR="159CC1E8" w:rsidRDefault="159CC1E8" w14:paraId="17735D9A" w14:textId="4A4A7126">
            <w:r w:rsidRPr="159CC1E8">
              <w:rPr>
                <w:b/>
                <w:bCs/>
                <w:color w:val="FFFFFF" w:themeColor="background1"/>
              </w:rPr>
              <w:t>Node</w:t>
            </w:r>
          </w:p>
        </w:tc>
        <w:tc>
          <w:tcPr>
            <w:tcW w:w="2475" w:type="dxa"/>
            <w:tcBorders>
              <w:top w:val="single" w:color="4472C4" w:themeColor="accent1" w:sz="8" w:space="0"/>
              <w:left w:val="nil"/>
              <w:bottom w:val="nil"/>
              <w:right w:val="single" w:color="4472C4" w:themeColor="accent1" w:sz="8" w:space="0"/>
            </w:tcBorders>
            <w:shd w:val="clear" w:color="auto" w:fill="4472C4" w:themeFill="accent1"/>
          </w:tcPr>
          <w:p w:rsidR="159CC1E8" w:rsidRDefault="159CC1E8" w14:paraId="3D84F69A" w14:textId="3E41527C">
            <w:r w:rsidRPr="159CC1E8">
              <w:rPr>
                <w:b/>
                <w:bCs/>
                <w:color w:val="FFFFFF" w:themeColor="background1"/>
              </w:rPr>
              <w:t>Owner/Provider</w:t>
            </w:r>
          </w:p>
        </w:tc>
      </w:tr>
      <w:tr w:rsidR="159CC1E8" w:rsidTr="159CC1E8" w14:paraId="7CB803C5" w14:textId="77777777">
        <w:trPr>
          <w:trHeight w:val="1140"/>
        </w:trPr>
        <w:tc>
          <w:tcPr>
            <w:tcW w:w="1560" w:type="dxa"/>
            <w:tcBorders>
              <w:top w:val="single" w:color="4472C4" w:themeColor="accent1" w:sz="8" w:space="0"/>
              <w:left w:val="single" w:color="4472C4" w:themeColor="accent1" w:sz="8" w:space="0"/>
              <w:bottom w:val="single" w:color="4472C4" w:themeColor="accent1" w:sz="8" w:space="0"/>
              <w:right w:val="nil"/>
            </w:tcBorders>
            <w:shd w:val="clear" w:color="auto" w:fill="FFFFFF" w:themeFill="background1"/>
          </w:tcPr>
          <w:p w:rsidR="159CC1E8" w:rsidRDefault="159CC1E8" w14:paraId="4EF80488" w14:textId="3C48EA52">
            <w:r w:rsidRPr="159CC1E8">
              <w:rPr>
                <w:b/>
                <w:bCs/>
                <w:color w:val="000000" w:themeColor="text1"/>
              </w:rPr>
              <w:t>Chassis Universe</w:t>
            </w:r>
          </w:p>
        </w:tc>
        <w:tc>
          <w:tcPr>
            <w:tcW w:w="1575" w:type="dxa"/>
            <w:tcBorders>
              <w:top w:val="single" w:color="4472C4" w:themeColor="accent1" w:sz="8" w:space="0"/>
              <w:left w:val="nil"/>
              <w:bottom w:val="single" w:color="4472C4" w:themeColor="accent1" w:sz="8" w:space="0"/>
              <w:right w:val="nil"/>
            </w:tcBorders>
          </w:tcPr>
          <w:p w:rsidR="159CC1E8" w:rsidRDefault="159CC1E8" w14:paraId="76BEE9E6" w14:textId="502B9620">
            <w:r w:rsidRPr="159CC1E8">
              <w:t>Estimated total number of chassis</w:t>
            </w:r>
            <w:r w:rsidR="000417AA">
              <w:t xml:space="preserve"> in the US</w:t>
            </w:r>
          </w:p>
        </w:tc>
        <w:tc>
          <w:tcPr>
            <w:tcW w:w="1710" w:type="dxa"/>
            <w:tcBorders>
              <w:top w:val="single" w:color="4472C4" w:themeColor="accent1" w:sz="8" w:space="0"/>
              <w:left w:val="nil"/>
              <w:bottom w:val="single" w:color="4472C4" w:themeColor="accent1" w:sz="8" w:space="0"/>
              <w:right w:val="nil"/>
            </w:tcBorders>
          </w:tcPr>
          <w:p w:rsidR="159CC1E8" w:rsidRDefault="159CC1E8" w14:paraId="5B9D51D9" w14:textId="415B4889">
            <w:r w:rsidRPr="159CC1E8">
              <w:t>Monthly</w:t>
            </w:r>
          </w:p>
        </w:tc>
        <w:tc>
          <w:tcPr>
            <w:tcW w:w="1740" w:type="dxa"/>
            <w:tcBorders>
              <w:top w:val="single" w:color="4472C4" w:themeColor="accent1" w:sz="8" w:space="0"/>
              <w:left w:val="nil"/>
              <w:bottom w:val="single" w:color="4472C4" w:themeColor="accent1" w:sz="8" w:space="0"/>
              <w:right w:val="nil"/>
            </w:tcBorders>
          </w:tcPr>
          <w:p w:rsidR="159CC1E8" w:rsidRDefault="159CC1E8" w14:paraId="39289ACF" w14:textId="4CE7FB81">
            <w:r w:rsidRPr="159CC1E8">
              <w:t>Country of origin, port of destination, rail yard, end destination</w:t>
            </w:r>
          </w:p>
        </w:tc>
        <w:tc>
          <w:tcPr>
            <w:tcW w:w="2475" w:type="dxa"/>
            <w:tcBorders>
              <w:top w:val="single" w:color="4472C4" w:themeColor="accent1" w:sz="8" w:space="0"/>
              <w:left w:val="nil"/>
              <w:bottom w:val="single" w:color="4472C4" w:themeColor="accent1" w:sz="8" w:space="0"/>
              <w:right w:val="single" w:color="4472C4" w:themeColor="accent1" w:sz="8" w:space="0"/>
            </w:tcBorders>
          </w:tcPr>
          <w:p w:rsidR="159CC1E8" w:rsidRDefault="159CC1E8" w14:paraId="05DB12B5" w14:textId="421FDB27">
            <w:bookmarkStart w:name="_Hlk110490480" w:id="3"/>
            <w:r w:rsidRPr="159CC1E8">
              <w:t>Motor Carrier Owner/IEP</w:t>
            </w:r>
            <w:r w:rsidR="00BC365D">
              <w:t xml:space="preserve"> </w:t>
            </w:r>
            <w:r w:rsidRPr="5EAB0EA4" w:rsidR="00BC365D">
              <w:t>Chassis owner</w:t>
            </w:r>
            <w:r w:rsidR="00BC365D">
              <w:t>, motor carrier,</w:t>
            </w:r>
            <w:r w:rsidRPr="5EAB0EA4" w:rsidR="00BC365D">
              <w:t xml:space="preserve"> or IEPs</w:t>
            </w:r>
            <w:bookmarkEnd w:id="3"/>
          </w:p>
        </w:tc>
      </w:tr>
      <w:tr w:rsidR="159CC1E8" w:rsidTr="159CC1E8" w14:paraId="5EDE4C61" w14:textId="77777777">
        <w:trPr>
          <w:trHeight w:val="1140"/>
        </w:trPr>
        <w:tc>
          <w:tcPr>
            <w:tcW w:w="1560" w:type="dxa"/>
            <w:tcBorders>
              <w:top w:val="single" w:color="4472C4" w:themeColor="accent1" w:sz="8" w:space="0"/>
              <w:left w:val="single" w:color="4472C4" w:themeColor="accent1" w:sz="8" w:space="0"/>
              <w:bottom w:val="nil"/>
              <w:right w:val="nil"/>
            </w:tcBorders>
            <w:shd w:val="clear" w:color="auto" w:fill="FFFFFF" w:themeFill="background1"/>
          </w:tcPr>
          <w:p w:rsidR="159CC1E8" w:rsidRDefault="0020402E" w14:paraId="0B1FEA84" w14:textId="6ECC1ED7">
            <w:r>
              <w:rPr>
                <w:b/>
                <w:bCs/>
                <w:color w:val="000000" w:themeColor="text1"/>
              </w:rPr>
              <w:t>Chassis at the top 25 ports</w:t>
            </w:r>
          </w:p>
        </w:tc>
        <w:tc>
          <w:tcPr>
            <w:tcW w:w="1575" w:type="dxa"/>
            <w:tcBorders>
              <w:top w:val="single" w:color="4472C4" w:themeColor="accent1" w:sz="8" w:space="0"/>
              <w:left w:val="nil"/>
              <w:bottom w:val="nil"/>
              <w:right w:val="nil"/>
            </w:tcBorders>
          </w:tcPr>
          <w:p w:rsidR="159CC1E8" w:rsidRDefault="159CC1E8" w14:paraId="65A2F36C" w14:textId="5A015EEA">
            <w:r w:rsidRPr="159CC1E8">
              <w:t xml:space="preserve">Estimated number </w:t>
            </w:r>
            <w:r w:rsidR="000417AA">
              <w:t>of chassis survey</w:t>
            </w:r>
            <w:r w:rsidR="00761444">
              <w:t>ed</w:t>
            </w:r>
            <w:r w:rsidR="000417AA">
              <w:t xml:space="preserve"> from the top 25 ports</w:t>
            </w:r>
          </w:p>
        </w:tc>
        <w:tc>
          <w:tcPr>
            <w:tcW w:w="1710" w:type="dxa"/>
            <w:tcBorders>
              <w:top w:val="single" w:color="4472C4" w:themeColor="accent1" w:sz="8" w:space="0"/>
              <w:left w:val="nil"/>
              <w:bottom w:val="nil"/>
              <w:right w:val="nil"/>
            </w:tcBorders>
          </w:tcPr>
          <w:p w:rsidR="159CC1E8" w:rsidRDefault="159CC1E8" w14:paraId="38C6527F" w14:textId="3D1D7C40">
            <w:r w:rsidRPr="159CC1E8">
              <w:t>Monthly</w:t>
            </w:r>
          </w:p>
        </w:tc>
        <w:tc>
          <w:tcPr>
            <w:tcW w:w="1740" w:type="dxa"/>
            <w:tcBorders>
              <w:top w:val="single" w:color="4472C4" w:themeColor="accent1" w:sz="8" w:space="0"/>
              <w:left w:val="nil"/>
              <w:bottom w:val="nil"/>
              <w:right w:val="nil"/>
            </w:tcBorders>
          </w:tcPr>
          <w:p w:rsidR="159CC1E8" w:rsidRDefault="159CC1E8" w14:paraId="62F2506B" w14:textId="03BE93C7">
            <w:r w:rsidRPr="159CC1E8">
              <w:t>Country of origin, port of destination, rail yard, end destination</w:t>
            </w:r>
          </w:p>
        </w:tc>
        <w:tc>
          <w:tcPr>
            <w:tcW w:w="2475" w:type="dxa"/>
            <w:tcBorders>
              <w:top w:val="single" w:color="4472C4" w:themeColor="accent1" w:sz="8" w:space="0"/>
              <w:left w:val="nil"/>
              <w:bottom w:val="nil"/>
              <w:right w:val="single" w:color="4472C4" w:themeColor="accent1" w:sz="8" w:space="0"/>
            </w:tcBorders>
          </w:tcPr>
          <w:p w:rsidR="159CC1E8" w:rsidRDefault="0020402E" w14:paraId="1F38C9FD" w14:textId="2DAFC93B">
            <w:bookmarkStart w:name="_Hlk109993337" w:id="4"/>
            <w:r w:rsidRPr="159CC1E8">
              <w:t>Motor Carrier Owner/</w:t>
            </w:r>
            <w:r w:rsidRPr="5EAB0EA4" w:rsidR="00BC365D">
              <w:t>Chassis owner</w:t>
            </w:r>
            <w:r w:rsidR="00BC365D">
              <w:t>, motor carrier,</w:t>
            </w:r>
            <w:r w:rsidRPr="5EAB0EA4" w:rsidR="00BC365D">
              <w:t xml:space="preserve"> or IEPs</w:t>
            </w:r>
            <w:bookmarkEnd w:id="4"/>
          </w:p>
        </w:tc>
      </w:tr>
      <w:tr w:rsidR="159CC1E8" w:rsidTr="159CC1E8" w14:paraId="002F7B45" w14:textId="77777777">
        <w:trPr>
          <w:trHeight w:val="1290"/>
        </w:trPr>
        <w:tc>
          <w:tcPr>
            <w:tcW w:w="1560" w:type="dxa"/>
            <w:tcBorders>
              <w:top w:val="single" w:color="4472C4" w:themeColor="accent1" w:sz="8" w:space="0"/>
              <w:left w:val="single" w:color="4472C4" w:themeColor="accent1" w:sz="8" w:space="0"/>
              <w:bottom w:val="single" w:color="4472C4" w:themeColor="accent1" w:sz="8" w:space="0"/>
              <w:right w:val="nil"/>
            </w:tcBorders>
            <w:shd w:val="clear" w:color="auto" w:fill="FFFFFF" w:themeFill="background1"/>
          </w:tcPr>
          <w:p w:rsidR="159CC1E8" w:rsidRDefault="159CC1E8" w14:paraId="2DAA8F88" w14:textId="3295FF08">
            <w:r w:rsidRPr="159CC1E8">
              <w:rPr>
                <w:b/>
                <w:bCs/>
                <w:color w:val="000000" w:themeColor="text1"/>
              </w:rPr>
              <w:t>Available chassis</w:t>
            </w:r>
          </w:p>
        </w:tc>
        <w:tc>
          <w:tcPr>
            <w:tcW w:w="1575" w:type="dxa"/>
            <w:tcBorders>
              <w:top w:val="single" w:color="4472C4" w:themeColor="accent1" w:sz="8" w:space="0"/>
              <w:left w:val="nil"/>
              <w:bottom w:val="single" w:color="4472C4" w:themeColor="accent1" w:sz="8" w:space="0"/>
              <w:right w:val="nil"/>
            </w:tcBorders>
          </w:tcPr>
          <w:p w:rsidR="159CC1E8" w:rsidRDefault="159CC1E8" w14:paraId="741F164D" w14:textId="01A32708">
            <w:r w:rsidRPr="159CC1E8">
              <w:t>Estimated number of chassis (loaded or unloaded)</w:t>
            </w:r>
            <w:r w:rsidR="000417AA">
              <w:t xml:space="preserve"> </w:t>
            </w:r>
            <w:r w:rsidR="00761444">
              <w:t>surveyed from the top 25 ports</w:t>
            </w:r>
          </w:p>
        </w:tc>
        <w:tc>
          <w:tcPr>
            <w:tcW w:w="1710" w:type="dxa"/>
            <w:tcBorders>
              <w:top w:val="single" w:color="4472C4" w:themeColor="accent1" w:sz="8" w:space="0"/>
              <w:left w:val="nil"/>
              <w:bottom w:val="single" w:color="4472C4" w:themeColor="accent1" w:sz="8" w:space="0"/>
              <w:right w:val="nil"/>
            </w:tcBorders>
          </w:tcPr>
          <w:p w:rsidR="159CC1E8" w:rsidRDefault="159CC1E8" w14:paraId="4A48D0D0" w14:textId="1E816A32">
            <w:r w:rsidRPr="159CC1E8">
              <w:t>Monthly</w:t>
            </w:r>
          </w:p>
        </w:tc>
        <w:tc>
          <w:tcPr>
            <w:tcW w:w="1740" w:type="dxa"/>
            <w:tcBorders>
              <w:top w:val="single" w:color="4472C4" w:themeColor="accent1" w:sz="8" w:space="0"/>
              <w:left w:val="nil"/>
              <w:bottom w:val="single" w:color="4472C4" w:themeColor="accent1" w:sz="8" w:space="0"/>
              <w:right w:val="nil"/>
            </w:tcBorders>
          </w:tcPr>
          <w:p w:rsidR="159CC1E8" w:rsidRDefault="159CC1E8" w14:paraId="50E3D51E" w14:textId="1CC66122">
            <w:r w:rsidRPr="159CC1E8">
              <w:t>Country of origin, port of destination, rail yard, end destination</w:t>
            </w:r>
          </w:p>
        </w:tc>
        <w:tc>
          <w:tcPr>
            <w:tcW w:w="2475" w:type="dxa"/>
            <w:tcBorders>
              <w:top w:val="single" w:color="4472C4" w:themeColor="accent1" w:sz="8" w:space="0"/>
              <w:left w:val="nil"/>
              <w:bottom w:val="single" w:color="4472C4" w:themeColor="accent1" w:sz="8" w:space="0"/>
              <w:right w:val="single" w:color="4472C4" w:themeColor="accent1" w:sz="8" w:space="0"/>
            </w:tcBorders>
          </w:tcPr>
          <w:p w:rsidR="159CC1E8" w:rsidRDefault="0020402E" w14:paraId="24D343C4" w14:textId="4BC7A62A">
            <w:r w:rsidRPr="159CC1E8">
              <w:t>Motor Carrier Owner/</w:t>
            </w:r>
            <w:r w:rsidRPr="5EAB0EA4" w:rsidR="00BC365D">
              <w:t>Chassis owner</w:t>
            </w:r>
            <w:r w:rsidR="00BC365D">
              <w:t>, motor carrier,</w:t>
            </w:r>
            <w:r w:rsidRPr="5EAB0EA4" w:rsidR="00BC365D">
              <w:t xml:space="preserve"> or IEPs</w:t>
            </w:r>
          </w:p>
        </w:tc>
      </w:tr>
      <w:tr w:rsidR="159CC1E8" w:rsidTr="159CC1E8" w14:paraId="75B96456" w14:textId="77777777">
        <w:trPr>
          <w:trHeight w:val="1290"/>
        </w:trPr>
        <w:tc>
          <w:tcPr>
            <w:tcW w:w="1560" w:type="dxa"/>
            <w:tcBorders>
              <w:top w:val="single" w:color="4472C4" w:themeColor="accent1" w:sz="8" w:space="0"/>
              <w:left w:val="single" w:color="4472C4" w:themeColor="accent1" w:sz="8" w:space="0"/>
              <w:bottom w:val="nil"/>
              <w:right w:val="nil"/>
            </w:tcBorders>
            <w:shd w:val="clear" w:color="auto" w:fill="FFFFFF" w:themeFill="background1"/>
          </w:tcPr>
          <w:p w:rsidR="159CC1E8" w:rsidRDefault="159CC1E8" w14:paraId="0386C034" w14:textId="3D3F2630">
            <w:r w:rsidRPr="159CC1E8">
              <w:rPr>
                <w:b/>
                <w:bCs/>
                <w:color w:val="000000" w:themeColor="text1"/>
              </w:rPr>
              <w:t>Unavailable chassis</w:t>
            </w:r>
          </w:p>
        </w:tc>
        <w:tc>
          <w:tcPr>
            <w:tcW w:w="1575" w:type="dxa"/>
            <w:tcBorders>
              <w:top w:val="single" w:color="4472C4" w:themeColor="accent1" w:sz="8" w:space="0"/>
              <w:left w:val="nil"/>
              <w:bottom w:val="nil"/>
              <w:right w:val="nil"/>
            </w:tcBorders>
          </w:tcPr>
          <w:p w:rsidR="159CC1E8" w:rsidRDefault="159CC1E8" w14:paraId="58843434" w14:textId="5492B991">
            <w:r w:rsidRPr="159CC1E8">
              <w:t>Estimated number of chassis in dwell time</w:t>
            </w:r>
            <w:r w:rsidR="00761444">
              <w:t xml:space="preserve"> surveyed form the top 25 ports</w:t>
            </w:r>
          </w:p>
        </w:tc>
        <w:tc>
          <w:tcPr>
            <w:tcW w:w="1710" w:type="dxa"/>
            <w:tcBorders>
              <w:top w:val="single" w:color="4472C4" w:themeColor="accent1" w:sz="8" w:space="0"/>
              <w:left w:val="nil"/>
              <w:bottom w:val="nil"/>
              <w:right w:val="nil"/>
            </w:tcBorders>
          </w:tcPr>
          <w:p w:rsidR="159CC1E8" w:rsidRDefault="159CC1E8" w14:paraId="4C6C3366" w14:textId="1BBAFD94">
            <w:r w:rsidRPr="159CC1E8">
              <w:t>Monthly</w:t>
            </w:r>
          </w:p>
        </w:tc>
        <w:tc>
          <w:tcPr>
            <w:tcW w:w="1740" w:type="dxa"/>
            <w:tcBorders>
              <w:top w:val="single" w:color="4472C4" w:themeColor="accent1" w:sz="8" w:space="0"/>
              <w:left w:val="nil"/>
              <w:bottom w:val="nil"/>
              <w:right w:val="nil"/>
            </w:tcBorders>
          </w:tcPr>
          <w:p w:rsidR="159CC1E8" w:rsidRDefault="159CC1E8" w14:paraId="154BFA52" w14:textId="0ACCEAEE">
            <w:r w:rsidRPr="159CC1E8">
              <w:t xml:space="preserve"> </w:t>
            </w:r>
            <w:r w:rsidRPr="159CC1E8" w:rsidR="0020402E">
              <w:t>Country of origin, port of destination, rail yard, end destination</w:t>
            </w:r>
          </w:p>
        </w:tc>
        <w:tc>
          <w:tcPr>
            <w:tcW w:w="2475" w:type="dxa"/>
            <w:tcBorders>
              <w:top w:val="single" w:color="4472C4" w:themeColor="accent1" w:sz="8" w:space="0"/>
              <w:left w:val="nil"/>
              <w:bottom w:val="nil"/>
              <w:right w:val="single" w:color="4472C4" w:themeColor="accent1" w:sz="8" w:space="0"/>
            </w:tcBorders>
          </w:tcPr>
          <w:p w:rsidR="159CC1E8" w:rsidRDefault="0020402E" w14:paraId="682ED5A2" w14:textId="453E68E8">
            <w:r w:rsidRPr="159CC1E8">
              <w:t>Motor Carrier Owner/</w:t>
            </w:r>
            <w:r w:rsidRPr="5EAB0EA4" w:rsidR="00BC365D">
              <w:t>Chassis owner</w:t>
            </w:r>
            <w:r w:rsidR="00BC365D">
              <w:t>, motor carrier,</w:t>
            </w:r>
            <w:r w:rsidRPr="5EAB0EA4" w:rsidR="00BC365D">
              <w:t xml:space="preserve"> or IEPs</w:t>
            </w:r>
          </w:p>
        </w:tc>
      </w:tr>
      <w:tr w:rsidR="159CC1E8" w:rsidTr="159CC1E8" w14:paraId="3AA8819F" w14:textId="77777777">
        <w:trPr>
          <w:trHeight w:val="1290"/>
        </w:trPr>
        <w:tc>
          <w:tcPr>
            <w:tcW w:w="1560" w:type="dxa"/>
            <w:tcBorders>
              <w:top w:val="single" w:color="4472C4" w:themeColor="accent1" w:sz="8" w:space="0"/>
              <w:left w:val="single" w:color="4472C4" w:themeColor="accent1" w:sz="8" w:space="0"/>
              <w:bottom w:val="single" w:color="4472C4" w:themeColor="accent1" w:sz="8" w:space="0"/>
              <w:right w:val="nil"/>
            </w:tcBorders>
            <w:shd w:val="clear" w:color="auto" w:fill="FFFFFF" w:themeFill="background1"/>
          </w:tcPr>
          <w:p w:rsidR="159CC1E8" w:rsidRDefault="159CC1E8" w14:paraId="01E5E3C0" w14:textId="7C2F0888">
            <w:r w:rsidRPr="159CC1E8">
              <w:rPr>
                <w:b/>
                <w:bCs/>
                <w:color w:val="000000" w:themeColor="text1"/>
              </w:rPr>
              <w:t>Out of service Chassis</w:t>
            </w:r>
          </w:p>
        </w:tc>
        <w:tc>
          <w:tcPr>
            <w:tcW w:w="1575" w:type="dxa"/>
            <w:tcBorders>
              <w:top w:val="single" w:color="4472C4" w:themeColor="accent1" w:sz="8" w:space="0"/>
              <w:left w:val="nil"/>
              <w:bottom w:val="single" w:color="4472C4" w:themeColor="accent1" w:sz="8" w:space="0"/>
              <w:right w:val="nil"/>
            </w:tcBorders>
          </w:tcPr>
          <w:p w:rsidR="159CC1E8" w:rsidRDefault="159CC1E8" w14:paraId="56A7BF89" w14:textId="16F1EC42">
            <w:r w:rsidRPr="159CC1E8">
              <w:t>Estimated number of chassis that have been identified as not road worthy</w:t>
            </w:r>
            <w:r w:rsidR="00761444">
              <w:t xml:space="preserve"> surveyed from the top 25 ports</w:t>
            </w:r>
          </w:p>
        </w:tc>
        <w:tc>
          <w:tcPr>
            <w:tcW w:w="1710" w:type="dxa"/>
            <w:tcBorders>
              <w:top w:val="single" w:color="4472C4" w:themeColor="accent1" w:sz="8" w:space="0"/>
              <w:left w:val="nil"/>
              <w:bottom w:val="single" w:color="4472C4" w:themeColor="accent1" w:sz="8" w:space="0"/>
              <w:right w:val="nil"/>
            </w:tcBorders>
          </w:tcPr>
          <w:p w:rsidR="159CC1E8" w:rsidRDefault="159CC1E8" w14:paraId="1A65137D" w14:textId="346EE236">
            <w:r w:rsidRPr="159CC1E8">
              <w:t>Monthly</w:t>
            </w:r>
          </w:p>
        </w:tc>
        <w:tc>
          <w:tcPr>
            <w:tcW w:w="1740" w:type="dxa"/>
            <w:tcBorders>
              <w:top w:val="single" w:color="4472C4" w:themeColor="accent1" w:sz="8" w:space="0"/>
              <w:left w:val="nil"/>
              <w:bottom w:val="single" w:color="4472C4" w:themeColor="accent1" w:sz="8" w:space="0"/>
              <w:right w:val="nil"/>
            </w:tcBorders>
          </w:tcPr>
          <w:p w:rsidR="159CC1E8" w:rsidRDefault="159CC1E8" w14:paraId="67748A7D" w14:textId="725D53DF">
            <w:r w:rsidRPr="159CC1E8">
              <w:t xml:space="preserve"> </w:t>
            </w:r>
            <w:r w:rsidRPr="159CC1E8" w:rsidR="0020402E">
              <w:t>Country of origin, port of destination, rail yard, end destination</w:t>
            </w:r>
          </w:p>
        </w:tc>
        <w:tc>
          <w:tcPr>
            <w:tcW w:w="2475" w:type="dxa"/>
            <w:tcBorders>
              <w:top w:val="single" w:color="4472C4" w:themeColor="accent1" w:sz="8" w:space="0"/>
              <w:left w:val="nil"/>
              <w:bottom w:val="single" w:color="4472C4" w:themeColor="accent1" w:sz="8" w:space="0"/>
              <w:right w:val="single" w:color="4472C4" w:themeColor="accent1" w:sz="8" w:space="0"/>
            </w:tcBorders>
          </w:tcPr>
          <w:p w:rsidR="159CC1E8" w:rsidRDefault="0020402E" w14:paraId="330AF4B6" w14:textId="064B6959">
            <w:r w:rsidRPr="159CC1E8">
              <w:t>Motor Carrier Owner/</w:t>
            </w:r>
            <w:r w:rsidRPr="5EAB0EA4" w:rsidR="00BC365D">
              <w:t>Chassis owner</w:t>
            </w:r>
            <w:r w:rsidR="00BC365D">
              <w:t>, motor carrier,</w:t>
            </w:r>
            <w:r w:rsidRPr="5EAB0EA4" w:rsidR="00BC365D">
              <w:t xml:space="preserve"> or IEPs</w:t>
            </w:r>
          </w:p>
        </w:tc>
      </w:tr>
    </w:tbl>
    <w:p w:rsidR="159CC1E8" w:rsidP="159CC1E8" w:rsidRDefault="159CC1E8" w14:paraId="2C0DEA83" w14:textId="5018D44D">
      <w:pPr>
        <w:spacing w:after="120"/>
        <w:jc w:val="both"/>
        <w:rPr>
          <w:u w:val="single"/>
        </w:rPr>
      </w:pPr>
    </w:p>
    <w:p w:rsidR="002D37CC" w:rsidP="002D37CC" w:rsidRDefault="002D37CC" w14:paraId="5CF41C8A" w14:textId="77777777">
      <w:pPr>
        <w:widowControl w:val="0"/>
        <w:autoSpaceDE w:val="0"/>
        <w:autoSpaceDN w:val="0"/>
        <w:adjustRightInd w:val="0"/>
      </w:pPr>
      <w:r w:rsidRPr="159CC1E8">
        <w:rPr>
          <w:b/>
          <w:bCs/>
        </w:rPr>
        <w:t>B.2. Describe the procedures for the collection of information.</w:t>
      </w:r>
    </w:p>
    <w:p w:rsidR="159CC1E8" w:rsidP="159CC1E8" w:rsidRDefault="159CC1E8" w14:paraId="2836C532" w14:textId="2D1B1423">
      <w:pPr>
        <w:widowControl w:val="0"/>
        <w:rPr>
          <w:b/>
          <w:bCs/>
        </w:rPr>
      </w:pPr>
    </w:p>
    <w:p w:rsidR="159CC1E8" w:rsidP="3B5F806F" w:rsidRDefault="159CC1E8" w14:paraId="2B695DF6" w14:textId="0932AAE6">
      <w:pPr>
        <w:pStyle w:val="BodyText"/>
        <w:spacing w:before="120"/>
      </w:pPr>
      <w:r w:rsidRPr="1EE8F228">
        <w:t xml:space="preserve">During the 6-week pilot data collection period, the contractors will set up and conduct exploratory interviews with the IEPs and all other chassis providers, as well as the ports and/or intermodal terminal facilities.  The exploratory </w:t>
      </w:r>
      <w:r w:rsidR="00F571B8">
        <w:t xml:space="preserve">interviews </w:t>
      </w:r>
      <w:r w:rsidRPr="1EE8F228">
        <w:t xml:space="preserve">will help to inform the following: </w:t>
      </w:r>
    </w:p>
    <w:p w:rsidR="008241B7" w:rsidP="3B5F806F" w:rsidRDefault="008241B7" w14:paraId="3DC0C234" w14:textId="77777777">
      <w:pPr>
        <w:pStyle w:val="BodyText"/>
        <w:spacing w:before="120"/>
      </w:pPr>
    </w:p>
    <w:p w:rsidR="3B5F806F" w:rsidP="3B5F806F" w:rsidRDefault="3B5F806F" w14:paraId="4ED1CB34" w14:textId="4DD5E5E3">
      <w:pPr>
        <w:pStyle w:val="ListParagraph"/>
        <w:numPr>
          <w:ilvl w:val="0"/>
          <w:numId w:val="1"/>
        </w:numPr>
        <w:rPr>
          <w:rFonts w:asciiTheme="minorHAnsi" w:hAnsiTheme="minorHAnsi" w:eastAsiaTheme="minorEastAsia" w:cstheme="minorBidi"/>
        </w:rPr>
      </w:pPr>
      <w:r w:rsidRPr="3B5F806F">
        <w:t>Available data to measure marine container and chassis street dwell time and the number of chassis available and out of service, and their source.</w:t>
      </w:r>
    </w:p>
    <w:p w:rsidR="3B5F806F" w:rsidP="3B5F806F" w:rsidRDefault="3B5F806F" w14:paraId="04D6447B" w14:textId="03C45025">
      <w:pPr>
        <w:pStyle w:val="ListParagraph"/>
        <w:numPr>
          <w:ilvl w:val="0"/>
          <w:numId w:val="1"/>
        </w:numPr>
        <w:spacing w:line="257" w:lineRule="auto"/>
        <w:rPr>
          <w:rFonts w:asciiTheme="minorHAnsi" w:hAnsiTheme="minorHAnsi" w:eastAsiaTheme="minorEastAsia" w:cstheme="minorBidi"/>
        </w:rPr>
      </w:pPr>
      <w:r w:rsidRPr="3B5F806F">
        <w:t>Data structure and attributes.</w:t>
      </w:r>
    </w:p>
    <w:p w:rsidR="3B5F806F" w:rsidP="3B5F806F" w:rsidRDefault="3B5F806F" w14:paraId="1E8E70A8" w14:textId="2723E5C2">
      <w:pPr>
        <w:pStyle w:val="ListParagraph"/>
        <w:numPr>
          <w:ilvl w:val="0"/>
          <w:numId w:val="1"/>
        </w:numPr>
        <w:spacing w:line="257" w:lineRule="auto"/>
        <w:rPr>
          <w:rFonts w:asciiTheme="minorHAnsi" w:hAnsiTheme="minorHAnsi" w:eastAsiaTheme="minorEastAsia" w:cstheme="minorBidi"/>
        </w:rPr>
      </w:pPr>
      <w:r w:rsidRPr="3B5F806F">
        <w:t>Methods and processes for collecting and compiling the data and developing the statistics.</w:t>
      </w:r>
    </w:p>
    <w:p w:rsidR="3B5F806F" w:rsidP="3B5F806F" w:rsidRDefault="3B5F806F" w14:paraId="713D303E" w14:textId="65CC0A85">
      <w:pPr>
        <w:pStyle w:val="ListParagraph"/>
        <w:numPr>
          <w:ilvl w:val="0"/>
          <w:numId w:val="1"/>
        </w:numPr>
        <w:spacing w:line="257" w:lineRule="auto"/>
        <w:rPr>
          <w:rFonts w:asciiTheme="minorHAnsi" w:hAnsiTheme="minorHAnsi" w:eastAsiaTheme="minorEastAsia" w:cstheme="minorBidi"/>
        </w:rPr>
      </w:pPr>
      <w:r w:rsidRPr="3B5F806F">
        <w:t>Any limitations on the dissemination of the data to the public.</w:t>
      </w:r>
    </w:p>
    <w:p w:rsidR="3B5F806F" w:rsidP="3B5F806F" w:rsidRDefault="3B5F806F" w14:paraId="1A71EBB1" w14:textId="05358C78">
      <w:pPr>
        <w:pStyle w:val="ListParagraph"/>
        <w:numPr>
          <w:ilvl w:val="0"/>
          <w:numId w:val="1"/>
        </w:numPr>
        <w:spacing w:line="257" w:lineRule="auto"/>
        <w:rPr>
          <w:rFonts w:asciiTheme="minorHAnsi" w:hAnsiTheme="minorHAnsi" w:eastAsiaTheme="minorEastAsia" w:cstheme="minorBidi"/>
        </w:rPr>
      </w:pPr>
      <w:r w:rsidRPr="3B5F806F">
        <w:t>Potential weaknesses and shortcomings of the data for developing the statistics.</w:t>
      </w:r>
    </w:p>
    <w:p w:rsidR="3B5F806F" w:rsidP="3B5F806F" w:rsidRDefault="3B5F806F" w14:paraId="1199C100" w14:textId="484AC383">
      <w:pPr>
        <w:pStyle w:val="ListParagraph"/>
        <w:numPr>
          <w:ilvl w:val="0"/>
          <w:numId w:val="1"/>
        </w:numPr>
        <w:spacing w:line="257" w:lineRule="auto"/>
        <w:rPr>
          <w:rFonts w:asciiTheme="minorHAnsi" w:hAnsiTheme="minorHAnsi" w:eastAsiaTheme="minorEastAsia" w:cstheme="minorBidi"/>
        </w:rPr>
      </w:pPr>
      <w:r w:rsidRPr="3B5F806F">
        <w:t>Issues, risks, and potential challenges of using the data to develop the statistics.</w:t>
      </w:r>
    </w:p>
    <w:p w:rsidR="3B5F806F" w:rsidP="3B5F806F" w:rsidRDefault="3B5F806F" w14:paraId="04242E11" w14:textId="40AA7E79">
      <w:pPr>
        <w:pStyle w:val="ListParagraph"/>
        <w:numPr>
          <w:ilvl w:val="0"/>
          <w:numId w:val="1"/>
        </w:numPr>
        <w:spacing w:line="257" w:lineRule="auto"/>
        <w:rPr>
          <w:rFonts w:asciiTheme="minorHAnsi" w:hAnsiTheme="minorHAnsi" w:eastAsiaTheme="minorEastAsia" w:cstheme="minorBidi"/>
        </w:rPr>
      </w:pPr>
      <w:r w:rsidRPr="3B5F806F">
        <w:t>The timeliness and granularity (level of detail) that is estimated will result from use of the data source to develop the statistics.</w:t>
      </w:r>
    </w:p>
    <w:p w:rsidR="3B5F806F" w:rsidP="3B5F806F" w:rsidRDefault="3B5F806F" w14:paraId="65F01518" w14:textId="15F6F91D">
      <w:pPr>
        <w:pStyle w:val="ListParagraph"/>
        <w:numPr>
          <w:ilvl w:val="0"/>
          <w:numId w:val="1"/>
        </w:numPr>
        <w:spacing w:line="257" w:lineRule="auto"/>
        <w:rPr>
          <w:rFonts w:asciiTheme="minorHAnsi" w:hAnsiTheme="minorHAnsi" w:eastAsiaTheme="minorEastAsia" w:cstheme="minorBidi"/>
        </w:rPr>
      </w:pPr>
      <w:r w:rsidRPr="3B5F806F">
        <w:t>Reporting processes and structure</w:t>
      </w:r>
    </w:p>
    <w:p w:rsidR="3B5F806F" w:rsidP="3B5F806F" w:rsidRDefault="3B5F806F" w14:paraId="63289434" w14:textId="6C247437">
      <w:pPr>
        <w:pStyle w:val="ListParagraph"/>
        <w:numPr>
          <w:ilvl w:val="0"/>
          <w:numId w:val="1"/>
        </w:numPr>
        <w:spacing w:line="257" w:lineRule="auto"/>
        <w:rPr>
          <w:rFonts w:asciiTheme="minorHAnsi" w:hAnsiTheme="minorHAnsi" w:eastAsiaTheme="minorEastAsia" w:cstheme="minorBidi"/>
        </w:rPr>
      </w:pPr>
      <w:r w:rsidRPr="3B5F806F">
        <w:t>Disclosure avoidance methodology</w:t>
      </w:r>
    </w:p>
    <w:p w:rsidR="159CC1E8" w:rsidP="159CC1E8" w:rsidRDefault="159CC1E8" w14:paraId="63AF98E9" w14:textId="6E690608">
      <w:pPr>
        <w:pStyle w:val="BodyText"/>
        <w:spacing w:before="120"/>
      </w:pPr>
      <w:r w:rsidRPr="3B5F806F">
        <w:t xml:space="preserve">Table 3 demonstrates that the steps that the contractors will need to follow for the </w:t>
      </w:r>
      <w:r w:rsidR="00761444">
        <w:t xml:space="preserve">6-week </w:t>
      </w:r>
      <w:r w:rsidRPr="3B5F806F">
        <w:t xml:space="preserve">pilot data collection. </w:t>
      </w:r>
    </w:p>
    <w:p w:rsidRPr="004F4783" w:rsidR="00A40F47" w:rsidP="159CC1E8" w:rsidRDefault="159CC1E8" w14:paraId="7462207C" w14:textId="2837841C">
      <w:pPr>
        <w:pStyle w:val="BodyText"/>
        <w:spacing w:before="120"/>
        <w:rPr>
          <w:u w:val="single"/>
        </w:rPr>
      </w:pPr>
      <w:r w:rsidRPr="159CC1E8">
        <w:rPr>
          <w:u w:val="single"/>
        </w:rPr>
        <w:t>Table 3: Data Collection Protocol</w:t>
      </w:r>
    </w:p>
    <w:tbl>
      <w:tblPr>
        <w:tblpPr w:leftFromText="180" w:rightFromText="180" w:vertAnchor="text" w:tblpXSpec="center" w:tblpY="1"/>
        <w:tblOverlap w:val="nev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887"/>
        <w:gridCol w:w="3067"/>
        <w:gridCol w:w="4250"/>
        <w:gridCol w:w="1136"/>
      </w:tblGrid>
      <w:tr w:rsidRPr="004B29E7" w:rsidR="00A40F47" w:rsidTr="159CC1E8" w14:paraId="399F1601" w14:textId="77777777">
        <w:tc>
          <w:tcPr>
            <w:tcW w:w="887" w:type="dxa"/>
            <w:tcBorders>
              <w:bottom w:val="single" w:color="auto" w:sz="8" w:space="0"/>
            </w:tcBorders>
            <w:shd w:val="clear" w:color="auto" w:fill="4472C4" w:themeFill="accent1"/>
            <w:hideMark/>
          </w:tcPr>
          <w:p w:rsidRPr="004B29E7" w:rsidR="00A40F47" w:rsidP="00264DC6" w:rsidRDefault="00A40F47" w14:paraId="7AC2F90E" w14:textId="77777777">
            <w:pPr>
              <w:pStyle w:val="ProposalTableHeading"/>
              <w:spacing w:line="19" w:lineRule="atLeast"/>
              <w:rPr>
                <w:sz w:val="22"/>
                <w:szCs w:val="22"/>
              </w:rPr>
            </w:pPr>
            <w:r w:rsidRPr="004B29E7">
              <w:rPr>
                <w:sz w:val="22"/>
                <w:szCs w:val="22"/>
              </w:rPr>
              <w:t>Wave</w:t>
            </w:r>
          </w:p>
        </w:tc>
        <w:tc>
          <w:tcPr>
            <w:tcW w:w="3067" w:type="dxa"/>
            <w:shd w:val="clear" w:color="auto" w:fill="4472C4" w:themeFill="accent1"/>
            <w:hideMark/>
          </w:tcPr>
          <w:p w:rsidRPr="004B29E7" w:rsidR="00A40F47" w:rsidP="00264DC6" w:rsidRDefault="00A40F47" w14:paraId="24D97FE7" w14:textId="158E4746">
            <w:pPr>
              <w:pStyle w:val="ProposalTableHeading"/>
              <w:spacing w:line="19" w:lineRule="atLeast"/>
              <w:rPr>
                <w:sz w:val="22"/>
                <w:szCs w:val="22"/>
              </w:rPr>
            </w:pPr>
            <w:r w:rsidRPr="159CC1E8">
              <w:rPr>
                <w:sz w:val="22"/>
                <w:szCs w:val="22"/>
              </w:rPr>
              <w:t>Step</w:t>
            </w:r>
          </w:p>
        </w:tc>
        <w:tc>
          <w:tcPr>
            <w:tcW w:w="4250" w:type="dxa"/>
            <w:shd w:val="clear" w:color="auto" w:fill="4472C4" w:themeFill="accent1"/>
          </w:tcPr>
          <w:p w:rsidRPr="004B29E7" w:rsidR="00A40F47" w:rsidP="00264DC6" w:rsidRDefault="159CC1E8" w14:paraId="470C9776" w14:textId="183127C9">
            <w:pPr>
              <w:pStyle w:val="ProposalTableHeading"/>
              <w:spacing w:line="19" w:lineRule="atLeast"/>
              <w:rPr>
                <w:sz w:val="22"/>
                <w:szCs w:val="22"/>
              </w:rPr>
            </w:pPr>
            <w:r w:rsidRPr="159CC1E8">
              <w:rPr>
                <w:sz w:val="22"/>
                <w:szCs w:val="22"/>
              </w:rPr>
              <w:t>Mode</w:t>
            </w:r>
          </w:p>
        </w:tc>
        <w:tc>
          <w:tcPr>
            <w:tcW w:w="1136" w:type="dxa"/>
            <w:shd w:val="clear" w:color="auto" w:fill="4472C4" w:themeFill="accent1"/>
            <w:hideMark/>
          </w:tcPr>
          <w:p w:rsidRPr="004B29E7" w:rsidR="00A40F47" w:rsidP="00264DC6" w:rsidRDefault="00A40F47" w14:paraId="491B5BD7" w14:textId="77777777">
            <w:pPr>
              <w:pStyle w:val="ProposalTableHeading"/>
              <w:spacing w:line="19" w:lineRule="atLeast"/>
              <w:rPr>
                <w:sz w:val="22"/>
                <w:szCs w:val="22"/>
              </w:rPr>
            </w:pPr>
            <w:r w:rsidRPr="004B29E7">
              <w:rPr>
                <w:sz w:val="22"/>
                <w:szCs w:val="22"/>
              </w:rPr>
              <w:t>Schedule</w:t>
            </w:r>
          </w:p>
        </w:tc>
      </w:tr>
      <w:tr w:rsidRPr="004B29E7" w:rsidR="00A40F47" w:rsidTr="159CC1E8" w14:paraId="1E0EC472" w14:textId="77777777">
        <w:tc>
          <w:tcPr>
            <w:tcW w:w="887" w:type="dxa"/>
            <w:shd w:val="clear" w:color="auto" w:fill="auto"/>
            <w:vAlign w:val="center"/>
            <w:hideMark/>
          </w:tcPr>
          <w:p w:rsidRPr="004B29E7" w:rsidR="00A40F47" w:rsidP="00264DC6" w:rsidRDefault="00A40F47" w14:paraId="271C0878" w14:textId="77777777">
            <w:pPr>
              <w:pStyle w:val="ProposalTableText"/>
              <w:spacing w:line="19" w:lineRule="atLeast"/>
              <w:jc w:val="center"/>
              <w:rPr>
                <w:sz w:val="22"/>
                <w:szCs w:val="22"/>
              </w:rPr>
            </w:pPr>
            <w:r w:rsidRPr="004B29E7">
              <w:rPr>
                <w:sz w:val="22"/>
                <w:szCs w:val="22"/>
              </w:rPr>
              <w:t>1</w:t>
            </w:r>
          </w:p>
        </w:tc>
        <w:tc>
          <w:tcPr>
            <w:tcW w:w="3067" w:type="dxa"/>
            <w:shd w:val="clear" w:color="auto" w:fill="auto"/>
            <w:vAlign w:val="center"/>
            <w:hideMark/>
          </w:tcPr>
          <w:p w:rsidRPr="004B29E7" w:rsidR="00A40F47" w:rsidP="159CC1E8" w:rsidRDefault="159CC1E8" w14:paraId="797DB0D7" w14:textId="23C48C9A">
            <w:pPr>
              <w:pStyle w:val="ProposalTableText"/>
              <w:rPr>
                <w:rFonts w:eastAsia="Calibri"/>
              </w:rPr>
            </w:pPr>
            <w:r w:rsidRPr="159CC1E8">
              <w:rPr>
                <w:sz w:val="22"/>
                <w:szCs w:val="22"/>
              </w:rPr>
              <w:t>Set up interviews</w:t>
            </w:r>
          </w:p>
        </w:tc>
        <w:tc>
          <w:tcPr>
            <w:tcW w:w="4250" w:type="dxa"/>
            <w:shd w:val="clear" w:color="auto" w:fill="auto"/>
            <w:vAlign w:val="center"/>
          </w:tcPr>
          <w:p w:rsidRPr="004B29E7" w:rsidR="00A40F47" w:rsidP="159CC1E8" w:rsidRDefault="159CC1E8" w14:paraId="65F632B9" w14:textId="523DAFF5">
            <w:pPr>
              <w:pStyle w:val="ProposalTableText"/>
              <w:rPr>
                <w:rFonts w:eastAsia="Calibri"/>
              </w:rPr>
            </w:pPr>
            <w:r w:rsidRPr="159CC1E8">
              <w:rPr>
                <w:sz w:val="22"/>
                <w:szCs w:val="22"/>
              </w:rPr>
              <w:t>Outreach to respondents for an interview</w:t>
            </w:r>
          </w:p>
        </w:tc>
        <w:tc>
          <w:tcPr>
            <w:tcW w:w="1136" w:type="dxa"/>
            <w:shd w:val="clear" w:color="auto" w:fill="auto"/>
            <w:vAlign w:val="center"/>
            <w:hideMark/>
          </w:tcPr>
          <w:p w:rsidRPr="004B29E7" w:rsidR="00A40F47" w:rsidP="00264DC6" w:rsidRDefault="00A40F47" w14:paraId="3104BE8C" w14:textId="10823E04">
            <w:pPr>
              <w:pStyle w:val="ProposalTableText"/>
              <w:spacing w:line="19" w:lineRule="atLeast"/>
              <w:jc w:val="center"/>
              <w:rPr>
                <w:sz w:val="22"/>
                <w:szCs w:val="22"/>
              </w:rPr>
            </w:pPr>
            <w:r w:rsidRPr="159CC1E8">
              <w:rPr>
                <w:sz w:val="22"/>
                <w:szCs w:val="22"/>
              </w:rPr>
              <w:t>Day 1 -10</w:t>
            </w:r>
          </w:p>
        </w:tc>
      </w:tr>
      <w:tr w:rsidRPr="004B29E7" w:rsidR="0079546D" w:rsidTr="159CC1E8" w14:paraId="33BE4182" w14:textId="77777777">
        <w:tc>
          <w:tcPr>
            <w:tcW w:w="887" w:type="dxa"/>
            <w:shd w:val="clear" w:color="auto" w:fill="auto"/>
            <w:vAlign w:val="center"/>
            <w:hideMark/>
          </w:tcPr>
          <w:p w:rsidRPr="004B29E7" w:rsidR="0079546D" w:rsidP="0079546D" w:rsidRDefault="0079546D" w14:paraId="37931D1C" w14:textId="77777777">
            <w:pPr>
              <w:pStyle w:val="ProposalTableText"/>
              <w:spacing w:line="19" w:lineRule="atLeast"/>
              <w:jc w:val="center"/>
              <w:rPr>
                <w:sz w:val="22"/>
                <w:szCs w:val="22"/>
              </w:rPr>
            </w:pPr>
            <w:r w:rsidRPr="004B29E7">
              <w:rPr>
                <w:sz w:val="22"/>
                <w:szCs w:val="22"/>
              </w:rPr>
              <w:t>2</w:t>
            </w:r>
          </w:p>
        </w:tc>
        <w:tc>
          <w:tcPr>
            <w:tcW w:w="3067" w:type="dxa"/>
            <w:shd w:val="clear" w:color="auto" w:fill="auto"/>
            <w:vAlign w:val="center"/>
            <w:hideMark/>
          </w:tcPr>
          <w:p w:rsidRPr="004B29E7" w:rsidR="0079546D" w:rsidP="159CC1E8" w:rsidRDefault="159CC1E8" w14:paraId="21D090E4" w14:textId="2E12F581">
            <w:pPr>
              <w:pStyle w:val="ProposalTableText"/>
              <w:rPr>
                <w:rFonts w:eastAsia="Calibri"/>
              </w:rPr>
            </w:pPr>
            <w:r w:rsidRPr="159CC1E8">
              <w:rPr>
                <w:sz w:val="22"/>
                <w:szCs w:val="22"/>
              </w:rPr>
              <w:t>Interviews</w:t>
            </w:r>
          </w:p>
        </w:tc>
        <w:tc>
          <w:tcPr>
            <w:tcW w:w="4250" w:type="dxa"/>
            <w:shd w:val="clear" w:color="auto" w:fill="auto"/>
            <w:vAlign w:val="center"/>
          </w:tcPr>
          <w:p w:rsidRPr="004B29E7" w:rsidR="0079546D" w:rsidP="159CC1E8" w:rsidRDefault="159CC1E8" w14:paraId="59534CE0" w14:textId="0DE555BC">
            <w:pPr>
              <w:pStyle w:val="ProposalTableText"/>
              <w:rPr>
                <w:rFonts w:eastAsia="Calibri"/>
              </w:rPr>
            </w:pPr>
            <w:r w:rsidRPr="159CC1E8">
              <w:rPr>
                <w:sz w:val="22"/>
                <w:szCs w:val="22"/>
              </w:rPr>
              <w:t xml:space="preserve">Interview the top 25-35 ports and </w:t>
            </w:r>
            <w:bookmarkStart w:name="_Hlk109993226" w:id="5"/>
            <w:r w:rsidRPr="159CC1E8">
              <w:rPr>
                <w:sz w:val="22"/>
                <w:szCs w:val="22"/>
              </w:rPr>
              <w:t>intermodal terminal facilities</w:t>
            </w:r>
            <w:bookmarkEnd w:id="5"/>
            <w:r w:rsidRPr="159CC1E8">
              <w:rPr>
                <w:sz w:val="22"/>
                <w:szCs w:val="22"/>
              </w:rPr>
              <w:t>, and IEPs and other chassis providers.</w:t>
            </w:r>
          </w:p>
        </w:tc>
        <w:tc>
          <w:tcPr>
            <w:tcW w:w="1136" w:type="dxa"/>
            <w:shd w:val="clear" w:color="auto" w:fill="auto"/>
            <w:vAlign w:val="center"/>
            <w:hideMark/>
          </w:tcPr>
          <w:p w:rsidRPr="004B29E7" w:rsidR="0079546D" w:rsidP="159CC1E8" w:rsidRDefault="159CC1E8" w14:paraId="6BB9033E" w14:textId="3960905D">
            <w:pPr>
              <w:pStyle w:val="ProposalTableText"/>
              <w:jc w:val="center"/>
              <w:rPr>
                <w:rFonts w:eastAsia="Calibri"/>
              </w:rPr>
            </w:pPr>
            <w:r w:rsidRPr="159CC1E8">
              <w:rPr>
                <w:sz w:val="22"/>
                <w:szCs w:val="22"/>
              </w:rPr>
              <w:t>Day 5 – 30</w:t>
            </w:r>
          </w:p>
        </w:tc>
      </w:tr>
      <w:tr w:rsidR="159CC1E8" w:rsidTr="159CC1E8" w14:paraId="128AF843" w14:textId="77777777">
        <w:tc>
          <w:tcPr>
            <w:tcW w:w="887" w:type="dxa"/>
            <w:shd w:val="clear" w:color="auto" w:fill="auto"/>
            <w:vAlign w:val="center"/>
            <w:hideMark/>
          </w:tcPr>
          <w:p w:rsidR="159CC1E8" w:rsidP="159CC1E8" w:rsidRDefault="159CC1E8" w14:paraId="7B6692A6" w14:textId="2627DB44">
            <w:pPr>
              <w:pStyle w:val="ProposalTableText"/>
              <w:spacing w:line="19" w:lineRule="atLeast"/>
              <w:jc w:val="center"/>
              <w:rPr>
                <w:rFonts w:eastAsia="Calibri"/>
              </w:rPr>
            </w:pPr>
            <w:r w:rsidRPr="159CC1E8">
              <w:rPr>
                <w:rFonts w:eastAsia="Calibri"/>
              </w:rPr>
              <w:t>3</w:t>
            </w:r>
          </w:p>
        </w:tc>
        <w:tc>
          <w:tcPr>
            <w:tcW w:w="3067" w:type="dxa"/>
            <w:shd w:val="clear" w:color="auto" w:fill="auto"/>
            <w:vAlign w:val="center"/>
            <w:hideMark/>
          </w:tcPr>
          <w:p w:rsidR="159CC1E8" w:rsidP="159CC1E8" w:rsidRDefault="159CC1E8" w14:paraId="1DFE0A07" w14:textId="4123BA88">
            <w:pPr>
              <w:pStyle w:val="ProposalTableText"/>
              <w:rPr>
                <w:rFonts w:eastAsia="Calibri"/>
              </w:rPr>
            </w:pPr>
            <w:r w:rsidRPr="159CC1E8">
              <w:rPr>
                <w:rFonts w:eastAsia="Calibri"/>
              </w:rPr>
              <w:t>Develop collection needs</w:t>
            </w:r>
          </w:p>
        </w:tc>
        <w:tc>
          <w:tcPr>
            <w:tcW w:w="4250" w:type="dxa"/>
            <w:shd w:val="clear" w:color="auto" w:fill="auto"/>
            <w:vAlign w:val="center"/>
          </w:tcPr>
          <w:p w:rsidR="159CC1E8" w:rsidP="159CC1E8" w:rsidRDefault="159CC1E8" w14:paraId="13346BF3" w14:textId="601CB047">
            <w:pPr>
              <w:pStyle w:val="ProposalTableText"/>
              <w:rPr>
                <w:rFonts w:eastAsia="Calibri"/>
              </w:rPr>
            </w:pPr>
            <w:r w:rsidRPr="159CC1E8">
              <w:rPr>
                <w:rFonts w:eastAsia="Calibri"/>
              </w:rPr>
              <w:t xml:space="preserve">Develop an initial data request based on what is now known as available.  </w:t>
            </w:r>
          </w:p>
        </w:tc>
        <w:tc>
          <w:tcPr>
            <w:tcW w:w="1136" w:type="dxa"/>
            <w:shd w:val="clear" w:color="auto" w:fill="auto"/>
            <w:vAlign w:val="center"/>
            <w:hideMark/>
          </w:tcPr>
          <w:p w:rsidR="159CC1E8" w:rsidP="159CC1E8" w:rsidRDefault="159CC1E8" w14:paraId="6A74B3FE" w14:textId="2011300B">
            <w:pPr>
              <w:pStyle w:val="ProposalTableText"/>
              <w:spacing w:line="19" w:lineRule="atLeast"/>
              <w:jc w:val="center"/>
              <w:rPr>
                <w:rFonts w:eastAsia="Calibri"/>
              </w:rPr>
            </w:pPr>
            <w:r w:rsidRPr="159CC1E8">
              <w:rPr>
                <w:rFonts w:eastAsia="Calibri"/>
              </w:rPr>
              <w:t>Day 22</w:t>
            </w:r>
          </w:p>
        </w:tc>
      </w:tr>
      <w:tr w:rsidRPr="004B29E7" w:rsidR="00A40F47" w:rsidTr="159CC1E8" w14:paraId="25A97BCD" w14:textId="77777777">
        <w:tc>
          <w:tcPr>
            <w:tcW w:w="887" w:type="dxa"/>
            <w:shd w:val="clear" w:color="auto" w:fill="auto"/>
            <w:vAlign w:val="center"/>
            <w:hideMark/>
          </w:tcPr>
          <w:p w:rsidRPr="004B29E7" w:rsidR="00A40F47" w:rsidP="00264DC6" w:rsidRDefault="159CC1E8" w14:paraId="24E3E5EE" w14:textId="659496A1">
            <w:pPr>
              <w:pStyle w:val="ProposalTableText"/>
              <w:spacing w:line="19" w:lineRule="atLeast"/>
              <w:jc w:val="center"/>
              <w:rPr>
                <w:sz w:val="22"/>
                <w:szCs w:val="22"/>
              </w:rPr>
            </w:pPr>
            <w:r w:rsidRPr="159CC1E8">
              <w:rPr>
                <w:sz w:val="22"/>
                <w:szCs w:val="22"/>
              </w:rPr>
              <w:t>4</w:t>
            </w:r>
          </w:p>
        </w:tc>
        <w:tc>
          <w:tcPr>
            <w:tcW w:w="3067" w:type="dxa"/>
            <w:shd w:val="clear" w:color="auto" w:fill="auto"/>
            <w:vAlign w:val="center"/>
            <w:hideMark/>
          </w:tcPr>
          <w:p w:rsidRPr="004B29E7" w:rsidR="00A40F47" w:rsidP="159CC1E8" w:rsidRDefault="159CC1E8" w14:paraId="55F89CCC" w14:textId="3797E2EB">
            <w:pPr>
              <w:pStyle w:val="ProposalTableText"/>
              <w:rPr>
                <w:sz w:val="22"/>
                <w:szCs w:val="22"/>
              </w:rPr>
            </w:pPr>
            <w:r w:rsidRPr="159CC1E8">
              <w:rPr>
                <w:sz w:val="22"/>
                <w:szCs w:val="22"/>
              </w:rPr>
              <w:t xml:space="preserve">Set up an initial data collection/test the automated data submission platform </w:t>
            </w:r>
          </w:p>
        </w:tc>
        <w:tc>
          <w:tcPr>
            <w:tcW w:w="4250" w:type="dxa"/>
            <w:shd w:val="clear" w:color="auto" w:fill="auto"/>
            <w:vAlign w:val="center"/>
          </w:tcPr>
          <w:p w:rsidRPr="004B29E7" w:rsidR="00A40F47" w:rsidP="159CC1E8" w:rsidRDefault="159CC1E8" w14:paraId="3DA426EF" w14:textId="3737A5FE">
            <w:pPr>
              <w:pStyle w:val="ProposalTableText"/>
              <w:rPr>
                <w:rFonts w:eastAsia="Calibri"/>
              </w:rPr>
            </w:pPr>
            <w:r w:rsidRPr="159CC1E8">
              <w:rPr>
                <w:sz w:val="22"/>
                <w:szCs w:val="22"/>
              </w:rPr>
              <w:t>Send request through mail or email</w:t>
            </w:r>
          </w:p>
        </w:tc>
        <w:tc>
          <w:tcPr>
            <w:tcW w:w="1136" w:type="dxa"/>
            <w:shd w:val="clear" w:color="auto" w:fill="auto"/>
            <w:vAlign w:val="center"/>
            <w:hideMark/>
          </w:tcPr>
          <w:p w:rsidRPr="004B29E7" w:rsidR="00A40F47" w:rsidP="00264DC6" w:rsidRDefault="00A40F47" w14:paraId="5D767D15" w14:textId="3D5956F9">
            <w:pPr>
              <w:pStyle w:val="ProposalTableText"/>
              <w:spacing w:line="19" w:lineRule="atLeast"/>
              <w:jc w:val="center"/>
              <w:rPr>
                <w:sz w:val="22"/>
                <w:szCs w:val="22"/>
              </w:rPr>
            </w:pPr>
            <w:r w:rsidRPr="159CC1E8">
              <w:rPr>
                <w:sz w:val="22"/>
                <w:szCs w:val="22"/>
              </w:rPr>
              <w:t>Day 30</w:t>
            </w:r>
          </w:p>
        </w:tc>
      </w:tr>
      <w:tr w:rsidR="159CC1E8" w:rsidTr="159CC1E8" w14:paraId="486CC92F" w14:textId="77777777">
        <w:tc>
          <w:tcPr>
            <w:tcW w:w="887" w:type="dxa"/>
            <w:shd w:val="clear" w:color="auto" w:fill="auto"/>
            <w:vAlign w:val="center"/>
            <w:hideMark/>
          </w:tcPr>
          <w:p w:rsidR="159CC1E8" w:rsidP="159CC1E8" w:rsidRDefault="159CC1E8" w14:paraId="62B1F06E" w14:textId="01454DF9">
            <w:pPr>
              <w:pStyle w:val="ProposalTableText"/>
              <w:spacing w:line="19" w:lineRule="atLeast"/>
              <w:jc w:val="center"/>
              <w:rPr>
                <w:rFonts w:eastAsia="Calibri"/>
              </w:rPr>
            </w:pPr>
            <w:r w:rsidRPr="159CC1E8">
              <w:rPr>
                <w:rFonts w:eastAsia="Calibri"/>
              </w:rPr>
              <w:t>5</w:t>
            </w:r>
          </w:p>
        </w:tc>
        <w:tc>
          <w:tcPr>
            <w:tcW w:w="3067" w:type="dxa"/>
            <w:shd w:val="clear" w:color="auto" w:fill="auto"/>
            <w:vAlign w:val="center"/>
            <w:hideMark/>
          </w:tcPr>
          <w:p w:rsidR="159CC1E8" w:rsidP="159CC1E8" w:rsidRDefault="159CC1E8" w14:paraId="5D65808F" w14:textId="64FC27A4">
            <w:pPr>
              <w:pStyle w:val="ProposalTableText"/>
              <w:rPr>
                <w:rFonts w:eastAsia="Calibri"/>
              </w:rPr>
            </w:pPr>
            <w:r w:rsidRPr="159CC1E8">
              <w:rPr>
                <w:rFonts w:eastAsia="Calibri"/>
              </w:rPr>
              <w:t>Reminder to respond</w:t>
            </w:r>
          </w:p>
        </w:tc>
        <w:tc>
          <w:tcPr>
            <w:tcW w:w="4250" w:type="dxa"/>
            <w:shd w:val="clear" w:color="auto" w:fill="auto"/>
            <w:vAlign w:val="center"/>
          </w:tcPr>
          <w:p w:rsidR="159CC1E8" w:rsidP="159CC1E8" w:rsidRDefault="159CC1E8" w14:paraId="1FB65DC3" w14:textId="0D90619A">
            <w:pPr>
              <w:pStyle w:val="ProposalTableText"/>
              <w:rPr>
                <w:rFonts w:eastAsia="Calibri"/>
              </w:rPr>
            </w:pPr>
            <w:r w:rsidRPr="159CC1E8">
              <w:rPr>
                <w:rFonts w:eastAsia="Calibri"/>
              </w:rPr>
              <w:t>Follow up by telephone</w:t>
            </w:r>
          </w:p>
        </w:tc>
        <w:tc>
          <w:tcPr>
            <w:tcW w:w="1136" w:type="dxa"/>
            <w:shd w:val="clear" w:color="auto" w:fill="auto"/>
            <w:vAlign w:val="center"/>
            <w:hideMark/>
          </w:tcPr>
          <w:p w:rsidR="159CC1E8" w:rsidP="159CC1E8" w:rsidRDefault="159CC1E8" w14:paraId="64D2177C" w14:textId="102699EA">
            <w:pPr>
              <w:pStyle w:val="ProposalTableText"/>
              <w:spacing w:line="19" w:lineRule="atLeast"/>
              <w:jc w:val="center"/>
              <w:rPr>
                <w:rFonts w:eastAsia="Calibri"/>
              </w:rPr>
            </w:pPr>
            <w:r w:rsidRPr="159CC1E8">
              <w:rPr>
                <w:rFonts w:eastAsia="Calibri"/>
              </w:rPr>
              <w:t>Day 37</w:t>
            </w:r>
          </w:p>
        </w:tc>
      </w:tr>
      <w:tr w:rsidRPr="004B29E7" w:rsidR="00A40F47" w:rsidTr="159CC1E8" w14:paraId="5B262252" w14:textId="77777777">
        <w:tc>
          <w:tcPr>
            <w:tcW w:w="8204" w:type="dxa"/>
            <w:gridSpan w:val="3"/>
            <w:shd w:val="clear" w:color="auto" w:fill="D9E2F3" w:themeFill="accent1" w:themeFillTint="33"/>
            <w:vAlign w:val="center"/>
          </w:tcPr>
          <w:p w:rsidRPr="004B29E7" w:rsidR="00A40F47" w:rsidP="159CC1E8" w:rsidRDefault="00A40F47" w14:paraId="7AF75CE7" w14:textId="68AC4485">
            <w:pPr>
              <w:widowControl w:val="0"/>
              <w:spacing w:before="40" w:line="19" w:lineRule="atLeast"/>
              <w:jc w:val="center"/>
              <w:rPr>
                <w:b/>
                <w:bCs/>
              </w:rPr>
            </w:pPr>
            <w:r w:rsidRPr="159CC1E8">
              <w:rPr>
                <w:b/>
                <w:bCs/>
              </w:rPr>
              <w:t>Close pilot data collection</w:t>
            </w:r>
          </w:p>
        </w:tc>
        <w:tc>
          <w:tcPr>
            <w:tcW w:w="1136" w:type="dxa"/>
            <w:shd w:val="clear" w:color="auto" w:fill="auto"/>
            <w:vAlign w:val="center"/>
          </w:tcPr>
          <w:p w:rsidRPr="004B29E7" w:rsidR="00A40F47" w:rsidP="00264DC6" w:rsidRDefault="00A40F47" w14:paraId="7EB404B9" w14:textId="06443B82">
            <w:pPr>
              <w:pStyle w:val="ProposalTableText"/>
              <w:spacing w:line="19" w:lineRule="atLeast"/>
              <w:jc w:val="center"/>
              <w:rPr>
                <w:sz w:val="22"/>
                <w:szCs w:val="22"/>
              </w:rPr>
            </w:pPr>
            <w:r w:rsidRPr="159CC1E8">
              <w:rPr>
                <w:sz w:val="22"/>
                <w:szCs w:val="22"/>
              </w:rPr>
              <w:t>Day</w:t>
            </w:r>
            <w:r w:rsidRPr="159CC1E8" w:rsidR="1BC5DF12">
              <w:rPr>
                <w:sz w:val="22"/>
                <w:szCs w:val="22"/>
              </w:rPr>
              <w:t xml:space="preserve"> 42</w:t>
            </w:r>
          </w:p>
        </w:tc>
      </w:tr>
    </w:tbl>
    <w:p w:rsidR="002D37CC" w:rsidRDefault="002D37CC" w14:paraId="27F1FB52" w14:textId="5EAE082D"/>
    <w:p w:rsidR="00A40F47" w:rsidP="00A40F47" w:rsidRDefault="00A40F47" w14:paraId="1CCF8C45" w14:textId="77777777">
      <w:pPr>
        <w:widowControl w:val="0"/>
        <w:autoSpaceDE w:val="0"/>
        <w:autoSpaceDN w:val="0"/>
        <w:adjustRightInd w:val="0"/>
      </w:pPr>
      <w:r w:rsidRPr="159CC1E8">
        <w:rPr>
          <w:b/>
          <w:bCs/>
        </w:rPr>
        <w:t>B.3. Describe methods to maximize response rates.</w:t>
      </w:r>
    </w:p>
    <w:p w:rsidR="159CC1E8" w:rsidP="159CC1E8" w:rsidRDefault="159CC1E8" w14:paraId="6E622420" w14:textId="2486E859">
      <w:pPr>
        <w:pStyle w:val="BodyText"/>
        <w:spacing w:before="120"/>
        <w:rPr>
          <w:color w:val="000000" w:themeColor="text1"/>
        </w:rPr>
      </w:pPr>
      <w:r w:rsidRPr="159CC1E8">
        <w:rPr>
          <w:color w:val="000000" w:themeColor="text1"/>
        </w:rPr>
        <w:t xml:space="preserve">Participation to respond is voluntary.  BTS will work with the ocean carrier industry advocacy and member groups to build trust and cooperation to collect the necessary data to fulfill the law.  </w:t>
      </w:r>
    </w:p>
    <w:p w:rsidR="00A40F47" w:rsidP="159CC1E8" w:rsidRDefault="00A40F47" w14:paraId="14F97867" w14:textId="0F27BFE8">
      <w:pPr>
        <w:pStyle w:val="BodyText"/>
        <w:spacing w:before="120"/>
        <w:rPr>
          <w:b/>
          <w:bCs/>
          <w:color w:val="000000" w:themeColor="text1"/>
        </w:rPr>
      </w:pPr>
      <w:r w:rsidRPr="159CC1E8">
        <w:rPr>
          <w:b/>
          <w:bCs/>
          <w:color w:val="000000" w:themeColor="text1"/>
        </w:rPr>
        <w:t>B.4. Describe any tests of procedures or methods to be undertaken.</w:t>
      </w:r>
    </w:p>
    <w:p w:rsidR="00A40F47" w:rsidP="159CC1E8" w:rsidRDefault="00A40F47" w14:paraId="21BBA5F5" w14:textId="77777777">
      <w:pPr>
        <w:pStyle w:val="BodyText"/>
        <w:spacing w:before="120"/>
        <w:rPr>
          <w:color w:val="000000" w:themeColor="text1"/>
          <w:u w:val="single"/>
        </w:rPr>
      </w:pPr>
      <w:r w:rsidRPr="159CC1E8">
        <w:rPr>
          <w:color w:val="000000" w:themeColor="text1"/>
          <w:u w:val="single"/>
        </w:rPr>
        <w:t>B.4.1 Web-based Questionnaire Usability Testing</w:t>
      </w:r>
    </w:p>
    <w:p w:rsidR="159CC1E8" w:rsidRDefault="159CC1E8" w14:paraId="440368DF" w14:textId="208F9535">
      <w:r w:rsidRPr="159CC1E8">
        <w:t>Study staff will conduct internal pilot testing of all secure server data collection systems prior to deployment. The pilot test will assess the ease of providing the data, data format, and data consistency between that uploaded and that in the database. These findings will be used to identify potential improvements to the data collection system prior to beginning actual data collection.</w:t>
      </w:r>
    </w:p>
    <w:p w:rsidRPr="00E5762B" w:rsidR="00A40F47" w:rsidP="00A40F47" w:rsidRDefault="00A40F47" w14:paraId="6BEAF521" w14:textId="77777777">
      <w:pPr>
        <w:pStyle w:val="BodyText"/>
        <w:spacing w:before="120"/>
        <w:rPr>
          <w:color w:val="000000"/>
          <w:u w:val="single"/>
        </w:rPr>
      </w:pPr>
      <w:r w:rsidRPr="159CC1E8">
        <w:rPr>
          <w:color w:val="000000" w:themeColor="text1"/>
          <w:u w:val="single"/>
        </w:rPr>
        <w:t>B.4.2 Paper Questionnaire Usability Testing</w:t>
      </w:r>
    </w:p>
    <w:p w:rsidR="00A40F47" w:rsidP="159CC1E8" w:rsidRDefault="159CC1E8" w14:paraId="557C8150" w14:textId="77D2EBFA">
      <w:pPr>
        <w:pStyle w:val="BodyText"/>
        <w:spacing w:before="120"/>
        <w:rPr>
          <w:b/>
          <w:bCs/>
          <w:color w:val="000000" w:themeColor="text1"/>
        </w:rPr>
      </w:pPr>
      <w:r w:rsidRPr="159CC1E8">
        <w:rPr>
          <w:color w:val="000000" w:themeColor="text1"/>
        </w:rPr>
        <w:t>There will not be an option for a paper questionnaire.</w:t>
      </w:r>
    </w:p>
    <w:sectPr w:rsidR="00A40F4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0028" w14:textId="77777777" w:rsidR="000B4EF6" w:rsidRDefault="000B4EF6" w:rsidP="002D37CC">
      <w:r>
        <w:separator/>
      </w:r>
    </w:p>
  </w:endnote>
  <w:endnote w:type="continuationSeparator" w:id="0">
    <w:p w14:paraId="11F2183C" w14:textId="77777777" w:rsidR="000B4EF6" w:rsidRDefault="000B4EF6" w:rsidP="002D37CC">
      <w:r>
        <w:continuationSeparator/>
      </w:r>
    </w:p>
  </w:endnote>
  <w:endnote w:type="continuationNotice" w:id="1">
    <w:p w14:paraId="68446EFC" w14:textId="77777777" w:rsidR="000B4EF6" w:rsidRDefault="000B4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658027"/>
      <w:docPartObj>
        <w:docPartGallery w:val="Page Numbers (Bottom of Page)"/>
        <w:docPartUnique/>
      </w:docPartObj>
    </w:sdtPr>
    <w:sdtEndPr>
      <w:rPr>
        <w:noProof/>
      </w:rPr>
    </w:sdtEndPr>
    <w:sdtContent>
      <w:p w14:paraId="5D2F0FEE" w14:textId="77777777" w:rsidR="002D37CC" w:rsidRDefault="002D37CC" w:rsidP="002D37CC">
        <w:pPr>
          <w:pStyle w:val="Header"/>
          <w:jc w:val="right"/>
        </w:pPr>
        <w:r>
          <w:t>OSRA</w:t>
        </w:r>
      </w:p>
      <w:p w14:paraId="6C472985" w14:textId="49AF0720" w:rsidR="002D37CC" w:rsidRDefault="002D37CC" w:rsidP="002D37CC">
        <w:pPr>
          <w:pStyle w:val="Footer"/>
          <w:jc w:val="right"/>
        </w:pPr>
        <w:r>
          <w:t xml:space="preserve">ICR Section Part B, Page </w:t>
        </w:r>
        <w:r>
          <w:fldChar w:fldCharType="begin"/>
        </w:r>
        <w:r>
          <w:instrText xml:space="preserve"> PAGE   \* MERGEFORMAT </w:instrText>
        </w:r>
        <w:r>
          <w:fldChar w:fldCharType="separate"/>
        </w:r>
        <w:r>
          <w:rPr>
            <w:noProof/>
          </w:rPr>
          <w:t>2</w:t>
        </w:r>
        <w:r>
          <w:rPr>
            <w:noProof/>
          </w:rPr>
          <w:fldChar w:fldCharType="end"/>
        </w:r>
      </w:p>
    </w:sdtContent>
  </w:sdt>
  <w:p w14:paraId="333CE53F" w14:textId="77777777" w:rsidR="002D37CC" w:rsidRDefault="002D3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20E0" w14:textId="77777777" w:rsidR="000B4EF6" w:rsidRDefault="000B4EF6" w:rsidP="002D37CC">
      <w:r>
        <w:separator/>
      </w:r>
    </w:p>
  </w:footnote>
  <w:footnote w:type="continuationSeparator" w:id="0">
    <w:p w14:paraId="2F5AAD5D" w14:textId="77777777" w:rsidR="000B4EF6" w:rsidRDefault="000B4EF6" w:rsidP="002D37CC">
      <w:r>
        <w:continuationSeparator/>
      </w:r>
    </w:p>
  </w:footnote>
  <w:footnote w:type="continuationNotice" w:id="1">
    <w:p w14:paraId="1D7EA9E2" w14:textId="77777777" w:rsidR="000B4EF6" w:rsidRDefault="000B4EF6"/>
  </w:footnote>
  <w:footnote w:id="2">
    <w:p w14:paraId="03FAEBFA" w14:textId="77777777" w:rsidR="00A40F47" w:rsidRPr="00F53792" w:rsidRDefault="00A40F47" w:rsidP="00A40F47">
      <w:pPr>
        <w:spacing w:after="120"/>
        <w:rPr>
          <w:sz w:val="20"/>
          <w:szCs w:val="20"/>
        </w:rPr>
      </w:pPr>
      <w:r w:rsidRPr="00F53792">
        <w:rPr>
          <w:rStyle w:val="FootnoteReference"/>
          <w:sz w:val="20"/>
          <w:szCs w:val="20"/>
        </w:rPr>
        <w:footnoteRef/>
      </w:r>
      <w:r w:rsidRPr="00F53792">
        <w:rPr>
          <w:sz w:val="20"/>
          <w:szCs w:val="20"/>
        </w:rPr>
        <w:t xml:space="preserve"> The Office of Management and Budget has asked that all abstracts address the below eight areas to help them perform their review and to assist the public in more quickly understanding a collection.</w:t>
      </w:r>
    </w:p>
    <w:p w14:paraId="4C3B7836" w14:textId="77777777" w:rsidR="00A40F47" w:rsidRPr="00F53792" w:rsidRDefault="00A40F47" w:rsidP="00A40F47">
      <w:pPr>
        <w:ind w:left="720" w:hanging="274"/>
        <w:rPr>
          <w:sz w:val="20"/>
          <w:szCs w:val="20"/>
        </w:rPr>
      </w:pPr>
      <w:r w:rsidRPr="00F53792">
        <w:rPr>
          <w:sz w:val="20"/>
          <w:szCs w:val="20"/>
        </w:rPr>
        <w:t>1. Whether responding to the collection is mandatory, voluntary, or required to obtain or retain a benefit.</w:t>
      </w:r>
    </w:p>
    <w:p w14:paraId="207F97C5" w14:textId="77777777" w:rsidR="00A40F47" w:rsidRPr="00F53792" w:rsidRDefault="00A40F47" w:rsidP="00A40F47">
      <w:pPr>
        <w:ind w:left="720" w:hanging="274"/>
        <w:rPr>
          <w:sz w:val="20"/>
          <w:szCs w:val="20"/>
        </w:rPr>
      </w:pPr>
      <w:r w:rsidRPr="00F53792">
        <w:rPr>
          <w:sz w:val="20"/>
          <w:szCs w:val="20"/>
        </w:rPr>
        <w:t>2. Describe the entities who must respond (e.g., class 1 railroads, operators of natural gas transmission lines, etc.).</w:t>
      </w:r>
    </w:p>
    <w:p w14:paraId="59EE2679" w14:textId="77777777" w:rsidR="00A40F47" w:rsidRPr="00F53792" w:rsidRDefault="00A40F47" w:rsidP="00A40F47">
      <w:pPr>
        <w:ind w:left="720" w:hanging="274"/>
        <w:rPr>
          <w:sz w:val="20"/>
          <w:szCs w:val="20"/>
        </w:rPr>
      </w:pPr>
      <w:r w:rsidRPr="00F53792">
        <w:rPr>
          <w:sz w:val="20"/>
          <w:szCs w:val="20"/>
        </w:rPr>
        <w:t>3. Whether the collection is reporting (indicate if a survey), recordkeeping, and/or disclosure.</w:t>
      </w:r>
    </w:p>
    <w:p w14:paraId="2046DBDB" w14:textId="77777777" w:rsidR="00A40F47" w:rsidRPr="00F53792" w:rsidRDefault="00A40F47" w:rsidP="00A40F47">
      <w:pPr>
        <w:ind w:left="720" w:hanging="274"/>
        <w:rPr>
          <w:sz w:val="20"/>
          <w:szCs w:val="20"/>
        </w:rPr>
      </w:pPr>
      <w:r w:rsidRPr="00F53792">
        <w:rPr>
          <w:sz w:val="20"/>
          <w:szCs w:val="20"/>
        </w:rPr>
        <w:t>4. Indicate collection frequency (e.g., bi-annual, annual, monthly, weekly, as needed).</w:t>
      </w:r>
    </w:p>
    <w:p w14:paraId="596D299D" w14:textId="77777777" w:rsidR="00A40F47" w:rsidRPr="00F53792" w:rsidRDefault="00A40F47" w:rsidP="00A40F47">
      <w:pPr>
        <w:ind w:left="720" w:hanging="274"/>
        <w:rPr>
          <w:sz w:val="20"/>
          <w:szCs w:val="20"/>
        </w:rPr>
      </w:pPr>
      <w:r w:rsidRPr="00F53792">
        <w:rPr>
          <w:sz w:val="20"/>
          <w:szCs w:val="20"/>
        </w:rPr>
        <w:t>5. Describe the information that would be reported, maintained in records, or disclosed (e.g., information about a hazardous materials incident including location, type of hazardous material(s), extent of consequences, etc.).</w:t>
      </w:r>
    </w:p>
    <w:p w14:paraId="4BE249B2" w14:textId="77777777" w:rsidR="00A40F47" w:rsidRPr="00F53792" w:rsidRDefault="00A40F47" w:rsidP="00A40F47">
      <w:pPr>
        <w:ind w:left="720" w:hanging="274"/>
        <w:rPr>
          <w:sz w:val="20"/>
          <w:szCs w:val="20"/>
        </w:rPr>
      </w:pPr>
      <w:r w:rsidRPr="00F53792">
        <w:rPr>
          <w:sz w:val="20"/>
          <w:szCs w:val="20"/>
        </w:rPr>
        <w:t>6. Describe who would receive the information - DOT, first responders, the general public, etc.</w:t>
      </w:r>
    </w:p>
    <w:p w14:paraId="43320D74" w14:textId="77777777" w:rsidR="00A40F47" w:rsidRPr="00F53792" w:rsidRDefault="00A40F47" w:rsidP="00A40F47">
      <w:pPr>
        <w:ind w:left="720" w:hanging="274"/>
        <w:rPr>
          <w:sz w:val="20"/>
          <w:szCs w:val="20"/>
        </w:rPr>
      </w:pPr>
      <w:r w:rsidRPr="00F53792">
        <w:rPr>
          <w:sz w:val="20"/>
          <w:szCs w:val="20"/>
        </w:rPr>
        <w:t>7. Succinctly describe the purpose of the collection.</w:t>
      </w:r>
    </w:p>
    <w:p w14:paraId="723AE22B" w14:textId="77777777" w:rsidR="00A40F47" w:rsidRPr="00F53792" w:rsidRDefault="00A40F47" w:rsidP="00A40F47">
      <w:pPr>
        <w:ind w:left="720" w:hanging="274"/>
        <w:rPr>
          <w:sz w:val="20"/>
          <w:szCs w:val="20"/>
        </w:rPr>
      </w:pPr>
      <w:r w:rsidRPr="00F53792">
        <w:rPr>
          <w:sz w:val="20"/>
          <w:szCs w:val="20"/>
        </w:rPr>
        <w:t>8. If a revision, succinctly describe the revision in the Abstract and in question 15 of the Justification document.</w:t>
      </w:r>
    </w:p>
    <w:p w14:paraId="58039351" w14:textId="77777777" w:rsidR="00A40F47" w:rsidRDefault="00A40F47" w:rsidP="00A40F47">
      <w:pPr>
        <w:spacing w:after="120"/>
        <w:rPr>
          <w:i/>
        </w:rPr>
      </w:pPr>
    </w:p>
    <w:p w14:paraId="1C376278" w14:textId="77777777" w:rsidR="00A40F47" w:rsidRDefault="00A40F47" w:rsidP="00A40F4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2ECF"/>
    <w:multiLevelType w:val="hybridMultilevel"/>
    <w:tmpl w:val="F29295AA"/>
    <w:lvl w:ilvl="0" w:tplc="361AE4CE">
      <w:start w:val="1"/>
      <w:numFmt w:val="decimal"/>
      <w:lvlText w:val="%1."/>
      <w:lvlJc w:val="left"/>
      <w:pPr>
        <w:ind w:left="720" w:hanging="360"/>
      </w:pPr>
    </w:lvl>
    <w:lvl w:ilvl="1" w:tplc="596E49E4">
      <w:start w:val="1"/>
      <w:numFmt w:val="lowerLetter"/>
      <w:lvlText w:val="%2."/>
      <w:lvlJc w:val="left"/>
      <w:pPr>
        <w:ind w:left="1440" w:hanging="360"/>
      </w:pPr>
    </w:lvl>
    <w:lvl w:ilvl="2" w:tplc="46127FC4">
      <w:start w:val="1"/>
      <w:numFmt w:val="lowerRoman"/>
      <w:lvlText w:val="%3."/>
      <w:lvlJc w:val="right"/>
      <w:pPr>
        <w:ind w:left="2160" w:hanging="180"/>
      </w:pPr>
    </w:lvl>
    <w:lvl w:ilvl="3" w:tplc="28A473EC">
      <w:start w:val="1"/>
      <w:numFmt w:val="decimal"/>
      <w:lvlText w:val="%4."/>
      <w:lvlJc w:val="left"/>
      <w:pPr>
        <w:ind w:left="2880" w:hanging="360"/>
      </w:pPr>
    </w:lvl>
    <w:lvl w:ilvl="4" w:tplc="C4C4119A">
      <w:start w:val="1"/>
      <w:numFmt w:val="lowerLetter"/>
      <w:lvlText w:val="%5."/>
      <w:lvlJc w:val="left"/>
      <w:pPr>
        <w:ind w:left="3600" w:hanging="360"/>
      </w:pPr>
    </w:lvl>
    <w:lvl w:ilvl="5" w:tplc="A462B1E0">
      <w:start w:val="1"/>
      <w:numFmt w:val="lowerRoman"/>
      <w:lvlText w:val="%6."/>
      <w:lvlJc w:val="right"/>
      <w:pPr>
        <w:ind w:left="4320" w:hanging="180"/>
      </w:pPr>
    </w:lvl>
    <w:lvl w:ilvl="6" w:tplc="89564432">
      <w:start w:val="1"/>
      <w:numFmt w:val="decimal"/>
      <w:lvlText w:val="%7."/>
      <w:lvlJc w:val="left"/>
      <w:pPr>
        <w:ind w:left="5040" w:hanging="360"/>
      </w:pPr>
    </w:lvl>
    <w:lvl w:ilvl="7" w:tplc="A2763240">
      <w:start w:val="1"/>
      <w:numFmt w:val="lowerLetter"/>
      <w:lvlText w:val="%8."/>
      <w:lvlJc w:val="left"/>
      <w:pPr>
        <w:ind w:left="5760" w:hanging="360"/>
      </w:pPr>
    </w:lvl>
    <w:lvl w:ilvl="8" w:tplc="2D78A632">
      <w:start w:val="1"/>
      <w:numFmt w:val="lowerRoman"/>
      <w:lvlText w:val="%9."/>
      <w:lvlJc w:val="right"/>
      <w:pPr>
        <w:ind w:left="6480" w:hanging="180"/>
      </w:pPr>
    </w:lvl>
  </w:abstractNum>
  <w:abstractNum w:abstractNumId="1" w15:restartNumberingAfterBreak="0">
    <w:nsid w:val="4A3E673F"/>
    <w:multiLevelType w:val="hybridMultilevel"/>
    <w:tmpl w:val="53822B4C"/>
    <w:lvl w:ilvl="0" w:tplc="60DC357C">
      <w:start w:val="1"/>
      <w:numFmt w:val="bullet"/>
      <w:lvlText w:val="·"/>
      <w:lvlJc w:val="left"/>
      <w:pPr>
        <w:ind w:left="720" w:hanging="360"/>
      </w:pPr>
      <w:rPr>
        <w:rFonts w:ascii="Symbol" w:hAnsi="Symbol" w:hint="default"/>
      </w:rPr>
    </w:lvl>
    <w:lvl w:ilvl="1" w:tplc="4C38735E">
      <w:start w:val="1"/>
      <w:numFmt w:val="bullet"/>
      <w:lvlText w:val="o"/>
      <w:lvlJc w:val="left"/>
      <w:pPr>
        <w:ind w:left="1440" w:hanging="360"/>
      </w:pPr>
      <w:rPr>
        <w:rFonts w:ascii="Courier New" w:hAnsi="Courier New" w:hint="default"/>
      </w:rPr>
    </w:lvl>
    <w:lvl w:ilvl="2" w:tplc="68003928">
      <w:start w:val="1"/>
      <w:numFmt w:val="bullet"/>
      <w:lvlText w:val=""/>
      <w:lvlJc w:val="left"/>
      <w:pPr>
        <w:ind w:left="2160" w:hanging="360"/>
      </w:pPr>
      <w:rPr>
        <w:rFonts w:ascii="Wingdings" w:hAnsi="Wingdings" w:hint="default"/>
      </w:rPr>
    </w:lvl>
    <w:lvl w:ilvl="3" w:tplc="44B427D0">
      <w:start w:val="1"/>
      <w:numFmt w:val="bullet"/>
      <w:lvlText w:val=""/>
      <w:lvlJc w:val="left"/>
      <w:pPr>
        <w:ind w:left="2880" w:hanging="360"/>
      </w:pPr>
      <w:rPr>
        <w:rFonts w:ascii="Symbol" w:hAnsi="Symbol" w:hint="default"/>
      </w:rPr>
    </w:lvl>
    <w:lvl w:ilvl="4" w:tplc="AB3C9D64">
      <w:start w:val="1"/>
      <w:numFmt w:val="bullet"/>
      <w:lvlText w:val="o"/>
      <w:lvlJc w:val="left"/>
      <w:pPr>
        <w:ind w:left="3600" w:hanging="360"/>
      </w:pPr>
      <w:rPr>
        <w:rFonts w:ascii="Courier New" w:hAnsi="Courier New" w:hint="default"/>
      </w:rPr>
    </w:lvl>
    <w:lvl w:ilvl="5" w:tplc="9126DD56">
      <w:start w:val="1"/>
      <w:numFmt w:val="bullet"/>
      <w:lvlText w:val=""/>
      <w:lvlJc w:val="left"/>
      <w:pPr>
        <w:ind w:left="4320" w:hanging="360"/>
      </w:pPr>
      <w:rPr>
        <w:rFonts w:ascii="Wingdings" w:hAnsi="Wingdings" w:hint="default"/>
      </w:rPr>
    </w:lvl>
    <w:lvl w:ilvl="6" w:tplc="B7B65FEC">
      <w:start w:val="1"/>
      <w:numFmt w:val="bullet"/>
      <w:lvlText w:val=""/>
      <w:lvlJc w:val="left"/>
      <w:pPr>
        <w:ind w:left="5040" w:hanging="360"/>
      </w:pPr>
      <w:rPr>
        <w:rFonts w:ascii="Symbol" w:hAnsi="Symbol" w:hint="default"/>
      </w:rPr>
    </w:lvl>
    <w:lvl w:ilvl="7" w:tplc="54BE5430">
      <w:start w:val="1"/>
      <w:numFmt w:val="bullet"/>
      <w:lvlText w:val="o"/>
      <w:lvlJc w:val="left"/>
      <w:pPr>
        <w:ind w:left="5760" w:hanging="360"/>
      </w:pPr>
      <w:rPr>
        <w:rFonts w:ascii="Courier New" w:hAnsi="Courier New" w:hint="default"/>
      </w:rPr>
    </w:lvl>
    <w:lvl w:ilvl="8" w:tplc="21CAB080">
      <w:start w:val="1"/>
      <w:numFmt w:val="bullet"/>
      <w:lvlText w:val=""/>
      <w:lvlJc w:val="left"/>
      <w:pPr>
        <w:ind w:left="6480" w:hanging="360"/>
      </w:pPr>
      <w:rPr>
        <w:rFonts w:ascii="Wingdings" w:hAnsi="Wingdings" w:hint="default"/>
      </w:rPr>
    </w:lvl>
  </w:abstractNum>
  <w:abstractNum w:abstractNumId="2" w15:restartNumberingAfterBreak="0">
    <w:nsid w:val="609F0001"/>
    <w:multiLevelType w:val="hybridMultilevel"/>
    <w:tmpl w:val="C2CA3F82"/>
    <w:lvl w:ilvl="0" w:tplc="E8A20EFA">
      <w:start w:val="1"/>
      <w:numFmt w:val="bullet"/>
      <w:lvlText w:val="·"/>
      <w:lvlJc w:val="left"/>
      <w:pPr>
        <w:ind w:left="720" w:hanging="360"/>
      </w:pPr>
      <w:rPr>
        <w:rFonts w:ascii="Symbol" w:hAnsi="Symbol" w:hint="default"/>
      </w:rPr>
    </w:lvl>
    <w:lvl w:ilvl="1" w:tplc="D4BA8F36">
      <w:start w:val="1"/>
      <w:numFmt w:val="bullet"/>
      <w:lvlText w:val="o"/>
      <w:lvlJc w:val="left"/>
      <w:pPr>
        <w:ind w:left="1440" w:hanging="360"/>
      </w:pPr>
      <w:rPr>
        <w:rFonts w:ascii="Courier New" w:hAnsi="Courier New" w:hint="default"/>
      </w:rPr>
    </w:lvl>
    <w:lvl w:ilvl="2" w:tplc="AE102C54">
      <w:start w:val="1"/>
      <w:numFmt w:val="bullet"/>
      <w:lvlText w:val=""/>
      <w:lvlJc w:val="left"/>
      <w:pPr>
        <w:ind w:left="2160" w:hanging="360"/>
      </w:pPr>
      <w:rPr>
        <w:rFonts w:ascii="Wingdings" w:hAnsi="Wingdings" w:hint="default"/>
      </w:rPr>
    </w:lvl>
    <w:lvl w:ilvl="3" w:tplc="DF8229A2">
      <w:start w:val="1"/>
      <w:numFmt w:val="bullet"/>
      <w:lvlText w:val=""/>
      <w:lvlJc w:val="left"/>
      <w:pPr>
        <w:ind w:left="2880" w:hanging="360"/>
      </w:pPr>
      <w:rPr>
        <w:rFonts w:ascii="Symbol" w:hAnsi="Symbol" w:hint="default"/>
      </w:rPr>
    </w:lvl>
    <w:lvl w:ilvl="4" w:tplc="798EDD26">
      <w:start w:val="1"/>
      <w:numFmt w:val="bullet"/>
      <w:lvlText w:val="o"/>
      <w:lvlJc w:val="left"/>
      <w:pPr>
        <w:ind w:left="3600" w:hanging="360"/>
      </w:pPr>
      <w:rPr>
        <w:rFonts w:ascii="Courier New" w:hAnsi="Courier New" w:hint="default"/>
      </w:rPr>
    </w:lvl>
    <w:lvl w:ilvl="5" w:tplc="7C8CA836">
      <w:start w:val="1"/>
      <w:numFmt w:val="bullet"/>
      <w:lvlText w:val=""/>
      <w:lvlJc w:val="left"/>
      <w:pPr>
        <w:ind w:left="4320" w:hanging="360"/>
      </w:pPr>
      <w:rPr>
        <w:rFonts w:ascii="Wingdings" w:hAnsi="Wingdings" w:hint="default"/>
      </w:rPr>
    </w:lvl>
    <w:lvl w:ilvl="6" w:tplc="97FC1A56">
      <w:start w:val="1"/>
      <w:numFmt w:val="bullet"/>
      <w:lvlText w:val=""/>
      <w:lvlJc w:val="left"/>
      <w:pPr>
        <w:ind w:left="5040" w:hanging="360"/>
      </w:pPr>
      <w:rPr>
        <w:rFonts w:ascii="Symbol" w:hAnsi="Symbol" w:hint="default"/>
      </w:rPr>
    </w:lvl>
    <w:lvl w:ilvl="7" w:tplc="DA322FF8">
      <w:start w:val="1"/>
      <w:numFmt w:val="bullet"/>
      <w:lvlText w:val="o"/>
      <w:lvlJc w:val="left"/>
      <w:pPr>
        <w:ind w:left="5760" w:hanging="360"/>
      </w:pPr>
      <w:rPr>
        <w:rFonts w:ascii="Courier New" w:hAnsi="Courier New" w:hint="default"/>
      </w:rPr>
    </w:lvl>
    <w:lvl w:ilvl="8" w:tplc="C846C7A6">
      <w:start w:val="1"/>
      <w:numFmt w:val="bullet"/>
      <w:lvlText w:val=""/>
      <w:lvlJc w:val="left"/>
      <w:pPr>
        <w:ind w:left="6480" w:hanging="360"/>
      </w:pPr>
      <w:rPr>
        <w:rFonts w:ascii="Wingdings" w:hAnsi="Wingdings" w:hint="default"/>
      </w:rPr>
    </w:lvl>
  </w:abstractNum>
  <w:abstractNum w:abstractNumId="3" w15:restartNumberingAfterBreak="0">
    <w:nsid w:val="642A6565"/>
    <w:multiLevelType w:val="hybridMultilevel"/>
    <w:tmpl w:val="49CEEC3A"/>
    <w:lvl w:ilvl="0" w:tplc="1CE4A716">
      <w:start w:val="1"/>
      <w:numFmt w:val="bullet"/>
      <w:lvlText w:val="·"/>
      <w:lvlJc w:val="left"/>
      <w:pPr>
        <w:ind w:left="720" w:hanging="360"/>
      </w:pPr>
      <w:rPr>
        <w:rFonts w:ascii="Symbol" w:hAnsi="Symbol" w:hint="default"/>
      </w:rPr>
    </w:lvl>
    <w:lvl w:ilvl="1" w:tplc="A184E380">
      <w:start w:val="1"/>
      <w:numFmt w:val="bullet"/>
      <w:lvlText w:val="o"/>
      <w:lvlJc w:val="left"/>
      <w:pPr>
        <w:ind w:left="1440" w:hanging="360"/>
      </w:pPr>
      <w:rPr>
        <w:rFonts w:ascii="Courier New" w:hAnsi="Courier New" w:hint="default"/>
      </w:rPr>
    </w:lvl>
    <w:lvl w:ilvl="2" w:tplc="30743802">
      <w:start w:val="1"/>
      <w:numFmt w:val="bullet"/>
      <w:lvlText w:val=""/>
      <w:lvlJc w:val="left"/>
      <w:pPr>
        <w:ind w:left="2160" w:hanging="360"/>
      </w:pPr>
      <w:rPr>
        <w:rFonts w:ascii="Wingdings" w:hAnsi="Wingdings" w:hint="default"/>
      </w:rPr>
    </w:lvl>
    <w:lvl w:ilvl="3" w:tplc="1E32DC64">
      <w:start w:val="1"/>
      <w:numFmt w:val="bullet"/>
      <w:lvlText w:val=""/>
      <w:lvlJc w:val="left"/>
      <w:pPr>
        <w:ind w:left="2880" w:hanging="360"/>
      </w:pPr>
      <w:rPr>
        <w:rFonts w:ascii="Symbol" w:hAnsi="Symbol" w:hint="default"/>
      </w:rPr>
    </w:lvl>
    <w:lvl w:ilvl="4" w:tplc="6A944B8C">
      <w:start w:val="1"/>
      <w:numFmt w:val="bullet"/>
      <w:lvlText w:val="o"/>
      <w:lvlJc w:val="left"/>
      <w:pPr>
        <w:ind w:left="3600" w:hanging="360"/>
      </w:pPr>
      <w:rPr>
        <w:rFonts w:ascii="Courier New" w:hAnsi="Courier New" w:hint="default"/>
      </w:rPr>
    </w:lvl>
    <w:lvl w:ilvl="5" w:tplc="B6DA5A84">
      <w:start w:val="1"/>
      <w:numFmt w:val="bullet"/>
      <w:lvlText w:val=""/>
      <w:lvlJc w:val="left"/>
      <w:pPr>
        <w:ind w:left="4320" w:hanging="360"/>
      </w:pPr>
      <w:rPr>
        <w:rFonts w:ascii="Wingdings" w:hAnsi="Wingdings" w:hint="default"/>
      </w:rPr>
    </w:lvl>
    <w:lvl w:ilvl="6" w:tplc="D6BCA848">
      <w:start w:val="1"/>
      <w:numFmt w:val="bullet"/>
      <w:lvlText w:val=""/>
      <w:lvlJc w:val="left"/>
      <w:pPr>
        <w:ind w:left="5040" w:hanging="360"/>
      </w:pPr>
      <w:rPr>
        <w:rFonts w:ascii="Symbol" w:hAnsi="Symbol" w:hint="default"/>
      </w:rPr>
    </w:lvl>
    <w:lvl w:ilvl="7" w:tplc="7D7EDFF2">
      <w:start w:val="1"/>
      <w:numFmt w:val="bullet"/>
      <w:lvlText w:val="o"/>
      <w:lvlJc w:val="left"/>
      <w:pPr>
        <w:ind w:left="5760" w:hanging="360"/>
      </w:pPr>
      <w:rPr>
        <w:rFonts w:ascii="Courier New" w:hAnsi="Courier New" w:hint="default"/>
      </w:rPr>
    </w:lvl>
    <w:lvl w:ilvl="8" w:tplc="D82E09BA">
      <w:start w:val="1"/>
      <w:numFmt w:val="bullet"/>
      <w:lvlText w:val=""/>
      <w:lvlJc w:val="left"/>
      <w:pPr>
        <w:ind w:left="6480" w:hanging="360"/>
      </w:pPr>
      <w:rPr>
        <w:rFonts w:ascii="Wingdings" w:hAnsi="Wingdings" w:hint="default"/>
      </w:rPr>
    </w:lvl>
  </w:abstractNum>
  <w:abstractNum w:abstractNumId="4" w15:restartNumberingAfterBreak="0">
    <w:nsid w:val="672E1543"/>
    <w:multiLevelType w:val="hybridMultilevel"/>
    <w:tmpl w:val="E482E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49"/>
    <w:rsid w:val="00003B97"/>
    <w:rsid w:val="000103B4"/>
    <w:rsid w:val="000330FD"/>
    <w:rsid w:val="000417AA"/>
    <w:rsid w:val="00043882"/>
    <w:rsid w:val="00056234"/>
    <w:rsid w:val="00063A3E"/>
    <w:rsid w:val="0006532C"/>
    <w:rsid w:val="00071CED"/>
    <w:rsid w:val="00071F6F"/>
    <w:rsid w:val="00092C6F"/>
    <w:rsid w:val="0009637F"/>
    <w:rsid w:val="000B4EF6"/>
    <w:rsid w:val="000B6E05"/>
    <w:rsid w:val="000B78F6"/>
    <w:rsid w:val="000D3F9B"/>
    <w:rsid w:val="000E1C1A"/>
    <w:rsid w:val="0013292B"/>
    <w:rsid w:val="00140801"/>
    <w:rsid w:val="00143982"/>
    <w:rsid w:val="00197436"/>
    <w:rsid w:val="001A2D91"/>
    <w:rsid w:val="001B2A2D"/>
    <w:rsid w:val="001B7E6E"/>
    <w:rsid w:val="001C3010"/>
    <w:rsid w:val="001E080E"/>
    <w:rsid w:val="001E247B"/>
    <w:rsid w:val="00203F46"/>
    <w:rsid w:val="0020402E"/>
    <w:rsid w:val="002252F5"/>
    <w:rsid w:val="00227865"/>
    <w:rsid w:val="0023788C"/>
    <w:rsid w:val="00245811"/>
    <w:rsid w:val="00246D6C"/>
    <w:rsid w:val="00251C2F"/>
    <w:rsid w:val="0025225E"/>
    <w:rsid w:val="002525B3"/>
    <w:rsid w:val="0026086B"/>
    <w:rsid w:val="002609C6"/>
    <w:rsid w:val="00264DC6"/>
    <w:rsid w:val="00273530"/>
    <w:rsid w:val="002749BD"/>
    <w:rsid w:val="00274E34"/>
    <w:rsid w:val="00286787"/>
    <w:rsid w:val="00295D5E"/>
    <w:rsid w:val="002B00ED"/>
    <w:rsid w:val="002D37CC"/>
    <w:rsid w:val="002F1062"/>
    <w:rsid w:val="0033368B"/>
    <w:rsid w:val="00364613"/>
    <w:rsid w:val="00367176"/>
    <w:rsid w:val="003B2C71"/>
    <w:rsid w:val="003F24E0"/>
    <w:rsid w:val="00401204"/>
    <w:rsid w:val="0040524A"/>
    <w:rsid w:val="00432283"/>
    <w:rsid w:val="00443968"/>
    <w:rsid w:val="004575C5"/>
    <w:rsid w:val="004A2F05"/>
    <w:rsid w:val="004A4589"/>
    <w:rsid w:val="004C32BE"/>
    <w:rsid w:val="004E0793"/>
    <w:rsid w:val="00500B74"/>
    <w:rsid w:val="00526727"/>
    <w:rsid w:val="005326E0"/>
    <w:rsid w:val="00565149"/>
    <w:rsid w:val="005943C5"/>
    <w:rsid w:val="005C3455"/>
    <w:rsid w:val="005F457A"/>
    <w:rsid w:val="00610F8B"/>
    <w:rsid w:val="00645A3F"/>
    <w:rsid w:val="006464EF"/>
    <w:rsid w:val="006471F0"/>
    <w:rsid w:val="006541D3"/>
    <w:rsid w:val="006A2B48"/>
    <w:rsid w:val="006E12B1"/>
    <w:rsid w:val="006E1E1B"/>
    <w:rsid w:val="006E24F5"/>
    <w:rsid w:val="00705E06"/>
    <w:rsid w:val="007149D2"/>
    <w:rsid w:val="0073113C"/>
    <w:rsid w:val="00742BAB"/>
    <w:rsid w:val="00757694"/>
    <w:rsid w:val="00761444"/>
    <w:rsid w:val="00777D47"/>
    <w:rsid w:val="007844B5"/>
    <w:rsid w:val="0079546D"/>
    <w:rsid w:val="007D21B0"/>
    <w:rsid w:val="007E3200"/>
    <w:rsid w:val="007F34C4"/>
    <w:rsid w:val="00804320"/>
    <w:rsid w:val="0081301D"/>
    <w:rsid w:val="00823B3E"/>
    <w:rsid w:val="008241B7"/>
    <w:rsid w:val="00831BC4"/>
    <w:rsid w:val="008500A0"/>
    <w:rsid w:val="00854624"/>
    <w:rsid w:val="00873C83"/>
    <w:rsid w:val="008751A9"/>
    <w:rsid w:val="00897DFE"/>
    <w:rsid w:val="008C6A98"/>
    <w:rsid w:val="008C717D"/>
    <w:rsid w:val="00947514"/>
    <w:rsid w:val="0098584B"/>
    <w:rsid w:val="0099206F"/>
    <w:rsid w:val="009D6209"/>
    <w:rsid w:val="009D777B"/>
    <w:rsid w:val="009DD68B"/>
    <w:rsid w:val="009E575B"/>
    <w:rsid w:val="00A0065F"/>
    <w:rsid w:val="00A04D4C"/>
    <w:rsid w:val="00A0742B"/>
    <w:rsid w:val="00A24062"/>
    <w:rsid w:val="00A300D3"/>
    <w:rsid w:val="00A40F47"/>
    <w:rsid w:val="00A42622"/>
    <w:rsid w:val="00A52514"/>
    <w:rsid w:val="00A67840"/>
    <w:rsid w:val="00A764B5"/>
    <w:rsid w:val="00A97511"/>
    <w:rsid w:val="00AA15E1"/>
    <w:rsid w:val="00AA1B1A"/>
    <w:rsid w:val="00AB21D9"/>
    <w:rsid w:val="00AD27B1"/>
    <w:rsid w:val="00AF7014"/>
    <w:rsid w:val="00AF7BD8"/>
    <w:rsid w:val="00B32CFB"/>
    <w:rsid w:val="00B35C5D"/>
    <w:rsid w:val="00B45548"/>
    <w:rsid w:val="00B56ED8"/>
    <w:rsid w:val="00B74A7D"/>
    <w:rsid w:val="00B944D5"/>
    <w:rsid w:val="00B97120"/>
    <w:rsid w:val="00BB69A6"/>
    <w:rsid w:val="00BC1D5E"/>
    <w:rsid w:val="00BC365D"/>
    <w:rsid w:val="00BE56BA"/>
    <w:rsid w:val="00BF5303"/>
    <w:rsid w:val="00C03A3B"/>
    <w:rsid w:val="00C12668"/>
    <w:rsid w:val="00C1750A"/>
    <w:rsid w:val="00C577BE"/>
    <w:rsid w:val="00C630D0"/>
    <w:rsid w:val="00CA592F"/>
    <w:rsid w:val="00CB73E8"/>
    <w:rsid w:val="00D0691C"/>
    <w:rsid w:val="00DA66FA"/>
    <w:rsid w:val="00DC0C8E"/>
    <w:rsid w:val="00DD77B3"/>
    <w:rsid w:val="00E00CF4"/>
    <w:rsid w:val="00E04952"/>
    <w:rsid w:val="00E076BD"/>
    <w:rsid w:val="00E13022"/>
    <w:rsid w:val="00E158BD"/>
    <w:rsid w:val="00E45CE9"/>
    <w:rsid w:val="00E5771B"/>
    <w:rsid w:val="00E705EF"/>
    <w:rsid w:val="00E7073B"/>
    <w:rsid w:val="00E80C32"/>
    <w:rsid w:val="00E90862"/>
    <w:rsid w:val="00E93400"/>
    <w:rsid w:val="00EA7A8B"/>
    <w:rsid w:val="00EA7AB1"/>
    <w:rsid w:val="00EC10B4"/>
    <w:rsid w:val="00EC2889"/>
    <w:rsid w:val="00ED146B"/>
    <w:rsid w:val="00ED4351"/>
    <w:rsid w:val="00EF328B"/>
    <w:rsid w:val="00F10FF1"/>
    <w:rsid w:val="00F131D6"/>
    <w:rsid w:val="00F2564A"/>
    <w:rsid w:val="00F43B57"/>
    <w:rsid w:val="00F571B8"/>
    <w:rsid w:val="00F576D2"/>
    <w:rsid w:val="00F65D80"/>
    <w:rsid w:val="00F71C91"/>
    <w:rsid w:val="00F7219F"/>
    <w:rsid w:val="01138C86"/>
    <w:rsid w:val="045C681F"/>
    <w:rsid w:val="04735C35"/>
    <w:rsid w:val="04D0B975"/>
    <w:rsid w:val="05729A9F"/>
    <w:rsid w:val="05E6FDA9"/>
    <w:rsid w:val="076B3B1C"/>
    <w:rsid w:val="080E43EC"/>
    <w:rsid w:val="0905760E"/>
    <w:rsid w:val="0A9DF882"/>
    <w:rsid w:val="0AB28146"/>
    <w:rsid w:val="0D91B003"/>
    <w:rsid w:val="0E645D13"/>
    <w:rsid w:val="10002D74"/>
    <w:rsid w:val="1129B050"/>
    <w:rsid w:val="12AC5854"/>
    <w:rsid w:val="12D6BB88"/>
    <w:rsid w:val="12E0C88A"/>
    <w:rsid w:val="14615112"/>
    <w:rsid w:val="1525E11A"/>
    <w:rsid w:val="157630A1"/>
    <w:rsid w:val="159CC1E8"/>
    <w:rsid w:val="1798F1D4"/>
    <w:rsid w:val="17DAAAD4"/>
    <w:rsid w:val="184CC067"/>
    <w:rsid w:val="18FF024C"/>
    <w:rsid w:val="1B44E3EC"/>
    <w:rsid w:val="1BB15166"/>
    <w:rsid w:val="1BC5DF12"/>
    <w:rsid w:val="1CF9DCAA"/>
    <w:rsid w:val="1D2DD530"/>
    <w:rsid w:val="1E7C84AE"/>
    <w:rsid w:val="1EE8F228"/>
    <w:rsid w:val="1FB53E90"/>
    <w:rsid w:val="21BA0F25"/>
    <w:rsid w:val="2212812A"/>
    <w:rsid w:val="254A21EC"/>
    <w:rsid w:val="281D4B69"/>
    <w:rsid w:val="294AE5FF"/>
    <w:rsid w:val="29ABF8AD"/>
    <w:rsid w:val="29CA8877"/>
    <w:rsid w:val="2C8286C1"/>
    <w:rsid w:val="2D43F8FA"/>
    <w:rsid w:val="2DFB634F"/>
    <w:rsid w:val="2EDFC95B"/>
    <w:rsid w:val="2EF10432"/>
    <w:rsid w:val="2F5DC540"/>
    <w:rsid w:val="2FD9B088"/>
    <w:rsid w:val="2FF601FC"/>
    <w:rsid w:val="300DD147"/>
    <w:rsid w:val="300F34F1"/>
    <w:rsid w:val="3228A4F4"/>
    <w:rsid w:val="3241CD51"/>
    <w:rsid w:val="32599C9C"/>
    <w:rsid w:val="33457209"/>
    <w:rsid w:val="33CC62DB"/>
    <w:rsid w:val="34469DE6"/>
    <w:rsid w:val="3592A108"/>
    <w:rsid w:val="37FFBACF"/>
    <w:rsid w:val="38264C16"/>
    <w:rsid w:val="383C8C86"/>
    <w:rsid w:val="3897E678"/>
    <w:rsid w:val="3AAFF5B5"/>
    <w:rsid w:val="3B5F806F"/>
    <w:rsid w:val="3BD774C0"/>
    <w:rsid w:val="3C9F0B33"/>
    <w:rsid w:val="3CEC544F"/>
    <w:rsid w:val="3D620A4A"/>
    <w:rsid w:val="3E3ADB94"/>
    <w:rsid w:val="3F8366D8"/>
    <w:rsid w:val="4091BD86"/>
    <w:rsid w:val="40A2F85D"/>
    <w:rsid w:val="42BB079A"/>
    <w:rsid w:val="42C0F14F"/>
    <w:rsid w:val="441DCE03"/>
    <w:rsid w:val="44BD213B"/>
    <w:rsid w:val="4B0FCB33"/>
    <w:rsid w:val="4DED16E2"/>
    <w:rsid w:val="4E05A7C7"/>
    <w:rsid w:val="4E52C8AA"/>
    <w:rsid w:val="4F13FE75"/>
    <w:rsid w:val="4F44C251"/>
    <w:rsid w:val="5032610A"/>
    <w:rsid w:val="51568485"/>
    <w:rsid w:val="524B9F37"/>
    <w:rsid w:val="5348AF7B"/>
    <w:rsid w:val="53A311F9"/>
    <w:rsid w:val="544C5433"/>
    <w:rsid w:val="54C20A2E"/>
    <w:rsid w:val="57E08293"/>
    <w:rsid w:val="580AE5C7"/>
    <w:rsid w:val="5A3F80FD"/>
    <w:rsid w:val="5B81312C"/>
    <w:rsid w:val="5C3868F8"/>
    <w:rsid w:val="5CAA9AD2"/>
    <w:rsid w:val="5D455448"/>
    <w:rsid w:val="5E4678E1"/>
    <w:rsid w:val="5E84344D"/>
    <w:rsid w:val="6004B376"/>
    <w:rsid w:val="6004BCD5"/>
    <w:rsid w:val="6101CD19"/>
    <w:rsid w:val="61B1C80D"/>
    <w:rsid w:val="629D9D7A"/>
    <w:rsid w:val="6874B355"/>
    <w:rsid w:val="688A09C5"/>
    <w:rsid w:val="699276BE"/>
    <w:rsid w:val="6A25DA26"/>
    <w:rsid w:val="6A3918CE"/>
    <w:rsid w:val="6A6E2540"/>
    <w:rsid w:val="6A8639B1"/>
    <w:rsid w:val="6AC07EAA"/>
    <w:rsid w:val="6BE4E000"/>
    <w:rsid w:val="6CCA1780"/>
    <w:rsid w:val="6DF24AA9"/>
    <w:rsid w:val="6EC41006"/>
    <w:rsid w:val="7034A828"/>
    <w:rsid w:val="70486FF6"/>
    <w:rsid w:val="712FC02E"/>
    <w:rsid w:val="729C56EB"/>
    <w:rsid w:val="72A2866D"/>
    <w:rsid w:val="75032CDA"/>
    <w:rsid w:val="758C0B66"/>
    <w:rsid w:val="787FC27E"/>
    <w:rsid w:val="7894284F"/>
    <w:rsid w:val="7CCB91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D0D63"/>
  <w15:chartTrackingRefBased/>
  <w15:docId w15:val="{A82766F5-125A-4631-91D9-755CC93A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7CC"/>
    <w:pPr>
      <w:tabs>
        <w:tab w:val="center" w:pos="4680"/>
        <w:tab w:val="right" w:pos="9360"/>
      </w:tabs>
    </w:pPr>
  </w:style>
  <w:style w:type="character" w:customStyle="1" w:styleId="HeaderChar">
    <w:name w:val="Header Char"/>
    <w:basedOn w:val="DefaultParagraphFont"/>
    <w:link w:val="Header"/>
    <w:uiPriority w:val="99"/>
    <w:rsid w:val="002D37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37CC"/>
    <w:pPr>
      <w:tabs>
        <w:tab w:val="center" w:pos="4680"/>
        <w:tab w:val="right" w:pos="9360"/>
      </w:tabs>
    </w:pPr>
  </w:style>
  <w:style w:type="character" w:customStyle="1" w:styleId="FooterChar">
    <w:name w:val="Footer Char"/>
    <w:basedOn w:val="DefaultParagraphFont"/>
    <w:link w:val="Footer"/>
    <w:uiPriority w:val="99"/>
    <w:rsid w:val="002D37CC"/>
    <w:rPr>
      <w:rFonts w:ascii="Times New Roman" w:eastAsia="Times New Roman" w:hAnsi="Times New Roman" w:cs="Times New Roman"/>
      <w:sz w:val="24"/>
      <w:szCs w:val="24"/>
    </w:rPr>
  </w:style>
  <w:style w:type="paragraph" w:styleId="BodyText">
    <w:name w:val="Body Text"/>
    <w:basedOn w:val="Normal"/>
    <w:link w:val="BodyTextChar"/>
    <w:rsid w:val="002D37CC"/>
    <w:pPr>
      <w:widowControl w:val="0"/>
      <w:autoSpaceDE w:val="0"/>
      <w:autoSpaceDN w:val="0"/>
      <w:adjustRightInd w:val="0"/>
    </w:pPr>
  </w:style>
  <w:style w:type="character" w:customStyle="1" w:styleId="BodyTextChar">
    <w:name w:val="Body Text Char"/>
    <w:basedOn w:val="DefaultParagraphFont"/>
    <w:link w:val="BodyText"/>
    <w:rsid w:val="002D37CC"/>
    <w:rPr>
      <w:rFonts w:ascii="Times New Roman" w:eastAsia="Times New Roman" w:hAnsi="Times New Roman" w:cs="Times New Roman"/>
      <w:sz w:val="24"/>
      <w:szCs w:val="24"/>
    </w:rPr>
  </w:style>
  <w:style w:type="paragraph" w:customStyle="1" w:styleId="ProposalTableHeading">
    <w:name w:val="Proposal Table Heading"/>
    <w:qFormat/>
    <w:rsid w:val="00A40F47"/>
    <w:pPr>
      <w:spacing w:after="0" w:line="240" w:lineRule="auto"/>
      <w:jc w:val="center"/>
    </w:pPr>
    <w:rPr>
      <w:rFonts w:ascii="Times New Roman" w:eastAsiaTheme="minorEastAsia" w:hAnsi="Times New Roman" w:cs="Times New Roman"/>
      <w:b/>
      <w:color w:val="FFFFFF" w:themeColor="background1"/>
      <w:sz w:val="24"/>
      <w:szCs w:val="24"/>
    </w:rPr>
  </w:style>
  <w:style w:type="character" w:customStyle="1" w:styleId="ProposalTableTextChar">
    <w:name w:val="Proposal Table Text Char"/>
    <w:link w:val="ProposalTableText"/>
    <w:locked/>
    <w:rsid w:val="00A40F47"/>
    <w:rPr>
      <w:rFonts w:ascii="Times New Roman" w:hAnsi="Times New Roman"/>
      <w:sz w:val="24"/>
      <w:szCs w:val="24"/>
    </w:rPr>
  </w:style>
  <w:style w:type="paragraph" w:customStyle="1" w:styleId="ProposalTableText">
    <w:name w:val="Proposal Table Text"/>
    <w:link w:val="ProposalTableTextChar"/>
    <w:qFormat/>
    <w:rsid w:val="00A40F47"/>
    <w:pPr>
      <w:spacing w:after="0" w:line="240" w:lineRule="auto"/>
    </w:pPr>
    <w:rPr>
      <w:rFonts w:ascii="Times New Roman" w:hAnsi="Times New Roman"/>
      <w:sz w:val="24"/>
      <w:szCs w:val="24"/>
    </w:rPr>
  </w:style>
  <w:style w:type="character" w:styleId="FootnoteReference">
    <w:name w:val="footnote reference"/>
    <w:aliases w:val="Footnote Reference VA,Footnote Reference CH"/>
    <w:basedOn w:val="DefaultParagraphFont"/>
    <w:qFormat/>
    <w:rsid w:val="00A40F47"/>
    <w:rPr>
      <w:rFonts w:cs="Times New Roman"/>
      <w:vertAlign w:val="superscript"/>
    </w:rPr>
  </w:style>
  <w:style w:type="paragraph" w:styleId="FootnoteText">
    <w:name w:val="footnote text"/>
    <w:aliases w:val="Proposal Footnote Text"/>
    <w:basedOn w:val="Normal"/>
    <w:link w:val="FootnoteTextChar"/>
    <w:rsid w:val="00A40F47"/>
    <w:pPr>
      <w:widowControl w:val="0"/>
      <w:autoSpaceDE w:val="0"/>
      <w:autoSpaceDN w:val="0"/>
      <w:adjustRightInd w:val="0"/>
    </w:pPr>
    <w:rPr>
      <w:sz w:val="20"/>
      <w:szCs w:val="20"/>
    </w:rPr>
  </w:style>
  <w:style w:type="character" w:customStyle="1" w:styleId="FootnoteTextChar">
    <w:name w:val="Footnote Text Char"/>
    <w:aliases w:val="Proposal Footnote Text Char"/>
    <w:basedOn w:val="DefaultParagraphFont"/>
    <w:link w:val="FootnoteText"/>
    <w:rsid w:val="00A40F47"/>
    <w:rPr>
      <w:rFonts w:ascii="Times New Roman" w:eastAsia="Times New Roman" w:hAnsi="Times New Roman" w:cs="Times New Roman"/>
      <w:sz w:val="20"/>
      <w:szCs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B6E05"/>
    <w:rPr>
      <w:b/>
      <w:bCs/>
    </w:rPr>
  </w:style>
  <w:style w:type="character" w:customStyle="1" w:styleId="CommentSubjectChar">
    <w:name w:val="Comment Subject Char"/>
    <w:basedOn w:val="CommentTextChar"/>
    <w:link w:val="CommentSubject"/>
    <w:uiPriority w:val="99"/>
    <w:semiHidden/>
    <w:rsid w:val="000B6E05"/>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0E1C1A"/>
    <w:rPr>
      <w:color w:val="605E5C"/>
      <w:shd w:val="clear" w:color="auto" w:fill="E1DFDD"/>
    </w:rPr>
  </w:style>
  <w:style w:type="character" w:styleId="Mention">
    <w:name w:val="Mention"/>
    <w:basedOn w:val="DefaultParagraphFont"/>
    <w:uiPriority w:val="99"/>
    <w:unhideWhenUsed/>
    <w:rsid w:val="000E1C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336">
      <w:bodyDiv w:val="1"/>
      <w:marLeft w:val="0"/>
      <w:marRight w:val="0"/>
      <w:marTop w:val="0"/>
      <w:marBottom w:val="0"/>
      <w:divBdr>
        <w:top w:val="none" w:sz="0" w:space="0" w:color="auto"/>
        <w:left w:val="none" w:sz="0" w:space="0" w:color="auto"/>
        <w:bottom w:val="none" w:sz="0" w:space="0" w:color="auto"/>
        <w:right w:val="none" w:sz="0" w:space="0" w:color="auto"/>
      </w:divBdr>
    </w:div>
    <w:div w:id="62486854">
      <w:bodyDiv w:val="1"/>
      <w:marLeft w:val="0"/>
      <w:marRight w:val="0"/>
      <w:marTop w:val="0"/>
      <w:marBottom w:val="0"/>
      <w:divBdr>
        <w:top w:val="none" w:sz="0" w:space="0" w:color="auto"/>
        <w:left w:val="none" w:sz="0" w:space="0" w:color="auto"/>
        <w:bottom w:val="none" w:sz="0" w:space="0" w:color="auto"/>
        <w:right w:val="none" w:sz="0" w:space="0" w:color="auto"/>
      </w:divBdr>
    </w:div>
    <w:div w:id="290481691">
      <w:bodyDiv w:val="1"/>
      <w:marLeft w:val="0"/>
      <w:marRight w:val="0"/>
      <w:marTop w:val="0"/>
      <w:marBottom w:val="0"/>
      <w:divBdr>
        <w:top w:val="none" w:sz="0" w:space="0" w:color="auto"/>
        <w:left w:val="none" w:sz="0" w:space="0" w:color="auto"/>
        <w:bottom w:val="none" w:sz="0" w:space="0" w:color="auto"/>
        <w:right w:val="none" w:sz="0" w:space="0" w:color="auto"/>
      </w:divBdr>
    </w:div>
    <w:div w:id="557277546">
      <w:bodyDiv w:val="1"/>
      <w:marLeft w:val="0"/>
      <w:marRight w:val="0"/>
      <w:marTop w:val="0"/>
      <w:marBottom w:val="0"/>
      <w:divBdr>
        <w:top w:val="none" w:sz="0" w:space="0" w:color="auto"/>
        <w:left w:val="none" w:sz="0" w:space="0" w:color="auto"/>
        <w:bottom w:val="none" w:sz="0" w:space="0" w:color="auto"/>
        <w:right w:val="none" w:sz="0" w:space="0" w:color="auto"/>
      </w:divBdr>
    </w:div>
    <w:div w:id="679089738">
      <w:bodyDiv w:val="1"/>
      <w:marLeft w:val="0"/>
      <w:marRight w:val="0"/>
      <w:marTop w:val="0"/>
      <w:marBottom w:val="0"/>
      <w:divBdr>
        <w:top w:val="none" w:sz="0" w:space="0" w:color="auto"/>
        <w:left w:val="none" w:sz="0" w:space="0" w:color="auto"/>
        <w:bottom w:val="none" w:sz="0" w:space="0" w:color="auto"/>
        <w:right w:val="none" w:sz="0" w:space="0" w:color="auto"/>
      </w:divBdr>
    </w:div>
    <w:div w:id="1030106993">
      <w:bodyDiv w:val="1"/>
      <w:marLeft w:val="0"/>
      <w:marRight w:val="0"/>
      <w:marTop w:val="0"/>
      <w:marBottom w:val="0"/>
      <w:divBdr>
        <w:top w:val="none" w:sz="0" w:space="0" w:color="auto"/>
        <w:left w:val="none" w:sz="0" w:space="0" w:color="auto"/>
        <w:bottom w:val="none" w:sz="0" w:space="0" w:color="auto"/>
        <w:right w:val="none" w:sz="0" w:space="0" w:color="auto"/>
      </w:divBdr>
    </w:div>
    <w:div w:id="1035422288">
      <w:bodyDiv w:val="1"/>
      <w:marLeft w:val="0"/>
      <w:marRight w:val="0"/>
      <w:marTop w:val="0"/>
      <w:marBottom w:val="0"/>
      <w:divBdr>
        <w:top w:val="none" w:sz="0" w:space="0" w:color="auto"/>
        <w:left w:val="none" w:sz="0" w:space="0" w:color="auto"/>
        <w:bottom w:val="none" w:sz="0" w:space="0" w:color="auto"/>
        <w:right w:val="none" w:sz="0" w:space="0" w:color="auto"/>
      </w:divBdr>
    </w:div>
    <w:div w:id="1250702188">
      <w:bodyDiv w:val="1"/>
      <w:marLeft w:val="0"/>
      <w:marRight w:val="0"/>
      <w:marTop w:val="0"/>
      <w:marBottom w:val="0"/>
      <w:divBdr>
        <w:top w:val="none" w:sz="0" w:space="0" w:color="auto"/>
        <w:left w:val="none" w:sz="0" w:space="0" w:color="auto"/>
        <w:bottom w:val="none" w:sz="0" w:space="0" w:color="auto"/>
        <w:right w:val="none" w:sz="0" w:space="0" w:color="auto"/>
      </w:divBdr>
    </w:div>
    <w:div w:id="209855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2ba96-ff02-4ea1-9bc1-ba51dfb00044" xsi:nil="true"/>
    <lcf76f155ced4ddcb4097134ff3c332f xmlns="988b66ff-3b86-4eb3-8169-219bbac3a6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1F1312D6DCF84A98DB0161A67826B1" ma:contentTypeVersion="12" ma:contentTypeDescription="Create a new document." ma:contentTypeScope="" ma:versionID="d3e210cdf8014b73aa161b17bb2e161c">
  <xsd:schema xmlns:xsd="http://www.w3.org/2001/XMLSchema" xmlns:xs="http://www.w3.org/2001/XMLSchema" xmlns:p="http://schemas.microsoft.com/office/2006/metadata/properties" xmlns:ns2="988b66ff-3b86-4eb3-8169-219bbac3a6e9" xmlns:ns3="b5a2ba96-ff02-4ea1-9bc1-ba51dfb00044" targetNamespace="http://schemas.microsoft.com/office/2006/metadata/properties" ma:root="true" ma:fieldsID="48d02663acf90ab6adbf112405a36e77" ns2:_="" ns3:_="">
    <xsd:import namespace="988b66ff-3b86-4eb3-8169-219bbac3a6e9"/>
    <xsd:import namespace="b5a2ba96-ff02-4ea1-9bc1-ba51dfb000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b66ff-3b86-4eb3-8169-219bbac3a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a2ba96-ff02-4ea1-9bc1-ba51dfb000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40e462-7a52-4dda-93b9-676db518b614}" ma:internalName="TaxCatchAll" ma:showField="CatchAllData" ma:web="b5a2ba96-ff02-4ea1-9bc1-ba51dfb00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DE305-E854-47C4-B294-5EA3309F7A2E}">
  <ds:schemaRefs>
    <ds:schemaRef ds:uri="http://schemas.microsoft.com/office/2006/metadata/properties"/>
    <ds:schemaRef ds:uri="http://schemas.microsoft.com/office/infopath/2007/PartnerControls"/>
    <ds:schemaRef ds:uri="b5a2ba96-ff02-4ea1-9bc1-ba51dfb00044"/>
    <ds:schemaRef ds:uri="988b66ff-3b86-4eb3-8169-219bbac3a6e9"/>
  </ds:schemaRefs>
</ds:datastoreItem>
</file>

<file path=customXml/itemProps2.xml><?xml version="1.0" encoding="utf-8"?>
<ds:datastoreItem xmlns:ds="http://schemas.openxmlformats.org/officeDocument/2006/customXml" ds:itemID="{9C6F3329-BB3C-4AB1-86AB-2E75F14ED2A5}">
  <ds:schemaRefs>
    <ds:schemaRef ds:uri="http://schemas.microsoft.com/sharepoint/v3/contenttype/forms"/>
  </ds:schemaRefs>
</ds:datastoreItem>
</file>

<file path=customXml/itemProps3.xml><?xml version="1.0" encoding="utf-8"?>
<ds:datastoreItem xmlns:ds="http://schemas.openxmlformats.org/officeDocument/2006/customXml" ds:itemID="{C384FE56-524C-487A-ABCC-614EB6F9A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b66ff-3b86-4eb3-8169-219bbac3a6e9"/>
    <ds:schemaRef ds:uri="b5a2ba96-ff02-4ea1-9bc1-ba51dfb00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4E48C-69D0-4555-A589-BFA8B91F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McFadden, Janine (OST)</dc:creator>
  <cp:keywords/>
  <dc:description/>
  <cp:lastModifiedBy>Webb, Kimberly (OST)</cp:lastModifiedBy>
  <cp:revision>2</cp:revision>
  <dcterms:created xsi:type="dcterms:W3CDTF">2022-08-09T13:12:00Z</dcterms:created>
  <dcterms:modified xsi:type="dcterms:W3CDTF">2022-08-09T13:12:00Z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0x0101001D1F1312D6DCF84A98DB0161A67826B1</vt:lpwstr>
  </property>
  <property fmtid="{D5CDD505-2E9C-101B-9397-08002B2CF9AE}" pid="3" name="MediaServiceImageTags">
    <vt:lpwstr/>
  </property>
</Properties>
</file>