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50F6" w:rsidP="00354FDE" w:rsidRDefault="003D50F6" w14:paraId="7B00D0D6" w14:textId="77777777">
      <w:pPr>
        <w:jc w:val="center"/>
        <w:rPr>
          <w:b/>
        </w:rPr>
      </w:pPr>
      <w:r w:rsidRPr="00354FDE">
        <w:rPr>
          <w:b/>
        </w:rPr>
        <w:t>Supporting Statement</w:t>
      </w:r>
      <w:r>
        <w:rPr>
          <w:b/>
        </w:rPr>
        <w:t xml:space="preserve"> f</w:t>
      </w:r>
      <w:r w:rsidRPr="00354FDE">
        <w:rPr>
          <w:b/>
        </w:rPr>
        <w:t>or Paperwork Re</w:t>
      </w:r>
      <w:r>
        <w:rPr>
          <w:b/>
        </w:rPr>
        <w:t>duction Act Submissions</w:t>
      </w:r>
    </w:p>
    <w:p w:rsidRPr="00354FDE" w:rsidR="00354FDE" w:rsidP="00354FDE" w:rsidRDefault="003D50F6" w14:paraId="69589D99" w14:textId="77777777">
      <w:pPr>
        <w:jc w:val="center"/>
        <w:rPr>
          <w:b/>
        </w:rPr>
      </w:pPr>
      <w:r>
        <w:rPr>
          <w:b/>
        </w:rPr>
        <w:t xml:space="preserve">OMB Form </w:t>
      </w:r>
      <w:r w:rsidR="00E52ABC">
        <w:rPr>
          <w:b/>
        </w:rPr>
        <w:t>3048-0021</w:t>
      </w:r>
    </w:p>
    <w:p w:rsidRPr="00354FDE" w:rsidR="00354FDE" w:rsidP="00354FDE" w:rsidRDefault="00E52ABC" w14:paraId="07A2DA2A" w14:textId="77777777">
      <w:pPr>
        <w:jc w:val="center"/>
        <w:rPr>
          <w:b/>
        </w:rPr>
      </w:pPr>
      <w:r>
        <w:rPr>
          <w:b/>
        </w:rPr>
        <w:t>EIB 92-30</w:t>
      </w:r>
      <w:r w:rsidR="002E42D2">
        <w:rPr>
          <w:b/>
        </w:rPr>
        <w:t xml:space="preserve"> Report of Premiums for Financial Institutions Only</w:t>
      </w:r>
    </w:p>
    <w:p w:rsidR="00111C59" w:rsidRDefault="00111C59" w14:paraId="0D984019" w14:textId="77777777"/>
    <w:p w:rsidR="00111C59" w:rsidRDefault="00111C59" w14:paraId="24DFB375" w14:textId="77777777">
      <w:r>
        <w:t>General Instructions</w:t>
      </w:r>
    </w:p>
    <w:p w:rsidR="00111C59" w:rsidRDefault="00111C59" w14:paraId="34F46812" w14:textId="77777777">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w:t>
      </w:r>
      <w:r w:rsidR="004C627E">
        <w:t xml:space="preserve"> </w:t>
      </w:r>
      <w:r>
        <w:t>and must contain information specified in Section A below.  If an item is not applicable, provide a brief explanation.  OMB reserves the right to require the submission of additional information with respect to any request for approval.</w:t>
      </w:r>
    </w:p>
    <w:p w:rsidR="00111C59" w:rsidRDefault="00111C59" w14:paraId="1F4948D7" w14:textId="77777777"/>
    <w:p w:rsidR="00111C59" w:rsidRDefault="00111C59" w14:paraId="597C32D3" w14:textId="77777777">
      <w:r>
        <w:t>Specific Instructions</w:t>
      </w:r>
    </w:p>
    <w:p w:rsidR="00111C59" w:rsidRDefault="00111C59" w14:paraId="0CB6B6E0" w14:textId="77777777"/>
    <w:p w:rsidR="00111C59" w:rsidP="00A21F42" w:rsidRDefault="00111C59" w14:paraId="58926A44" w14:textId="77777777">
      <w:pPr>
        <w:numPr>
          <w:ilvl w:val="0"/>
          <w:numId w:val="1"/>
        </w:numPr>
        <w:tabs>
          <w:tab w:val="clear" w:pos="720"/>
          <w:tab w:val="num" w:pos="360"/>
        </w:tabs>
        <w:ind w:left="360"/>
      </w:pPr>
      <w:r>
        <w:t>Justification</w:t>
      </w:r>
    </w:p>
    <w:p w:rsidR="00111C59" w:rsidP="00A21F42" w:rsidRDefault="00111C59" w14:paraId="0403AA11" w14:textId="77777777">
      <w:pPr>
        <w:tabs>
          <w:tab w:val="num" w:pos="360"/>
        </w:tabs>
        <w:ind w:left="360" w:hanging="360"/>
      </w:pPr>
    </w:p>
    <w:p w:rsidR="00353169" w:rsidP="003C5BCA" w:rsidRDefault="00111C59" w14:paraId="1BA00F37" w14:textId="77777777">
      <w:pPr>
        <w:pStyle w:val="Level1"/>
        <w:numPr>
          <w:ilvl w:val="0"/>
          <w:numId w:val="5"/>
        </w:numPr>
        <w:tabs>
          <w:tab w:val="clear" w:pos="720"/>
          <w:tab w:val="left" w:pos="-1440"/>
          <w:tab w:val="num" w:pos="360"/>
        </w:tabs>
        <w:spacing w:after="120"/>
        <w:ind w:left="360"/>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9050E6">
        <w:br/>
      </w:r>
      <w:r w:rsidR="009050E6">
        <w:br/>
        <w:t>The Export-Import Bank of the United States (</w:t>
      </w:r>
      <w:r w:rsidR="005A4348">
        <w:t>EXIM</w:t>
      </w:r>
      <w:r w:rsidR="009050E6">
        <w:t xml:space="preserve">), pursuant to the Export-Import Bank Act of 1945, as amended (12 USC 635, et seq.), facilitates the finance of the export of U.S. goods and services.  By neutralizing the effect of export credit insurance offered by foreign governments and by absorbing credit risks that the private sector will not accept, </w:t>
      </w:r>
      <w:r w:rsidR="005A4348">
        <w:t>EXIM</w:t>
      </w:r>
      <w:r w:rsidR="009050E6">
        <w:t xml:space="preserve"> enables U.S. exporters to compete fairly in foreign markets </w:t>
      </w:r>
      <w:proofErr w:type="gramStart"/>
      <w:r w:rsidR="009050E6">
        <w:t>on the basis of</w:t>
      </w:r>
      <w:proofErr w:type="gramEnd"/>
      <w:r w:rsidR="009050E6">
        <w:t xml:space="preserve"> price and product.  This collection of information is necessary, pursuant to12 USC 635 (a)(1), to determine eligibility of the applicant for </w:t>
      </w:r>
      <w:r w:rsidR="005A4348">
        <w:t>EXIM</w:t>
      </w:r>
      <w:r w:rsidR="009050E6">
        <w:t xml:space="preserve"> assistance or participation.</w:t>
      </w:r>
    </w:p>
    <w:p w:rsidR="00111C59" w:rsidP="00353169" w:rsidRDefault="00111C59" w14:paraId="66747DEE" w14:textId="77777777">
      <w:pPr>
        <w:pStyle w:val="Level1"/>
        <w:numPr>
          <w:ilvl w:val="0"/>
          <w:numId w:val="0"/>
        </w:numPr>
        <w:tabs>
          <w:tab w:val="left" w:pos="-1440"/>
        </w:tabs>
        <w:ind w:left="360"/>
      </w:pPr>
    </w:p>
    <w:p w:rsidR="009050E6" w:rsidP="00A21F42" w:rsidRDefault="00111C59" w14:paraId="1E100235" w14:textId="77777777">
      <w:pPr>
        <w:pStyle w:val="Level1"/>
        <w:numPr>
          <w:ilvl w:val="0"/>
          <w:numId w:val="5"/>
        </w:numPr>
        <w:tabs>
          <w:tab w:val="clear" w:pos="720"/>
          <w:tab w:val="left" w:pos="-1440"/>
          <w:tab w:val="num" w:pos="360"/>
        </w:tabs>
        <w:ind w:left="360"/>
      </w:pPr>
      <w:r>
        <w:t>Indicate how, by whom and for what purpose the information is to be used.  Except for a new collection, indicate the actual use the agency has made of the information receiv</w:t>
      </w:r>
      <w:r w:rsidR="009050E6">
        <w:t>ed form the current collection.</w:t>
      </w:r>
      <w:r w:rsidR="009050E6">
        <w:br/>
      </w:r>
      <w:r w:rsidR="009050E6">
        <w:br/>
      </w:r>
      <w:r w:rsidRPr="00A06F79" w:rsidR="00A21F42">
        <w:t xml:space="preserve">This form will be completed by </w:t>
      </w:r>
      <w:r w:rsidR="00A21F42">
        <w:t>financial institutions</w:t>
      </w:r>
      <w:r w:rsidRPr="00A06F79" w:rsidR="00A21F42">
        <w:t xml:space="preserve"> to report transactions under the terms of the policy and to</w:t>
      </w:r>
      <w:r w:rsidR="00A21F42">
        <w:t xml:space="preserve"> provide</w:t>
      </w:r>
      <w:r w:rsidR="009050E6">
        <w:t xml:space="preserve"> </w:t>
      </w:r>
      <w:r w:rsidR="005A4348">
        <w:t>EXIM</w:t>
      </w:r>
      <w:r w:rsidR="009050E6">
        <w:t xml:space="preserve"> staff with the information necessary to record customer utilization and manage prospective insurance liability relative to risk premiums received.  </w:t>
      </w:r>
      <w:r w:rsidR="009050E6">
        <w:br/>
      </w:r>
    </w:p>
    <w:p w:rsidR="00A21F42" w:rsidP="00A21F42" w:rsidRDefault="00111C59" w14:paraId="6731708F" w14:textId="77777777">
      <w:pPr>
        <w:pStyle w:val="Level1"/>
        <w:numPr>
          <w:ilvl w:val="0"/>
          <w:numId w:val="5"/>
        </w:numPr>
        <w:tabs>
          <w:tab w:val="clear" w:pos="720"/>
          <w:tab w:val="num" w:pos="360"/>
        </w:tabs>
        <w:ind w:left="360"/>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2211B5">
        <w:br/>
      </w:r>
      <w:r w:rsidR="009050E6">
        <w:br/>
      </w:r>
      <w:r w:rsidRPr="00A06F79" w:rsidR="00A21F42">
        <w:lastRenderedPageBreak/>
        <w:t xml:space="preserve">The majority of these forms are received electronically with associated payment of premiums transmitted electronically or by </w:t>
      </w:r>
      <w:r w:rsidR="00A21F42">
        <w:t>wires sent</w:t>
      </w:r>
      <w:r w:rsidRPr="00A06F79" w:rsidR="00A21F42">
        <w:t xml:space="preserve"> by financial institution</w:t>
      </w:r>
      <w:r w:rsidR="00A21F42">
        <w:t>s</w:t>
      </w:r>
      <w:r w:rsidRPr="00A06F79" w:rsidR="00A21F42">
        <w:rPr>
          <w:b/>
        </w:rPr>
        <w:t xml:space="preserve">. </w:t>
      </w:r>
      <w:r w:rsidRPr="00A06F79" w:rsidR="00A21F42">
        <w:t>Technology is providing considerable burden reduction to both external users/exporters and more</w:t>
      </w:r>
      <w:r w:rsidR="00A21F42">
        <w:t xml:space="preserve"> </w:t>
      </w:r>
      <w:r w:rsidRPr="00A06F79" w:rsidR="00A21F42">
        <w:t xml:space="preserve">so to internal staff at </w:t>
      </w:r>
      <w:r w:rsidR="005A4348">
        <w:t>EXIM</w:t>
      </w:r>
      <w:r w:rsidRPr="00A06F79" w:rsidR="00A21F42">
        <w:t xml:space="preserve">. Since introducing web-based, online shipment reporting and premium payment, progressively larger numbers of </w:t>
      </w:r>
      <w:r w:rsidR="00A21F42">
        <w:t>financial institutions</w:t>
      </w:r>
      <w:r w:rsidRPr="00A06F79" w:rsidR="00A21F42">
        <w:t xml:space="preserve"> are making use of this efficiency tool. A secondary benefit to external and internal users is that viewing filed reports is very conven</w:t>
      </w:r>
      <w:r w:rsidR="00A21F42">
        <w:t>ient through the online system.</w:t>
      </w:r>
      <w:r w:rsidRPr="00862888" w:rsidR="00862888">
        <w:t xml:space="preserve"> </w:t>
      </w:r>
      <w:r w:rsidRPr="00FF4A38" w:rsidR="00862888">
        <w:t>Additionally, reporting online will assist customers with the policy’s terms and conditions by flagging areas of potential non-compliance</w:t>
      </w:r>
      <w:r w:rsidRPr="00560EA8" w:rsidR="00862888">
        <w:t>.</w:t>
      </w:r>
    </w:p>
    <w:p w:rsidRPr="00A06F79" w:rsidR="00A21F42" w:rsidP="00A21F42" w:rsidRDefault="00A21F42" w14:paraId="6EB81ED3" w14:textId="77777777">
      <w:pPr>
        <w:tabs>
          <w:tab w:val="num" w:pos="360"/>
        </w:tabs>
        <w:ind w:left="360" w:hanging="360"/>
      </w:pPr>
    </w:p>
    <w:p w:rsidR="009050E6" w:rsidP="00A21F42" w:rsidRDefault="005A4348" w14:paraId="28836EAD" w14:textId="77777777">
      <w:pPr>
        <w:pStyle w:val="Level1"/>
        <w:numPr>
          <w:ilvl w:val="0"/>
          <w:numId w:val="0"/>
        </w:numPr>
        <w:tabs>
          <w:tab w:val="left" w:pos="-1440"/>
          <w:tab w:val="num" w:pos="360"/>
        </w:tabs>
        <w:ind w:left="360"/>
      </w:pPr>
      <w:r>
        <w:t>EXIM</w:t>
      </w:r>
      <w:r w:rsidRPr="00A06F79" w:rsidR="00A21F42">
        <w:t xml:space="preserve"> continues upgrading the reporting module to increase usability and utilization. At the present time, </w:t>
      </w:r>
      <w:r w:rsidR="00034BFE">
        <w:t>nearly</w:t>
      </w:r>
      <w:r w:rsidRPr="00A06F79" w:rsidR="00A21F42">
        <w:t xml:space="preserve"> </w:t>
      </w:r>
      <w:r w:rsidR="00034BFE">
        <w:t>95</w:t>
      </w:r>
      <w:r w:rsidRPr="00A06F79" w:rsidR="00A21F42">
        <w:t>% of the total submissions of these</w:t>
      </w:r>
      <w:r w:rsidR="00A21F42">
        <w:t xml:space="preserve"> </w:t>
      </w:r>
      <w:r w:rsidRPr="00A06F79" w:rsidR="00A21F42">
        <w:t xml:space="preserve">forms are being submitted electronically. There remains a minority group of </w:t>
      </w:r>
      <w:r w:rsidR="00034BFE">
        <w:t>financial institutions</w:t>
      </w:r>
      <w:r w:rsidRPr="00A06F79" w:rsidR="00A21F42">
        <w:t xml:space="preserve"> who prefer paper</w:t>
      </w:r>
      <w:r w:rsidR="00A21F42">
        <w:t xml:space="preserve"> s</w:t>
      </w:r>
      <w:r w:rsidRPr="00A06F79" w:rsidR="00A21F42">
        <w:t xml:space="preserve">ubmissions.  </w:t>
      </w:r>
      <w:r w:rsidR="009050E6">
        <w:br/>
      </w:r>
    </w:p>
    <w:p w:rsidR="009050E6" w:rsidP="00A21F42" w:rsidRDefault="002211B5" w14:paraId="5539BD96" w14:textId="77777777">
      <w:pPr>
        <w:pStyle w:val="Level1"/>
        <w:numPr>
          <w:ilvl w:val="0"/>
          <w:numId w:val="5"/>
        </w:numPr>
        <w:tabs>
          <w:tab w:val="clear" w:pos="720"/>
          <w:tab w:val="left" w:pos="-1440"/>
          <w:tab w:val="num" w:pos="360"/>
        </w:tabs>
        <w:ind w:left="360"/>
      </w:pPr>
      <w:r>
        <w:t xml:space="preserve">Describe effort to identify duplication.  Show specifically why any </w:t>
      </w:r>
      <w:r w:rsidR="00BC02CD">
        <w:t>similar</w:t>
      </w:r>
      <w:r>
        <w:t xml:space="preserve"> information already available cannot be used or modified for use for the purposes described in Item 2 above.</w:t>
      </w:r>
      <w:r>
        <w:br/>
      </w:r>
      <w:r w:rsidR="009050E6">
        <w:br/>
      </w:r>
      <w:r w:rsidRPr="00A06F79" w:rsidR="00A21F42">
        <w:t>All applications are independent of each other; therefore</w:t>
      </w:r>
      <w:r w:rsidR="004C627E">
        <w:t>,</w:t>
      </w:r>
      <w:r w:rsidRPr="00A06F79" w:rsidR="00A21F42">
        <w:t xml:space="preserve"> there is no duplication since each shipment report form corresponds to </w:t>
      </w:r>
      <w:proofErr w:type="gramStart"/>
      <w:r w:rsidRPr="00A06F79" w:rsidR="00A21F42">
        <w:t>a</w:t>
      </w:r>
      <w:r w:rsidR="004C627E">
        <w:t>n</w:t>
      </w:r>
      <w:proofErr w:type="gramEnd"/>
      <w:r w:rsidRPr="00A06F79" w:rsidR="00A21F42">
        <w:t xml:space="preserve"> unique transaction.  In circumstances where information may already be on file at </w:t>
      </w:r>
      <w:r w:rsidR="005A4348">
        <w:t>EXIM</w:t>
      </w:r>
      <w:r w:rsidRPr="00A06F79" w:rsidR="00A21F42">
        <w:t xml:space="preserve"> the online system notifies users of the potential duplicate.</w:t>
      </w:r>
      <w:r w:rsidR="00AD26C3">
        <w:br/>
      </w:r>
    </w:p>
    <w:p w:rsidR="009050E6" w:rsidP="00647828" w:rsidRDefault="002211B5" w14:paraId="232AFC0F" w14:textId="77777777">
      <w:pPr>
        <w:pStyle w:val="Level1"/>
        <w:numPr>
          <w:ilvl w:val="0"/>
          <w:numId w:val="5"/>
        </w:numPr>
        <w:tabs>
          <w:tab w:val="clear" w:pos="720"/>
          <w:tab w:val="left" w:pos="-1440"/>
          <w:tab w:val="num" w:pos="360"/>
        </w:tabs>
        <w:ind w:left="360"/>
      </w:pPr>
      <w:r>
        <w:t>If the collection of information impacts small businesses or other small entities describe any methods used to minimize burden.</w:t>
      </w:r>
      <w:r w:rsidR="009050E6">
        <w:br/>
      </w:r>
      <w:r w:rsidR="009050E6">
        <w:br/>
        <w:t xml:space="preserve">This online form offers </w:t>
      </w:r>
      <w:r w:rsidR="006D680A">
        <w:t>financial institutions</w:t>
      </w:r>
      <w:r w:rsidR="009050E6">
        <w:t xml:space="preserve"> the opportunity to electronically report shipments, recording customer utilization and managing prospective insurance liability relative to risk premiums received, which will reduce the paperwork burden and reduce processing times as well as minimize the expense of using mailing services.</w:t>
      </w:r>
    </w:p>
    <w:p w:rsidR="00B22890" w:rsidP="00B22890" w:rsidRDefault="00B22890" w14:paraId="431499C0" w14:textId="77777777">
      <w:pPr>
        <w:pStyle w:val="Level1"/>
        <w:numPr>
          <w:ilvl w:val="0"/>
          <w:numId w:val="0"/>
        </w:numPr>
        <w:tabs>
          <w:tab w:val="left" w:pos="-1440"/>
        </w:tabs>
        <w:ind w:left="360"/>
      </w:pPr>
    </w:p>
    <w:p w:rsidR="006D680A" w:rsidP="006D680A" w:rsidRDefault="002211B5" w14:paraId="085B2D79" w14:textId="77777777">
      <w:pPr>
        <w:numPr>
          <w:ilvl w:val="0"/>
          <w:numId w:val="5"/>
        </w:numPr>
        <w:tabs>
          <w:tab w:val="clear" w:pos="720"/>
          <w:tab w:val="num" w:pos="360"/>
        </w:tabs>
        <w:ind w:left="360"/>
      </w:pPr>
      <w:r>
        <w:t xml:space="preserve">Describe the consequence to Federal program or policy activities if the collection is not conducted or is conducted less frequently, as well as any technical or legal obstacles to reducing burden. </w:t>
      </w:r>
      <w:r w:rsidR="009050E6">
        <w:br/>
      </w:r>
      <w:r w:rsidR="009050E6">
        <w:br/>
      </w:r>
      <w:r w:rsidR="006D680A">
        <w:t xml:space="preserve">Reporting shipments is necessary for </w:t>
      </w:r>
      <w:r w:rsidR="005A4348">
        <w:t>EXIM</w:t>
      </w:r>
      <w:r w:rsidR="006D680A">
        <w:t xml:space="preserve"> to determine compliance with policy rules and regulations.  Further, without this information </w:t>
      </w:r>
      <w:r w:rsidR="005A4348">
        <w:t>EXIM</w:t>
      </w:r>
      <w:r w:rsidR="006D680A">
        <w:t xml:space="preserve"> would be unable to assess customer utilization, premiums due, and insurance liability.</w:t>
      </w:r>
    </w:p>
    <w:p w:rsidR="006D680A" w:rsidP="006D680A" w:rsidRDefault="006D680A" w14:paraId="2CEC42D1" w14:textId="77777777">
      <w:pPr>
        <w:ind w:left="360"/>
      </w:pPr>
    </w:p>
    <w:p w:rsidR="004E4D31" w:rsidP="00A21F42" w:rsidRDefault="002211B5" w14:paraId="7ECC06D1" w14:textId="77777777">
      <w:pPr>
        <w:pStyle w:val="Level1"/>
        <w:numPr>
          <w:ilvl w:val="0"/>
          <w:numId w:val="5"/>
        </w:numPr>
        <w:tabs>
          <w:tab w:val="clear" w:pos="720"/>
          <w:tab w:val="left" w:pos="-1440"/>
          <w:tab w:val="num" w:pos="360"/>
        </w:tabs>
        <w:ind w:left="360"/>
      </w:pPr>
      <w:r>
        <w:t>Explain any special circumstances that would cause an information collection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r>
      <w:r>
        <w:lastRenderedPageBreak/>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*requiring respondents to submit proprietary trade secrets, or other confidential information unless the agency can demonstrate that it has instituted procedures to protect the information’s confidentiality to the extent permitted by law.</w:t>
      </w:r>
      <w:r w:rsidR="009050E6">
        <w:br/>
      </w:r>
      <w:r w:rsidR="009050E6">
        <w:br/>
        <w:t>This collection is consistent with guidelines in 5 CFR 1320.6.</w:t>
      </w:r>
    </w:p>
    <w:p w:rsidR="004E4D31" w:rsidP="004E4D31" w:rsidRDefault="004E4D31" w14:paraId="742E7749" w14:textId="77777777"/>
    <w:p w:rsidR="004E4D31" w:rsidP="004E4D31" w:rsidRDefault="004E4D31" w14:paraId="35A312FF" w14:textId="77777777">
      <w:pPr>
        <w:autoSpaceDE w:val="0"/>
        <w:autoSpaceDN w:val="0"/>
        <w:ind w:left="360"/>
        <w:rPr>
          <w:rFonts w:ascii="Tahoma" w:hAnsi="Tahoma" w:cs="Tahoma"/>
          <w:sz w:val="20"/>
          <w:szCs w:val="20"/>
        </w:rPr>
      </w:pPr>
      <w:r>
        <w:t xml:space="preserve">Monthly reporting of the shipments is necessary for </w:t>
      </w:r>
      <w:r w:rsidR="005A4348">
        <w:t>EXIM</w:t>
      </w:r>
      <w:r>
        <w:t xml:space="preserve"> to assure compliance with policy rules and regulations and to assess customer utilization, premiums due, and insurance liability.</w:t>
      </w:r>
    </w:p>
    <w:p w:rsidR="009050E6" w:rsidP="004E4D31" w:rsidRDefault="009050E6" w14:paraId="4C1C94A2" w14:textId="77777777">
      <w:pPr>
        <w:pStyle w:val="Level1"/>
        <w:numPr>
          <w:ilvl w:val="0"/>
          <w:numId w:val="0"/>
        </w:numPr>
        <w:tabs>
          <w:tab w:val="left" w:pos="-1440"/>
        </w:tabs>
        <w:ind w:left="360"/>
      </w:pPr>
    </w:p>
    <w:p w:rsidR="00A21F42" w:rsidP="00A21F42" w:rsidRDefault="00633291" w14:paraId="7F7ED613" w14:textId="77777777">
      <w:pPr>
        <w:pStyle w:val="Level1"/>
        <w:numPr>
          <w:ilvl w:val="0"/>
          <w:numId w:val="5"/>
        </w:numPr>
        <w:tabs>
          <w:tab w:val="clear" w:pos="720"/>
          <w:tab w:val="left" w:pos="-1440"/>
          <w:tab w:val="num" w:pos="360"/>
        </w:tabs>
        <w:ind w:left="360"/>
      </w:pPr>
      <w:r>
        <w:t xml:space="preserve">If applicable, provide a copy and identify the date and page number of </w:t>
      </w:r>
      <w:r w:rsidR="004C627E">
        <w:t xml:space="preserve">the </w:t>
      </w:r>
      <w:r>
        <w:t>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3C5BCA" w:rsidP="003C5BCA" w:rsidRDefault="003C5BCA" w14:paraId="3FE7A531" w14:textId="77777777"/>
    <w:p w:rsidR="002E42D2" w:rsidP="003C5BCA" w:rsidRDefault="002E42D2" w14:paraId="34B9203E" w14:textId="354BA238">
      <w:pPr>
        <w:ind w:left="360"/>
      </w:pPr>
      <w:r>
        <w:t xml:space="preserve">60 Day </w:t>
      </w:r>
      <w:r w:rsidRPr="00A845A3" w:rsidR="003C5BCA">
        <w:t>Federal Register</w:t>
      </w:r>
      <w:r>
        <w:t xml:space="preserve"> Notice FR</w:t>
      </w:r>
      <w:r w:rsidRPr="00A845A3" w:rsidR="003C5BCA">
        <w:t xml:space="preserve"> Vol. </w:t>
      </w:r>
      <w:r w:rsidR="00AB5807">
        <w:t>8</w:t>
      </w:r>
      <w:r w:rsidR="00AB5807">
        <w:t>7</w:t>
      </w:r>
      <w:r>
        <w:t>,</w:t>
      </w:r>
      <w:r w:rsidRPr="00A845A3" w:rsidR="003C5BCA">
        <w:t xml:space="preserve"> No. </w:t>
      </w:r>
      <w:r w:rsidR="00AB5807">
        <w:t>103</w:t>
      </w:r>
      <w:r w:rsidRPr="00A845A3" w:rsidR="00AB5807">
        <w:t xml:space="preserve"> </w:t>
      </w:r>
      <w:r w:rsidRPr="00A845A3" w:rsidR="003C5BCA">
        <w:t xml:space="preserve">on </w:t>
      </w:r>
      <w:r w:rsidR="00AB5807">
        <w:t>05/27/2022</w:t>
      </w:r>
      <w:r>
        <w:t>.</w:t>
      </w:r>
    </w:p>
    <w:p w:rsidR="003C5BCA" w:rsidP="003C5BCA" w:rsidRDefault="002E42D2" w14:paraId="3D16C364" w14:textId="77777777">
      <w:pPr>
        <w:ind w:left="360"/>
      </w:pPr>
      <w:r>
        <w:t xml:space="preserve">No </w:t>
      </w:r>
      <w:r w:rsidRPr="00A845A3" w:rsidR="003C5BCA">
        <w:t>comment</w:t>
      </w:r>
      <w:r>
        <w:t>s received.</w:t>
      </w:r>
      <w:r w:rsidR="003C5BCA">
        <w:t xml:space="preserve"> </w:t>
      </w:r>
    </w:p>
    <w:p w:rsidR="002E42D2" w:rsidP="003C5BCA" w:rsidRDefault="002E42D2" w14:paraId="2D529724" w14:textId="77777777">
      <w:pPr>
        <w:ind w:left="360"/>
      </w:pPr>
    </w:p>
    <w:p w:rsidRPr="00747138" w:rsidR="002E42D2" w:rsidP="002E42D2" w:rsidRDefault="002E42D2" w14:paraId="547D0250" w14:textId="772AA8D4">
      <w:pPr>
        <w:ind w:left="360"/>
      </w:pPr>
      <w:r w:rsidRPr="00747138">
        <w:t xml:space="preserve">30 Day Federal Register Notice FR Vol. </w:t>
      </w:r>
      <w:r w:rsidR="00AB5807">
        <w:t>87</w:t>
      </w:r>
      <w:r w:rsidRPr="00747138">
        <w:t xml:space="preserve">, No. </w:t>
      </w:r>
      <w:r w:rsidR="00AB5807">
        <w:t>151</w:t>
      </w:r>
      <w:r w:rsidRPr="00747138" w:rsidR="00AB5807">
        <w:t xml:space="preserve"> </w:t>
      </w:r>
      <w:r w:rsidRPr="00747138">
        <w:t xml:space="preserve">on </w:t>
      </w:r>
      <w:r w:rsidRPr="00747138" w:rsidR="00AB5807">
        <w:t>0</w:t>
      </w:r>
      <w:r w:rsidR="00AB5807">
        <w:t>8</w:t>
      </w:r>
      <w:r w:rsidRPr="00747138">
        <w:t>/</w:t>
      </w:r>
      <w:r w:rsidR="00AB5807">
        <w:t>08</w:t>
      </w:r>
      <w:r w:rsidRPr="00747138">
        <w:t>/</w:t>
      </w:r>
      <w:r w:rsidR="00AB5807">
        <w:t>2022.</w:t>
      </w:r>
    </w:p>
    <w:p w:rsidR="002E42D2" w:rsidP="002E42D2" w:rsidRDefault="00AB52ED" w14:paraId="5ACEA6C7" w14:textId="7C5DCD6F">
      <w:pPr>
        <w:ind w:left="360"/>
      </w:pPr>
      <w:r>
        <w:t>Any</w:t>
      </w:r>
      <w:r w:rsidRPr="00747138">
        <w:t xml:space="preserve"> </w:t>
      </w:r>
      <w:r w:rsidRPr="00747138" w:rsidR="002E42D2">
        <w:t>comment</w:t>
      </w:r>
      <w:r>
        <w:t>s</w:t>
      </w:r>
      <w:r w:rsidRPr="00747138" w:rsidR="002E42D2">
        <w:t xml:space="preserve"> received</w:t>
      </w:r>
      <w:r w:rsidR="00EF133D">
        <w:t xml:space="preserve"> will be responded to and addressed</w:t>
      </w:r>
      <w:r w:rsidRPr="00747138" w:rsidR="002E42D2">
        <w:t>.</w:t>
      </w:r>
    </w:p>
    <w:p w:rsidR="003C5BCA" w:rsidP="00A21F42" w:rsidRDefault="003C5BCA" w14:paraId="44E119D4" w14:textId="77777777">
      <w:pPr>
        <w:pStyle w:val="Level1"/>
        <w:numPr>
          <w:ilvl w:val="0"/>
          <w:numId w:val="0"/>
        </w:numPr>
        <w:tabs>
          <w:tab w:val="left" w:pos="-1440"/>
          <w:tab w:val="num" w:pos="360"/>
        </w:tabs>
        <w:ind w:left="360" w:hanging="360"/>
      </w:pPr>
    </w:p>
    <w:p w:rsidR="009050E6" w:rsidP="00A21F42" w:rsidRDefault="00633291" w14:paraId="0AA8A552" w14:textId="77777777">
      <w:pPr>
        <w:pStyle w:val="Level1"/>
        <w:numPr>
          <w:ilvl w:val="0"/>
          <w:numId w:val="5"/>
        </w:numPr>
        <w:tabs>
          <w:tab w:val="clear" w:pos="720"/>
          <w:tab w:val="left" w:pos="-1440"/>
          <w:tab w:val="num" w:pos="360"/>
        </w:tabs>
        <w:ind w:left="360"/>
      </w:pPr>
      <w:r>
        <w:t>Explain any decision to provide any payment or gift to respondents, other than remuneration of contractors or grantees.</w:t>
      </w:r>
      <w:r>
        <w:br/>
      </w:r>
      <w:r w:rsidR="005A4348">
        <w:br/>
        <w:t>EXIM does not provide any payments or gifts to respondents.</w:t>
      </w:r>
      <w:r w:rsidR="005A4348">
        <w:br/>
      </w:r>
    </w:p>
    <w:p w:rsidR="00354FDE" w:rsidP="00A21F42" w:rsidRDefault="00633291" w14:paraId="02DB0353" w14:textId="77777777">
      <w:pPr>
        <w:pStyle w:val="Level1"/>
        <w:numPr>
          <w:ilvl w:val="0"/>
          <w:numId w:val="5"/>
        </w:numPr>
        <w:tabs>
          <w:tab w:val="clear" w:pos="720"/>
          <w:tab w:val="left" w:pos="-1440"/>
          <w:tab w:val="num" w:pos="360"/>
        </w:tabs>
        <w:ind w:left="360"/>
      </w:pPr>
      <w:r>
        <w:t>Describe any assurance of confidentiality provided to respondents and the basis for the assurance in statute, regulation, or agency policy.</w:t>
      </w:r>
      <w:r w:rsidR="009050E6">
        <w:br/>
      </w:r>
      <w:r w:rsidR="009050E6">
        <w:br/>
      </w:r>
      <w:r w:rsidR="005A4348">
        <w:t>EXIM</w:t>
      </w:r>
      <w:r w:rsidR="009050E6">
        <w:t xml:space="preserve"> and its officers and employees are subject to the Trade Secrets Act, 18 U.S.C. Sec. 1905, which requires </w:t>
      </w:r>
      <w:r w:rsidR="005A4348">
        <w:t>EXIM</w:t>
      </w:r>
      <w:r w:rsidR="009050E6">
        <w:t xml:space="preserve"> to protect confidential business and commercial information from disclosure, and 12 CFR 404.1, which provides that, except as required by law, </w:t>
      </w:r>
      <w:r w:rsidR="005A4348">
        <w:t>EXIM</w:t>
      </w:r>
      <w:r w:rsidR="009050E6">
        <w:t xml:space="preserve"> will not disclose information provided in confidence without the submitter’s consent.  </w:t>
      </w:r>
      <w:r w:rsidR="00354FDE">
        <w:br/>
      </w:r>
    </w:p>
    <w:p w:rsidR="00354FDE" w:rsidP="00A21F42" w:rsidRDefault="00633291" w14:paraId="271B3409" w14:textId="77777777">
      <w:pPr>
        <w:pStyle w:val="Level1"/>
        <w:numPr>
          <w:ilvl w:val="0"/>
          <w:numId w:val="5"/>
        </w:numPr>
        <w:tabs>
          <w:tab w:val="clear" w:pos="720"/>
          <w:tab w:val="left" w:pos="-1440"/>
          <w:tab w:val="num" w:pos="360"/>
        </w:tabs>
        <w:ind w:left="360"/>
      </w:pPr>
      <w:r>
        <w:lastRenderedPageBreak/>
        <w:t>Provide additional justification for any question of a sensitive nature, such as sexual behavior and attitudes, religious beliefs, and other matters that are commonly considered pr</w:t>
      </w:r>
      <w:r w:rsidR="00A21F42">
        <w:t>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009050E6">
        <w:br/>
      </w:r>
      <w:r w:rsidR="009050E6">
        <w:br/>
      </w:r>
      <w:r w:rsidR="005A4348">
        <w:t xml:space="preserve">There are no questions of a sensitive nature included on this application.  </w:t>
      </w:r>
      <w:r w:rsidR="00354FDE">
        <w:br/>
      </w:r>
    </w:p>
    <w:p w:rsidR="00A27C1C" w:rsidP="00A21F42" w:rsidRDefault="008C5ACF" w14:paraId="59A80F8B" w14:textId="77777777">
      <w:pPr>
        <w:pStyle w:val="Level1"/>
        <w:numPr>
          <w:ilvl w:val="0"/>
          <w:numId w:val="5"/>
        </w:numPr>
        <w:tabs>
          <w:tab w:val="clear" w:pos="720"/>
          <w:tab w:val="left" w:pos="-1440"/>
          <w:tab w:val="num" w:pos="360"/>
        </w:tabs>
        <w:ind w:left="360"/>
      </w:pPr>
      <w:r>
        <w:t>Provide estimates of the hour burden of the collection of information. The statement should include</w:t>
      </w:r>
      <w:r w:rsidR="00500644">
        <w:t>:</w:t>
      </w:r>
      <w:r w:rsidR="00D63E92">
        <w:br/>
      </w:r>
      <w:r w:rsidR="00500644">
        <w:br/>
      </w:r>
      <w:r w:rsidRPr="00A27C1C" w:rsidR="00D63E92">
        <w:t>The</w:t>
      </w:r>
      <w:r w:rsidR="00A27C1C">
        <w:t xml:space="preserve"> number of respondents:</w:t>
      </w:r>
      <w:r w:rsidR="005A4348">
        <w:tab/>
      </w:r>
      <w:r w:rsidR="00EB1951">
        <w:t>215</w:t>
      </w:r>
      <w:r w:rsidRPr="00A27C1C">
        <w:br/>
      </w:r>
      <w:r w:rsidRPr="00A27C1C" w:rsidR="00D63E92">
        <w:t>T</w:t>
      </w:r>
      <w:r w:rsidRPr="00A27C1C">
        <w:t>he frequency of response</w:t>
      </w:r>
      <w:r w:rsidR="00A27C1C">
        <w:t>:</w:t>
      </w:r>
      <w:r w:rsidR="005A4348">
        <w:tab/>
      </w:r>
      <w:r w:rsidRPr="00A27C1C" w:rsidR="00AD26C3">
        <w:t>monthly</w:t>
      </w:r>
      <w:r w:rsidRPr="00A27C1C">
        <w:br/>
      </w:r>
      <w:r w:rsidRPr="00A27C1C" w:rsidR="00D63E92">
        <w:t>A</w:t>
      </w:r>
      <w:r w:rsidRPr="00A27C1C">
        <w:t>nnual hour burden</w:t>
      </w:r>
      <w:r w:rsidR="00A27C1C">
        <w:t>:</w:t>
      </w:r>
      <w:r w:rsidR="005A4348">
        <w:tab/>
      </w:r>
      <w:r w:rsidR="005A4348">
        <w:tab/>
      </w:r>
      <w:r w:rsidR="00EB1951">
        <w:t>860</w:t>
      </w:r>
      <w:r w:rsidRPr="00A27C1C" w:rsidR="00AD26C3">
        <w:t xml:space="preserve"> hours</w:t>
      </w:r>
      <w:r w:rsidRPr="00A27C1C">
        <w:br/>
      </w:r>
      <w:r w:rsidRPr="00A27C1C" w:rsidR="00D63E92">
        <w:t>A</w:t>
      </w:r>
      <w:r w:rsidRPr="00A27C1C">
        <w:t>n explanation of how the burden was estimated</w:t>
      </w:r>
      <w:r w:rsidR="00A27C1C">
        <w:t>:</w:t>
      </w:r>
      <w:r w:rsidRPr="00A27C1C">
        <w:t xml:space="preserve">  </w:t>
      </w:r>
      <w:r w:rsidR="00A27C1C">
        <w:tab/>
      </w:r>
    </w:p>
    <w:p w:rsidR="00353169" w:rsidP="00353169" w:rsidRDefault="00353169" w14:paraId="1F6922E9" w14:textId="77777777">
      <w:pPr>
        <w:pStyle w:val="Level1"/>
        <w:numPr>
          <w:ilvl w:val="0"/>
          <w:numId w:val="0"/>
        </w:numPr>
        <w:tabs>
          <w:tab w:val="left" w:pos="-1440"/>
          <w:tab w:val="num" w:pos="360"/>
        </w:tabs>
      </w:pPr>
      <w:r>
        <w:tab/>
      </w:r>
      <w:r>
        <w:tab/>
      </w:r>
      <w:r w:rsidR="00EB1951">
        <w:t>215</w:t>
      </w:r>
      <w:r w:rsidRPr="00A27C1C" w:rsidR="00AD26C3">
        <w:t xml:space="preserve"> respondent times 12 months equals </w:t>
      </w:r>
      <w:r w:rsidR="00EB1951">
        <w:t>2,580</w:t>
      </w:r>
      <w:r w:rsidRPr="00A27C1C" w:rsidR="00AD26C3">
        <w:t xml:space="preserve"> responses.  </w:t>
      </w:r>
    </w:p>
    <w:p w:rsidRPr="00354FDE" w:rsidR="00354FDE" w:rsidP="00353169" w:rsidRDefault="00EB1951" w14:paraId="1F6D0F33" w14:textId="77777777">
      <w:pPr>
        <w:pStyle w:val="Level1"/>
        <w:numPr>
          <w:ilvl w:val="0"/>
          <w:numId w:val="0"/>
        </w:numPr>
        <w:tabs>
          <w:tab w:val="left" w:pos="-1440"/>
          <w:tab w:val="num" w:pos="360"/>
        </w:tabs>
        <w:ind w:left="720"/>
      </w:pPr>
      <w:r>
        <w:t>2,580</w:t>
      </w:r>
      <w:r w:rsidRPr="00A27C1C" w:rsidR="00AD26C3">
        <w:t xml:space="preserve"> responses</w:t>
      </w:r>
      <w:r w:rsidRPr="00A27C1C" w:rsidR="00A27C1C">
        <w:t xml:space="preserve"> </w:t>
      </w:r>
      <w:r>
        <w:t xml:space="preserve">multiplied by </w:t>
      </w:r>
      <w:r w:rsidR="00353169">
        <w:t>3</w:t>
      </w:r>
      <w:r w:rsidRPr="00A27C1C" w:rsidR="00A27C1C">
        <w:t xml:space="preserve">0 minutes </w:t>
      </w:r>
      <w:r>
        <w:t xml:space="preserve">per response and </w:t>
      </w:r>
      <w:r w:rsidRPr="00A27C1C" w:rsidR="00A27C1C">
        <w:t xml:space="preserve">divided by 60 </w:t>
      </w:r>
      <w:r>
        <w:t xml:space="preserve">minutes per hour </w:t>
      </w:r>
      <w:r w:rsidRPr="00A27C1C" w:rsidR="00AD26C3">
        <w:t xml:space="preserve">equals </w:t>
      </w:r>
      <w:r w:rsidR="00353169">
        <w:t>1,29</w:t>
      </w:r>
      <w:r>
        <w:t>0</w:t>
      </w:r>
      <w:r w:rsidRPr="00A27C1C" w:rsidR="00AD26C3">
        <w:t xml:space="preserve"> hours</w:t>
      </w:r>
      <w:r w:rsidR="00A27C1C">
        <w:t>.</w:t>
      </w:r>
      <w:r w:rsidR="00354FDE">
        <w:rPr>
          <w:b/>
        </w:rPr>
        <w:br/>
      </w:r>
    </w:p>
    <w:p w:rsidR="00354FDE" w:rsidP="00A21F42" w:rsidRDefault="008C5ACF" w14:paraId="35ECE71A" w14:textId="77777777">
      <w:pPr>
        <w:pStyle w:val="Level1"/>
        <w:numPr>
          <w:ilvl w:val="0"/>
          <w:numId w:val="5"/>
        </w:numPr>
        <w:tabs>
          <w:tab w:val="clear" w:pos="720"/>
          <w:tab w:val="left" w:pos="-1440"/>
          <w:tab w:val="num" w:pos="360"/>
        </w:tabs>
        <w:ind w:left="360"/>
      </w:pPr>
      <w:r>
        <w:t xml:space="preserve">Provide an estimate for the total annual </w:t>
      </w:r>
      <w:r w:rsidR="00BC02CD">
        <w:t>cost burden to respondents or records keepers resulting from the collection of information.  (Do not include the cost of any hour burden shown in items 12 and 14).</w:t>
      </w:r>
      <w:r w:rsidR="00354FDE">
        <w:br/>
      </w:r>
      <w:r w:rsidR="00354FDE">
        <w:br/>
      </w:r>
      <w:r w:rsidR="005A4348">
        <w:t>There is no monetary burden to respondents other than the hour burden estimated in (12).</w:t>
      </w:r>
      <w:r w:rsidR="00354FDE">
        <w:br/>
      </w:r>
    </w:p>
    <w:p w:rsidR="005535CE" w:rsidP="00A21F42" w:rsidRDefault="00BC02CD" w14:paraId="7B53E7CD" w14:textId="5CF0A7F2">
      <w:pPr>
        <w:pStyle w:val="Level1"/>
        <w:numPr>
          <w:ilvl w:val="0"/>
          <w:numId w:val="5"/>
        </w:numPr>
        <w:tabs>
          <w:tab w:val="clear" w:pos="720"/>
          <w:tab w:val="left" w:pos="-1440"/>
          <w:tab w:val="num" w:pos="360"/>
          <w:tab w:val="left" w:pos="3600"/>
        </w:tabs>
        <w:ind w:left="360"/>
      </w:pPr>
      <w:r>
        <w:t xml:space="preserve">Provide estimates of annualized costs to the Federal government. </w:t>
      </w:r>
    </w:p>
    <w:p w:rsidR="005535CE" w:rsidP="005535CE" w:rsidRDefault="005535CE" w14:paraId="1767CE27" w14:textId="6BB16DD4">
      <w:pPr>
        <w:pStyle w:val="Level1"/>
        <w:numPr>
          <w:ilvl w:val="0"/>
          <w:numId w:val="0"/>
        </w:numPr>
        <w:tabs>
          <w:tab w:val="left" w:pos="-1440"/>
          <w:tab w:val="left" w:pos="3600"/>
        </w:tabs>
        <w:ind w:left="360"/>
      </w:pPr>
      <w:r w:rsidRPr="004B766C">
        <w:t xml:space="preserve">Reviewing time per </w:t>
      </w:r>
      <w:r>
        <w:t>response</w:t>
      </w:r>
      <w:r w:rsidRPr="004B766C">
        <w:t>:</w:t>
      </w:r>
      <w:r>
        <w:tab/>
      </w:r>
      <w:r w:rsidRPr="004B766C">
        <w:t xml:space="preserve">20 </w:t>
      </w:r>
      <w:r>
        <w:t>m</w:t>
      </w:r>
      <w:r w:rsidRPr="004B766C">
        <w:t>inutes</w:t>
      </w:r>
      <w:r w:rsidRPr="004B766C">
        <w:br/>
        <w:t>Responses per year</w:t>
      </w:r>
      <w:r>
        <w:t>:</w:t>
      </w:r>
      <w:r>
        <w:tab/>
        <w:t>2,580</w:t>
      </w:r>
      <w:r w:rsidRPr="004B766C">
        <w:br/>
        <w:t xml:space="preserve">Reviewing time per year      </w:t>
      </w:r>
      <w:r>
        <w:tab/>
        <w:t>860</w:t>
      </w:r>
      <w:r w:rsidRPr="004B766C">
        <w:t xml:space="preserve"> </w:t>
      </w:r>
      <w:r>
        <w:t>h</w:t>
      </w:r>
      <w:r w:rsidRPr="004B766C">
        <w:t>ours</w:t>
      </w:r>
      <w:r w:rsidRPr="004B766C">
        <w:br/>
        <w:t xml:space="preserve">Average Wages per hour         </w:t>
      </w:r>
      <w:r w:rsidRPr="004B766C">
        <w:tab/>
        <w:t>$</w:t>
      </w:r>
      <w:r>
        <w:t>42.5</w:t>
      </w:r>
      <w:r w:rsidRPr="004B766C">
        <w:br/>
        <w:t xml:space="preserve">Average cost per year        </w:t>
      </w:r>
      <w:r w:rsidRPr="004B766C">
        <w:br/>
        <w:t xml:space="preserve">    </w:t>
      </w:r>
      <w:proofErr w:type="gramStart"/>
      <w:r w:rsidRPr="004B766C">
        <w:t xml:space="preserve">   (</w:t>
      </w:r>
      <w:proofErr w:type="gramEnd"/>
      <w:r w:rsidRPr="004B766C">
        <w:t>time * wages)</w:t>
      </w:r>
      <w:r>
        <w:tab/>
      </w:r>
      <w:r w:rsidRPr="004B766C">
        <w:t>$</w:t>
      </w:r>
      <w:r>
        <w:t>36,550.00</w:t>
      </w:r>
      <w:r w:rsidRPr="004B766C">
        <w:br/>
        <w:t xml:space="preserve">Benefits and overhead </w:t>
      </w:r>
      <w:r>
        <w:tab/>
      </w:r>
      <w:r w:rsidRPr="004B766C">
        <w:t>20%</w:t>
      </w:r>
      <w:r w:rsidRPr="004B766C">
        <w:br/>
        <w:t xml:space="preserve">Total Government Cost      </w:t>
      </w:r>
      <w:r>
        <w:tab/>
      </w:r>
      <w:r w:rsidRPr="004B766C">
        <w:t>$</w:t>
      </w:r>
      <w:r>
        <w:t>43,860</w:t>
      </w:r>
    </w:p>
    <w:p w:rsidR="005535CE" w:rsidP="005535CE" w:rsidRDefault="005535CE" w14:paraId="10CF5CF3" w14:textId="77777777">
      <w:pPr>
        <w:pStyle w:val="Level1"/>
        <w:numPr>
          <w:ilvl w:val="0"/>
          <w:numId w:val="0"/>
        </w:numPr>
        <w:tabs>
          <w:tab w:val="left" w:pos="-1440"/>
          <w:tab w:val="left" w:pos="3600"/>
        </w:tabs>
        <w:ind w:left="360"/>
      </w:pPr>
    </w:p>
    <w:p w:rsidR="005535CE" w:rsidP="005535CE" w:rsidRDefault="005535CE" w14:paraId="0D460DC5" w14:textId="77777777">
      <w:pPr>
        <w:pStyle w:val="Level1"/>
        <w:numPr>
          <w:ilvl w:val="0"/>
          <w:numId w:val="5"/>
        </w:numPr>
        <w:tabs>
          <w:tab w:val="clear" w:pos="720"/>
          <w:tab w:val="left" w:pos="-1440"/>
          <w:tab w:val="num" w:pos="360"/>
          <w:tab w:val="left" w:pos="3600"/>
        </w:tabs>
        <w:ind w:left="360"/>
      </w:pPr>
      <w:r>
        <w:t>Explain the reasons for any program changes or adjustments reflected in the public burden or government costs.</w:t>
      </w:r>
      <w:r>
        <w:br/>
      </w:r>
      <w:r>
        <w:br/>
      </w:r>
      <w:r>
        <w:t xml:space="preserve">There were no program changes or adjustment that would necessitate changes to the estimated public burden or government costs.  </w:t>
      </w:r>
    </w:p>
    <w:p w:rsidR="005535CE" w:rsidP="005535CE" w:rsidRDefault="005535CE" w14:paraId="1231F840" w14:textId="258C2A78">
      <w:pPr>
        <w:pStyle w:val="Level1"/>
        <w:numPr>
          <w:ilvl w:val="0"/>
          <w:numId w:val="0"/>
        </w:numPr>
        <w:tabs>
          <w:tab w:val="left" w:pos="-1440"/>
          <w:tab w:val="left" w:pos="3600"/>
        </w:tabs>
        <w:ind w:left="360"/>
      </w:pPr>
      <w:r w:rsidRPr="00560EA8">
        <w:t xml:space="preserve">The Export-Import Bank has made changes to incorporate additional flexibility in identifying eligible foreign local costs, as well as adding an additional report (the Local Cost Report) for use only in those cases where the company chooses to make use of some aspects of the additional flexibility.  Customers who do not meet the </w:t>
      </w:r>
      <w:r w:rsidRPr="00560EA8">
        <w:lastRenderedPageBreak/>
        <w:t xml:space="preserve">eligibility requirements for the additional flexibility or who chose </w:t>
      </w:r>
      <w:r>
        <w:t>not</w:t>
      </w:r>
      <w:r w:rsidRPr="00560EA8">
        <w:t xml:space="preserve"> to make use of the flexibility in the foreign local costs do not need to complete the Local Cost Report.</w:t>
      </w:r>
    </w:p>
    <w:p w:rsidR="005535CE" w:rsidP="005535CE" w:rsidRDefault="005535CE" w14:paraId="220D6008" w14:textId="7656E16F">
      <w:pPr>
        <w:ind w:left="360"/>
        <w:rPr>
          <w:shadow/>
        </w:rPr>
      </w:pPr>
      <w:r>
        <w:rPr>
          <w:shadow/>
        </w:rPr>
        <w:t xml:space="preserve">In addition to the existing questions on </w:t>
      </w:r>
      <w:r w:rsidR="007A61E8">
        <w:rPr>
          <w:shadow/>
        </w:rPr>
        <w:t>the application</w:t>
      </w:r>
      <w:r>
        <w:rPr>
          <w:shadow/>
        </w:rPr>
        <w:t xml:space="preserve"> form, EXIM</w:t>
      </w:r>
      <w:r w:rsidRPr="007D5384">
        <w:rPr>
          <w:shadow/>
        </w:rPr>
        <w:t xml:space="preserve"> </w:t>
      </w:r>
      <w:r>
        <w:rPr>
          <w:shadow/>
        </w:rPr>
        <w:t>is requesting the collection of information to include additional classification questions due to the added Section 403 of the EXIM Charter.</w:t>
      </w:r>
    </w:p>
    <w:p w:rsidR="005535CE" w:rsidP="005535CE" w:rsidRDefault="005535CE" w14:paraId="417EB1F8" w14:textId="77777777">
      <w:pPr>
        <w:rPr>
          <w:shadow/>
        </w:rPr>
      </w:pPr>
    </w:p>
    <w:p w:rsidR="00354FDE" w:rsidP="005535CE" w:rsidRDefault="00BC02CD" w14:paraId="67409D8F" w14:textId="7A7208A0">
      <w:pPr>
        <w:pStyle w:val="Level1"/>
        <w:numPr>
          <w:ilvl w:val="0"/>
          <w:numId w:val="5"/>
        </w:numPr>
        <w:tabs>
          <w:tab w:val="clear" w:pos="720"/>
          <w:tab w:val="left" w:pos="-1440"/>
          <w:tab w:val="num" w:pos="360"/>
        </w:tabs>
        <w:ind w:left="360"/>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354FDE">
        <w:br/>
      </w:r>
      <w:r w:rsidR="00880977">
        <w:t>No publication or tabulation of collected information is intended.  No complex analytical techniques will be applied.</w:t>
      </w:r>
      <w:r w:rsidR="00354FDE">
        <w:br/>
      </w:r>
    </w:p>
    <w:p w:rsidR="00354FDE" w:rsidP="00A21F42" w:rsidRDefault="00BC02CD" w14:paraId="34E96E29" w14:textId="77777777">
      <w:pPr>
        <w:pStyle w:val="Level1"/>
        <w:numPr>
          <w:ilvl w:val="0"/>
          <w:numId w:val="5"/>
        </w:numPr>
        <w:tabs>
          <w:tab w:val="clear" w:pos="720"/>
          <w:tab w:val="left" w:pos="-1440"/>
          <w:tab w:val="num" w:pos="360"/>
        </w:tabs>
        <w:ind w:left="360"/>
      </w:pPr>
      <w:r>
        <w:t>If seeking approval to not display the expiration date for OMB approval of the information collection, explain the reasons that display would be inappropriate.</w:t>
      </w:r>
      <w:r w:rsidR="00354FDE">
        <w:br/>
      </w:r>
      <w:r w:rsidR="00354FDE">
        <w:br/>
      </w:r>
      <w:r w:rsidR="00880977">
        <w:t>EXIM is not seeking approval to not display the expiration date.</w:t>
      </w:r>
      <w:r w:rsidR="00354FDE">
        <w:br/>
      </w:r>
    </w:p>
    <w:p w:rsidR="00BC02CD" w:rsidP="00A21F42" w:rsidRDefault="00500644" w14:paraId="7A33F45B" w14:textId="77777777">
      <w:pPr>
        <w:pStyle w:val="Level1"/>
        <w:numPr>
          <w:ilvl w:val="0"/>
          <w:numId w:val="5"/>
        </w:numPr>
        <w:tabs>
          <w:tab w:val="clear" w:pos="720"/>
          <w:tab w:val="left" w:pos="-1440"/>
          <w:tab w:val="num" w:pos="360"/>
        </w:tabs>
        <w:ind w:left="360"/>
      </w:pPr>
      <w:r>
        <w:t>Explain each exception to the certification statement identified in Item 19 “Certification for Paperwork Reduction Act Submissions,” of OMB Form 83-1.</w:t>
      </w:r>
      <w:r w:rsidR="00354FDE">
        <w:br/>
      </w:r>
      <w:r w:rsidR="00354FDE">
        <w:br/>
      </w:r>
      <w:r w:rsidR="00880977">
        <w:t xml:space="preserve">There are no </w:t>
      </w:r>
      <w:r w:rsidR="00354FDE">
        <w:t>exceptions</w:t>
      </w:r>
      <w:r w:rsidR="00880977">
        <w:t xml:space="preserve"> to the certification statement.</w:t>
      </w:r>
      <w:r w:rsidR="00BC02CD">
        <w:br/>
      </w:r>
    </w:p>
    <w:p w:rsidRPr="00880977" w:rsidR="00BC02CD" w:rsidP="00880977" w:rsidRDefault="00880977" w14:paraId="3632429E" w14:textId="77777777">
      <w:pPr>
        <w:rPr>
          <w:b/>
        </w:rPr>
      </w:pPr>
      <w:r w:rsidRPr="00880977">
        <w:rPr>
          <w:b/>
        </w:rPr>
        <w:t xml:space="preserve">Part B. - </w:t>
      </w:r>
      <w:r w:rsidRPr="00880977" w:rsidR="00BC02CD">
        <w:rPr>
          <w:b/>
        </w:rPr>
        <w:t>Collection of Information Employing Statistical Methods</w:t>
      </w:r>
      <w:r w:rsidRPr="00880977" w:rsidR="00BC02CD">
        <w:rPr>
          <w:b/>
        </w:rPr>
        <w:br/>
      </w:r>
    </w:p>
    <w:p w:rsidR="00BC02CD" w:rsidP="00CC151C" w:rsidRDefault="00BC02CD" w14:paraId="41326F1B" w14:textId="77777777">
      <w:pPr>
        <w:tabs>
          <w:tab w:val="num" w:pos="360"/>
        </w:tabs>
        <w:ind w:left="360"/>
      </w:pPr>
      <w:r>
        <w:t xml:space="preserve">The agency should be prepared to justify its decision not to use statistical methods in any case where such methods might reduce burden or improve accuracy of results.  </w:t>
      </w:r>
      <w:r w:rsidR="00500644">
        <w:t>When Item 17 on OMB Form 83-1 is checked, “Yes” the following documentation should be included in the Supporting Statement to the exten</w:t>
      </w:r>
      <w:r w:rsidR="00BE24B3">
        <w:t>t</w:t>
      </w:r>
      <w:r w:rsidR="00500644">
        <w:t xml:space="preserve"> that it applies to the methods proposed:</w:t>
      </w:r>
    </w:p>
    <w:p w:rsidR="00500644" w:rsidP="00CC151C" w:rsidRDefault="00500644" w14:paraId="46DD3221" w14:textId="77777777">
      <w:pPr>
        <w:tabs>
          <w:tab w:val="num" w:pos="360"/>
        </w:tabs>
        <w:ind w:left="360"/>
      </w:pPr>
    </w:p>
    <w:p w:rsidR="00354FDE" w:rsidP="00CC151C" w:rsidRDefault="00354FDE" w14:paraId="2ED8F53B" w14:textId="77777777">
      <w:pPr>
        <w:tabs>
          <w:tab w:val="num" w:pos="360"/>
        </w:tabs>
        <w:ind w:left="360"/>
      </w:pPr>
      <w:r>
        <w:t>S</w:t>
      </w:r>
      <w:r w:rsidR="00880977">
        <w:t>tatistical methods are not used in the information collection.</w:t>
      </w:r>
    </w:p>
    <w:sectPr w:rsidR="00354FDE">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2305" w14:textId="77777777" w:rsidR="009F4272" w:rsidRDefault="009F4272" w:rsidP="002E42D2">
      <w:r>
        <w:separator/>
      </w:r>
    </w:p>
  </w:endnote>
  <w:endnote w:type="continuationSeparator" w:id="0">
    <w:p w14:paraId="2B211C28" w14:textId="77777777" w:rsidR="009F4272" w:rsidRDefault="009F4272" w:rsidP="002E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D257" w14:textId="77777777" w:rsidR="00747138" w:rsidRPr="00747138" w:rsidRDefault="00747138">
    <w:pPr>
      <w:pStyle w:val="Footer"/>
      <w:jc w:val="right"/>
    </w:pPr>
    <w:r w:rsidRPr="00747138">
      <w:t xml:space="preserve">Page </w:t>
    </w:r>
    <w:r w:rsidRPr="00747138">
      <w:rPr>
        <w:bCs/>
      </w:rPr>
      <w:fldChar w:fldCharType="begin"/>
    </w:r>
    <w:r w:rsidRPr="00747138">
      <w:rPr>
        <w:bCs/>
      </w:rPr>
      <w:instrText xml:space="preserve"> PAGE </w:instrText>
    </w:r>
    <w:r w:rsidRPr="00747138">
      <w:rPr>
        <w:bCs/>
      </w:rPr>
      <w:fldChar w:fldCharType="separate"/>
    </w:r>
    <w:r w:rsidR="00EF133D">
      <w:rPr>
        <w:bCs/>
        <w:noProof/>
      </w:rPr>
      <w:t>4</w:t>
    </w:r>
    <w:r w:rsidRPr="00747138">
      <w:rPr>
        <w:bCs/>
      </w:rPr>
      <w:fldChar w:fldCharType="end"/>
    </w:r>
    <w:r w:rsidRPr="00747138">
      <w:t xml:space="preserve"> of </w:t>
    </w:r>
    <w:r w:rsidRPr="00747138">
      <w:rPr>
        <w:bCs/>
      </w:rPr>
      <w:fldChar w:fldCharType="begin"/>
    </w:r>
    <w:r w:rsidRPr="00747138">
      <w:rPr>
        <w:bCs/>
      </w:rPr>
      <w:instrText xml:space="preserve"> NUMPAGES  </w:instrText>
    </w:r>
    <w:r w:rsidRPr="00747138">
      <w:rPr>
        <w:bCs/>
      </w:rPr>
      <w:fldChar w:fldCharType="separate"/>
    </w:r>
    <w:r w:rsidR="00EF133D">
      <w:rPr>
        <w:bCs/>
        <w:noProof/>
      </w:rPr>
      <w:t>5</w:t>
    </w:r>
    <w:r w:rsidRPr="00747138">
      <w:rPr>
        <w:bCs/>
      </w:rPr>
      <w:fldChar w:fldCharType="end"/>
    </w:r>
  </w:p>
  <w:p w14:paraId="17353876" w14:textId="77777777" w:rsidR="002E42D2" w:rsidRDefault="002E4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98B9" w14:textId="77777777" w:rsidR="009F4272" w:rsidRDefault="009F4272" w:rsidP="002E42D2">
      <w:r>
        <w:separator/>
      </w:r>
    </w:p>
  </w:footnote>
  <w:footnote w:type="continuationSeparator" w:id="0">
    <w:p w14:paraId="33D1271F" w14:textId="77777777" w:rsidR="009F4272" w:rsidRDefault="009F4272" w:rsidP="002E4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79CB" w14:textId="77777777" w:rsidR="002E42D2" w:rsidRDefault="002E4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8F49EC"/>
    <w:multiLevelType w:val="hybridMultilevel"/>
    <w:tmpl w:val="6BF073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211E37"/>
    <w:multiLevelType w:val="hybridMultilevel"/>
    <w:tmpl w:val="B7F00E4E"/>
    <w:lvl w:ilvl="0" w:tplc="9B72FB6A">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34BFE"/>
    <w:rsid w:val="000722A9"/>
    <w:rsid w:val="000B0641"/>
    <w:rsid w:val="000B6B8E"/>
    <w:rsid w:val="000C051F"/>
    <w:rsid w:val="000D38DD"/>
    <w:rsid w:val="000E4823"/>
    <w:rsid w:val="00111C59"/>
    <w:rsid w:val="00112D23"/>
    <w:rsid w:val="001B3BDA"/>
    <w:rsid w:val="001D7303"/>
    <w:rsid w:val="002211B5"/>
    <w:rsid w:val="00241303"/>
    <w:rsid w:val="00266702"/>
    <w:rsid w:val="00285940"/>
    <w:rsid w:val="00293E0B"/>
    <w:rsid w:val="002E2F27"/>
    <w:rsid w:val="002E42D2"/>
    <w:rsid w:val="002F553C"/>
    <w:rsid w:val="00326CAA"/>
    <w:rsid w:val="00353169"/>
    <w:rsid w:val="00354FDE"/>
    <w:rsid w:val="003C40DC"/>
    <w:rsid w:val="003C5BCA"/>
    <w:rsid w:val="003D18E0"/>
    <w:rsid w:val="003D50F6"/>
    <w:rsid w:val="003E3F21"/>
    <w:rsid w:val="003F2EC7"/>
    <w:rsid w:val="003F6699"/>
    <w:rsid w:val="00442816"/>
    <w:rsid w:val="00470F12"/>
    <w:rsid w:val="00477326"/>
    <w:rsid w:val="004B6823"/>
    <w:rsid w:val="004B766C"/>
    <w:rsid w:val="004C627E"/>
    <w:rsid w:val="004E4D31"/>
    <w:rsid w:val="00500644"/>
    <w:rsid w:val="005517C5"/>
    <w:rsid w:val="005535CE"/>
    <w:rsid w:val="00554790"/>
    <w:rsid w:val="00584B4F"/>
    <w:rsid w:val="005A3972"/>
    <w:rsid w:val="005A3A50"/>
    <w:rsid w:val="005A4348"/>
    <w:rsid w:val="005C3083"/>
    <w:rsid w:val="005D7553"/>
    <w:rsid w:val="00624B93"/>
    <w:rsid w:val="00633291"/>
    <w:rsid w:val="00647828"/>
    <w:rsid w:val="006862AF"/>
    <w:rsid w:val="00694AF5"/>
    <w:rsid w:val="006C284C"/>
    <w:rsid w:val="006D680A"/>
    <w:rsid w:val="006E264F"/>
    <w:rsid w:val="00701F42"/>
    <w:rsid w:val="007037C6"/>
    <w:rsid w:val="0072296E"/>
    <w:rsid w:val="00746BDF"/>
    <w:rsid w:val="00747138"/>
    <w:rsid w:val="0075736F"/>
    <w:rsid w:val="0077781F"/>
    <w:rsid w:val="007A61E8"/>
    <w:rsid w:val="00851583"/>
    <w:rsid w:val="00862888"/>
    <w:rsid w:val="00880977"/>
    <w:rsid w:val="0088156A"/>
    <w:rsid w:val="00884711"/>
    <w:rsid w:val="0089644E"/>
    <w:rsid w:val="008A7B2A"/>
    <w:rsid w:val="008C5ACF"/>
    <w:rsid w:val="008F1E86"/>
    <w:rsid w:val="009050E6"/>
    <w:rsid w:val="00923FD2"/>
    <w:rsid w:val="00925F03"/>
    <w:rsid w:val="009331D0"/>
    <w:rsid w:val="009610E9"/>
    <w:rsid w:val="00961306"/>
    <w:rsid w:val="009A2B6D"/>
    <w:rsid w:val="009B0425"/>
    <w:rsid w:val="009B7792"/>
    <w:rsid w:val="009E2922"/>
    <w:rsid w:val="009F3CFD"/>
    <w:rsid w:val="009F4272"/>
    <w:rsid w:val="00A07EEF"/>
    <w:rsid w:val="00A170B7"/>
    <w:rsid w:val="00A21F42"/>
    <w:rsid w:val="00A25A8D"/>
    <w:rsid w:val="00A27C1C"/>
    <w:rsid w:val="00A41B82"/>
    <w:rsid w:val="00A916EF"/>
    <w:rsid w:val="00AA2FEB"/>
    <w:rsid w:val="00AA7AB4"/>
    <w:rsid w:val="00AB52ED"/>
    <w:rsid w:val="00AB5807"/>
    <w:rsid w:val="00AC4E68"/>
    <w:rsid w:val="00AD26C3"/>
    <w:rsid w:val="00AD7D64"/>
    <w:rsid w:val="00B01095"/>
    <w:rsid w:val="00B15D91"/>
    <w:rsid w:val="00B22890"/>
    <w:rsid w:val="00B35A5E"/>
    <w:rsid w:val="00BC02CD"/>
    <w:rsid w:val="00BE24B3"/>
    <w:rsid w:val="00C02935"/>
    <w:rsid w:val="00C05D37"/>
    <w:rsid w:val="00C41D98"/>
    <w:rsid w:val="00CC151C"/>
    <w:rsid w:val="00CE08CD"/>
    <w:rsid w:val="00D3582C"/>
    <w:rsid w:val="00D469CE"/>
    <w:rsid w:val="00D63E92"/>
    <w:rsid w:val="00D731CD"/>
    <w:rsid w:val="00DA3D07"/>
    <w:rsid w:val="00DC1A6C"/>
    <w:rsid w:val="00DC1FA8"/>
    <w:rsid w:val="00E00FDA"/>
    <w:rsid w:val="00E22D31"/>
    <w:rsid w:val="00E24F51"/>
    <w:rsid w:val="00E30757"/>
    <w:rsid w:val="00E52ABC"/>
    <w:rsid w:val="00E60398"/>
    <w:rsid w:val="00E65B78"/>
    <w:rsid w:val="00EB1951"/>
    <w:rsid w:val="00EF133D"/>
    <w:rsid w:val="00F2259B"/>
    <w:rsid w:val="00F3571A"/>
    <w:rsid w:val="00F479C2"/>
    <w:rsid w:val="00F83DD3"/>
    <w:rsid w:val="00FA02DF"/>
    <w:rsid w:val="00FB2478"/>
    <w:rsid w:val="00FE14E8"/>
    <w:rsid w:val="00FF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DA2F202"/>
  <w15:chartTrackingRefBased/>
  <w15:docId w15:val="{D7248406-53E8-4281-B63D-C796F84A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9050E6"/>
    <w:pPr>
      <w:widowControl w:val="0"/>
      <w:numPr>
        <w:numId w:val="4"/>
      </w:numPr>
      <w:autoSpaceDE w:val="0"/>
      <w:autoSpaceDN w:val="0"/>
      <w:adjustRightInd w:val="0"/>
      <w:outlineLvl w:val="0"/>
    </w:pPr>
  </w:style>
  <w:style w:type="paragraph" w:styleId="ListParagraph">
    <w:name w:val="List Paragraph"/>
    <w:basedOn w:val="Normal"/>
    <w:uiPriority w:val="34"/>
    <w:qFormat/>
    <w:rsid w:val="009050E6"/>
    <w:pPr>
      <w:ind w:left="720"/>
    </w:pPr>
  </w:style>
  <w:style w:type="paragraph" w:styleId="Header">
    <w:name w:val="header"/>
    <w:basedOn w:val="Normal"/>
    <w:link w:val="HeaderChar"/>
    <w:rsid w:val="00A21F42"/>
    <w:pPr>
      <w:tabs>
        <w:tab w:val="center" w:pos="4680"/>
        <w:tab w:val="right" w:pos="9360"/>
      </w:tabs>
    </w:pPr>
  </w:style>
  <w:style w:type="character" w:customStyle="1" w:styleId="HeaderChar">
    <w:name w:val="Header Char"/>
    <w:link w:val="Header"/>
    <w:rsid w:val="00A21F42"/>
    <w:rPr>
      <w:sz w:val="24"/>
      <w:szCs w:val="24"/>
    </w:rPr>
  </w:style>
  <w:style w:type="paragraph" w:styleId="Footer">
    <w:name w:val="footer"/>
    <w:basedOn w:val="Normal"/>
    <w:link w:val="FooterChar"/>
    <w:uiPriority w:val="99"/>
    <w:rsid w:val="002E42D2"/>
    <w:pPr>
      <w:tabs>
        <w:tab w:val="center" w:pos="4680"/>
        <w:tab w:val="right" w:pos="9360"/>
      </w:tabs>
    </w:pPr>
  </w:style>
  <w:style w:type="character" w:customStyle="1" w:styleId="FooterChar">
    <w:name w:val="Footer Char"/>
    <w:link w:val="Footer"/>
    <w:uiPriority w:val="99"/>
    <w:rsid w:val="002E42D2"/>
    <w:rPr>
      <w:sz w:val="24"/>
      <w:szCs w:val="24"/>
    </w:rPr>
  </w:style>
  <w:style w:type="paragraph" w:styleId="BalloonText">
    <w:name w:val="Balloon Text"/>
    <w:basedOn w:val="Normal"/>
    <w:link w:val="BalloonTextChar"/>
    <w:rsid w:val="00B22890"/>
    <w:rPr>
      <w:rFonts w:ascii="Segoe UI" w:hAnsi="Segoe UI" w:cs="Segoe UI"/>
      <w:sz w:val="18"/>
      <w:szCs w:val="18"/>
    </w:rPr>
  </w:style>
  <w:style w:type="character" w:customStyle="1" w:styleId="BalloonTextChar">
    <w:name w:val="Balloon Text Char"/>
    <w:link w:val="BalloonText"/>
    <w:rsid w:val="00B228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6250">
      <w:bodyDiv w:val="1"/>
      <w:marLeft w:val="0"/>
      <w:marRight w:val="0"/>
      <w:marTop w:val="0"/>
      <w:marBottom w:val="0"/>
      <w:divBdr>
        <w:top w:val="none" w:sz="0" w:space="0" w:color="auto"/>
        <w:left w:val="none" w:sz="0" w:space="0" w:color="auto"/>
        <w:bottom w:val="none" w:sz="0" w:space="0" w:color="auto"/>
        <w:right w:val="none" w:sz="0" w:space="0" w:color="auto"/>
      </w:divBdr>
    </w:div>
    <w:div w:id="636489957">
      <w:bodyDiv w:val="1"/>
      <w:marLeft w:val="0"/>
      <w:marRight w:val="0"/>
      <w:marTop w:val="0"/>
      <w:marBottom w:val="0"/>
      <w:divBdr>
        <w:top w:val="none" w:sz="0" w:space="0" w:color="auto"/>
        <w:left w:val="none" w:sz="0" w:space="0" w:color="auto"/>
        <w:bottom w:val="none" w:sz="0" w:space="0" w:color="auto"/>
        <w:right w:val="none" w:sz="0" w:space="0" w:color="auto"/>
      </w:divBdr>
    </w:div>
    <w:div w:id="117167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Alla Lake (CTR)</cp:lastModifiedBy>
  <cp:revision>2</cp:revision>
  <cp:lastPrinted>2019-05-13T19:08:00Z</cp:lastPrinted>
  <dcterms:created xsi:type="dcterms:W3CDTF">2022-08-08T18:18:00Z</dcterms:created>
  <dcterms:modified xsi:type="dcterms:W3CDTF">2022-08-08T18:18:00Z</dcterms:modified>
</cp:coreProperties>
</file>