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636E" w:rsidR="007F636E" w:rsidP="007F636E" w:rsidRDefault="007F636E" w14:paraId="334ED3EB" w14:textId="58697F25">
      <w:pPr>
        <w:pStyle w:val="ListParagraph"/>
        <w:ind w:left="446" w:hanging="360"/>
        <w:jc w:val="center"/>
        <w:rPr>
          <w:bCs/>
        </w:rPr>
      </w:pPr>
      <w:r w:rsidRPr="007F636E">
        <w:rPr>
          <w:bCs/>
        </w:rPr>
        <w:t>National Credit Union Administration</w:t>
      </w:r>
    </w:p>
    <w:p w:rsidR="007F636E" w:rsidP="007F636E" w:rsidRDefault="003A0D60" w14:paraId="6411246C" w14:textId="766F0F99">
      <w:pPr>
        <w:pStyle w:val="ListParagraph"/>
        <w:ind w:left="446" w:hanging="360"/>
        <w:jc w:val="center"/>
        <w:rPr>
          <w:b/>
          <w:bCs/>
        </w:rPr>
      </w:pPr>
      <w:r w:rsidRPr="007F636E">
        <w:rPr>
          <w:b/>
          <w:bCs/>
        </w:rPr>
        <w:t>SUPPORTING STATEMENT</w:t>
      </w:r>
    </w:p>
    <w:p w:rsidR="007F636E" w:rsidP="007F636E" w:rsidRDefault="007F636E" w14:paraId="1DB64AE8" w14:textId="77777777">
      <w:pPr>
        <w:pStyle w:val="ListParagraph"/>
        <w:ind w:left="446" w:hanging="360"/>
        <w:jc w:val="center"/>
        <w:rPr>
          <w:b/>
          <w:bCs/>
        </w:rPr>
      </w:pPr>
    </w:p>
    <w:p w:rsidRPr="007F636E" w:rsidR="003A0D60" w:rsidP="007F636E" w:rsidRDefault="009D3CAE" w14:paraId="074A0193" w14:textId="364F790D">
      <w:pPr>
        <w:pStyle w:val="ListParagraph"/>
        <w:ind w:left="446" w:hanging="360"/>
        <w:jc w:val="center"/>
        <w:rPr>
          <w:b/>
          <w:bCs/>
        </w:rPr>
      </w:pPr>
      <w:r w:rsidRPr="007F636E">
        <w:rPr>
          <w:b/>
          <w:bCs/>
        </w:rPr>
        <w:t>Appraisals, 12 CFR 722</w:t>
      </w:r>
    </w:p>
    <w:p w:rsidRPr="007F636E" w:rsidR="003A0D60" w:rsidP="007F636E" w:rsidRDefault="007F636E" w14:paraId="2B458EFB" w14:textId="0E2E509C">
      <w:pPr>
        <w:pStyle w:val="ListParagraph"/>
        <w:ind w:left="0"/>
        <w:jc w:val="center"/>
      </w:pPr>
      <w:r w:rsidRPr="007F636E">
        <w:rPr>
          <w:bCs/>
        </w:rPr>
        <w:t xml:space="preserve">OMB No. </w:t>
      </w:r>
      <w:r w:rsidRPr="007F636E" w:rsidR="003D164D">
        <w:rPr>
          <w:bCs/>
        </w:rPr>
        <w:t>3133-0125</w:t>
      </w:r>
    </w:p>
    <w:p w:rsidRPr="007F636E" w:rsidR="003A0D60" w:rsidP="007F636E" w:rsidRDefault="003A0D60" w14:paraId="268AFAF7" w14:textId="063055F7">
      <w:pPr>
        <w:pStyle w:val="ListParagraph"/>
        <w:tabs>
          <w:tab w:val="left" w:pos="720"/>
        </w:tabs>
        <w:ind w:hanging="720"/>
      </w:pPr>
    </w:p>
    <w:p w:rsidR="009A3D17" w:rsidP="009954BB" w:rsidRDefault="009A3D17" w14:paraId="7B702C5E" w14:textId="77777777">
      <w:pPr>
        <w:pStyle w:val="Default"/>
        <w:rPr>
          <w:rFonts w:eastAsia="Calibri"/>
          <w:color w:val="000000" w:themeColor="text1"/>
        </w:rPr>
      </w:pPr>
    </w:p>
    <w:p w:rsidRPr="007F636E" w:rsidR="003A0D60" w:rsidP="007F636E" w:rsidRDefault="003A0D60" w14:paraId="3CCAB005" w14:textId="77777777">
      <w:pPr>
        <w:pStyle w:val="ListParagraph"/>
        <w:numPr>
          <w:ilvl w:val="0"/>
          <w:numId w:val="2"/>
        </w:numPr>
        <w:tabs>
          <w:tab w:val="left" w:pos="720"/>
        </w:tabs>
        <w:ind w:left="720" w:hanging="720"/>
        <w:rPr>
          <w:b/>
        </w:rPr>
      </w:pPr>
      <w:r w:rsidRPr="007F636E">
        <w:rPr>
          <w:b/>
        </w:rPr>
        <w:t>JUSTIFICATION</w:t>
      </w:r>
    </w:p>
    <w:p w:rsidRPr="007F636E" w:rsidR="003A0D60" w:rsidP="007F636E" w:rsidRDefault="003A0D60" w14:paraId="46CF84EF" w14:textId="77777777">
      <w:pPr>
        <w:pStyle w:val="ListParagraph"/>
        <w:tabs>
          <w:tab w:val="left" w:pos="720"/>
        </w:tabs>
        <w:ind w:hanging="720"/>
        <w:rPr>
          <w:b/>
        </w:rPr>
      </w:pPr>
    </w:p>
    <w:p w:rsidR="003A0D60" w:rsidP="007F636E" w:rsidRDefault="00027724" w14:paraId="222BABDA" w14:textId="1F1B3579">
      <w:pPr>
        <w:pStyle w:val="ListParagraph"/>
        <w:numPr>
          <w:ilvl w:val="0"/>
          <w:numId w:val="3"/>
        </w:numPr>
        <w:tabs>
          <w:tab w:val="left" w:pos="720"/>
        </w:tabs>
        <w:ind w:left="720" w:hanging="720"/>
        <w:rPr>
          <w:b/>
        </w:rPr>
      </w:pPr>
      <w:r w:rsidRPr="00625090">
        <w:rPr>
          <w:b/>
        </w:rPr>
        <w:t>Circumstances that make the collection of information necessary</w:t>
      </w:r>
      <w:r>
        <w:rPr>
          <w:b/>
        </w:rPr>
        <w:t>.</w:t>
      </w:r>
    </w:p>
    <w:p w:rsidRPr="007F636E" w:rsidR="007F636E" w:rsidP="007F636E" w:rsidRDefault="007F636E" w14:paraId="476FCDCE" w14:textId="77777777">
      <w:pPr>
        <w:pStyle w:val="ListParagraph"/>
        <w:tabs>
          <w:tab w:val="left" w:pos="720"/>
        </w:tabs>
        <w:rPr>
          <w:b/>
        </w:rPr>
      </w:pPr>
    </w:p>
    <w:p w:rsidRPr="007F636E" w:rsidR="009559E9" w:rsidP="007F636E" w:rsidRDefault="007F636E" w14:paraId="22343470" w14:textId="14CC1565">
      <w:pPr>
        <w:pStyle w:val="ListParagraph"/>
        <w:tabs>
          <w:tab w:val="left" w:pos="720"/>
        </w:tabs>
        <w:ind w:hanging="720"/>
      </w:pPr>
      <w:r>
        <w:tab/>
      </w:r>
      <w:r w:rsidRPr="007F636E" w:rsidR="009559E9">
        <w:t xml:space="preserve">Title XI of the Financial Institutions, Reform, Recovery and Enforcement Act of 1989 (FIRREA) was enacted to protect federal financial and public policy interests in real estate related transactions.  To achieve this purpose, the statute directed the National Credit Union Administration (NCUA), as one of the federal financial </w:t>
      </w:r>
      <w:proofErr w:type="gramStart"/>
      <w:r w:rsidRPr="007F636E" w:rsidR="009559E9">
        <w:t>institutions</w:t>
      </w:r>
      <w:proofErr w:type="gramEnd"/>
      <w:r w:rsidRPr="007F636E" w:rsidR="009559E9">
        <w:t xml:space="preserve"> regulatory agencies, to adopt standards for the performance of real estate appraisals in connection with federally related transactions.  FIRREA requires that appraisals be maintained in writing and meet certain minimum standards.  NCUA’s regulation Part 722 carries out the statutory requirements.  The information collection activity requires a credit union to obtain a written appraisal on federally related transactions</w:t>
      </w:r>
      <w:r w:rsidRPr="007F636E" w:rsidR="00F0429F">
        <w:t xml:space="preserve"> or maintain written support of the estimated market value for </w:t>
      </w:r>
      <w:r w:rsidR="00DC3A60">
        <w:t xml:space="preserve">certain </w:t>
      </w:r>
      <w:r w:rsidR="008D745F">
        <w:t xml:space="preserve">other </w:t>
      </w:r>
      <w:r w:rsidRPr="007F636E" w:rsidR="00F0429F">
        <w:t>transactions not required to have an appraisal.</w:t>
      </w:r>
      <w:r w:rsidRPr="007F636E" w:rsidR="009559E9">
        <w:t xml:space="preserve">  These information collections are attributable to the regulation</w:t>
      </w:r>
      <w:r w:rsidRPr="007F636E" w:rsidR="004270E6">
        <w:t xml:space="preserve"> and</w:t>
      </w:r>
      <w:r w:rsidRPr="007F636E" w:rsidR="009559E9">
        <w:t xml:space="preserve"> are a direct consequence of the legislative intent and statutory requirements.</w:t>
      </w:r>
    </w:p>
    <w:p w:rsidRPr="007F636E" w:rsidR="003A0D60" w:rsidP="007F636E" w:rsidRDefault="003A0D60" w14:paraId="006C9AAC" w14:textId="31756DB0">
      <w:pPr>
        <w:pStyle w:val="ListParagraph"/>
        <w:tabs>
          <w:tab w:val="left" w:pos="720"/>
        </w:tabs>
        <w:suppressAutoHyphens/>
        <w:ind w:hanging="720"/>
      </w:pPr>
    </w:p>
    <w:p w:rsidRPr="007F636E" w:rsidR="003A0D60" w:rsidP="007F636E" w:rsidRDefault="00027724" w14:paraId="1791489C" w14:textId="2E33433E">
      <w:pPr>
        <w:pStyle w:val="ListParagraph"/>
        <w:numPr>
          <w:ilvl w:val="0"/>
          <w:numId w:val="3"/>
        </w:numPr>
        <w:tabs>
          <w:tab w:val="left" w:pos="720"/>
        </w:tabs>
        <w:ind w:left="720" w:hanging="720"/>
        <w:rPr>
          <w:b/>
        </w:rPr>
      </w:pPr>
      <w:r>
        <w:rPr>
          <w:b/>
        </w:rPr>
        <w:t>Purpose and use of the information c</w:t>
      </w:r>
      <w:r w:rsidRPr="007F636E" w:rsidR="003A0D60">
        <w:rPr>
          <w:b/>
        </w:rPr>
        <w:t>ollection</w:t>
      </w:r>
      <w:r>
        <w:rPr>
          <w:b/>
        </w:rPr>
        <w:t>.</w:t>
      </w:r>
    </w:p>
    <w:p w:rsidR="007F636E" w:rsidP="007F636E" w:rsidRDefault="007F636E" w14:paraId="09DE7E04" w14:textId="77777777">
      <w:pPr>
        <w:tabs>
          <w:tab w:val="left" w:pos="720"/>
        </w:tabs>
        <w:ind w:left="720" w:hanging="720"/>
      </w:pPr>
    </w:p>
    <w:p w:rsidR="00DF173E" w:rsidP="007F636E" w:rsidRDefault="007F636E" w14:paraId="1EDCEE84" w14:textId="1A948F93">
      <w:pPr>
        <w:tabs>
          <w:tab w:val="left" w:pos="720"/>
        </w:tabs>
        <w:ind w:left="720" w:hanging="720"/>
      </w:pPr>
      <w:r>
        <w:tab/>
      </w:r>
      <w:r w:rsidRPr="007F636E" w:rsidR="00DF173E">
        <w:t>F</w:t>
      </w:r>
      <w:r w:rsidRPr="007F636E" w:rsidR="009F30AE">
        <w:t xml:space="preserve">ederally </w:t>
      </w:r>
      <w:r w:rsidRPr="007F636E" w:rsidR="00DF173E">
        <w:t xml:space="preserve">insured credit unions </w:t>
      </w:r>
      <w:r w:rsidR="008D745F">
        <w:t xml:space="preserve">(FICU) </w:t>
      </w:r>
      <w:r w:rsidRPr="007F636E" w:rsidR="00DF173E">
        <w:t xml:space="preserve">use the information in determining whether and upon what terms to </w:t>
      </w:r>
      <w:proofErr w:type="gramStart"/>
      <w:r w:rsidRPr="007F636E" w:rsidR="00DF173E">
        <w:t>enter into</w:t>
      </w:r>
      <w:proofErr w:type="gramEnd"/>
      <w:r w:rsidRPr="007F636E" w:rsidR="00DF173E">
        <w:t xml:space="preserve"> a federally related transaction, such as making a loan secured by real estate.  In addition, NCUA uses this information i</w:t>
      </w:r>
      <w:r w:rsidRPr="007F636E" w:rsidR="009F30AE">
        <w:t xml:space="preserve">n its examinations of </w:t>
      </w:r>
      <w:r w:rsidR="008D745F">
        <w:t>FICUs</w:t>
      </w:r>
      <w:r w:rsidRPr="007F636E" w:rsidR="00DF173E">
        <w:t xml:space="preserve"> to ensure that extensions of credit by the </w:t>
      </w:r>
      <w:r w:rsidR="008D745F">
        <w:t>FICU</w:t>
      </w:r>
      <w:r w:rsidRPr="007F636E" w:rsidR="00DF173E">
        <w:t xml:space="preserve"> that are collateralized by real estate are undertaken in accordance with appropriate safety and soundness principles.  The use of their information by credit unions and N</w:t>
      </w:r>
      <w:r w:rsidRPr="007F636E" w:rsidR="009F30AE">
        <w:t xml:space="preserve">CUA helps ensure that </w:t>
      </w:r>
      <w:r w:rsidR="008D745F">
        <w:t>FICUs</w:t>
      </w:r>
      <w:r w:rsidRPr="007F636E" w:rsidR="00DF173E">
        <w:t xml:space="preserve"> </w:t>
      </w:r>
      <w:proofErr w:type="gramStart"/>
      <w:r w:rsidRPr="007F636E" w:rsidR="00DF173E">
        <w:t>are</w:t>
      </w:r>
      <w:proofErr w:type="gramEnd"/>
      <w:r w:rsidRPr="007F636E" w:rsidR="00DF173E">
        <w:t xml:space="preserve"> not exposed to risk of loss from inad</w:t>
      </w:r>
      <w:r w:rsidRPr="007F636E" w:rsidR="009F30AE">
        <w:t>equate appraisals</w:t>
      </w:r>
      <w:r w:rsidR="00C22239">
        <w:t xml:space="preserve"> </w:t>
      </w:r>
      <w:r w:rsidR="00A11B36">
        <w:t xml:space="preserve">or written estimates of market </w:t>
      </w:r>
      <w:r w:rsidR="002906FF">
        <w:t>value</w:t>
      </w:r>
      <w:r w:rsidRPr="007F636E" w:rsidR="009F30AE">
        <w:t xml:space="preserve">.  A </w:t>
      </w:r>
      <w:r w:rsidR="008D745F">
        <w:t>FICU</w:t>
      </w:r>
      <w:r w:rsidRPr="007F636E" w:rsidR="00DF173E">
        <w:t xml:space="preserve"> must obtain a</w:t>
      </w:r>
      <w:r w:rsidR="00A11B36">
        <w:t xml:space="preserve">n </w:t>
      </w:r>
      <w:r w:rsidRPr="007F636E" w:rsidR="00DF173E">
        <w:t xml:space="preserve">appraisal </w:t>
      </w:r>
      <w:r w:rsidR="00A11B36">
        <w:t>prepared by a state-</w:t>
      </w:r>
      <w:r w:rsidR="002906FF">
        <w:t>certified</w:t>
      </w:r>
      <w:r w:rsidR="00A11B36">
        <w:t xml:space="preserve"> </w:t>
      </w:r>
      <w:r w:rsidR="002906FF">
        <w:t>appraiser</w:t>
      </w:r>
      <w:r w:rsidR="00A11B36">
        <w:t xml:space="preserve"> </w:t>
      </w:r>
      <w:r w:rsidRPr="007F636E" w:rsidR="00DF173E">
        <w:t xml:space="preserve">if the </w:t>
      </w:r>
      <w:r w:rsidR="008D745F">
        <w:t xml:space="preserve">federally related </w:t>
      </w:r>
      <w:r w:rsidRPr="007F636E" w:rsidR="00DF173E">
        <w:t>transaction is $</w:t>
      </w:r>
      <w:r w:rsidR="00491051">
        <w:t>1</w:t>
      </w:r>
      <w:r w:rsidR="008D745F">
        <w:t xml:space="preserve"> </w:t>
      </w:r>
      <w:r w:rsidR="00491051">
        <w:t>million</w:t>
      </w:r>
      <w:r w:rsidR="00A11B36">
        <w:t xml:space="preserve"> or more</w:t>
      </w:r>
      <w:r w:rsidR="00274108">
        <w:t>; is complex</w:t>
      </w:r>
      <w:r w:rsidR="00444CDB">
        <w:t>,</w:t>
      </w:r>
      <w:r w:rsidR="00274108">
        <w:t xml:space="preserve"> </w:t>
      </w:r>
      <w:r w:rsidR="00444CDB">
        <w:t xml:space="preserve">involves a residential real estate transaction, and $400,000 or more of the transaction value is not insured or guaranteed by a United States government agency or United States government sponsored agency, </w:t>
      </w:r>
      <w:r w:rsidR="00274108">
        <w:t xml:space="preserve">as prescribed by §722.3(b)(2), or </w:t>
      </w:r>
      <w:r w:rsidRPr="007F636E" w:rsidR="00DF173E">
        <w:t xml:space="preserve">unless otherwise exempt.  </w:t>
      </w:r>
      <w:r w:rsidR="00A11B36">
        <w:t xml:space="preserve">A FICU must obtain an appraisal by a state-certified or state-licensed appraiser if the federally related transaction </w:t>
      </w:r>
      <w:r w:rsidR="002C7BA0">
        <w:t>is non-complex</w:t>
      </w:r>
      <w:r w:rsidR="00444CDB">
        <w:t>, involves a residential real estate transaction, and $400,000 or more of the transaction value is not insured or guaranteed by a United States government agency or United States government sponsored agency.</w:t>
      </w:r>
      <w:r w:rsidR="00A11B36">
        <w:t xml:space="preserve"> </w:t>
      </w:r>
      <w:r w:rsidR="009B270E">
        <w:t xml:space="preserve">A FICU must obtain a written estimate of market value </w:t>
      </w:r>
      <w:r w:rsidR="002906FF">
        <w:t xml:space="preserve">for federally related transactions unless; an appraisal performed by a state-certified or state-licensed appraiser was obtained; an appraisal is not required as prescribed by §722.3(a)(2) through (6); the transaction is fully insured or guaranteed by a United States government agency or United States government-sponsored agency. </w:t>
      </w:r>
    </w:p>
    <w:p w:rsidR="00491051" w:rsidP="007F636E" w:rsidRDefault="00491051" w14:paraId="4E0C7C91" w14:textId="0E3AD594">
      <w:pPr>
        <w:tabs>
          <w:tab w:val="left" w:pos="720"/>
        </w:tabs>
        <w:ind w:left="720" w:hanging="720"/>
      </w:pPr>
    </w:p>
    <w:p w:rsidRPr="00725F92" w:rsidR="00C0487A" w:rsidP="00C0487A" w:rsidRDefault="00C0487A" w14:paraId="09F5B531" w14:textId="27E2A604">
      <w:pPr>
        <w:ind w:left="720"/>
      </w:pPr>
      <w:r w:rsidRPr="00725F92">
        <w:t xml:space="preserve">The use of this information will help ensure that </w:t>
      </w:r>
      <w:r>
        <w:t>FICU</w:t>
      </w:r>
      <w:r w:rsidR="008D745F">
        <w:t>s</w:t>
      </w:r>
      <w:r>
        <w:t xml:space="preserve"> </w:t>
      </w:r>
      <w:proofErr w:type="gramStart"/>
      <w:r>
        <w:t>are</w:t>
      </w:r>
      <w:proofErr w:type="gramEnd"/>
      <w:r>
        <w:t xml:space="preserve"> </w:t>
      </w:r>
      <w:r w:rsidRPr="00725F92">
        <w:t>not exposed to risk of loss from inadequate appraisals</w:t>
      </w:r>
      <w:r w:rsidR="002906FF">
        <w:t xml:space="preserve"> or written estimates of market value</w:t>
      </w:r>
      <w:r w:rsidRPr="00725F92">
        <w:t xml:space="preserve">.  </w:t>
      </w:r>
      <w:r>
        <w:t>A FICU’s</w:t>
      </w:r>
      <w:r w:rsidRPr="00725F92">
        <w:t xml:space="preserve"> failure to engage in the information collection activities included in the regulation will, in some cases, (1) result in a violation of the provisions of Title XI, (2) impede the </w:t>
      </w:r>
      <w:r>
        <w:t>NCUA</w:t>
      </w:r>
      <w:r w:rsidRPr="00725F92">
        <w:t xml:space="preserve"> in carrying out its statutory obligation to ensure that its regulated institutions conduct their activities in accordance with safe and sound principles, and (3) increase the risk of loss to </w:t>
      </w:r>
      <w:r w:rsidRPr="00C0487A">
        <w:t>the National Credit Union Share Insurance Fund</w:t>
      </w:r>
      <w:r>
        <w:t xml:space="preserve"> (NCUSIF)</w:t>
      </w:r>
      <w:r w:rsidRPr="00C0487A">
        <w:t>.</w:t>
      </w:r>
    </w:p>
    <w:p w:rsidRPr="007F636E" w:rsidR="003A0D60" w:rsidP="00C0487A" w:rsidRDefault="003A0D60" w14:paraId="3B9B59E5" w14:textId="41AFA264">
      <w:pPr>
        <w:tabs>
          <w:tab w:val="left" w:pos="720"/>
        </w:tabs>
        <w:ind w:left="720" w:hanging="720"/>
        <w:rPr>
          <w:b/>
        </w:rPr>
      </w:pPr>
    </w:p>
    <w:p w:rsidRPr="007F636E" w:rsidR="003A0D60" w:rsidP="007F636E" w:rsidRDefault="00027724" w14:paraId="5FAB0B4D" w14:textId="36F40915">
      <w:pPr>
        <w:pStyle w:val="ListParagraph"/>
        <w:numPr>
          <w:ilvl w:val="0"/>
          <w:numId w:val="3"/>
        </w:numPr>
        <w:tabs>
          <w:tab w:val="left" w:pos="720"/>
        </w:tabs>
        <w:ind w:left="720" w:hanging="720"/>
        <w:rPr>
          <w:b/>
        </w:rPr>
      </w:pPr>
      <w:r>
        <w:rPr>
          <w:b/>
        </w:rPr>
        <w:t>Use of information technology.</w:t>
      </w:r>
    </w:p>
    <w:p w:rsidR="007F636E" w:rsidP="007F636E" w:rsidRDefault="007F636E" w14:paraId="69A82A2B" w14:textId="77777777">
      <w:pPr>
        <w:tabs>
          <w:tab w:val="left" w:pos="720"/>
        </w:tabs>
        <w:ind w:left="720" w:hanging="720"/>
      </w:pPr>
    </w:p>
    <w:p w:rsidRPr="007F636E" w:rsidR="00DF173E" w:rsidP="007F636E" w:rsidRDefault="007F636E" w14:paraId="702418C3" w14:textId="706564BF">
      <w:pPr>
        <w:tabs>
          <w:tab w:val="left" w:pos="720"/>
        </w:tabs>
        <w:ind w:left="720" w:hanging="720"/>
      </w:pPr>
      <w:r>
        <w:tab/>
      </w:r>
      <w:r w:rsidRPr="007F636E" w:rsidR="00DF173E">
        <w:t>Title XI of FIRREA requires real estate appraisals used in connection with federally related transactions to be performed in writing, in accordance with uniform standards, by competent appraisers.  This regulation does not require submission of appraisals</w:t>
      </w:r>
      <w:r w:rsidR="00A01CB9">
        <w:t xml:space="preserve"> or </w:t>
      </w:r>
      <w:r w:rsidR="002906FF">
        <w:t>written estimates of market value</w:t>
      </w:r>
      <w:r w:rsidRPr="007F636E" w:rsidR="00DF173E">
        <w:t xml:space="preserve">, but credit unions must </w:t>
      </w:r>
      <w:r w:rsidRPr="00725F92" w:rsidR="00A01CB9">
        <w:t xml:space="preserve">maintain </w:t>
      </w:r>
      <w:r w:rsidR="00A01CB9">
        <w:t xml:space="preserve">these </w:t>
      </w:r>
      <w:r w:rsidRPr="00725F92" w:rsidR="00A01CB9">
        <w:t>records</w:t>
      </w:r>
      <w:r w:rsidRPr="007F636E" w:rsidR="00DF173E">
        <w:t xml:space="preserve">.  Under NCUA regulation §749.5, credit unions may use any format, electronic or other, </w:t>
      </w:r>
      <w:proofErr w:type="gramStart"/>
      <w:r w:rsidRPr="007F636E" w:rsidR="00DF173E">
        <w:t>as long as</w:t>
      </w:r>
      <w:proofErr w:type="gramEnd"/>
      <w:r w:rsidRPr="007F636E" w:rsidR="00DF173E">
        <w:t xml:space="preserve"> records are accessible and accurately reflect the information in the record.  </w:t>
      </w:r>
    </w:p>
    <w:p w:rsidRPr="007F636E" w:rsidR="003A0D60" w:rsidP="007F636E" w:rsidRDefault="003A0D60" w14:paraId="2E71B137" w14:textId="58C3F1E7">
      <w:pPr>
        <w:pStyle w:val="ListParagraph"/>
        <w:tabs>
          <w:tab w:val="left" w:pos="720"/>
        </w:tabs>
        <w:suppressAutoHyphens/>
        <w:ind w:hanging="720"/>
      </w:pPr>
    </w:p>
    <w:p w:rsidRPr="007F636E" w:rsidR="003A0D60" w:rsidP="007F636E" w:rsidRDefault="00027724" w14:paraId="5AA84E0A" w14:textId="3BBF658D">
      <w:pPr>
        <w:pStyle w:val="ListParagraph"/>
        <w:numPr>
          <w:ilvl w:val="0"/>
          <w:numId w:val="3"/>
        </w:numPr>
        <w:tabs>
          <w:tab w:val="left" w:pos="720"/>
        </w:tabs>
        <w:ind w:left="720" w:hanging="720"/>
        <w:rPr>
          <w:b/>
        </w:rPr>
      </w:pPr>
      <w:r>
        <w:rPr>
          <w:b/>
        </w:rPr>
        <w:t>Duplication of information.</w:t>
      </w:r>
    </w:p>
    <w:p w:rsidR="007F636E" w:rsidP="007F636E" w:rsidRDefault="007F636E" w14:paraId="378A0BBF" w14:textId="77777777">
      <w:pPr>
        <w:pStyle w:val="ListParagraph"/>
        <w:tabs>
          <w:tab w:val="left" w:pos="720"/>
        </w:tabs>
        <w:suppressAutoHyphens/>
        <w:ind w:hanging="720"/>
      </w:pPr>
    </w:p>
    <w:p w:rsidRPr="00725F92" w:rsidR="00A01CB9" w:rsidP="00A01CB9" w:rsidRDefault="00A01CB9" w14:paraId="6A94FDC7" w14:textId="5A439C85">
      <w:pPr>
        <w:ind w:left="720"/>
      </w:pPr>
      <w:r w:rsidRPr="00725F92">
        <w:t xml:space="preserve">There is no duplication; each appraisal and/or </w:t>
      </w:r>
      <w:r w:rsidR="002906FF">
        <w:t xml:space="preserve">written estimate of market value </w:t>
      </w:r>
      <w:r w:rsidRPr="00725F92">
        <w:t>is unique to the individual property appraised.  No similar information is available to the regulat</w:t>
      </w:r>
      <w:r>
        <w:t>ed institution or</w:t>
      </w:r>
      <w:r w:rsidRPr="00725F92">
        <w:t xml:space="preserve"> </w:t>
      </w:r>
      <w:r>
        <w:t>NCUA</w:t>
      </w:r>
      <w:r w:rsidRPr="00725F92">
        <w:t>.</w:t>
      </w:r>
    </w:p>
    <w:p w:rsidRPr="007F636E" w:rsidR="003A0D60" w:rsidP="007F636E" w:rsidRDefault="003A0D60" w14:paraId="358B00FF" w14:textId="044873F4">
      <w:pPr>
        <w:pStyle w:val="ListParagraph"/>
        <w:tabs>
          <w:tab w:val="left" w:pos="720"/>
        </w:tabs>
        <w:suppressAutoHyphens/>
        <w:ind w:hanging="720"/>
      </w:pPr>
    </w:p>
    <w:p w:rsidRPr="007F636E" w:rsidR="003A0D60" w:rsidP="007F636E" w:rsidRDefault="003A0D60" w14:paraId="30B20610" w14:textId="290758CC">
      <w:pPr>
        <w:pStyle w:val="ListParagraph"/>
        <w:numPr>
          <w:ilvl w:val="0"/>
          <w:numId w:val="3"/>
        </w:numPr>
        <w:tabs>
          <w:tab w:val="left" w:pos="720"/>
        </w:tabs>
        <w:ind w:left="720" w:hanging="720"/>
        <w:rPr>
          <w:b/>
        </w:rPr>
      </w:pPr>
      <w:r w:rsidRPr="007F636E">
        <w:rPr>
          <w:b/>
        </w:rPr>
        <w:t xml:space="preserve">Effect </w:t>
      </w:r>
      <w:r w:rsidR="00027724">
        <w:rPr>
          <w:b/>
        </w:rPr>
        <w:t>to reduce burden on small e</w:t>
      </w:r>
      <w:r w:rsidRPr="007F636E">
        <w:rPr>
          <w:b/>
        </w:rPr>
        <w:t>ntities</w:t>
      </w:r>
      <w:r w:rsidR="00027724">
        <w:rPr>
          <w:b/>
        </w:rPr>
        <w:t>.</w:t>
      </w:r>
    </w:p>
    <w:p w:rsidR="007F636E" w:rsidP="007F636E" w:rsidRDefault="007F636E" w14:paraId="210FCA53" w14:textId="77777777">
      <w:pPr>
        <w:tabs>
          <w:tab w:val="left" w:pos="720"/>
        </w:tabs>
        <w:ind w:left="720" w:hanging="720"/>
      </w:pPr>
    </w:p>
    <w:p w:rsidRPr="007F636E" w:rsidR="00DF173E" w:rsidP="007F636E" w:rsidRDefault="007F636E" w14:paraId="11DAA913" w14:textId="203F1E9C">
      <w:pPr>
        <w:tabs>
          <w:tab w:val="left" w:pos="720"/>
        </w:tabs>
        <w:ind w:left="720" w:hanging="720"/>
      </w:pPr>
      <w:r>
        <w:tab/>
      </w:r>
      <w:r w:rsidRPr="007F636E" w:rsidR="00DF173E">
        <w:t xml:space="preserve">Loans under </w:t>
      </w:r>
      <w:r w:rsidR="002C7BA0">
        <w:t xml:space="preserve">$400,000 </w:t>
      </w:r>
      <w:r w:rsidR="00534168">
        <w:t xml:space="preserve">for </w:t>
      </w:r>
      <w:r w:rsidR="002C7BA0">
        <w:t>non-complex residential real estate transaction</w:t>
      </w:r>
      <w:r w:rsidR="00534168">
        <w:t>s</w:t>
      </w:r>
      <w:r w:rsidR="002C7BA0">
        <w:t xml:space="preserve"> and under </w:t>
      </w:r>
      <w:r w:rsidRPr="007F636E" w:rsidR="00DF173E">
        <w:t>$</w:t>
      </w:r>
      <w:r w:rsidR="00A01CB9">
        <w:t>1,000,000</w:t>
      </w:r>
      <w:r w:rsidRPr="007F636E" w:rsidR="00DF173E">
        <w:t xml:space="preserve"> </w:t>
      </w:r>
      <w:r w:rsidR="002C7BA0">
        <w:t xml:space="preserve">for non-residential real estate transactions </w:t>
      </w:r>
      <w:r w:rsidR="00C53771">
        <w:t>will</w:t>
      </w:r>
      <w:r w:rsidR="00344FF1">
        <w:t xml:space="preserve"> be </w:t>
      </w:r>
      <w:r w:rsidRPr="007F636E" w:rsidR="00DF173E">
        <w:t>exempt from the appraisal requirements.  Smaller credit unions generally make smaller loans; therefore, this exemption minimizes the impact to small business or other small entities.</w:t>
      </w:r>
    </w:p>
    <w:p w:rsidRPr="007F636E" w:rsidR="003A0D60" w:rsidP="007F636E" w:rsidRDefault="003A0D60" w14:paraId="54980FDC" w14:textId="77777777">
      <w:pPr>
        <w:pStyle w:val="ListParagraph"/>
        <w:tabs>
          <w:tab w:val="left" w:pos="720"/>
        </w:tabs>
        <w:suppressAutoHyphens/>
        <w:ind w:hanging="720"/>
      </w:pPr>
    </w:p>
    <w:p w:rsidRPr="007F636E" w:rsidR="003A0D60" w:rsidP="007F636E" w:rsidRDefault="00027724" w14:paraId="68A551CC" w14:textId="4D4108C7">
      <w:pPr>
        <w:pStyle w:val="ListParagraph"/>
        <w:numPr>
          <w:ilvl w:val="0"/>
          <w:numId w:val="3"/>
        </w:numPr>
        <w:tabs>
          <w:tab w:val="left" w:pos="720"/>
        </w:tabs>
        <w:ind w:left="720" w:hanging="720"/>
        <w:rPr>
          <w:b/>
        </w:rPr>
      </w:pPr>
      <w:r>
        <w:rPr>
          <w:b/>
        </w:rPr>
        <w:t>Consequences of not conducting c</w:t>
      </w:r>
      <w:r w:rsidRPr="007F636E" w:rsidR="003A0D60">
        <w:rPr>
          <w:b/>
        </w:rPr>
        <w:t>ollection</w:t>
      </w:r>
      <w:r w:rsidR="00A01CB9">
        <w:rPr>
          <w:b/>
        </w:rPr>
        <w:t>.</w:t>
      </w:r>
    </w:p>
    <w:p w:rsidR="007F636E" w:rsidP="007F636E" w:rsidRDefault="007F636E" w14:paraId="29D17600" w14:textId="77777777">
      <w:pPr>
        <w:pStyle w:val="ListParagraph"/>
        <w:tabs>
          <w:tab w:val="left" w:pos="720"/>
        </w:tabs>
        <w:suppressAutoHyphens/>
        <w:ind w:hanging="720"/>
      </w:pPr>
    </w:p>
    <w:p w:rsidRPr="007F636E" w:rsidR="003A0D60" w:rsidP="007F636E" w:rsidRDefault="003A0D60" w14:paraId="293FE803" w14:textId="6A0585F2">
      <w:pPr>
        <w:pStyle w:val="ListParagraph"/>
        <w:tabs>
          <w:tab w:val="left" w:pos="720"/>
        </w:tabs>
        <w:suppressAutoHyphens/>
        <w:ind w:hanging="720"/>
      </w:pPr>
      <w:r w:rsidRPr="007F636E">
        <w:tab/>
      </w:r>
      <w:r w:rsidRPr="007F636E" w:rsidR="009F30AE">
        <w:t xml:space="preserve">The information is collected only as real estate related transactions arise.  Less frequent collection is inconsistent with the underlying statute and would not promote safety and soundness for </w:t>
      </w:r>
      <w:r w:rsidR="007963E1">
        <w:t>FICUs</w:t>
      </w:r>
      <w:r w:rsidRPr="007F636E" w:rsidR="009F30AE">
        <w:t>.</w:t>
      </w:r>
    </w:p>
    <w:p w:rsidRPr="007F636E" w:rsidR="003A0D60" w:rsidP="007F636E" w:rsidRDefault="003A0D60" w14:paraId="13B479F5" w14:textId="77777777">
      <w:pPr>
        <w:tabs>
          <w:tab w:val="left" w:pos="720"/>
        </w:tabs>
        <w:ind w:left="720" w:hanging="720"/>
      </w:pPr>
    </w:p>
    <w:p w:rsidRPr="007F636E" w:rsidR="003A0D60" w:rsidP="007F636E" w:rsidRDefault="00027724" w14:paraId="0DB76EB2" w14:textId="61D31197">
      <w:pPr>
        <w:pStyle w:val="ListParagraph"/>
        <w:numPr>
          <w:ilvl w:val="0"/>
          <w:numId w:val="3"/>
        </w:numPr>
        <w:tabs>
          <w:tab w:val="left" w:pos="720"/>
        </w:tabs>
        <w:ind w:left="720" w:hanging="720"/>
        <w:rPr>
          <w:b/>
        </w:rPr>
      </w:pPr>
      <w:r>
        <w:rPr>
          <w:b/>
        </w:rPr>
        <w:t>Inconsistencies with g</w:t>
      </w:r>
      <w:r w:rsidRPr="007F636E" w:rsidR="003A0D60">
        <w:rPr>
          <w:b/>
        </w:rPr>
        <w:t>uidelines in 5 CFR 1320.5(d)(2)</w:t>
      </w:r>
      <w:r>
        <w:rPr>
          <w:b/>
        </w:rPr>
        <w:t>.</w:t>
      </w:r>
    </w:p>
    <w:p w:rsidR="007F636E" w:rsidP="007F636E" w:rsidRDefault="007F636E" w14:paraId="590C4E04" w14:textId="77777777">
      <w:pPr>
        <w:pStyle w:val="ListParagraph"/>
        <w:tabs>
          <w:tab w:val="left" w:pos="720"/>
        </w:tabs>
        <w:ind w:hanging="720"/>
      </w:pPr>
    </w:p>
    <w:p w:rsidRPr="007F636E" w:rsidR="003A0D60" w:rsidP="007F636E" w:rsidRDefault="007F636E" w14:paraId="49AE2301" w14:textId="4819C565">
      <w:pPr>
        <w:pStyle w:val="ListParagraph"/>
        <w:tabs>
          <w:tab w:val="left" w:pos="720"/>
        </w:tabs>
        <w:ind w:hanging="720"/>
      </w:pPr>
      <w:r>
        <w:tab/>
      </w:r>
      <w:r w:rsidRPr="007F636E" w:rsidR="003A0D60">
        <w:t xml:space="preserve">There are no special circumstances. This collection is consistent with the guidelines in 5 CFR </w:t>
      </w:r>
      <w:r w:rsidRPr="007F636E" w:rsidR="009F30AE">
        <w:t>1320.5(d)(2).</w:t>
      </w:r>
      <w:r w:rsidRPr="007F636E" w:rsidR="003A0D60">
        <w:tab/>
      </w:r>
    </w:p>
    <w:p w:rsidRPr="00DE479D" w:rsidR="003A0D60" w:rsidP="007F636E" w:rsidRDefault="003A0D60" w14:paraId="3881AF09" w14:textId="77777777">
      <w:pPr>
        <w:pStyle w:val="ListParagraph"/>
        <w:tabs>
          <w:tab w:val="left" w:pos="720"/>
        </w:tabs>
        <w:ind w:hanging="720"/>
        <w:rPr>
          <w:bCs/>
        </w:rPr>
      </w:pPr>
    </w:p>
    <w:p w:rsidR="009F086B" w:rsidRDefault="009F086B" w14:paraId="4038DC02" w14:textId="77777777">
      <w:pPr>
        <w:spacing w:after="200" w:line="276" w:lineRule="auto"/>
        <w:rPr>
          <w:b/>
        </w:rPr>
      </w:pPr>
      <w:r>
        <w:rPr>
          <w:b/>
        </w:rPr>
        <w:br w:type="page"/>
      </w:r>
    </w:p>
    <w:p w:rsidRPr="007F636E" w:rsidR="004270E6" w:rsidP="007F636E" w:rsidRDefault="003A0D60" w14:paraId="41D8F38C" w14:textId="7514F646">
      <w:pPr>
        <w:pStyle w:val="ListParagraph"/>
        <w:numPr>
          <w:ilvl w:val="0"/>
          <w:numId w:val="3"/>
        </w:numPr>
        <w:tabs>
          <w:tab w:val="left" w:pos="720"/>
        </w:tabs>
        <w:ind w:left="720" w:hanging="720"/>
        <w:rPr>
          <w:b/>
        </w:rPr>
      </w:pPr>
      <w:r w:rsidRPr="007F636E">
        <w:rPr>
          <w:b/>
        </w:rPr>
        <w:lastRenderedPageBreak/>
        <w:t xml:space="preserve">Consultations </w:t>
      </w:r>
      <w:r w:rsidR="00027724">
        <w:rPr>
          <w:b/>
        </w:rPr>
        <w:t>with person o</w:t>
      </w:r>
      <w:r w:rsidRPr="007F636E">
        <w:rPr>
          <w:b/>
        </w:rPr>
        <w:t>utside the Agency</w:t>
      </w:r>
      <w:r w:rsidR="00027724">
        <w:rPr>
          <w:b/>
        </w:rPr>
        <w:t>.</w:t>
      </w:r>
    </w:p>
    <w:p w:rsidR="007F636E" w:rsidP="007F636E" w:rsidRDefault="007F636E" w14:paraId="3B577572" w14:textId="77777777">
      <w:pPr>
        <w:pStyle w:val="ListParagraph"/>
        <w:tabs>
          <w:tab w:val="left" w:pos="720"/>
        </w:tabs>
        <w:ind w:hanging="720"/>
      </w:pPr>
    </w:p>
    <w:p w:rsidR="003A0D60" w:rsidP="00A01CB9" w:rsidRDefault="008258C9" w14:paraId="0B93E85B" w14:textId="6B2C1A7C">
      <w:pPr>
        <w:pStyle w:val="ListParagraph"/>
      </w:pPr>
      <w:r>
        <w:t xml:space="preserve">A 60-day notice was published in the </w:t>
      </w:r>
      <w:r w:rsidRPr="00A331C5">
        <w:rPr>
          <w:i/>
        </w:rPr>
        <w:t>Federal Register</w:t>
      </w:r>
      <w:r>
        <w:t xml:space="preserve"> on </w:t>
      </w:r>
      <w:r w:rsidR="00135685">
        <w:t>June 1, 2022</w:t>
      </w:r>
      <w:r>
        <w:t xml:space="preserve">, at 87 FR </w:t>
      </w:r>
      <w:r w:rsidR="00135685">
        <w:t>33212</w:t>
      </w:r>
      <w:r>
        <w:t>, soliciting comments from the public.  No public comments were received in response to this notice</w:t>
      </w:r>
      <w:r w:rsidRPr="009F086B">
        <w:t>.</w:t>
      </w:r>
      <w:r w:rsidR="007963E1">
        <w:t xml:space="preserve"> </w:t>
      </w:r>
    </w:p>
    <w:p w:rsidRPr="00DF26C9" w:rsidR="00DF26C9" w:rsidP="00A01CB9" w:rsidRDefault="00DF26C9" w14:paraId="0D8F66C7" w14:textId="77777777">
      <w:pPr>
        <w:pStyle w:val="ListParagraph"/>
      </w:pPr>
    </w:p>
    <w:p w:rsidRPr="007F636E" w:rsidR="003A0D60" w:rsidP="007F636E" w:rsidRDefault="00027724" w14:paraId="444596BE" w14:textId="66665841">
      <w:pPr>
        <w:pStyle w:val="ListParagraph"/>
        <w:numPr>
          <w:ilvl w:val="0"/>
          <w:numId w:val="3"/>
        </w:numPr>
        <w:tabs>
          <w:tab w:val="left" w:pos="720"/>
        </w:tabs>
        <w:ind w:left="720" w:hanging="720"/>
        <w:rPr>
          <w:b/>
        </w:rPr>
      </w:pPr>
      <w:r>
        <w:rPr>
          <w:b/>
        </w:rPr>
        <w:t>Payment or gifts to respondents.</w:t>
      </w:r>
    </w:p>
    <w:p w:rsidR="007F636E" w:rsidP="007F636E" w:rsidRDefault="007F636E" w14:paraId="161C336E" w14:textId="77777777">
      <w:pPr>
        <w:tabs>
          <w:tab w:val="left" w:pos="720"/>
        </w:tabs>
        <w:suppressAutoHyphens/>
        <w:ind w:left="720" w:hanging="720"/>
      </w:pPr>
    </w:p>
    <w:p w:rsidRPr="007F636E" w:rsidR="006923ED" w:rsidP="007F636E" w:rsidRDefault="007F636E" w14:paraId="4F4EC730" w14:textId="52EDC5F2">
      <w:pPr>
        <w:tabs>
          <w:tab w:val="left" w:pos="720"/>
        </w:tabs>
        <w:suppressAutoHyphens/>
        <w:ind w:left="720" w:hanging="720"/>
      </w:pPr>
      <w:r>
        <w:tab/>
      </w:r>
      <w:r w:rsidRPr="007F636E" w:rsidR="006923ED">
        <w:t>There is no intent by NCUA to provide payment or gi</w:t>
      </w:r>
      <w:r w:rsidRPr="007F636E" w:rsidR="009F30AE">
        <w:t>fts for information collected.</w:t>
      </w:r>
      <w:r w:rsidRPr="007F636E" w:rsidR="004D0FCD">
        <w:t xml:space="preserve"> </w:t>
      </w:r>
    </w:p>
    <w:p w:rsidRPr="007F636E" w:rsidR="006923ED" w:rsidP="007F636E" w:rsidRDefault="006923ED" w14:paraId="1C3C5D2C" w14:textId="77777777">
      <w:pPr>
        <w:pStyle w:val="ListParagraph"/>
        <w:tabs>
          <w:tab w:val="left" w:pos="720"/>
        </w:tabs>
        <w:suppressAutoHyphens/>
        <w:ind w:hanging="720"/>
      </w:pPr>
    </w:p>
    <w:p w:rsidRPr="007F636E" w:rsidR="003A0D60" w:rsidP="007F636E" w:rsidRDefault="00027724" w14:paraId="26B435A5" w14:textId="7109E0ED">
      <w:pPr>
        <w:pStyle w:val="ListParagraph"/>
        <w:numPr>
          <w:ilvl w:val="0"/>
          <w:numId w:val="3"/>
        </w:numPr>
        <w:tabs>
          <w:tab w:val="left" w:pos="720"/>
        </w:tabs>
        <w:ind w:left="720" w:hanging="720"/>
        <w:rPr>
          <w:b/>
        </w:rPr>
      </w:pPr>
      <w:r>
        <w:rPr>
          <w:b/>
        </w:rPr>
        <w:t>Assurance of c</w:t>
      </w:r>
      <w:r w:rsidRPr="007F636E" w:rsidR="003A0D60">
        <w:rPr>
          <w:b/>
        </w:rPr>
        <w:t>onfidentiality</w:t>
      </w:r>
      <w:r>
        <w:rPr>
          <w:b/>
        </w:rPr>
        <w:t>.</w:t>
      </w:r>
    </w:p>
    <w:p w:rsidR="007F636E" w:rsidP="007F636E" w:rsidRDefault="007F636E" w14:paraId="6AA91A2D" w14:textId="21B5A378">
      <w:pPr>
        <w:tabs>
          <w:tab w:val="left" w:pos="720"/>
        </w:tabs>
        <w:suppressAutoHyphens/>
        <w:ind w:left="720" w:hanging="720"/>
      </w:pPr>
    </w:p>
    <w:p w:rsidRPr="007F636E" w:rsidR="006923ED" w:rsidP="007F636E" w:rsidRDefault="007F636E" w14:paraId="45A54F28" w14:textId="7AA202C2">
      <w:pPr>
        <w:tabs>
          <w:tab w:val="left" w:pos="720"/>
        </w:tabs>
        <w:suppressAutoHyphens/>
        <w:ind w:left="720" w:hanging="720"/>
      </w:pPr>
      <w:r>
        <w:tab/>
      </w:r>
      <w:r w:rsidR="00DF26C9">
        <w:t>There is no assurance of confidentiality other than that provided by law.</w:t>
      </w:r>
    </w:p>
    <w:p w:rsidRPr="007F636E" w:rsidR="003A0D60" w:rsidP="007F636E" w:rsidRDefault="003A0D60" w14:paraId="681DFDD3" w14:textId="1D0393CF">
      <w:pPr>
        <w:tabs>
          <w:tab w:val="left" w:pos="720"/>
        </w:tabs>
        <w:ind w:left="720" w:hanging="720"/>
      </w:pPr>
    </w:p>
    <w:p w:rsidRPr="007F636E" w:rsidR="003A0D60" w:rsidP="007F636E" w:rsidRDefault="00027724" w14:paraId="619F659C" w14:textId="36225CD1">
      <w:pPr>
        <w:pStyle w:val="ListParagraph"/>
        <w:numPr>
          <w:ilvl w:val="0"/>
          <w:numId w:val="3"/>
        </w:numPr>
        <w:tabs>
          <w:tab w:val="left" w:pos="720"/>
        </w:tabs>
        <w:ind w:left="720" w:hanging="720"/>
        <w:rPr>
          <w:b/>
        </w:rPr>
      </w:pPr>
      <w:r>
        <w:rPr>
          <w:b/>
        </w:rPr>
        <w:t>Questions of a sensitive nature.</w:t>
      </w:r>
    </w:p>
    <w:p w:rsidR="007F636E" w:rsidP="007F636E" w:rsidRDefault="007F636E" w14:paraId="3038347A" w14:textId="77777777">
      <w:pPr>
        <w:pStyle w:val="ListParagraph"/>
        <w:tabs>
          <w:tab w:val="left" w:pos="720"/>
        </w:tabs>
        <w:suppressAutoHyphens/>
        <w:ind w:hanging="720"/>
      </w:pPr>
    </w:p>
    <w:p w:rsidRPr="007F636E" w:rsidR="003A0D60" w:rsidP="007F636E" w:rsidRDefault="003A0D60" w14:paraId="191E1E83" w14:textId="5ADB7584">
      <w:pPr>
        <w:pStyle w:val="ListParagraph"/>
        <w:tabs>
          <w:tab w:val="left" w:pos="720"/>
        </w:tabs>
        <w:suppressAutoHyphens/>
        <w:ind w:hanging="720"/>
      </w:pPr>
      <w:r w:rsidRPr="007F636E">
        <w:tab/>
      </w:r>
      <w:r w:rsidRPr="007F636E">
        <w:rPr>
          <w:spacing w:val="-3"/>
        </w:rPr>
        <w:t xml:space="preserve">No questions of a sensitive nature are asked.  </w:t>
      </w:r>
      <w:r w:rsidRPr="007F636E">
        <w:t xml:space="preserve">The information collection does not collect any Personally </w:t>
      </w:r>
      <w:r w:rsidRPr="007F636E" w:rsidR="009F30AE">
        <w:t>Identifiable Information (PII).</w:t>
      </w:r>
    </w:p>
    <w:p w:rsidRPr="007F636E" w:rsidR="003A0D60" w:rsidP="007F636E" w:rsidRDefault="003A0D60" w14:paraId="3385360C" w14:textId="77777777">
      <w:pPr>
        <w:tabs>
          <w:tab w:val="left" w:pos="720"/>
        </w:tabs>
        <w:ind w:left="720" w:hanging="720"/>
      </w:pPr>
    </w:p>
    <w:p w:rsidRPr="007F636E" w:rsidR="003A0D60" w:rsidP="007F636E" w:rsidRDefault="00027724" w14:paraId="6C1B02F0" w14:textId="20C5AC16">
      <w:pPr>
        <w:pStyle w:val="ListParagraph"/>
        <w:numPr>
          <w:ilvl w:val="0"/>
          <w:numId w:val="3"/>
        </w:numPr>
        <w:tabs>
          <w:tab w:val="left" w:pos="720"/>
        </w:tabs>
        <w:ind w:left="720" w:hanging="720"/>
        <w:rPr>
          <w:b/>
        </w:rPr>
      </w:pPr>
      <w:r>
        <w:rPr>
          <w:b/>
        </w:rPr>
        <w:t>Burden of information c</w:t>
      </w:r>
      <w:r w:rsidRPr="007F636E" w:rsidR="003A0D60">
        <w:rPr>
          <w:b/>
        </w:rPr>
        <w:t>ollection</w:t>
      </w:r>
      <w:r>
        <w:rPr>
          <w:b/>
        </w:rPr>
        <w:t>,</w:t>
      </w:r>
    </w:p>
    <w:p w:rsidRPr="007F636E" w:rsidR="003A0D60" w:rsidP="007F636E" w:rsidRDefault="003A0D60" w14:paraId="5D99A3FD" w14:textId="38F272F6">
      <w:pPr>
        <w:tabs>
          <w:tab w:val="left" w:pos="720"/>
        </w:tabs>
        <w:suppressAutoHyphens/>
        <w:ind w:left="720" w:hanging="720"/>
      </w:pPr>
    </w:p>
    <w:p w:rsidRPr="003961E4" w:rsidR="005E0C2C" w:rsidP="007F636E" w:rsidRDefault="007F636E" w14:paraId="4329E2E6" w14:textId="6913EC1C">
      <w:pPr>
        <w:tabs>
          <w:tab w:val="left" w:pos="720"/>
        </w:tabs>
        <w:suppressAutoHyphens/>
        <w:ind w:left="720" w:hanging="720"/>
      </w:pPr>
      <w:r>
        <w:tab/>
      </w:r>
      <w:r w:rsidRPr="007F636E" w:rsidR="005E0C2C">
        <w:t xml:space="preserve">Based on </w:t>
      </w:r>
      <w:r w:rsidR="007C72C8">
        <w:t xml:space="preserve">current </w:t>
      </w:r>
      <w:r w:rsidRPr="007F636E" w:rsidR="005E0C2C">
        <w:t xml:space="preserve">call report data, approximately </w:t>
      </w:r>
      <w:r w:rsidRPr="003961E4" w:rsidR="00831996">
        <w:t>3,</w:t>
      </w:r>
      <w:r w:rsidRPr="003961E4" w:rsidR="007A5202">
        <w:t>365</w:t>
      </w:r>
      <w:r w:rsidRPr="003961E4" w:rsidR="003961E4">
        <w:t xml:space="preserve"> </w:t>
      </w:r>
      <w:r w:rsidRPr="003961E4" w:rsidR="007963E1">
        <w:t>FICUs</w:t>
      </w:r>
      <w:r w:rsidRPr="003961E4" w:rsidR="005E0C2C">
        <w:t xml:space="preserve"> </w:t>
      </w:r>
      <w:r w:rsidRPr="003961E4" w:rsidR="007A5202">
        <w:t>originated</w:t>
      </w:r>
      <w:r w:rsidRPr="003961E4" w:rsidR="005E0C2C">
        <w:t xml:space="preserve"> real </w:t>
      </w:r>
      <w:r w:rsidRPr="003961E4" w:rsidR="007C72C8">
        <w:t>estate loans</w:t>
      </w:r>
      <w:r w:rsidRPr="003961E4" w:rsidR="007A5202">
        <w:t xml:space="preserve"> in December 2021</w:t>
      </w:r>
      <w:r w:rsidRPr="003961E4" w:rsidR="007C72C8">
        <w:t xml:space="preserve">.  </w:t>
      </w:r>
      <w:r w:rsidRPr="003961E4" w:rsidR="005E0C2C">
        <w:t>O</w:t>
      </w:r>
      <w:r w:rsidRPr="003961E4" w:rsidR="00EA0327">
        <w:t xml:space="preserve">n average, </w:t>
      </w:r>
      <w:r w:rsidRPr="003961E4" w:rsidR="007963E1">
        <w:t>FICUs</w:t>
      </w:r>
      <w:r w:rsidRPr="003961E4" w:rsidR="00EA0327">
        <w:t xml:space="preserve"> make </w:t>
      </w:r>
      <w:r w:rsidRPr="003961E4" w:rsidR="007A5202">
        <w:t>618</w:t>
      </w:r>
      <w:r w:rsidR="0038252D">
        <w:t xml:space="preserve"> </w:t>
      </w:r>
      <w:r w:rsidRPr="003961E4" w:rsidR="005E0C2C">
        <w:t xml:space="preserve">real estate loans per year, which would require written appraisals or valuations.  NCUA estimates it will take each </w:t>
      </w:r>
      <w:r w:rsidRPr="003961E4" w:rsidR="007963E1">
        <w:t>FICU</w:t>
      </w:r>
      <w:r w:rsidRPr="003961E4" w:rsidR="005E0C2C">
        <w:t xml:space="preserve"> </w:t>
      </w:r>
      <w:r w:rsidRPr="003961E4" w:rsidR="00DF26C9">
        <w:t>5 minutes</w:t>
      </w:r>
      <w:r w:rsidRPr="003961E4" w:rsidR="005E0C2C">
        <w:t xml:space="preserve"> per real estate loan to meet the recordkeeping requirement.  Th</w:t>
      </w:r>
      <w:r w:rsidRPr="003961E4" w:rsidR="00F9453D">
        <w:t>is</w:t>
      </w:r>
      <w:r w:rsidRPr="003961E4" w:rsidR="005E0C2C">
        <w:t xml:space="preserve"> results in a total a</w:t>
      </w:r>
      <w:r w:rsidRPr="003961E4" w:rsidR="00EA0327">
        <w:t xml:space="preserve">nnual estimated burden of </w:t>
      </w:r>
      <w:r w:rsidRPr="003961E4" w:rsidR="007A5202">
        <w:t>173,309</w:t>
      </w:r>
      <w:r w:rsidRPr="003961E4" w:rsidR="005E0C2C">
        <w:t xml:space="preserve"> hours. </w:t>
      </w:r>
    </w:p>
    <w:p w:rsidRPr="003961E4" w:rsidR="003A0D60" w:rsidP="007F636E" w:rsidRDefault="003A0D60" w14:paraId="6A3500D1" w14:textId="37946806">
      <w:pPr>
        <w:ind w:hanging="360"/>
      </w:pPr>
    </w:p>
    <w:tbl>
      <w:tblPr>
        <w:tblStyle w:val="TableGrid"/>
        <w:tblW w:w="9858" w:type="dxa"/>
        <w:tblInd w:w="-275" w:type="dxa"/>
        <w:tblLook w:val="04A0" w:firstRow="1" w:lastRow="0" w:firstColumn="1" w:lastColumn="0" w:noHBand="0" w:noVBand="1"/>
      </w:tblPr>
      <w:tblGrid>
        <w:gridCol w:w="1874"/>
        <w:gridCol w:w="1095"/>
        <w:gridCol w:w="1151"/>
        <w:gridCol w:w="1265"/>
        <w:gridCol w:w="1145"/>
        <w:gridCol w:w="1210"/>
        <w:gridCol w:w="1107"/>
        <w:gridCol w:w="1011"/>
      </w:tblGrid>
      <w:tr w:rsidRPr="003961E4" w:rsidR="0038252D" w:rsidTr="001F0402" w14:paraId="18EEA930" w14:textId="4D65C985">
        <w:tc>
          <w:tcPr>
            <w:tcW w:w="1874" w:type="dxa"/>
            <w:vAlign w:val="center"/>
          </w:tcPr>
          <w:p w:rsidRPr="003961E4" w:rsidR="0038252D" w:rsidP="00EE6A63" w:rsidRDefault="0038252D" w14:paraId="6C0CB87A" w14:textId="6AAB0247">
            <w:pPr>
              <w:jc w:val="center"/>
              <w:rPr>
                <w:rFonts w:ascii="Arial Narrow" w:hAnsi="Arial Narrow"/>
                <w:sz w:val="18"/>
                <w:szCs w:val="18"/>
              </w:rPr>
            </w:pPr>
            <w:r w:rsidRPr="003961E4">
              <w:rPr>
                <w:rFonts w:ascii="Arial Narrow" w:hAnsi="Arial Narrow"/>
                <w:sz w:val="18"/>
                <w:szCs w:val="18"/>
              </w:rPr>
              <w:t>Information Collection Activity</w:t>
            </w:r>
          </w:p>
        </w:tc>
        <w:tc>
          <w:tcPr>
            <w:tcW w:w="1095" w:type="dxa"/>
            <w:vAlign w:val="center"/>
          </w:tcPr>
          <w:p w:rsidRPr="003961E4" w:rsidR="0038252D" w:rsidP="00EE6A63" w:rsidRDefault="0038252D" w14:paraId="33364E14" w14:textId="4C86D0A7">
            <w:pPr>
              <w:jc w:val="center"/>
              <w:rPr>
                <w:rFonts w:ascii="Arial Narrow" w:hAnsi="Arial Narrow"/>
                <w:sz w:val="18"/>
                <w:szCs w:val="18"/>
              </w:rPr>
            </w:pPr>
            <w:r w:rsidRPr="003961E4">
              <w:rPr>
                <w:rFonts w:ascii="Arial Narrow" w:hAnsi="Arial Narrow"/>
                <w:sz w:val="18"/>
                <w:szCs w:val="18"/>
              </w:rPr>
              <w:t># Respondents</w:t>
            </w:r>
          </w:p>
        </w:tc>
        <w:tc>
          <w:tcPr>
            <w:tcW w:w="1151" w:type="dxa"/>
            <w:vAlign w:val="center"/>
          </w:tcPr>
          <w:p w:rsidRPr="003961E4" w:rsidR="0038252D" w:rsidP="00EE6A63" w:rsidRDefault="0038252D" w14:paraId="3F0E179B" w14:textId="5C77C275">
            <w:pPr>
              <w:jc w:val="center"/>
              <w:rPr>
                <w:rFonts w:ascii="Arial Narrow" w:hAnsi="Arial Narrow"/>
                <w:sz w:val="18"/>
                <w:szCs w:val="18"/>
              </w:rPr>
            </w:pPr>
            <w:r w:rsidRPr="003961E4">
              <w:rPr>
                <w:rFonts w:ascii="Arial Narrow" w:hAnsi="Arial Narrow"/>
                <w:sz w:val="18"/>
                <w:szCs w:val="18"/>
              </w:rPr>
              <w:t>Frequency</w:t>
            </w:r>
          </w:p>
        </w:tc>
        <w:tc>
          <w:tcPr>
            <w:tcW w:w="1265" w:type="dxa"/>
            <w:vAlign w:val="center"/>
          </w:tcPr>
          <w:p w:rsidRPr="003961E4" w:rsidR="0038252D" w:rsidP="00EE6A63" w:rsidRDefault="0038252D" w14:paraId="1AAC75BE" w14:textId="3F1FE079">
            <w:pPr>
              <w:jc w:val="center"/>
              <w:rPr>
                <w:rFonts w:ascii="Arial Narrow" w:hAnsi="Arial Narrow"/>
                <w:sz w:val="18"/>
                <w:szCs w:val="18"/>
              </w:rPr>
            </w:pPr>
            <w:r w:rsidRPr="003961E4">
              <w:rPr>
                <w:rFonts w:ascii="Arial Narrow" w:hAnsi="Arial Narrow"/>
                <w:sz w:val="18"/>
                <w:szCs w:val="18"/>
              </w:rPr>
              <w:t>Total Number of Responses</w:t>
            </w:r>
          </w:p>
        </w:tc>
        <w:tc>
          <w:tcPr>
            <w:tcW w:w="1145" w:type="dxa"/>
            <w:vAlign w:val="center"/>
          </w:tcPr>
          <w:p w:rsidRPr="003961E4" w:rsidR="0038252D" w:rsidP="00EE6A63" w:rsidRDefault="0038252D" w14:paraId="652DCB18" w14:textId="178EA252">
            <w:pPr>
              <w:jc w:val="center"/>
              <w:rPr>
                <w:rFonts w:ascii="Arial Narrow" w:hAnsi="Arial Narrow"/>
                <w:sz w:val="18"/>
                <w:szCs w:val="18"/>
              </w:rPr>
            </w:pPr>
            <w:r w:rsidRPr="003961E4">
              <w:rPr>
                <w:rFonts w:ascii="Arial Narrow" w:hAnsi="Arial Narrow"/>
                <w:sz w:val="18"/>
                <w:szCs w:val="18"/>
              </w:rPr>
              <w:t>Hours per Response</w:t>
            </w:r>
          </w:p>
        </w:tc>
        <w:tc>
          <w:tcPr>
            <w:tcW w:w="1210" w:type="dxa"/>
            <w:tcBorders>
              <w:right w:val="single" w:color="auto" w:sz="12" w:space="0"/>
            </w:tcBorders>
            <w:vAlign w:val="center"/>
          </w:tcPr>
          <w:p w:rsidRPr="003961E4" w:rsidR="0038252D" w:rsidP="00EE6A63" w:rsidRDefault="0038252D" w14:paraId="28D54617" w14:textId="61D091F0">
            <w:pPr>
              <w:jc w:val="center"/>
              <w:rPr>
                <w:rFonts w:ascii="Arial Narrow" w:hAnsi="Arial Narrow"/>
                <w:sz w:val="18"/>
                <w:szCs w:val="18"/>
              </w:rPr>
            </w:pPr>
            <w:r w:rsidRPr="003961E4">
              <w:rPr>
                <w:rFonts w:ascii="Arial Narrow" w:hAnsi="Arial Narrow"/>
                <w:sz w:val="18"/>
                <w:szCs w:val="18"/>
              </w:rPr>
              <w:t>Total Annual Burden</w:t>
            </w:r>
            <w:r>
              <w:rPr>
                <w:rFonts w:ascii="Arial Narrow" w:hAnsi="Arial Narrow"/>
                <w:sz w:val="18"/>
                <w:szCs w:val="18"/>
              </w:rPr>
              <w:t xml:space="preserve"> Requested</w:t>
            </w:r>
          </w:p>
        </w:tc>
        <w:tc>
          <w:tcPr>
            <w:tcW w:w="1107" w:type="dxa"/>
            <w:tcBorders>
              <w:left w:val="single" w:color="auto" w:sz="12" w:space="0"/>
            </w:tcBorders>
            <w:shd w:val="clear" w:color="auto" w:fill="FDE9D9" w:themeFill="accent6" w:themeFillTint="33"/>
          </w:tcPr>
          <w:p w:rsidRPr="003961E4" w:rsidR="0038252D" w:rsidP="00EE6A63" w:rsidRDefault="0038252D" w14:paraId="2F8FB3B8" w14:textId="4D865562">
            <w:pPr>
              <w:jc w:val="center"/>
              <w:rPr>
                <w:rFonts w:ascii="Arial Narrow" w:hAnsi="Arial Narrow"/>
                <w:sz w:val="18"/>
                <w:szCs w:val="18"/>
              </w:rPr>
            </w:pPr>
            <w:r>
              <w:rPr>
                <w:rFonts w:ascii="Arial Narrow" w:hAnsi="Arial Narrow"/>
                <w:sz w:val="18"/>
                <w:szCs w:val="18"/>
              </w:rPr>
              <w:t>Previously Approved Burden</w:t>
            </w:r>
          </w:p>
        </w:tc>
        <w:tc>
          <w:tcPr>
            <w:tcW w:w="1011" w:type="dxa"/>
            <w:shd w:val="clear" w:color="auto" w:fill="EAF1DD" w:themeFill="accent3" w:themeFillTint="33"/>
            <w:vAlign w:val="center"/>
          </w:tcPr>
          <w:p w:rsidR="0038252D" w:rsidP="00EE6A63" w:rsidRDefault="0038252D" w14:paraId="54F0D639" w14:textId="200B17AB">
            <w:pPr>
              <w:jc w:val="center"/>
              <w:rPr>
                <w:rFonts w:ascii="Arial Narrow" w:hAnsi="Arial Narrow"/>
                <w:sz w:val="18"/>
                <w:szCs w:val="18"/>
              </w:rPr>
            </w:pPr>
            <w:r>
              <w:rPr>
                <w:rFonts w:ascii="Arial Narrow" w:hAnsi="Arial Narrow"/>
                <w:sz w:val="18"/>
                <w:szCs w:val="18"/>
              </w:rPr>
              <w:t>Difference</w:t>
            </w:r>
          </w:p>
        </w:tc>
      </w:tr>
      <w:tr w:rsidRPr="003961E4" w:rsidR="0038252D" w:rsidTr="001F0402" w14:paraId="02FF7412" w14:textId="3657198E">
        <w:trPr>
          <w:trHeight w:val="602"/>
        </w:trPr>
        <w:tc>
          <w:tcPr>
            <w:tcW w:w="1874" w:type="dxa"/>
            <w:vAlign w:val="center"/>
          </w:tcPr>
          <w:p w:rsidRPr="0038252D" w:rsidR="0038252D" w:rsidP="00EE6A63" w:rsidRDefault="0038252D" w14:paraId="16DD5F32" w14:textId="6A71B004">
            <w:pPr>
              <w:rPr>
                <w:sz w:val="20"/>
                <w:szCs w:val="20"/>
              </w:rPr>
            </w:pPr>
            <w:r w:rsidRPr="0038252D">
              <w:rPr>
                <w:sz w:val="20"/>
                <w:szCs w:val="20"/>
              </w:rPr>
              <w:t>Recordkeeping requirements associated with real estate appraisals and evaluations</w:t>
            </w:r>
          </w:p>
        </w:tc>
        <w:tc>
          <w:tcPr>
            <w:tcW w:w="1095" w:type="dxa"/>
            <w:vAlign w:val="center"/>
          </w:tcPr>
          <w:p w:rsidRPr="0038252D" w:rsidR="0038252D" w:rsidP="00EE6A63" w:rsidRDefault="0038252D" w14:paraId="48A0F7B9" w14:textId="3B5CA137">
            <w:pPr>
              <w:jc w:val="right"/>
              <w:rPr>
                <w:sz w:val="22"/>
                <w:szCs w:val="22"/>
              </w:rPr>
            </w:pPr>
            <w:r w:rsidRPr="0038252D">
              <w:rPr>
                <w:sz w:val="22"/>
                <w:szCs w:val="22"/>
              </w:rPr>
              <w:t>3,365</w:t>
            </w:r>
          </w:p>
        </w:tc>
        <w:tc>
          <w:tcPr>
            <w:tcW w:w="1151" w:type="dxa"/>
            <w:vAlign w:val="center"/>
          </w:tcPr>
          <w:p w:rsidRPr="0038252D" w:rsidR="0038252D" w:rsidP="00EE6A63" w:rsidRDefault="0038252D" w14:paraId="4599C2F3" w14:textId="130680C2">
            <w:pPr>
              <w:jc w:val="right"/>
              <w:rPr>
                <w:sz w:val="22"/>
                <w:szCs w:val="22"/>
              </w:rPr>
            </w:pPr>
            <w:r w:rsidRPr="0038252D">
              <w:rPr>
                <w:sz w:val="22"/>
                <w:szCs w:val="22"/>
              </w:rPr>
              <w:t>618</w:t>
            </w:r>
          </w:p>
        </w:tc>
        <w:tc>
          <w:tcPr>
            <w:tcW w:w="1265" w:type="dxa"/>
            <w:vAlign w:val="center"/>
          </w:tcPr>
          <w:p w:rsidRPr="0038252D" w:rsidR="0038252D" w:rsidP="00EE6A63" w:rsidRDefault="0038252D" w14:paraId="36D8D08D" w14:textId="395059C2">
            <w:pPr>
              <w:jc w:val="right"/>
              <w:rPr>
                <w:sz w:val="22"/>
                <w:szCs w:val="22"/>
              </w:rPr>
            </w:pPr>
            <w:r w:rsidRPr="0038252D">
              <w:rPr>
                <w:sz w:val="22"/>
                <w:szCs w:val="22"/>
              </w:rPr>
              <w:t>2,079,707</w:t>
            </w:r>
          </w:p>
        </w:tc>
        <w:tc>
          <w:tcPr>
            <w:tcW w:w="1145" w:type="dxa"/>
            <w:vAlign w:val="center"/>
          </w:tcPr>
          <w:p w:rsidRPr="0038252D" w:rsidR="0038252D" w:rsidP="00EE6A63" w:rsidRDefault="0038252D" w14:paraId="36C576C2" w14:textId="64D853E1">
            <w:pPr>
              <w:jc w:val="right"/>
              <w:rPr>
                <w:sz w:val="22"/>
                <w:szCs w:val="22"/>
              </w:rPr>
            </w:pPr>
            <w:r w:rsidRPr="0038252D">
              <w:rPr>
                <w:sz w:val="22"/>
                <w:szCs w:val="22"/>
              </w:rPr>
              <w:t>0.083333</w:t>
            </w:r>
          </w:p>
        </w:tc>
        <w:tc>
          <w:tcPr>
            <w:tcW w:w="1210" w:type="dxa"/>
            <w:tcBorders>
              <w:right w:val="single" w:color="auto" w:sz="12" w:space="0"/>
            </w:tcBorders>
            <w:vAlign w:val="center"/>
          </w:tcPr>
          <w:p w:rsidRPr="0038252D" w:rsidR="0038252D" w:rsidP="00EE6A63" w:rsidRDefault="0038252D" w14:paraId="5069B988" w14:textId="20904A40">
            <w:pPr>
              <w:jc w:val="right"/>
              <w:rPr>
                <w:sz w:val="22"/>
                <w:szCs w:val="22"/>
              </w:rPr>
            </w:pPr>
            <w:r w:rsidRPr="0038252D">
              <w:rPr>
                <w:sz w:val="22"/>
                <w:szCs w:val="22"/>
              </w:rPr>
              <w:t>173,30</w:t>
            </w:r>
            <w:r w:rsidR="001F0402">
              <w:rPr>
                <w:sz w:val="22"/>
                <w:szCs w:val="22"/>
              </w:rPr>
              <w:t>9</w:t>
            </w:r>
          </w:p>
        </w:tc>
        <w:tc>
          <w:tcPr>
            <w:tcW w:w="1107" w:type="dxa"/>
            <w:tcBorders>
              <w:left w:val="single" w:color="auto" w:sz="12" w:space="0"/>
            </w:tcBorders>
            <w:shd w:val="clear" w:color="auto" w:fill="FDE9D9" w:themeFill="accent6" w:themeFillTint="33"/>
            <w:vAlign w:val="center"/>
          </w:tcPr>
          <w:p w:rsidRPr="0038252D" w:rsidR="0038252D" w:rsidP="00EE6A63" w:rsidRDefault="0038252D" w14:paraId="711B9D4F" w14:textId="227F4FBD">
            <w:pPr>
              <w:jc w:val="right"/>
              <w:rPr>
                <w:sz w:val="22"/>
                <w:szCs w:val="22"/>
              </w:rPr>
            </w:pPr>
            <w:r w:rsidRPr="0038252D">
              <w:rPr>
                <w:sz w:val="22"/>
                <w:szCs w:val="22"/>
              </w:rPr>
              <w:t>137,098</w:t>
            </w:r>
          </w:p>
        </w:tc>
        <w:tc>
          <w:tcPr>
            <w:tcW w:w="1011" w:type="dxa"/>
            <w:shd w:val="clear" w:color="auto" w:fill="EAF1DD" w:themeFill="accent3" w:themeFillTint="33"/>
            <w:vAlign w:val="center"/>
          </w:tcPr>
          <w:p w:rsidRPr="0038252D" w:rsidR="0038252D" w:rsidP="009A7446" w:rsidRDefault="0038252D" w14:paraId="467C360D" w14:textId="58F0778E">
            <w:pPr>
              <w:jc w:val="right"/>
              <w:rPr>
                <w:sz w:val="22"/>
                <w:szCs w:val="22"/>
              </w:rPr>
            </w:pPr>
            <w:r w:rsidRPr="0038252D">
              <w:rPr>
                <w:sz w:val="22"/>
                <w:szCs w:val="22"/>
              </w:rPr>
              <w:t>36,211</w:t>
            </w:r>
          </w:p>
        </w:tc>
      </w:tr>
    </w:tbl>
    <w:p w:rsidR="009A7446" w:rsidP="009A7446" w:rsidRDefault="00AD5E18" w14:paraId="50F630DF" w14:textId="3601B1B0">
      <w:pPr>
        <w:pStyle w:val="ListParagraph"/>
        <w:suppressAutoHyphens/>
        <w:ind w:left="0"/>
      </w:pPr>
      <w:r w:rsidRPr="003961E4">
        <w:t xml:space="preserve">Based </w:t>
      </w:r>
      <w:r w:rsidRPr="003961E4" w:rsidR="00027724">
        <w:t>on the labor rate of $35 per hours, the total cost to respondents is $</w:t>
      </w:r>
      <w:r w:rsidRPr="003961E4" w:rsidR="007A5202">
        <w:t>6,065,812</w:t>
      </w:r>
      <w:r w:rsidR="009A7446">
        <w:t>.</w:t>
      </w:r>
      <w:r w:rsidRPr="007F636E">
        <w:t xml:space="preserve"> </w:t>
      </w:r>
    </w:p>
    <w:p w:rsidR="009A7446" w:rsidP="009A7446" w:rsidRDefault="009A7446" w14:paraId="7A0A7D68" w14:textId="77777777">
      <w:pPr>
        <w:pStyle w:val="ListParagraph"/>
        <w:suppressAutoHyphens/>
        <w:ind w:left="0"/>
      </w:pPr>
    </w:p>
    <w:p w:rsidRPr="007F636E" w:rsidR="003A0D60" w:rsidP="00027724" w:rsidRDefault="00027724" w14:paraId="75D781D9" w14:textId="2F7E0663">
      <w:pPr>
        <w:pStyle w:val="ListParagraph"/>
        <w:numPr>
          <w:ilvl w:val="0"/>
          <w:numId w:val="3"/>
        </w:numPr>
        <w:suppressAutoHyphens/>
        <w:ind w:left="720" w:hanging="720"/>
        <w:rPr>
          <w:b/>
        </w:rPr>
      </w:pPr>
      <w:r>
        <w:rPr>
          <w:b/>
        </w:rPr>
        <w:t>Capital start-up or on-going operation and maintenance c</w:t>
      </w:r>
      <w:r w:rsidRPr="00F94991">
        <w:rPr>
          <w:b/>
        </w:rPr>
        <w:t>osts</w:t>
      </w:r>
      <w:r>
        <w:rPr>
          <w:b/>
        </w:rPr>
        <w:t>.</w:t>
      </w:r>
    </w:p>
    <w:p w:rsidR="00027724" w:rsidP="00027724" w:rsidRDefault="00027724" w14:paraId="1148823B" w14:textId="77777777">
      <w:pPr>
        <w:ind w:left="720" w:hanging="720"/>
      </w:pPr>
    </w:p>
    <w:p w:rsidRPr="00753B95" w:rsidR="00DF26C9" w:rsidP="00DF26C9" w:rsidRDefault="00DF26C9" w14:paraId="78B4472B" w14:textId="7DA83FD6">
      <w:pPr>
        <w:tabs>
          <w:tab w:val="left" w:pos="720"/>
        </w:tabs>
        <w:ind w:left="720"/>
      </w:pPr>
      <w:r>
        <w:t>There are no capital start-up or maintenance costs.</w:t>
      </w:r>
    </w:p>
    <w:p w:rsidRPr="007F636E" w:rsidR="003A0D60" w:rsidP="00027724" w:rsidRDefault="003A0D60" w14:paraId="33E34F58" w14:textId="77777777">
      <w:pPr>
        <w:pStyle w:val="ListParagraph"/>
        <w:ind w:hanging="720"/>
      </w:pPr>
    </w:p>
    <w:p w:rsidRPr="007F636E" w:rsidR="003A0D60" w:rsidP="00027724" w:rsidRDefault="003A0D60" w14:paraId="3267B6E4" w14:textId="5D31467D">
      <w:pPr>
        <w:pStyle w:val="ListParagraph"/>
        <w:numPr>
          <w:ilvl w:val="0"/>
          <w:numId w:val="3"/>
        </w:numPr>
        <w:ind w:left="720" w:hanging="720"/>
        <w:rPr>
          <w:b/>
        </w:rPr>
      </w:pPr>
      <w:r w:rsidRPr="007F636E">
        <w:rPr>
          <w:b/>
        </w:rPr>
        <w:t xml:space="preserve">Costs to </w:t>
      </w:r>
      <w:r w:rsidR="00027724">
        <w:rPr>
          <w:b/>
        </w:rPr>
        <w:t xml:space="preserve">the </w:t>
      </w:r>
      <w:r w:rsidRPr="007F636E">
        <w:rPr>
          <w:b/>
        </w:rPr>
        <w:t>Federal Government</w:t>
      </w:r>
      <w:r w:rsidR="00027724">
        <w:rPr>
          <w:b/>
        </w:rPr>
        <w:t>.</w:t>
      </w:r>
    </w:p>
    <w:p w:rsidR="00027724" w:rsidP="00027724" w:rsidRDefault="00027724" w14:paraId="782F99D2" w14:textId="77777777">
      <w:pPr>
        <w:suppressAutoHyphens/>
        <w:ind w:left="720" w:hanging="720"/>
      </w:pPr>
    </w:p>
    <w:p w:rsidRPr="007F636E" w:rsidR="003A0D60" w:rsidP="00DF26C9" w:rsidRDefault="00DF26C9" w14:paraId="4FE00D16" w14:textId="63DE43E0">
      <w:pPr>
        <w:suppressAutoHyphens/>
        <w:ind w:left="720"/>
      </w:pPr>
      <w:r>
        <w:t>This is a recordkeeping requirement; therefore, there is no cost to the Federal government</w:t>
      </w:r>
      <w:r w:rsidRPr="007F636E" w:rsidR="009F30AE">
        <w:t xml:space="preserve">. </w:t>
      </w:r>
    </w:p>
    <w:p w:rsidRPr="007F636E" w:rsidR="003A0D60" w:rsidP="00027724" w:rsidRDefault="003A0D60" w14:paraId="6162F109" w14:textId="77777777">
      <w:pPr>
        <w:pStyle w:val="ListParagraph"/>
        <w:ind w:hanging="720"/>
        <w:rPr>
          <w:b/>
        </w:rPr>
      </w:pPr>
    </w:p>
    <w:p w:rsidR="009F086B" w:rsidRDefault="009F086B" w14:paraId="34508D9D" w14:textId="77777777">
      <w:pPr>
        <w:spacing w:after="200" w:line="276" w:lineRule="auto"/>
        <w:rPr>
          <w:b/>
        </w:rPr>
      </w:pPr>
      <w:r>
        <w:rPr>
          <w:b/>
        </w:rPr>
        <w:br w:type="page"/>
      </w:r>
    </w:p>
    <w:p w:rsidRPr="007F636E" w:rsidR="003A0D60" w:rsidP="00027724" w:rsidRDefault="00027724" w14:paraId="2BC5E3A0" w14:textId="504CFB46">
      <w:pPr>
        <w:pStyle w:val="ListParagraph"/>
        <w:numPr>
          <w:ilvl w:val="0"/>
          <w:numId w:val="3"/>
        </w:numPr>
        <w:ind w:left="720" w:hanging="720"/>
        <w:rPr>
          <w:b/>
        </w:rPr>
      </w:pPr>
      <w:r>
        <w:rPr>
          <w:b/>
        </w:rPr>
        <w:t>Reason for c</w:t>
      </w:r>
      <w:r w:rsidRPr="007F636E" w:rsidR="003A0D60">
        <w:rPr>
          <w:b/>
        </w:rPr>
        <w:t>hange</w:t>
      </w:r>
      <w:r>
        <w:rPr>
          <w:b/>
        </w:rPr>
        <w:t>s in b</w:t>
      </w:r>
      <w:r w:rsidRPr="007F636E" w:rsidR="003A0D60">
        <w:rPr>
          <w:b/>
        </w:rPr>
        <w:t>urden</w:t>
      </w:r>
      <w:r>
        <w:rPr>
          <w:b/>
        </w:rPr>
        <w:t>.</w:t>
      </w:r>
    </w:p>
    <w:p w:rsidR="00027724" w:rsidP="00027724" w:rsidRDefault="00027724" w14:paraId="15DE67D8" w14:textId="77777777">
      <w:pPr>
        <w:ind w:left="720" w:hanging="720"/>
      </w:pPr>
    </w:p>
    <w:p w:rsidR="00F24641" w:rsidP="00F24641" w:rsidRDefault="00E04DF7" w14:paraId="72503397" w14:textId="1FA4FA54">
      <w:pPr>
        <w:ind w:left="720"/>
      </w:pPr>
      <w:r>
        <w:lastRenderedPageBreak/>
        <w:t xml:space="preserve">The </w:t>
      </w:r>
      <w:r w:rsidR="00243843">
        <w:t>increase of 36,21</w:t>
      </w:r>
      <w:r w:rsidR="001F0402">
        <w:t>1</w:t>
      </w:r>
      <w:r w:rsidR="00243843">
        <w:t xml:space="preserve"> </w:t>
      </w:r>
      <w:r>
        <w:t xml:space="preserve">burden hours is the result of agency adjustments.  </w:t>
      </w:r>
      <w:r w:rsidR="00F24641">
        <w:t xml:space="preserve">The number of FICUs have </w:t>
      </w:r>
      <w:r w:rsidR="002613B4">
        <w:t xml:space="preserve">decreased </w:t>
      </w:r>
      <w:r w:rsidR="00F24641">
        <w:t>since the previous submission (</w:t>
      </w:r>
      <w:r w:rsidR="00831996">
        <w:t xml:space="preserve">3,449 </w:t>
      </w:r>
      <w:r w:rsidR="00F24641">
        <w:t xml:space="preserve">to </w:t>
      </w:r>
      <w:r w:rsidR="007A5202">
        <w:t>3,3</w:t>
      </w:r>
      <w:r w:rsidR="002613B4">
        <w:t>65</w:t>
      </w:r>
      <w:r w:rsidR="00F24641">
        <w:t xml:space="preserve">), </w:t>
      </w:r>
      <w:r w:rsidR="002613B4">
        <w:t xml:space="preserve">but </w:t>
      </w:r>
      <w:r w:rsidR="00F24641">
        <w:t xml:space="preserve">the number of real estate loans have increased; </w:t>
      </w:r>
      <w:r w:rsidR="009F086B">
        <w:t>thus,</w:t>
      </w:r>
      <w:r w:rsidR="00F24641">
        <w:t xml:space="preserve"> an increase in the number of responses per respondent (</w:t>
      </w:r>
      <w:r w:rsidR="002613B4">
        <w:t>477</w:t>
      </w:r>
      <w:r w:rsidR="00F24641">
        <w:t xml:space="preserve"> to </w:t>
      </w:r>
      <w:r w:rsidR="002613B4">
        <w:t>618</w:t>
      </w:r>
      <w:r w:rsidR="00F24641">
        <w:t>).</w:t>
      </w:r>
      <w:r w:rsidR="009A7446">
        <w:t xml:space="preserve">  </w:t>
      </w:r>
      <w:r w:rsidR="00F24641">
        <w:t xml:space="preserve">A total of </w:t>
      </w:r>
      <w:r w:rsidR="002613B4">
        <w:t>173,309</w:t>
      </w:r>
      <w:r w:rsidR="00F24641">
        <w:t xml:space="preserve"> burden hours requested.</w:t>
      </w:r>
    </w:p>
    <w:p w:rsidRPr="007F636E" w:rsidR="00F24641" w:rsidP="00027724" w:rsidRDefault="00F24641" w14:paraId="6FA59D1C" w14:textId="77777777">
      <w:pPr>
        <w:ind w:left="720" w:hanging="720"/>
        <w:rPr>
          <w:b/>
        </w:rPr>
      </w:pPr>
    </w:p>
    <w:p w:rsidRPr="007F636E" w:rsidR="003A0D60" w:rsidP="00027724" w:rsidRDefault="00027724" w14:paraId="71805C41" w14:textId="347A308F">
      <w:pPr>
        <w:pStyle w:val="ListParagraph"/>
        <w:numPr>
          <w:ilvl w:val="0"/>
          <w:numId w:val="3"/>
        </w:numPr>
        <w:ind w:left="720" w:hanging="720"/>
        <w:rPr>
          <w:b/>
        </w:rPr>
      </w:pPr>
      <w:r>
        <w:rPr>
          <w:b/>
        </w:rPr>
        <w:t>Information collection planned for statistical p</w:t>
      </w:r>
      <w:r w:rsidRPr="007F636E" w:rsidR="003A0D60">
        <w:rPr>
          <w:b/>
        </w:rPr>
        <w:t>urposes</w:t>
      </w:r>
      <w:r>
        <w:rPr>
          <w:b/>
        </w:rPr>
        <w:t>.</w:t>
      </w:r>
    </w:p>
    <w:p w:rsidR="00027724" w:rsidP="00027724" w:rsidRDefault="00027724" w14:paraId="08605FEB" w14:textId="77777777">
      <w:pPr>
        <w:suppressAutoHyphens/>
        <w:ind w:left="720" w:hanging="720"/>
      </w:pPr>
    </w:p>
    <w:p w:rsidRPr="007F636E" w:rsidR="003A0D60" w:rsidP="00027724" w:rsidRDefault="003A0D60" w14:paraId="1C8A0269" w14:textId="4EB81DE9">
      <w:pPr>
        <w:suppressAutoHyphens/>
        <w:ind w:left="720" w:hanging="720"/>
      </w:pPr>
      <w:r w:rsidRPr="007F636E">
        <w:tab/>
        <w:t>Not applicable.  The information collection is no</w:t>
      </w:r>
      <w:r w:rsidRPr="007F636E" w:rsidR="00432D41">
        <w:t>t used for statistical purposes.</w:t>
      </w:r>
    </w:p>
    <w:p w:rsidR="003A0D60" w:rsidP="00027724" w:rsidRDefault="003A0D60" w14:paraId="758B330F" w14:textId="551E0D29">
      <w:pPr>
        <w:ind w:left="720" w:hanging="720"/>
      </w:pPr>
    </w:p>
    <w:p w:rsidRPr="007F636E" w:rsidR="007F636E" w:rsidP="00027724" w:rsidRDefault="00027724" w14:paraId="7CEBC824" w14:textId="4EF60421">
      <w:pPr>
        <w:pStyle w:val="ListParagraph"/>
        <w:numPr>
          <w:ilvl w:val="0"/>
          <w:numId w:val="3"/>
        </w:numPr>
        <w:ind w:left="720" w:hanging="720"/>
        <w:rPr>
          <w:b/>
        </w:rPr>
      </w:pP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007F636E" w:rsidP="00027724" w:rsidRDefault="007F636E" w14:paraId="53DB993D" w14:textId="77777777">
      <w:pPr>
        <w:suppressAutoHyphens/>
        <w:ind w:left="720" w:hanging="720"/>
      </w:pPr>
    </w:p>
    <w:p w:rsidRPr="007F636E" w:rsidR="003A0D60" w:rsidP="00027724" w:rsidRDefault="007F636E" w14:paraId="433D22DF" w14:textId="70DED9EE">
      <w:pPr>
        <w:suppressAutoHyphens/>
        <w:ind w:left="720" w:hanging="720"/>
      </w:pPr>
      <w:r>
        <w:tab/>
      </w:r>
      <w:r w:rsidR="0068559F">
        <w:t xml:space="preserve">The OMB control number and expiration date associated with this PRA submission will be displayed on the Federal government’s electronic PRA docket </w:t>
      </w:r>
      <w:r w:rsidR="00DE479D">
        <w:t xml:space="preserve">site </w:t>
      </w:r>
      <w:r w:rsidR="0068559F">
        <w:t xml:space="preserve">at </w:t>
      </w:r>
      <w:hyperlink w:history="1" r:id="rId7">
        <w:r w:rsidRPr="007F1BFB" w:rsidR="0068559F">
          <w:rPr>
            <w:rStyle w:val="Hyperlink"/>
          </w:rPr>
          <w:t>www.reginfo.gov</w:t>
        </w:r>
      </w:hyperlink>
      <w:r w:rsidR="0068559F">
        <w:t>.</w:t>
      </w:r>
    </w:p>
    <w:p w:rsidRPr="007F636E" w:rsidR="003A0D60" w:rsidP="00027724" w:rsidRDefault="003A0D60" w14:paraId="1B6F994F" w14:textId="77777777">
      <w:pPr>
        <w:suppressAutoHyphens/>
        <w:ind w:left="720" w:hanging="720"/>
      </w:pPr>
    </w:p>
    <w:p w:rsidRPr="007F636E" w:rsidR="003A0D60" w:rsidP="00027724" w:rsidRDefault="003A0D60" w14:paraId="20F6C5C0" w14:textId="761B4FD7">
      <w:pPr>
        <w:pStyle w:val="ListParagraph"/>
        <w:numPr>
          <w:ilvl w:val="0"/>
          <w:numId w:val="3"/>
        </w:numPr>
        <w:ind w:left="720" w:hanging="720"/>
        <w:rPr>
          <w:b/>
        </w:rPr>
      </w:pPr>
      <w:r w:rsidRPr="007F636E">
        <w:rPr>
          <w:b/>
        </w:rPr>
        <w:t>Exceptions to Certification for Paperwork Reduction Act Submissions</w:t>
      </w:r>
      <w:r w:rsidR="00027724">
        <w:rPr>
          <w:b/>
        </w:rPr>
        <w:t>.</w:t>
      </w:r>
    </w:p>
    <w:p w:rsidR="007F636E" w:rsidP="00027724" w:rsidRDefault="007F636E" w14:paraId="5C0F68A6" w14:textId="77777777">
      <w:pPr>
        <w:suppressAutoHyphens/>
        <w:ind w:left="720" w:hanging="720"/>
      </w:pPr>
    </w:p>
    <w:p w:rsidRPr="007F636E" w:rsidR="003A0D60" w:rsidP="00027724" w:rsidRDefault="003A0D60" w14:paraId="72352E7C" w14:textId="415E5C80">
      <w:pPr>
        <w:suppressAutoHyphens/>
        <w:ind w:left="720" w:hanging="720"/>
      </w:pPr>
      <w:r w:rsidRPr="007F636E">
        <w:tab/>
        <w:t>This collection complies with the requirements in 5 CFR 1320.9</w:t>
      </w:r>
      <w:r w:rsidRPr="007F636E" w:rsidR="00432D41">
        <w:t>.</w:t>
      </w:r>
    </w:p>
    <w:p w:rsidRPr="007F636E" w:rsidR="003A0D60" w:rsidP="007F636E" w:rsidRDefault="003A0D60" w14:paraId="7D4539F0" w14:textId="77777777">
      <w:pPr>
        <w:suppressAutoHyphens/>
        <w:ind w:left="720" w:hanging="720"/>
      </w:pPr>
    </w:p>
    <w:p w:rsidR="003A0D60" w:rsidP="007F636E" w:rsidRDefault="003A0D60" w14:paraId="63CCA5CB" w14:textId="2FB882D8">
      <w:pPr>
        <w:suppressAutoHyphens/>
        <w:ind w:left="720" w:hanging="720"/>
        <w:rPr>
          <w:caps/>
        </w:rPr>
      </w:pPr>
    </w:p>
    <w:p w:rsidR="007C72C8" w:rsidP="007F636E" w:rsidRDefault="007C72C8" w14:paraId="5480708C" w14:textId="37E7550D">
      <w:pPr>
        <w:suppressAutoHyphens/>
        <w:ind w:left="720" w:hanging="720"/>
        <w:rPr>
          <w:caps/>
        </w:rPr>
      </w:pPr>
    </w:p>
    <w:p w:rsidRPr="007F636E" w:rsidR="007C72C8" w:rsidP="007F636E" w:rsidRDefault="007C72C8" w14:paraId="40B6AB3D" w14:textId="77777777">
      <w:pPr>
        <w:suppressAutoHyphens/>
        <w:ind w:left="720" w:hanging="720"/>
        <w:rPr>
          <w:caps/>
        </w:rPr>
      </w:pPr>
    </w:p>
    <w:p w:rsidRPr="007F636E" w:rsidR="003A0D60" w:rsidP="007F636E" w:rsidRDefault="003A0D60" w14:paraId="3D015575" w14:textId="77777777">
      <w:pPr>
        <w:pStyle w:val="ListParagraph"/>
        <w:numPr>
          <w:ilvl w:val="0"/>
          <w:numId w:val="2"/>
        </w:numPr>
        <w:suppressAutoHyphens/>
        <w:ind w:left="720" w:hanging="720"/>
        <w:rPr>
          <w:b/>
          <w:caps/>
        </w:rPr>
      </w:pPr>
      <w:r w:rsidRPr="007F636E">
        <w:rPr>
          <w:b/>
          <w:caps/>
        </w:rPr>
        <w:t>Collections of Information Employing Statistical Methods</w:t>
      </w:r>
    </w:p>
    <w:p w:rsidRPr="007F636E" w:rsidR="003A0D60" w:rsidP="007F636E" w:rsidRDefault="003A0D60" w14:paraId="773834E1" w14:textId="77777777">
      <w:pPr>
        <w:pStyle w:val="ListParagraph"/>
        <w:suppressAutoHyphens/>
        <w:ind w:hanging="720"/>
      </w:pPr>
    </w:p>
    <w:p w:rsidRPr="007F636E" w:rsidR="003A0D60" w:rsidP="007F636E" w:rsidRDefault="003A0D60" w14:paraId="43E5B50E" w14:textId="0E5489B5">
      <w:pPr>
        <w:suppressAutoHyphens/>
        <w:ind w:left="720" w:hanging="720"/>
      </w:pPr>
      <w:r w:rsidRPr="007F636E">
        <w:tab/>
        <w:t>This collection does not</w:t>
      </w:r>
      <w:r w:rsidRPr="007F636E" w:rsidR="00432D41">
        <w:t xml:space="preserve"> involve statistical methods.</w:t>
      </w:r>
    </w:p>
    <w:sectPr w:rsidRPr="007F636E" w:rsidR="003A0D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31FD" w14:textId="77777777" w:rsidR="00657F2C" w:rsidRDefault="00657F2C" w:rsidP="003D164D">
      <w:r>
        <w:separator/>
      </w:r>
    </w:p>
  </w:endnote>
  <w:endnote w:type="continuationSeparator" w:id="0">
    <w:p w14:paraId="785A13E8" w14:textId="77777777" w:rsidR="00657F2C" w:rsidRDefault="00657F2C" w:rsidP="003D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F657" w14:textId="216D319C" w:rsidR="007F636E" w:rsidRPr="00EE6A63" w:rsidRDefault="007F636E" w:rsidP="00EE6A63">
    <w:pPr>
      <w:pStyle w:val="Footer"/>
      <w:tabs>
        <w:tab w:val="clear" w:pos="4680"/>
      </w:tabs>
      <w:rPr>
        <w:noProof/>
      </w:rPr>
    </w:pPr>
    <w:r w:rsidRPr="00EE6A63">
      <w:rPr>
        <w:i/>
        <w:sz w:val="20"/>
        <w:szCs w:val="20"/>
      </w:rPr>
      <w:t>OMB N</w:t>
    </w:r>
    <w:r w:rsidR="007C72C8">
      <w:rPr>
        <w:i/>
        <w:sz w:val="20"/>
        <w:szCs w:val="20"/>
      </w:rPr>
      <w:t>o. 3133-0125</w:t>
    </w:r>
    <w:r w:rsidR="009B4450">
      <w:rPr>
        <w:i/>
        <w:sz w:val="20"/>
        <w:szCs w:val="20"/>
      </w:rPr>
      <w:t xml:space="preserve">; </w:t>
    </w:r>
    <w:r w:rsidR="009F086B">
      <w:rPr>
        <w:i/>
        <w:sz w:val="20"/>
        <w:szCs w:val="20"/>
      </w:rPr>
      <w:t>August 2022</w:t>
    </w:r>
    <w:r w:rsidR="00EE6A63">
      <w:tab/>
    </w:r>
    <w:r w:rsidRPr="00EE6A63">
      <w:fldChar w:fldCharType="begin"/>
    </w:r>
    <w:r w:rsidRPr="00EE6A63">
      <w:instrText xml:space="preserve"> PAGE   \* MERGEFORMAT </w:instrText>
    </w:r>
    <w:r w:rsidRPr="00EE6A63">
      <w:fldChar w:fldCharType="separate"/>
    </w:r>
    <w:r w:rsidR="00AF0ED3">
      <w:rPr>
        <w:noProof/>
      </w:rPr>
      <w:t>1</w:t>
    </w:r>
    <w:r w:rsidRPr="00EE6A6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6374" w14:textId="77777777" w:rsidR="00657F2C" w:rsidRDefault="00657F2C" w:rsidP="003D164D">
      <w:r>
        <w:separator/>
      </w:r>
    </w:p>
  </w:footnote>
  <w:footnote w:type="continuationSeparator" w:id="0">
    <w:p w14:paraId="63F1566A" w14:textId="77777777" w:rsidR="00657F2C" w:rsidRDefault="00657F2C" w:rsidP="003D1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7932080"/>
    <w:multiLevelType w:val="hybridMultilevel"/>
    <w:tmpl w:val="89003624"/>
    <w:lvl w:ilvl="0" w:tplc="8F66A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3"/>
  </w:num>
  <w:num w:numId="4">
    <w:abstractNumId w:val="5"/>
  </w:num>
  <w:num w:numId="5">
    <w:abstractNumId w:val="2"/>
  </w:num>
  <w:num w:numId="6">
    <w:abstractNumId w:val="8"/>
  </w:num>
  <w:num w:numId="7">
    <w:abstractNumId w:val="6"/>
  </w:num>
  <w:num w:numId="8">
    <w:abstractNumId w:val="4"/>
  </w:num>
  <w:num w:numId="9">
    <w:abstractNumId w:val="10"/>
  </w:num>
  <w:num w:numId="10">
    <w:abstractNumId w:val="12"/>
  </w:num>
  <w:num w:numId="11">
    <w:abstractNumId w:val="11"/>
  </w:num>
  <w:num w:numId="12">
    <w:abstractNumId w:val="14"/>
  </w:num>
  <w:num w:numId="13">
    <w:abstractNumId w:val="16"/>
  </w:num>
  <w:num w:numId="1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7"/>
  </w:num>
  <w:num w:numId="16">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13F49"/>
    <w:rsid w:val="00027724"/>
    <w:rsid w:val="00071198"/>
    <w:rsid w:val="000770B8"/>
    <w:rsid w:val="00080BAE"/>
    <w:rsid w:val="000F27A6"/>
    <w:rsid w:val="00135685"/>
    <w:rsid w:val="00151D71"/>
    <w:rsid w:val="0018134C"/>
    <w:rsid w:val="001F0402"/>
    <w:rsid w:val="00221200"/>
    <w:rsid w:val="002213AA"/>
    <w:rsid w:val="002411B9"/>
    <w:rsid w:val="00243843"/>
    <w:rsid w:val="0025394B"/>
    <w:rsid w:val="002613B4"/>
    <w:rsid w:val="00274108"/>
    <w:rsid w:val="00275332"/>
    <w:rsid w:val="00280680"/>
    <w:rsid w:val="002906FF"/>
    <w:rsid w:val="002923C1"/>
    <w:rsid w:val="002A4484"/>
    <w:rsid w:val="002C3934"/>
    <w:rsid w:val="002C7BA0"/>
    <w:rsid w:val="002C7ED7"/>
    <w:rsid w:val="00321C95"/>
    <w:rsid w:val="00324FC5"/>
    <w:rsid w:val="00344FF1"/>
    <w:rsid w:val="00355DD0"/>
    <w:rsid w:val="00381567"/>
    <w:rsid w:val="00381F47"/>
    <w:rsid w:val="0038252D"/>
    <w:rsid w:val="003961E4"/>
    <w:rsid w:val="003A0D60"/>
    <w:rsid w:val="003D164D"/>
    <w:rsid w:val="003E738B"/>
    <w:rsid w:val="003F40A2"/>
    <w:rsid w:val="004270E6"/>
    <w:rsid w:val="00432D41"/>
    <w:rsid w:val="00444CDB"/>
    <w:rsid w:val="00485A7A"/>
    <w:rsid w:val="00491051"/>
    <w:rsid w:val="00492C05"/>
    <w:rsid w:val="00496513"/>
    <w:rsid w:val="004A0149"/>
    <w:rsid w:val="004D0FCD"/>
    <w:rsid w:val="00522439"/>
    <w:rsid w:val="00534168"/>
    <w:rsid w:val="005366AF"/>
    <w:rsid w:val="005503BF"/>
    <w:rsid w:val="0055767C"/>
    <w:rsid w:val="00573287"/>
    <w:rsid w:val="00575A94"/>
    <w:rsid w:val="005B6C7D"/>
    <w:rsid w:val="005E0C2C"/>
    <w:rsid w:val="006027A8"/>
    <w:rsid w:val="00657F2C"/>
    <w:rsid w:val="00680B3A"/>
    <w:rsid w:val="0068559F"/>
    <w:rsid w:val="006923ED"/>
    <w:rsid w:val="006E2326"/>
    <w:rsid w:val="007163F5"/>
    <w:rsid w:val="00733E95"/>
    <w:rsid w:val="00756516"/>
    <w:rsid w:val="007963E1"/>
    <w:rsid w:val="007A5202"/>
    <w:rsid w:val="007C72C8"/>
    <w:rsid w:val="007E2B78"/>
    <w:rsid w:val="007F636E"/>
    <w:rsid w:val="008258C9"/>
    <w:rsid w:val="00831996"/>
    <w:rsid w:val="00844E57"/>
    <w:rsid w:val="008A129B"/>
    <w:rsid w:val="008D745F"/>
    <w:rsid w:val="009413AF"/>
    <w:rsid w:val="00943C56"/>
    <w:rsid w:val="009559E9"/>
    <w:rsid w:val="00991B35"/>
    <w:rsid w:val="009954BB"/>
    <w:rsid w:val="00995887"/>
    <w:rsid w:val="009A3D17"/>
    <w:rsid w:val="009A7446"/>
    <w:rsid w:val="009B270E"/>
    <w:rsid w:val="009B4450"/>
    <w:rsid w:val="009D0EFD"/>
    <w:rsid w:val="009D36F0"/>
    <w:rsid w:val="009D3CAE"/>
    <w:rsid w:val="009F086B"/>
    <w:rsid w:val="009F30AE"/>
    <w:rsid w:val="00A007B3"/>
    <w:rsid w:val="00A01CB9"/>
    <w:rsid w:val="00A05F8A"/>
    <w:rsid w:val="00A11B36"/>
    <w:rsid w:val="00A8264A"/>
    <w:rsid w:val="00AD5E18"/>
    <w:rsid w:val="00AF0ED3"/>
    <w:rsid w:val="00B13BB8"/>
    <w:rsid w:val="00B537B5"/>
    <w:rsid w:val="00B55C23"/>
    <w:rsid w:val="00C0487A"/>
    <w:rsid w:val="00C101F0"/>
    <w:rsid w:val="00C14067"/>
    <w:rsid w:val="00C22239"/>
    <w:rsid w:val="00C371A1"/>
    <w:rsid w:val="00C472FF"/>
    <w:rsid w:val="00C53771"/>
    <w:rsid w:val="00C663E3"/>
    <w:rsid w:val="00C92AF0"/>
    <w:rsid w:val="00CA730B"/>
    <w:rsid w:val="00CC4FCC"/>
    <w:rsid w:val="00D06A9C"/>
    <w:rsid w:val="00D27814"/>
    <w:rsid w:val="00D92F23"/>
    <w:rsid w:val="00D93093"/>
    <w:rsid w:val="00DA01B6"/>
    <w:rsid w:val="00DC3A60"/>
    <w:rsid w:val="00DD48BB"/>
    <w:rsid w:val="00DE479D"/>
    <w:rsid w:val="00DF173E"/>
    <w:rsid w:val="00DF26C9"/>
    <w:rsid w:val="00E04343"/>
    <w:rsid w:val="00E04DF7"/>
    <w:rsid w:val="00E43C79"/>
    <w:rsid w:val="00E61257"/>
    <w:rsid w:val="00E86C67"/>
    <w:rsid w:val="00EA0327"/>
    <w:rsid w:val="00EE6A63"/>
    <w:rsid w:val="00F0429F"/>
    <w:rsid w:val="00F07F89"/>
    <w:rsid w:val="00F24641"/>
    <w:rsid w:val="00F831E8"/>
    <w:rsid w:val="00F9453D"/>
    <w:rsid w:val="00FA730B"/>
    <w:rsid w:val="00FD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950942F1-1319-4D2D-B956-2B53600A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 w:type="table" w:styleId="TableGrid">
    <w:name w:val="Table Grid"/>
    <w:basedOn w:val="TableNormal"/>
    <w:uiPriority w:val="59"/>
    <w:rsid w:val="00EE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uiPriority w:val="99"/>
    <w:qFormat/>
    <w:rsid w:val="009954BB"/>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qFormat/>
    <w:rsid w:val="009954BB"/>
    <w:rPr>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9954BB"/>
    <w:rPr>
      <w:rFonts w:ascii="Times New Roman" w:eastAsia="Times New Roman" w:hAnsi="Times New Roman" w:cs="Times New Roman"/>
      <w:sz w:val="20"/>
      <w:szCs w:val="20"/>
    </w:rPr>
  </w:style>
  <w:style w:type="paragraph" w:customStyle="1" w:styleId="Default">
    <w:name w:val="Default"/>
    <w:rsid w:val="00995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04343"/>
    <w:rPr>
      <w:sz w:val="16"/>
      <w:szCs w:val="16"/>
    </w:rPr>
  </w:style>
  <w:style w:type="paragraph" w:styleId="CommentText">
    <w:name w:val="annotation text"/>
    <w:basedOn w:val="Normal"/>
    <w:link w:val="CommentTextChar"/>
    <w:uiPriority w:val="99"/>
    <w:semiHidden/>
    <w:unhideWhenUsed/>
    <w:rsid w:val="00E04343"/>
    <w:rPr>
      <w:sz w:val="20"/>
      <w:szCs w:val="20"/>
    </w:rPr>
  </w:style>
  <w:style w:type="character" w:customStyle="1" w:styleId="CommentTextChar">
    <w:name w:val="Comment Text Char"/>
    <w:basedOn w:val="DefaultParagraphFont"/>
    <w:link w:val="CommentText"/>
    <w:uiPriority w:val="99"/>
    <w:semiHidden/>
    <w:rsid w:val="00E043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43"/>
    <w:rPr>
      <w:b/>
      <w:bCs/>
    </w:rPr>
  </w:style>
  <w:style w:type="character" w:customStyle="1" w:styleId="CommentSubjectChar">
    <w:name w:val="Comment Subject Char"/>
    <w:basedOn w:val="CommentTextChar"/>
    <w:link w:val="CommentSubject"/>
    <w:uiPriority w:val="99"/>
    <w:semiHidden/>
    <w:rsid w:val="00E04343"/>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9B4450"/>
    <w:pPr>
      <w:spacing w:after="120" w:line="480" w:lineRule="auto"/>
      <w:ind w:left="360"/>
    </w:pPr>
  </w:style>
  <w:style w:type="character" w:customStyle="1" w:styleId="BodyTextIndent2Char">
    <w:name w:val="Body Text Indent 2 Char"/>
    <w:basedOn w:val="DefaultParagraphFont"/>
    <w:link w:val="BodyTextIndent2"/>
    <w:uiPriority w:val="99"/>
    <w:rsid w:val="009B4450"/>
    <w:rPr>
      <w:rFonts w:ascii="Times New Roman" w:eastAsia="Times New Roman" w:hAnsi="Times New Roman" w:cs="Times New Roman"/>
      <w:sz w:val="24"/>
      <w:szCs w:val="24"/>
    </w:rPr>
  </w:style>
  <w:style w:type="paragraph" w:customStyle="1" w:styleId="Level1">
    <w:name w:val="Level 1"/>
    <w:basedOn w:val="Normal"/>
    <w:rsid w:val="009B4450"/>
    <w:pPr>
      <w:widowControl w:val="0"/>
      <w:numPr>
        <w:numId w:val="14"/>
      </w:numPr>
      <w:autoSpaceDE w:val="0"/>
      <w:autoSpaceDN w:val="0"/>
      <w:adjustRightInd w:val="0"/>
      <w:ind w:left="474" w:hanging="186"/>
      <w:outlineLvl w:val="0"/>
    </w:pPr>
  </w:style>
  <w:style w:type="paragraph" w:customStyle="1" w:styleId="Level2">
    <w:name w:val="Level 2"/>
    <w:basedOn w:val="Normal"/>
    <w:rsid w:val="009B4450"/>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inf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2</cp:revision>
  <cp:lastPrinted>2018-09-27T20:08:00Z</cp:lastPrinted>
  <dcterms:created xsi:type="dcterms:W3CDTF">2022-08-22T19:33:00Z</dcterms:created>
  <dcterms:modified xsi:type="dcterms:W3CDTF">2022-08-22T19:33:00Z</dcterms:modified>
</cp:coreProperties>
</file>