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1C95" w:rsidP="00801746" w:rsidRDefault="00592C2E" w14:paraId="45845AEE" w14:textId="27AA9981">
      <w:pPr>
        <w:pStyle w:val="BodyText"/>
        <w:kinsoku w:val="0"/>
        <w:overflowPunct w:val="0"/>
        <w:spacing w:before="77"/>
        <w:ind w:right="662"/>
        <w:jc w:val="center"/>
      </w:pPr>
      <w:r>
        <w:t xml:space="preserve">FINAL </w:t>
      </w:r>
      <w:r w:rsidR="004B580A">
        <w:t>O</w:t>
      </w:r>
      <w:r w:rsidR="00FB1C95">
        <w:t>MB SUPPORTING STATEMENT FOR</w:t>
      </w:r>
    </w:p>
    <w:p w:rsidR="00FB1C95" w:rsidP="00801746" w:rsidRDefault="00FB1C95" w14:paraId="01A14152" w14:textId="77777777">
      <w:pPr>
        <w:pStyle w:val="BodyText"/>
        <w:kinsoku w:val="0"/>
        <w:overflowPunct w:val="0"/>
        <w:spacing w:before="11"/>
        <w:jc w:val="center"/>
        <w:rPr>
          <w:sz w:val="21"/>
          <w:szCs w:val="21"/>
        </w:rPr>
      </w:pPr>
    </w:p>
    <w:p w:rsidR="00FB1C95" w:rsidP="00EA6307" w:rsidRDefault="00FB1C95" w14:paraId="225386A3" w14:textId="77777777">
      <w:pPr>
        <w:pStyle w:val="BodyText"/>
        <w:kinsoku w:val="0"/>
        <w:overflowPunct w:val="0"/>
        <w:spacing w:line="252" w:lineRule="exact"/>
        <w:ind w:left="681" w:right="662"/>
        <w:jc w:val="center"/>
      </w:pPr>
      <w:r>
        <w:t>10 CFR PART 5</w:t>
      </w:r>
    </w:p>
    <w:p w:rsidR="00FB1C95" w:rsidP="00EA6307" w:rsidRDefault="00FB1C95" w14:paraId="7960D642" w14:textId="4FAAD71D">
      <w:pPr>
        <w:pStyle w:val="BodyText"/>
        <w:kinsoku w:val="0"/>
        <w:overflowPunct w:val="0"/>
        <w:ind w:left="685" w:right="662"/>
        <w:jc w:val="center"/>
      </w:pPr>
      <w:r>
        <w:t>"NONDISCRIMINATION ON THE BASIS OF SEX IN EDUCATION PROGRAMS OR ACTIVITIES RECEIVING FEDERAL FINANCIAL ASSISTANCE"</w:t>
      </w:r>
    </w:p>
    <w:p w:rsidR="00FB1C95" w:rsidP="00801746" w:rsidRDefault="00FB1C95" w14:paraId="13088C6A" w14:textId="77777777">
      <w:pPr>
        <w:pStyle w:val="BodyText"/>
        <w:kinsoku w:val="0"/>
        <w:overflowPunct w:val="0"/>
        <w:spacing w:before="1"/>
        <w:jc w:val="center"/>
      </w:pPr>
    </w:p>
    <w:p w:rsidR="00FF7257" w:rsidP="00EA6307" w:rsidRDefault="00FB1C95" w14:paraId="49FF8610" w14:textId="283FB414">
      <w:pPr>
        <w:pStyle w:val="BodyText"/>
        <w:kinsoku w:val="0"/>
        <w:overflowPunct w:val="0"/>
        <w:spacing w:line="480" w:lineRule="auto"/>
        <w:ind w:left="3600" w:right="4143"/>
        <w:jc w:val="center"/>
      </w:pPr>
      <w:r>
        <w:t>(3150-0209)</w:t>
      </w:r>
    </w:p>
    <w:p w:rsidR="00FB1C95" w:rsidP="00801746" w:rsidRDefault="00FB1C95" w14:paraId="6AC6FF8F" w14:textId="77777777">
      <w:pPr>
        <w:pStyle w:val="BodyText"/>
        <w:kinsoku w:val="0"/>
        <w:overflowPunct w:val="0"/>
        <w:spacing w:line="480" w:lineRule="auto"/>
        <w:ind w:left="2880" w:right="4143" w:firstLine="720"/>
        <w:jc w:val="center"/>
      </w:pPr>
      <w:r>
        <w:t>EXTENSION</w:t>
      </w:r>
    </w:p>
    <w:p w:rsidR="004B580A" w:rsidRDefault="004B580A" w14:paraId="6F46F26E" w14:textId="77777777">
      <w:pPr>
        <w:pStyle w:val="BodyText"/>
        <w:kinsoku w:val="0"/>
        <w:overflowPunct w:val="0"/>
        <w:spacing w:line="480" w:lineRule="auto"/>
        <w:ind w:left="4163" w:right="4143" w:hanging="1"/>
        <w:jc w:val="center"/>
      </w:pPr>
    </w:p>
    <w:p w:rsidRPr="00801746" w:rsidR="00FB1C95" w:rsidRDefault="00FB1C95" w14:paraId="0FCF4BF1" w14:textId="77777777">
      <w:pPr>
        <w:pStyle w:val="BodyText"/>
        <w:kinsoku w:val="0"/>
        <w:overflowPunct w:val="0"/>
        <w:spacing w:before="6"/>
        <w:ind w:left="119"/>
        <w:rPr>
          <w:u w:val="single"/>
        </w:rPr>
      </w:pPr>
      <w:r>
        <w:rPr>
          <w:u w:val="single"/>
        </w:rPr>
        <w:t>Description of the Information Collection</w:t>
      </w:r>
    </w:p>
    <w:p w:rsidR="00974EE7" w:rsidRDefault="00974EE7" w14:paraId="1EA11845" w14:textId="77777777">
      <w:pPr>
        <w:pStyle w:val="BodyText"/>
        <w:kinsoku w:val="0"/>
        <w:overflowPunct w:val="0"/>
        <w:spacing w:before="6"/>
        <w:ind w:left="119"/>
      </w:pPr>
    </w:p>
    <w:p w:rsidR="00FB1C95" w:rsidP="00801746" w:rsidRDefault="00FB1C95" w14:paraId="252CDFFE" w14:textId="2E5DA872">
      <w:pPr>
        <w:pStyle w:val="BodyText"/>
        <w:kinsoku w:val="0"/>
        <w:overflowPunct w:val="0"/>
        <w:ind w:left="120" w:right="646"/>
      </w:pPr>
      <w:r>
        <w:t xml:space="preserve">The regulations under 10 CFR Part 5 implement the provisions of </w:t>
      </w:r>
      <w:r w:rsidR="00592C2E">
        <w:rPr>
          <w:rFonts w:ascii="Helvetica" w:hAnsi="Helvetica"/>
          <w:color w:val="333333"/>
          <w:sz w:val="21"/>
          <w:szCs w:val="21"/>
          <w:shd w:val="clear" w:color="auto" w:fill="FFFFFF"/>
        </w:rPr>
        <w:t>Title IX of the Education Amendments of 1972, Public Law 92-318, 86 Stat. 235, 373 (codified as amended at 20 U.S.C. 1681-1688) (except sections 904 and 906 thereof), as amended by section 3 of Public Law 93-568, 88 Stat. 1855, by section 412 of the Education Amendments of 1976, Public Law 94-482, 90 Stat. 2234, and by Section 3 of Public Law 100-259, 102 Stat. 28, 28-29 (20 U.S.C. 1681, 1682, 1683, 1685, 1686, 1687, 1688)</w:t>
      </w:r>
      <w:r w:rsidR="00592C2E">
        <w:t>.</w:t>
      </w:r>
      <w:r>
        <w:t xml:space="preserve">The provisions are designed to eliminate, with certain exceptions, discrimination on the basis of sex </w:t>
      </w:r>
      <w:r w:rsidRPr="0051592B" w:rsidR="001B1D17">
        <w:t>(including pregnancy, sexual orientation, and gender identity)</w:t>
      </w:r>
      <w:r w:rsidR="001B1D17">
        <w:t xml:space="preserve"> </w:t>
      </w:r>
      <w:r>
        <w:t>in any education program or activity receiving Federal financial assistance</w:t>
      </w:r>
      <w:r w:rsidR="00962BD1">
        <w:t xml:space="preserve"> (FFA)</w:t>
      </w:r>
      <w:r>
        <w:t>, whether or not such program or activity is offered or sponsored by an educational institution as defined in the Title IX regulations.</w:t>
      </w:r>
      <w:r w:rsidR="00974EE7">
        <w:t xml:space="preserve"> </w:t>
      </w:r>
      <w:r>
        <w:t>Except as provided in §§ 5.205 through 5.235(a), the Title IX regulations apply to every recipient and to each education program or activity operated by the recipient that receives FFA from the Nuclear Regulatory Commission (NRC).</w:t>
      </w:r>
    </w:p>
    <w:p w:rsidR="00FB1C95" w:rsidRDefault="00FB1C95" w14:paraId="4599CD58" w14:textId="77777777">
      <w:pPr>
        <w:pStyle w:val="BodyText"/>
        <w:kinsoku w:val="0"/>
        <w:overflowPunct w:val="0"/>
      </w:pPr>
    </w:p>
    <w:p w:rsidR="00FB1C95" w:rsidP="00F807CC" w:rsidRDefault="00FB1C95" w14:paraId="38677A0B" w14:textId="7DFEB2DB">
      <w:pPr>
        <w:pStyle w:val="BodyText"/>
        <w:kinsoku w:val="0"/>
        <w:overflowPunct w:val="0"/>
        <w:ind w:left="120" w:right="104"/>
        <w:rPr>
          <w:sz w:val="21"/>
          <w:szCs w:val="21"/>
        </w:rPr>
      </w:pPr>
      <w:r>
        <w:t>The NRC enforces provisions covered by Title IX and 10 CFR 5.</w:t>
      </w:r>
      <w:r w:rsidR="00974EE7">
        <w:t xml:space="preserve"> </w:t>
      </w:r>
      <w:r>
        <w:t xml:space="preserve">In order to do so, the NRC must engage in information and data collections, as necessary, to determine whether a recipient is complying with the regulations. Recipients are required to maintain on file, make available for inspection and provide to responsible NRC officials upon request information and documents related to investigative, compliance and enforcement provisions. Recipients are also required to permit reasonable access by NRC to the recipient's books, records, accounts, facilities, and other sources of information to the extent necessary to determine compliance. Recipients are required to keep records and submit to the responsible NRC official, timely, complete, and accurate compliance reports at the times and in the form and containing the information that the responsible NRC official may determine to be necessary to enable the official to ascertain whether the recipient has complied or is complying with the regulations. Three reoccurring recipient collections that take place include: 1) Pre-Award Compliance Review Process, wherein documents and assurances are provided to determined there are no “red flags” or issues </w:t>
      </w:r>
      <w:r w:rsidRPr="001A44C7">
        <w:t>concerning</w:t>
      </w:r>
      <w:r>
        <w:t xml:space="preserve"> discrimination prior to an NRC award of Federal financial assistance </w:t>
      </w:r>
      <w:r w:rsidRPr="001A44C7">
        <w:t xml:space="preserve">(See </w:t>
      </w:r>
      <w:r w:rsidRPr="001A44C7" w:rsidR="00B76BC2">
        <w:t xml:space="preserve">NRC </w:t>
      </w:r>
      <w:r w:rsidRPr="001A44C7">
        <w:t>Form 781</w:t>
      </w:r>
      <w:r w:rsidRPr="001A44C7" w:rsidR="00790B0A">
        <w:rPr>
          <w:rStyle w:val="FootnoteReference"/>
        </w:rPr>
        <w:footnoteReference w:id="2"/>
      </w:r>
      <w:r w:rsidRPr="001A44C7" w:rsidR="00F807CC">
        <w:t>)</w:t>
      </w:r>
      <w:r>
        <w:t xml:space="preserve"> (Parts A, B, and C (( SBCR Compliance Review Part C Additional Title IX Information)); 2) Post-Award Compliance Process, wherein recipients’ program operations are routinely monitored to ensure nondiscrimination during the award phase and compliance with </w:t>
      </w:r>
      <w:r>
        <w:lastRenderedPageBreak/>
        <w:t>regulations and mandates; and 3) Recipients are mandated to submit annual EO compliance report to SBCR no later than December 31 each calendar year.</w:t>
      </w:r>
      <w:r w:rsidR="00974EE7">
        <w:t xml:space="preserve"> </w:t>
      </w:r>
      <w:r>
        <w:t xml:space="preserve">In addition, </w:t>
      </w:r>
      <w:r w:rsidR="00401703">
        <w:t>i</w:t>
      </w:r>
      <w:r>
        <w:t xml:space="preserve">f NRC receives a complaint alleging discrimination </w:t>
      </w:r>
      <w:r w:rsidRPr="001A44C7">
        <w:t xml:space="preserve">(See NRC </w:t>
      </w:r>
      <w:r w:rsidRPr="001A44C7" w:rsidR="00B76BC2">
        <w:t xml:space="preserve">Form </w:t>
      </w:r>
      <w:r w:rsidRPr="001A44C7">
        <w:t>782</w:t>
      </w:r>
      <w:r w:rsidRPr="001A44C7" w:rsidR="005C56A0">
        <w:rPr>
          <w:rStyle w:val="FootnoteReference"/>
        </w:rPr>
        <w:footnoteReference w:id="3"/>
      </w:r>
      <w:r w:rsidRPr="001A44C7">
        <w:t>),</w:t>
      </w:r>
      <w:r>
        <w:t xml:space="preserve"> or conducts an investigation, or conducts a periodic compliance review the affected recipients are required to provide requested information and documentation. </w:t>
      </w:r>
    </w:p>
    <w:p w:rsidR="00F807CC" w:rsidP="00F807CC" w:rsidRDefault="00F807CC" w14:paraId="74C1C000" w14:textId="77777777">
      <w:pPr>
        <w:pStyle w:val="BodyText"/>
        <w:kinsoku w:val="0"/>
        <w:overflowPunct w:val="0"/>
        <w:ind w:left="120" w:right="104"/>
        <w:rPr>
          <w:sz w:val="21"/>
          <w:szCs w:val="21"/>
        </w:rPr>
      </w:pPr>
    </w:p>
    <w:p w:rsidR="00FB1C95" w:rsidP="00801746" w:rsidRDefault="00FB1C95" w14:paraId="47EFAF32" w14:textId="36413D6F">
      <w:pPr>
        <w:pStyle w:val="BodyText"/>
        <w:kinsoku w:val="0"/>
        <w:overflowPunct w:val="0"/>
        <w:spacing w:before="77"/>
        <w:ind w:left="100" w:right="262"/>
      </w:pPr>
      <w:r>
        <w:t xml:space="preserve">The purpose for collecting this information is to ensure that recipients of Federal financial assistance operate their programs and activities in a non-discriminatory manner. </w:t>
      </w:r>
      <w:r w:rsidRPr="001A44C7" w:rsidR="007907D9">
        <w:t>NRC Form</w:t>
      </w:r>
      <w:r w:rsidRPr="001A44C7">
        <w:t xml:space="preserve"> 782</w:t>
      </w:r>
      <w:r w:rsidRPr="005B46AA">
        <w:t xml:space="preserve"> outlines the responsibilities of the recipient under the law to engage in fair</w:t>
      </w:r>
      <w:r>
        <w:t xml:space="preserve"> practices and provides the NRC with another vehicle to assess recipient programs.</w:t>
      </w:r>
      <w:r w:rsidR="00974EE7">
        <w:t xml:space="preserve"> </w:t>
      </w:r>
      <w:r>
        <w:t>Each applicant/recipient</w:t>
      </w:r>
      <w:r>
        <w:rPr>
          <w:spacing w:val="-19"/>
        </w:rPr>
        <w:t xml:space="preserve"> </w:t>
      </w:r>
      <w:r>
        <w:t>is</w:t>
      </w:r>
      <w:r w:rsidR="00271D90">
        <w:t xml:space="preserve"> </w:t>
      </w:r>
      <w:r>
        <w:t>assigned a case file in which this form is filed. Each request is assigned an SBCR compliance review number which reflects the year of the request, month of the request, and the numerical order of receipt of the request.</w:t>
      </w:r>
      <w:r w:rsidR="00974EE7">
        <w:t xml:space="preserve"> </w:t>
      </w:r>
      <w:r>
        <w:t>Case files are maintained in paper form in a locked file cabinet.</w:t>
      </w:r>
    </w:p>
    <w:p w:rsidR="00FB1C95" w:rsidRDefault="00FB1C95" w14:paraId="5120D9EB" w14:textId="77777777">
      <w:pPr>
        <w:pStyle w:val="BodyText"/>
        <w:kinsoku w:val="0"/>
        <w:overflowPunct w:val="0"/>
        <w:spacing w:before="10"/>
        <w:rPr>
          <w:sz w:val="21"/>
          <w:szCs w:val="21"/>
        </w:rPr>
      </w:pPr>
    </w:p>
    <w:p w:rsidR="00FB1C95" w:rsidRDefault="00FB1C95" w14:paraId="7454F485" w14:textId="77777777">
      <w:pPr>
        <w:pStyle w:val="BodyText"/>
        <w:kinsoku w:val="0"/>
        <w:overflowPunct w:val="0"/>
        <w:ind w:left="100" w:right="106"/>
      </w:pPr>
      <w:r>
        <w:t>All recipients of Federal financial assistance from the Nuclear Regulatory Commission (NRC) are subject to Title IX, but Title IX’s anti-discrimination prohibitions are limited to the educational components of the recipient’s program or activity, if any.</w:t>
      </w:r>
      <w:r w:rsidR="00974EE7">
        <w:t xml:space="preserve"> </w:t>
      </w:r>
      <w:r>
        <w:t>Failure to include a type of Federal assistance in the list indicated below shall not mean, if Title IX is otherwise applicable, that a program or activity is not covered by Title IX. The following is a list of Federal financial assistance administered by the NRC to which Title IX</w:t>
      </w:r>
      <w:r>
        <w:rPr>
          <w:spacing w:val="-15"/>
        </w:rPr>
        <w:t xml:space="preserve"> </w:t>
      </w:r>
      <w:r>
        <w:t>applies:</w:t>
      </w:r>
    </w:p>
    <w:p w:rsidR="00FB1C95" w:rsidRDefault="00FB1C95" w14:paraId="7A357E96" w14:textId="77777777">
      <w:pPr>
        <w:pStyle w:val="BodyText"/>
        <w:kinsoku w:val="0"/>
        <w:overflowPunct w:val="0"/>
      </w:pPr>
    </w:p>
    <w:p w:rsidR="00FB1C95" w:rsidRDefault="00FB1C95" w14:paraId="71462C76" w14:textId="77777777">
      <w:pPr>
        <w:pStyle w:val="ListParagraph"/>
        <w:numPr>
          <w:ilvl w:val="0"/>
          <w:numId w:val="2"/>
        </w:numPr>
        <w:tabs>
          <w:tab w:val="left" w:pos="821"/>
        </w:tabs>
        <w:kinsoku w:val="0"/>
        <w:overflowPunct w:val="0"/>
        <w:ind w:right="645" w:firstLine="0"/>
        <w:rPr>
          <w:sz w:val="22"/>
          <w:szCs w:val="22"/>
        </w:rPr>
      </w:pPr>
      <w:r>
        <w:rPr>
          <w:sz w:val="22"/>
          <w:szCs w:val="22"/>
        </w:rPr>
        <w:t>Conferences on regulatory programs and related matters: Agreements for financial assistance to State and local officials, without full-cost recovery, to confer on regulatory programs and related matters at NRC facilities and offices, or other</w:t>
      </w:r>
      <w:r>
        <w:rPr>
          <w:spacing w:val="-14"/>
          <w:sz w:val="22"/>
          <w:szCs w:val="22"/>
        </w:rPr>
        <w:t xml:space="preserve"> </w:t>
      </w:r>
      <w:r>
        <w:rPr>
          <w:sz w:val="22"/>
          <w:szCs w:val="22"/>
        </w:rPr>
        <w:t>locations.</w:t>
      </w:r>
    </w:p>
    <w:p w:rsidR="00FB1C95" w:rsidRDefault="00FB1C95" w14:paraId="2C24A155" w14:textId="77777777">
      <w:pPr>
        <w:pStyle w:val="BodyText"/>
        <w:kinsoku w:val="0"/>
        <w:overflowPunct w:val="0"/>
        <w:spacing w:before="10"/>
        <w:rPr>
          <w:sz w:val="21"/>
          <w:szCs w:val="21"/>
        </w:rPr>
      </w:pPr>
    </w:p>
    <w:p w:rsidR="00FB1C95" w:rsidP="00801746" w:rsidRDefault="00FB1C95" w14:paraId="144DF41A" w14:textId="77777777">
      <w:pPr>
        <w:pStyle w:val="ListParagraph"/>
        <w:numPr>
          <w:ilvl w:val="0"/>
          <w:numId w:val="2"/>
        </w:numPr>
        <w:tabs>
          <w:tab w:val="left" w:pos="821"/>
        </w:tabs>
        <w:kinsoku w:val="0"/>
        <w:overflowPunct w:val="0"/>
        <w:ind w:right="640" w:firstLine="0"/>
        <w:rPr>
          <w:sz w:val="22"/>
          <w:szCs w:val="22"/>
        </w:rPr>
      </w:pPr>
      <w:r>
        <w:rPr>
          <w:sz w:val="22"/>
          <w:szCs w:val="22"/>
        </w:rPr>
        <w:t>Orientations and instruction: Agreements for financial assistance to State and local officials, without full-cost recovery, to receive orientation and on-the-job instruction at NRC facilities and offices, or other</w:t>
      </w:r>
      <w:r>
        <w:rPr>
          <w:spacing w:val="-11"/>
          <w:sz w:val="22"/>
          <w:szCs w:val="22"/>
        </w:rPr>
        <w:t xml:space="preserve"> </w:t>
      </w:r>
      <w:r>
        <w:rPr>
          <w:sz w:val="22"/>
          <w:szCs w:val="22"/>
        </w:rPr>
        <w:t>locations.</w:t>
      </w:r>
    </w:p>
    <w:p w:rsidR="00FB1C95" w:rsidRDefault="00FB1C95" w14:paraId="0D9A4218" w14:textId="77777777">
      <w:pPr>
        <w:pStyle w:val="BodyText"/>
        <w:kinsoku w:val="0"/>
        <w:overflowPunct w:val="0"/>
        <w:spacing w:before="10"/>
        <w:rPr>
          <w:sz w:val="21"/>
          <w:szCs w:val="21"/>
        </w:rPr>
      </w:pPr>
    </w:p>
    <w:p w:rsidR="00FB1C95" w:rsidRDefault="00FB1C95" w14:paraId="71E6527B" w14:textId="77777777">
      <w:pPr>
        <w:pStyle w:val="ListParagraph"/>
        <w:numPr>
          <w:ilvl w:val="0"/>
          <w:numId w:val="2"/>
        </w:numPr>
        <w:tabs>
          <w:tab w:val="left" w:pos="821"/>
        </w:tabs>
        <w:kinsoku w:val="0"/>
        <w:overflowPunct w:val="0"/>
        <w:ind w:right="693" w:firstLine="0"/>
        <w:rPr>
          <w:sz w:val="22"/>
          <w:szCs w:val="22"/>
        </w:rPr>
      </w:pPr>
      <w:r>
        <w:rPr>
          <w:sz w:val="22"/>
          <w:szCs w:val="22"/>
        </w:rPr>
        <w:t>Technical training courses: Agreements for financial assistance to State and local officials, without full-cost recovery, to receive orientation and on-the-job instruction at</w:t>
      </w:r>
      <w:r>
        <w:rPr>
          <w:spacing w:val="-19"/>
          <w:sz w:val="22"/>
          <w:szCs w:val="22"/>
        </w:rPr>
        <w:t xml:space="preserve"> </w:t>
      </w:r>
      <w:r>
        <w:rPr>
          <w:sz w:val="22"/>
          <w:szCs w:val="22"/>
        </w:rPr>
        <w:t>NRC facilities and offices, or other</w:t>
      </w:r>
      <w:r>
        <w:rPr>
          <w:spacing w:val="-11"/>
          <w:sz w:val="22"/>
          <w:szCs w:val="22"/>
        </w:rPr>
        <w:t xml:space="preserve"> </w:t>
      </w:r>
      <w:r>
        <w:rPr>
          <w:sz w:val="22"/>
          <w:szCs w:val="22"/>
        </w:rPr>
        <w:t>locations.</w:t>
      </w:r>
    </w:p>
    <w:p w:rsidR="00FB1C95" w:rsidRDefault="00FB1C95" w14:paraId="2BF728A1" w14:textId="77777777">
      <w:pPr>
        <w:pStyle w:val="BodyText"/>
        <w:kinsoku w:val="0"/>
        <w:overflowPunct w:val="0"/>
      </w:pPr>
    </w:p>
    <w:p w:rsidR="00FB1C95" w:rsidRDefault="00FB1C95" w14:paraId="43DE6A5A" w14:textId="77777777">
      <w:pPr>
        <w:pStyle w:val="ListParagraph"/>
        <w:numPr>
          <w:ilvl w:val="0"/>
          <w:numId w:val="2"/>
        </w:numPr>
        <w:tabs>
          <w:tab w:val="left" w:pos="821"/>
        </w:tabs>
        <w:kinsoku w:val="0"/>
        <w:overflowPunct w:val="0"/>
        <w:ind w:right="142" w:firstLine="0"/>
        <w:rPr>
          <w:sz w:val="22"/>
          <w:szCs w:val="22"/>
        </w:rPr>
      </w:pPr>
      <w:r>
        <w:rPr>
          <w:sz w:val="22"/>
          <w:szCs w:val="22"/>
        </w:rPr>
        <w:t>Participation in meetings and conferences: Agreements for participation, without</w:t>
      </w:r>
      <w:r>
        <w:rPr>
          <w:spacing w:val="-22"/>
          <w:sz w:val="22"/>
          <w:szCs w:val="22"/>
        </w:rPr>
        <w:t xml:space="preserve"> </w:t>
      </w:r>
      <w:r>
        <w:rPr>
          <w:sz w:val="22"/>
          <w:szCs w:val="22"/>
        </w:rPr>
        <w:t>full-cost recovery, in meetings, conferences, workshops, and symposia to assist scientific, professional or educational institutions or</w:t>
      </w:r>
      <w:r>
        <w:rPr>
          <w:spacing w:val="-10"/>
          <w:sz w:val="22"/>
          <w:szCs w:val="22"/>
        </w:rPr>
        <w:t xml:space="preserve"> </w:t>
      </w:r>
      <w:r>
        <w:rPr>
          <w:sz w:val="22"/>
          <w:szCs w:val="22"/>
        </w:rPr>
        <w:t>groups.</w:t>
      </w:r>
    </w:p>
    <w:p w:rsidR="00FB1C95" w:rsidRDefault="00FB1C95" w14:paraId="46A2CB92" w14:textId="77777777">
      <w:pPr>
        <w:pStyle w:val="BodyText"/>
        <w:kinsoku w:val="0"/>
        <w:overflowPunct w:val="0"/>
      </w:pPr>
    </w:p>
    <w:p w:rsidR="00FB1C95" w:rsidRDefault="00FB1C95" w14:paraId="6E6887D0" w14:textId="77777777">
      <w:pPr>
        <w:pStyle w:val="ListParagraph"/>
        <w:numPr>
          <w:ilvl w:val="0"/>
          <w:numId w:val="2"/>
        </w:numPr>
        <w:tabs>
          <w:tab w:val="left" w:pos="821"/>
        </w:tabs>
        <w:kinsoku w:val="0"/>
        <w:overflowPunct w:val="0"/>
        <w:ind w:right="361" w:firstLine="0"/>
        <w:rPr>
          <w:sz w:val="22"/>
          <w:szCs w:val="22"/>
        </w:rPr>
      </w:pPr>
      <w:r>
        <w:rPr>
          <w:sz w:val="22"/>
          <w:szCs w:val="22"/>
        </w:rPr>
        <w:t>Research support: Agreements for the financial support of basic and applied scientific research and for the exchanges of scientific</w:t>
      </w:r>
      <w:r>
        <w:rPr>
          <w:spacing w:val="-13"/>
          <w:sz w:val="22"/>
          <w:szCs w:val="22"/>
        </w:rPr>
        <w:t xml:space="preserve"> </w:t>
      </w:r>
      <w:r>
        <w:rPr>
          <w:sz w:val="22"/>
          <w:szCs w:val="22"/>
        </w:rPr>
        <w:t>information.</w:t>
      </w:r>
    </w:p>
    <w:p w:rsidR="00FB1C95" w:rsidRDefault="00FB1C95" w14:paraId="3B2F265B" w14:textId="77777777">
      <w:pPr>
        <w:pStyle w:val="BodyText"/>
        <w:kinsoku w:val="0"/>
        <w:overflowPunct w:val="0"/>
        <w:spacing w:before="10"/>
        <w:rPr>
          <w:sz w:val="21"/>
          <w:szCs w:val="21"/>
        </w:rPr>
      </w:pPr>
    </w:p>
    <w:p w:rsidR="00FB1C95" w:rsidP="00801746" w:rsidRDefault="00FB1C95" w14:paraId="1ADF4B33" w14:textId="77777777">
      <w:pPr>
        <w:pStyle w:val="ListParagraph"/>
        <w:numPr>
          <w:ilvl w:val="0"/>
          <w:numId w:val="2"/>
        </w:numPr>
        <w:tabs>
          <w:tab w:val="left" w:pos="821"/>
        </w:tabs>
        <w:kinsoku w:val="0"/>
        <w:overflowPunct w:val="0"/>
        <w:ind w:right="152" w:firstLine="0"/>
        <w:rPr>
          <w:sz w:val="22"/>
          <w:szCs w:val="22"/>
        </w:rPr>
      </w:pPr>
      <w:r>
        <w:rPr>
          <w:sz w:val="22"/>
          <w:szCs w:val="22"/>
        </w:rPr>
        <w:t>Educational Institutions: Agreements for financial assistance to education institutions to include applicants or recipient that is an institution of higher education, an institution of</w:t>
      </w:r>
      <w:r>
        <w:rPr>
          <w:spacing w:val="-23"/>
          <w:sz w:val="22"/>
          <w:szCs w:val="22"/>
        </w:rPr>
        <w:t xml:space="preserve"> </w:t>
      </w:r>
      <w:r>
        <w:rPr>
          <w:sz w:val="22"/>
          <w:szCs w:val="22"/>
        </w:rPr>
        <w:t>graduate higher education, an institution of undergraduate higher education, an institution of professional education, or an institution of vocational</w:t>
      </w:r>
      <w:r>
        <w:rPr>
          <w:spacing w:val="-12"/>
          <w:sz w:val="22"/>
          <w:szCs w:val="22"/>
        </w:rPr>
        <w:t xml:space="preserve"> </w:t>
      </w:r>
      <w:r>
        <w:rPr>
          <w:sz w:val="22"/>
          <w:szCs w:val="22"/>
        </w:rPr>
        <w:t>education</w:t>
      </w:r>
    </w:p>
    <w:p w:rsidR="00FB1C95" w:rsidRDefault="00FB1C95" w14:paraId="0354AAB7" w14:textId="2D1A40CE">
      <w:pPr>
        <w:pStyle w:val="BodyText"/>
        <w:kinsoku w:val="0"/>
        <w:overflowPunct w:val="0"/>
      </w:pPr>
    </w:p>
    <w:p w:rsidR="00767387" w:rsidRDefault="00767387" w14:paraId="6334F65A" w14:textId="77777777">
      <w:pPr>
        <w:pStyle w:val="BodyText"/>
        <w:kinsoku w:val="0"/>
        <w:overflowPunct w:val="0"/>
      </w:pPr>
    </w:p>
    <w:p w:rsidR="00FB1C95" w:rsidRDefault="00FB1C95" w14:paraId="6225D105" w14:textId="77777777">
      <w:pPr>
        <w:pStyle w:val="ListParagraph"/>
        <w:numPr>
          <w:ilvl w:val="0"/>
          <w:numId w:val="1"/>
        </w:numPr>
        <w:tabs>
          <w:tab w:val="left" w:pos="499"/>
        </w:tabs>
        <w:kinsoku w:val="0"/>
        <w:overflowPunct w:val="0"/>
        <w:ind w:hanging="398"/>
        <w:rPr>
          <w:color w:val="000000"/>
          <w:sz w:val="22"/>
          <w:szCs w:val="22"/>
        </w:rPr>
      </w:pPr>
      <w:r>
        <w:rPr>
          <w:color w:val="000000"/>
          <w:sz w:val="22"/>
          <w:szCs w:val="22"/>
        </w:rPr>
        <w:lastRenderedPageBreak/>
        <w:t>JUSTIFICATION</w:t>
      </w:r>
    </w:p>
    <w:p w:rsidR="00FB1C95" w:rsidRDefault="00FB1C95" w14:paraId="5FD0A2E7" w14:textId="77777777">
      <w:pPr>
        <w:pStyle w:val="BodyText"/>
        <w:kinsoku w:val="0"/>
        <w:overflowPunct w:val="0"/>
        <w:spacing w:before="10"/>
        <w:rPr>
          <w:sz w:val="21"/>
          <w:szCs w:val="21"/>
        </w:rPr>
      </w:pPr>
    </w:p>
    <w:p w:rsidRPr="00747632" w:rsidR="00747632" w:rsidP="00801746" w:rsidRDefault="00747632" w14:paraId="620672F3" w14:textId="77777777">
      <w:pPr>
        <w:widowControl/>
        <w:numPr>
          <w:ilvl w:val="1"/>
          <w:numId w:val="1"/>
        </w:num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sidRPr="00747632">
        <w:rPr>
          <w:sz w:val="22"/>
          <w:szCs w:val="22"/>
          <w:u w:val="single"/>
        </w:rPr>
        <w:t>Need for and Practical Utility of the Collection of Information</w:t>
      </w:r>
      <w:r w:rsidRPr="00747632">
        <w:rPr>
          <w:sz w:val="22"/>
          <w:szCs w:val="22"/>
        </w:rPr>
        <w:t>. The reporting and recordkeeping requirements are necessary in order for NRC staff to assure that the recipients of Federal financial assistance are in compliance with Title IX of the Education Amendments of 1972, as amended.</w:t>
      </w:r>
    </w:p>
    <w:p w:rsidRPr="00747632" w:rsidR="00747632" w:rsidP="00D230CD" w:rsidRDefault="00747632" w14:paraId="2C74B7DC" w14:textId="77777777">
      <w:pPr>
        <w:widowControl/>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47632" w:rsidR="00747632" w:rsidP="00D230CD" w:rsidRDefault="00747632" w14:paraId="14BE35C3" w14:textId="77777777">
      <w:pPr>
        <w:widowControl/>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980"/>
        <w:rPr>
          <w:sz w:val="22"/>
          <w:szCs w:val="22"/>
        </w:rPr>
      </w:pPr>
      <w:r w:rsidRPr="00747632">
        <w:rPr>
          <w:sz w:val="22"/>
          <w:szCs w:val="22"/>
        </w:rPr>
        <w:t>The currently effective information collection requirements of Part 5 are identified and explained below:</w:t>
      </w:r>
    </w:p>
    <w:p w:rsidRPr="00747632" w:rsidR="00747632" w:rsidP="00D230CD" w:rsidRDefault="00747632" w14:paraId="60212E37" w14:textId="77777777">
      <w:pPr>
        <w:widowControl/>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47632" w:rsidR="00747632" w:rsidP="00D230CD" w:rsidRDefault="00747632" w14:paraId="73F6CC8B" w14:textId="7FDE9640">
      <w:pPr>
        <w:widowControl/>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980"/>
        <w:rPr>
          <w:sz w:val="22"/>
          <w:szCs w:val="22"/>
        </w:rPr>
      </w:pPr>
      <w:r w:rsidRPr="00747632">
        <w:rPr>
          <w:sz w:val="22"/>
          <w:szCs w:val="22"/>
          <w:u w:val="single"/>
        </w:rPr>
        <w:t>Section 5.110(c)(1)(2)(3)</w:t>
      </w:r>
      <w:r w:rsidRPr="00747632">
        <w:rPr>
          <w:sz w:val="22"/>
          <w:szCs w:val="22"/>
        </w:rPr>
        <w:t xml:space="preserve"> Each recipient educational institution shall within one year of September 29, 2000: (1) evaluate, in terms of the requirements of these Title IX regulations, its current policies and practices and the effects thereof concerning admission of students, treatment of students, and employment of both academic and non-academic personnel working in connection with the recipient</w:t>
      </w:r>
      <w:r w:rsidRPr="00747632">
        <w:rPr>
          <w:sz w:val="22"/>
          <w:szCs w:val="22"/>
        </w:rPr>
        <w:sym w:font="WP TypographicSymbols" w:char="003D"/>
      </w:r>
      <w:r w:rsidRPr="00747632">
        <w:rPr>
          <w:sz w:val="22"/>
          <w:szCs w:val="22"/>
        </w:rPr>
        <w:t>s education program or activity; (2) modify any of these policies and practices that do not or may not meet the requirements of these Title IX regulations and (3) take appropriate remedial steps to eliminate the effects of any discrimination that resulted or may have resulted from adherence to these policies and practices.</w:t>
      </w:r>
      <w:r w:rsidR="00974EE7">
        <w:rPr>
          <w:sz w:val="22"/>
          <w:szCs w:val="22"/>
        </w:rPr>
        <w:t xml:space="preserve"> </w:t>
      </w:r>
    </w:p>
    <w:p w:rsidRPr="00747632" w:rsidR="00747632" w:rsidP="00D230CD" w:rsidRDefault="00747632" w14:paraId="5E11E528" w14:textId="77777777">
      <w:pPr>
        <w:widowControl/>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47632" w:rsidR="00747632" w:rsidP="00D230CD" w:rsidRDefault="00747632" w14:paraId="6F9128B0" w14:textId="77777777">
      <w:pPr>
        <w:widowControl/>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980"/>
        <w:rPr>
          <w:sz w:val="22"/>
          <w:szCs w:val="22"/>
        </w:rPr>
      </w:pPr>
      <w:r w:rsidRPr="00747632">
        <w:rPr>
          <w:sz w:val="22"/>
          <w:szCs w:val="22"/>
          <w:u w:val="single"/>
        </w:rPr>
        <w:t>Section 5.110(d)</w:t>
      </w:r>
      <w:r w:rsidRPr="00747632">
        <w:rPr>
          <w:sz w:val="22"/>
          <w:szCs w:val="22"/>
        </w:rPr>
        <w:t xml:space="preserve"> Recipients shall maintain on file for at least three years following its completion, the evaluation required under paragraph (c) of this section, and shall provide to the designated agency official upon request, a description of any modifications made pursuant to paragraph (c)(2) of this section and of any remedial steps taken pursuant to paragraph (c)(3) of this section. </w:t>
      </w:r>
    </w:p>
    <w:p w:rsidRPr="00747632" w:rsidR="00747632" w:rsidP="00D230CD" w:rsidRDefault="00747632" w14:paraId="2ED2DD20" w14:textId="77777777">
      <w:pPr>
        <w:widowControl/>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47632" w:rsidR="00747632" w:rsidP="00D230CD" w:rsidRDefault="00747632" w14:paraId="6A79F1C2" w14:textId="193707AB">
      <w:pPr>
        <w:widowControl/>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980"/>
        <w:rPr>
          <w:sz w:val="22"/>
          <w:szCs w:val="22"/>
        </w:rPr>
      </w:pPr>
      <w:r w:rsidRPr="00747632">
        <w:rPr>
          <w:sz w:val="22"/>
          <w:szCs w:val="22"/>
          <w:u w:val="single"/>
        </w:rPr>
        <w:t>Section 5.115(a)</w:t>
      </w:r>
      <w:r w:rsidRPr="00747632">
        <w:rPr>
          <w:sz w:val="22"/>
          <w:szCs w:val="22"/>
        </w:rPr>
        <w:t xml:space="preserve"> Either at the application stage or the award stage, Federal agencies must ensure that applications for Federal financial assistance or awards of Federal financial assistance contain, be accompanied by, or be covered by a specifically identified assurance from the applicant or recipient, satisfactory to the designated agency official, that each education program or activity operated by the applicant or recipient and to which these Title IX regulations apply will be operated in compliance with these Title IX regulations.</w:t>
      </w:r>
      <w:r w:rsidR="00974EE7">
        <w:rPr>
          <w:sz w:val="22"/>
          <w:szCs w:val="22"/>
        </w:rPr>
        <w:t xml:space="preserve"> </w:t>
      </w:r>
      <w:r w:rsidRPr="00747632">
        <w:rPr>
          <w:sz w:val="22"/>
          <w:szCs w:val="22"/>
        </w:rPr>
        <w:t>An assurance of compliance with these Title IX regulations shall not be satisfactory to the designated agency official if the applicant or recipient to whom such assurance applies fails to commit itself to take whatever remedial action is necessary in accordance with 5.110 (a) to eliminate existing discrimination, whether occurring prior to or subsequent to the submission to the designated agency official of such assurance.</w:t>
      </w:r>
    </w:p>
    <w:p w:rsidRPr="00747632" w:rsidR="00747632" w:rsidP="00D230CD" w:rsidRDefault="00747632" w14:paraId="633C9736" w14:textId="77777777">
      <w:pPr>
        <w:widowControl/>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47632" w:rsidR="00747632" w:rsidP="00D230CD" w:rsidRDefault="00747632" w14:paraId="2681D680" w14:textId="77777777">
      <w:pPr>
        <w:widowControl/>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980"/>
        <w:rPr>
          <w:sz w:val="22"/>
          <w:szCs w:val="22"/>
        </w:rPr>
      </w:pPr>
      <w:r w:rsidRPr="00747632">
        <w:rPr>
          <w:sz w:val="22"/>
          <w:szCs w:val="22"/>
          <w:u w:val="single"/>
        </w:rPr>
        <w:t>Section 5.115(b)(1)</w:t>
      </w:r>
      <w:r w:rsidRPr="00747632">
        <w:rPr>
          <w:sz w:val="22"/>
          <w:szCs w:val="22"/>
        </w:rPr>
        <w:t xml:space="preserve"> In the case of Federal financial assistance extended to provide real property or structures thereon, such assurance shall obligate the recipient or in the case of a subsequent transfer, the transferee, for the period during which the real property or structures are used to provide an education program or activity.</w:t>
      </w:r>
    </w:p>
    <w:p w:rsidRPr="00747632" w:rsidR="00747632" w:rsidP="00D230CD" w:rsidRDefault="00747632" w14:paraId="5E0EA4D8" w14:textId="77777777">
      <w:pPr>
        <w:widowControl/>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47632" w:rsidR="00747632" w:rsidP="00D230CD" w:rsidRDefault="00747632" w14:paraId="72D6E315" w14:textId="6F2DECAE">
      <w:pPr>
        <w:widowControl/>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980"/>
        <w:rPr>
          <w:sz w:val="22"/>
          <w:szCs w:val="22"/>
        </w:rPr>
      </w:pPr>
      <w:r w:rsidRPr="00747632">
        <w:rPr>
          <w:sz w:val="22"/>
          <w:szCs w:val="22"/>
          <w:u w:val="single"/>
        </w:rPr>
        <w:lastRenderedPageBreak/>
        <w:t>Section 5.115(c)(1)</w:t>
      </w:r>
      <w:r w:rsidRPr="00747632">
        <w:rPr>
          <w:sz w:val="22"/>
          <w:szCs w:val="22"/>
        </w:rPr>
        <w:t xml:space="preserve"> The assurances required by paragraph (a) of this section, which may be included as part of a document that addresses other assurances or obligations, shall include that the applicant or recipient will comply with all applicable Federal statutes relating to nondiscrimination.</w:t>
      </w:r>
      <w:r w:rsidR="00974EE7">
        <w:rPr>
          <w:sz w:val="22"/>
          <w:szCs w:val="22"/>
        </w:rPr>
        <w:t xml:space="preserve"> </w:t>
      </w:r>
      <w:r w:rsidRPr="00747632">
        <w:rPr>
          <w:sz w:val="22"/>
          <w:szCs w:val="22"/>
        </w:rPr>
        <w:t>These include but are not limited to Title IX of the Education Amendments of 1972, as amended.</w:t>
      </w:r>
    </w:p>
    <w:p w:rsidRPr="00747632" w:rsidR="00747632" w:rsidP="00D230CD" w:rsidRDefault="00747632" w14:paraId="38D29D0F" w14:textId="77777777">
      <w:pPr>
        <w:widowControl/>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47632" w:rsidR="00747632" w:rsidP="00D230CD" w:rsidRDefault="00747632" w14:paraId="02E008D1" w14:textId="4FDDCCF1">
      <w:pPr>
        <w:widowControl/>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980"/>
        <w:rPr>
          <w:sz w:val="22"/>
          <w:szCs w:val="22"/>
        </w:rPr>
      </w:pPr>
      <w:r w:rsidRPr="00747632">
        <w:rPr>
          <w:sz w:val="22"/>
          <w:szCs w:val="22"/>
          <w:u w:val="single"/>
        </w:rPr>
        <w:t>Section 5.135(a)</w:t>
      </w:r>
      <w:r w:rsidRPr="00747632">
        <w:rPr>
          <w:sz w:val="22"/>
          <w:szCs w:val="22"/>
        </w:rPr>
        <w:t xml:space="preserve"> Each recipient shall designate at least one employee to coordinate its efforts to comply with and carry out its responsibilities under these Title IX regulations, including any investigations of any complaint communicated to such recipient alleging its noncompliance with these Title IX regulations.</w:t>
      </w:r>
      <w:r w:rsidR="00974EE7">
        <w:rPr>
          <w:sz w:val="22"/>
          <w:szCs w:val="22"/>
        </w:rPr>
        <w:t xml:space="preserve"> </w:t>
      </w:r>
      <w:r w:rsidRPr="00747632">
        <w:rPr>
          <w:sz w:val="22"/>
          <w:szCs w:val="22"/>
        </w:rPr>
        <w:t>The recipient shall notify all its students and employees of the name, office address, and telephone number of the employee or employees appointed pursuant to this paragraph.</w:t>
      </w:r>
    </w:p>
    <w:p w:rsidRPr="00747632" w:rsidR="00747632" w:rsidP="00D230CD" w:rsidRDefault="00747632" w14:paraId="67BEEE86" w14:textId="77777777">
      <w:pPr>
        <w:widowControl/>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47632" w:rsidR="00747632" w:rsidP="00D230CD" w:rsidRDefault="00747632" w14:paraId="22D17828" w14:textId="77777777">
      <w:pPr>
        <w:widowControl/>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980"/>
        <w:rPr>
          <w:sz w:val="22"/>
          <w:szCs w:val="22"/>
        </w:rPr>
      </w:pPr>
      <w:r w:rsidRPr="00747632">
        <w:rPr>
          <w:sz w:val="22"/>
          <w:szCs w:val="22"/>
          <w:u w:val="single"/>
        </w:rPr>
        <w:t>Section 5.135(b)</w:t>
      </w:r>
      <w:r w:rsidRPr="00747632">
        <w:rPr>
          <w:sz w:val="22"/>
          <w:szCs w:val="22"/>
        </w:rPr>
        <w:t xml:space="preserve"> A recipient shall adopt and publish grievance procedures providing for prompt and equitable resolution of student and employee complaints alleging any action that would be prohibited by the Title IX regulations.</w:t>
      </w:r>
    </w:p>
    <w:p w:rsidRPr="00747632" w:rsidR="00747632" w:rsidP="00D230CD" w:rsidRDefault="00747632" w14:paraId="58FB491B" w14:textId="77777777">
      <w:pPr>
        <w:widowControl/>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2750"/>
        <w:rPr>
          <w:sz w:val="22"/>
          <w:szCs w:val="22"/>
        </w:rPr>
      </w:pPr>
    </w:p>
    <w:p w:rsidRPr="00747632" w:rsidR="00747632" w:rsidP="00D230CD" w:rsidRDefault="00747632" w14:paraId="3B3081F3" w14:textId="0B0C0B9A">
      <w:pPr>
        <w:widowControl/>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980"/>
        <w:rPr>
          <w:sz w:val="22"/>
          <w:szCs w:val="22"/>
        </w:rPr>
      </w:pPr>
      <w:r w:rsidRPr="00747632">
        <w:rPr>
          <w:sz w:val="22"/>
          <w:szCs w:val="22"/>
          <w:u w:val="single"/>
        </w:rPr>
        <w:t>Section 5.140(a)(1)</w:t>
      </w:r>
      <w:r w:rsidRPr="00747632">
        <w:rPr>
          <w:sz w:val="22"/>
          <w:szCs w:val="22"/>
        </w:rPr>
        <w:t xml:space="preserve"> Each recipient shall implement specific and continuing steps to notify applicants for admission and employment, students and parents of elementary and secondary school students, employees, sources of referral of applicants for admission and employment, and all unions or professional organizations holding collective bargaining or professional agreements with the recipient, that it does not discriminate on the basis of sex</w:t>
      </w:r>
      <w:r w:rsidRPr="00896344" w:rsidR="00896344">
        <w:rPr>
          <w:sz w:val="22"/>
          <w:szCs w:val="22"/>
        </w:rPr>
        <w:t xml:space="preserve"> </w:t>
      </w:r>
      <w:r w:rsidRPr="00747632">
        <w:rPr>
          <w:sz w:val="22"/>
          <w:szCs w:val="22"/>
        </w:rPr>
        <w:t>in the educational programs or activities that it operates, and that it is required by Title IX regulations not to discriminate in such a manner.</w:t>
      </w:r>
      <w:r w:rsidR="00974EE7">
        <w:rPr>
          <w:sz w:val="22"/>
          <w:szCs w:val="22"/>
        </w:rPr>
        <w:t xml:space="preserve"> </w:t>
      </w:r>
      <w:r w:rsidRPr="00747632">
        <w:rPr>
          <w:sz w:val="22"/>
          <w:szCs w:val="22"/>
        </w:rPr>
        <w:t xml:space="preserve">Such notification shall contain such information, and be made in such manner, as the designated agency official finds necessary to apprise such persons of the protections against discrimination assured them by Title IX regulations, but shall state at least that the requirement not to discriminate in education programs or activities extends to employment therein, and to admission thereto unless Sections 5.300 through 5.310 do not apply to the recipient, and that inquiries concerning the application of Title IX and these Title IX regulations to such recipient may be referred to the employee designated pursuant to Section 5.135, or to the designated agency official. </w:t>
      </w:r>
    </w:p>
    <w:p w:rsidRPr="00747632" w:rsidR="00747632" w:rsidP="00D230CD" w:rsidRDefault="00747632" w14:paraId="4EF62BC1" w14:textId="77777777">
      <w:pPr>
        <w:widowControl/>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2750"/>
        <w:rPr>
          <w:sz w:val="22"/>
          <w:szCs w:val="22"/>
        </w:rPr>
      </w:pPr>
    </w:p>
    <w:p w:rsidRPr="00747632" w:rsidR="00747632" w:rsidP="00D230CD" w:rsidRDefault="00747632" w14:paraId="54F97B34" w14:textId="77777777">
      <w:pPr>
        <w:widowControl/>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980"/>
        <w:rPr>
          <w:sz w:val="22"/>
          <w:szCs w:val="22"/>
        </w:rPr>
      </w:pPr>
      <w:r w:rsidRPr="00747632">
        <w:rPr>
          <w:sz w:val="22"/>
          <w:szCs w:val="22"/>
          <w:u w:val="single"/>
        </w:rPr>
        <w:t>Section 5.140(a)(2)</w:t>
      </w:r>
      <w:r w:rsidRPr="00747632">
        <w:rPr>
          <w:sz w:val="22"/>
          <w:szCs w:val="22"/>
        </w:rPr>
        <w:t xml:space="preserve"> Each recipient shall make the initial notification required by paragraph (a)(1) of this section within 90 days of September 29, 2000 or of the date these Title IX regulations first apply to such recipient, whichever comes later, which notification shall include publication in: (</w:t>
      </w:r>
      <w:proofErr w:type="spellStart"/>
      <w:r w:rsidRPr="00747632">
        <w:rPr>
          <w:sz w:val="22"/>
          <w:szCs w:val="22"/>
        </w:rPr>
        <w:t>i</w:t>
      </w:r>
      <w:proofErr w:type="spellEnd"/>
      <w:r w:rsidRPr="00747632">
        <w:rPr>
          <w:sz w:val="22"/>
          <w:szCs w:val="22"/>
        </w:rPr>
        <w:t xml:space="preserve">) newspapers and magazines operated by such recipient or by student, alumnae, or alumni groups for or in connection with such recipient; and (ii) memoranda or other written communications distributed to every student and employee of such recipient. </w:t>
      </w:r>
    </w:p>
    <w:p w:rsidRPr="00747632" w:rsidR="00747632" w:rsidP="00D230CD" w:rsidRDefault="00747632" w14:paraId="01F86FE8" w14:textId="77777777">
      <w:pPr>
        <w:widowControl/>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47632" w:rsidR="00747632" w:rsidP="00D230CD" w:rsidRDefault="00747632" w14:paraId="32E9CDFB" w14:textId="77777777">
      <w:pPr>
        <w:widowControl/>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980"/>
        <w:rPr>
          <w:sz w:val="22"/>
          <w:szCs w:val="22"/>
        </w:rPr>
      </w:pPr>
      <w:r w:rsidRPr="00747632">
        <w:rPr>
          <w:sz w:val="22"/>
          <w:szCs w:val="22"/>
          <w:u w:val="single"/>
        </w:rPr>
        <w:t>Section 5.140(b)(1)</w:t>
      </w:r>
      <w:r w:rsidRPr="00747632">
        <w:rPr>
          <w:sz w:val="22"/>
          <w:szCs w:val="22"/>
        </w:rPr>
        <w:t xml:space="preserve"> Each recipient shall prominently include a statement of the policy described in paragraph (a) of this section in each announcement, bulletin, catalog, or application form that it makes </w:t>
      </w:r>
      <w:r w:rsidRPr="00747632">
        <w:rPr>
          <w:sz w:val="22"/>
          <w:szCs w:val="22"/>
        </w:rPr>
        <w:lastRenderedPageBreak/>
        <w:t xml:space="preserve">available to any person of a type, described in paragraph (a) of this section, or which is otherwise used in connection with recruitment of students or employees. </w:t>
      </w:r>
    </w:p>
    <w:p w:rsidRPr="00747632" w:rsidR="00747632" w:rsidP="00D230CD" w:rsidRDefault="00747632" w14:paraId="4E8FE097" w14:textId="77777777">
      <w:pPr>
        <w:widowControl/>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2750"/>
        <w:rPr>
          <w:sz w:val="22"/>
          <w:szCs w:val="22"/>
        </w:rPr>
      </w:pPr>
    </w:p>
    <w:p w:rsidRPr="00747632" w:rsidR="00747632" w:rsidP="00D230CD" w:rsidRDefault="00747632" w14:paraId="00A7D980" w14:textId="6825C273">
      <w:pPr>
        <w:widowControl/>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980"/>
        <w:rPr>
          <w:sz w:val="22"/>
          <w:szCs w:val="22"/>
        </w:rPr>
      </w:pPr>
      <w:r w:rsidRPr="00747632">
        <w:rPr>
          <w:sz w:val="22"/>
          <w:szCs w:val="22"/>
          <w:u w:val="single"/>
        </w:rPr>
        <w:t>Section 5.140(c)</w:t>
      </w:r>
      <w:r w:rsidRPr="00747632">
        <w:rPr>
          <w:sz w:val="22"/>
          <w:szCs w:val="22"/>
        </w:rPr>
        <w:t xml:space="preserve"> Each recipient shall distribute without discrimination on the basis of sex</w:t>
      </w:r>
      <w:r w:rsidRPr="00801746" w:rsidR="00896344">
        <w:t xml:space="preserve"> </w:t>
      </w:r>
      <w:r w:rsidRPr="00747632">
        <w:rPr>
          <w:sz w:val="22"/>
          <w:szCs w:val="22"/>
        </w:rPr>
        <w:t>each publication described in paragraph (b)(1) of this section, and shall apprise each of its admission and employment recruitment representatives of the policy of nondiscrimination described in paragraph (a) of this section, and shall require such representatives to adhere to such policy.</w:t>
      </w:r>
      <w:r w:rsidR="00974EE7">
        <w:rPr>
          <w:sz w:val="22"/>
          <w:szCs w:val="22"/>
        </w:rPr>
        <w:t xml:space="preserve"> </w:t>
      </w:r>
    </w:p>
    <w:p w:rsidRPr="00747632" w:rsidR="00747632" w:rsidP="00D230CD" w:rsidRDefault="00747632" w14:paraId="424FB268" w14:textId="77777777">
      <w:pPr>
        <w:widowControl/>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300"/>
        <w:rPr>
          <w:sz w:val="22"/>
          <w:szCs w:val="22"/>
        </w:rPr>
      </w:pPr>
    </w:p>
    <w:p w:rsidRPr="00747632" w:rsidR="00747632" w:rsidP="00D230CD" w:rsidRDefault="00747632" w14:paraId="067C0E63" w14:textId="77777777">
      <w:pPr>
        <w:widowControl/>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980"/>
        <w:rPr>
          <w:sz w:val="22"/>
          <w:szCs w:val="22"/>
        </w:rPr>
      </w:pPr>
      <w:r w:rsidRPr="00747632">
        <w:rPr>
          <w:sz w:val="22"/>
          <w:szCs w:val="22"/>
          <w:u w:val="single"/>
        </w:rPr>
        <w:t>Section 5.205(b)</w:t>
      </w:r>
      <w:r w:rsidRPr="00747632">
        <w:rPr>
          <w:sz w:val="22"/>
          <w:szCs w:val="22"/>
        </w:rPr>
        <w:t xml:space="preserve"> An educational institution or other entity that wishes to claim the exemption set forth in paragraph (a) of this section shall do so by submitting in writing to the designated agency official a statement by the highest ranking official of the institution, identifying the provisions of the Title IX regulations that conflict with a specific tenet of the religious organization.</w:t>
      </w:r>
    </w:p>
    <w:p w:rsidRPr="00747632" w:rsidR="00747632" w:rsidP="00D230CD" w:rsidRDefault="00747632" w14:paraId="6040994B" w14:textId="77777777">
      <w:pPr>
        <w:widowControl/>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47632" w:rsidR="00747632" w:rsidP="00D230CD" w:rsidRDefault="00747632" w14:paraId="2945CE54" w14:textId="77777777">
      <w:pPr>
        <w:widowControl/>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980"/>
        <w:rPr>
          <w:sz w:val="22"/>
          <w:szCs w:val="22"/>
        </w:rPr>
      </w:pPr>
      <w:r w:rsidRPr="00747632">
        <w:rPr>
          <w:sz w:val="22"/>
          <w:szCs w:val="22"/>
          <w:u w:val="single"/>
        </w:rPr>
        <w:t>Section 5.230(a)</w:t>
      </w:r>
      <w:r w:rsidRPr="00747632">
        <w:rPr>
          <w:sz w:val="22"/>
          <w:szCs w:val="22"/>
        </w:rPr>
        <w:t xml:space="preserve"> An institution to which Section 5.225 applies and that is composed of more than one administrative separate unit may submit either a single transition plan applicable to all such units, or a separate transition plan applicable to each such unit.</w:t>
      </w:r>
    </w:p>
    <w:p w:rsidRPr="00747632" w:rsidR="00747632" w:rsidP="00D230CD" w:rsidRDefault="00747632" w14:paraId="76093E8F" w14:textId="77777777">
      <w:pPr>
        <w:widowControl/>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47632" w:rsidR="00747632" w:rsidP="00D230CD" w:rsidRDefault="00747632" w14:paraId="5BB1F02E" w14:textId="4E25E0F6">
      <w:pPr>
        <w:widowControl/>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980"/>
        <w:rPr>
          <w:sz w:val="22"/>
          <w:szCs w:val="22"/>
        </w:rPr>
      </w:pPr>
      <w:r w:rsidRPr="00747632">
        <w:rPr>
          <w:sz w:val="22"/>
          <w:szCs w:val="22"/>
          <w:u w:val="single"/>
        </w:rPr>
        <w:t>Section 5.230(b)(1)</w:t>
      </w:r>
      <w:r w:rsidR="00974EE7">
        <w:rPr>
          <w:sz w:val="22"/>
          <w:szCs w:val="22"/>
        </w:rPr>
        <w:t xml:space="preserve"> </w:t>
      </w:r>
      <w:r w:rsidRPr="00747632">
        <w:rPr>
          <w:sz w:val="22"/>
          <w:szCs w:val="22"/>
        </w:rPr>
        <w:t>In order to be approved by the Secretary of Education, a transition plan shall: (1) State the name, address and Federal Interagency Committee on Education Code of the educational institution submitting such plan, the administratively separate units to which the plan is applicable, and the name, address, and telephone number of the person to whom questions concerning the plan may be addressed.</w:t>
      </w:r>
      <w:r w:rsidR="00974EE7">
        <w:rPr>
          <w:sz w:val="22"/>
          <w:szCs w:val="22"/>
        </w:rPr>
        <w:t xml:space="preserve"> </w:t>
      </w:r>
      <w:r w:rsidRPr="00747632">
        <w:rPr>
          <w:sz w:val="22"/>
          <w:szCs w:val="22"/>
        </w:rPr>
        <w:t>The person who submits the plan shall be the chief administrator or president of the institution, or another individual legally authorized to bind the institution to all actions set forth in the plan.</w:t>
      </w:r>
      <w:r w:rsidR="00974EE7">
        <w:rPr>
          <w:sz w:val="22"/>
          <w:szCs w:val="22"/>
        </w:rPr>
        <w:t xml:space="preserve"> </w:t>
      </w:r>
    </w:p>
    <w:p w:rsidRPr="00747632" w:rsidR="00747632" w:rsidP="00D230CD" w:rsidRDefault="00747632" w14:paraId="5457F4D8" w14:textId="77777777">
      <w:pPr>
        <w:widowControl/>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47632" w:rsidR="00747632" w:rsidP="00D230CD" w:rsidRDefault="00747632" w14:paraId="4D58DE08" w14:textId="77777777">
      <w:pPr>
        <w:widowControl/>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980"/>
        <w:rPr>
          <w:sz w:val="22"/>
          <w:szCs w:val="22"/>
        </w:rPr>
      </w:pPr>
      <w:r w:rsidRPr="00747632">
        <w:rPr>
          <w:sz w:val="22"/>
          <w:szCs w:val="22"/>
          <w:u w:val="single"/>
        </w:rPr>
        <w:t>Section 5.230(b)(2)</w:t>
      </w:r>
      <w:r w:rsidRPr="00747632">
        <w:rPr>
          <w:sz w:val="22"/>
          <w:szCs w:val="22"/>
        </w:rPr>
        <w:t xml:space="preserve"> State whether the educational institution or administratively separate unit admits students of both sexes as regular students and, if so, when it began to do so.</w:t>
      </w:r>
    </w:p>
    <w:p w:rsidRPr="00747632" w:rsidR="00747632" w:rsidP="00D230CD" w:rsidRDefault="00747632" w14:paraId="654AB165" w14:textId="77777777">
      <w:pPr>
        <w:widowControl/>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47632" w:rsidR="00747632" w:rsidP="00D230CD" w:rsidRDefault="00747632" w14:paraId="7D845D62" w14:textId="77777777">
      <w:pPr>
        <w:widowControl/>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980"/>
        <w:rPr>
          <w:sz w:val="22"/>
          <w:szCs w:val="22"/>
        </w:rPr>
      </w:pPr>
      <w:r w:rsidRPr="00747632">
        <w:rPr>
          <w:sz w:val="22"/>
          <w:szCs w:val="22"/>
          <w:u w:val="single"/>
        </w:rPr>
        <w:t>Section 5.230(b)(3)</w:t>
      </w:r>
      <w:r w:rsidRPr="00747632">
        <w:rPr>
          <w:sz w:val="22"/>
          <w:szCs w:val="22"/>
        </w:rPr>
        <w:t xml:space="preserve"> Identify and describe with respect to the educational institution or administratively separate unit any obstacles to admitting students without discrimination on the basis of sex</w:t>
      </w:r>
      <w:r w:rsidRPr="00896344">
        <w:rPr>
          <w:sz w:val="22"/>
          <w:szCs w:val="22"/>
        </w:rPr>
        <w:t>.</w:t>
      </w:r>
    </w:p>
    <w:p w:rsidRPr="00747632" w:rsidR="00747632" w:rsidP="00D230CD" w:rsidRDefault="00747632" w14:paraId="59FF75CE" w14:textId="77777777">
      <w:pPr>
        <w:widowControl/>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47632" w:rsidR="00747632" w:rsidP="00D230CD" w:rsidRDefault="00747632" w14:paraId="38574DC2" w14:textId="77777777">
      <w:pPr>
        <w:widowControl/>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980"/>
        <w:rPr>
          <w:sz w:val="22"/>
          <w:szCs w:val="22"/>
        </w:rPr>
      </w:pPr>
      <w:r w:rsidRPr="00747632">
        <w:rPr>
          <w:sz w:val="22"/>
          <w:szCs w:val="22"/>
          <w:u w:val="single"/>
        </w:rPr>
        <w:t>Section 5.230(b)(4)</w:t>
      </w:r>
      <w:r w:rsidRPr="00747632">
        <w:rPr>
          <w:sz w:val="22"/>
          <w:szCs w:val="22"/>
        </w:rPr>
        <w:t xml:space="preserve"> Describe in detail the steps necessary to eliminate as soon as practicable each obstacle so identified and indicate the schedule for taking these steps and the individual directly responsible for their implementation.</w:t>
      </w:r>
    </w:p>
    <w:p w:rsidRPr="00747632" w:rsidR="00747632" w:rsidP="00D230CD" w:rsidRDefault="00747632" w14:paraId="084ED0DD" w14:textId="77777777">
      <w:pPr>
        <w:widowControl/>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47632" w:rsidR="00747632" w:rsidP="00D230CD" w:rsidRDefault="00747632" w14:paraId="52AF6967" w14:textId="77777777">
      <w:pPr>
        <w:widowControl/>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980"/>
        <w:rPr>
          <w:sz w:val="22"/>
          <w:szCs w:val="22"/>
        </w:rPr>
      </w:pPr>
      <w:r w:rsidRPr="00747632">
        <w:rPr>
          <w:sz w:val="22"/>
          <w:szCs w:val="22"/>
          <w:u w:val="single"/>
        </w:rPr>
        <w:t>Section 5.230(b)(5)</w:t>
      </w:r>
      <w:r w:rsidRPr="00747632">
        <w:rPr>
          <w:sz w:val="22"/>
          <w:szCs w:val="22"/>
        </w:rPr>
        <w:t xml:space="preserve"> Include estimates of the number of students, by sex, expected to apply for, be admitted to, and enter each class during the period covered by the plan.</w:t>
      </w:r>
    </w:p>
    <w:p w:rsidRPr="00747632" w:rsidR="00747632" w:rsidP="00D230CD" w:rsidRDefault="00747632" w14:paraId="2E6B7A52" w14:textId="77777777">
      <w:pPr>
        <w:widowControl/>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47632" w:rsidR="00747632" w:rsidP="00D230CD" w:rsidRDefault="00747632" w14:paraId="6C4076D3" w14:textId="1E342A51">
      <w:pPr>
        <w:widowControl/>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980"/>
        <w:rPr>
          <w:sz w:val="22"/>
          <w:szCs w:val="22"/>
        </w:rPr>
      </w:pPr>
      <w:r w:rsidRPr="00747632">
        <w:rPr>
          <w:sz w:val="22"/>
          <w:szCs w:val="22"/>
          <w:u w:val="single"/>
        </w:rPr>
        <w:lastRenderedPageBreak/>
        <w:t>Section 5.230(d)</w:t>
      </w:r>
      <w:r w:rsidRPr="00747632">
        <w:rPr>
          <w:sz w:val="22"/>
          <w:szCs w:val="22"/>
        </w:rPr>
        <w:t xml:space="preserve"> To overcome the effects of past exclusion of students on the basis of sex</w:t>
      </w:r>
      <w:r w:rsidRPr="002F1D73">
        <w:rPr>
          <w:sz w:val="22"/>
          <w:szCs w:val="22"/>
        </w:rPr>
        <w:t>,</w:t>
      </w:r>
      <w:r w:rsidRPr="00747632">
        <w:rPr>
          <w:sz w:val="22"/>
          <w:szCs w:val="22"/>
        </w:rPr>
        <w:t xml:space="preserve"> each educational institution to which Section 5.225 applies shall include in its transition plan, and shall implement, specific steps designed to encourage individuals of the previously excluded sex to apply for admission to such institution.</w:t>
      </w:r>
      <w:r w:rsidR="00974EE7">
        <w:rPr>
          <w:sz w:val="22"/>
          <w:szCs w:val="22"/>
        </w:rPr>
        <w:t xml:space="preserve"> </w:t>
      </w:r>
      <w:r w:rsidRPr="00747632">
        <w:rPr>
          <w:sz w:val="22"/>
          <w:szCs w:val="22"/>
        </w:rPr>
        <w:t>Such steps shall include instituting recruitment programs that emphasize the institution</w:t>
      </w:r>
      <w:r w:rsidRPr="00747632">
        <w:rPr>
          <w:sz w:val="22"/>
          <w:szCs w:val="22"/>
        </w:rPr>
        <w:sym w:font="WP TypographicSymbols" w:char="003D"/>
      </w:r>
      <w:r w:rsidRPr="00747632">
        <w:rPr>
          <w:sz w:val="22"/>
          <w:szCs w:val="22"/>
        </w:rPr>
        <w:t>s commitment to enrolling students of the sex previously excluded.</w:t>
      </w:r>
    </w:p>
    <w:p w:rsidRPr="00747632" w:rsidR="00747632" w:rsidP="00D230CD" w:rsidRDefault="00747632" w14:paraId="001B7118" w14:textId="77777777">
      <w:pPr>
        <w:widowControl/>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47632" w:rsidR="00747632" w:rsidP="00D230CD" w:rsidRDefault="00747632" w14:paraId="37CE63AF" w14:textId="6D830236">
      <w:pPr>
        <w:widowControl/>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980"/>
        <w:rPr>
          <w:sz w:val="22"/>
          <w:szCs w:val="22"/>
        </w:rPr>
      </w:pPr>
      <w:r w:rsidRPr="00747632">
        <w:rPr>
          <w:sz w:val="22"/>
          <w:szCs w:val="22"/>
          <w:u w:val="single"/>
        </w:rPr>
        <w:t>Section 5.400(d)(2)(</w:t>
      </w:r>
      <w:proofErr w:type="spellStart"/>
      <w:r w:rsidRPr="00747632">
        <w:rPr>
          <w:sz w:val="22"/>
          <w:szCs w:val="22"/>
          <w:u w:val="single"/>
        </w:rPr>
        <w:t>i</w:t>
      </w:r>
      <w:proofErr w:type="spellEnd"/>
      <w:r w:rsidRPr="00747632">
        <w:rPr>
          <w:sz w:val="22"/>
          <w:szCs w:val="22"/>
          <w:u w:val="single"/>
        </w:rPr>
        <w:t>)</w:t>
      </w:r>
      <w:r w:rsidR="00974EE7">
        <w:rPr>
          <w:sz w:val="22"/>
          <w:szCs w:val="22"/>
        </w:rPr>
        <w:t xml:space="preserve"> </w:t>
      </w:r>
      <w:r w:rsidRPr="00747632">
        <w:rPr>
          <w:sz w:val="22"/>
          <w:szCs w:val="22"/>
        </w:rPr>
        <w:t>Such recipient: (</w:t>
      </w:r>
      <w:proofErr w:type="spellStart"/>
      <w:r w:rsidRPr="00747632">
        <w:rPr>
          <w:sz w:val="22"/>
          <w:szCs w:val="22"/>
        </w:rPr>
        <w:t>i</w:t>
      </w:r>
      <w:proofErr w:type="spellEnd"/>
      <w:r w:rsidRPr="00747632">
        <w:rPr>
          <w:sz w:val="22"/>
          <w:szCs w:val="22"/>
        </w:rPr>
        <w:t>) shall develop and implement a procedure designed to assure itself that the operator or sponsor of such other education program or activity takes no action affecting any applicant, student, or employee of such recipient that these Title IX regulations would prohibit such recipient from taking and (ii) shall not facilitate, require, permit, or consider such participation if such action occurs.</w:t>
      </w:r>
      <w:r w:rsidR="00974EE7">
        <w:rPr>
          <w:sz w:val="22"/>
          <w:szCs w:val="22"/>
        </w:rPr>
        <w:t xml:space="preserve"> </w:t>
      </w:r>
      <w:r w:rsidRPr="00747632">
        <w:rPr>
          <w:sz w:val="22"/>
          <w:szCs w:val="22"/>
          <w:u w:val="single"/>
        </w:rPr>
        <w:t>Section 5.425(b):</w:t>
      </w:r>
      <w:r w:rsidR="00974EE7">
        <w:rPr>
          <w:sz w:val="22"/>
          <w:szCs w:val="22"/>
        </w:rPr>
        <w:t xml:space="preserve"> </w:t>
      </w:r>
      <w:r w:rsidRPr="00747632">
        <w:rPr>
          <w:sz w:val="22"/>
          <w:szCs w:val="22"/>
        </w:rPr>
        <w:t>A recipient that uses testing or other materials for appraising or counseling students shall not use different materials for students on the basis of their sex or use materials that permit or require different materials that cover the same occupations and interest areas and the use of such different materials is shown to be essential to eliminate sex bias.</w:t>
      </w:r>
      <w:r w:rsidR="00974EE7">
        <w:rPr>
          <w:sz w:val="22"/>
          <w:szCs w:val="22"/>
        </w:rPr>
        <w:t xml:space="preserve"> </w:t>
      </w:r>
      <w:r w:rsidRPr="00747632">
        <w:rPr>
          <w:sz w:val="22"/>
          <w:szCs w:val="22"/>
        </w:rPr>
        <w:t>Recipients shall develop and use internal procedures for ensuring that such materials do not discriminate on the basis of sex.</w:t>
      </w:r>
      <w:r w:rsidR="00974EE7">
        <w:rPr>
          <w:sz w:val="22"/>
          <w:szCs w:val="22"/>
        </w:rPr>
        <w:t xml:space="preserve"> </w:t>
      </w:r>
      <w:r w:rsidRPr="00747632">
        <w:rPr>
          <w:sz w:val="22"/>
          <w:szCs w:val="22"/>
        </w:rPr>
        <w:t>Where the use of a counseling test or other instrument results in a substantially disproportionate number of members of one sex in any particular course of study or classification, the recipient shall take such action as is necessary to assure itself that such disproportion is not the result of discrimination in the instrument or its application.</w:t>
      </w:r>
    </w:p>
    <w:p w:rsidRPr="00747632" w:rsidR="00747632" w:rsidP="00D230CD" w:rsidRDefault="00747632" w14:paraId="03D312BC" w14:textId="77777777">
      <w:pPr>
        <w:widowControl/>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47632" w:rsidR="00747632" w:rsidP="00D230CD" w:rsidRDefault="00747632" w14:paraId="53827636" w14:textId="437CAF25">
      <w:pPr>
        <w:widowControl/>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980"/>
        <w:rPr>
          <w:sz w:val="22"/>
          <w:szCs w:val="22"/>
        </w:rPr>
      </w:pPr>
      <w:r w:rsidRPr="00747632">
        <w:rPr>
          <w:sz w:val="22"/>
          <w:szCs w:val="22"/>
          <w:u w:val="single"/>
        </w:rPr>
        <w:t>Section 5.430(b)(2)</w:t>
      </w:r>
      <w:r w:rsidRPr="00747632">
        <w:rPr>
          <w:sz w:val="22"/>
          <w:szCs w:val="22"/>
        </w:rPr>
        <w:t xml:space="preserve"> To ensure nondiscriminatory awards of assistance as required in paragraph (b)(1) of this section, recipients shall develop and use procedures under which: (</w:t>
      </w:r>
      <w:proofErr w:type="spellStart"/>
      <w:r w:rsidRPr="00747632">
        <w:rPr>
          <w:sz w:val="22"/>
          <w:szCs w:val="22"/>
        </w:rPr>
        <w:t>i</w:t>
      </w:r>
      <w:proofErr w:type="spellEnd"/>
      <w:r w:rsidRPr="00747632">
        <w:rPr>
          <w:sz w:val="22"/>
          <w:szCs w:val="22"/>
        </w:rPr>
        <w:t>) Students are selected for award of financial assistance on the basis of nondiscriminatory criteria and not on the basis of availability of funds restricted to member of a particular sex; (ii) an appropriate sex-restricted scholarship, fellowship, or other form of financial assistance is allocated to each student selected under paragraph (b)(2)(</w:t>
      </w:r>
      <w:proofErr w:type="spellStart"/>
      <w:r w:rsidRPr="00747632">
        <w:rPr>
          <w:sz w:val="22"/>
          <w:szCs w:val="22"/>
        </w:rPr>
        <w:t>i</w:t>
      </w:r>
      <w:proofErr w:type="spellEnd"/>
      <w:r w:rsidRPr="00747632">
        <w:rPr>
          <w:sz w:val="22"/>
          <w:szCs w:val="22"/>
        </w:rPr>
        <w:t>) of this section; and (iii) no student is denied the award for which he or she was selected under paragraph (b)(2)(</w:t>
      </w:r>
      <w:proofErr w:type="spellStart"/>
      <w:r w:rsidRPr="00747632">
        <w:rPr>
          <w:sz w:val="22"/>
          <w:szCs w:val="22"/>
        </w:rPr>
        <w:t>i</w:t>
      </w:r>
      <w:proofErr w:type="spellEnd"/>
      <w:r w:rsidRPr="00747632">
        <w:rPr>
          <w:sz w:val="22"/>
          <w:szCs w:val="22"/>
        </w:rPr>
        <w:t>) of this section because of the absence of a scholarship, fellowship, or other form of financial assistance designated for a member of that students sex.</w:t>
      </w:r>
    </w:p>
    <w:p w:rsidRPr="00747632" w:rsidR="00747632" w:rsidP="00D230CD" w:rsidRDefault="00747632" w14:paraId="4EFDCD22" w14:textId="77777777">
      <w:pPr>
        <w:widowControl/>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47632" w:rsidR="00747632" w:rsidP="00D230CD" w:rsidRDefault="00747632" w14:paraId="79B3712F" w14:textId="77777777">
      <w:pPr>
        <w:widowControl/>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980"/>
        <w:rPr>
          <w:sz w:val="22"/>
          <w:szCs w:val="22"/>
        </w:rPr>
      </w:pPr>
      <w:r w:rsidRPr="00747632">
        <w:rPr>
          <w:sz w:val="22"/>
          <w:szCs w:val="22"/>
          <w:u w:val="single"/>
        </w:rPr>
        <w:t>Section 5.445(b)(2)</w:t>
      </w:r>
      <w:r w:rsidRPr="00747632">
        <w:rPr>
          <w:sz w:val="22"/>
          <w:szCs w:val="22"/>
        </w:rPr>
        <w:t xml:space="preserve"> A recipient may require such a student to obtain the certification of a physician that the student is physically and emotionally able to continue participation as long as such a certification is required of all students for other physical or emotional conditions requiring the attention of a physician. </w:t>
      </w:r>
    </w:p>
    <w:p w:rsidR="00FB1C95" w:rsidP="00D230CD" w:rsidRDefault="00FB1C95" w14:paraId="7409FE20" w14:textId="77777777">
      <w:pPr>
        <w:pStyle w:val="BodyText"/>
        <w:kinsoku w:val="0"/>
        <w:overflowPunct w:val="0"/>
        <w:spacing w:before="11"/>
        <w:rPr>
          <w:sz w:val="21"/>
          <w:szCs w:val="21"/>
        </w:rPr>
      </w:pPr>
    </w:p>
    <w:p w:rsidR="00FB1C95" w:rsidP="000636FE" w:rsidRDefault="00FB1C95" w14:paraId="3E66FAC0" w14:textId="77777777">
      <w:pPr>
        <w:pStyle w:val="ListParagraph"/>
        <w:numPr>
          <w:ilvl w:val="1"/>
          <w:numId w:val="1"/>
        </w:numPr>
        <w:tabs>
          <w:tab w:val="left" w:pos="481"/>
        </w:tabs>
        <w:kinsoku w:val="0"/>
        <w:overflowPunct w:val="0"/>
        <w:rPr>
          <w:sz w:val="22"/>
          <w:szCs w:val="22"/>
        </w:rPr>
      </w:pPr>
      <w:r>
        <w:rPr>
          <w:sz w:val="22"/>
          <w:szCs w:val="22"/>
          <w:u w:val="single"/>
        </w:rPr>
        <w:t>Agency Use of</w:t>
      </w:r>
      <w:r>
        <w:rPr>
          <w:spacing w:val="19"/>
          <w:sz w:val="22"/>
          <w:szCs w:val="22"/>
          <w:u w:val="single"/>
        </w:rPr>
        <w:t xml:space="preserve"> </w:t>
      </w:r>
      <w:r>
        <w:rPr>
          <w:sz w:val="22"/>
          <w:szCs w:val="22"/>
          <w:u w:val="single"/>
        </w:rPr>
        <w:t>Information</w:t>
      </w:r>
    </w:p>
    <w:p w:rsidR="00FB1C95" w:rsidP="00D230CD" w:rsidRDefault="00FB1C95" w14:paraId="0FAE6B99" w14:textId="77777777">
      <w:pPr>
        <w:pStyle w:val="BodyText"/>
        <w:kinsoku w:val="0"/>
        <w:overflowPunct w:val="0"/>
        <w:spacing w:before="11"/>
        <w:rPr>
          <w:sz w:val="13"/>
          <w:szCs w:val="13"/>
        </w:rPr>
      </w:pPr>
    </w:p>
    <w:p w:rsidR="00FB1C95" w:rsidP="00D230CD" w:rsidRDefault="00FB1C95" w14:paraId="316289E0" w14:textId="77777777">
      <w:pPr>
        <w:pStyle w:val="BodyText"/>
        <w:kinsoku w:val="0"/>
        <w:overflowPunct w:val="0"/>
        <w:spacing w:before="92"/>
        <w:ind w:left="1080" w:right="597"/>
      </w:pPr>
      <w:r>
        <w:t xml:space="preserve">The information is used to incorporate the basic standards for determining sex discrimination, and is designed to provide guidance to recipients of money paid, property transferred, or other Federal financial assistance extended under any program or activity, by way of grant, entitlement, </w:t>
      </w:r>
      <w:r>
        <w:lastRenderedPageBreak/>
        <w:t>cooperative agreement, loan, contract, or other agreement by NRC, or an authorized contractor or subcontractor of NRC.</w:t>
      </w:r>
    </w:p>
    <w:p w:rsidR="00FB1C95" w:rsidP="00D230CD" w:rsidRDefault="00FB1C95" w14:paraId="2C50202E" w14:textId="77777777">
      <w:pPr>
        <w:pStyle w:val="BodyText"/>
        <w:kinsoku w:val="0"/>
        <w:overflowPunct w:val="0"/>
        <w:spacing w:before="10"/>
        <w:rPr>
          <w:sz w:val="21"/>
          <w:szCs w:val="21"/>
        </w:rPr>
      </w:pPr>
    </w:p>
    <w:p w:rsidR="00FB1C95" w:rsidP="000636FE" w:rsidRDefault="00FB1C95" w14:paraId="18EF5B55" w14:textId="77777777">
      <w:pPr>
        <w:pStyle w:val="ListParagraph"/>
        <w:numPr>
          <w:ilvl w:val="1"/>
          <w:numId w:val="1"/>
        </w:numPr>
        <w:tabs>
          <w:tab w:val="left" w:pos="480"/>
        </w:tabs>
        <w:kinsoku w:val="0"/>
        <w:overflowPunct w:val="0"/>
        <w:rPr>
          <w:w w:val="105"/>
          <w:sz w:val="22"/>
          <w:szCs w:val="22"/>
        </w:rPr>
      </w:pPr>
      <w:r>
        <w:rPr>
          <w:w w:val="105"/>
          <w:sz w:val="22"/>
          <w:szCs w:val="22"/>
          <w:u w:val="single"/>
        </w:rPr>
        <w:t>Reduction</w:t>
      </w:r>
      <w:r>
        <w:rPr>
          <w:spacing w:val="-25"/>
          <w:w w:val="105"/>
          <w:sz w:val="22"/>
          <w:szCs w:val="22"/>
          <w:u w:val="single"/>
        </w:rPr>
        <w:t xml:space="preserve"> </w:t>
      </w:r>
      <w:r>
        <w:rPr>
          <w:w w:val="105"/>
          <w:sz w:val="22"/>
          <w:szCs w:val="22"/>
          <w:u w:val="single"/>
        </w:rPr>
        <w:t>of</w:t>
      </w:r>
      <w:r>
        <w:rPr>
          <w:spacing w:val="-22"/>
          <w:w w:val="105"/>
          <w:sz w:val="22"/>
          <w:szCs w:val="22"/>
          <w:u w:val="single"/>
        </w:rPr>
        <w:t xml:space="preserve"> </w:t>
      </w:r>
      <w:r>
        <w:rPr>
          <w:w w:val="105"/>
          <w:sz w:val="22"/>
          <w:szCs w:val="22"/>
          <w:u w:val="single"/>
        </w:rPr>
        <w:t>Burden</w:t>
      </w:r>
      <w:r>
        <w:rPr>
          <w:spacing w:val="-39"/>
          <w:w w:val="105"/>
          <w:sz w:val="22"/>
          <w:szCs w:val="22"/>
          <w:u w:val="single"/>
        </w:rPr>
        <w:t xml:space="preserve"> </w:t>
      </w:r>
      <w:r>
        <w:rPr>
          <w:w w:val="105"/>
          <w:sz w:val="22"/>
          <w:szCs w:val="22"/>
          <w:u w:val="single"/>
        </w:rPr>
        <w:t>Through</w:t>
      </w:r>
      <w:r>
        <w:rPr>
          <w:spacing w:val="2"/>
          <w:w w:val="105"/>
          <w:sz w:val="22"/>
          <w:szCs w:val="22"/>
          <w:u w:val="single"/>
        </w:rPr>
        <w:t xml:space="preserve"> </w:t>
      </w:r>
      <w:r>
        <w:rPr>
          <w:w w:val="105"/>
          <w:sz w:val="22"/>
          <w:szCs w:val="22"/>
          <w:u w:val="single"/>
        </w:rPr>
        <w:t>Information</w:t>
      </w:r>
      <w:r>
        <w:rPr>
          <w:spacing w:val="-32"/>
          <w:w w:val="105"/>
          <w:sz w:val="22"/>
          <w:szCs w:val="22"/>
          <w:u w:val="single"/>
        </w:rPr>
        <w:t xml:space="preserve"> </w:t>
      </w:r>
      <w:r>
        <w:rPr>
          <w:w w:val="105"/>
          <w:sz w:val="22"/>
          <w:szCs w:val="22"/>
          <w:u w:val="single"/>
        </w:rPr>
        <w:t>Technology</w:t>
      </w:r>
    </w:p>
    <w:p w:rsidR="00FB1C95" w:rsidP="00D230CD" w:rsidRDefault="00FB1C95" w14:paraId="318F7E75" w14:textId="77777777">
      <w:pPr>
        <w:pStyle w:val="BodyText"/>
        <w:kinsoku w:val="0"/>
        <w:overflowPunct w:val="0"/>
        <w:spacing w:before="11"/>
        <w:rPr>
          <w:sz w:val="13"/>
          <w:szCs w:val="13"/>
        </w:rPr>
      </w:pPr>
    </w:p>
    <w:p w:rsidR="00FB1C95" w:rsidP="00801746" w:rsidRDefault="00FB1C95" w14:paraId="68F31948" w14:textId="2157FB34">
      <w:pPr>
        <w:pStyle w:val="BodyText"/>
        <w:tabs>
          <w:tab w:val="left" w:pos="1170"/>
        </w:tabs>
        <w:kinsoku w:val="0"/>
        <w:overflowPunct w:val="0"/>
        <w:spacing w:before="93"/>
        <w:ind w:left="1080" w:right="104"/>
      </w:pPr>
      <w:r>
        <w:t>The NRC has issued Guidance for Electronic Submissions to the NRC 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w:t>
      </w:r>
      <w:r w:rsidR="006E44B6">
        <w:t xml:space="preserve"> </w:t>
      </w:r>
      <w:hyperlink w:history="1" r:id="rId8">
        <w:r w:rsidRPr="007369BF" w:rsidR="006E44B6">
          <w:rPr>
            <w:rStyle w:val="Hyperlink"/>
          </w:rPr>
          <w:t>https://www.nrc.gov/site-help/e-submittals.html</w:t>
        </w:r>
      </w:hyperlink>
      <w:r w:rsidR="006E44B6">
        <w:t xml:space="preserve"> or</w:t>
      </w:r>
      <w:r>
        <w:t xml:space="preserve"> by e-mail</w:t>
      </w:r>
      <w:r w:rsidR="006E44B6">
        <w:t xml:space="preserve"> to EEOProgram.Resource@nrc.gov</w:t>
      </w:r>
      <w:r>
        <w:t>.</w:t>
      </w:r>
      <w:r w:rsidR="00974EE7">
        <w:t xml:space="preserve"> </w:t>
      </w:r>
      <w:r>
        <w:t>It is estimated that approximately 100% of the responses are filed</w:t>
      </w:r>
      <w:r>
        <w:rPr>
          <w:spacing w:val="-9"/>
        </w:rPr>
        <w:t xml:space="preserve"> </w:t>
      </w:r>
      <w:r>
        <w:t>electronically.</w:t>
      </w:r>
    </w:p>
    <w:p w:rsidR="00FB1C95" w:rsidP="00D230CD" w:rsidRDefault="00FB1C95" w14:paraId="511DC3A2" w14:textId="77777777">
      <w:pPr>
        <w:pStyle w:val="BodyText"/>
        <w:kinsoku w:val="0"/>
        <w:overflowPunct w:val="0"/>
      </w:pPr>
    </w:p>
    <w:p w:rsidR="00FB1C95" w:rsidP="00801746" w:rsidRDefault="00FB1C95" w14:paraId="7DE70DF1" w14:textId="474CCEC9">
      <w:pPr>
        <w:pStyle w:val="ListParagraph"/>
        <w:numPr>
          <w:ilvl w:val="1"/>
          <w:numId w:val="1"/>
        </w:numPr>
        <w:kinsoku w:val="0"/>
        <w:overflowPunct w:val="0"/>
        <w:rPr>
          <w:w w:val="105"/>
          <w:sz w:val="22"/>
          <w:szCs w:val="22"/>
        </w:rPr>
      </w:pPr>
      <w:r>
        <w:rPr>
          <w:w w:val="105"/>
          <w:sz w:val="22"/>
          <w:szCs w:val="22"/>
          <w:u w:val="single"/>
        </w:rPr>
        <w:t>Efforts</w:t>
      </w:r>
      <w:r>
        <w:rPr>
          <w:spacing w:val="-23"/>
          <w:w w:val="105"/>
          <w:sz w:val="22"/>
          <w:szCs w:val="22"/>
          <w:u w:val="single"/>
        </w:rPr>
        <w:t xml:space="preserve"> </w:t>
      </w:r>
      <w:r>
        <w:rPr>
          <w:w w:val="105"/>
          <w:sz w:val="22"/>
          <w:szCs w:val="22"/>
          <w:u w:val="single"/>
        </w:rPr>
        <w:t>to</w:t>
      </w:r>
      <w:r>
        <w:rPr>
          <w:spacing w:val="-18"/>
          <w:w w:val="105"/>
          <w:sz w:val="22"/>
          <w:szCs w:val="22"/>
          <w:u w:val="single"/>
        </w:rPr>
        <w:t xml:space="preserve"> </w:t>
      </w:r>
      <w:r>
        <w:rPr>
          <w:w w:val="105"/>
          <w:sz w:val="22"/>
          <w:szCs w:val="22"/>
          <w:u w:val="single"/>
        </w:rPr>
        <w:t>Identify</w:t>
      </w:r>
      <w:r>
        <w:rPr>
          <w:spacing w:val="-20"/>
          <w:w w:val="105"/>
          <w:sz w:val="22"/>
          <w:szCs w:val="22"/>
          <w:u w:val="single"/>
        </w:rPr>
        <w:t xml:space="preserve"> </w:t>
      </w:r>
      <w:r>
        <w:rPr>
          <w:w w:val="105"/>
          <w:sz w:val="22"/>
          <w:szCs w:val="22"/>
          <w:u w:val="single"/>
        </w:rPr>
        <w:t>Duplication</w:t>
      </w:r>
      <w:r>
        <w:rPr>
          <w:spacing w:val="-27"/>
          <w:w w:val="105"/>
          <w:sz w:val="22"/>
          <w:szCs w:val="22"/>
          <w:u w:val="single"/>
        </w:rPr>
        <w:t xml:space="preserve"> </w:t>
      </w:r>
      <w:r>
        <w:rPr>
          <w:w w:val="105"/>
          <w:sz w:val="22"/>
          <w:szCs w:val="22"/>
          <w:u w:val="single"/>
        </w:rPr>
        <w:t>and</w:t>
      </w:r>
      <w:r>
        <w:rPr>
          <w:spacing w:val="-23"/>
          <w:w w:val="105"/>
          <w:sz w:val="22"/>
          <w:szCs w:val="22"/>
          <w:u w:val="single"/>
        </w:rPr>
        <w:t xml:space="preserve"> </w:t>
      </w:r>
      <w:r>
        <w:rPr>
          <w:w w:val="105"/>
          <w:sz w:val="22"/>
          <w:szCs w:val="22"/>
          <w:u w:val="single"/>
        </w:rPr>
        <w:t>Use</w:t>
      </w:r>
      <w:r>
        <w:rPr>
          <w:spacing w:val="-27"/>
          <w:w w:val="105"/>
          <w:sz w:val="22"/>
          <w:szCs w:val="22"/>
          <w:u w:val="single"/>
        </w:rPr>
        <w:t xml:space="preserve"> </w:t>
      </w:r>
      <w:r>
        <w:rPr>
          <w:w w:val="105"/>
          <w:sz w:val="22"/>
          <w:szCs w:val="22"/>
          <w:u w:val="single"/>
        </w:rPr>
        <w:t>of</w:t>
      </w:r>
      <w:r>
        <w:rPr>
          <w:spacing w:val="-23"/>
          <w:w w:val="105"/>
          <w:sz w:val="22"/>
          <w:szCs w:val="22"/>
          <w:u w:val="single"/>
        </w:rPr>
        <w:t xml:space="preserve"> </w:t>
      </w:r>
      <w:r>
        <w:rPr>
          <w:w w:val="105"/>
          <w:sz w:val="22"/>
          <w:szCs w:val="22"/>
          <w:u w:val="single"/>
        </w:rPr>
        <w:t>Similar</w:t>
      </w:r>
      <w:r>
        <w:rPr>
          <w:spacing w:val="-17"/>
          <w:w w:val="105"/>
          <w:sz w:val="22"/>
          <w:szCs w:val="22"/>
          <w:u w:val="single"/>
        </w:rPr>
        <w:t xml:space="preserve"> </w:t>
      </w:r>
      <w:r>
        <w:rPr>
          <w:w w:val="105"/>
          <w:sz w:val="22"/>
          <w:szCs w:val="22"/>
          <w:u w:val="single"/>
        </w:rPr>
        <w:t>Information</w:t>
      </w:r>
    </w:p>
    <w:p w:rsidR="00FB1C95" w:rsidP="00D230CD" w:rsidRDefault="00FB1C95" w14:paraId="240ECC91" w14:textId="77777777">
      <w:pPr>
        <w:pStyle w:val="BodyText"/>
        <w:kinsoku w:val="0"/>
        <w:overflowPunct w:val="0"/>
        <w:spacing w:before="9"/>
        <w:rPr>
          <w:sz w:val="13"/>
          <w:szCs w:val="13"/>
        </w:rPr>
      </w:pPr>
    </w:p>
    <w:p w:rsidR="00FB1C95" w:rsidP="00D230CD" w:rsidRDefault="00FB1C95" w14:paraId="66CA8D72" w14:textId="77777777">
      <w:pPr>
        <w:pStyle w:val="BodyText"/>
        <w:kinsoku w:val="0"/>
        <w:overflowPunct w:val="0"/>
        <w:spacing w:before="93"/>
        <w:ind w:left="1080" w:right="597"/>
      </w:pPr>
      <w:r>
        <w:t>No sources of similar information are available. There is no duplication of requirements.</w:t>
      </w:r>
    </w:p>
    <w:p w:rsidR="00D645BA" w:rsidP="00D230CD" w:rsidRDefault="00D645BA" w14:paraId="03A14627" w14:textId="77777777">
      <w:pPr>
        <w:pStyle w:val="BodyText"/>
        <w:kinsoku w:val="0"/>
        <w:overflowPunct w:val="0"/>
        <w:spacing w:before="93"/>
        <w:ind w:left="1080" w:right="597"/>
      </w:pPr>
    </w:p>
    <w:p w:rsidR="00FB1C95" w:rsidP="002200B8" w:rsidRDefault="008B04F8" w14:paraId="5D0D03AF" w14:textId="7CF7276F">
      <w:pPr>
        <w:pStyle w:val="ListParagraph"/>
        <w:tabs>
          <w:tab w:val="left" w:pos="450"/>
        </w:tabs>
        <w:kinsoku w:val="0"/>
        <w:overflowPunct w:val="0"/>
        <w:spacing w:before="77"/>
        <w:ind w:left="0" w:firstLine="0"/>
        <w:rPr>
          <w:sz w:val="22"/>
          <w:szCs w:val="22"/>
        </w:rPr>
      </w:pPr>
      <w:r>
        <w:rPr>
          <w:sz w:val="22"/>
          <w:szCs w:val="22"/>
        </w:rPr>
        <w:tab/>
      </w:r>
      <w:r w:rsidRPr="00801746" w:rsidR="00D230CD">
        <w:rPr>
          <w:sz w:val="22"/>
        </w:rPr>
        <w:t>5.</w:t>
      </w:r>
      <w:r w:rsidRPr="0035790F" w:rsidR="00974EE7">
        <w:rPr>
          <w:sz w:val="22"/>
          <w:szCs w:val="22"/>
        </w:rPr>
        <w:t xml:space="preserve"> </w:t>
      </w:r>
      <w:r w:rsidR="00FB1C95">
        <w:rPr>
          <w:sz w:val="22"/>
          <w:szCs w:val="22"/>
          <w:u w:val="single"/>
        </w:rPr>
        <w:t>Efforts to Reduce Small Business Burden</w:t>
      </w:r>
    </w:p>
    <w:p w:rsidR="00FB1C95" w:rsidP="00D230CD" w:rsidRDefault="00FB1C95" w14:paraId="57532F48" w14:textId="77777777">
      <w:pPr>
        <w:pStyle w:val="BodyText"/>
        <w:kinsoku w:val="0"/>
        <w:overflowPunct w:val="0"/>
        <w:spacing w:before="10"/>
        <w:rPr>
          <w:sz w:val="13"/>
          <w:szCs w:val="13"/>
        </w:rPr>
      </w:pPr>
    </w:p>
    <w:p w:rsidR="00FB1C95" w:rsidP="00801746" w:rsidRDefault="00FB1C95" w14:paraId="2D49CDC6" w14:textId="22302477">
      <w:pPr>
        <w:pStyle w:val="BodyText"/>
        <w:kinsoku w:val="0"/>
        <w:overflowPunct w:val="0"/>
        <w:spacing w:before="93"/>
        <w:ind w:left="1080"/>
        <w:rPr>
          <w:spacing w:val="-3"/>
        </w:rPr>
      </w:pPr>
      <w:r>
        <w:t>The information collection does not involve small businesses or other small</w:t>
      </w:r>
      <w:r w:rsidR="00974EE7">
        <w:t xml:space="preserve"> </w:t>
      </w:r>
      <w:r>
        <w:t xml:space="preserve"> </w:t>
      </w:r>
      <w:r>
        <w:rPr>
          <w:spacing w:val="-3"/>
        </w:rPr>
        <w:t>entities.</w:t>
      </w:r>
    </w:p>
    <w:p w:rsidR="00FB1C95" w:rsidP="00D230CD" w:rsidRDefault="00FB1C95" w14:paraId="0367FEFF" w14:textId="77777777">
      <w:pPr>
        <w:pStyle w:val="BodyText"/>
        <w:kinsoku w:val="0"/>
        <w:overflowPunct w:val="0"/>
        <w:spacing w:before="10"/>
        <w:rPr>
          <w:sz w:val="21"/>
          <w:szCs w:val="21"/>
        </w:rPr>
      </w:pPr>
    </w:p>
    <w:p w:rsidR="00FB1C95" w:rsidP="00801746" w:rsidRDefault="00D230CD" w14:paraId="47AE3CDA" w14:textId="77777777">
      <w:pPr>
        <w:pStyle w:val="ListParagraph"/>
        <w:tabs>
          <w:tab w:val="left" w:pos="841"/>
        </w:tabs>
        <w:kinsoku w:val="0"/>
        <w:overflowPunct w:val="0"/>
        <w:ind w:left="450" w:right="1066" w:firstLine="0"/>
        <w:rPr>
          <w:sz w:val="22"/>
          <w:szCs w:val="22"/>
        </w:rPr>
      </w:pPr>
      <w:r w:rsidRPr="00801746">
        <w:rPr>
          <w:sz w:val="22"/>
        </w:rPr>
        <w:t>6.</w:t>
      </w:r>
      <w:r w:rsidRPr="002200B8">
        <w:rPr>
          <w:sz w:val="22"/>
          <w:szCs w:val="22"/>
        </w:rPr>
        <w:t xml:space="preserve"> </w:t>
      </w:r>
      <w:r w:rsidR="00FB1C95">
        <w:rPr>
          <w:sz w:val="22"/>
          <w:szCs w:val="22"/>
          <w:u w:val="single"/>
        </w:rPr>
        <w:t>Consequences to Federal Program or Policy Activities if the Collection is not Conducted or is Conducted Less</w:t>
      </w:r>
      <w:r w:rsidR="00FB1C95">
        <w:rPr>
          <w:spacing w:val="60"/>
          <w:sz w:val="22"/>
          <w:szCs w:val="22"/>
          <w:u w:val="single"/>
        </w:rPr>
        <w:t xml:space="preserve"> </w:t>
      </w:r>
      <w:r w:rsidR="00FB1C95">
        <w:rPr>
          <w:sz w:val="22"/>
          <w:szCs w:val="22"/>
          <w:u w:val="single"/>
        </w:rPr>
        <w:t>Frequently</w:t>
      </w:r>
    </w:p>
    <w:p w:rsidR="00FB1C95" w:rsidP="00D230CD" w:rsidRDefault="00FB1C95" w14:paraId="0261443A" w14:textId="77777777">
      <w:pPr>
        <w:pStyle w:val="BodyText"/>
        <w:kinsoku w:val="0"/>
        <w:overflowPunct w:val="0"/>
        <w:spacing w:before="11"/>
        <w:rPr>
          <w:sz w:val="13"/>
          <w:szCs w:val="13"/>
        </w:rPr>
      </w:pPr>
    </w:p>
    <w:p w:rsidR="00FB1C95" w:rsidP="00801746" w:rsidRDefault="00FB1C95" w14:paraId="68830E0E" w14:textId="2BF3A985">
      <w:pPr>
        <w:pStyle w:val="BodyText"/>
        <w:kinsoku w:val="0"/>
        <w:overflowPunct w:val="0"/>
        <w:spacing w:before="92"/>
        <w:ind w:left="1080" w:right="174"/>
      </w:pPr>
      <w:r>
        <w:t>There is no specific time frame for collection</w:t>
      </w:r>
      <w:r w:rsidR="00747632">
        <w:t>.</w:t>
      </w:r>
      <w:r w:rsidR="00974EE7">
        <w:t xml:space="preserve"> </w:t>
      </w:r>
      <w:r>
        <w:t>The required information is submitted upon applying for FFA and continues for the period that such assistance is provided by the Commission. The proposed collection of information is necessary to ensure nondiscrimination and compliance with Federal civil rights regulations in NRC’s FFA programs and activities.</w:t>
      </w:r>
    </w:p>
    <w:p w:rsidR="00FB1C95" w:rsidP="00D230CD" w:rsidRDefault="00FB1C95" w14:paraId="06BF16A5" w14:textId="77777777">
      <w:pPr>
        <w:pStyle w:val="BodyText"/>
        <w:kinsoku w:val="0"/>
        <w:overflowPunct w:val="0"/>
        <w:spacing w:before="11"/>
        <w:rPr>
          <w:sz w:val="21"/>
          <w:szCs w:val="21"/>
        </w:rPr>
      </w:pPr>
    </w:p>
    <w:p w:rsidR="00FB1C95" w:rsidP="00801746" w:rsidRDefault="00D230CD" w14:paraId="6BD45D1A" w14:textId="77777777">
      <w:pPr>
        <w:pStyle w:val="ListParagraph"/>
        <w:tabs>
          <w:tab w:val="left" w:pos="841"/>
        </w:tabs>
        <w:kinsoku w:val="0"/>
        <w:overflowPunct w:val="0"/>
        <w:ind w:left="450" w:firstLine="0"/>
        <w:rPr>
          <w:sz w:val="22"/>
          <w:szCs w:val="22"/>
        </w:rPr>
      </w:pPr>
      <w:r w:rsidRPr="00801746">
        <w:rPr>
          <w:sz w:val="22"/>
        </w:rPr>
        <w:t>7.</w:t>
      </w:r>
      <w:r w:rsidRPr="002200B8">
        <w:rPr>
          <w:sz w:val="22"/>
          <w:szCs w:val="22"/>
        </w:rPr>
        <w:t xml:space="preserve"> </w:t>
      </w:r>
      <w:r w:rsidR="00FB1C95">
        <w:rPr>
          <w:sz w:val="22"/>
          <w:szCs w:val="22"/>
          <w:u w:val="single"/>
        </w:rPr>
        <w:t>Circumstances which Justify Variation from OMB</w:t>
      </w:r>
      <w:r w:rsidR="00FB1C95">
        <w:rPr>
          <w:spacing w:val="-14"/>
          <w:sz w:val="22"/>
          <w:szCs w:val="22"/>
          <w:u w:val="single"/>
        </w:rPr>
        <w:t xml:space="preserve"> </w:t>
      </w:r>
      <w:r w:rsidR="00FB1C95">
        <w:rPr>
          <w:sz w:val="22"/>
          <w:szCs w:val="22"/>
          <w:u w:val="single"/>
        </w:rPr>
        <w:t>Guidelines</w:t>
      </w:r>
    </w:p>
    <w:p w:rsidR="00FB1C95" w:rsidP="00D230CD" w:rsidRDefault="00FB1C95" w14:paraId="4D04B23E" w14:textId="77777777">
      <w:pPr>
        <w:pStyle w:val="BodyText"/>
        <w:kinsoku w:val="0"/>
        <w:overflowPunct w:val="0"/>
        <w:spacing w:before="9"/>
        <w:rPr>
          <w:sz w:val="13"/>
          <w:szCs w:val="13"/>
        </w:rPr>
      </w:pPr>
    </w:p>
    <w:p w:rsidR="00FB1C95" w:rsidP="00801746" w:rsidRDefault="00FB1C95" w14:paraId="4836E1D8" w14:textId="77777777">
      <w:pPr>
        <w:pStyle w:val="BodyText"/>
        <w:kinsoku w:val="0"/>
        <w:overflowPunct w:val="0"/>
        <w:spacing w:before="93"/>
        <w:ind w:left="1080"/>
      </w:pPr>
      <w:r>
        <w:t>There are no variations from OMB guidelines.</w:t>
      </w:r>
    </w:p>
    <w:p w:rsidR="00FB1C95" w:rsidP="00D230CD" w:rsidRDefault="00FB1C95" w14:paraId="7C82F5D4" w14:textId="77777777">
      <w:pPr>
        <w:pStyle w:val="BodyText"/>
        <w:kinsoku w:val="0"/>
        <w:overflowPunct w:val="0"/>
      </w:pPr>
    </w:p>
    <w:p w:rsidR="00FB1C95" w:rsidP="00801746" w:rsidRDefault="00D230CD" w14:paraId="471DC877" w14:textId="77777777">
      <w:pPr>
        <w:pStyle w:val="ListParagraph"/>
        <w:tabs>
          <w:tab w:val="left" w:pos="840"/>
        </w:tabs>
        <w:kinsoku w:val="0"/>
        <w:overflowPunct w:val="0"/>
        <w:ind w:left="450" w:firstLine="0"/>
        <w:rPr>
          <w:sz w:val="22"/>
          <w:szCs w:val="22"/>
        </w:rPr>
      </w:pPr>
      <w:r w:rsidRPr="00801746">
        <w:rPr>
          <w:sz w:val="22"/>
        </w:rPr>
        <w:t>8.</w:t>
      </w:r>
      <w:r w:rsidRPr="002200B8">
        <w:rPr>
          <w:sz w:val="22"/>
          <w:szCs w:val="22"/>
        </w:rPr>
        <w:t xml:space="preserve"> </w:t>
      </w:r>
      <w:r w:rsidR="00FB1C95">
        <w:rPr>
          <w:sz w:val="22"/>
          <w:szCs w:val="22"/>
          <w:u w:val="single"/>
        </w:rPr>
        <w:t>Consultations Outside the</w:t>
      </w:r>
      <w:r w:rsidR="00FB1C95">
        <w:rPr>
          <w:spacing w:val="14"/>
          <w:sz w:val="22"/>
          <w:szCs w:val="22"/>
          <w:u w:val="single"/>
        </w:rPr>
        <w:t xml:space="preserve"> </w:t>
      </w:r>
      <w:r w:rsidR="00FB1C95">
        <w:rPr>
          <w:sz w:val="22"/>
          <w:szCs w:val="22"/>
          <w:u w:val="single"/>
        </w:rPr>
        <w:t>NRC</w:t>
      </w:r>
    </w:p>
    <w:p w:rsidRPr="004B580A" w:rsidR="00FB1C95" w:rsidP="00D230CD" w:rsidRDefault="00FB1C95" w14:paraId="5CA06036" w14:textId="77777777">
      <w:pPr>
        <w:pStyle w:val="BodyText"/>
        <w:kinsoku w:val="0"/>
        <w:overflowPunct w:val="0"/>
        <w:spacing w:before="10"/>
      </w:pPr>
    </w:p>
    <w:p w:rsidRPr="002200B8" w:rsidR="002200B8" w:rsidP="002200B8" w:rsidRDefault="002200B8" w14:paraId="35D1E026" w14:textId="195DC3B2">
      <w:pPr>
        <w:tabs>
          <w:tab w:val="left" w:pos="-1200"/>
          <w:tab w:val="left" w:pos="-360"/>
          <w:tab w:val="left" w:pos="2880"/>
          <w:tab w:val="left" w:pos="3600"/>
          <w:tab w:val="left" w:pos="4320"/>
          <w:tab w:val="left" w:pos="5040"/>
          <w:tab w:val="left" w:pos="5760"/>
          <w:tab w:val="left" w:pos="6480"/>
          <w:tab w:val="left" w:pos="7200"/>
          <w:tab w:val="left" w:pos="7920"/>
          <w:tab w:val="left" w:pos="8640"/>
          <w:tab w:val="left" w:pos="9360"/>
        </w:tabs>
        <w:ind w:left="1080"/>
        <w:rPr>
          <w:sz w:val="22"/>
          <w:szCs w:val="22"/>
        </w:rPr>
      </w:pPr>
      <w:r w:rsidRPr="002200B8">
        <w:rPr>
          <w:sz w:val="22"/>
          <w:szCs w:val="22"/>
        </w:rPr>
        <w:t xml:space="preserve">Opportunity for public comment on the information collection requirements for this clearance package was published In the Federal Register on April 27, 2022 (87 FR 25053). Four individuals were emailed a consultation request to review and comment on the information collection for this clearance package. </w:t>
      </w:r>
      <w:r w:rsidR="00A55266">
        <w:rPr>
          <w:sz w:val="22"/>
          <w:szCs w:val="22"/>
        </w:rPr>
        <w:t>One out-of-scope comment was received from an Anonymous commenter.</w:t>
      </w:r>
    </w:p>
    <w:p w:rsidRPr="002200B8" w:rsidR="002200B8" w:rsidP="002200B8" w:rsidRDefault="002200B8" w14:paraId="4F90ECB1" w14:textId="77777777">
      <w:pPr>
        <w:tabs>
          <w:tab w:val="left" w:pos="-1200"/>
          <w:tab w:val="left" w:pos="-360"/>
          <w:tab w:val="left" w:pos="2880"/>
          <w:tab w:val="left" w:pos="3600"/>
          <w:tab w:val="left" w:pos="4320"/>
          <w:tab w:val="left" w:pos="5040"/>
          <w:tab w:val="left" w:pos="5760"/>
          <w:tab w:val="left" w:pos="6480"/>
          <w:tab w:val="left" w:pos="7200"/>
          <w:tab w:val="left" w:pos="7920"/>
          <w:tab w:val="left" w:pos="8640"/>
          <w:tab w:val="left" w:pos="9360"/>
        </w:tabs>
        <w:ind w:left="1080"/>
        <w:rPr>
          <w:sz w:val="22"/>
          <w:szCs w:val="22"/>
        </w:rPr>
      </w:pPr>
    </w:p>
    <w:p w:rsidR="00FB1C95" w:rsidP="00D230CD" w:rsidRDefault="00FB1C95" w14:paraId="4DFDAAAB" w14:textId="77777777">
      <w:pPr>
        <w:pStyle w:val="BodyText"/>
        <w:kinsoku w:val="0"/>
        <w:overflowPunct w:val="0"/>
        <w:spacing w:before="10"/>
        <w:rPr>
          <w:sz w:val="13"/>
          <w:szCs w:val="13"/>
        </w:rPr>
      </w:pPr>
    </w:p>
    <w:p w:rsidR="00FB1C95" w:rsidP="00801746" w:rsidRDefault="00D230CD" w14:paraId="178937B1" w14:textId="77777777">
      <w:pPr>
        <w:pStyle w:val="ListParagraph"/>
        <w:tabs>
          <w:tab w:val="left" w:pos="840"/>
        </w:tabs>
        <w:kinsoku w:val="0"/>
        <w:overflowPunct w:val="0"/>
        <w:spacing w:before="93"/>
        <w:ind w:left="450" w:firstLine="0"/>
        <w:rPr>
          <w:sz w:val="22"/>
          <w:szCs w:val="22"/>
        </w:rPr>
      </w:pPr>
      <w:r w:rsidRPr="00801746">
        <w:rPr>
          <w:sz w:val="22"/>
        </w:rPr>
        <w:t>9.</w:t>
      </w:r>
      <w:r w:rsidRPr="002200B8">
        <w:rPr>
          <w:sz w:val="22"/>
          <w:szCs w:val="22"/>
        </w:rPr>
        <w:t xml:space="preserve"> </w:t>
      </w:r>
      <w:r w:rsidR="00FB1C95">
        <w:rPr>
          <w:sz w:val="22"/>
          <w:szCs w:val="22"/>
          <w:u w:val="single"/>
        </w:rPr>
        <w:t>Payment or Gift to</w:t>
      </w:r>
      <w:r w:rsidR="00FB1C95">
        <w:rPr>
          <w:spacing w:val="-7"/>
          <w:sz w:val="22"/>
          <w:szCs w:val="22"/>
          <w:u w:val="single"/>
        </w:rPr>
        <w:t xml:space="preserve"> </w:t>
      </w:r>
      <w:r w:rsidR="00FB1C95">
        <w:rPr>
          <w:sz w:val="22"/>
          <w:szCs w:val="22"/>
          <w:u w:val="single"/>
        </w:rPr>
        <w:t>Respondents</w:t>
      </w:r>
    </w:p>
    <w:p w:rsidR="00FB1C95" w:rsidP="00D230CD" w:rsidRDefault="00FB1C95" w14:paraId="062A456A" w14:textId="77777777">
      <w:pPr>
        <w:pStyle w:val="BodyText"/>
        <w:kinsoku w:val="0"/>
        <w:overflowPunct w:val="0"/>
        <w:spacing w:before="11"/>
        <w:rPr>
          <w:sz w:val="13"/>
          <w:szCs w:val="13"/>
        </w:rPr>
      </w:pPr>
    </w:p>
    <w:p w:rsidR="00FB1C95" w:rsidP="00801746" w:rsidRDefault="00FB1C95" w14:paraId="1EB5AB42" w14:textId="77777777">
      <w:pPr>
        <w:pStyle w:val="BodyText"/>
        <w:kinsoku w:val="0"/>
        <w:overflowPunct w:val="0"/>
        <w:spacing w:before="92"/>
        <w:ind w:left="1080"/>
      </w:pPr>
      <w:r>
        <w:t>Not Applicable.</w:t>
      </w:r>
    </w:p>
    <w:p w:rsidR="00FB1C95" w:rsidP="00D230CD" w:rsidRDefault="00FB1C95" w14:paraId="3A77BBD9" w14:textId="77777777">
      <w:pPr>
        <w:pStyle w:val="BodyText"/>
        <w:kinsoku w:val="0"/>
        <w:overflowPunct w:val="0"/>
        <w:spacing w:before="10"/>
        <w:rPr>
          <w:sz w:val="21"/>
          <w:szCs w:val="21"/>
        </w:rPr>
      </w:pPr>
    </w:p>
    <w:p w:rsidR="00592C2E" w:rsidP="00801746" w:rsidRDefault="00592C2E" w14:paraId="20A94F59" w14:textId="77777777">
      <w:pPr>
        <w:pStyle w:val="ListParagraph"/>
        <w:tabs>
          <w:tab w:val="left" w:pos="840"/>
        </w:tabs>
        <w:kinsoku w:val="0"/>
        <w:overflowPunct w:val="0"/>
        <w:ind w:left="450" w:firstLine="0"/>
        <w:rPr>
          <w:sz w:val="22"/>
        </w:rPr>
      </w:pPr>
    </w:p>
    <w:p w:rsidR="00FB1C95" w:rsidP="00801746" w:rsidRDefault="00D230CD" w14:paraId="1E6E4881" w14:textId="4E40A290">
      <w:pPr>
        <w:pStyle w:val="ListParagraph"/>
        <w:tabs>
          <w:tab w:val="left" w:pos="840"/>
        </w:tabs>
        <w:kinsoku w:val="0"/>
        <w:overflowPunct w:val="0"/>
        <w:ind w:left="450" w:firstLine="0"/>
        <w:rPr>
          <w:sz w:val="22"/>
          <w:szCs w:val="22"/>
        </w:rPr>
      </w:pPr>
      <w:r w:rsidRPr="00801746">
        <w:rPr>
          <w:sz w:val="22"/>
        </w:rPr>
        <w:t>10.</w:t>
      </w:r>
      <w:r>
        <w:rPr>
          <w:sz w:val="22"/>
          <w:szCs w:val="22"/>
          <w:u w:val="single"/>
        </w:rPr>
        <w:t xml:space="preserve"> </w:t>
      </w:r>
      <w:r w:rsidR="00FB1C95">
        <w:rPr>
          <w:sz w:val="22"/>
          <w:szCs w:val="22"/>
          <w:u w:val="single"/>
        </w:rPr>
        <w:t>Confidentiality of</w:t>
      </w:r>
      <w:r w:rsidR="00FB1C95">
        <w:rPr>
          <w:spacing w:val="20"/>
          <w:sz w:val="22"/>
          <w:szCs w:val="22"/>
          <w:u w:val="single"/>
        </w:rPr>
        <w:t xml:space="preserve"> </w:t>
      </w:r>
      <w:r w:rsidR="00FB1C95">
        <w:rPr>
          <w:sz w:val="22"/>
          <w:szCs w:val="22"/>
          <w:u w:val="single"/>
        </w:rPr>
        <w:t>Information</w:t>
      </w:r>
    </w:p>
    <w:p w:rsidR="00FB1C95" w:rsidP="00D230CD" w:rsidRDefault="00FB1C95" w14:paraId="07E03A15" w14:textId="77777777">
      <w:pPr>
        <w:pStyle w:val="BodyText"/>
        <w:kinsoku w:val="0"/>
        <w:overflowPunct w:val="0"/>
        <w:spacing w:before="11"/>
        <w:rPr>
          <w:sz w:val="13"/>
          <w:szCs w:val="13"/>
        </w:rPr>
      </w:pPr>
    </w:p>
    <w:p w:rsidR="00FB1C95" w:rsidP="00801746" w:rsidRDefault="00FB1C95" w14:paraId="4020FA77" w14:textId="77777777">
      <w:pPr>
        <w:pStyle w:val="BodyText"/>
        <w:kinsoku w:val="0"/>
        <w:overflowPunct w:val="0"/>
        <w:spacing w:before="92"/>
        <w:ind w:left="1080" w:right="174"/>
      </w:pPr>
      <w:r>
        <w:t xml:space="preserve">Confidential and proprietary information is protected in accordance with NRC regulations at 10 CFR 9.17(a) and 10 </w:t>
      </w:r>
      <w:r w:rsidR="00107FA9">
        <w:t>CFR 2.390</w:t>
      </w:r>
      <w:r>
        <w:t>(b).</w:t>
      </w:r>
    </w:p>
    <w:p w:rsidR="00E262F2" w:rsidP="00801746" w:rsidRDefault="00E262F2" w14:paraId="0C0788AB" w14:textId="77777777">
      <w:pPr>
        <w:pStyle w:val="ListParagraph"/>
        <w:tabs>
          <w:tab w:val="left" w:pos="840"/>
        </w:tabs>
        <w:kinsoku w:val="0"/>
        <w:overflowPunct w:val="0"/>
        <w:spacing w:before="1"/>
        <w:ind w:left="540" w:firstLine="0"/>
        <w:rPr>
          <w:sz w:val="22"/>
        </w:rPr>
      </w:pPr>
    </w:p>
    <w:p w:rsidR="00FB1C95" w:rsidP="00801746" w:rsidRDefault="00D230CD" w14:paraId="3BC7DFA9" w14:textId="33DBA2F6">
      <w:pPr>
        <w:pStyle w:val="ListParagraph"/>
        <w:tabs>
          <w:tab w:val="left" w:pos="840"/>
        </w:tabs>
        <w:kinsoku w:val="0"/>
        <w:overflowPunct w:val="0"/>
        <w:spacing w:before="1"/>
        <w:ind w:left="540" w:firstLine="0"/>
        <w:rPr>
          <w:sz w:val="22"/>
          <w:szCs w:val="22"/>
        </w:rPr>
      </w:pPr>
      <w:r w:rsidRPr="00801746">
        <w:rPr>
          <w:sz w:val="22"/>
        </w:rPr>
        <w:t>11.</w:t>
      </w:r>
      <w:r w:rsidRPr="002200B8">
        <w:rPr>
          <w:sz w:val="22"/>
          <w:szCs w:val="22"/>
        </w:rPr>
        <w:t xml:space="preserve"> </w:t>
      </w:r>
      <w:r w:rsidR="00FB1C95">
        <w:rPr>
          <w:sz w:val="22"/>
          <w:szCs w:val="22"/>
          <w:u w:val="single"/>
        </w:rPr>
        <w:t>Justification for Sensitive</w:t>
      </w:r>
      <w:r w:rsidR="00FB1C95">
        <w:rPr>
          <w:spacing w:val="-43"/>
          <w:sz w:val="22"/>
          <w:szCs w:val="22"/>
          <w:u w:val="single"/>
        </w:rPr>
        <w:t xml:space="preserve"> </w:t>
      </w:r>
      <w:r w:rsidR="00FB1C95">
        <w:rPr>
          <w:sz w:val="22"/>
          <w:szCs w:val="22"/>
          <w:u w:val="single"/>
        </w:rPr>
        <w:t>Questions</w:t>
      </w:r>
    </w:p>
    <w:p w:rsidR="00FB1C95" w:rsidP="00D230CD" w:rsidRDefault="00FB1C95" w14:paraId="7DDC24B1" w14:textId="77777777">
      <w:pPr>
        <w:pStyle w:val="BodyText"/>
        <w:kinsoku w:val="0"/>
        <w:overflowPunct w:val="0"/>
        <w:rPr>
          <w:sz w:val="14"/>
          <w:szCs w:val="14"/>
        </w:rPr>
      </w:pPr>
    </w:p>
    <w:p w:rsidR="00FB1C95" w:rsidP="00801746" w:rsidRDefault="00FB1C95" w14:paraId="01789364" w14:textId="77777777">
      <w:pPr>
        <w:pStyle w:val="BodyText"/>
        <w:kinsoku w:val="0"/>
        <w:overflowPunct w:val="0"/>
        <w:spacing w:before="92"/>
        <w:ind w:left="1080"/>
      </w:pPr>
      <w:r>
        <w:t>Not applicable</w:t>
      </w:r>
    </w:p>
    <w:p w:rsidR="006454FE" w:rsidP="006454FE" w:rsidRDefault="006454FE" w14:paraId="5AC99EC0" w14:textId="77777777">
      <w:pPr>
        <w:tabs>
          <w:tab w:val="left" w:pos="840"/>
        </w:tabs>
        <w:kinsoku w:val="0"/>
        <w:overflowPunct w:val="0"/>
        <w:rPr>
          <w:sz w:val="22"/>
          <w:szCs w:val="22"/>
        </w:rPr>
      </w:pPr>
    </w:p>
    <w:p w:rsidRPr="002C652C" w:rsidR="00FB1C95" w:rsidP="002C652C" w:rsidRDefault="00D230CD" w14:paraId="66B4CD8C" w14:textId="1028CA5B">
      <w:pPr>
        <w:tabs>
          <w:tab w:val="left" w:pos="840"/>
        </w:tabs>
        <w:kinsoku w:val="0"/>
        <w:overflowPunct w:val="0"/>
        <w:ind w:left="540"/>
        <w:rPr>
          <w:sz w:val="22"/>
          <w:szCs w:val="22"/>
        </w:rPr>
      </w:pPr>
      <w:r w:rsidRPr="002C652C">
        <w:rPr>
          <w:sz w:val="22"/>
        </w:rPr>
        <w:t>12.</w:t>
      </w:r>
      <w:r w:rsidRPr="002C652C" w:rsidR="00974EE7">
        <w:rPr>
          <w:sz w:val="22"/>
        </w:rPr>
        <w:t xml:space="preserve"> </w:t>
      </w:r>
      <w:r w:rsidRPr="002C652C" w:rsidR="00FB1C95">
        <w:rPr>
          <w:sz w:val="22"/>
          <w:szCs w:val="22"/>
          <w:u w:val="single"/>
        </w:rPr>
        <w:t>Estimate of</w:t>
      </w:r>
      <w:r w:rsidRPr="002C652C" w:rsidR="00FB1C95">
        <w:rPr>
          <w:spacing w:val="35"/>
          <w:sz w:val="22"/>
          <w:szCs w:val="22"/>
          <w:u w:val="single"/>
        </w:rPr>
        <w:t xml:space="preserve"> </w:t>
      </w:r>
      <w:r w:rsidRPr="002C652C" w:rsidR="00FB1C95">
        <w:rPr>
          <w:sz w:val="22"/>
          <w:szCs w:val="22"/>
          <w:u w:val="single"/>
        </w:rPr>
        <w:t>Burden</w:t>
      </w:r>
      <w:r w:rsidRPr="002C652C" w:rsidR="00FB1C95">
        <w:rPr>
          <w:sz w:val="22"/>
          <w:szCs w:val="22"/>
        </w:rPr>
        <w:t>.</w:t>
      </w:r>
    </w:p>
    <w:p w:rsidR="00FB1C95" w:rsidP="00D230CD" w:rsidRDefault="00FB1C95" w14:paraId="413E505C" w14:textId="77777777">
      <w:pPr>
        <w:pStyle w:val="BodyText"/>
        <w:kinsoku w:val="0"/>
        <w:overflowPunct w:val="0"/>
        <w:spacing w:before="9"/>
        <w:rPr>
          <w:sz w:val="13"/>
          <w:szCs w:val="13"/>
        </w:rPr>
      </w:pPr>
    </w:p>
    <w:p w:rsidR="00767387" w:rsidP="00767387" w:rsidRDefault="00767387" w14:paraId="041AA8AD" w14:textId="77777777">
      <w:pPr>
        <w:pStyle w:val="BodyText"/>
        <w:kinsoku w:val="0"/>
        <w:overflowPunct w:val="0"/>
        <w:spacing w:before="93"/>
        <w:ind w:left="1080" w:right="305"/>
      </w:pPr>
      <w:r>
        <w:t>Each of the 200 respondents will be required to submit 3 reports a year</w:t>
      </w:r>
      <w:r>
        <w:rPr>
          <w:rStyle w:val="FootnoteReference"/>
        </w:rPr>
        <w:footnoteReference w:id="4"/>
      </w:r>
      <w:r>
        <w:t xml:space="preserve">for all the 10 CFR reporting requirements under Sections 5.110; </w:t>
      </w:r>
      <w:r>
        <w:rPr>
          <w:spacing w:val="2"/>
        </w:rPr>
        <w:t xml:space="preserve">5.115; </w:t>
      </w:r>
      <w:r>
        <w:t xml:space="preserve">5.205; and </w:t>
      </w:r>
      <w:r>
        <w:rPr>
          <w:spacing w:val="2"/>
        </w:rPr>
        <w:t xml:space="preserve">5.230. </w:t>
      </w:r>
      <w:r>
        <w:t xml:space="preserve">The estimated number of responses is 1,000 (see Table 3). The total annual reporting burden is 18,000 hours (see Table 3 for distribution of hours per section) with an estimated annual cost of </w:t>
      </w:r>
      <w:r w:rsidRPr="00B02611">
        <w:rPr>
          <w:color w:val="000000"/>
        </w:rPr>
        <w:t>$518,400</w:t>
      </w:r>
      <w:r>
        <w:t xml:space="preserve"> (18,000 hours x $288).</w:t>
      </w:r>
    </w:p>
    <w:p w:rsidR="00767387" w:rsidP="00767387" w:rsidRDefault="00767387" w14:paraId="0DC5B151" w14:textId="77777777">
      <w:pPr>
        <w:pStyle w:val="BodyText"/>
        <w:kinsoku w:val="0"/>
        <w:overflowPunct w:val="0"/>
      </w:pPr>
    </w:p>
    <w:p w:rsidR="00767387" w:rsidP="00767387" w:rsidRDefault="00767387" w14:paraId="74303A4D" w14:textId="77777777">
      <w:pPr>
        <w:pStyle w:val="BodyText"/>
        <w:kinsoku w:val="0"/>
        <w:overflowPunct w:val="0"/>
        <w:ind w:left="1080"/>
      </w:pPr>
      <w:r>
        <w:t>Each of the 200 recipient respondents will maintain the records required under 10 CFR 5. Where a recipient makes available Federal financial assistance from NRC to a subrecipient, the recipient shall provide the subrecipient written notice of the subrecipient's obligations under Title IX and NRC’s regulations. The burden for these third-party collections are listed in table 5 which shows 200 responses x .25 hours per response.  The estimated number of 3</w:t>
      </w:r>
      <w:r w:rsidRPr="00B55112">
        <w:rPr>
          <w:vertAlign w:val="superscript"/>
        </w:rPr>
        <w:t>rd</w:t>
      </w:r>
      <w:r>
        <w:t xml:space="preserve"> Party Disclosure is 50 hours for a cost of </w:t>
      </w:r>
      <w:r w:rsidRPr="00B02611">
        <w:rPr>
          <w:color w:val="000000"/>
        </w:rPr>
        <w:t>$14,400</w:t>
      </w:r>
      <w:r>
        <w:t xml:space="preserve">.   The estimated number of recordkeepers is 200. The total annual recordkeeping burden is 1,600 hours (See Table 4) with an estimated annual cost of </w:t>
      </w:r>
      <w:r w:rsidRPr="00B02611">
        <w:rPr>
          <w:color w:val="000000"/>
        </w:rPr>
        <w:t>$460,800</w:t>
      </w:r>
      <w:r>
        <w:t xml:space="preserve"> (1,600 hours x $288).</w:t>
      </w:r>
    </w:p>
    <w:p w:rsidR="00767387" w:rsidP="00767387" w:rsidRDefault="00767387" w14:paraId="79399FEB" w14:textId="77777777">
      <w:pPr>
        <w:pStyle w:val="BodyText"/>
        <w:kinsoku w:val="0"/>
        <w:overflowPunct w:val="0"/>
        <w:ind w:left="1080"/>
      </w:pPr>
    </w:p>
    <w:p w:rsidR="00767387" w:rsidP="00767387" w:rsidRDefault="00767387" w14:paraId="32B8F5A1" w14:textId="77777777">
      <w:pPr>
        <w:pStyle w:val="BodyText"/>
        <w:kinsoku w:val="0"/>
        <w:overflowPunct w:val="0"/>
        <w:ind w:left="1080" w:right="501"/>
        <w:rPr>
          <w:w w:val="105"/>
        </w:rPr>
      </w:pPr>
      <w:r>
        <w:rPr>
          <w:w w:val="105"/>
        </w:rPr>
        <w:t xml:space="preserve">The overall estimated burden is </w:t>
      </w:r>
      <w:r w:rsidRPr="00B02611">
        <w:rPr>
          <w:color w:val="000000"/>
        </w:rPr>
        <w:t>3</w:t>
      </w:r>
      <w:r>
        <w:rPr>
          <w:color w:val="000000"/>
        </w:rPr>
        <w:t>,</w:t>
      </w:r>
      <w:r w:rsidRPr="00B02611">
        <w:rPr>
          <w:color w:val="000000"/>
        </w:rPr>
        <w:t>450</w:t>
      </w:r>
      <w:r>
        <w:rPr>
          <w:color w:val="000000"/>
        </w:rPr>
        <w:t xml:space="preserve"> </w:t>
      </w:r>
      <w:r>
        <w:rPr>
          <w:w w:val="105"/>
        </w:rPr>
        <w:t>hours (1,800 hours reporting + 1,600 hours recordkeeping + 50 hours 3rd Party Disclosure)</w:t>
      </w:r>
      <w:r>
        <w:rPr>
          <w:spacing w:val="-13"/>
          <w:w w:val="105"/>
        </w:rPr>
        <w:t xml:space="preserve"> </w:t>
      </w:r>
      <w:r>
        <w:rPr>
          <w:w w:val="105"/>
        </w:rPr>
        <w:t>for</w:t>
      </w:r>
      <w:r>
        <w:rPr>
          <w:spacing w:val="-14"/>
          <w:w w:val="105"/>
        </w:rPr>
        <w:t xml:space="preserve"> </w:t>
      </w:r>
      <w:r>
        <w:rPr>
          <w:w w:val="105"/>
        </w:rPr>
        <w:t>an</w:t>
      </w:r>
      <w:r>
        <w:rPr>
          <w:spacing w:val="-20"/>
          <w:w w:val="105"/>
        </w:rPr>
        <w:t xml:space="preserve"> </w:t>
      </w:r>
      <w:r>
        <w:rPr>
          <w:w w:val="105"/>
        </w:rPr>
        <w:t>estimated</w:t>
      </w:r>
      <w:r>
        <w:rPr>
          <w:spacing w:val="-16"/>
          <w:w w:val="105"/>
        </w:rPr>
        <w:t xml:space="preserve"> </w:t>
      </w:r>
      <w:r>
        <w:rPr>
          <w:w w:val="105"/>
        </w:rPr>
        <w:t>total</w:t>
      </w:r>
      <w:r>
        <w:rPr>
          <w:spacing w:val="-14"/>
          <w:w w:val="105"/>
        </w:rPr>
        <w:t xml:space="preserve"> </w:t>
      </w:r>
      <w:r>
        <w:rPr>
          <w:w w:val="105"/>
        </w:rPr>
        <w:t>cost</w:t>
      </w:r>
      <w:r>
        <w:rPr>
          <w:spacing w:val="-18"/>
          <w:w w:val="105"/>
        </w:rPr>
        <w:t xml:space="preserve"> </w:t>
      </w:r>
      <w:r>
        <w:rPr>
          <w:w w:val="105"/>
        </w:rPr>
        <w:t>of</w:t>
      </w:r>
      <w:r>
        <w:rPr>
          <w:spacing w:val="-19"/>
          <w:w w:val="105"/>
        </w:rPr>
        <w:t xml:space="preserve"> </w:t>
      </w:r>
      <w:r w:rsidRPr="00B02611">
        <w:rPr>
          <w:color w:val="000000"/>
        </w:rPr>
        <w:t>$993,600</w:t>
      </w:r>
      <w:r>
        <w:rPr>
          <w:w w:val="105"/>
        </w:rPr>
        <w:t xml:space="preserve"> (3,450</w:t>
      </w:r>
      <w:r>
        <w:rPr>
          <w:spacing w:val="-18"/>
          <w:w w:val="105"/>
        </w:rPr>
        <w:t xml:space="preserve"> </w:t>
      </w:r>
      <w:r>
        <w:rPr>
          <w:w w:val="105"/>
        </w:rPr>
        <w:t>hours</w:t>
      </w:r>
      <w:r>
        <w:rPr>
          <w:spacing w:val="-25"/>
          <w:w w:val="105"/>
        </w:rPr>
        <w:t xml:space="preserve"> </w:t>
      </w:r>
      <w:r>
        <w:rPr>
          <w:w w:val="105"/>
        </w:rPr>
        <w:t>x</w:t>
      </w:r>
      <w:r>
        <w:rPr>
          <w:spacing w:val="-13"/>
          <w:w w:val="105"/>
        </w:rPr>
        <w:t xml:space="preserve"> </w:t>
      </w:r>
      <w:r>
        <w:rPr>
          <w:w w:val="105"/>
        </w:rPr>
        <w:t>$288).</w:t>
      </w:r>
      <w:r>
        <w:rPr>
          <w:spacing w:val="21"/>
          <w:w w:val="105"/>
        </w:rPr>
        <w:t xml:space="preserve"> </w:t>
      </w:r>
      <w:r>
        <w:rPr>
          <w:w w:val="105"/>
        </w:rPr>
        <w:t>The estimated</w:t>
      </w:r>
      <w:r>
        <w:rPr>
          <w:spacing w:val="-12"/>
          <w:w w:val="105"/>
        </w:rPr>
        <w:t xml:space="preserve"> </w:t>
      </w:r>
      <w:r>
        <w:rPr>
          <w:w w:val="105"/>
        </w:rPr>
        <w:t>cost</w:t>
      </w:r>
      <w:r>
        <w:rPr>
          <w:spacing w:val="-26"/>
          <w:w w:val="105"/>
        </w:rPr>
        <w:t xml:space="preserve"> </w:t>
      </w:r>
      <w:r>
        <w:rPr>
          <w:w w:val="105"/>
        </w:rPr>
        <w:t>for</w:t>
      </w:r>
      <w:r>
        <w:rPr>
          <w:spacing w:val="-19"/>
          <w:w w:val="105"/>
        </w:rPr>
        <w:t xml:space="preserve"> </w:t>
      </w:r>
      <w:r>
        <w:rPr>
          <w:w w:val="105"/>
        </w:rPr>
        <w:t>each</w:t>
      </w:r>
      <w:r>
        <w:rPr>
          <w:spacing w:val="-19"/>
          <w:w w:val="105"/>
        </w:rPr>
        <w:t xml:space="preserve"> </w:t>
      </w:r>
      <w:r>
        <w:rPr>
          <w:w w:val="105"/>
        </w:rPr>
        <w:t>respondent</w:t>
      </w:r>
      <w:r>
        <w:rPr>
          <w:spacing w:val="-9"/>
          <w:w w:val="105"/>
        </w:rPr>
        <w:t xml:space="preserve"> </w:t>
      </w:r>
      <w:r>
        <w:rPr>
          <w:w w:val="105"/>
        </w:rPr>
        <w:t>is</w:t>
      </w:r>
      <w:r>
        <w:rPr>
          <w:spacing w:val="-26"/>
          <w:w w:val="105"/>
        </w:rPr>
        <w:t xml:space="preserve"> </w:t>
      </w:r>
      <w:r>
        <w:rPr>
          <w:w w:val="105"/>
        </w:rPr>
        <w:t>$5,184</w:t>
      </w:r>
      <w:r>
        <w:rPr>
          <w:spacing w:val="-17"/>
          <w:w w:val="105"/>
        </w:rPr>
        <w:t xml:space="preserve"> </w:t>
      </w:r>
      <w:r>
        <w:rPr>
          <w:w w:val="105"/>
        </w:rPr>
        <w:t>($1,036,800</w:t>
      </w:r>
      <w:r>
        <w:rPr>
          <w:spacing w:val="-21"/>
          <w:w w:val="105"/>
        </w:rPr>
        <w:t xml:space="preserve"> </w:t>
      </w:r>
      <w:r>
        <w:rPr>
          <w:w w:val="105"/>
        </w:rPr>
        <w:t>/</w:t>
      </w:r>
      <w:r>
        <w:rPr>
          <w:spacing w:val="-14"/>
          <w:w w:val="105"/>
        </w:rPr>
        <w:t xml:space="preserve"> </w:t>
      </w:r>
      <w:r>
        <w:rPr>
          <w:w w:val="105"/>
        </w:rPr>
        <w:t>200</w:t>
      </w:r>
      <w:r>
        <w:rPr>
          <w:spacing w:val="-17"/>
          <w:w w:val="105"/>
        </w:rPr>
        <w:t xml:space="preserve"> </w:t>
      </w:r>
      <w:r>
        <w:rPr>
          <w:w w:val="105"/>
        </w:rPr>
        <w:t>respondents) See Table 1.</w:t>
      </w:r>
    </w:p>
    <w:p w:rsidR="00767387" w:rsidP="00767387" w:rsidRDefault="00767387" w14:paraId="7CB3F3AE" w14:textId="77777777">
      <w:pPr>
        <w:pStyle w:val="BodyText"/>
        <w:kinsoku w:val="0"/>
        <w:overflowPunct w:val="0"/>
        <w:spacing w:before="10"/>
        <w:rPr>
          <w:sz w:val="21"/>
          <w:szCs w:val="21"/>
        </w:rPr>
      </w:pPr>
    </w:p>
    <w:p w:rsidR="00767387" w:rsidP="00767387" w:rsidRDefault="00767387" w14:paraId="1E986462" w14:textId="77777777">
      <w:pPr>
        <w:pStyle w:val="BodyText"/>
        <w:kinsoku w:val="0"/>
        <w:overflowPunct w:val="0"/>
        <w:ind w:left="1080" w:right="409"/>
        <w:rPr>
          <w:w w:val="105"/>
        </w:rPr>
      </w:pPr>
      <w:r>
        <w:rPr>
          <w:w w:val="105"/>
        </w:rPr>
        <w:t>The total number of responses is 1,400 (1,000 reporting responses + 200 recordkeepers + 200 3</w:t>
      </w:r>
      <w:r w:rsidRPr="001004C7">
        <w:rPr>
          <w:w w:val="105"/>
          <w:vertAlign w:val="superscript"/>
        </w:rPr>
        <w:t>rd</w:t>
      </w:r>
      <w:r>
        <w:rPr>
          <w:w w:val="105"/>
        </w:rPr>
        <w:t xml:space="preserve"> Party Disclosure) See table 1. </w:t>
      </w:r>
    </w:p>
    <w:p w:rsidR="00767387" w:rsidP="00767387" w:rsidRDefault="00767387" w14:paraId="574FB4FA" w14:textId="77777777">
      <w:pPr>
        <w:pStyle w:val="BodyText"/>
        <w:kinsoku w:val="0"/>
        <w:overflowPunct w:val="0"/>
      </w:pPr>
    </w:p>
    <w:p w:rsidR="00767387" w:rsidP="00767387" w:rsidRDefault="00767387" w14:paraId="27DECF8F" w14:textId="77777777">
      <w:pPr>
        <w:ind w:left="1080"/>
        <w:rPr>
          <w:sz w:val="22"/>
          <w:szCs w:val="22"/>
        </w:rPr>
      </w:pPr>
      <w:r w:rsidRPr="00FF7257">
        <w:rPr>
          <w:sz w:val="22"/>
          <w:szCs w:val="22"/>
        </w:rPr>
        <w:t>The $288 hourly rate used in the burden estimates is based on the Nuclear Regulatory Commission’s fee for hourly rates as noted in 10 CFR 170.20 “Average cost per professional staff-hour.” For more information on the basis of this rate, see the Revision of Fee Schedules; Fee Recovery for Fiscal Year 2021 (</w:t>
      </w:r>
      <w:r w:rsidRPr="00FF7257">
        <w:rPr>
          <w:color w:val="333333"/>
          <w:sz w:val="22"/>
          <w:szCs w:val="22"/>
        </w:rPr>
        <w:t>86 FR 32146</w:t>
      </w:r>
      <w:r w:rsidRPr="00FF7257">
        <w:rPr>
          <w:sz w:val="22"/>
          <w:szCs w:val="22"/>
        </w:rPr>
        <w:t>, June 17, 2021).</w:t>
      </w:r>
    </w:p>
    <w:p w:rsidR="00767387" w:rsidP="00767387" w:rsidRDefault="00767387" w14:paraId="29CD7AA4" w14:textId="77777777">
      <w:pPr>
        <w:ind w:left="1080"/>
        <w:rPr>
          <w:sz w:val="22"/>
          <w:szCs w:val="22"/>
        </w:rPr>
      </w:pPr>
    </w:p>
    <w:p w:rsidR="00767387" w:rsidP="006C5B74" w:rsidRDefault="00767387" w14:paraId="4AE6A950" w14:textId="1213B560">
      <w:pPr>
        <w:ind w:left="1080"/>
      </w:pPr>
    </w:p>
    <w:p w:rsidR="00767387" w:rsidP="00767387" w:rsidRDefault="00767387" w14:paraId="0DFA43B3" w14:textId="77777777">
      <w:pPr>
        <w:ind w:left="1080"/>
      </w:pPr>
    </w:p>
    <w:p w:rsidR="00767387" w:rsidP="00767387" w:rsidRDefault="00767387" w14:paraId="5503D124" w14:textId="77777777">
      <w:pPr>
        <w:ind w:left="1080"/>
      </w:pPr>
    </w:p>
    <w:p w:rsidR="00767387" w:rsidP="00767387" w:rsidRDefault="00767387" w14:paraId="0E7B24E1" w14:textId="77777777">
      <w:pPr>
        <w:ind w:left="1080"/>
      </w:pPr>
    </w:p>
    <w:p w:rsidR="00767387" w:rsidP="00767387" w:rsidRDefault="00767387" w14:paraId="25427434" w14:textId="77777777">
      <w:pPr>
        <w:ind w:left="1080"/>
      </w:pPr>
    </w:p>
    <w:p w:rsidR="00767387" w:rsidP="00767387" w:rsidRDefault="00767387" w14:paraId="0170A5AB" w14:textId="77777777">
      <w:pPr>
        <w:ind w:left="1080"/>
      </w:pPr>
    </w:p>
    <w:p w:rsidR="00767387" w:rsidP="00767387" w:rsidRDefault="00767387" w14:paraId="59903C21" w14:textId="77777777">
      <w:pPr>
        <w:ind w:left="1080"/>
      </w:pPr>
    </w:p>
    <w:p w:rsidR="00767387" w:rsidP="00767387" w:rsidRDefault="00767387" w14:paraId="0D5FA1DF" w14:textId="77777777">
      <w:pPr>
        <w:ind w:left="1080"/>
      </w:pPr>
    </w:p>
    <w:p w:rsidR="00767387" w:rsidP="00767387" w:rsidRDefault="00767387" w14:paraId="28D1ABD3" w14:textId="77777777">
      <w:pPr>
        <w:ind w:left="1080"/>
      </w:pPr>
    </w:p>
    <w:p w:rsidR="00767387" w:rsidP="00767387" w:rsidRDefault="00767387" w14:paraId="0EB97FE4" w14:textId="77777777">
      <w:pPr>
        <w:ind w:left="1080"/>
      </w:pPr>
    </w:p>
    <w:p w:rsidR="00767387" w:rsidP="00767387" w:rsidRDefault="00767387" w14:paraId="7D6C172E" w14:textId="77777777">
      <w:pPr>
        <w:ind w:left="1080"/>
      </w:pPr>
    </w:p>
    <w:p w:rsidR="00767387" w:rsidP="00767387" w:rsidRDefault="00767387" w14:paraId="36C2393F" w14:textId="77777777">
      <w:pPr>
        <w:ind w:left="1080"/>
      </w:pPr>
    </w:p>
    <w:p w:rsidR="00767387" w:rsidP="00767387" w:rsidRDefault="00767387" w14:paraId="541AF157" w14:textId="77777777">
      <w:pPr>
        <w:ind w:left="1080"/>
      </w:pPr>
    </w:p>
    <w:tbl>
      <w:tblPr>
        <w:tblpPr w:leftFromText="180" w:rightFromText="180" w:vertAnchor="text" w:horzAnchor="margin" w:tblpXSpec="center" w:tblpY="196"/>
        <w:tblW w:w="10820" w:type="dxa"/>
        <w:tblLook w:val="04A0" w:firstRow="1" w:lastRow="0" w:firstColumn="1" w:lastColumn="0" w:noHBand="0" w:noVBand="1"/>
      </w:tblPr>
      <w:tblGrid>
        <w:gridCol w:w="2015"/>
        <w:gridCol w:w="2218"/>
        <w:gridCol w:w="1513"/>
        <w:gridCol w:w="1317"/>
        <w:gridCol w:w="1317"/>
        <w:gridCol w:w="1220"/>
        <w:gridCol w:w="1220"/>
      </w:tblGrid>
      <w:tr w:rsidRPr="00B71DF4" w:rsidR="00767387" w:rsidTr="00767387" w14:paraId="489E0291" w14:textId="77777777">
        <w:trPr>
          <w:trHeight w:val="280"/>
        </w:trPr>
        <w:tc>
          <w:tcPr>
            <w:tcW w:w="10820" w:type="dxa"/>
            <w:gridSpan w:val="7"/>
            <w:tcBorders>
              <w:top w:val="nil"/>
              <w:left w:val="nil"/>
              <w:bottom w:val="single" w:color="auto" w:sz="4" w:space="0"/>
              <w:right w:val="nil"/>
            </w:tcBorders>
            <w:shd w:val="clear" w:color="auto" w:fill="auto"/>
            <w:vAlign w:val="bottom"/>
            <w:hideMark/>
          </w:tcPr>
          <w:p w:rsidRPr="00B71DF4" w:rsidR="00767387" w:rsidP="00767387" w:rsidRDefault="00767387" w14:paraId="27001122" w14:textId="77777777">
            <w:pPr>
              <w:widowControl/>
              <w:autoSpaceDE/>
              <w:autoSpaceDN/>
              <w:adjustRightInd/>
              <w:jc w:val="center"/>
              <w:rPr>
                <w:color w:val="000000"/>
                <w:sz w:val="22"/>
                <w:szCs w:val="22"/>
              </w:rPr>
            </w:pPr>
            <w:r w:rsidRPr="00B71DF4">
              <w:rPr>
                <w:color w:val="000000"/>
                <w:sz w:val="22"/>
                <w:szCs w:val="22"/>
              </w:rPr>
              <w:t>Table 3. Annual Reporting Burden</w:t>
            </w:r>
          </w:p>
        </w:tc>
      </w:tr>
      <w:tr w:rsidRPr="00B71DF4" w:rsidR="00767387" w:rsidTr="00767387" w14:paraId="389E1661" w14:textId="77777777">
        <w:trPr>
          <w:trHeight w:val="840"/>
        </w:trPr>
        <w:tc>
          <w:tcPr>
            <w:tcW w:w="2015" w:type="dxa"/>
            <w:tcBorders>
              <w:top w:val="nil"/>
              <w:left w:val="single" w:color="auto" w:sz="4" w:space="0"/>
              <w:bottom w:val="single" w:color="auto" w:sz="4" w:space="0"/>
              <w:right w:val="single" w:color="auto" w:sz="4" w:space="0"/>
            </w:tcBorders>
            <w:shd w:val="clear" w:color="auto" w:fill="auto"/>
            <w:vAlign w:val="bottom"/>
            <w:hideMark/>
          </w:tcPr>
          <w:p w:rsidRPr="00B71DF4" w:rsidR="00767387" w:rsidP="00767387" w:rsidRDefault="00767387" w14:paraId="70D55DDF" w14:textId="77777777">
            <w:pPr>
              <w:widowControl/>
              <w:autoSpaceDE/>
              <w:autoSpaceDN/>
              <w:adjustRightInd/>
              <w:rPr>
                <w:color w:val="000000"/>
                <w:sz w:val="22"/>
                <w:szCs w:val="22"/>
              </w:rPr>
            </w:pPr>
            <w:r w:rsidRPr="00B71DF4">
              <w:rPr>
                <w:color w:val="000000"/>
                <w:sz w:val="22"/>
                <w:szCs w:val="22"/>
              </w:rPr>
              <w:t>Section</w:t>
            </w:r>
          </w:p>
        </w:tc>
        <w:tc>
          <w:tcPr>
            <w:tcW w:w="2218" w:type="dxa"/>
            <w:tcBorders>
              <w:top w:val="nil"/>
              <w:left w:val="nil"/>
              <w:bottom w:val="single" w:color="auto" w:sz="4" w:space="0"/>
              <w:right w:val="single" w:color="auto" w:sz="4" w:space="0"/>
            </w:tcBorders>
            <w:shd w:val="clear" w:color="auto" w:fill="auto"/>
            <w:vAlign w:val="bottom"/>
            <w:hideMark/>
          </w:tcPr>
          <w:p w:rsidRPr="00B71DF4" w:rsidR="00767387" w:rsidP="00767387" w:rsidRDefault="00767387" w14:paraId="447F351D" w14:textId="77777777">
            <w:pPr>
              <w:widowControl/>
              <w:autoSpaceDE/>
              <w:autoSpaceDN/>
              <w:adjustRightInd/>
              <w:rPr>
                <w:color w:val="000000"/>
                <w:sz w:val="22"/>
                <w:szCs w:val="22"/>
              </w:rPr>
            </w:pPr>
            <w:r w:rsidRPr="00B71DF4">
              <w:rPr>
                <w:color w:val="000000"/>
                <w:sz w:val="22"/>
                <w:szCs w:val="22"/>
              </w:rPr>
              <w:t>Description</w:t>
            </w:r>
          </w:p>
        </w:tc>
        <w:tc>
          <w:tcPr>
            <w:tcW w:w="1513" w:type="dxa"/>
            <w:tcBorders>
              <w:top w:val="nil"/>
              <w:left w:val="nil"/>
              <w:bottom w:val="single" w:color="auto" w:sz="4" w:space="0"/>
              <w:right w:val="single" w:color="auto" w:sz="4" w:space="0"/>
            </w:tcBorders>
            <w:shd w:val="clear" w:color="auto" w:fill="auto"/>
            <w:vAlign w:val="bottom"/>
            <w:hideMark/>
          </w:tcPr>
          <w:p w:rsidRPr="00B71DF4" w:rsidR="00767387" w:rsidP="00767387" w:rsidRDefault="00767387" w14:paraId="5F25722C" w14:textId="77777777">
            <w:pPr>
              <w:widowControl/>
              <w:autoSpaceDE/>
              <w:autoSpaceDN/>
              <w:adjustRightInd/>
              <w:rPr>
                <w:color w:val="000000"/>
                <w:sz w:val="22"/>
                <w:szCs w:val="22"/>
              </w:rPr>
            </w:pPr>
            <w:r w:rsidRPr="00B71DF4">
              <w:rPr>
                <w:color w:val="000000"/>
                <w:sz w:val="22"/>
                <w:szCs w:val="22"/>
              </w:rPr>
              <w:t>Respondents</w:t>
            </w:r>
          </w:p>
        </w:tc>
        <w:tc>
          <w:tcPr>
            <w:tcW w:w="1317" w:type="dxa"/>
            <w:tcBorders>
              <w:top w:val="nil"/>
              <w:left w:val="nil"/>
              <w:bottom w:val="single" w:color="auto" w:sz="4" w:space="0"/>
              <w:right w:val="single" w:color="auto" w:sz="4" w:space="0"/>
            </w:tcBorders>
            <w:shd w:val="clear" w:color="auto" w:fill="auto"/>
            <w:vAlign w:val="bottom"/>
            <w:hideMark/>
          </w:tcPr>
          <w:p w:rsidRPr="00B71DF4" w:rsidR="00767387" w:rsidP="00767387" w:rsidRDefault="00767387" w14:paraId="3A99FD9E" w14:textId="77777777">
            <w:pPr>
              <w:widowControl/>
              <w:autoSpaceDE/>
              <w:autoSpaceDN/>
              <w:adjustRightInd/>
              <w:rPr>
                <w:color w:val="000000"/>
                <w:sz w:val="22"/>
                <w:szCs w:val="22"/>
              </w:rPr>
            </w:pPr>
            <w:r w:rsidRPr="00B71DF4">
              <w:rPr>
                <w:color w:val="000000"/>
                <w:sz w:val="22"/>
                <w:szCs w:val="22"/>
              </w:rPr>
              <w:t>Responses per respondent</w:t>
            </w:r>
          </w:p>
        </w:tc>
        <w:tc>
          <w:tcPr>
            <w:tcW w:w="1317" w:type="dxa"/>
            <w:tcBorders>
              <w:top w:val="nil"/>
              <w:left w:val="nil"/>
              <w:bottom w:val="single" w:color="auto" w:sz="4" w:space="0"/>
              <w:right w:val="single" w:color="auto" w:sz="4" w:space="0"/>
            </w:tcBorders>
            <w:shd w:val="clear" w:color="auto" w:fill="auto"/>
            <w:vAlign w:val="bottom"/>
            <w:hideMark/>
          </w:tcPr>
          <w:p w:rsidRPr="00B71DF4" w:rsidR="00767387" w:rsidP="00767387" w:rsidRDefault="00767387" w14:paraId="40A36500" w14:textId="77777777">
            <w:pPr>
              <w:widowControl/>
              <w:autoSpaceDE/>
              <w:autoSpaceDN/>
              <w:adjustRightInd/>
              <w:rPr>
                <w:color w:val="000000"/>
                <w:sz w:val="22"/>
                <w:szCs w:val="22"/>
              </w:rPr>
            </w:pPr>
            <w:r w:rsidRPr="00B71DF4">
              <w:rPr>
                <w:color w:val="000000"/>
                <w:sz w:val="22"/>
                <w:szCs w:val="22"/>
              </w:rPr>
              <w:t>Responses</w:t>
            </w:r>
          </w:p>
        </w:tc>
        <w:tc>
          <w:tcPr>
            <w:tcW w:w="1220" w:type="dxa"/>
            <w:tcBorders>
              <w:top w:val="nil"/>
              <w:left w:val="nil"/>
              <w:bottom w:val="single" w:color="auto" w:sz="4" w:space="0"/>
              <w:right w:val="single" w:color="auto" w:sz="4" w:space="0"/>
            </w:tcBorders>
            <w:shd w:val="clear" w:color="auto" w:fill="auto"/>
            <w:vAlign w:val="bottom"/>
            <w:hideMark/>
          </w:tcPr>
          <w:p w:rsidRPr="00B71DF4" w:rsidR="00767387" w:rsidP="00767387" w:rsidRDefault="00767387" w14:paraId="5766793B" w14:textId="77777777">
            <w:pPr>
              <w:widowControl/>
              <w:autoSpaceDE/>
              <w:autoSpaceDN/>
              <w:adjustRightInd/>
              <w:rPr>
                <w:color w:val="000000"/>
                <w:sz w:val="22"/>
                <w:szCs w:val="22"/>
              </w:rPr>
            </w:pPr>
            <w:r w:rsidRPr="00B71DF4">
              <w:rPr>
                <w:color w:val="000000"/>
                <w:sz w:val="22"/>
                <w:szCs w:val="22"/>
              </w:rPr>
              <w:t>Burden hours per response</w:t>
            </w:r>
          </w:p>
        </w:tc>
        <w:tc>
          <w:tcPr>
            <w:tcW w:w="1220" w:type="dxa"/>
            <w:tcBorders>
              <w:top w:val="nil"/>
              <w:left w:val="nil"/>
              <w:bottom w:val="single" w:color="auto" w:sz="4" w:space="0"/>
              <w:right w:val="single" w:color="auto" w:sz="4" w:space="0"/>
            </w:tcBorders>
            <w:shd w:val="clear" w:color="auto" w:fill="auto"/>
            <w:vAlign w:val="bottom"/>
            <w:hideMark/>
          </w:tcPr>
          <w:p w:rsidRPr="00B71DF4" w:rsidR="00767387" w:rsidP="00767387" w:rsidRDefault="00767387" w14:paraId="1145AA2C" w14:textId="77777777">
            <w:pPr>
              <w:widowControl/>
              <w:autoSpaceDE/>
              <w:autoSpaceDN/>
              <w:adjustRightInd/>
              <w:rPr>
                <w:color w:val="000000"/>
                <w:sz w:val="22"/>
                <w:szCs w:val="22"/>
              </w:rPr>
            </w:pPr>
            <w:r w:rsidRPr="00B71DF4">
              <w:rPr>
                <w:color w:val="000000"/>
                <w:sz w:val="22"/>
                <w:szCs w:val="22"/>
              </w:rPr>
              <w:t>Burden</w:t>
            </w:r>
          </w:p>
        </w:tc>
      </w:tr>
      <w:tr w:rsidRPr="00B71DF4" w:rsidR="00767387" w:rsidTr="00767387" w14:paraId="33CD0956" w14:textId="77777777">
        <w:trPr>
          <w:trHeight w:val="1960"/>
        </w:trPr>
        <w:tc>
          <w:tcPr>
            <w:tcW w:w="2015" w:type="dxa"/>
            <w:tcBorders>
              <w:top w:val="nil"/>
              <w:left w:val="single" w:color="auto" w:sz="4" w:space="0"/>
              <w:bottom w:val="single" w:color="auto" w:sz="4" w:space="0"/>
              <w:right w:val="single" w:color="auto" w:sz="4" w:space="0"/>
            </w:tcBorders>
            <w:shd w:val="clear" w:color="000000" w:fill="FFF2CC"/>
            <w:vAlign w:val="bottom"/>
            <w:hideMark/>
          </w:tcPr>
          <w:p w:rsidRPr="00B71DF4" w:rsidR="00767387" w:rsidP="00767387" w:rsidRDefault="00767387" w14:paraId="23CD4A27" w14:textId="77777777">
            <w:pPr>
              <w:widowControl/>
              <w:autoSpaceDE/>
              <w:autoSpaceDN/>
              <w:adjustRightInd/>
              <w:rPr>
                <w:color w:val="000000"/>
                <w:sz w:val="22"/>
                <w:szCs w:val="22"/>
              </w:rPr>
            </w:pPr>
            <w:r w:rsidRPr="00B71DF4">
              <w:rPr>
                <w:color w:val="000000"/>
                <w:sz w:val="22"/>
                <w:szCs w:val="22"/>
              </w:rPr>
              <w:t>5.110 (c)(1)(2)(3)</w:t>
            </w:r>
          </w:p>
        </w:tc>
        <w:tc>
          <w:tcPr>
            <w:tcW w:w="2218" w:type="dxa"/>
            <w:tcBorders>
              <w:top w:val="nil"/>
              <w:left w:val="nil"/>
              <w:bottom w:val="single" w:color="auto" w:sz="4" w:space="0"/>
              <w:right w:val="single" w:color="auto" w:sz="4" w:space="0"/>
            </w:tcBorders>
            <w:shd w:val="clear" w:color="000000" w:fill="FFF2CC"/>
            <w:vAlign w:val="bottom"/>
            <w:hideMark/>
          </w:tcPr>
          <w:p w:rsidRPr="00B71DF4" w:rsidR="00767387" w:rsidP="00767387" w:rsidRDefault="00767387" w14:paraId="15A27584" w14:textId="77777777">
            <w:pPr>
              <w:widowControl/>
              <w:autoSpaceDE/>
              <w:autoSpaceDN/>
              <w:adjustRightInd/>
              <w:rPr>
                <w:color w:val="000000"/>
                <w:sz w:val="22"/>
                <w:szCs w:val="22"/>
              </w:rPr>
            </w:pPr>
            <w:r w:rsidRPr="00B71DF4">
              <w:rPr>
                <w:color w:val="000000"/>
                <w:sz w:val="22"/>
                <w:szCs w:val="22"/>
              </w:rPr>
              <w:t>Self-evaluation (Evaluate requirements, Modify policies and practices, and take appropriate steps to eliminate effects of any discrimination</w:t>
            </w:r>
          </w:p>
        </w:tc>
        <w:tc>
          <w:tcPr>
            <w:tcW w:w="1513" w:type="dxa"/>
            <w:vMerge w:val="restart"/>
            <w:tcBorders>
              <w:top w:val="nil"/>
              <w:left w:val="nil"/>
              <w:right w:val="single" w:color="auto" w:sz="4" w:space="0"/>
            </w:tcBorders>
            <w:shd w:val="clear" w:color="000000" w:fill="FFF2CC"/>
            <w:noWrap/>
            <w:vAlign w:val="bottom"/>
            <w:hideMark/>
          </w:tcPr>
          <w:p w:rsidRPr="00B71DF4" w:rsidR="00767387" w:rsidP="00767387" w:rsidRDefault="00767387" w14:paraId="1482F709" w14:textId="77777777">
            <w:pPr>
              <w:widowControl/>
              <w:autoSpaceDE/>
              <w:autoSpaceDN/>
              <w:adjustRightInd/>
              <w:jc w:val="right"/>
              <w:rPr>
                <w:color w:val="000000"/>
                <w:sz w:val="22"/>
                <w:szCs w:val="22"/>
              </w:rPr>
            </w:pPr>
            <w:r w:rsidRPr="00B71DF4">
              <w:rPr>
                <w:color w:val="000000"/>
                <w:sz w:val="22"/>
                <w:szCs w:val="22"/>
              </w:rPr>
              <w:t>200</w:t>
            </w:r>
          </w:p>
          <w:p w:rsidRPr="00B71DF4" w:rsidR="00767387" w:rsidP="00767387" w:rsidRDefault="00767387" w14:paraId="7F4BE2F1" w14:textId="77777777">
            <w:pPr>
              <w:widowControl/>
              <w:autoSpaceDE/>
              <w:autoSpaceDN/>
              <w:adjustRightInd/>
              <w:jc w:val="center"/>
              <w:rPr>
                <w:color w:val="000000"/>
                <w:sz w:val="22"/>
                <w:szCs w:val="22"/>
              </w:rPr>
            </w:pPr>
          </w:p>
        </w:tc>
        <w:tc>
          <w:tcPr>
            <w:tcW w:w="1317" w:type="dxa"/>
            <w:vMerge w:val="restart"/>
            <w:tcBorders>
              <w:top w:val="nil"/>
              <w:left w:val="nil"/>
              <w:right w:val="single" w:color="auto" w:sz="4" w:space="0"/>
            </w:tcBorders>
            <w:shd w:val="clear" w:color="000000" w:fill="FFF2CC"/>
            <w:noWrap/>
            <w:vAlign w:val="bottom"/>
            <w:hideMark/>
          </w:tcPr>
          <w:p w:rsidRPr="00B71DF4" w:rsidR="00767387" w:rsidP="00767387" w:rsidRDefault="00767387" w14:paraId="1D4E2D1E" w14:textId="77777777">
            <w:pPr>
              <w:widowControl/>
              <w:autoSpaceDE/>
              <w:autoSpaceDN/>
              <w:adjustRightInd/>
              <w:jc w:val="right"/>
              <w:rPr>
                <w:color w:val="000000"/>
                <w:sz w:val="22"/>
                <w:szCs w:val="22"/>
              </w:rPr>
            </w:pPr>
          </w:p>
          <w:p w:rsidRPr="00B71DF4" w:rsidR="00767387" w:rsidP="00767387" w:rsidRDefault="00767387" w14:paraId="5B258B39" w14:textId="77777777">
            <w:pPr>
              <w:jc w:val="right"/>
              <w:rPr>
                <w:color w:val="000000"/>
                <w:sz w:val="22"/>
                <w:szCs w:val="22"/>
              </w:rPr>
            </w:pPr>
            <w:r w:rsidRPr="00B71DF4">
              <w:rPr>
                <w:color w:val="000000"/>
                <w:sz w:val="22"/>
                <w:szCs w:val="22"/>
              </w:rPr>
              <w:t>1</w:t>
            </w:r>
          </w:p>
        </w:tc>
        <w:tc>
          <w:tcPr>
            <w:tcW w:w="1317" w:type="dxa"/>
            <w:vMerge w:val="restart"/>
            <w:tcBorders>
              <w:top w:val="nil"/>
              <w:left w:val="nil"/>
              <w:right w:val="single" w:color="auto" w:sz="4" w:space="0"/>
            </w:tcBorders>
            <w:shd w:val="clear" w:color="auto" w:fill="auto"/>
            <w:noWrap/>
            <w:vAlign w:val="bottom"/>
            <w:hideMark/>
          </w:tcPr>
          <w:p w:rsidRPr="00B71DF4" w:rsidR="00767387" w:rsidP="00767387" w:rsidRDefault="00767387" w14:paraId="4A5AF3CE" w14:textId="77777777">
            <w:pPr>
              <w:widowControl/>
              <w:autoSpaceDE/>
              <w:autoSpaceDN/>
              <w:adjustRightInd/>
              <w:jc w:val="right"/>
              <w:rPr>
                <w:color w:val="000000"/>
                <w:sz w:val="22"/>
                <w:szCs w:val="22"/>
              </w:rPr>
            </w:pPr>
            <w:r w:rsidRPr="00B71DF4">
              <w:rPr>
                <w:color w:val="000000"/>
                <w:sz w:val="22"/>
                <w:szCs w:val="22"/>
              </w:rPr>
              <w:t>200</w:t>
            </w:r>
          </w:p>
        </w:tc>
        <w:tc>
          <w:tcPr>
            <w:tcW w:w="1220" w:type="dxa"/>
            <w:vMerge w:val="restart"/>
            <w:tcBorders>
              <w:top w:val="nil"/>
              <w:left w:val="nil"/>
              <w:right w:val="single" w:color="auto" w:sz="4" w:space="0"/>
            </w:tcBorders>
            <w:shd w:val="clear" w:color="000000" w:fill="FFF2CC"/>
            <w:noWrap/>
            <w:vAlign w:val="bottom"/>
            <w:hideMark/>
          </w:tcPr>
          <w:p w:rsidRPr="00B71DF4" w:rsidR="00767387" w:rsidP="00767387" w:rsidRDefault="00767387" w14:paraId="1E480778" w14:textId="77777777">
            <w:pPr>
              <w:widowControl/>
              <w:autoSpaceDE/>
              <w:autoSpaceDN/>
              <w:adjustRightInd/>
              <w:jc w:val="right"/>
              <w:rPr>
                <w:color w:val="000000"/>
                <w:sz w:val="22"/>
                <w:szCs w:val="22"/>
              </w:rPr>
            </w:pPr>
            <w:r w:rsidRPr="00B71DF4">
              <w:rPr>
                <w:color w:val="000000"/>
                <w:sz w:val="22"/>
                <w:szCs w:val="22"/>
              </w:rPr>
              <w:t>5</w:t>
            </w:r>
          </w:p>
        </w:tc>
        <w:tc>
          <w:tcPr>
            <w:tcW w:w="1220" w:type="dxa"/>
            <w:vMerge w:val="restart"/>
            <w:tcBorders>
              <w:top w:val="nil"/>
              <w:left w:val="nil"/>
              <w:right w:val="single" w:color="auto" w:sz="4" w:space="0"/>
            </w:tcBorders>
            <w:shd w:val="clear" w:color="auto" w:fill="auto"/>
            <w:noWrap/>
            <w:vAlign w:val="bottom"/>
            <w:hideMark/>
          </w:tcPr>
          <w:p w:rsidRPr="00B71DF4" w:rsidR="00767387" w:rsidP="00767387" w:rsidRDefault="00767387" w14:paraId="4C535412" w14:textId="77777777">
            <w:pPr>
              <w:widowControl/>
              <w:autoSpaceDE/>
              <w:autoSpaceDN/>
              <w:adjustRightInd/>
              <w:jc w:val="right"/>
              <w:rPr>
                <w:color w:val="000000"/>
                <w:sz w:val="22"/>
                <w:szCs w:val="22"/>
              </w:rPr>
            </w:pPr>
            <w:r w:rsidRPr="00B71DF4">
              <w:rPr>
                <w:color w:val="000000"/>
                <w:sz w:val="22"/>
                <w:szCs w:val="22"/>
              </w:rPr>
              <w:t>1000</w:t>
            </w:r>
          </w:p>
        </w:tc>
      </w:tr>
      <w:tr w:rsidRPr="00B71DF4" w:rsidR="00767387" w:rsidTr="00767387" w14:paraId="06708896" w14:textId="77777777">
        <w:trPr>
          <w:trHeight w:val="1400"/>
        </w:trPr>
        <w:tc>
          <w:tcPr>
            <w:tcW w:w="2015" w:type="dxa"/>
            <w:tcBorders>
              <w:top w:val="nil"/>
              <w:left w:val="single" w:color="auto" w:sz="4" w:space="0"/>
              <w:bottom w:val="single" w:color="auto" w:sz="4" w:space="0"/>
              <w:right w:val="single" w:color="auto" w:sz="4" w:space="0"/>
            </w:tcBorders>
            <w:shd w:val="clear" w:color="000000" w:fill="FFF2CC"/>
            <w:vAlign w:val="bottom"/>
            <w:hideMark/>
          </w:tcPr>
          <w:p w:rsidRPr="00B71DF4" w:rsidR="00767387" w:rsidP="00767387" w:rsidRDefault="00767387" w14:paraId="5BEBF711" w14:textId="77777777">
            <w:pPr>
              <w:widowControl/>
              <w:autoSpaceDE/>
              <w:autoSpaceDN/>
              <w:adjustRightInd/>
              <w:rPr>
                <w:color w:val="000000"/>
                <w:sz w:val="22"/>
                <w:szCs w:val="22"/>
              </w:rPr>
            </w:pPr>
            <w:r w:rsidRPr="00B71DF4">
              <w:rPr>
                <w:color w:val="000000"/>
                <w:sz w:val="22"/>
                <w:szCs w:val="22"/>
              </w:rPr>
              <w:t>5.135 (a), (b)</w:t>
            </w:r>
          </w:p>
        </w:tc>
        <w:tc>
          <w:tcPr>
            <w:tcW w:w="2218" w:type="dxa"/>
            <w:tcBorders>
              <w:top w:val="nil"/>
              <w:left w:val="nil"/>
              <w:bottom w:val="single" w:color="auto" w:sz="4" w:space="0"/>
              <w:right w:val="single" w:color="auto" w:sz="4" w:space="0"/>
            </w:tcBorders>
            <w:shd w:val="clear" w:color="000000" w:fill="FFF2CC"/>
            <w:vAlign w:val="bottom"/>
            <w:hideMark/>
          </w:tcPr>
          <w:p w:rsidRPr="00B71DF4" w:rsidR="00767387" w:rsidP="00767387" w:rsidRDefault="00767387" w14:paraId="06722451" w14:textId="77777777">
            <w:pPr>
              <w:widowControl/>
              <w:autoSpaceDE/>
              <w:autoSpaceDN/>
              <w:adjustRightInd/>
              <w:rPr>
                <w:color w:val="000000"/>
                <w:sz w:val="22"/>
                <w:szCs w:val="22"/>
              </w:rPr>
            </w:pPr>
            <w:r w:rsidRPr="00B71DF4">
              <w:rPr>
                <w:color w:val="000000"/>
                <w:sz w:val="22"/>
                <w:szCs w:val="22"/>
              </w:rPr>
              <w:t>Designate at least one employee to coordinate efforts to comply with and carry out Title IX responsibilities.</w:t>
            </w:r>
          </w:p>
        </w:tc>
        <w:tc>
          <w:tcPr>
            <w:tcW w:w="1513" w:type="dxa"/>
            <w:vMerge/>
            <w:tcBorders>
              <w:left w:val="nil"/>
              <w:right w:val="single" w:color="auto" w:sz="4" w:space="0"/>
            </w:tcBorders>
            <w:shd w:val="clear" w:color="000000" w:fill="FFF2CC"/>
            <w:noWrap/>
            <w:vAlign w:val="bottom"/>
            <w:hideMark/>
          </w:tcPr>
          <w:p w:rsidRPr="00B71DF4" w:rsidR="00767387" w:rsidP="00767387" w:rsidRDefault="00767387" w14:paraId="63E7E26F" w14:textId="77777777">
            <w:pPr>
              <w:jc w:val="right"/>
              <w:rPr>
                <w:color w:val="000000"/>
                <w:sz w:val="22"/>
                <w:szCs w:val="22"/>
              </w:rPr>
            </w:pPr>
          </w:p>
        </w:tc>
        <w:tc>
          <w:tcPr>
            <w:tcW w:w="1317" w:type="dxa"/>
            <w:vMerge/>
            <w:tcBorders>
              <w:left w:val="nil"/>
              <w:right w:val="single" w:color="auto" w:sz="4" w:space="0"/>
            </w:tcBorders>
            <w:shd w:val="clear" w:color="000000" w:fill="FFF2CC"/>
            <w:noWrap/>
            <w:vAlign w:val="bottom"/>
            <w:hideMark/>
          </w:tcPr>
          <w:p w:rsidRPr="00B71DF4" w:rsidR="00767387" w:rsidP="00767387" w:rsidRDefault="00767387" w14:paraId="51E6A034" w14:textId="77777777">
            <w:pPr>
              <w:jc w:val="right"/>
              <w:rPr>
                <w:color w:val="000000"/>
                <w:sz w:val="22"/>
                <w:szCs w:val="22"/>
              </w:rPr>
            </w:pPr>
          </w:p>
        </w:tc>
        <w:tc>
          <w:tcPr>
            <w:tcW w:w="1317" w:type="dxa"/>
            <w:vMerge/>
            <w:tcBorders>
              <w:left w:val="nil"/>
              <w:right w:val="single" w:color="auto" w:sz="4" w:space="0"/>
            </w:tcBorders>
            <w:shd w:val="clear" w:color="auto" w:fill="auto"/>
            <w:noWrap/>
            <w:vAlign w:val="bottom"/>
            <w:hideMark/>
          </w:tcPr>
          <w:p w:rsidRPr="00B71DF4" w:rsidR="00767387" w:rsidP="00767387" w:rsidRDefault="00767387" w14:paraId="179CC99A" w14:textId="77777777">
            <w:pPr>
              <w:jc w:val="right"/>
              <w:rPr>
                <w:color w:val="000000"/>
                <w:sz w:val="22"/>
                <w:szCs w:val="22"/>
              </w:rPr>
            </w:pPr>
          </w:p>
        </w:tc>
        <w:tc>
          <w:tcPr>
            <w:tcW w:w="1220" w:type="dxa"/>
            <w:vMerge/>
            <w:tcBorders>
              <w:left w:val="nil"/>
              <w:right w:val="single" w:color="auto" w:sz="4" w:space="0"/>
            </w:tcBorders>
            <w:shd w:val="clear" w:color="000000" w:fill="FFF2CC"/>
            <w:noWrap/>
            <w:vAlign w:val="bottom"/>
            <w:hideMark/>
          </w:tcPr>
          <w:p w:rsidRPr="00B71DF4" w:rsidR="00767387" w:rsidP="00767387" w:rsidRDefault="00767387" w14:paraId="74EEE332" w14:textId="77777777">
            <w:pPr>
              <w:jc w:val="right"/>
              <w:rPr>
                <w:color w:val="000000"/>
                <w:sz w:val="22"/>
                <w:szCs w:val="22"/>
              </w:rPr>
            </w:pPr>
          </w:p>
        </w:tc>
        <w:tc>
          <w:tcPr>
            <w:tcW w:w="1220" w:type="dxa"/>
            <w:vMerge/>
            <w:tcBorders>
              <w:left w:val="nil"/>
              <w:right w:val="single" w:color="auto" w:sz="4" w:space="0"/>
            </w:tcBorders>
            <w:shd w:val="clear" w:color="auto" w:fill="auto"/>
            <w:noWrap/>
            <w:vAlign w:val="bottom"/>
            <w:hideMark/>
          </w:tcPr>
          <w:p w:rsidRPr="00B71DF4" w:rsidR="00767387" w:rsidP="00767387" w:rsidRDefault="00767387" w14:paraId="0B8EF598" w14:textId="77777777">
            <w:pPr>
              <w:jc w:val="right"/>
              <w:rPr>
                <w:color w:val="000000"/>
                <w:sz w:val="22"/>
                <w:szCs w:val="22"/>
              </w:rPr>
            </w:pPr>
          </w:p>
        </w:tc>
      </w:tr>
      <w:tr w:rsidRPr="00B71DF4" w:rsidR="00767387" w:rsidTr="00767387" w14:paraId="50732498" w14:textId="77777777">
        <w:trPr>
          <w:trHeight w:val="560"/>
        </w:trPr>
        <w:tc>
          <w:tcPr>
            <w:tcW w:w="2015" w:type="dxa"/>
            <w:tcBorders>
              <w:top w:val="nil"/>
              <w:left w:val="single" w:color="auto" w:sz="4" w:space="0"/>
              <w:bottom w:val="single" w:color="auto" w:sz="4" w:space="0"/>
              <w:right w:val="single" w:color="auto" w:sz="4" w:space="0"/>
            </w:tcBorders>
            <w:shd w:val="clear" w:color="000000" w:fill="FFF2CC"/>
            <w:vAlign w:val="bottom"/>
            <w:hideMark/>
          </w:tcPr>
          <w:p w:rsidRPr="00B71DF4" w:rsidR="00767387" w:rsidP="00767387" w:rsidRDefault="00767387" w14:paraId="26349718" w14:textId="77777777">
            <w:pPr>
              <w:widowControl/>
              <w:autoSpaceDE/>
              <w:autoSpaceDN/>
              <w:adjustRightInd/>
              <w:rPr>
                <w:color w:val="000000"/>
                <w:sz w:val="22"/>
                <w:szCs w:val="22"/>
              </w:rPr>
            </w:pPr>
            <w:r w:rsidRPr="00B71DF4">
              <w:rPr>
                <w:color w:val="000000"/>
                <w:sz w:val="22"/>
                <w:szCs w:val="22"/>
              </w:rPr>
              <w:t>5.230(a), (b)(1)(2)(3)(4)(5), (d)</w:t>
            </w:r>
          </w:p>
        </w:tc>
        <w:tc>
          <w:tcPr>
            <w:tcW w:w="2218" w:type="dxa"/>
            <w:tcBorders>
              <w:top w:val="nil"/>
              <w:left w:val="nil"/>
              <w:bottom w:val="single" w:color="auto" w:sz="4" w:space="0"/>
              <w:right w:val="single" w:color="auto" w:sz="4" w:space="0"/>
            </w:tcBorders>
            <w:shd w:val="clear" w:color="000000" w:fill="FFF2CC"/>
            <w:vAlign w:val="bottom"/>
            <w:hideMark/>
          </w:tcPr>
          <w:p w:rsidRPr="00B71DF4" w:rsidR="00767387" w:rsidP="00767387" w:rsidRDefault="00767387" w14:paraId="4A953AD3" w14:textId="77777777">
            <w:pPr>
              <w:widowControl/>
              <w:autoSpaceDE/>
              <w:autoSpaceDN/>
              <w:adjustRightInd/>
              <w:rPr>
                <w:color w:val="000000"/>
                <w:sz w:val="22"/>
                <w:szCs w:val="22"/>
              </w:rPr>
            </w:pPr>
            <w:r w:rsidRPr="00B71DF4">
              <w:rPr>
                <w:color w:val="000000"/>
                <w:sz w:val="22"/>
                <w:szCs w:val="22"/>
              </w:rPr>
              <w:t>Transition plan</w:t>
            </w:r>
          </w:p>
        </w:tc>
        <w:tc>
          <w:tcPr>
            <w:tcW w:w="1513" w:type="dxa"/>
            <w:vMerge/>
            <w:tcBorders>
              <w:left w:val="nil"/>
              <w:bottom w:val="single" w:color="auto" w:sz="4" w:space="0"/>
              <w:right w:val="single" w:color="auto" w:sz="4" w:space="0"/>
            </w:tcBorders>
            <w:shd w:val="clear" w:color="000000" w:fill="FFF2CC"/>
            <w:noWrap/>
            <w:vAlign w:val="bottom"/>
            <w:hideMark/>
          </w:tcPr>
          <w:p w:rsidRPr="00B71DF4" w:rsidR="00767387" w:rsidP="00767387" w:rsidRDefault="00767387" w14:paraId="59FE98F4" w14:textId="77777777">
            <w:pPr>
              <w:widowControl/>
              <w:autoSpaceDE/>
              <w:autoSpaceDN/>
              <w:adjustRightInd/>
              <w:jc w:val="right"/>
              <w:rPr>
                <w:color w:val="000000"/>
                <w:sz w:val="22"/>
                <w:szCs w:val="22"/>
              </w:rPr>
            </w:pPr>
          </w:p>
        </w:tc>
        <w:tc>
          <w:tcPr>
            <w:tcW w:w="1317" w:type="dxa"/>
            <w:vMerge/>
            <w:tcBorders>
              <w:left w:val="nil"/>
              <w:bottom w:val="single" w:color="auto" w:sz="4" w:space="0"/>
              <w:right w:val="single" w:color="auto" w:sz="4" w:space="0"/>
            </w:tcBorders>
            <w:shd w:val="clear" w:color="000000" w:fill="FFF2CC"/>
            <w:noWrap/>
            <w:vAlign w:val="bottom"/>
            <w:hideMark/>
          </w:tcPr>
          <w:p w:rsidRPr="00B71DF4" w:rsidR="00767387" w:rsidP="00767387" w:rsidRDefault="00767387" w14:paraId="173E9C7D" w14:textId="77777777">
            <w:pPr>
              <w:widowControl/>
              <w:autoSpaceDE/>
              <w:autoSpaceDN/>
              <w:adjustRightInd/>
              <w:jc w:val="right"/>
              <w:rPr>
                <w:color w:val="000000"/>
                <w:sz w:val="22"/>
                <w:szCs w:val="22"/>
              </w:rPr>
            </w:pPr>
          </w:p>
        </w:tc>
        <w:tc>
          <w:tcPr>
            <w:tcW w:w="1317" w:type="dxa"/>
            <w:vMerge/>
            <w:tcBorders>
              <w:left w:val="nil"/>
              <w:bottom w:val="single" w:color="auto" w:sz="4" w:space="0"/>
              <w:right w:val="single" w:color="auto" w:sz="4" w:space="0"/>
            </w:tcBorders>
            <w:shd w:val="clear" w:color="auto" w:fill="auto"/>
            <w:noWrap/>
            <w:vAlign w:val="bottom"/>
            <w:hideMark/>
          </w:tcPr>
          <w:p w:rsidRPr="00B71DF4" w:rsidR="00767387" w:rsidP="00767387" w:rsidRDefault="00767387" w14:paraId="580624B3" w14:textId="77777777">
            <w:pPr>
              <w:widowControl/>
              <w:autoSpaceDE/>
              <w:autoSpaceDN/>
              <w:adjustRightInd/>
              <w:jc w:val="right"/>
              <w:rPr>
                <w:color w:val="000000"/>
                <w:sz w:val="22"/>
                <w:szCs w:val="22"/>
              </w:rPr>
            </w:pPr>
          </w:p>
        </w:tc>
        <w:tc>
          <w:tcPr>
            <w:tcW w:w="1220" w:type="dxa"/>
            <w:vMerge/>
            <w:tcBorders>
              <w:left w:val="nil"/>
              <w:bottom w:val="single" w:color="auto" w:sz="4" w:space="0"/>
              <w:right w:val="single" w:color="auto" w:sz="4" w:space="0"/>
            </w:tcBorders>
            <w:shd w:val="clear" w:color="000000" w:fill="FFF2CC"/>
            <w:noWrap/>
            <w:vAlign w:val="bottom"/>
            <w:hideMark/>
          </w:tcPr>
          <w:p w:rsidRPr="00B71DF4" w:rsidR="00767387" w:rsidP="00767387" w:rsidRDefault="00767387" w14:paraId="7EBAD731" w14:textId="77777777">
            <w:pPr>
              <w:widowControl/>
              <w:autoSpaceDE/>
              <w:autoSpaceDN/>
              <w:adjustRightInd/>
              <w:jc w:val="right"/>
              <w:rPr>
                <w:color w:val="000000"/>
                <w:sz w:val="22"/>
                <w:szCs w:val="22"/>
              </w:rPr>
            </w:pPr>
          </w:p>
        </w:tc>
        <w:tc>
          <w:tcPr>
            <w:tcW w:w="1220" w:type="dxa"/>
            <w:vMerge/>
            <w:tcBorders>
              <w:left w:val="nil"/>
              <w:bottom w:val="single" w:color="auto" w:sz="4" w:space="0"/>
              <w:right w:val="single" w:color="auto" w:sz="4" w:space="0"/>
            </w:tcBorders>
            <w:shd w:val="clear" w:color="auto" w:fill="auto"/>
            <w:noWrap/>
            <w:vAlign w:val="bottom"/>
            <w:hideMark/>
          </w:tcPr>
          <w:p w:rsidRPr="00B71DF4" w:rsidR="00767387" w:rsidP="00767387" w:rsidRDefault="00767387" w14:paraId="60DE6FC8" w14:textId="77777777">
            <w:pPr>
              <w:widowControl/>
              <w:autoSpaceDE/>
              <w:autoSpaceDN/>
              <w:adjustRightInd/>
              <w:jc w:val="right"/>
              <w:rPr>
                <w:color w:val="000000"/>
                <w:sz w:val="22"/>
                <w:szCs w:val="22"/>
              </w:rPr>
            </w:pPr>
          </w:p>
        </w:tc>
      </w:tr>
      <w:tr w:rsidRPr="00B71DF4" w:rsidR="00767387" w:rsidTr="00767387" w14:paraId="3C4AFEA1" w14:textId="77777777">
        <w:trPr>
          <w:trHeight w:val="280"/>
        </w:trPr>
        <w:tc>
          <w:tcPr>
            <w:tcW w:w="2015" w:type="dxa"/>
            <w:tcBorders>
              <w:top w:val="nil"/>
              <w:left w:val="single" w:color="auto" w:sz="4" w:space="0"/>
              <w:bottom w:val="single" w:color="auto" w:sz="4" w:space="0"/>
              <w:right w:val="single" w:color="auto" w:sz="4" w:space="0"/>
            </w:tcBorders>
            <w:shd w:val="clear" w:color="auto" w:fill="auto"/>
            <w:vAlign w:val="bottom"/>
            <w:hideMark/>
          </w:tcPr>
          <w:p w:rsidRPr="00B71DF4" w:rsidR="00767387" w:rsidP="00767387" w:rsidRDefault="00767387" w14:paraId="6C4FCC5C" w14:textId="77777777">
            <w:pPr>
              <w:widowControl/>
              <w:autoSpaceDE/>
              <w:autoSpaceDN/>
              <w:adjustRightInd/>
              <w:rPr>
                <w:color w:val="000000"/>
                <w:sz w:val="22"/>
                <w:szCs w:val="22"/>
              </w:rPr>
            </w:pPr>
            <w:r w:rsidRPr="00B71DF4">
              <w:rPr>
                <w:color w:val="000000"/>
                <w:sz w:val="22"/>
                <w:szCs w:val="22"/>
              </w:rPr>
              <w:t>Total</w:t>
            </w:r>
          </w:p>
        </w:tc>
        <w:tc>
          <w:tcPr>
            <w:tcW w:w="2218" w:type="dxa"/>
            <w:tcBorders>
              <w:top w:val="nil"/>
              <w:left w:val="nil"/>
              <w:bottom w:val="single" w:color="auto" w:sz="4" w:space="0"/>
              <w:right w:val="single" w:color="auto" w:sz="4" w:space="0"/>
            </w:tcBorders>
            <w:shd w:val="clear" w:color="auto" w:fill="auto"/>
            <w:vAlign w:val="bottom"/>
            <w:hideMark/>
          </w:tcPr>
          <w:p w:rsidRPr="00B71DF4" w:rsidR="00767387" w:rsidP="00767387" w:rsidRDefault="00767387" w14:paraId="4C5FC9E6" w14:textId="77777777">
            <w:pPr>
              <w:widowControl/>
              <w:autoSpaceDE/>
              <w:autoSpaceDN/>
              <w:adjustRightInd/>
              <w:rPr>
                <w:color w:val="000000"/>
                <w:sz w:val="22"/>
                <w:szCs w:val="22"/>
              </w:rPr>
            </w:pPr>
            <w:r w:rsidRPr="00B71DF4">
              <w:rPr>
                <w:color w:val="000000"/>
                <w:sz w:val="22"/>
                <w:szCs w:val="22"/>
              </w:rPr>
              <w:t> </w:t>
            </w:r>
          </w:p>
        </w:tc>
        <w:tc>
          <w:tcPr>
            <w:tcW w:w="1513" w:type="dxa"/>
            <w:tcBorders>
              <w:top w:val="nil"/>
              <w:left w:val="nil"/>
              <w:bottom w:val="single" w:color="auto" w:sz="4" w:space="0"/>
              <w:right w:val="single" w:color="auto" w:sz="4" w:space="0"/>
            </w:tcBorders>
            <w:shd w:val="clear" w:color="000000" w:fill="FFF2CC"/>
            <w:noWrap/>
            <w:vAlign w:val="bottom"/>
            <w:hideMark/>
          </w:tcPr>
          <w:p w:rsidRPr="00B71DF4" w:rsidR="00767387" w:rsidP="00767387" w:rsidRDefault="00767387" w14:paraId="11D16CBA" w14:textId="77777777">
            <w:pPr>
              <w:widowControl/>
              <w:autoSpaceDE/>
              <w:autoSpaceDN/>
              <w:adjustRightInd/>
              <w:rPr>
                <w:color w:val="000000"/>
                <w:sz w:val="22"/>
                <w:szCs w:val="22"/>
              </w:rPr>
            </w:pPr>
            <w:r w:rsidRPr="00B71DF4">
              <w:rPr>
                <w:color w:val="000000"/>
                <w:sz w:val="22"/>
                <w:szCs w:val="22"/>
              </w:rPr>
              <w:t> </w:t>
            </w:r>
            <w:r>
              <w:rPr>
                <w:color w:val="000000"/>
                <w:sz w:val="22"/>
                <w:szCs w:val="22"/>
              </w:rPr>
              <w:t xml:space="preserve">              200</w:t>
            </w:r>
          </w:p>
        </w:tc>
        <w:tc>
          <w:tcPr>
            <w:tcW w:w="1317" w:type="dxa"/>
            <w:tcBorders>
              <w:top w:val="nil"/>
              <w:left w:val="nil"/>
              <w:bottom w:val="single" w:color="auto" w:sz="4" w:space="0"/>
              <w:right w:val="single" w:color="auto" w:sz="4" w:space="0"/>
            </w:tcBorders>
            <w:shd w:val="clear" w:color="auto" w:fill="auto"/>
            <w:noWrap/>
            <w:vAlign w:val="bottom"/>
            <w:hideMark/>
          </w:tcPr>
          <w:p w:rsidRPr="00B71DF4" w:rsidR="00767387" w:rsidP="00767387" w:rsidRDefault="00767387" w14:paraId="2A44CBD3" w14:textId="77777777">
            <w:pPr>
              <w:widowControl/>
              <w:autoSpaceDE/>
              <w:autoSpaceDN/>
              <w:adjustRightInd/>
              <w:rPr>
                <w:color w:val="000000"/>
                <w:sz w:val="22"/>
                <w:szCs w:val="22"/>
              </w:rPr>
            </w:pPr>
            <w:r w:rsidRPr="00B71DF4">
              <w:rPr>
                <w:color w:val="000000"/>
                <w:sz w:val="22"/>
                <w:szCs w:val="22"/>
              </w:rPr>
              <w:t> </w:t>
            </w:r>
          </w:p>
        </w:tc>
        <w:tc>
          <w:tcPr>
            <w:tcW w:w="1317" w:type="dxa"/>
            <w:tcBorders>
              <w:top w:val="nil"/>
              <w:left w:val="nil"/>
              <w:bottom w:val="single" w:color="auto" w:sz="4" w:space="0"/>
              <w:right w:val="single" w:color="auto" w:sz="4" w:space="0"/>
            </w:tcBorders>
            <w:shd w:val="clear" w:color="auto" w:fill="auto"/>
            <w:noWrap/>
            <w:vAlign w:val="bottom"/>
            <w:hideMark/>
          </w:tcPr>
          <w:p w:rsidRPr="00B71DF4" w:rsidR="00767387" w:rsidP="00767387" w:rsidRDefault="00767387" w14:paraId="2C4C3698" w14:textId="77777777">
            <w:pPr>
              <w:widowControl/>
              <w:autoSpaceDE/>
              <w:autoSpaceDN/>
              <w:adjustRightInd/>
              <w:jc w:val="right"/>
              <w:rPr>
                <w:color w:val="000000"/>
                <w:sz w:val="22"/>
                <w:szCs w:val="22"/>
              </w:rPr>
            </w:pPr>
            <w:r>
              <w:rPr>
                <w:color w:val="000000"/>
                <w:sz w:val="22"/>
                <w:szCs w:val="22"/>
              </w:rPr>
              <w:t>200</w:t>
            </w:r>
          </w:p>
        </w:tc>
        <w:tc>
          <w:tcPr>
            <w:tcW w:w="1220" w:type="dxa"/>
            <w:tcBorders>
              <w:top w:val="nil"/>
              <w:left w:val="nil"/>
              <w:bottom w:val="single" w:color="auto" w:sz="4" w:space="0"/>
              <w:right w:val="single" w:color="auto" w:sz="4" w:space="0"/>
            </w:tcBorders>
            <w:shd w:val="clear" w:color="auto" w:fill="auto"/>
            <w:noWrap/>
            <w:vAlign w:val="bottom"/>
            <w:hideMark/>
          </w:tcPr>
          <w:p w:rsidRPr="00B71DF4" w:rsidR="00767387" w:rsidP="00767387" w:rsidRDefault="00767387" w14:paraId="02D73000" w14:textId="77777777">
            <w:pPr>
              <w:widowControl/>
              <w:autoSpaceDE/>
              <w:autoSpaceDN/>
              <w:adjustRightInd/>
              <w:rPr>
                <w:color w:val="000000"/>
                <w:sz w:val="22"/>
                <w:szCs w:val="22"/>
              </w:rPr>
            </w:pPr>
            <w:r w:rsidRPr="00B71DF4">
              <w:rPr>
                <w:color w:val="000000"/>
                <w:sz w:val="22"/>
                <w:szCs w:val="22"/>
              </w:rPr>
              <w:t> </w:t>
            </w:r>
            <w:r>
              <w:rPr>
                <w:color w:val="000000"/>
                <w:sz w:val="22"/>
                <w:szCs w:val="22"/>
              </w:rPr>
              <w:t xml:space="preserve">             5</w:t>
            </w:r>
          </w:p>
        </w:tc>
        <w:tc>
          <w:tcPr>
            <w:tcW w:w="1220" w:type="dxa"/>
            <w:tcBorders>
              <w:top w:val="nil"/>
              <w:left w:val="nil"/>
              <w:bottom w:val="single" w:color="auto" w:sz="4" w:space="0"/>
              <w:right w:val="single" w:color="auto" w:sz="4" w:space="0"/>
            </w:tcBorders>
            <w:shd w:val="clear" w:color="auto" w:fill="auto"/>
            <w:noWrap/>
            <w:vAlign w:val="bottom"/>
            <w:hideMark/>
          </w:tcPr>
          <w:p w:rsidRPr="00B71DF4" w:rsidR="00767387" w:rsidP="00767387" w:rsidRDefault="00767387" w14:paraId="14592E1E" w14:textId="77777777">
            <w:pPr>
              <w:widowControl/>
              <w:autoSpaceDE/>
              <w:autoSpaceDN/>
              <w:adjustRightInd/>
              <w:jc w:val="right"/>
              <w:rPr>
                <w:color w:val="000000"/>
                <w:sz w:val="22"/>
                <w:szCs w:val="22"/>
              </w:rPr>
            </w:pPr>
            <w:r w:rsidRPr="00B71DF4">
              <w:rPr>
                <w:color w:val="000000"/>
                <w:sz w:val="22"/>
                <w:szCs w:val="22"/>
              </w:rPr>
              <w:t>1</w:t>
            </w:r>
            <w:r>
              <w:rPr>
                <w:color w:val="000000"/>
                <w:sz w:val="22"/>
                <w:szCs w:val="22"/>
              </w:rPr>
              <w:t>0</w:t>
            </w:r>
            <w:r w:rsidRPr="00B71DF4">
              <w:rPr>
                <w:color w:val="000000"/>
                <w:sz w:val="22"/>
                <w:szCs w:val="22"/>
              </w:rPr>
              <w:t>00</w:t>
            </w:r>
          </w:p>
        </w:tc>
      </w:tr>
    </w:tbl>
    <w:p w:rsidR="00767387" w:rsidP="00767387" w:rsidRDefault="00767387" w14:paraId="28A96D13" w14:textId="77777777">
      <w:pPr>
        <w:ind w:left="1080"/>
      </w:pPr>
    </w:p>
    <w:p w:rsidR="00767387" w:rsidP="00767387" w:rsidRDefault="00767387" w14:paraId="20980EFB" w14:textId="77777777">
      <w:pPr>
        <w:ind w:left="1080"/>
      </w:pPr>
    </w:p>
    <w:p w:rsidR="00767387" w:rsidP="00767387" w:rsidRDefault="00767387" w14:paraId="04836FA8" w14:textId="77777777">
      <w:bookmarkStart w:name="RANGE!A1:F8" w:id="1"/>
      <w:r>
        <w:br w:type="page"/>
      </w:r>
    </w:p>
    <w:tbl>
      <w:tblPr>
        <w:tblW w:w="9660" w:type="dxa"/>
        <w:tblInd w:w="108" w:type="dxa"/>
        <w:tblLook w:val="04A0" w:firstRow="1" w:lastRow="0" w:firstColumn="1" w:lastColumn="0" w:noHBand="0" w:noVBand="1"/>
      </w:tblPr>
      <w:tblGrid>
        <w:gridCol w:w="1331"/>
        <w:gridCol w:w="2910"/>
        <w:gridCol w:w="1708"/>
        <w:gridCol w:w="1513"/>
        <w:gridCol w:w="1040"/>
        <w:gridCol w:w="1158"/>
      </w:tblGrid>
      <w:tr w:rsidRPr="00AD5FE2" w:rsidR="00767387" w:rsidTr="00955E96" w14:paraId="79E38F71" w14:textId="77777777">
        <w:trPr>
          <w:trHeight w:val="280"/>
        </w:trPr>
        <w:tc>
          <w:tcPr>
            <w:tcW w:w="9660" w:type="dxa"/>
            <w:gridSpan w:val="6"/>
            <w:tcBorders>
              <w:top w:val="nil"/>
              <w:left w:val="nil"/>
              <w:bottom w:val="single" w:color="auto" w:sz="4" w:space="0"/>
              <w:right w:val="nil"/>
            </w:tcBorders>
            <w:shd w:val="clear" w:color="auto" w:fill="auto"/>
            <w:noWrap/>
            <w:vAlign w:val="bottom"/>
            <w:hideMark/>
          </w:tcPr>
          <w:p w:rsidRPr="00AD5FE2" w:rsidR="00767387" w:rsidP="00955E96" w:rsidRDefault="00767387" w14:paraId="415F238C" w14:textId="77777777">
            <w:pPr>
              <w:widowControl/>
              <w:autoSpaceDE/>
              <w:autoSpaceDN/>
              <w:adjustRightInd/>
              <w:jc w:val="center"/>
              <w:rPr>
                <w:color w:val="000000"/>
                <w:sz w:val="22"/>
                <w:szCs w:val="22"/>
              </w:rPr>
            </w:pPr>
            <w:r w:rsidRPr="00AD5FE2">
              <w:rPr>
                <w:color w:val="000000"/>
                <w:sz w:val="22"/>
                <w:szCs w:val="22"/>
              </w:rPr>
              <w:lastRenderedPageBreak/>
              <w:t>Table 4. Annual Recordkeeping Burden</w:t>
            </w:r>
            <w:bookmarkEnd w:id="1"/>
          </w:p>
        </w:tc>
      </w:tr>
      <w:tr w:rsidRPr="00AD5FE2" w:rsidR="00767387" w:rsidTr="00955E96" w14:paraId="3F46A63F" w14:textId="77777777">
        <w:trPr>
          <w:trHeight w:val="560"/>
        </w:trPr>
        <w:tc>
          <w:tcPr>
            <w:tcW w:w="1331" w:type="dxa"/>
            <w:tcBorders>
              <w:top w:val="nil"/>
              <w:left w:val="single" w:color="auto" w:sz="4" w:space="0"/>
              <w:bottom w:val="single" w:color="auto" w:sz="4" w:space="0"/>
              <w:right w:val="single" w:color="auto" w:sz="4" w:space="0"/>
            </w:tcBorders>
            <w:shd w:val="clear" w:color="auto" w:fill="auto"/>
            <w:vAlign w:val="bottom"/>
            <w:hideMark/>
          </w:tcPr>
          <w:p w:rsidRPr="00AD5FE2" w:rsidR="00767387" w:rsidP="00955E96" w:rsidRDefault="00767387" w14:paraId="2A02DD3C" w14:textId="77777777">
            <w:pPr>
              <w:widowControl/>
              <w:autoSpaceDE/>
              <w:autoSpaceDN/>
              <w:adjustRightInd/>
              <w:rPr>
                <w:color w:val="000000"/>
                <w:sz w:val="22"/>
                <w:szCs w:val="22"/>
              </w:rPr>
            </w:pPr>
            <w:r w:rsidRPr="00AD5FE2">
              <w:rPr>
                <w:color w:val="000000"/>
                <w:sz w:val="22"/>
                <w:szCs w:val="22"/>
              </w:rPr>
              <w:t>Section</w:t>
            </w:r>
          </w:p>
        </w:tc>
        <w:tc>
          <w:tcPr>
            <w:tcW w:w="2910" w:type="dxa"/>
            <w:tcBorders>
              <w:top w:val="nil"/>
              <w:left w:val="nil"/>
              <w:bottom w:val="single" w:color="auto" w:sz="4" w:space="0"/>
              <w:right w:val="single" w:color="auto" w:sz="4" w:space="0"/>
            </w:tcBorders>
            <w:shd w:val="clear" w:color="auto" w:fill="auto"/>
            <w:vAlign w:val="bottom"/>
            <w:hideMark/>
          </w:tcPr>
          <w:p w:rsidRPr="00AD5FE2" w:rsidR="00767387" w:rsidP="00955E96" w:rsidRDefault="00767387" w14:paraId="4AEE11F3" w14:textId="77777777">
            <w:pPr>
              <w:widowControl/>
              <w:autoSpaceDE/>
              <w:autoSpaceDN/>
              <w:adjustRightInd/>
              <w:rPr>
                <w:color w:val="000000"/>
                <w:sz w:val="22"/>
                <w:szCs w:val="22"/>
              </w:rPr>
            </w:pPr>
            <w:r w:rsidRPr="00AD5FE2">
              <w:rPr>
                <w:color w:val="000000"/>
                <w:sz w:val="22"/>
                <w:szCs w:val="22"/>
              </w:rPr>
              <w:t>Description</w:t>
            </w:r>
          </w:p>
        </w:tc>
        <w:tc>
          <w:tcPr>
            <w:tcW w:w="1708" w:type="dxa"/>
            <w:tcBorders>
              <w:top w:val="nil"/>
              <w:left w:val="nil"/>
              <w:bottom w:val="single" w:color="auto" w:sz="4" w:space="0"/>
              <w:right w:val="single" w:color="auto" w:sz="4" w:space="0"/>
            </w:tcBorders>
            <w:shd w:val="clear" w:color="auto" w:fill="auto"/>
            <w:vAlign w:val="bottom"/>
            <w:hideMark/>
          </w:tcPr>
          <w:p w:rsidRPr="00AD5FE2" w:rsidR="00767387" w:rsidP="00955E96" w:rsidRDefault="00767387" w14:paraId="2A33783C" w14:textId="77777777">
            <w:pPr>
              <w:widowControl/>
              <w:autoSpaceDE/>
              <w:autoSpaceDN/>
              <w:adjustRightInd/>
              <w:rPr>
                <w:color w:val="000000"/>
                <w:sz w:val="22"/>
                <w:szCs w:val="22"/>
              </w:rPr>
            </w:pPr>
            <w:r w:rsidRPr="00AD5FE2">
              <w:rPr>
                <w:color w:val="000000"/>
                <w:sz w:val="22"/>
                <w:szCs w:val="22"/>
              </w:rPr>
              <w:t>Recordkeepers</w:t>
            </w:r>
          </w:p>
        </w:tc>
        <w:tc>
          <w:tcPr>
            <w:tcW w:w="1513" w:type="dxa"/>
            <w:tcBorders>
              <w:top w:val="nil"/>
              <w:left w:val="nil"/>
              <w:bottom w:val="single" w:color="auto" w:sz="4" w:space="0"/>
              <w:right w:val="single" w:color="auto" w:sz="4" w:space="0"/>
            </w:tcBorders>
            <w:shd w:val="clear" w:color="auto" w:fill="auto"/>
            <w:vAlign w:val="bottom"/>
            <w:hideMark/>
          </w:tcPr>
          <w:p w:rsidRPr="00AD5FE2" w:rsidR="00767387" w:rsidP="00955E96" w:rsidRDefault="00767387" w14:paraId="1398714A" w14:textId="77777777">
            <w:pPr>
              <w:widowControl/>
              <w:autoSpaceDE/>
              <w:autoSpaceDN/>
              <w:adjustRightInd/>
              <w:rPr>
                <w:color w:val="000000"/>
                <w:sz w:val="22"/>
                <w:szCs w:val="22"/>
              </w:rPr>
            </w:pPr>
            <w:r w:rsidRPr="00AD5FE2">
              <w:rPr>
                <w:color w:val="000000"/>
                <w:sz w:val="22"/>
                <w:szCs w:val="22"/>
              </w:rPr>
              <w:t>Hours per recordkeeper</w:t>
            </w:r>
          </w:p>
        </w:tc>
        <w:tc>
          <w:tcPr>
            <w:tcW w:w="1040" w:type="dxa"/>
            <w:tcBorders>
              <w:top w:val="nil"/>
              <w:left w:val="nil"/>
              <w:bottom w:val="single" w:color="auto" w:sz="4" w:space="0"/>
              <w:right w:val="single" w:color="auto" w:sz="4" w:space="0"/>
            </w:tcBorders>
            <w:shd w:val="clear" w:color="auto" w:fill="auto"/>
            <w:vAlign w:val="bottom"/>
            <w:hideMark/>
          </w:tcPr>
          <w:p w:rsidRPr="00AD5FE2" w:rsidR="00767387" w:rsidP="00955E96" w:rsidRDefault="00767387" w14:paraId="5A3ECF0A" w14:textId="77777777">
            <w:pPr>
              <w:widowControl/>
              <w:autoSpaceDE/>
              <w:autoSpaceDN/>
              <w:adjustRightInd/>
              <w:rPr>
                <w:color w:val="000000"/>
                <w:sz w:val="22"/>
                <w:szCs w:val="22"/>
              </w:rPr>
            </w:pPr>
            <w:r w:rsidRPr="00AD5FE2">
              <w:rPr>
                <w:color w:val="000000"/>
                <w:sz w:val="22"/>
                <w:szCs w:val="22"/>
              </w:rPr>
              <w:t>Burden</w:t>
            </w:r>
          </w:p>
        </w:tc>
        <w:tc>
          <w:tcPr>
            <w:tcW w:w="1158" w:type="dxa"/>
            <w:tcBorders>
              <w:top w:val="nil"/>
              <w:left w:val="nil"/>
              <w:bottom w:val="single" w:color="auto" w:sz="4" w:space="0"/>
              <w:right w:val="single" w:color="auto" w:sz="4" w:space="0"/>
            </w:tcBorders>
            <w:shd w:val="clear" w:color="auto" w:fill="auto"/>
            <w:vAlign w:val="bottom"/>
            <w:hideMark/>
          </w:tcPr>
          <w:p w:rsidRPr="00AD5FE2" w:rsidR="00767387" w:rsidP="00955E96" w:rsidRDefault="00767387" w14:paraId="3699A473" w14:textId="77777777">
            <w:pPr>
              <w:widowControl/>
              <w:autoSpaceDE/>
              <w:autoSpaceDN/>
              <w:adjustRightInd/>
              <w:rPr>
                <w:color w:val="000000"/>
                <w:sz w:val="22"/>
                <w:szCs w:val="22"/>
              </w:rPr>
            </w:pPr>
            <w:r w:rsidRPr="00AD5FE2">
              <w:rPr>
                <w:color w:val="000000"/>
                <w:sz w:val="22"/>
                <w:szCs w:val="22"/>
              </w:rPr>
              <w:t>Retention period</w:t>
            </w:r>
          </w:p>
        </w:tc>
      </w:tr>
      <w:tr w:rsidRPr="00AD5FE2" w:rsidR="00767387" w:rsidTr="00955E96" w14:paraId="479EC408" w14:textId="77777777">
        <w:trPr>
          <w:trHeight w:val="1400"/>
        </w:trPr>
        <w:tc>
          <w:tcPr>
            <w:tcW w:w="1331" w:type="dxa"/>
            <w:tcBorders>
              <w:top w:val="nil"/>
              <w:left w:val="single" w:color="auto" w:sz="4" w:space="0"/>
              <w:bottom w:val="single" w:color="auto" w:sz="4" w:space="0"/>
              <w:right w:val="single" w:color="auto" w:sz="4" w:space="0"/>
            </w:tcBorders>
            <w:shd w:val="clear" w:color="000000" w:fill="FFF2CC"/>
            <w:vAlign w:val="bottom"/>
            <w:hideMark/>
          </w:tcPr>
          <w:p w:rsidRPr="00AD5FE2" w:rsidR="00767387" w:rsidP="00955E96" w:rsidRDefault="00767387" w14:paraId="146489E5" w14:textId="77777777">
            <w:pPr>
              <w:widowControl/>
              <w:autoSpaceDE/>
              <w:autoSpaceDN/>
              <w:adjustRightInd/>
              <w:rPr>
                <w:color w:val="000000"/>
                <w:sz w:val="22"/>
                <w:szCs w:val="22"/>
              </w:rPr>
            </w:pPr>
            <w:r w:rsidRPr="00AD5FE2">
              <w:rPr>
                <w:color w:val="000000"/>
                <w:sz w:val="22"/>
                <w:szCs w:val="22"/>
              </w:rPr>
              <w:t>5.110 (d)</w:t>
            </w:r>
          </w:p>
        </w:tc>
        <w:tc>
          <w:tcPr>
            <w:tcW w:w="2910" w:type="dxa"/>
            <w:tcBorders>
              <w:top w:val="nil"/>
              <w:left w:val="nil"/>
              <w:bottom w:val="single" w:color="auto" w:sz="4" w:space="0"/>
              <w:right w:val="single" w:color="auto" w:sz="4" w:space="0"/>
            </w:tcBorders>
            <w:shd w:val="clear" w:color="000000" w:fill="FFF2CC"/>
            <w:vAlign w:val="bottom"/>
            <w:hideMark/>
          </w:tcPr>
          <w:p w:rsidRPr="00AD5FE2" w:rsidR="00767387" w:rsidP="00955E96" w:rsidRDefault="00767387" w14:paraId="700AC2D9" w14:textId="77777777">
            <w:pPr>
              <w:widowControl/>
              <w:autoSpaceDE/>
              <w:autoSpaceDN/>
              <w:adjustRightInd/>
              <w:rPr>
                <w:color w:val="000000"/>
                <w:sz w:val="22"/>
                <w:szCs w:val="22"/>
              </w:rPr>
            </w:pPr>
            <w:r w:rsidRPr="00AD5FE2">
              <w:rPr>
                <w:color w:val="000000"/>
                <w:sz w:val="22"/>
                <w:szCs w:val="22"/>
              </w:rPr>
              <w:t>Records of Self-evaluation (Evaluate requirements, Modify policies and practices, and take appropriate steps to eliminate effects of any discrimination</w:t>
            </w:r>
          </w:p>
        </w:tc>
        <w:tc>
          <w:tcPr>
            <w:tcW w:w="1708" w:type="dxa"/>
            <w:vMerge w:val="restart"/>
            <w:tcBorders>
              <w:top w:val="nil"/>
              <w:left w:val="nil"/>
              <w:right w:val="single" w:color="auto" w:sz="4" w:space="0"/>
            </w:tcBorders>
            <w:shd w:val="clear" w:color="000000" w:fill="FFF2CC"/>
            <w:noWrap/>
            <w:vAlign w:val="bottom"/>
            <w:hideMark/>
          </w:tcPr>
          <w:p w:rsidRPr="00AD5FE2" w:rsidR="00767387" w:rsidP="00955E96" w:rsidRDefault="00767387" w14:paraId="67E1E28F" w14:textId="77777777">
            <w:pPr>
              <w:widowControl/>
              <w:autoSpaceDE/>
              <w:autoSpaceDN/>
              <w:adjustRightInd/>
              <w:jc w:val="right"/>
              <w:rPr>
                <w:color w:val="000000"/>
                <w:sz w:val="22"/>
                <w:szCs w:val="22"/>
              </w:rPr>
            </w:pPr>
            <w:r w:rsidRPr="00AD5FE2">
              <w:rPr>
                <w:color w:val="000000"/>
                <w:sz w:val="22"/>
                <w:szCs w:val="22"/>
              </w:rPr>
              <w:t>200</w:t>
            </w:r>
          </w:p>
        </w:tc>
        <w:tc>
          <w:tcPr>
            <w:tcW w:w="1513" w:type="dxa"/>
            <w:vMerge w:val="restart"/>
            <w:tcBorders>
              <w:top w:val="nil"/>
              <w:left w:val="nil"/>
              <w:right w:val="single" w:color="auto" w:sz="4" w:space="0"/>
            </w:tcBorders>
            <w:shd w:val="clear" w:color="000000" w:fill="FFF2CC"/>
            <w:noWrap/>
            <w:vAlign w:val="bottom"/>
            <w:hideMark/>
          </w:tcPr>
          <w:p w:rsidRPr="00AD5FE2" w:rsidR="00767387" w:rsidP="00955E96" w:rsidRDefault="00767387" w14:paraId="5FBD7F29" w14:textId="77777777">
            <w:pPr>
              <w:widowControl/>
              <w:autoSpaceDE/>
              <w:autoSpaceDN/>
              <w:adjustRightInd/>
              <w:jc w:val="right"/>
              <w:rPr>
                <w:color w:val="000000"/>
                <w:sz w:val="22"/>
                <w:szCs w:val="22"/>
              </w:rPr>
            </w:pPr>
            <w:r w:rsidRPr="00AD5FE2">
              <w:rPr>
                <w:color w:val="000000"/>
                <w:sz w:val="22"/>
                <w:szCs w:val="22"/>
              </w:rPr>
              <w:t>5</w:t>
            </w:r>
          </w:p>
        </w:tc>
        <w:tc>
          <w:tcPr>
            <w:tcW w:w="1040" w:type="dxa"/>
            <w:vMerge w:val="restart"/>
            <w:tcBorders>
              <w:top w:val="nil"/>
              <w:left w:val="nil"/>
              <w:right w:val="single" w:color="auto" w:sz="4" w:space="0"/>
            </w:tcBorders>
            <w:shd w:val="clear" w:color="auto" w:fill="auto"/>
            <w:noWrap/>
            <w:vAlign w:val="bottom"/>
            <w:hideMark/>
          </w:tcPr>
          <w:p w:rsidRPr="00AD5FE2" w:rsidR="00767387" w:rsidP="00955E96" w:rsidRDefault="00767387" w14:paraId="03C4215D" w14:textId="77777777">
            <w:pPr>
              <w:widowControl/>
              <w:autoSpaceDE/>
              <w:autoSpaceDN/>
              <w:adjustRightInd/>
              <w:jc w:val="right"/>
              <w:rPr>
                <w:color w:val="000000"/>
                <w:sz w:val="22"/>
                <w:szCs w:val="22"/>
              </w:rPr>
            </w:pPr>
            <w:r w:rsidRPr="00AD5FE2">
              <w:rPr>
                <w:color w:val="000000"/>
                <w:sz w:val="22"/>
                <w:szCs w:val="22"/>
              </w:rPr>
              <w:t>1000</w:t>
            </w:r>
          </w:p>
        </w:tc>
        <w:tc>
          <w:tcPr>
            <w:tcW w:w="1158" w:type="dxa"/>
            <w:vMerge w:val="restart"/>
            <w:tcBorders>
              <w:top w:val="nil"/>
              <w:left w:val="nil"/>
              <w:right w:val="single" w:color="auto" w:sz="4" w:space="0"/>
            </w:tcBorders>
            <w:shd w:val="clear" w:color="000000" w:fill="FFF2CC"/>
            <w:vAlign w:val="bottom"/>
            <w:hideMark/>
          </w:tcPr>
          <w:p w:rsidRPr="00AD5FE2" w:rsidR="00767387" w:rsidP="00955E96" w:rsidRDefault="00767387" w14:paraId="16409B9E" w14:textId="77777777">
            <w:pPr>
              <w:widowControl/>
              <w:autoSpaceDE/>
              <w:autoSpaceDN/>
              <w:adjustRightInd/>
              <w:jc w:val="right"/>
              <w:rPr>
                <w:color w:val="000000"/>
                <w:sz w:val="22"/>
                <w:szCs w:val="22"/>
              </w:rPr>
            </w:pPr>
            <w:r w:rsidRPr="00AD5FE2">
              <w:rPr>
                <w:color w:val="000000"/>
                <w:sz w:val="22"/>
                <w:szCs w:val="22"/>
              </w:rPr>
              <w:t>3</w:t>
            </w:r>
          </w:p>
        </w:tc>
      </w:tr>
      <w:tr w:rsidRPr="00AD5FE2" w:rsidR="00767387" w:rsidTr="00955E96" w14:paraId="61B36F18" w14:textId="77777777">
        <w:trPr>
          <w:trHeight w:val="1680"/>
        </w:trPr>
        <w:tc>
          <w:tcPr>
            <w:tcW w:w="1331" w:type="dxa"/>
            <w:tcBorders>
              <w:top w:val="nil"/>
              <w:left w:val="single" w:color="auto" w:sz="4" w:space="0"/>
              <w:bottom w:val="single" w:color="auto" w:sz="4" w:space="0"/>
              <w:right w:val="single" w:color="auto" w:sz="4" w:space="0"/>
            </w:tcBorders>
            <w:shd w:val="clear" w:color="000000" w:fill="FFF2CC"/>
            <w:vAlign w:val="bottom"/>
            <w:hideMark/>
          </w:tcPr>
          <w:p w:rsidRPr="00AD5FE2" w:rsidR="00767387" w:rsidP="00955E96" w:rsidRDefault="00767387" w14:paraId="30D33342" w14:textId="77777777">
            <w:pPr>
              <w:widowControl/>
              <w:autoSpaceDE/>
              <w:autoSpaceDN/>
              <w:adjustRightInd/>
              <w:rPr>
                <w:color w:val="000000"/>
                <w:sz w:val="22"/>
                <w:szCs w:val="22"/>
              </w:rPr>
            </w:pPr>
            <w:r w:rsidRPr="00AD5FE2">
              <w:rPr>
                <w:color w:val="000000"/>
                <w:sz w:val="22"/>
                <w:szCs w:val="22"/>
              </w:rPr>
              <w:t>5.400 (d)92)(</w:t>
            </w:r>
            <w:proofErr w:type="spellStart"/>
            <w:r w:rsidRPr="00AD5FE2">
              <w:rPr>
                <w:color w:val="000000"/>
                <w:sz w:val="22"/>
                <w:szCs w:val="22"/>
              </w:rPr>
              <w:t>i</w:t>
            </w:r>
            <w:proofErr w:type="spellEnd"/>
            <w:r w:rsidRPr="00AD5FE2">
              <w:rPr>
                <w:color w:val="000000"/>
                <w:sz w:val="22"/>
                <w:szCs w:val="22"/>
              </w:rPr>
              <w:t>); 5.425(b)</w:t>
            </w:r>
          </w:p>
        </w:tc>
        <w:tc>
          <w:tcPr>
            <w:tcW w:w="2910" w:type="dxa"/>
            <w:tcBorders>
              <w:top w:val="nil"/>
              <w:left w:val="nil"/>
              <w:bottom w:val="single" w:color="auto" w:sz="4" w:space="0"/>
              <w:right w:val="single" w:color="auto" w:sz="4" w:space="0"/>
            </w:tcBorders>
            <w:shd w:val="clear" w:color="000000" w:fill="FFF2CC"/>
            <w:vAlign w:val="bottom"/>
            <w:hideMark/>
          </w:tcPr>
          <w:p w:rsidRPr="00AD5FE2" w:rsidR="00767387" w:rsidP="00955E96" w:rsidRDefault="00767387" w14:paraId="31624857" w14:textId="77777777">
            <w:pPr>
              <w:widowControl/>
              <w:autoSpaceDE/>
              <w:autoSpaceDN/>
              <w:adjustRightInd/>
              <w:rPr>
                <w:color w:val="000000"/>
                <w:sz w:val="22"/>
                <w:szCs w:val="22"/>
              </w:rPr>
            </w:pPr>
            <w:r w:rsidRPr="00AD5FE2">
              <w:rPr>
                <w:color w:val="000000"/>
                <w:sz w:val="22"/>
                <w:szCs w:val="22"/>
              </w:rPr>
              <w:t>Maintenance of records of nondiscriminatory programs or activities, testing or other materials for appraising or counseling students, and financial awards to students</w:t>
            </w:r>
          </w:p>
        </w:tc>
        <w:tc>
          <w:tcPr>
            <w:tcW w:w="1708" w:type="dxa"/>
            <w:vMerge/>
            <w:tcBorders>
              <w:left w:val="nil"/>
              <w:right w:val="single" w:color="auto" w:sz="4" w:space="0"/>
            </w:tcBorders>
            <w:shd w:val="clear" w:color="000000" w:fill="FFF2CC"/>
            <w:noWrap/>
            <w:vAlign w:val="bottom"/>
            <w:hideMark/>
          </w:tcPr>
          <w:p w:rsidRPr="00AD5FE2" w:rsidR="00767387" w:rsidP="00955E96" w:rsidRDefault="00767387" w14:paraId="227DF185" w14:textId="77777777">
            <w:pPr>
              <w:jc w:val="right"/>
              <w:rPr>
                <w:color w:val="000000"/>
                <w:sz w:val="22"/>
                <w:szCs w:val="22"/>
              </w:rPr>
            </w:pPr>
          </w:p>
        </w:tc>
        <w:tc>
          <w:tcPr>
            <w:tcW w:w="1513" w:type="dxa"/>
            <w:vMerge/>
            <w:tcBorders>
              <w:left w:val="nil"/>
              <w:right w:val="single" w:color="auto" w:sz="4" w:space="0"/>
            </w:tcBorders>
            <w:shd w:val="clear" w:color="000000" w:fill="FFF2CC"/>
            <w:noWrap/>
            <w:vAlign w:val="bottom"/>
            <w:hideMark/>
          </w:tcPr>
          <w:p w:rsidRPr="00AD5FE2" w:rsidR="00767387" w:rsidP="00955E96" w:rsidRDefault="00767387" w14:paraId="54A752D5" w14:textId="77777777">
            <w:pPr>
              <w:jc w:val="right"/>
              <w:rPr>
                <w:color w:val="000000"/>
                <w:sz w:val="22"/>
                <w:szCs w:val="22"/>
              </w:rPr>
            </w:pPr>
          </w:p>
        </w:tc>
        <w:tc>
          <w:tcPr>
            <w:tcW w:w="1040" w:type="dxa"/>
            <w:vMerge/>
            <w:tcBorders>
              <w:left w:val="nil"/>
              <w:right w:val="single" w:color="auto" w:sz="4" w:space="0"/>
            </w:tcBorders>
            <w:shd w:val="clear" w:color="auto" w:fill="auto"/>
            <w:noWrap/>
            <w:vAlign w:val="bottom"/>
            <w:hideMark/>
          </w:tcPr>
          <w:p w:rsidRPr="00AD5FE2" w:rsidR="00767387" w:rsidP="00955E96" w:rsidRDefault="00767387" w14:paraId="32219537" w14:textId="77777777">
            <w:pPr>
              <w:jc w:val="right"/>
              <w:rPr>
                <w:color w:val="000000"/>
                <w:sz w:val="22"/>
                <w:szCs w:val="22"/>
              </w:rPr>
            </w:pPr>
          </w:p>
        </w:tc>
        <w:tc>
          <w:tcPr>
            <w:tcW w:w="1158" w:type="dxa"/>
            <w:vMerge/>
            <w:tcBorders>
              <w:left w:val="nil"/>
              <w:right w:val="single" w:color="auto" w:sz="4" w:space="0"/>
            </w:tcBorders>
            <w:shd w:val="clear" w:color="000000" w:fill="FFF2CC"/>
            <w:vAlign w:val="bottom"/>
            <w:hideMark/>
          </w:tcPr>
          <w:p w:rsidRPr="00AD5FE2" w:rsidR="00767387" w:rsidP="00955E96" w:rsidRDefault="00767387" w14:paraId="4D661EAB" w14:textId="77777777">
            <w:pPr>
              <w:jc w:val="right"/>
              <w:rPr>
                <w:color w:val="000000"/>
                <w:sz w:val="22"/>
                <w:szCs w:val="22"/>
              </w:rPr>
            </w:pPr>
          </w:p>
        </w:tc>
      </w:tr>
      <w:tr w:rsidRPr="00AD5FE2" w:rsidR="00767387" w:rsidTr="00955E96" w14:paraId="53A2690D" w14:textId="77777777">
        <w:trPr>
          <w:trHeight w:val="840"/>
        </w:trPr>
        <w:tc>
          <w:tcPr>
            <w:tcW w:w="1331" w:type="dxa"/>
            <w:tcBorders>
              <w:top w:val="nil"/>
              <w:left w:val="single" w:color="auto" w:sz="4" w:space="0"/>
              <w:bottom w:val="single" w:color="auto" w:sz="4" w:space="0"/>
              <w:right w:val="single" w:color="auto" w:sz="4" w:space="0"/>
            </w:tcBorders>
            <w:shd w:val="clear" w:color="000000" w:fill="FFF2CC"/>
            <w:vAlign w:val="bottom"/>
            <w:hideMark/>
          </w:tcPr>
          <w:p w:rsidRPr="00AD5FE2" w:rsidR="00767387" w:rsidP="00955E96" w:rsidRDefault="00767387" w14:paraId="3BB9D7EA" w14:textId="77777777">
            <w:pPr>
              <w:widowControl/>
              <w:autoSpaceDE/>
              <w:autoSpaceDN/>
              <w:adjustRightInd/>
              <w:rPr>
                <w:color w:val="000000"/>
                <w:sz w:val="22"/>
                <w:szCs w:val="22"/>
              </w:rPr>
            </w:pPr>
            <w:r w:rsidRPr="00AD5FE2">
              <w:rPr>
                <w:color w:val="000000"/>
                <w:sz w:val="22"/>
                <w:szCs w:val="22"/>
              </w:rPr>
              <w:t>5.430(b)(2)</w:t>
            </w:r>
          </w:p>
        </w:tc>
        <w:tc>
          <w:tcPr>
            <w:tcW w:w="2910" w:type="dxa"/>
            <w:tcBorders>
              <w:top w:val="nil"/>
              <w:left w:val="nil"/>
              <w:bottom w:val="single" w:color="auto" w:sz="4" w:space="0"/>
              <w:right w:val="single" w:color="auto" w:sz="4" w:space="0"/>
            </w:tcBorders>
            <w:shd w:val="clear" w:color="000000" w:fill="FFF2CC"/>
            <w:vAlign w:val="bottom"/>
            <w:hideMark/>
          </w:tcPr>
          <w:p w:rsidRPr="00AD5FE2" w:rsidR="00767387" w:rsidP="00955E96" w:rsidRDefault="00767387" w14:paraId="639D10EF" w14:textId="77777777">
            <w:pPr>
              <w:widowControl/>
              <w:autoSpaceDE/>
              <w:autoSpaceDN/>
              <w:adjustRightInd/>
              <w:rPr>
                <w:color w:val="000000"/>
                <w:sz w:val="22"/>
                <w:szCs w:val="22"/>
              </w:rPr>
            </w:pPr>
            <w:r w:rsidRPr="00AD5FE2">
              <w:rPr>
                <w:color w:val="000000"/>
                <w:sz w:val="22"/>
                <w:szCs w:val="22"/>
              </w:rPr>
              <w:t>Maintenance of records of nondiscriminatory financial awards to students.</w:t>
            </w:r>
          </w:p>
        </w:tc>
        <w:tc>
          <w:tcPr>
            <w:tcW w:w="1708" w:type="dxa"/>
            <w:vMerge/>
            <w:tcBorders>
              <w:left w:val="nil"/>
              <w:right w:val="single" w:color="auto" w:sz="4" w:space="0"/>
            </w:tcBorders>
            <w:shd w:val="clear" w:color="000000" w:fill="FFF2CC"/>
            <w:noWrap/>
            <w:vAlign w:val="bottom"/>
            <w:hideMark/>
          </w:tcPr>
          <w:p w:rsidRPr="00AD5FE2" w:rsidR="00767387" w:rsidP="00955E96" w:rsidRDefault="00767387" w14:paraId="1B9F945E" w14:textId="77777777">
            <w:pPr>
              <w:jc w:val="right"/>
              <w:rPr>
                <w:color w:val="000000"/>
                <w:sz w:val="22"/>
                <w:szCs w:val="22"/>
              </w:rPr>
            </w:pPr>
          </w:p>
        </w:tc>
        <w:tc>
          <w:tcPr>
            <w:tcW w:w="1513" w:type="dxa"/>
            <w:vMerge/>
            <w:tcBorders>
              <w:left w:val="nil"/>
              <w:right w:val="single" w:color="auto" w:sz="4" w:space="0"/>
            </w:tcBorders>
            <w:shd w:val="clear" w:color="000000" w:fill="FFF2CC"/>
            <w:noWrap/>
            <w:vAlign w:val="bottom"/>
            <w:hideMark/>
          </w:tcPr>
          <w:p w:rsidRPr="00AD5FE2" w:rsidR="00767387" w:rsidP="00955E96" w:rsidRDefault="00767387" w14:paraId="540B9112" w14:textId="77777777">
            <w:pPr>
              <w:jc w:val="right"/>
              <w:rPr>
                <w:color w:val="000000"/>
                <w:sz w:val="22"/>
                <w:szCs w:val="22"/>
              </w:rPr>
            </w:pPr>
          </w:p>
        </w:tc>
        <w:tc>
          <w:tcPr>
            <w:tcW w:w="1040" w:type="dxa"/>
            <w:vMerge/>
            <w:tcBorders>
              <w:left w:val="nil"/>
              <w:right w:val="single" w:color="auto" w:sz="4" w:space="0"/>
            </w:tcBorders>
            <w:shd w:val="clear" w:color="auto" w:fill="auto"/>
            <w:noWrap/>
            <w:vAlign w:val="bottom"/>
            <w:hideMark/>
          </w:tcPr>
          <w:p w:rsidRPr="00AD5FE2" w:rsidR="00767387" w:rsidP="00955E96" w:rsidRDefault="00767387" w14:paraId="5AC93ED9" w14:textId="77777777">
            <w:pPr>
              <w:jc w:val="right"/>
              <w:rPr>
                <w:color w:val="000000"/>
                <w:sz w:val="22"/>
                <w:szCs w:val="22"/>
              </w:rPr>
            </w:pPr>
          </w:p>
        </w:tc>
        <w:tc>
          <w:tcPr>
            <w:tcW w:w="1158" w:type="dxa"/>
            <w:vMerge/>
            <w:tcBorders>
              <w:left w:val="nil"/>
              <w:right w:val="single" w:color="auto" w:sz="4" w:space="0"/>
            </w:tcBorders>
            <w:shd w:val="clear" w:color="000000" w:fill="FFF2CC"/>
            <w:vAlign w:val="bottom"/>
            <w:hideMark/>
          </w:tcPr>
          <w:p w:rsidRPr="00AD5FE2" w:rsidR="00767387" w:rsidP="00955E96" w:rsidRDefault="00767387" w14:paraId="757CE677" w14:textId="77777777">
            <w:pPr>
              <w:jc w:val="right"/>
              <w:rPr>
                <w:color w:val="000000"/>
                <w:sz w:val="22"/>
                <w:szCs w:val="22"/>
              </w:rPr>
            </w:pPr>
          </w:p>
        </w:tc>
      </w:tr>
      <w:tr w:rsidRPr="00AD5FE2" w:rsidR="00767387" w:rsidTr="00955E96" w14:paraId="4532C00E" w14:textId="77777777">
        <w:trPr>
          <w:trHeight w:val="560"/>
        </w:trPr>
        <w:tc>
          <w:tcPr>
            <w:tcW w:w="1331" w:type="dxa"/>
            <w:tcBorders>
              <w:top w:val="nil"/>
              <w:left w:val="single" w:color="auto" w:sz="4" w:space="0"/>
              <w:bottom w:val="single" w:color="auto" w:sz="4" w:space="0"/>
              <w:right w:val="single" w:color="auto" w:sz="4" w:space="0"/>
            </w:tcBorders>
            <w:shd w:val="clear" w:color="000000" w:fill="FFF2CC"/>
            <w:vAlign w:val="bottom"/>
            <w:hideMark/>
          </w:tcPr>
          <w:p w:rsidRPr="00AD5FE2" w:rsidR="00767387" w:rsidP="00955E96" w:rsidRDefault="00767387" w14:paraId="18A50173" w14:textId="77777777">
            <w:pPr>
              <w:widowControl/>
              <w:autoSpaceDE/>
              <w:autoSpaceDN/>
              <w:adjustRightInd/>
              <w:rPr>
                <w:color w:val="000000"/>
                <w:sz w:val="22"/>
                <w:szCs w:val="22"/>
              </w:rPr>
            </w:pPr>
            <w:r w:rsidRPr="00AD5FE2">
              <w:rPr>
                <w:color w:val="000000"/>
                <w:sz w:val="22"/>
                <w:szCs w:val="22"/>
              </w:rPr>
              <w:t xml:space="preserve">5.445(b)(2) </w:t>
            </w:r>
          </w:p>
        </w:tc>
        <w:tc>
          <w:tcPr>
            <w:tcW w:w="2910" w:type="dxa"/>
            <w:tcBorders>
              <w:top w:val="nil"/>
              <w:left w:val="nil"/>
              <w:bottom w:val="single" w:color="auto" w:sz="4" w:space="0"/>
              <w:right w:val="single" w:color="auto" w:sz="4" w:space="0"/>
            </w:tcBorders>
            <w:shd w:val="clear" w:color="000000" w:fill="FFF2CC"/>
            <w:vAlign w:val="bottom"/>
            <w:hideMark/>
          </w:tcPr>
          <w:p w:rsidRPr="00AD5FE2" w:rsidR="00767387" w:rsidP="00955E96" w:rsidRDefault="00767387" w14:paraId="0D355792" w14:textId="77777777">
            <w:pPr>
              <w:widowControl/>
              <w:autoSpaceDE/>
              <w:autoSpaceDN/>
              <w:adjustRightInd/>
              <w:rPr>
                <w:color w:val="000000"/>
                <w:sz w:val="22"/>
                <w:szCs w:val="22"/>
              </w:rPr>
            </w:pPr>
            <w:r w:rsidRPr="00AD5FE2">
              <w:rPr>
                <w:color w:val="000000"/>
                <w:sz w:val="22"/>
                <w:szCs w:val="22"/>
              </w:rPr>
              <w:t>Maintenance of records of medical histories</w:t>
            </w:r>
          </w:p>
        </w:tc>
        <w:tc>
          <w:tcPr>
            <w:tcW w:w="1708" w:type="dxa"/>
            <w:vMerge/>
            <w:tcBorders>
              <w:left w:val="nil"/>
              <w:bottom w:val="single" w:color="auto" w:sz="4" w:space="0"/>
              <w:right w:val="single" w:color="auto" w:sz="4" w:space="0"/>
            </w:tcBorders>
            <w:shd w:val="clear" w:color="000000" w:fill="FFF2CC"/>
            <w:noWrap/>
            <w:vAlign w:val="bottom"/>
            <w:hideMark/>
          </w:tcPr>
          <w:p w:rsidRPr="00AD5FE2" w:rsidR="00767387" w:rsidP="00955E96" w:rsidRDefault="00767387" w14:paraId="526D37C2" w14:textId="77777777">
            <w:pPr>
              <w:widowControl/>
              <w:autoSpaceDE/>
              <w:autoSpaceDN/>
              <w:adjustRightInd/>
              <w:jc w:val="right"/>
              <w:rPr>
                <w:color w:val="000000"/>
                <w:sz w:val="22"/>
                <w:szCs w:val="22"/>
              </w:rPr>
            </w:pPr>
          </w:p>
        </w:tc>
        <w:tc>
          <w:tcPr>
            <w:tcW w:w="1513" w:type="dxa"/>
            <w:vMerge/>
            <w:tcBorders>
              <w:left w:val="nil"/>
              <w:bottom w:val="single" w:color="auto" w:sz="4" w:space="0"/>
              <w:right w:val="single" w:color="auto" w:sz="4" w:space="0"/>
            </w:tcBorders>
            <w:shd w:val="clear" w:color="000000" w:fill="FFF2CC"/>
            <w:noWrap/>
            <w:vAlign w:val="bottom"/>
            <w:hideMark/>
          </w:tcPr>
          <w:p w:rsidRPr="00AD5FE2" w:rsidR="00767387" w:rsidP="00955E96" w:rsidRDefault="00767387" w14:paraId="4300DE66" w14:textId="77777777">
            <w:pPr>
              <w:widowControl/>
              <w:autoSpaceDE/>
              <w:autoSpaceDN/>
              <w:adjustRightInd/>
              <w:jc w:val="right"/>
              <w:rPr>
                <w:color w:val="000000"/>
                <w:sz w:val="22"/>
                <w:szCs w:val="22"/>
              </w:rPr>
            </w:pPr>
          </w:p>
        </w:tc>
        <w:tc>
          <w:tcPr>
            <w:tcW w:w="1040" w:type="dxa"/>
            <w:vMerge/>
            <w:tcBorders>
              <w:left w:val="nil"/>
              <w:bottom w:val="single" w:color="auto" w:sz="4" w:space="0"/>
              <w:right w:val="single" w:color="auto" w:sz="4" w:space="0"/>
            </w:tcBorders>
            <w:shd w:val="clear" w:color="auto" w:fill="auto"/>
            <w:noWrap/>
            <w:vAlign w:val="bottom"/>
            <w:hideMark/>
          </w:tcPr>
          <w:p w:rsidRPr="00AD5FE2" w:rsidR="00767387" w:rsidP="00955E96" w:rsidRDefault="00767387" w14:paraId="1360CF7E" w14:textId="77777777">
            <w:pPr>
              <w:widowControl/>
              <w:autoSpaceDE/>
              <w:autoSpaceDN/>
              <w:adjustRightInd/>
              <w:jc w:val="right"/>
              <w:rPr>
                <w:color w:val="000000"/>
                <w:sz w:val="22"/>
                <w:szCs w:val="22"/>
              </w:rPr>
            </w:pPr>
          </w:p>
        </w:tc>
        <w:tc>
          <w:tcPr>
            <w:tcW w:w="1158" w:type="dxa"/>
            <w:vMerge/>
            <w:tcBorders>
              <w:left w:val="nil"/>
              <w:bottom w:val="single" w:color="auto" w:sz="4" w:space="0"/>
              <w:right w:val="single" w:color="auto" w:sz="4" w:space="0"/>
            </w:tcBorders>
            <w:shd w:val="clear" w:color="000000" w:fill="FFF2CC"/>
            <w:vAlign w:val="bottom"/>
            <w:hideMark/>
          </w:tcPr>
          <w:p w:rsidRPr="00AD5FE2" w:rsidR="00767387" w:rsidP="00955E96" w:rsidRDefault="00767387" w14:paraId="0404BF7D" w14:textId="77777777">
            <w:pPr>
              <w:widowControl/>
              <w:autoSpaceDE/>
              <w:autoSpaceDN/>
              <w:adjustRightInd/>
              <w:jc w:val="right"/>
              <w:rPr>
                <w:color w:val="000000"/>
                <w:sz w:val="22"/>
                <w:szCs w:val="22"/>
              </w:rPr>
            </w:pPr>
          </w:p>
        </w:tc>
      </w:tr>
      <w:tr w:rsidRPr="00AD5FE2" w:rsidR="00767387" w:rsidTr="00955E96" w14:paraId="28141839" w14:textId="77777777">
        <w:trPr>
          <w:trHeight w:val="280"/>
        </w:trPr>
        <w:tc>
          <w:tcPr>
            <w:tcW w:w="1331" w:type="dxa"/>
            <w:tcBorders>
              <w:top w:val="nil"/>
              <w:left w:val="single" w:color="auto" w:sz="4" w:space="0"/>
              <w:bottom w:val="single" w:color="auto" w:sz="4" w:space="0"/>
              <w:right w:val="single" w:color="auto" w:sz="4" w:space="0"/>
            </w:tcBorders>
            <w:shd w:val="clear" w:color="auto" w:fill="auto"/>
            <w:vAlign w:val="bottom"/>
            <w:hideMark/>
          </w:tcPr>
          <w:p w:rsidRPr="00AD5FE2" w:rsidR="00767387" w:rsidP="00955E96" w:rsidRDefault="00767387" w14:paraId="46FEA1EB" w14:textId="77777777">
            <w:pPr>
              <w:widowControl/>
              <w:autoSpaceDE/>
              <w:autoSpaceDN/>
              <w:adjustRightInd/>
              <w:rPr>
                <w:color w:val="000000"/>
                <w:sz w:val="22"/>
                <w:szCs w:val="22"/>
              </w:rPr>
            </w:pPr>
            <w:r w:rsidRPr="00AD5FE2">
              <w:rPr>
                <w:color w:val="000000"/>
                <w:sz w:val="22"/>
                <w:szCs w:val="22"/>
              </w:rPr>
              <w:t>Total</w:t>
            </w:r>
          </w:p>
        </w:tc>
        <w:tc>
          <w:tcPr>
            <w:tcW w:w="2910" w:type="dxa"/>
            <w:tcBorders>
              <w:top w:val="nil"/>
              <w:left w:val="nil"/>
              <w:bottom w:val="single" w:color="auto" w:sz="4" w:space="0"/>
              <w:right w:val="single" w:color="auto" w:sz="4" w:space="0"/>
            </w:tcBorders>
            <w:shd w:val="clear" w:color="auto" w:fill="auto"/>
            <w:vAlign w:val="bottom"/>
            <w:hideMark/>
          </w:tcPr>
          <w:p w:rsidRPr="00AD5FE2" w:rsidR="00767387" w:rsidP="00955E96" w:rsidRDefault="00767387" w14:paraId="31967D21" w14:textId="77777777">
            <w:pPr>
              <w:widowControl/>
              <w:autoSpaceDE/>
              <w:autoSpaceDN/>
              <w:adjustRightInd/>
              <w:rPr>
                <w:color w:val="000000"/>
                <w:sz w:val="22"/>
                <w:szCs w:val="22"/>
              </w:rPr>
            </w:pPr>
            <w:r w:rsidRPr="00AD5FE2">
              <w:rPr>
                <w:color w:val="000000"/>
                <w:sz w:val="22"/>
                <w:szCs w:val="22"/>
              </w:rPr>
              <w:t> </w:t>
            </w:r>
          </w:p>
        </w:tc>
        <w:tc>
          <w:tcPr>
            <w:tcW w:w="1708" w:type="dxa"/>
            <w:tcBorders>
              <w:top w:val="nil"/>
              <w:left w:val="nil"/>
              <w:bottom w:val="single" w:color="auto" w:sz="4" w:space="0"/>
              <w:right w:val="single" w:color="auto" w:sz="4" w:space="0"/>
            </w:tcBorders>
            <w:shd w:val="clear" w:color="000000" w:fill="FFF2CC"/>
            <w:noWrap/>
            <w:vAlign w:val="bottom"/>
            <w:hideMark/>
          </w:tcPr>
          <w:p w:rsidRPr="00AD5FE2" w:rsidR="00767387" w:rsidP="00955E96" w:rsidRDefault="00767387" w14:paraId="754B1CC6" w14:textId="77777777">
            <w:pPr>
              <w:widowControl/>
              <w:autoSpaceDE/>
              <w:autoSpaceDN/>
              <w:adjustRightInd/>
              <w:jc w:val="right"/>
              <w:rPr>
                <w:color w:val="000000"/>
                <w:sz w:val="22"/>
                <w:szCs w:val="22"/>
              </w:rPr>
            </w:pPr>
            <w:r w:rsidRPr="00AD5FE2">
              <w:rPr>
                <w:color w:val="000000"/>
                <w:sz w:val="22"/>
                <w:szCs w:val="22"/>
              </w:rPr>
              <w:t>200</w:t>
            </w:r>
          </w:p>
        </w:tc>
        <w:tc>
          <w:tcPr>
            <w:tcW w:w="1513" w:type="dxa"/>
            <w:tcBorders>
              <w:top w:val="nil"/>
              <w:left w:val="nil"/>
              <w:bottom w:val="single" w:color="auto" w:sz="4" w:space="0"/>
              <w:right w:val="single" w:color="auto" w:sz="4" w:space="0"/>
            </w:tcBorders>
            <w:shd w:val="clear" w:color="auto" w:fill="auto"/>
            <w:noWrap/>
            <w:vAlign w:val="bottom"/>
            <w:hideMark/>
          </w:tcPr>
          <w:p w:rsidRPr="00AD5FE2" w:rsidR="00767387" w:rsidP="00955E96" w:rsidRDefault="00767387" w14:paraId="5D9BC433" w14:textId="77777777">
            <w:pPr>
              <w:widowControl/>
              <w:autoSpaceDE/>
              <w:autoSpaceDN/>
              <w:adjustRightInd/>
              <w:rPr>
                <w:color w:val="000000"/>
                <w:sz w:val="22"/>
                <w:szCs w:val="22"/>
              </w:rPr>
            </w:pPr>
            <w:r w:rsidRPr="00AD5FE2">
              <w:rPr>
                <w:color w:val="000000"/>
                <w:sz w:val="22"/>
                <w:szCs w:val="22"/>
              </w:rPr>
              <w:t> </w:t>
            </w:r>
          </w:p>
        </w:tc>
        <w:tc>
          <w:tcPr>
            <w:tcW w:w="1040" w:type="dxa"/>
            <w:tcBorders>
              <w:top w:val="nil"/>
              <w:left w:val="nil"/>
              <w:bottom w:val="single" w:color="auto" w:sz="4" w:space="0"/>
              <w:right w:val="single" w:color="auto" w:sz="4" w:space="0"/>
            </w:tcBorders>
            <w:shd w:val="clear" w:color="auto" w:fill="auto"/>
            <w:noWrap/>
            <w:vAlign w:val="bottom"/>
            <w:hideMark/>
          </w:tcPr>
          <w:p w:rsidRPr="00AD5FE2" w:rsidR="00767387" w:rsidP="00955E96" w:rsidRDefault="00767387" w14:paraId="3BC2C480" w14:textId="77777777">
            <w:pPr>
              <w:widowControl/>
              <w:autoSpaceDE/>
              <w:autoSpaceDN/>
              <w:adjustRightInd/>
              <w:jc w:val="right"/>
              <w:rPr>
                <w:color w:val="000000"/>
                <w:sz w:val="22"/>
                <w:szCs w:val="22"/>
              </w:rPr>
            </w:pPr>
            <w:r w:rsidRPr="00AD5FE2">
              <w:rPr>
                <w:color w:val="000000"/>
                <w:sz w:val="22"/>
                <w:szCs w:val="22"/>
              </w:rPr>
              <w:t>1</w:t>
            </w:r>
            <w:r>
              <w:rPr>
                <w:color w:val="000000"/>
                <w:sz w:val="22"/>
                <w:szCs w:val="22"/>
              </w:rPr>
              <w:t>0</w:t>
            </w:r>
            <w:r w:rsidRPr="00AD5FE2">
              <w:rPr>
                <w:color w:val="000000"/>
                <w:sz w:val="22"/>
                <w:szCs w:val="22"/>
              </w:rPr>
              <w:t>00</w:t>
            </w:r>
          </w:p>
        </w:tc>
        <w:tc>
          <w:tcPr>
            <w:tcW w:w="1158" w:type="dxa"/>
            <w:tcBorders>
              <w:top w:val="nil"/>
              <w:left w:val="nil"/>
              <w:bottom w:val="single" w:color="auto" w:sz="4" w:space="0"/>
              <w:right w:val="single" w:color="auto" w:sz="4" w:space="0"/>
            </w:tcBorders>
            <w:shd w:val="clear" w:color="000000" w:fill="FFF2CC"/>
            <w:vAlign w:val="bottom"/>
            <w:hideMark/>
          </w:tcPr>
          <w:p w:rsidRPr="00AD5FE2" w:rsidR="00767387" w:rsidP="00955E96" w:rsidRDefault="00767387" w14:paraId="39F93286" w14:textId="77777777">
            <w:pPr>
              <w:widowControl/>
              <w:autoSpaceDE/>
              <w:autoSpaceDN/>
              <w:adjustRightInd/>
              <w:rPr>
                <w:color w:val="000000"/>
                <w:sz w:val="22"/>
                <w:szCs w:val="22"/>
              </w:rPr>
            </w:pPr>
            <w:r w:rsidRPr="00AD5FE2">
              <w:rPr>
                <w:color w:val="000000"/>
                <w:sz w:val="22"/>
                <w:szCs w:val="22"/>
              </w:rPr>
              <w:t> </w:t>
            </w:r>
          </w:p>
        </w:tc>
      </w:tr>
    </w:tbl>
    <w:p w:rsidR="00767387" w:rsidP="00767387" w:rsidRDefault="00767387" w14:paraId="25F1F882" w14:textId="77777777">
      <w:pPr>
        <w:ind w:left="1080"/>
        <w:rPr>
          <w:sz w:val="22"/>
          <w:szCs w:val="22"/>
        </w:rPr>
      </w:pPr>
    </w:p>
    <w:tbl>
      <w:tblPr>
        <w:tblW w:w="10260" w:type="dxa"/>
        <w:tblInd w:w="108" w:type="dxa"/>
        <w:tblLook w:val="04A0" w:firstRow="1" w:lastRow="0" w:firstColumn="1" w:lastColumn="0" w:noHBand="0" w:noVBand="1"/>
      </w:tblPr>
      <w:tblGrid>
        <w:gridCol w:w="1635"/>
        <w:gridCol w:w="2316"/>
        <w:gridCol w:w="1513"/>
        <w:gridCol w:w="1317"/>
        <w:gridCol w:w="1317"/>
        <w:gridCol w:w="1122"/>
        <w:gridCol w:w="1040"/>
      </w:tblGrid>
      <w:tr w:rsidRPr="003E16DA" w:rsidR="00767387" w:rsidTr="00955E96" w14:paraId="36275D63" w14:textId="77777777">
        <w:trPr>
          <w:trHeight w:val="280"/>
        </w:trPr>
        <w:tc>
          <w:tcPr>
            <w:tcW w:w="10260" w:type="dxa"/>
            <w:gridSpan w:val="7"/>
            <w:tcBorders>
              <w:top w:val="nil"/>
              <w:left w:val="nil"/>
              <w:bottom w:val="single" w:color="auto" w:sz="4" w:space="0"/>
              <w:right w:val="nil"/>
            </w:tcBorders>
            <w:shd w:val="clear" w:color="auto" w:fill="auto"/>
            <w:noWrap/>
            <w:vAlign w:val="bottom"/>
            <w:hideMark/>
          </w:tcPr>
          <w:p w:rsidRPr="003E16DA" w:rsidR="00767387" w:rsidP="00955E96" w:rsidRDefault="00767387" w14:paraId="4ED756BD" w14:textId="77777777">
            <w:pPr>
              <w:widowControl/>
              <w:autoSpaceDE/>
              <w:autoSpaceDN/>
              <w:adjustRightInd/>
              <w:jc w:val="center"/>
              <w:rPr>
                <w:color w:val="000000"/>
                <w:sz w:val="22"/>
                <w:szCs w:val="22"/>
              </w:rPr>
            </w:pPr>
            <w:bookmarkStart w:name="RANGE!A1:G4" w:id="2"/>
            <w:r w:rsidRPr="003E16DA">
              <w:rPr>
                <w:color w:val="000000"/>
                <w:sz w:val="22"/>
                <w:szCs w:val="22"/>
              </w:rPr>
              <w:t>Table 5. Annual Third-Party Disclosure Burden</w:t>
            </w:r>
            <w:bookmarkEnd w:id="2"/>
          </w:p>
        </w:tc>
      </w:tr>
      <w:tr w:rsidRPr="003E16DA" w:rsidR="00767387" w:rsidTr="00955E96" w14:paraId="1DAFA84F" w14:textId="77777777">
        <w:trPr>
          <w:trHeight w:val="840"/>
        </w:trPr>
        <w:tc>
          <w:tcPr>
            <w:tcW w:w="1449" w:type="dxa"/>
            <w:tcBorders>
              <w:top w:val="nil"/>
              <w:left w:val="single" w:color="auto" w:sz="4" w:space="0"/>
              <w:bottom w:val="single" w:color="auto" w:sz="4" w:space="0"/>
              <w:right w:val="single" w:color="auto" w:sz="4" w:space="0"/>
            </w:tcBorders>
            <w:shd w:val="clear" w:color="auto" w:fill="auto"/>
            <w:vAlign w:val="bottom"/>
            <w:hideMark/>
          </w:tcPr>
          <w:p w:rsidRPr="003E16DA" w:rsidR="00767387" w:rsidP="00955E96" w:rsidRDefault="00767387" w14:paraId="1F3678CE" w14:textId="77777777">
            <w:pPr>
              <w:widowControl/>
              <w:autoSpaceDE/>
              <w:autoSpaceDN/>
              <w:adjustRightInd/>
              <w:rPr>
                <w:color w:val="000000"/>
                <w:sz w:val="22"/>
                <w:szCs w:val="22"/>
              </w:rPr>
            </w:pPr>
            <w:r w:rsidRPr="003E16DA">
              <w:rPr>
                <w:color w:val="000000"/>
                <w:sz w:val="22"/>
                <w:szCs w:val="22"/>
              </w:rPr>
              <w:t>Section</w:t>
            </w:r>
          </w:p>
        </w:tc>
        <w:tc>
          <w:tcPr>
            <w:tcW w:w="2851" w:type="dxa"/>
            <w:tcBorders>
              <w:top w:val="nil"/>
              <w:left w:val="nil"/>
              <w:bottom w:val="single" w:color="auto" w:sz="4" w:space="0"/>
              <w:right w:val="single" w:color="auto" w:sz="4" w:space="0"/>
            </w:tcBorders>
            <w:shd w:val="clear" w:color="auto" w:fill="auto"/>
            <w:vAlign w:val="bottom"/>
            <w:hideMark/>
          </w:tcPr>
          <w:p w:rsidRPr="003E16DA" w:rsidR="00767387" w:rsidP="00955E96" w:rsidRDefault="00767387" w14:paraId="07C54883" w14:textId="77777777">
            <w:pPr>
              <w:widowControl/>
              <w:autoSpaceDE/>
              <w:autoSpaceDN/>
              <w:adjustRightInd/>
              <w:rPr>
                <w:color w:val="000000"/>
                <w:sz w:val="22"/>
                <w:szCs w:val="22"/>
              </w:rPr>
            </w:pPr>
            <w:r w:rsidRPr="003E16DA">
              <w:rPr>
                <w:color w:val="000000"/>
                <w:sz w:val="22"/>
                <w:szCs w:val="22"/>
              </w:rPr>
              <w:t>Description</w:t>
            </w:r>
          </w:p>
        </w:tc>
        <w:tc>
          <w:tcPr>
            <w:tcW w:w="1440" w:type="dxa"/>
            <w:tcBorders>
              <w:top w:val="nil"/>
              <w:left w:val="nil"/>
              <w:bottom w:val="single" w:color="auto" w:sz="4" w:space="0"/>
              <w:right w:val="single" w:color="auto" w:sz="4" w:space="0"/>
            </w:tcBorders>
            <w:shd w:val="clear" w:color="auto" w:fill="auto"/>
            <w:vAlign w:val="bottom"/>
            <w:hideMark/>
          </w:tcPr>
          <w:p w:rsidRPr="003E16DA" w:rsidR="00767387" w:rsidP="00955E96" w:rsidRDefault="00767387" w14:paraId="367B7C9E" w14:textId="77777777">
            <w:pPr>
              <w:widowControl/>
              <w:autoSpaceDE/>
              <w:autoSpaceDN/>
              <w:adjustRightInd/>
              <w:rPr>
                <w:color w:val="000000"/>
                <w:sz w:val="22"/>
                <w:szCs w:val="22"/>
              </w:rPr>
            </w:pPr>
            <w:r w:rsidRPr="003E16DA">
              <w:rPr>
                <w:color w:val="000000"/>
                <w:sz w:val="22"/>
                <w:szCs w:val="22"/>
              </w:rPr>
              <w:t>Respondents</w:t>
            </w:r>
          </w:p>
        </w:tc>
        <w:tc>
          <w:tcPr>
            <w:tcW w:w="1280" w:type="dxa"/>
            <w:tcBorders>
              <w:top w:val="nil"/>
              <w:left w:val="nil"/>
              <w:bottom w:val="single" w:color="auto" w:sz="4" w:space="0"/>
              <w:right w:val="single" w:color="auto" w:sz="4" w:space="0"/>
            </w:tcBorders>
            <w:shd w:val="clear" w:color="auto" w:fill="auto"/>
            <w:vAlign w:val="bottom"/>
            <w:hideMark/>
          </w:tcPr>
          <w:p w:rsidRPr="003E16DA" w:rsidR="00767387" w:rsidP="00955E96" w:rsidRDefault="00767387" w14:paraId="3A6887A0" w14:textId="77777777">
            <w:pPr>
              <w:widowControl/>
              <w:autoSpaceDE/>
              <w:autoSpaceDN/>
              <w:adjustRightInd/>
              <w:rPr>
                <w:color w:val="000000"/>
                <w:sz w:val="22"/>
                <w:szCs w:val="22"/>
              </w:rPr>
            </w:pPr>
            <w:r w:rsidRPr="003E16DA">
              <w:rPr>
                <w:color w:val="000000"/>
                <w:sz w:val="22"/>
                <w:szCs w:val="22"/>
              </w:rPr>
              <w:t>Responses per respondent</w:t>
            </w:r>
          </w:p>
        </w:tc>
        <w:tc>
          <w:tcPr>
            <w:tcW w:w="1160" w:type="dxa"/>
            <w:tcBorders>
              <w:top w:val="nil"/>
              <w:left w:val="nil"/>
              <w:bottom w:val="single" w:color="auto" w:sz="4" w:space="0"/>
              <w:right w:val="single" w:color="auto" w:sz="4" w:space="0"/>
            </w:tcBorders>
            <w:shd w:val="clear" w:color="auto" w:fill="auto"/>
            <w:vAlign w:val="bottom"/>
            <w:hideMark/>
          </w:tcPr>
          <w:p w:rsidRPr="003E16DA" w:rsidR="00767387" w:rsidP="00955E96" w:rsidRDefault="00767387" w14:paraId="5727D0E0" w14:textId="77777777">
            <w:pPr>
              <w:widowControl/>
              <w:autoSpaceDE/>
              <w:autoSpaceDN/>
              <w:adjustRightInd/>
              <w:rPr>
                <w:color w:val="000000"/>
                <w:sz w:val="22"/>
                <w:szCs w:val="22"/>
              </w:rPr>
            </w:pPr>
            <w:r w:rsidRPr="003E16DA">
              <w:rPr>
                <w:color w:val="000000"/>
                <w:sz w:val="22"/>
                <w:szCs w:val="22"/>
              </w:rPr>
              <w:t>Responses</w:t>
            </w:r>
          </w:p>
        </w:tc>
        <w:tc>
          <w:tcPr>
            <w:tcW w:w="1040" w:type="dxa"/>
            <w:tcBorders>
              <w:top w:val="nil"/>
              <w:left w:val="nil"/>
              <w:bottom w:val="single" w:color="auto" w:sz="4" w:space="0"/>
              <w:right w:val="single" w:color="auto" w:sz="4" w:space="0"/>
            </w:tcBorders>
            <w:shd w:val="clear" w:color="auto" w:fill="auto"/>
            <w:vAlign w:val="bottom"/>
            <w:hideMark/>
          </w:tcPr>
          <w:p w:rsidRPr="003E16DA" w:rsidR="00767387" w:rsidP="00955E96" w:rsidRDefault="00767387" w14:paraId="2D8513B8" w14:textId="77777777">
            <w:pPr>
              <w:widowControl/>
              <w:autoSpaceDE/>
              <w:autoSpaceDN/>
              <w:adjustRightInd/>
              <w:rPr>
                <w:color w:val="000000"/>
                <w:sz w:val="22"/>
                <w:szCs w:val="22"/>
              </w:rPr>
            </w:pPr>
            <w:r w:rsidRPr="003E16DA">
              <w:rPr>
                <w:color w:val="000000"/>
                <w:sz w:val="22"/>
                <w:szCs w:val="22"/>
              </w:rPr>
              <w:t>Burden hours per response</w:t>
            </w:r>
          </w:p>
        </w:tc>
        <w:tc>
          <w:tcPr>
            <w:tcW w:w="1040" w:type="dxa"/>
            <w:tcBorders>
              <w:top w:val="nil"/>
              <w:left w:val="nil"/>
              <w:bottom w:val="single" w:color="auto" w:sz="4" w:space="0"/>
              <w:right w:val="single" w:color="auto" w:sz="4" w:space="0"/>
            </w:tcBorders>
            <w:shd w:val="clear" w:color="auto" w:fill="auto"/>
            <w:vAlign w:val="bottom"/>
            <w:hideMark/>
          </w:tcPr>
          <w:p w:rsidRPr="003E16DA" w:rsidR="00767387" w:rsidP="00955E96" w:rsidRDefault="00767387" w14:paraId="6552345C" w14:textId="77777777">
            <w:pPr>
              <w:widowControl/>
              <w:autoSpaceDE/>
              <w:autoSpaceDN/>
              <w:adjustRightInd/>
              <w:rPr>
                <w:color w:val="000000"/>
                <w:sz w:val="22"/>
                <w:szCs w:val="22"/>
              </w:rPr>
            </w:pPr>
            <w:r w:rsidRPr="003E16DA">
              <w:rPr>
                <w:color w:val="000000"/>
                <w:sz w:val="22"/>
                <w:szCs w:val="22"/>
              </w:rPr>
              <w:t>Burden</w:t>
            </w:r>
          </w:p>
        </w:tc>
      </w:tr>
      <w:tr w:rsidRPr="003E16DA" w:rsidR="00767387" w:rsidTr="00955E96" w14:paraId="664F9795" w14:textId="77777777">
        <w:trPr>
          <w:trHeight w:val="840"/>
        </w:trPr>
        <w:tc>
          <w:tcPr>
            <w:tcW w:w="1449" w:type="dxa"/>
            <w:tcBorders>
              <w:top w:val="nil"/>
              <w:left w:val="single" w:color="auto" w:sz="4" w:space="0"/>
              <w:bottom w:val="single" w:color="auto" w:sz="4" w:space="0"/>
              <w:right w:val="single" w:color="auto" w:sz="4" w:space="0"/>
            </w:tcBorders>
            <w:shd w:val="clear" w:color="000000" w:fill="FFF2CC"/>
            <w:vAlign w:val="bottom"/>
            <w:hideMark/>
          </w:tcPr>
          <w:p w:rsidRPr="003E16DA" w:rsidR="00767387" w:rsidP="00955E96" w:rsidRDefault="00767387" w14:paraId="76D88DFA" w14:textId="77777777">
            <w:pPr>
              <w:widowControl/>
              <w:autoSpaceDE/>
              <w:autoSpaceDN/>
              <w:adjustRightInd/>
              <w:rPr>
                <w:color w:val="000000"/>
                <w:sz w:val="22"/>
                <w:szCs w:val="22"/>
              </w:rPr>
            </w:pPr>
            <w:r w:rsidRPr="003E16DA">
              <w:rPr>
                <w:color w:val="000000"/>
                <w:sz w:val="22"/>
                <w:szCs w:val="22"/>
              </w:rPr>
              <w:t>5.140(a)(1)(2), (b)(1), (c)</w:t>
            </w:r>
          </w:p>
        </w:tc>
        <w:tc>
          <w:tcPr>
            <w:tcW w:w="2851" w:type="dxa"/>
            <w:tcBorders>
              <w:top w:val="nil"/>
              <w:left w:val="nil"/>
              <w:bottom w:val="single" w:color="auto" w:sz="4" w:space="0"/>
              <w:right w:val="single" w:color="auto" w:sz="4" w:space="0"/>
            </w:tcBorders>
            <w:shd w:val="clear" w:color="000000" w:fill="FFF2CC"/>
            <w:vAlign w:val="bottom"/>
            <w:hideMark/>
          </w:tcPr>
          <w:p w:rsidRPr="003E16DA" w:rsidR="00767387" w:rsidP="00955E96" w:rsidRDefault="00767387" w14:paraId="6CCBA142" w14:textId="77777777">
            <w:pPr>
              <w:widowControl/>
              <w:autoSpaceDE/>
              <w:autoSpaceDN/>
              <w:adjustRightInd/>
              <w:rPr>
                <w:color w:val="000000"/>
                <w:sz w:val="22"/>
                <w:szCs w:val="22"/>
              </w:rPr>
            </w:pPr>
            <w:r w:rsidRPr="003E16DA">
              <w:rPr>
                <w:color w:val="000000"/>
                <w:sz w:val="22"/>
                <w:szCs w:val="22"/>
              </w:rPr>
              <w:t>Ensure applicants, students, and employees are aware of Title IX policies and procedures.</w:t>
            </w:r>
          </w:p>
        </w:tc>
        <w:tc>
          <w:tcPr>
            <w:tcW w:w="1440" w:type="dxa"/>
            <w:tcBorders>
              <w:top w:val="nil"/>
              <w:left w:val="nil"/>
              <w:bottom w:val="single" w:color="auto" w:sz="4" w:space="0"/>
              <w:right w:val="single" w:color="auto" w:sz="4" w:space="0"/>
            </w:tcBorders>
            <w:shd w:val="clear" w:color="000000" w:fill="FFF2CC"/>
            <w:noWrap/>
            <w:vAlign w:val="bottom"/>
            <w:hideMark/>
          </w:tcPr>
          <w:p w:rsidRPr="003E16DA" w:rsidR="00767387" w:rsidP="00955E96" w:rsidRDefault="00767387" w14:paraId="5AF6617A" w14:textId="77777777">
            <w:pPr>
              <w:widowControl/>
              <w:autoSpaceDE/>
              <w:autoSpaceDN/>
              <w:adjustRightInd/>
              <w:jc w:val="right"/>
              <w:rPr>
                <w:color w:val="000000"/>
                <w:sz w:val="22"/>
                <w:szCs w:val="22"/>
              </w:rPr>
            </w:pPr>
            <w:r w:rsidRPr="003E16DA">
              <w:rPr>
                <w:color w:val="000000"/>
                <w:sz w:val="22"/>
                <w:szCs w:val="22"/>
              </w:rPr>
              <w:t>200</w:t>
            </w:r>
          </w:p>
        </w:tc>
        <w:tc>
          <w:tcPr>
            <w:tcW w:w="1280" w:type="dxa"/>
            <w:tcBorders>
              <w:top w:val="nil"/>
              <w:left w:val="nil"/>
              <w:bottom w:val="single" w:color="auto" w:sz="4" w:space="0"/>
              <w:right w:val="single" w:color="auto" w:sz="4" w:space="0"/>
            </w:tcBorders>
            <w:shd w:val="clear" w:color="000000" w:fill="FFF2CC"/>
            <w:noWrap/>
            <w:vAlign w:val="bottom"/>
            <w:hideMark/>
          </w:tcPr>
          <w:p w:rsidRPr="003E16DA" w:rsidR="00767387" w:rsidP="00955E96" w:rsidRDefault="00767387" w14:paraId="390672F1" w14:textId="77777777">
            <w:pPr>
              <w:widowControl/>
              <w:autoSpaceDE/>
              <w:autoSpaceDN/>
              <w:adjustRightInd/>
              <w:jc w:val="right"/>
              <w:rPr>
                <w:color w:val="000000"/>
                <w:sz w:val="22"/>
                <w:szCs w:val="22"/>
              </w:rPr>
            </w:pPr>
            <w:r w:rsidRPr="003E16DA">
              <w:rPr>
                <w:color w:val="000000"/>
                <w:sz w:val="22"/>
                <w:szCs w:val="22"/>
              </w:rPr>
              <w:t>1</w:t>
            </w:r>
          </w:p>
        </w:tc>
        <w:tc>
          <w:tcPr>
            <w:tcW w:w="1160" w:type="dxa"/>
            <w:tcBorders>
              <w:top w:val="nil"/>
              <w:left w:val="nil"/>
              <w:bottom w:val="single" w:color="auto" w:sz="4" w:space="0"/>
              <w:right w:val="single" w:color="auto" w:sz="4" w:space="0"/>
            </w:tcBorders>
            <w:shd w:val="clear" w:color="auto" w:fill="auto"/>
            <w:noWrap/>
            <w:vAlign w:val="bottom"/>
            <w:hideMark/>
          </w:tcPr>
          <w:p w:rsidRPr="003E16DA" w:rsidR="00767387" w:rsidP="00955E96" w:rsidRDefault="00767387" w14:paraId="4774576D" w14:textId="77777777">
            <w:pPr>
              <w:widowControl/>
              <w:autoSpaceDE/>
              <w:autoSpaceDN/>
              <w:adjustRightInd/>
              <w:jc w:val="right"/>
              <w:rPr>
                <w:color w:val="000000"/>
                <w:sz w:val="22"/>
                <w:szCs w:val="22"/>
              </w:rPr>
            </w:pPr>
            <w:r w:rsidRPr="003E16DA">
              <w:rPr>
                <w:color w:val="000000"/>
                <w:sz w:val="22"/>
                <w:szCs w:val="22"/>
              </w:rPr>
              <w:t>200</w:t>
            </w:r>
          </w:p>
        </w:tc>
        <w:tc>
          <w:tcPr>
            <w:tcW w:w="1040" w:type="dxa"/>
            <w:tcBorders>
              <w:top w:val="nil"/>
              <w:left w:val="nil"/>
              <w:bottom w:val="single" w:color="auto" w:sz="4" w:space="0"/>
              <w:right w:val="single" w:color="auto" w:sz="4" w:space="0"/>
            </w:tcBorders>
            <w:shd w:val="clear" w:color="000000" w:fill="FFF2CC"/>
            <w:noWrap/>
            <w:vAlign w:val="bottom"/>
            <w:hideMark/>
          </w:tcPr>
          <w:p w:rsidRPr="003E16DA" w:rsidR="00767387" w:rsidP="00955E96" w:rsidRDefault="00767387" w14:paraId="554ABC33" w14:textId="77777777">
            <w:pPr>
              <w:widowControl/>
              <w:autoSpaceDE/>
              <w:autoSpaceDN/>
              <w:adjustRightInd/>
              <w:jc w:val="right"/>
              <w:rPr>
                <w:color w:val="000000"/>
                <w:sz w:val="22"/>
                <w:szCs w:val="22"/>
              </w:rPr>
            </w:pPr>
            <w:r w:rsidRPr="003E16DA">
              <w:rPr>
                <w:color w:val="000000"/>
                <w:sz w:val="22"/>
                <w:szCs w:val="22"/>
              </w:rPr>
              <w:t>0.25</w:t>
            </w:r>
          </w:p>
        </w:tc>
        <w:tc>
          <w:tcPr>
            <w:tcW w:w="1040" w:type="dxa"/>
            <w:tcBorders>
              <w:top w:val="nil"/>
              <w:left w:val="nil"/>
              <w:bottom w:val="single" w:color="auto" w:sz="4" w:space="0"/>
              <w:right w:val="single" w:color="auto" w:sz="4" w:space="0"/>
            </w:tcBorders>
            <w:shd w:val="clear" w:color="auto" w:fill="auto"/>
            <w:noWrap/>
            <w:vAlign w:val="bottom"/>
            <w:hideMark/>
          </w:tcPr>
          <w:p w:rsidRPr="003E16DA" w:rsidR="00767387" w:rsidP="00955E96" w:rsidRDefault="00767387" w14:paraId="2F22D4EF" w14:textId="77777777">
            <w:pPr>
              <w:widowControl/>
              <w:autoSpaceDE/>
              <w:autoSpaceDN/>
              <w:adjustRightInd/>
              <w:jc w:val="right"/>
              <w:rPr>
                <w:color w:val="000000"/>
                <w:sz w:val="22"/>
                <w:szCs w:val="22"/>
              </w:rPr>
            </w:pPr>
            <w:r w:rsidRPr="003E16DA">
              <w:rPr>
                <w:color w:val="000000"/>
                <w:sz w:val="22"/>
                <w:szCs w:val="22"/>
              </w:rPr>
              <w:t>50</w:t>
            </w:r>
          </w:p>
        </w:tc>
      </w:tr>
      <w:tr w:rsidRPr="003E16DA" w:rsidR="00767387" w:rsidTr="00955E96" w14:paraId="00DC939C" w14:textId="77777777">
        <w:trPr>
          <w:trHeight w:val="280"/>
        </w:trPr>
        <w:tc>
          <w:tcPr>
            <w:tcW w:w="1449" w:type="dxa"/>
            <w:tcBorders>
              <w:top w:val="nil"/>
              <w:left w:val="single" w:color="auto" w:sz="4" w:space="0"/>
              <w:bottom w:val="single" w:color="auto" w:sz="4" w:space="0"/>
              <w:right w:val="single" w:color="auto" w:sz="4" w:space="0"/>
            </w:tcBorders>
            <w:shd w:val="clear" w:color="auto" w:fill="auto"/>
            <w:noWrap/>
            <w:vAlign w:val="bottom"/>
            <w:hideMark/>
          </w:tcPr>
          <w:p w:rsidRPr="003E16DA" w:rsidR="00767387" w:rsidP="00955E96" w:rsidRDefault="00767387" w14:paraId="16772944" w14:textId="77777777">
            <w:pPr>
              <w:widowControl/>
              <w:autoSpaceDE/>
              <w:autoSpaceDN/>
              <w:adjustRightInd/>
              <w:rPr>
                <w:color w:val="000000"/>
                <w:sz w:val="22"/>
                <w:szCs w:val="22"/>
              </w:rPr>
            </w:pPr>
            <w:r w:rsidRPr="003E16DA">
              <w:rPr>
                <w:color w:val="000000"/>
                <w:sz w:val="22"/>
                <w:szCs w:val="22"/>
              </w:rPr>
              <w:t>Total</w:t>
            </w:r>
          </w:p>
        </w:tc>
        <w:tc>
          <w:tcPr>
            <w:tcW w:w="2851" w:type="dxa"/>
            <w:tcBorders>
              <w:top w:val="nil"/>
              <w:left w:val="nil"/>
              <w:bottom w:val="single" w:color="auto" w:sz="4" w:space="0"/>
              <w:right w:val="single" w:color="auto" w:sz="4" w:space="0"/>
            </w:tcBorders>
            <w:shd w:val="clear" w:color="auto" w:fill="auto"/>
            <w:vAlign w:val="bottom"/>
            <w:hideMark/>
          </w:tcPr>
          <w:p w:rsidRPr="003E16DA" w:rsidR="00767387" w:rsidP="00955E96" w:rsidRDefault="00767387" w14:paraId="7476CC06" w14:textId="77777777">
            <w:pPr>
              <w:widowControl/>
              <w:autoSpaceDE/>
              <w:autoSpaceDN/>
              <w:adjustRightInd/>
              <w:rPr>
                <w:color w:val="000000"/>
                <w:sz w:val="22"/>
                <w:szCs w:val="22"/>
              </w:rPr>
            </w:pPr>
            <w:r w:rsidRPr="003E16DA">
              <w:rPr>
                <w:color w:val="000000"/>
                <w:sz w:val="22"/>
                <w:szCs w:val="22"/>
              </w:rPr>
              <w:t> </w:t>
            </w:r>
          </w:p>
        </w:tc>
        <w:tc>
          <w:tcPr>
            <w:tcW w:w="1440" w:type="dxa"/>
            <w:tcBorders>
              <w:top w:val="nil"/>
              <w:left w:val="nil"/>
              <w:bottom w:val="single" w:color="auto" w:sz="4" w:space="0"/>
              <w:right w:val="single" w:color="auto" w:sz="4" w:space="0"/>
            </w:tcBorders>
            <w:shd w:val="clear" w:color="auto" w:fill="auto"/>
            <w:noWrap/>
            <w:vAlign w:val="bottom"/>
            <w:hideMark/>
          </w:tcPr>
          <w:p w:rsidRPr="003E16DA" w:rsidR="00767387" w:rsidP="00955E96" w:rsidRDefault="00767387" w14:paraId="0C7DF679" w14:textId="77777777">
            <w:pPr>
              <w:widowControl/>
              <w:autoSpaceDE/>
              <w:autoSpaceDN/>
              <w:adjustRightInd/>
              <w:rPr>
                <w:color w:val="000000"/>
                <w:sz w:val="22"/>
                <w:szCs w:val="22"/>
              </w:rPr>
            </w:pPr>
            <w:r w:rsidRPr="003E16DA">
              <w:rPr>
                <w:color w:val="000000"/>
                <w:sz w:val="22"/>
                <w:szCs w:val="22"/>
              </w:rPr>
              <w:t> </w:t>
            </w:r>
          </w:p>
        </w:tc>
        <w:tc>
          <w:tcPr>
            <w:tcW w:w="1280" w:type="dxa"/>
            <w:tcBorders>
              <w:top w:val="nil"/>
              <w:left w:val="nil"/>
              <w:bottom w:val="single" w:color="auto" w:sz="4" w:space="0"/>
              <w:right w:val="single" w:color="auto" w:sz="4" w:space="0"/>
            </w:tcBorders>
            <w:shd w:val="clear" w:color="auto" w:fill="auto"/>
            <w:noWrap/>
            <w:vAlign w:val="bottom"/>
            <w:hideMark/>
          </w:tcPr>
          <w:p w:rsidRPr="003E16DA" w:rsidR="00767387" w:rsidP="00955E96" w:rsidRDefault="00767387" w14:paraId="57652FD6" w14:textId="77777777">
            <w:pPr>
              <w:widowControl/>
              <w:autoSpaceDE/>
              <w:autoSpaceDN/>
              <w:adjustRightInd/>
              <w:rPr>
                <w:color w:val="000000"/>
                <w:sz w:val="22"/>
                <w:szCs w:val="22"/>
              </w:rPr>
            </w:pPr>
            <w:r w:rsidRPr="003E16DA">
              <w:rPr>
                <w:color w:val="000000"/>
                <w:sz w:val="22"/>
                <w:szCs w:val="22"/>
              </w:rPr>
              <w:t> </w:t>
            </w:r>
          </w:p>
        </w:tc>
        <w:tc>
          <w:tcPr>
            <w:tcW w:w="1160" w:type="dxa"/>
            <w:tcBorders>
              <w:top w:val="nil"/>
              <w:left w:val="nil"/>
              <w:bottom w:val="single" w:color="auto" w:sz="4" w:space="0"/>
              <w:right w:val="single" w:color="auto" w:sz="4" w:space="0"/>
            </w:tcBorders>
            <w:shd w:val="clear" w:color="auto" w:fill="auto"/>
            <w:noWrap/>
            <w:vAlign w:val="bottom"/>
            <w:hideMark/>
          </w:tcPr>
          <w:p w:rsidRPr="003E16DA" w:rsidR="00767387" w:rsidP="00955E96" w:rsidRDefault="00767387" w14:paraId="5FE90134" w14:textId="77777777">
            <w:pPr>
              <w:widowControl/>
              <w:autoSpaceDE/>
              <w:autoSpaceDN/>
              <w:adjustRightInd/>
              <w:jc w:val="right"/>
              <w:rPr>
                <w:color w:val="000000"/>
                <w:sz w:val="22"/>
                <w:szCs w:val="22"/>
              </w:rPr>
            </w:pPr>
            <w:r w:rsidRPr="003E16DA">
              <w:rPr>
                <w:color w:val="000000"/>
                <w:sz w:val="22"/>
                <w:szCs w:val="22"/>
              </w:rPr>
              <w:t>200</w:t>
            </w:r>
          </w:p>
        </w:tc>
        <w:tc>
          <w:tcPr>
            <w:tcW w:w="1040" w:type="dxa"/>
            <w:tcBorders>
              <w:top w:val="nil"/>
              <w:left w:val="nil"/>
              <w:bottom w:val="single" w:color="auto" w:sz="4" w:space="0"/>
              <w:right w:val="single" w:color="auto" w:sz="4" w:space="0"/>
            </w:tcBorders>
            <w:shd w:val="clear" w:color="auto" w:fill="auto"/>
            <w:noWrap/>
            <w:vAlign w:val="bottom"/>
            <w:hideMark/>
          </w:tcPr>
          <w:p w:rsidRPr="003E16DA" w:rsidR="00767387" w:rsidP="00955E96" w:rsidRDefault="00767387" w14:paraId="08E00747" w14:textId="77777777">
            <w:pPr>
              <w:widowControl/>
              <w:autoSpaceDE/>
              <w:autoSpaceDN/>
              <w:adjustRightInd/>
              <w:rPr>
                <w:color w:val="000000"/>
                <w:sz w:val="22"/>
                <w:szCs w:val="22"/>
              </w:rPr>
            </w:pPr>
            <w:r w:rsidRPr="003E16DA">
              <w:rPr>
                <w:color w:val="000000"/>
                <w:sz w:val="22"/>
                <w:szCs w:val="22"/>
              </w:rPr>
              <w:t> </w:t>
            </w:r>
          </w:p>
        </w:tc>
        <w:tc>
          <w:tcPr>
            <w:tcW w:w="1040" w:type="dxa"/>
            <w:tcBorders>
              <w:top w:val="nil"/>
              <w:left w:val="nil"/>
              <w:bottom w:val="single" w:color="auto" w:sz="4" w:space="0"/>
              <w:right w:val="single" w:color="auto" w:sz="4" w:space="0"/>
            </w:tcBorders>
            <w:shd w:val="clear" w:color="auto" w:fill="auto"/>
            <w:noWrap/>
            <w:vAlign w:val="bottom"/>
            <w:hideMark/>
          </w:tcPr>
          <w:p w:rsidRPr="003E16DA" w:rsidR="00767387" w:rsidP="00955E96" w:rsidRDefault="00767387" w14:paraId="1583EB0A" w14:textId="77777777">
            <w:pPr>
              <w:widowControl/>
              <w:autoSpaceDE/>
              <w:autoSpaceDN/>
              <w:adjustRightInd/>
              <w:jc w:val="right"/>
              <w:rPr>
                <w:color w:val="000000"/>
                <w:sz w:val="22"/>
                <w:szCs w:val="22"/>
              </w:rPr>
            </w:pPr>
            <w:r w:rsidRPr="003E16DA">
              <w:rPr>
                <w:color w:val="000000"/>
                <w:sz w:val="22"/>
                <w:szCs w:val="22"/>
              </w:rPr>
              <w:t>50</w:t>
            </w:r>
          </w:p>
        </w:tc>
      </w:tr>
    </w:tbl>
    <w:p w:rsidRPr="00D645BA" w:rsidR="00767387" w:rsidP="00767387" w:rsidRDefault="00767387" w14:paraId="29178B42" w14:textId="77777777">
      <w:pPr>
        <w:ind w:left="1080"/>
        <w:rPr>
          <w:sz w:val="22"/>
          <w:szCs w:val="22"/>
        </w:rPr>
      </w:pPr>
    </w:p>
    <w:tbl>
      <w:tblPr>
        <w:tblW w:w="6280" w:type="dxa"/>
        <w:tblInd w:w="108" w:type="dxa"/>
        <w:tblLook w:val="04A0" w:firstRow="1" w:lastRow="0" w:firstColumn="1" w:lastColumn="0" w:noHBand="0" w:noVBand="1"/>
      </w:tblPr>
      <w:tblGrid>
        <w:gridCol w:w="2280"/>
        <w:gridCol w:w="1317"/>
        <w:gridCol w:w="926"/>
        <w:gridCol w:w="1767"/>
      </w:tblGrid>
      <w:tr w:rsidRPr="00B02611" w:rsidR="00767387" w:rsidTr="00955E96" w14:paraId="0AFAEB17" w14:textId="77777777">
        <w:trPr>
          <w:trHeight w:val="685"/>
        </w:trPr>
        <w:tc>
          <w:tcPr>
            <w:tcW w:w="2280" w:type="dxa"/>
            <w:tcBorders>
              <w:top w:val="nil"/>
              <w:left w:val="nil"/>
              <w:bottom w:val="nil"/>
              <w:right w:val="nil"/>
            </w:tcBorders>
            <w:shd w:val="clear" w:color="auto" w:fill="auto"/>
            <w:noWrap/>
            <w:vAlign w:val="bottom"/>
            <w:hideMark/>
          </w:tcPr>
          <w:p w:rsidRPr="00B02611" w:rsidR="00767387" w:rsidP="00955E96" w:rsidRDefault="00767387" w14:paraId="074636AD" w14:textId="77777777">
            <w:pPr>
              <w:widowControl/>
              <w:autoSpaceDE/>
              <w:autoSpaceDN/>
              <w:adjustRightInd/>
              <w:rPr>
                <w:rFonts w:ascii="Times New Roman" w:hAnsi="Times New Roman" w:cs="Times New Roman"/>
                <w:sz w:val="20"/>
                <w:szCs w:val="20"/>
              </w:rPr>
            </w:pPr>
          </w:p>
        </w:tc>
        <w:tc>
          <w:tcPr>
            <w:tcW w:w="4000" w:type="dxa"/>
            <w:gridSpan w:val="3"/>
            <w:tcBorders>
              <w:top w:val="single" w:color="auto" w:sz="4" w:space="0"/>
              <w:left w:val="single" w:color="auto" w:sz="4" w:space="0"/>
              <w:bottom w:val="single" w:color="auto" w:sz="4" w:space="0"/>
              <w:right w:val="single" w:color="auto" w:sz="4" w:space="0"/>
            </w:tcBorders>
            <w:shd w:val="clear" w:color="auto" w:fill="auto"/>
            <w:vAlign w:val="bottom"/>
            <w:hideMark/>
          </w:tcPr>
          <w:p w:rsidRPr="00B02611" w:rsidR="00767387" w:rsidP="00955E96" w:rsidRDefault="00767387" w14:paraId="2BAC45B5" w14:textId="77777777">
            <w:pPr>
              <w:widowControl/>
              <w:autoSpaceDE/>
              <w:autoSpaceDN/>
              <w:adjustRightInd/>
              <w:jc w:val="center"/>
              <w:rPr>
                <w:color w:val="000000"/>
                <w:sz w:val="22"/>
                <w:szCs w:val="22"/>
              </w:rPr>
            </w:pPr>
            <w:r w:rsidRPr="00B02611">
              <w:rPr>
                <w:color w:val="000000"/>
                <w:sz w:val="22"/>
                <w:szCs w:val="22"/>
              </w:rPr>
              <w:t>Table 1. Total Annual Burden and Responses</w:t>
            </w:r>
          </w:p>
        </w:tc>
      </w:tr>
      <w:tr w:rsidRPr="00B02611" w:rsidR="00767387" w:rsidTr="00955E96" w14:paraId="7A06B282" w14:textId="77777777">
        <w:trPr>
          <w:trHeight w:val="280"/>
        </w:trPr>
        <w:tc>
          <w:tcPr>
            <w:tcW w:w="2280" w:type="dxa"/>
            <w:tcBorders>
              <w:top w:val="nil"/>
              <w:left w:val="nil"/>
              <w:bottom w:val="nil"/>
              <w:right w:val="nil"/>
            </w:tcBorders>
            <w:shd w:val="clear" w:color="auto" w:fill="auto"/>
            <w:noWrap/>
            <w:vAlign w:val="bottom"/>
            <w:hideMark/>
          </w:tcPr>
          <w:p w:rsidRPr="00B02611" w:rsidR="00767387" w:rsidP="00955E96" w:rsidRDefault="00767387" w14:paraId="57198145" w14:textId="77777777">
            <w:pPr>
              <w:widowControl/>
              <w:autoSpaceDE/>
              <w:autoSpaceDN/>
              <w:adjustRightInd/>
              <w:jc w:val="center"/>
              <w:rPr>
                <w:color w:val="000000"/>
                <w:sz w:val="22"/>
                <w:szCs w:val="22"/>
              </w:rPr>
            </w:pPr>
          </w:p>
        </w:tc>
        <w:tc>
          <w:tcPr>
            <w:tcW w:w="1381" w:type="dxa"/>
            <w:tcBorders>
              <w:top w:val="nil"/>
              <w:left w:val="single" w:color="auto" w:sz="4" w:space="0"/>
              <w:bottom w:val="single" w:color="auto" w:sz="4" w:space="0"/>
              <w:right w:val="single" w:color="auto" w:sz="4" w:space="0"/>
            </w:tcBorders>
            <w:shd w:val="clear" w:color="auto" w:fill="auto"/>
            <w:vAlign w:val="bottom"/>
            <w:hideMark/>
          </w:tcPr>
          <w:p w:rsidRPr="00B02611" w:rsidR="00767387" w:rsidP="00955E96" w:rsidRDefault="00767387" w14:paraId="08812733" w14:textId="77777777">
            <w:pPr>
              <w:widowControl/>
              <w:autoSpaceDE/>
              <w:autoSpaceDN/>
              <w:adjustRightInd/>
              <w:rPr>
                <w:color w:val="000000"/>
                <w:sz w:val="22"/>
                <w:szCs w:val="22"/>
              </w:rPr>
            </w:pPr>
            <w:r w:rsidRPr="00B02611">
              <w:rPr>
                <w:color w:val="000000"/>
                <w:sz w:val="22"/>
                <w:szCs w:val="22"/>
              </w:rPr>
              <w:t>Responses</w:t>
            </w:r>
          </w:p>
        </w:tc>
        <w:tc>
          <w:tcPr>
            <w:tcW w:w="852" w:type="dxa"/>
            <w:tcBorders>
              <w:top w:val="nil"/>
              <w:left w:val="nil"/>
              <w:bottom w:val="single" w:color="auto" w:sz="4" w:space="0"/>
              <w:right w:val="single" w:color="auto" w:sz="4" w:space="0"/>
            </w:tcBorders>
            <w:shd w:val="clear" w:color="auto" w:fill="auto"/>
            <w:noWrap/>
            <w:vAlign w:val="bottom"/>
            <w:hideMark/>
          </w:tcPr>
          <w:p w:rsidRPr="00B02611" w:rsidR="00767387" w:rsidP="00955E96" w:rsidRDefault="00767387" w14:paraId="5DC97357" w14:textId="77777777">
            <w:pPr>
              <w:widowControl/>
              <w:autoSpaceDE/>
              <w:autoSpaceDN/>
              <w:adjustRightInd/>
              <w:rPr>
                <w:color w:val="000000"/>
                <w:sz w:val="22"/>
                <w:szCs w:val="22"/>
              </w:rPr>
            </w:pPr>
            <w:r w:rsidRPr="00B02611">
              <w:rPr>
                <w:color w:val="000000"/>
                <w:sz w:val="22"/>
                <w:szCs w:val="22"/>
              </w:rPr>
              <w:t>Burden</w:t>
            </w:r>
          </w:p>
        </w:tc>
        <w:tc>
          <w:tcPr>
            <w:tcW w:w="1767" w:type="dxa"/>
            <w:tcBorders>
              <w:top w:val="nil"/>
              <w:left w:val="nil"/>
              <w:bottom w:val="single" w:color="auto" w:sz="4" w:space="0"/>
              <w:right w:val="single" w:color="auto" w:sz="4" w:space="0"/>
            </w:tcBorders>
            <w:shd w:val="clear" w:color="auto" w:fill="auto"/>
            <w:noWrap/>
            <w:vAlign w:val="bottom"/>
            <w:hideMark/>
          </w:tcPr>
          <w:p w:rsidRPr="00B02611" w:rsidR="00767387" w:rsidP="00955E96" w:rsidRDefault="00767387" w14:paraId="145ACA11" w14:textId="77777777">
            <w:pPr>
              <w:widowControl/>
              <w:autoSpaceDE/>
              <w:autoSpaceDN/>
              <w:adjustRightInd/>
              <w:rPr>
                <w:color w:val="000000"/>
                <w:sz w:val="22"/>
                <w:szCs w:val="22"/>
              </w:rPr>
            </w:pPr>
            <w:r w:rsidRPr="00B02611">
              <w:rPr>
                <w:color w:val="000000"/>
                <w:sz w:val="22"/>
                <w:szCs w:val="22"/>
              </w:rPr>
              <w:t>Cost at $288/</w:t>
            </w:r>
            <w:proofErr w:type="spellStart"/>
            <w:r w:rsidRPr="00B02611">
              <w:rPr>
                <w:color w:val="000000"/>
                <w:sz w:val="22"/>
                <w:szCs w:val="22"/>
              </w:rPr>
              <w:t>hr</w:t>
            </w:r>
            <w:proofErr w:type="spellEnd"/>
          </w:p>
        </w:tc>
      </w:tr>
      <w:tr w:rsidRPr="00B02611" w:rsidR="00767387" w:rsidTr="00955E96" w14:paraId="0E2BC8A8" w14:textId="77777777">
        <w:trPr>
          <w:trHeight w:val="280"/>
        </w:trPr>
        <w:tc>
          <w:tcPr>
            <w:tcW w:w="22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02611" w:rsidR="00767387" w:rsidP="00955E96" w:rsidRDefault="00767387" w14:paraId="6DFB183D" w14:textId="77777777">
            <w:pPr>
              <w:widowControl/>
              <w:autoSpaceDE/>
              <w:autoSpaceDN/>
              <w:adjustRightInd/>
              <w:rPr>
                <w:color w:val="000000"/>
                <w:sz w:val="22"/>
                <w:szCs w:val="22"/>
              </w:rPr>
            </w:pPr>
            <w:r w:rsidRPr="00B02611">
              <w:rPr>
                <w:color w:val="000000"/>
                <w:sz w:val="22"/>
                <w:szCs w:val="22"/>
              </w:rPr>
              <w:t>Reporting</w:t>
            </w:r>
          </w:p>
        </w:tc>
        <w:tc>
          <w:tcPr>
            <w:tcW w:w="1381" w:type="dxa"/>
            <w:tcBorders>
              <w:top w:val="nil"/>
              <w:left w:val="nil"/>
              <w:bottom w:val="single" w:color="auto" w:sz="4" w:space="0"/>
              <w:right w:val="single" w:color="auto" w:sz="4" w:space="0"/>
            </w:tcBorders>
            <w:shd w:val="clear" w:color="auto" w:fill="auto"/>
            <w:vAlign w:val="bottom"/>
            <w:hideMark/>
          </w:tcPr>
          <w:p w:rsidRPr="00B02611" w:rsidR="00767387" w:rsidP="00955E96" w:rsidRDefault="00767387" w14:paraId="54DDD578" w14:textId="77777777">
            <w:pPr>
              <w:widowControl/>
              <w:autoSpaceDE/>
              <w:autoSpaceDN/>
              <w:adjustRightInd/>
              <w:jc w:val="right"/>
              <w:rPr>
                <w:color w:val="000000"/>
                <w:sz w:val="22"/>
                <w:szCs w:val="22"/>
              </w:rPr>
            </w:pPr>
            <w:r>
              <w:rPr>
                <w:color w:val="000000"/>
                <w:sz w:val="22"/>
                <w:szCs w:val="22"/>
              </w:rPr>
              <w:t>200</w:t>
            </w:r>
          </w:p>
        </w:tc>
        <w:tc>
          <w:tcPr>
            <w:tcW w:w="852" w:type="dxa"/>
            <w:tcBorders>
              <w:top w:val="nil"/>
              <w:left w:val="nil"/>
              <w:bottom w:val="single" w:color="auto" w:sz="4" w:space="0"/>
              <w:right w:val="single" w:color="auto" w:sz="4" w:space="0"/>
            </w:tcBorders>
            <w:shd w:val="clear" w:color="auto" w:fill="auto"/>
            <w:noWrap/>
            <w:vAlign w:val="bottom"/>
            <w:hideMark/>
          </w:tcPr>
          <w:p w:rsidRPr="00B02611" w:rsidR="00767387" w:rsidP="00955E96" w:rsidRDefault="00767387" w14:paraId="5D53396E" w14:textId="77777777">
            <w:pPr>
              <w:widowControl/>
              <w:autoSpaceDE/>
              <w:autoSpaceDN/>
              <w:adjustRightInd/>
              <w:jc w:val="right"/>
              <w:rPr>
                <w:color w:val="000000"/>
                <w:sz w:val="22"/>
                <w:szCs w:val="22"/>
              </w:rPr>
            </w:pPr>
            <w:r w:rsidRPr="00B02611">
              <w:rPr>
                <w:color w:val="000000"/>
                <w:sz w:val="22"/>
                <w:szCs w:val="22"/>
              </w:rPr>
              <w:t>1</w:t>
            </w:r>
            <w:r>
              <w:rPr>
                <w:color w:val="000000"/>
                <w:sz w:val="22"/>
                <w:szCs w:val="22"/>
              </w:rPr>
              <w:t>0</w:t>
            </w:r>
            <w:r w:rsidRPr="00B02611">
              <w:rPr>
                <w:color w:val="000000"/>
                <w:sz w:val="22"/>
                <w:szCs w:val="22"/>
              </w:rPr>
              <w:t>00</w:t>
            </w:r>
          </w:p>
        </w:tc>
        <w:tc>
          <w:tcPr>
            <w:tcW w:w="1767" w:type="dxa"/>
            <w:tcBorders>
              <w:top w:val="nil"/>
              <w:left w:val="nil"/>
              <w:bottom w:val="single" w:color="auto" w:sz="4" w:space="0"/>
              <w:right w:val="single" w:color="auto" w:sz="4" w:space="0"/>
            </w:tcBorders>
            <w:shd w:val="clear" w:color="auto" w:fill="auto"/>
            <w:noWrap/>
            <w:vAlign w:val="bottom"/>
            <w:hideMark/>
          </w:tcPr>
          <w:p w:rsidRPr="00B02611" w:rsidR="00767387" w:rsidP="00955E96" w:rsidRDefault="00767387" w14:paraId="5CCF0CD2" w14:textId="77777777">
            <w:pPr>
              <w:widowControl/>
              <w:autoSpaceDE/>
              <w:autoSpaceDN/>
              <w:adjustRightInd/>
              <w:jc w:val="right"/>
              <w:rPr>
                <w:color w:val="000000"/>
                <w:sz w:val="22"/>
                <w:szCs w:val="22"/>
              </w:rPr>
            </w:pPr>
            <w:r w:rsidRPr="00B02611">
              <w:rPr>
                <w:color w:val="000000"/>
                <w:sz w:val="22"/>
                <w:szCs w:val="22"/>
              </w:rPr>
              <w:t>$</w:t>
            </w:r>
            <w:r>
              <w:rPr>
                <w:color w:val="000000"/>
                <w:sz w:val="22"/>
                <w:szCs w:val="22"/>
              </w:rPr>
              <w:t>288,000</w:t>
            </w:r>
          </w:p>
        </w:tc>
      </w:tr>
      <w:tr w:rsidRPr="00B02611" w:rsidR="00767387" w:rsidTr="00955E96" w14:paraId="6882EA6F" w14:textId="77777777">
        <w:trPr>
          <w:trHeight w:val="280"/>
        </w:trPr>
        <w:tc>
          <w:tcPr>
            <w:tcW w:w="2280" w:type="dxa"/>
            <w:tcBorders>
              <w:top w:val="nil"/>
              <w:left w:val="single" w:color="auto" w:sz="4" w:space="0"/>
              <w:bottom w:val="single" w:color="auto" w:sz="4" w:space="0"/>
              <w:right w:val="single" w:color="auto" w:sz="4" w:space="0"/>
            </w:tcBorders>
            <w:shd w:val="clear" w:color="auto" w:fill="auto"/>
            <w:noWrap/>
            <w:vAlign w:val="bottom"/>
            <w:hideMark/>
          </w:tcPr>
          <w:p w:rsidRPr="00B02611" w:rsidR="00767387" w:rsidP="00955E96" w:rsidRDefault="00767387" w14:paraId="40BD8BE1" w14:textId="77777777">
            <w:pPr>
              <w:widowControl/>
              <w:autoSpaceDE/>
              <w:autoSpaceDN/>
              <w:adjustRightInd/>
              <w:rPr>
                <w:color w:val="000000"/>
                <w:sz w:val="22"/>
                <w:szCs w:val="22"/>
              </w:rPr>
            </w:pPr>
            <w:r w:rsidRPr="00B02611">
              <w:rPr>
                <w:color w:val="000000"/>
                <w:sz w:val="22"/>
                <w:szCs w:val="22"/>
              </w:rPr>
              <w:t>Recordkeeping</w:t>
            </w:r>
          </w:p>
        </w:tc>
        <w:tc>
          <w:tcPr>
            <w:tcW w:w="1381" w:type="dxa"/>
            <w:tcBorders>
              <w:top w:val="nil"/>
              <w:left w:val="nil"/>
              <w:bottom w:val="single" w:color="auto" w:sz="4" w:space="0"/>
              <w:right w:val="single" w:color="auto" w:sz="4" w:space="0"/>
            </w:tcBorders>
            <w:shd w:val="clear" w:color="auto" w:fill="auto"/>
            <w:vAlign w:val="bottom"/>
            <w:hideMark/>
          </w:tcPr>
          <w:p w:rsidRPr="00B02611" w:rsidR="00767387" w:rsidP="00955E96" w:rsidRDefault="00767387" w14:paraId="42AC0F14" w14:textId="77777777">
            <w:pPr>
              <w:widowControl/>
              <w:autoSpaceDE/>
              <w:autoSpaceDN/>
              <w:adjustRightInd/>
              <w:jc w:val="right"/>
              <w:rPr>
                <w:color w:val="000000"/>
                <w:sz w:val="22"/>
                <w:szCs w:val="22"/>
              </w:rPr>
            </w:pPr>
            <w:r w:rsidRPr="00B02611">
              <w:rPr>
                <w:color w:val="000000"/>
                <w:sz w:val="22"/>
                <w:szCs w:val="22"/>
              </w:rPr>
              <w:t>200</w:t>
            </w:r>
          </w:p>
        </w:tc>
        <w:tc>
          <w:tcPr>
            <w:tcW w:w="852" w:type="dxa"/>
            <w:tcBorders>
              <w:top w:val="nil"/>
              <w:left w:val="nil"/>
              <w:bottom w:val="single" w:color="auto" w:sz="4" w:space="0"/>
              <w:right w:val="single" w:color="auto" w:sz="4" w:space="0"/>
            </w:tcBorders>
            <w:shd w:val="clear" w:color="auto" w:fill="auto"/>
            <w:noWrap/>
            <w:vAlign w:val="bottom"/>
            <w:hideMark/>
          </w:tcPr>
          <w:p w:rsidRPr="00B02611" w:rsidR="00767387" w:rsidP="00955E96" w:rsidRDefault="00767387" w14:paraId="5DCB5206" w14:textId="77777777">
            <w:pPr>
              <w:widowControl/>
              <w:autoSpaceDE/>
              <w:autoSpaceDN/>
              <w:adjustRightInd/>
              <w:jc w:val="right"/>
              <w:rPr>
                <w:color w:val="000000"/>
                <w:sz w:val="22"/>
                <w:szCs w:val="22"/>
              </w:rPr>
            </w:pPr>
            <w:r w:rsidRPr="00B02611">
              <w:rPr>
                <w:color w:val="000000"/>
                <w:sz w:val="22"/>
                <w:szCs w:val="22"/>
              </w:rPr>
              <w:t>1</w:t>
            </w:r>
            <w:r>
              <w:rPr>
                <w:color w:val="000000"/>
                <w:sz w:val="22"/>
                <w:szCs w:val="22"/>
              </w:rPr>
              <w:t>0</w:t>
            </w:r>
            <w:r w:rsidRPr="00B02611">
              <w:rPr>
                <w:color w:val="000000"/>
                <w:sz w:val="22"/>
                <w:szCs w:val="22"/>
              </w:rPr>
              <w:t>00</w:t>
            </w:r>
          </w:p>
        </w:tc>
        <w:tc>
          <w:tcPr>
            <w:tcW w:w="1767" w:type="dxa"/>
            <w:tcBorders>
              <w:top w:val="nil"/>
              <w:left w:val="nil"/>
              <w:bottom w:val="single" w:color="auto" w:sz="4" w:space="0"/>
              <w:right w:val="single" w:color="auto" w:sz="4" w:space="0"/>
            </w:tcBorders>
            <w:shd w:val="clear" w:color="auto" w:fill="auto"/>
            <w:noWrap/>
            <w:vAlign w:val="bottom"/>
            <w:hideMark/>
          </w:tcPr>
          <w:p w:rsidRPr="00B02611" w:rsidR="00767387" w:rsidP="00955E96" w:rsidRDefault="00767387" w14:paraId="5C168F43" w14:textId="77777777">
            <w:pPr>
              <w:widowControl/>
              <w:autoSpaceDE/>
              <w:autoSpaceDN/>
              <w:adjustRightInd/>
              <w:jc w:val="right"/>
              <w:rPr>
                <w:color w:val="000000"/>
                <w:sz w:val="22"/>
                <w:szCs w:val="22"/>
              </w:rPr>
            </w:pPr>
            <w:r w:rsidRPr="00B02611">
              <w:rPr>
                <w:color w:val="000000"/>
                <w:sz w:val="22"/>
                <w:szCs w:val="22"/>
              </w:rPr>
              <w:t>$</w:t>
            </w:r>
            <w:r>
              <w:rPr>
                <w:color w:val="000000"/>
                <w:sz w:val="22"/>
                <w:szCs w:val="22"/>
              </w:rPr>
              <w:t>288,000</w:t>
            </w:r>
          </w:p>
        </w:tc>
      </w:tr>
      <w:tr w:rsidRPr="00B02611" w:rsidR="00767387" w:rsidTr="00955E96" w14:paraId="542959BB" w14:textId="77777777">
        <w:trPr>
          <w:trHeight w:val="280"/>
        </w:trPr>
        <w:tc>
          <w:tcPr>
            <w:tcW w:w="2280" w:type="dxa"/>
            <w:tcBorders>
              <w:top w:val="nil"/>
              <w:left w:val="single" w:color="auto" w:sz="4" w:space="0"/>
              <w:bottom w:val="single" w:color="auto" w:sz="4" w:space="0"/>
              <w:right w:val="single" w:color="auto" w:sz="4" w:space="0"/>
            </w:tcBorders>
            <w:shd w:val="clear" w:color="auto" w:fill="auto"/>
            <w:noWrap/>
            <w:vAlign w:val="bottom"/>
            <w:hideMark/>
          </w:tcPr>
          <w:p w:rsidRPr="00B02611" w:rsidR="00767387" w:rsidP="00955E96" w:rsidRDefault="00767387" w14:paraId="01689026" w14:textId="77777777">
            <w:pPr>
              <w:widowControl/>
              <w:autoSpaceDE/>
              <w:autoSpaceDN/>
              <w:adjustRightInd/>
              <w:rPr>
                <w:color w:val="000000"/>
                <w:sz w:val="22"/>
                <w:szCs w:val="22"/>
              </w:rPr>
            </w:pPr>
            <w:r w:rsidRPr="00B02611">
              <w:rPr>
                <w:color w:val="000000"/>
                <w:sz w:val="22"/>
                <w:szCs w:val="22"/>
              </w:rPr>
              <w:t>Third Party Disclosure</w:t>
            </w:r>
          </w:p>
        </w:tc>
        <w:tc>
          <w:tcPr>
            <w:tcW w:w="1381" w:type="dxa"/>
            <w:tcBorders>
              <w:top w:val="nil"/>
              <w:left w:val="nil"/>
              <w:bottom w:val="single" w:color="auto" w:sz="4" w:space="0"/>
              <w:right w:val="single" w:color="auto" w:sz="4" w:space="0"/>
            </w:tcBorders>
            <w:shd w:val="clear" w:color="auto" w:fill="auto"/>
            <w:vAlign w:val="bottom"/>
            <w:hideMark/>
          </w:tcPr>
          <w:p w:rsidRPr="00B02611" w:rsidR="00767387" w:rsidP="00955E96" w:rsidRDefault="00767387" w14:paraId="236EC3E5" w14:textId="77777777">
            <w:pPr>
              <w:widowControl/>
              <w:autoSpaceDE/>
              <w:autoSpaceDN/>
              <w:adjustRightInd/>
              <w:jc w:val="right"/>
              <w:rPr>
                <w:color w:val="000000"/>
                <w:sz w:val="22"/>
                <w:szCs w:val="22"/>
              </w:rPr>
            </w:pPr>
            <w:r w:rsidRPr="00B02611">
              <w:rPr>
                <w:color w:val="000000"/>
                <w:sz w:val="22"/>
                <w:szCs w:val="22"/>
              </w:rPr>
              <w:t>200</w:t>
            </w:r>
          </w:p>
        </w:tc>
        <w:tc>
          <w:tcPr>
            <w:tcW w:w="852" w:type="dxa"/>
            <w:tcBorders>
              <w:top w:val="nil"/>
              <w:left w:val="nil"/>
              <w:bottom w:val="single" w:color="auto" w:sz="4" w:space="0"/>
              <w:right w:val="single" w:color="auto" w:sz="4" w:space="0"/>
            </w:tcBorders>
            <w:shd w:val="clear" w:color="auto" w:fill="auto"/>
            <w:noWrap/>
            <w:vAlign w:val="bottom"/>
            <w:hideMark/>
          </w:tcPr>
          <w:p w:rsidRPr="00B02611" w:rsidR="00767387" w:rsidP="00955E96" w:rsidRDefault="00767387" w14:paraId="6B5DE39C" w14:textId="77777777">
            <w:pPr>
              <w:widowControl/>
              <w:autoSpaceDE/>
              <w:autoSpaceDN/>
              <w:adjustRightInd/>
              <w:jc w:val="right"/>
              <w:rPr>
                <w:color w:val="000000"/>
                <w:sz w:val="22"/>
                <w:szCs w:val="22"/>
              </w:rPr>
            </w:pPr>
            <w:r w:rsidRPr="00B02611">
              <w:rPr>
                <w:color w:val="000000"/>
                <w:sz w:val="22"/>
                <w:szCs w:val="22"/>
              </w:rPr>
              <w:t>50</w:t>
            </w:r>
          </w:p>
        </w:tc>
        <w:tc>
          <w:tcPr>
            <w:tcW w:w="1767" w:type="dxa"/>
            <w:tcBorders>
              <w:top w:val="nil"/>
              <w:left w:val="nil"/>
              <w:bottom w:val="single" w:color="auto" w:sz="4" w:space="0"/>
              <w:right w:val="single" w:color="auto" w:sz="4" w:space="0"/>
            </w:tcBorders>
            <w:shd w:val="clear" w:color="auto" w:fill="auto"/>
            <w:noWrap/>
            <w:vAlign w:val="bottom"/>
            <w:hideMark/>
          </w:tcPr>
          <w:p w:rsidRPr="00B02611" w:rsidR="00767387" w:rsidP="00955E96" w:rsidRDefault="00767387" w14:paraId="0BF1BE97" w14:textId="77777777">
            <w:pPr>
              <w:widowControl/>
              <w:autoSpaceDE/>
              <w:autoSpaceDN/>
              <w:adjustRightInd/>
              <w:jc w:val="right"/>
              <w:rPr>
                <w:color w:val="000000"/>
                <w:sz w:val="22"/>
                <w:szCs w:val="22"/>
              </w:rPr>
            </w:pPr>
            <w:r w:rsidRPr="00B02611">
              <w:rPr>
                <w:color w:val="000000"/>
                <w:sz w:val="22"/>
                <w:szCs w:val="22"/>
              </w:rPr>
              <w:t>$14,400</w:t>
            </w:r>
          </w:p>
        </w:tc>
      </w:tr>
      <w:tr w:rsidRPr="00B02611" w:rsidR="00767387" w:rsidTr="00955E96" w14:paraId="5D8EEA71" w14:textId="77777777">
        <w:trPr>
          <w:trHeight w:val="280"/>
        </w:trPr>
        <w:tc>
          <w:tcPr>
            <w:tcW w:w="2280" w:type="dxa"/>
            <w:tcBorders>
              <w:top w:val="nil"/>
              <w:left w:val="single" w:color="auto" w:sz="4" w:space="0"/>
              <w:bottom w:val="single" w:color="auto" w:sz="4" w:space="0"/>
              <w:right w:val="single" w:color="auto" w:sz="4" w:space="0"/>
            </w:tcBorders>
            <w:shd w:val="clear" w:color="auto" w:fill="auto"/>
            <w:noWrap/>
            <w:vAlign w:val="bottom"/>
            <w:hideMark/>
          </w:tcPr>
          <w:p w:rsidRPr="00B02611" w:rsidR="00767387" w:rsidP="00955E96" w:rsidRDefault="00767387" w14:paraId="51644196" w14:textId="77777777">
            <w:pPr>
              <w:widowControl/>
              <w:autoSpaceDE/>
              <w:autoSpaceDN/>
              <w:adjustRightInd/>
              <w:rPr>
                <w:color w:val="000000"/>
                <w:sz w:val="22"/>
                <w:szCs w:val="22"/>
              </w:rPr>
            </w:pPr>
            <w:r w:rsidRPr="00B02611">
              <w:rPr>
                <w:color w:val="000000"/>
                <w:sz w:val="22"/>
                <w:szCs w:val="22"/>
              </w:rPr>
              <w:t>Total</w:t>
            </w:r>
          </w:p>
        </w:tc>
        <w:tc>
          <w:tcPr>
            <w:tcW w:w="1381" w:type="dxa"/>
            <w:tcBorders>
              <w:top w:val="nil"/>
              <w:left w:val="nil"/>
              <w:bottom w:val="single" w:color="auto" w:sz="4" w:space="0"/>
              <w:right w:val="single" w:color="auto" w:sz="4" w:space="0"/>
            </w:tcBorders>
            <w:shd w:val="clear" w:color="auto" w:fill="auto"/>
            <w:vAlign w:val="bottom"/>
            <w:hideMark/>
          </w:tcPr>
          <w:p w:rsidRPr="00B02611" w:rsidR="00767387" w:rsidP="00955E96" w:rsidRDefault="00767387" w14:paraId="0E34EB7D" w14:textId="77777777">
            <w:pPr>
              <w:widowControl/>
              <w:autoSpaceDE/>
              <w:autoSpaceDN/>
              <w:adjustRightInd/>
              <w:jc w:val="right"/>
              <w:rPr>
                <w:color w:val="000000"/>
                <w:sz w:val="22"/>
                <w:szCs w:val="22"/>
              </w:rPr>
            </w:pPr>
            <w:r>
              <w:rPr>
                <w:color w:val="000000"/>
                <w:sz w:val="22"/>
                <w:szCs w:val="22"/>
              </w:rPr>
              <w:t>600</w:t>
            </w:r>
          </w:p>
        </w:tc>
        <w:tc>
          <w:tcPr>
            <w:tcW w:w="852" w:type="dxa"/>
            <w:tcBorders>
              <w:top w:val="nil"/>
              <w:left w:val="nil"/>
              <w:bottom w:val="single" w:color="auto" w:sz="4" w:space="0"/>
              <w:right w:val="single" w:color="auto" w:sz="4" w:space="0"/>
            </w:tcBorders>
            <w:shd w:val="clear" w:color="auto" w:fill="auto"/>
            <w:noWrap/>
            <w:vAlign w:val="bottom"/>
            <w:hideMark/>
          </w:tcPr>
          <w:p w:rsidRPr="00B02611" w:rsidR="00767387" w:rsidP="00955E96" w:rsidRDefault="00767387" w14:paraId="1F3AE5A4" w14:textId="77777777">
            <w:pPr>
              <w:widowControl/>
              <w:autoSpaceDE/>
              <w:autoSpaceDN/>
              <w:adjustRightInd/>
              <w:jc w:val="right"/>
              <w:rPr>
                <w:color w:val="000000"/>
                <w:sz w:val="22"/>
                <w:szCs w:val="22"/>
              </w:rPr>
            </w:pPr>
            <w:r>
              <w:rPr>
                <w:color w:val="000000"/>
                <w:sz w:val="22"/>
                <w:szCs w:val="22"/>
              </w:rPr>
              <w:t>20</w:t>
            </w:r>
            <w:r w:rsidRPr="00B02611">
              <w:rPr>
                <w:color w:val="000000"/>
                <w:sz w:val="22"/>
                <w:szCs w:val="22"/>
              </w:rPr>
              <w:t>50</w:t>
            </w:r>
          </w:p>
        </w:tc>
        <w:tc>
          <w:tcPr>
            <w:tcW w:w="1767" w:type="dxa"/>
            <w:tcBorders>
              <w:top w:val="nil"/>
              <w:left w:val="nil"/>
              <w:bottom w:val="single" w:color="auto" w:sz="4" w:space="0"/>
              <w:right w:val="single" w:color="auto" w:sz="4" w:space="0"/>
            </w:tcBorders>
            <w:shd w:val="clear" w:color="auto" w:fill="auto"/>
            <w:noWrap/>
            <w:vAlign w:val="bottom"/>
            <w:hideMark/>
          </w:tcPr>
          <w:p w:rsidRPr="00B02611" w:rsidR="00767387" w:rsidP="00955E96" w:rsidRDefault="00767387" w14:paraId="31888624" w14:textId="77777777">
            <w:pPr>
              <w:widowControl/>
              <w:autoSpaceDE/>
              <w:autoSpaceDN/>
              <w:adjustRightInd/>
              <w:jc w:val="right"/>
              <w:rPr>
                <w:color w:val="000000"/>
                <w:sz w:val="22"/>
                <w:szCs w:val="22"/>
              </w:rPr>
            </w:pPr>
            <w:r w:rsidRPr="00B02611">
              <w:rPr>
                <w:color w:val="000000"/>
                <w:sz w:val="22"/>
                <w:szCs w:val="22"/>
              </w:rPr>
              <w:t>$</w:t>
            </w:r>
            <w:r>
              <w:rPr>
                <w:color w:val="000000"/>
                <w:sz w:val="22"/>
                <w:szCs w:val="22"/>
              </w:rPr>
              <w:t>590,400</w:t>
            </w:r>
          </w:p>
        </w:tc>
      </w:tr>
    </w:tbl>
    <w:p w:rsidR="00767387" w:rsidP="00767387" w:rsidRDefault="00767387" w14:paraId="4EC4E94F" w14:textId="77777777">
      <w:pPr>
        <w:pStyle w:val="BodyText"/>
        <w:kinsoku w:val="0"/>
        <w:overflowPunct w:val="0"/>
        <w:spacing w:before="10"/>
      </w:pPr>
      <w:r>
        <w:t xml:space="preserve">  </w:t>
      </w:r>
    </w:p>
    <w:p w:rsidR="00BE0886" w:rsidP="00D230CD" w:rsidRDefault="00974EE7" w14:paraId="1BC6D036" w14:textId="77777777">
      <w:pPr>
        <w:pStyle w:val="BodyText"/>
        <w:kinsoku w:val="0"/>
        <w:overflowPunct w:val="0"/>
        <w:spacing w:before="10"/>
        <w:rPr>
          <w:sz w:val="21"/>
          <w:szCs w:val="21"/>
        </w:rPr>
      </w:pPr>
      <w:r>
        <w:t xml:space="preserve">  </w:t>
      </w:r>
    </w:p>
    <w:p w:rsidR="00BE0886" w:rsidP="00801746" w:rsidRDefault="00D230CD" w14:paraId="352E7A7D" w14:textId="77777777">
      <w:pPr>
        <w:pStyle w:val="ListParagraph"/>
        <w:tabs>
          <w:tab w:val="left" w:pos="480"/>
        </w:tabs>
        <w:kinsoku w:val="0"/>
        <w:overflowPunct w:val="0"/>
        <w:ind w:left="0" w:firstLine="540"/>
        <w:rPr>
          <w:spacing w:val="-3"/>
          <w:sz w:val="22"/>
          <w:szCs w:val="22"/>
        </w:rPr>
      </w:pPr>
      <w:r w:rsidRPr="00801746">
        <w:rPr>
          <w:spacing w:val="-3"/>
          <w:sz w:val="22"/>
        </w:rPr>
        <w:lastRenderedPageBreak/>
        <w:t>13.</w:t>
      </w:r>
      <w:r>
        <w:rPr>
          <w:spacing w:val="-3"/>
          <w:sz w:val="22"/>
          <w:szCs w:val="22"/>
          <w:u w:val="single"/>
        </w:rPr>
        <w:t xml:space="preserve"> </w:t>
      </w:r>
      <w:r w:rsidR="00BE0886">
        <w:rPr>
          <w:spacing w:val="-3"/>
          <w:sz w:val="22"/>
          <w:szCs w:val="22"/>
          <w:u w:val="single"/>
        </w:rPr>
        <w:t xml:space="preserve">Estimate </w:t>
      </w:r>
      <w:r w:rsidR="00BE0886">
        <w:rPr>
          <w:sz w:val="22"/>
          <w:szCs w:val="22"/>
          <w:u w:val="single"/>
        </w:rPr>
        <w:t>of Other Additional</w:t>
      </w:r>
      <w:r w:rsidR="00BE0886">
        <w:rPr>
          <w:spacing w:val="18"/>
          <w:sz w:val="22"/>
          <w:szCs w:val="22"/>
          <w:u w:val="single"/>
        </w:rPr>
        <w:t xml:space="preserve"> </w:t>
      </w:r>
      <w:r w:rsidR="00BE0886">
        <w:rPr>
          <w:sz w:val="22"/>
          <w:szCs w:val="22"/>
          <w:u w:val="single"/>
        </w:rPr>
        <w:t>Costs</w:t>
      </w:r>
    </w:p>
    <w:p w:rsidR="00BE0886" w:rsidP="00D230CD" w:rsidRDefault="00BE0886" w14:paraId="531DE334" w14:textId="77777777">
      <w:pPr>
        <w:pStyle w:val="BodyText"/>
        <w:kinsoku w:val="0"/>
        <w:overflowPunct w:val="0"/>
        <w:spacing w:before="10"/>
        <w:rPr>
          <w:sz w:val="13"/>
          <w:szCs w:val="13"/>
        </w:rPr>
      </w:pPr>
    </w:p>
    <w:p w:rsidR="00BE0886" w:rsidP="00801746" w:rsidRDefault="00BE0886" w14:paraId="3CA21AE8" w14:textId="3B892DB6">
      <w:pPr>
        <w:pStyle w:val="BodyText"/>
        <w:kinsoku w:val="0"/>
        <w:overflowPunct w:val="0"/>
        <w:spacing w:before="93"/>
        <w:ind w:left="1080" w:right="227"/>
        <w:rPr>
          <w:spacing w:val="2"/>
          <w:w w:val="105"/>
        </w:rPr>
      </w:pPr>
      <w:r>
        <w:rPr>
          <w:w w:val="105"/>
        </w:rPr>
        <w:t>The quantity of records to be maintained is roughly proportional to the</w:t>
      </w:r>
      <w:r w:rsidR="00D645BA">
        <w:rPr>
          <w:w w:val="105"/>
        </w:rPr>
        <w:t xml:space="preserve"> </w:t>
      </w:r>
      <w:r>
        <w:rPr>
          <w:w w:val="105"/>
        </w:rPr>
        <w:t xml:space="preserve">recordkeeping burden. Based on the number of pages maintained for a typical </w:t>
      </w:r>
      <w:r>
        <w:rPr>
          <w:spacing w:val="3"/>
          <w:w w:val="105"/>
        </w:rPr>
        <w:t xml:space="preserve">clearance, </w:t>
      </w:r>
      <w:r>
        <w:rPr>
          <w:w w:val="105"/>
        </w:rPr>
        <w:t xml:space="preserve">the records storage cost has been determined to be equal to </w:t>
      </w:r>
      <w:r>
        <w:rPr>
          <w:spacing w:val="-4"/>
          <w:w w:val="105"/>
        </w:rPr>
        <w:t xml:space="preserve">.0004 </w:t>
      </w:r>
      <w:r>
        <w:rPr>
          <w:w w:val="105"/>
        </w:rPr>
        <w:t>times</w:t>
      </w:r>
      <w:r>
        <w:rPr>
          <w:spacing w:val="-18"/>
          <w:w w:val="105"/>
        </w:rPr>
        <w:t xml:space="preserve"> </w:t>
      </w:r>
      <w:r>
        <w:rPr>
          <w:w w:val="105"/>
        </w:rPr>
        <w:t>the</w:t>
      </w:r>
      <w:r>
        <w:rPr>
          <w:spacing w:val="-15"/>
          <w:w w:val="105"/>
        </w:rPr>
        <w:t xml:space="preserve"> </w:t>
      </w:r>
      <w:r>
        <w:rPr>
          <w:w w:val="105"/>
        </w:rPr>
        <w:t>recordkeeping</w:t>
      </w:r>
      <w:r>
        <w:rPr>
          <w:spacing w:val="-4"/>
          <w:w w:val="105"/>
        </w:rPr>
        <w:t xml:space="preserve"> </w:t>
      </w:r>
      <w:r>
        <w:rPr>
          <w:w w:val="105"/>
        </w:rPr>
        <w:t>burden</w:t>
      </w:r>
      <w:r>
        <w:rPr>
          <w:spacing w:val="-17"/>
          <w:w w:val="105"/>
        </w:rPr>
        <w:t xml:space="preserve"> </w:t>
      </w:r>
      <w:r>
        <w:rPr>
          <w:w w:val="105"/>
        </w:rPr>
        <w:t>cost.</w:t>
      </w:r>
      <w:r>
        <w:rPr>
          <w:spacing w:val="19"/>
          <w:w w:val="105"/>
        </w:rPr>
        <w:t xml:space="preserve"> </w:t>
      </w:r>
      <w:r>
        <w:rPr>
          <w:w w:val="105"/>
        </w:rPr>
        <w:t>Therefore,</w:t>
      </w:r>
      <w:r>
        <w:rPr>
          <w:spacing w:val="-33"/>
          <w:w w:val="105"/>
        </w:rPr>
        <w:t xml:space="preserve"> </w:t>
      </w:r>
      <w:r>
        <w:rPr>
          <w:w w:val="105"/>
        </w:rPr>
        <w:t>the</w:t>
      </w:r>
      <w:r>
        <w:rPr>
          <w:spacing w:val="-16"/>
          <w:w w:val="105"/>
        </w:rPr>
        <w:t xml:space="preserve"> </w:t>
      </w:r>
      <w:r>
        <w:rPr>
          <w:w w:val="105"/>
        </w:rPr>
        <w:t>storage</w:t>
      </w:r>
      <w:r>
        <w:rPr>
          <w:spacing w:val="-15"/>
          <w:w w:val="105"/>
        </w:rPr>
        <w:t xml:space="preserve"> </w:t>
      </w:r>
      <w:r>
        <w:rPr>
          <w:w w:val="105"/>
        </w:rPr>
        <w:t>cost</w:t>
      </w:r>
      <w:r>
        <w:rPr>
          <w:spacing w:val="-22"/>
          <w:w w:val="105"/>
        </w:rPr>
        <w:t xml:space="preserve"> </w:t>
      </w:r>
      <w:r>
        <w:rPr>
          <w:w w:val="105"/>
        </w:rPr>
        <w:t>for</w:t>
      </w:r>
      <w:r>
        <w:rPr>
          <w:spacing w:val="-16"/>
          <w:w w:val="105"/>
        </w:rPr>
        <w:t xml:space="preserve"> </w:t>
      </w:r>
      <w:r>
        <w:rPr>
          <w:w w:val="105"/>
        </w:rPr>
        <w:t>this</w:t>
      </w:r>
      <w:r>
        <w:rPr>
          <w:spacing w:val="52"/>
          <w:w w:val="105"/>
        </w:rPr>
        <w:t xml:space="preserve"> </w:t>
      </w:r>
      <w:r>
        <w:rPr>
          <w:w w:val="105"/>
        </w:rPr>
        <w:t>clearance is</w:t>
      </w:r>
      <w:r>
        <w:rPr>
          <w:spacing w:val="-23"/>
          <w:w w:val="105"/>
        </w:rPr>
        <w:t xml:space="preserve"> </w:t>
      </w:r>
      <w:r>
        <w:rPr>
          <w:w w:val="105"/>
        </w:rPr>
        <w:t>$</w:t>
      </w:r>
      <w:r w:rsidR="00151218">
        <w:rPr>
          <w:w w:val="105"/>
        </w:rPr>
        <w:t>69.12</w:t>
      </w:r>
      <w:r w:rsidR="00151218">
        <w:rPr>
          <w:spacing w:val="-13"/>
          <w:w w:val="105"/>
        </w:rPr>
        <w:t xml:space="preserve"> </w:t>
      </w:r>
      <w:r>
        <w:rPr>
          <w:w w:val="105"/>
        </w:rPr>
        <w:t>(600</w:t>
      </w:r>
      <w:r>
        <w:rPr>
          <w:spacing w:val="-17"/>
          <w:w w:val="105"/>
        </w:rPr>
        <w:t xml:space="preserve"> </w:t>
      </w:r>
      <w:r>
        <w:rPr>
          <w:w w:val="105"/>
        </w:rPr>
        <w:t>recordkeeping</w:t>
      </w:r>
      <w:r>
        <w:rPr>
          <w:spacing w:val="1"/>
          <w:w w:val="105"/>
        </w:rPr>
        <w:t xml:space="preserve"> </w:t>
      </w:r>
      <w:r>
        <w:rPr>
          <w:w w:val="105"/>
        </w:rPr>
        <w:t>hours</w:t>
      </w:r>
      <w:r>
        <w:rPr>
          <w:spacing w:val="-22"/>
          <w:w w:val="105"/>
        </w:rPr>
        <w:t xml:space="preserve"> </w:t>
      </w:r>
      <w:r>
        <w:rPr>
          <w:w w:val="105"/>
        </w:rPr>
        <w:t>x</w:t>
      </w:r>
      <w:r>
        <w:rPr>
          <w:spacing w:val="-14"/>
          <w:w w:val="105"/>
        </w:rPr>
        <w:t xml:space="preserve"> </w:t>
      </w:r>
      <w:r>
        <w:rPr>
          <w:w w:val="105"/>
        </w:rPr>
        <w:t>.0004</w:t>
      </w:r>
      <w:r>
        <w:rPr>
          <w:spacing w:val="-22"/>
          <w:w w:val="105"/>
        </w:rPr>
        <w:t xml:space="preserve"> </w:t>
      </w:r>
      <w:r>
        <w:rPr>
          <w:w w:val="105"/>
        </w:rPr>
        <w:t>x</w:t>
      </w:r>
      <w:r>
        <w:rPr>
          <w:spacing w:val="-15"/>
          <w:w w:val="105"/>
        </w:rPr>
        <w:t xml:space="preserve"> </w:t>
      </w:r>
      <w:r>
        <w:rPr>
          <w:spacing w:val="2"/>
          <w:w w:val="105"/>
        </w:rPr>
        <w:t>$</w:t>
      </w:r>
      <w:r w:rsidR="00AA51FC">
        <w:rPr>
          <w:spacing w:val="2"/>
          <w:w w:val="105"/>
        </w:rPr>
        <w:t>288</w:t>
      </w:r>
      <w:r>
        <w:rPr>
          <w:spacing w:val="2"/>
          <w:w w:val="105"/>
        </w:rPr>
        <w:t>).</w:t>
      </w:r>
    </w:p>
    <w:p w:rsidR="00BE0886" w:rsidP="00D230CD" w:rsidRDefault="00BE0886" w14:paraId="31EF0807" w14:textId="77777777">
      <w:pPr>
        <w:pStyle w:val="BodyText"/>
        <w:kinsoku w:val="0"/>
        <w:overflowPunct w:val="0"/>
        <w:ind w:left="839"/>
      </w:pPr>
    </w:p>
    <w:p w:rsidR="0035790F" w:rsidP="00801746" w:rsidRDefault="0035790F" w14:paraId="7CFC652B" w14:textId="77777777">
      <w:pPr>
        <w:pStyle w:val="ListParagraph"/>
        <w:tabs>
          <w:tab w:val="left" w:pos="478"/>
        </w:tabs>
        <w:kinsoku w:val="0"/>
        <w:overflowPunct w:val="0"/>
        <w:ind w:left="540" w:firstLine="0"/>
        <w:rPr>
          <w:sz w:val="22"/>
        </w:rPr>
      </w:pPr>
    </w:p>
    <w:p w:rsidR="00BE0886" w:rsidP="00801746" w:rsidRDefault="00D230CD" w14:paraId="3A13D4E7" w14:textId="754541DB">
      <w:pPr>
        <w:pStyle w:val="ListParagraph"/>
        <w:tabs>
          <w:tab w:val="left" w:pos="478"/>
        </w:tabs>
        <w:kinsoku w:val="0"/>
        <w:overflowPunct w:val="0"/>
        <w:ind w:left="540" w:firstLine="0"/>
        <w:rPr>
          <w:sz w:val="22"/>
          <w:szCs w:val="22"/>
        </w:rPr>
      </w:pPr>
      <w:r w:rsidRPr="00801746">
        <w:rPr>
          <w:sz w:val="22"/>
        </w:rPr>
        <w:t>14.</w:t>
      </w:r>
      <w:r>
        <w:rPr>
          <w:sz w:val="22"/>
          <w:szCs w:val="22"/>
          <w:u w:val="single"/>
        </w:rPr>
        <w:t xml:space="preserve"> </w:t>
      </w:r>
      <w:r w:rsidR="00BE0886">
        <w:rPr>
          <w:sz w:val="22"/>
          <w:szCs w:val="22"/>
          <w:u w:val="single"/>
        </w:rPr>
        <w:t>Estimated Annualized Cost to the Federal</w:t>
      </w:r>
      <w:r w:rsidR="00BE0886">
        <w:rPr>
          <w:spacing w:val="33"/>
          <w:sz w:val="22"/>
          <w:szCs w:val="22"/>
          <w:u w:val="single"/>
        </w:rPr>
        <w:t xml:space="preserve"> </w:t>
      </w:r>
      <w:r w:rsidR="00BE0886">
        <w:rPr>
          <w:sz w:val="22"/>
          <w:szCs w:val="22"/>
          <w:u w:val="single"/>
        </w:rPr>
        <w:t>Government</w:t>
      </w:r>
    </w:p>
    <w:p w:rsidR="00BE0886" w:rsidP="00D230CD" w:rsidRDefault="00BE0886" w14:paraId="25DB6C06" w14:textId="77777777">
      <w:pPr>
        <w:pStyle w:val="BodyText"/>
        <w:kinsoku w:val="0"/>
        <w:overflowPunct w:val="0"/>
        <w:spacing w:before="11"/>
        <w:rPr>
          <w:sz w:val="13"/>
          <w:szCs w:val="13"/>
        </w:rPr>
      </w:pPr>
    </w:p>
    <w:p w:rsidR="00BE0886" w:rsidP="00801746" w:rsidRDefault="00BE0886" w14:paraId="6DCBEE4E" w14:textId="0277C145">
      <w:pPr>
        <w:pStyle w:val="BodyText"/>
        <w:kinsoku w:val="0"/>
        <w:overflowPunct w:val="0"/>
        <w:spacing w:before="92"/>
        <w:ind w:left="1080" w:right="224"/>
      </w:pPr>
      <w:r>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 Staff estimates that it requires 5 hours of professional effort to review each report. To review 600 reports requires 3,000 staff hours (600 reports x 5 hours) at a cost of</w:t>
      </w:r>
      <w:r w:rsidR="00F807CC">
        <w:t xml:space="preserve"> $8</w:t>
      </w:r>
      <w:r w:rsidR="00151218">
        <w:t>64</w:t>
      </w:r>
      <w:r w:rsidR="00F807CC">
        <w:t>,000 (3,000 hours x $</w:t>
      </w:r>
      <w:r w:rsidR="000E0EAF">
        <w:t>288</w:t>
      </w:r>
      <w:r w:rsidR="00F807CC">
        <w:t>/</w:t>
      </w:r>
      <w:proofErr w:type="spellStart"/>
      <w:r w:rsidR="00F807CC">
        <w:t>hr</w:t>
      </w:r>
      <w:proofErr w:type="spellEnd"/>
      <w:r w:rsidR="00F807CC">
        <w:t>).</w:t>
      </w:r>
    </w:p>
    <w:p w:rsidR="00BE0886" w:rsidP="00801746" w:rsidRDefault="00BE0886" w14:paraId="43821528" w14:textId="77777777">
      <w:pPr>
        <w:pStyle w:val="BodyText"/>
        <w:kinsoku w:val="0"/>
        <w:overflowPunct w:val="0"/>
      </w:pPr>
    </w:p>
    <w:p w:rsidR="000636FE" w:rsidP="00801746" w:rsidRDefault="00D230CD" w14:paraId="70726BE1" w14:textId="77777777">
      <w:pPr>
        <w:pStyle w:val="BodyText"/>
        <w:kinsoku w:val="0"/>
        <w:overflowPunct w:val="0"/>
        <w:spacing w:before="92"/>
        <w:ind w:left="540" w:right="409"/>
        <w:rPr>
          <w:w w:val="105"/>
          <w:u w:val="single"/>
        </w:rPr>
      </w:pPr>
      <w:r w:rsidRPr="00801746">
        <w:rPr>
          <w:w w:val="105"/>
        </w:rPr>
        <w:t>15.</w:t>
      </w:r>
      <w:r>
        <w:rPr>
          <w:w w:val="105"/>
          <w:u w:val="single"/>
        </w:rPr>
        <w:t xml:space="preserve"> </w:t>
      </w:r>
      <w:r w:rsidR="00300FCA">
        <w:rPr>
          <w:w w:val="105"/>
          <w:u w:val="single"/>
        </w:rPr>
        <w:t>Reasons</w:t>
      </w:r>
      <w:r w:rsidR="00300FCA">
        <w:rPr>
          <w:spacing w:val="-22"/>
          <w:w w:val="105"/>
          <w:u w:val="single"/>
        </w:rPr>
        <w:t xml:space="preserve"> </w:t>
      </w:r>
      <w:r w:rsidR="00300FCA">
        <w:rPr>
          <w:w w:val="105"/>
          <w:u w:val="single"/>
        </w:rPr>
        <w:t>for</w:t>
      </w:r>
      <w:r w:rsidR="00300FCA">
        <w:rPr>
          <w:spacing w:val="-10"/>
          <w:w w:val="105"/>
          <w:u w:val="single"/>
        </w:rPr>
        <w:t xml:space="preserve"> </w:t>
      </w:r>
      <w:r w:rsidR="00300FCA">
        <w:rPr>
          <w:w w:val="105"/>
          <w:u w:val="single"/>
        </w:rPr>
        <w:t>Change</w:t>
      </w:r>
      <w:r w:rsidR="00300FCA">
        <w:rPr>
          <w:spacing w:val="-11"/>
          <w:w w:val="105"/>
          <w:u w:val="single"/>
        </w:rPr>
        <w:t xml:space="preserve"> </w:t>
      </w:r>
      <w:r w:rsidR="00300FCA">
        <w:rPr>
          <w:w w:val="105"/>
          <w:u w:val="single"/>
        </w:rPr>
        <w:t>in</w:t>
      </w:r>
      <w:r w:rsidR="00300FCA">
        <w:rPr>
          <w:spacing w:val="-21"/>
          <w:w w:val="105"/>
          <w:u w:val="single"/>
        </w:rPr>
        <w:t xml:space="preserve"> </w:t>
      </w:r>
      <w:r w:rsidR="00300FCA">
        <w:rPr>
          <w:w w:val="105"/>
          <w:u w:val="single"/>
        </w:rPr>
        <w:t>Burden</w:t>
      </w:r>
    </w:p>
    <w:p w:rsidR="00767387" w:rsidP="00767387" w:rsidRDefault="00767387" w14:paraId="2BD8795C" w14:textId="1B7ECEF0">
      <w:pPr>
        <w:pStyle w:val="BodyText"/>
        <w:kinsoku w:val="0"/>
        <w:overflowPunct w:val="0"/>
        <w:spacing w:before="92"/>
        <w:ind w:left="1080" w:right="409"/>
      </w:pPr>
      <w:r>
        <w:t xml:space="preserve">There are </w:t>
      </w:r>
      <w:r w:rsidR="000D52FA">
        <w:t>2</w:t>
      </w:r>
      <w:r>
        <w:t>00 less responses estimated in the burden since the last renewal but the burden hours have decreased by 1,550 hours.  The amount of reporting decreased due to the agency reducing the amount of grant awards provided. There is a decrease of 400 burden hours for recordkeeping.  This is due to the agency adjusting the numbers to correct the estimates from the last renewal. Additionally, third party disclosure wasn’t accounted for in the last renewal (see Table 2) but broken out for this renewal. Finally, Forms 781 and 782 have been removed from this clearance due to it being included in the Part 4 clearance. The professional hourly rate increased from $279 per hour to $288 per hour.</w:t>
      </w:r>
    </w:p>
    <w:p w:rsidR="00767387" w:rsidP="00767387" w:rsidRDefault="00767387" w14:paraId="2AB479C4" w14:textId="77777777">
      <w:pPr>
        <w:pStyle w:val="BodyText"/>
        <w:kinsoku w:val="0"/>
        <w:overflowPunct w:val="0"/>
        <w:spacing w:before="92"/>
        <w:ind w:left="1080" w:right="409"/>
      </w:pPr>
    </w:p>
    <w:tbl>
      <w:tblPr>
        <w:tblW w:w="9880" w:type="dxa"/>
        <w:tblInd w:w="108" w:type="dxa"/>
        <w:tblLook w:val="04A0" w:firstRow="1" w:lastRow="0" w:firstColumn="1" w:lastColumn="0" w:noHBand="0" w:noVBand="1"/>
      </w:tblPr>
      <w:tblGrid>
        <w:gridCol w:w="2280"/>
        <w:gridCol w:w="1317"/>
        <w:gridCol w:w="1365"/>
        <w:gridCol w:w="1820"/>
        <w:gridCol w:w="926"/>
        <w:gridCol w:w="1365"/>
        <w:gridCol w:w="926"/>
      </w:tblGrid>
      <w:tr w:rsidRPr="00B71DF4" w:rsidR="00767387" w:rsidTr="00955E96" w14:paraId="278E0A62" w14:textId="77777777">
        <w:trPr>
          <w:trHeight w:val="280"/>
        </w:trPr>
        <w:tc>
          <w:tcPr>
            <w:tcW w:w="2280" w:type="dxa"/>
            <w:tcBorders>
              <w:top w:val="nil"/>
              <w:left w:val="nil"/>
              <w:bottom w:val="nil"/>
              <w:right w:val="nil"/>
            </w:tcBorders>
            <w:shd w:val="clear" w:color="auto" w:fill="auto"/>
            <w:noWrap/>
            <w:vAlign w:val="bottom"/>
            <w:hideMark/>
          </w:tcPr>
          <w:p w:rsidRPr="00B71DF4" w:rsidR="00767387" w:rsidP="00955E96" w:rsidRDefault="00767387" w14:paraId="68B028A5" w14:textId="77777777">
            <w:pPr>
              <w:widowControl/>
              <w:autoSpaceDE/>
              <w:autoSpaceDN/>
              <w:adjustRightInd/>
              <w:rPr>
                <w:rFonts w:ascii="Times New Roman" w:hAnsi="Times New Roman" w:cs="Times New Roman"/>
                <w:sz w:val="20"/>
                <w:szCs w:val="20"/>
              </w:rPr>
            </w:pPr>
          </w:p>
        </w:tc>
        <w:tc>
          <w:tcPr>
            <w:tcW w:w="7600"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B71DF4" w:rsidR="00767387" w:rsidP="00955E96" w:rsidRDefault="00767387" w14:paraId="491436FB" w14:textId="77777777">
            <w:pPr>
              <w:widowControl/>
              <w:autoSpaceDE/>
              <w:autoSpaceDN/>
              <w:adjustRightInd/>
              <w:jc w:val="center"/>
              <w:rPr>
                <w:color w:val="000000"/>
                <w:sz w:val="22"/>
                <w:szCs w:val="22"/>
              </w:rPr>
            </w:pPr>
            <w:r w:rsidRPr="00B71DF4">
              <w:rPr>
                <w:color w:val="000000"/>
                <w:sz w:val="22"/>
                <w:szCs w:val="22"/>
              </w:rPr>
              <w:t>Table 2. Change in Burden and Responses</w:t>
            </w:r>
          </w:p>
        </w:tc>
      </w:tr>
      <w:tr w:rsidRPr="00B71DF4" w:rsidR="00767387" w:rsidTr="00955E96" w14:paraId="7AB67695" w14:textId="77777777">
        <w:trPr>
          <w:trHeight w:val="280"/>
        </w:trPr>
        <w:tc>
          <w:tcPr>
            <w:tcW w:w="2280" w:type="dxa"/>
            <w:tcBorders>
              <w:top w:val="nil"/>
              <w:left w:val="nil"/>
              <w:bottom w:val="nil"/>
              <w:right w:val="nil"/>
            </w:tcBorders>
            <w:shd w:val="clear" w:color="auto" w:fill="auto"/>
            <w:noWrap/>
            <w:vAlign w:val="bottom"/>
            <w:hideMark/>
          </w:tcPr>
          <w:p w:rsidRPr="00B71DF4" w:rsidR="00767387" w:rsidP="00955E96" w:rsidRDefault="00767387" w14:paraId="0F312B38" w14:textId="77777777">
            <w:pPr>
              <w:widowControl/>
              <w:autoSpaceDE/>
              <w:autoSpaceDN/>
              <w:adjustRightInd/>
              <w:jc w:val="center"/>
              <w:rPr>
                <w:color w:val="000000"/>
                <w:sz w:val="22"/>
                <w:szCs w:val="22"/>
              </w:rPr>
            </w:pPr>
          </w:p>
        </w:tc>
        <w:tc>
          <w:tcPr>
            <w:tcW w:w="2731" w:type="dxa"/>
            <w:gridSpan w:val="2"/>
            <w:tcBorders>
              <w:top w:val="single" w:color="auto" w:sz="4" w:space="0"/>
              <w:left w:val="single" w:color="auto" w:sz="4" w:space="0"/>
              <w:bottom w:val="single" w:color="auto" w:sz="4" w:space="0"/>
              <w:right w:val="single" w:color="auto" w:sz="4" w:space="0"/>
            </w:tcBorders>
            <w:shd w:val="clear" w:color="auto" w:fill="auto"/>
            <w:vAlign w:val="bottom"/>
            <w:hideMark/>
          </w:tcPr>
          <w:p w:rsidRPr="00B71DF4" w:rsidR="00767387" w:rsidP="00955E96" w:rsidRDefault="00767387" w14:paraId="6C53C01C" w14:textId="77777777">
            <w:pPr>
              <w:widowControl/>
              <w:autoSpaceDE/>
              <w:autoSpaceDN/>
              <w:adjustRightInd/>
              <w:jc w:val="center"/>
              <w:rPr>
                <w:color w:val="000000"/>
                <w:sz w:val="22"/>
                <w:szCs w:val="22"/>
              </w:rPr>
            </w:pPr>
            <w:r w:rsidRPr="00B71DF4">
              <w:rPr>
                <w:color w:val="000000"/>
                <w:sz w:val="22"/>
                <w:szCs w:val="22"/>
              </w:rPr>
              <w:t>2018 renewal</w:t>
            </w:r>
          </w:p>
        </w:tc>
        <w:tc>
          <w:tcPr>
            <w:tcW w:w="2662" w:type="dxa"/>
            <w:gridSpan w:val="2"/>
            <w:tcBorders>
              <w:top w:val="single" w:color="auto" w:sz="4" w:space="0"/>
              <w:left w:val="nil"/>
              <w:bottom w:val="single" w:color="auto" w:sz="4" w:space="0"/>
              <w:right w:val="single" w:color="auto" w:sz="4" w:space="0"/>
            </w:tcBorders>
            <w:shd w:val="clear" w:color="auto" w:fill="auto"/>
            <w:noWrap/>
            <w:vAlign w:val="bottom"/>
            <w:hideMark/>
          </w:tcPr>
          <w:p w:rsidRPr="00B71DF4" w:rsidR="00767387" w:rsidP="00955E96" w:rsidRDefault="00767387" w14:paraId="63FDD7EC" w14:textId="77777777">
            <w:pPr>
              <w:widowControl/>
              <w:autoSpaceDE/>
              <w:autoSpaceDN/>
              <w:adjustRightInd/>
              <w:jc w:val="center"/>
              <w:rPr>
                <w:color w:val="000000"/>
                <w:sz w:val="22"/>
                <w:szCs w:val="22"/>
              </w:rPr>
            </w:pPr>
            <w:r w:rsidRPr="00B71DF4">
              <w:rPr>
                <w:color w:val="000000"/>
                <w:sz w:val="22"/>
                <w:szCs w:val="22"/>
              </w:rPr>
              <w:t>Current submission</w:t>
            </w:r>
          </w:p>
        </w:tc>
        <w:tc>
          <w:tcPr>
            <w:tcW w:w="2207" w:type="dxa"/>
            <w:gridSpan w:val="2"/>
            <w:tcBorders>
              <w:top w:val="single" w:color="auto" w:sz="4" w:space="0"/>
              <w:left w:val="nil"/>
              <w:bottom w:val="single" w:color="auto" w:sz="4" w:space="0"/>
              <w:right w:val="single" w:color="auto" w:sz="4" w:space="0"/>
            </w:tcBorders>
            <w:shd w:val="clear" w:color="auto" w:fill="auto"/>
            <w:noWrap/>
            <w:vAlign w:val="bottom"/>
            <w:hideMark/>
          </w:tcPr>
          <w:p w:rsidRPr="00B71DF4" w:rsidR="00767387" w:rsidP="00955E96" w:rsidRDefault="00767387" w14:paraId="1C516C5A" w14:textId="77777777">
            <w:pPr>
              <w:widowControl/>
              <w:autoSpaceDE/>
              <w:autoSpaceDN/>
              <w:adjustRightInd/>
              <w:jc w:val="center"/>
              <w:rPr>
                <w:color w:val="000000"/>
                <w:sz w:val="22"/>
                <w:szCs w:val="22"/>
              </w:rPr>
            </w:pPr>
            <w:r w:rsidRPr="00B71DF4">
              <w:rPr>
                <w:color w:val="000000"/>
                <w:sz w:val="22"/>
                <w:szCs w:val="22"/>
              </w:rPr>
              <w:t>Change</w:t>
            </w:r>
          </w:p>
        </w:tc>
      </w:tr>
      <w:tr w:rsidRPr="00B71DF4" w:rsidR="00767387" w:rsidTr="00955E96" w14:paraId="076B25E1" w14:textId="77777777">
        <w:trPr>
          <w:trHeight w:val="280"/>
        </w:trPr>
        <w:tc>
          <w:tcPr>
            <w:tcW w:w="2280" w:type="dxa"/>
            <w:tcBorders>
              <w:top w:val="nil"/>
              <w:left w:val="nil"/>
              <w:bottom w:val="nil"/>
              <w:right w:val="nil"/>
            </w:tcBorders>
            <w:shd w:val="clear" w:color="auto" w:fill="auto"/>
            <w:noWrap/>
            <w:vAlign w:val="bottom"/>
            <w:hideMark/>
          </w:tcPr>
          <w:p w:rsidRPr="00B71DF4" w:rsidR="00767387" w:rsidP="00955E96" w:rsidRDefault="00767387" w14:paraId="44F033AE" w14:textId="77777777">
            <w:pPr>
              <w:widowControl/>
              <w:autoSpaceDE/>
              <w:autoSpaceDN/>
              <w:adjustRightInd/>
              <w:jc w:val="center"/>
              <w:rPr>
                <w:color w:val="000000"/>
                <w:sz w:val="22"/>
                <w:szCs w:val="22"/>
              </w:rPr>
            </w:pPr>
          </w:p>
        </w:tc>
        <w:tc>
          <w:tcPr>
            <w:tcW w:w="1366" w:type="dxa"/>
            <w:tcBorders>
              <w:top w:val="nil"/>
              <w:left w:val="single" w:color="auto" w:sz="4" w:space="0"/>
              <w:bottom w:val="single" w:color="auto" w:sz="4" w:space="0"/>
              <w:right w:val="single" w:color="auto" w:sz="4" w:space="0"/>
            </w:tcBorders>
            <w:shd w:val="clear" w:color="auto" w:fill="auto"/>
            <w:vAlign w:val="bottom"/>
            <w:hideMark/>
          </w:tcPr>
          <w:p w:rsidRPr="00B71DF4" w:rsidR="00767387" w:rsidP="00955E96" w:rsidRDefault="00767387" w14:paraId="4DFB764C" w14:textId="77777777">
            <w:pPr>
              <w:widowControl/>
              <w:autoSpaceDE/>
              <w:autoSpaceDN/>
              <w:adjustRightInd/>
              <w:rPr>
                <w:color w:val="000000"/>
                <w:sz w:val="22"/>
                <w:szCs w:val="22"/>
              </w:rPr>
            </w:pPr>
            <w:r w:rsidRPr="00B71DF4">
              <w:rPr>
                <w:color w:val="000000"/>
                <w:sz w:val="22"/>
                <w:szCs w:val="22"/>
              </w:rPr>
              <w:t>Responses</w:t>
            </w:r>
          </w:p>
        </w:tc>
        <w:tc>
          <w:tcPr>
            <w:tcW w:w="1365" w:type="dxa"/>
            <w:tcBorders>
              <w:top w:val="nil"/>
              <w:left w:val="nil"/>
              <w:bottom w:val="single" w:color="auto" w:sz="4" w:space="0"/>
              <w:right w:val="single" w:color="auto" w:sz="4" w:space="0"/>
            </w:tcBorders>
            <w:shd w:val="clear" w:color="auto" w:fill="auto"/>
            <w:noWrap/>
            <w:vAlign w:val="bottom"/>
            <w:hideMark/>
          </w:tcPr>
          <w:p w:rsidRPr="00B71DF4" w:rsidR="00767387" w:rsidP="00955E96" w:rsidRDefault="00767387" w14:paraId="42F62484" w14:textId="77777777">
            <w:pPr>
              <w:widowControl/>
              <w:autoSpaceDE/>
              <w:autoSpaceDN/>
              <w:adjustRightInd/>
              <w:rPr>
                <w:color w:val="000000"/>
                <w:sz w:val="22"/>
                <w:szCs w:val="22"/>
              </w:rPr>
            </w:pPr>
            <w:r w:rsidRPr="00B71DF4">
              <w:rPr>
                <w:color w:val="000000"/>
                <w:sz w:val="22"/>
                <w:szCs w:val="22"/>
              </w:rPr>
              <w:t>Burden</w:t>
            </w:r>
          </w:p>
        </w:tc>
        <w:tc>
          <w:tcPr>
            <w:tcW w:w="1820" w:type="dxa"/>
            <w:tcBorders>
              <w:top w:val="nil"/>
              <w:left w:val="nil"/>
              <w:bottom w:val="single" w:color="auto" w:sz="4" w:space="0"/>
              <w:right w:val="single" w:color="auto" w:sz="4" w:space="0"/>
            </w:tcBorders>
            <w:shd w:val="clear" w:color="auto" w:fill="auto"/>
            <w:vAlign w:val="bottom"/>
            <w:hideMark/>
          </w:tcPr>
          <w:p w:rsidRPr="00B71DF4" w:rsidR="00767387" w:rsidP="00955E96" w:rsidRDefault="00767387" w14:paraId="77E3ACCC" w14:textId="77777777">
            <w:pPr>
              <w:widowControl/>
              <w:autoSpaceDE/>
              <w:autoSpaceDN/>
              <w:adjustRightInd/>
              <w:rPr>
                <w:color w:val="000000"/>
                <w:sz w:val="22"/>
                <w:szCs w:val="22"/>
              </w:rPr>
            </w:pPr>
            <w:r w:rsidRPr="00B71DF4">
              <w:rPr>
                <w:color w:val="000000"/>
                <w:sz w:val="22"/>
                <w:szCs w:val="22"/>
              </w:rPr>
              <w:t>Responses</w:t>
            </w:r>
          </w:p>
        </w:tc>
        <w:tc>
          <w:tcPr>
            <w:tcW w:w="842" w:type="dxa"/>
            <w:tcBorders>
              <w:top w:val="nil"/>
              <w:left w:val="nil"/>
              <w:bottom w:val="single" w:color="auto" w:sz="4" w:space="0"/>
              <w:right w:val="single" w:color="auto" w:sz="4" w:space="0"/>
            </w:tcBorders>
            <w:shd w:val="clear" w:color="auto" w:fill="auto"/>
            <w:noWrap/>
            <w:vAlign w:val="bottom"/>
            <w:hideMark/>
          </w:tcPr>
          <w:p w:rsidRPr="00B71DF4" w:rsidR="00767387" w:rsidP="00955E96" w:rsidRDefault="00767387" w14:paraId="74690DEF" w14:textId="77777777">
            <w:pPr>
              <w:widowControl/>
              <w:autoSpaceDE/>
              <w:autoSpaceDN/>
              <w:adjustRightInd/>
              <w:rPr>
                <w:color w:val="000000"/>
                <w:sz w:val="22"/>
                <w:szCs w:val="22"/>
              </w:rPr>
            </w:pPr>
            <w:r w:rsidRPr="00B71DF4">
              <w:rPr>
                <w:color w:val="000000"/>
                <w:sz w:val="22"/>
                <w:szCs w:val="22"/>
              </w:rPr>
              <w:t>Burden</w:t>
            </w:r>
          </w:p>
        </w:tc>
        <w:tc>
          <w:tcPr>
            <w:tcW w:w="1365" w:type="dxa"/>
            <w:tcBorders>
              <w:top w:val="nil"/>
              <w:left w:val="nil"/>
              <w:bottom w:val="single" w:color="auto" w:sz="4" w:space="0"/>
              <w:right w:val="single" w:color="auto" w:sz="4" w:space="0"/>
            </w:tcBorders>
            <w:shd w:val="clear" w:color="auto" w:fill="auto"/>
            <w:vAlign w:val="bottom"/>
            <w:hideMark/>
          </w:tcPr>
          <w:p w:rsidRPr="00B71DF4" w:rsidR="00767387" w:rsidP="00955E96" w:rsidRDefault="00767387" w14:paraId="7D488587" w14:textId="77777777">
            <w:pPr>
              <w:widowControl/>
              <w:autoSpaceDE/>
              <w:autoSpaceDN/>
              <w:adjustRightInd/>
              <w:rPr>
                <w:color w:val="000000"/>
                <w:sz w:val="22"/>
                <w:szCs w:val="22"/>
              </w:rPr>
            </w:pPr>
            <w:r w:rsidRPr="00B71DF4">
              <w:rPr>
                <w:color w:val="000000"/>
                <w:sz w:val="22"/>
                <w:szCs w:val="22"/>
              </w:rPr>
              <w:t>Responses</w:t>
            </w:r>
          </w:p>
        </w:tc>
        <w:tc>
          <w:tcPr>
            <w:tcW w:w="842" w:type="dxa"/>
            <w:tcBorders>
              <w:top w:val="nil"/>
              <w:left w:val="nil"/>
              <w:bottom w:val="single" w:color="auto" w:sz="4" w:space="0"/>
              <w:right w:val="single" w:color="auto" w:sz="4" w:space="0"/>
            </w:tcBorders>
            <w:shd w:val="clear" w:color="auto" w:fill="auto"/>
            <w:noWrap/>
            <w:vAlign w:val="bottom"/>
            <w:hideMark/>
          </w:tcPr>
          <w:p w:rsidRPr="00B71DF4" w:rsidR="00767387" w:rsidP="00955E96" w:rsidRDefault="00767387" w14:paraId="6237880C" w14:textId="77777777">
            <w:pPr>
              <w:widowControl/>
              <w:autoSpaceDE/>
              <w:autoSpaceDN/>
              <w:adjustRightInd/>
              <w:rPr>
                <w:color w:val="000000"/>
                <w:sz w:val="22"/>
                <w:szCs w:val="22"/>
              </w:rPr>
            </w:pPr>
            <w:r w:rsidRPr="00B71DF4">
              <w:rPr>
                <w:color w:val="000000"/>
                <w:sz w:val="22"/>
                <w:szCs w:val="22"/>
              </w:rPr>
              <w:t>Burden</w:t>
            </w:r>
          </w:p>
        </w:tc>
      </w:tr>
      <w:tr w:rsidRPr="00B71DF4" w:rsidR="00767387" w:rsidTr="00955E96" w14:paraId="1BC0629D" w14:textId="77777777">
        <w:trPr>
          <w:trHeight w:val="280"/>
        </w:trPr>
        <w:tc>
          <w:tcPr>
            <w:tcW w:w="22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71DF4" w:rsidR="00767387" w:rsidP="00955E96" w:rsidRDefault="00767387" w14:paraId="3498E355" w14:textId="77777777">
            <w:pPr>
              <w:widowControl/>
              <w:autoSpaceDE/>
              <w:autoSpaceDN/>
              <w:adjustRightInd/>
              <w:rPr>
                <w:color w:val="000000"/>
                <w:sz w:val="22"/>
                <w:szCs w:val="22"/>
              </w:rPr>
            </w:pPr>
            <w:r w:rsidRPr="00B71DF4">
              <w:rPr>
                <w:color w:val="000000"/>
                <w:sz w:val="22"/>
                <w:szCs w:val="22"/>
              </w:rPr>
              <w:t>Reporting</w:t>
            </w:r>
          </w:p>
        </w:tc>
        <w:tc>
          <w:tcPr>
            <w:tcW w:w="1366" w:type="dxa"/>
            <w:tcBorders>
              <w:top w:val="nil"/>
              <w:left w:val="nil"/>
              <w:bottom w:val="single" w:color="auto" w:sz="4" w:space="0"/>
              <w:right w:val="single" w:color="auto" w:sz="4" w:space="0"/>
            </w:tcBorders>
            <w:shd w:val="clear" w:color="auto" w:fill="auto"/>
            <w:vAlign w:val="bottom"/>
            <w:hideMark/>
          </w:tcPr>
          <w:p w:rsidRPr="00B71DF4" w:rsidR="00767387" w:rsidP="00955E96" w:rsidRDefault="00767387" w14:paraId="68560F5D" w14:textId="77777777">
            <w:pPr>
              <w:widowControl/>
              <w:autoSpaceDE/>
              <w:autoSpaceDN/>
              <w:adjustRightInd/>
              <w:jc w:val="right"/>
              <w:rPr>
                <w:color w:val="000000"/>
                <w:sz w:val="22"/>
                <w:szCs w:val="22"/>
              </w:rPr>
            </w:pPr>
            <w:r w:rsidRPr="00B71DF4">
              <w:rPr>
                <w:color w:val="000000"/>
                <w:sz w:val="22"/>
                <w:szCs w:val="22"/>
              </w:rPr>
              <w:t>600</w:t>
            </w:r>
          </w:p>
        </w:tc>
        <w:tc>
          <w:tcPr>
            <w:tcW w:w="1365" w:type="dxa"/>
            <w:tcBorders>
              <w:top w:val="nil"/>
              <w:left w:val="nil"/>
              <w:bottom w:val="single" w:color="auto" w:sz="4" w:space="0"/>
              <w:right w:val="single" w:color="auto" w:sz="4" w:space="0"/>
            </w:tcBorders>
            <w:shd w:val="clear" w:color="auto" w:fill="auto"/>
            <w:vAlign w:val="bottom"/>
            <w:hideMark/>
          </w:tcPr>
          <w:p w:rsidRPr="00B71DF4" w:rsidR="00767387" w:rsidP="00955E96" w:rsidRDefault="00767387" w14:paraId="48985AAC" w14:textId="77777777">
            <w:pPr>
              <w:widowControl/>
              <w:autoSpaceDE/>
              <w:autoSpaceDN/>
              <w:adjustRightInd/>
              <w:jc w:val="right"/>
              <w:rPr>
                <w:color w:val="000000"/>
                <w:sz w:val="22"/>
                <w:szCs w:val="22"/>
              </w:rPr>
            </w:pPr>
            <w:r w:rsidRPr="00B71DF4">
              <w:rPr>
                <w:color w:val="000000"/>
                <w:sz w:val="22"/>
                <w:szCs w:val="22"/>
              </w:rPr>
              <w:t>3,000</w:t>
            </w:r>
          </w:p>
        </w:tc>
        <w:tc>
          <w:tcPr>
            <w:tcW w:w="1820" w:type="dxa"/>
            <w:tcBorders>
              <w:top w:val="nil"/>
              <w:left w:val="nil"/>
              <w:bottom w:val="single" w:color="auto" w:sz="4" w:space="0"/>
              <w:right w:val="single" w:color="auto" w:sz="4" w:space="0"/>
            </w:tcBorders>
            <w:shd w:val="clear" w:color="auto" w:fill="auto"/>
            <w:noWrap/>
            <w:vAlign w:val="bottom"/>
            <w:hideMark/>
          </w:tcPr>
          <w:p w:rsidRPr="00B71DF4" w:rsidR="00767387" w:rsidP="00955E96" w:rsidRDefault="00767387" w14:paraId="17DB43F1" w14:textId="77777777">
            <w:pPr>
              <w:widowControl/>
              <w:autoSpaceDE/>
              <w:autoSpaceDN/>
              <w:adjustRightInd/>
              <w:jc w:val="right"/>
              <w:rPr>
                <w:color w:val="000000"/>
                <w:sz w:val="22"/>
                <w:szCs w:val="22"/>
              </w:rPr>
            </w:pPr>
            <w:r>
              <w:rPr>
                <w:color w:val="000000"/>
                <w:sz w:val="22"/>
                <w:szCs w:val="22"/>
              </w:rPr>
              <w:t>200</w:t>
            </w:r>
          </w:p>
        </w:tc>
        <w:tc>
          <w:tcPr>
            <w:tcW w:w="842" w:type="dxa"/>
            <w:tcBorders>
              <w:top w:val="nil"/>
              <w:left w:val="nil"/>
              <w:bottom w:val="single" w:color="auto" w:sz="4" w:space="0"/>
              <w:right w:val="single" w:color="auto" w:sz="4" w:space="0"/>
            </w:tcBorders>
            <w:shd w:val="clear" w:color="auto" w:fill="auto"/>
            <w:noWrap/>
            <w:vAlign w:val="bottom"/>
            <w:hideMark/>
          </w:tcPr>
          <w:p w:rsidRPr="00B71DF4" w:rsidR="00767387" w:rsidP="00955E96" w:rsidRDefault="00767387" w14:paraId="51CA24A7" w14:textId="77777777">
            <w:pPr>
              <w:widowControl/>
              <w:autoSpaceDE/>
              <w:autoSpaceDN/>
              <w:adjustRightInd/>
              <w:jc w:val="right"/>
              <w:rPr>
                <w:color w:val="000000"/>
                <w:sz w:val="22"/>
                <w:szCs w:val="22"/>
              </w:rPr>
            </w:pPr>
            <w:r w:rsidRPr="00B71DF4">
              <w:rPr>
                <w:color w:val="000000"/>
                <w:sz w:val="22"/>
                <w:szCs w:val="22"/>
              </w:rPr>
              <w:t>1,</w:t>
            </w:r>
            <w:r>
              <w:rPr>
                <w:color w:val="000000"/>
                <w:sz w:val="22"/>
                <w:szCs w:val="22"/>
              </w:rPr>
              <w:t>000</w:t>
            </w:r>
          </w:p>
        </w:tc>
        <w:tc>
          <w:tcPr>
            <w:tcW w:w="1365" w:type="dxa"/>
            <w:tcBorders>
              <w:top w:val="nil"/>
              <w:left w:val="nil"/>
              <w:bottom w:val="single" w:color="auto" w:sz="4" w:space="0"/>
              <w:right w:val="single" w:color="auto" w:sz="4" w:space="0"/>
            </w:tcBorders>
            <w:shd w:val="clear" w:color="auto" w:fill="auto"/>
            <w:noWrap/>
            <w:vAlign w:val="bottom"/>
            <w:hideMark/>
          </w:tcPr>
          <w:p w:rsidRPr="00B71DF4" w:rsidR="00767387" w:rsidP="00955E96" w:rsidRDefault="00767387" w14:paraId="52ED0C09" w14:textId="77777777">
            <w:pPr>
              <w:widowControl/>
              <w:autoSpaceDE/>
              <w:autoSpaceDN/>
              <w:adjustRightInd/>
              <w:jc w:val="right"/>
              <w:rPr>
                <w:color w:val="000000"/>
                <w:sz w:val="22"/>
                <w:szCs w:val="22"/>
              </w:rPr>
            </w:pPr>
            <w:r>
              <w:rPr>
                <w:color w:val="000000"/>
                <w:sz w:val="22"/>
                <w:szCs w:val="22"/>
              </w:rPr>
              <w:t>-4</w:t>
            </w:r>
            <w:r w:rsidRPr="00B71DF4">
              <w:rPr>
                <w:color w:val="000000"/>
                <w:sz w:val="22"/>
                <w:szCs w:val="22"/>
              </w:rPr>
              <w:t>00</w:t>
            </w:r>
          </w:p>
        </w:tc>
        <w:tc>
          <w:tcPr>
            <w:tcW w:w="842" w:type="dxa"/>
            <w:tcBorders>
              <w:top w:val="nil"/>
              <w:left w:val="nil"/>
              <w:bottom w:val="single" w:color="auto" w:sz="4" w:space="0"/>
              <w:right w:val="single" w:color="auto" w:sz="4" w:space="0"/>
            </w:tcBorders>
            <w:shd w:val="clear" w:color="auto" w:fill="auto"/>
            <w:noWrap/>
            <w:vAlign w:val="bottom"/>
            <w:hideMark/>
          </w:tcPr>
          <w:p w:rsidRPr="00B71DF4" w:rsidR="00767387" w:rsidP="00955E96" w:rsidRDefault="00767387" w14:paraId="6AF3884A" w14:textId="77777777">
            <w:pPr>
              <w:widowControl/>
              <w:autoSpaceDE/>
              <w:autoSpaceDN/>
              <w:adjustRightInd/>
              <w:jc w:val="right"/>
              <w:rPr>
                <w:color w:val="000000"/>
                <w:sz w:val="22"/>
                <w:szCs w:val="22"/>
              </w:rPr>
            </w:pPr>
            <w:r w:rsidRPr="00B71DF4">
              <w:rPr>
                <w:color w:val="000000"/>
                <w:sz w:val="22"/>
                <w:szCs w:val="22"/>
              </w:rPr>
              <w:t>-</w:t>
            </w:r>
            <w:r>
              <w:rPr>
                <w:color w:val="000000"/>
                <w:sz w:val="22"/>
                <w:szCs w:val="22"/>
              </w:rPr>
              <w:t>2</w:t>
            </w:r>
            <w:r w:rsidRPr="00B71DF4">
              <w:rPr>
                <w:color w:val="000000"/>
                <w:sz w:val="22"/>
                <w:szCs w:val="22"/>
              </w:rPr>
              <w:t>,</w:t>
            </w:r>
            <w:r>
              <w:rPr>
                <w:color w:val="000000"/>
                <w:sz w:val="22"/>
                <w:szCs w:val="22"/>
              </w:rPr>
              <w:t>0</w:t>
            </w:r>
            <w:r w:rsidRPr="00B71DF4">
              <w:rPr>
                <w:color w:val="000000"/>
                <w:sz w:val="22"/>
                <w:szCs w:val="22"/>
              </w:rPr>
              <w:t>00</w:t>
            </w:r>
          </w:p>
        </w:tc>
      </w:tr>
      <w:tr w:rsidRPr="00B71DF4" w:rsidR="00767387" w:rsidTr="00955E96" w14:paraId="472B92D3" w14:textId="77777777">
        <w:trPr>
          <w:trHeight w:val="280"/>
        </w:trPr>
        <w:tc>
          <w:tcPr>
            <w:tcW w:w="2280" w:type="dxa"/>
            <w:tcBorders>
              <w:top w:val="nil"/>
              <w:left w:val="single" w:color="auto" w:sz="4" w:space="0"/>
              <w:bottom w:val="single" w:color="auto" w:sz="4" w:space="0"/>
              <w:right w:val="single" w:color="auto" w:sz="4" w:space="0"/>
            </w:tcBorders>
            <w:shd w:val="clear" w:color="auto" w:fill="auto"/>
            <w:noWrap/>
            <w:vAlign w:val="bottom"/>
            <w:hideMark/>
          </w:tcPr>
          <w:p w:rsidRPr="00B71DF4" w:rsidR="00767387" w:rsidP="00955E96" w:rsidRDefault="00767387" w14:paraId="3E93F1E2" w14:textId="77777777">
            <w:pPr>
              <w:widowControl/>
              <w:autoSpaceDE/>
              <w:autoSpaceDN/>
              <w:adjustRightInd/>
              <w:rPr>
                <w:color w:val="000000"/>
                <w:sz w:val="22"/>
                <w:szCs w:val="22"/>
              </w:rPr>
            </w:pPr>
            <w:r w:rsidRPr="00B71DF4">
              <w:rPr>
                <w:color w:val="000000"/>
                <w:sz w:val="22"/>
                <w:szCs w:val="22"/>
              </w:rPr>
              <w:t>Recordkeeping</w:t>
            </w:r>
          </w:p>
        </w:tc>
        <w:tc>
          <w:tcPr>
            <w:tcW w:w="1366" w:type="dxa"/>
            <w:tcBorders>
              <w:top w:val="nil"/>
              <w:left w:val="nil"/>
              <w:bottom w:val="single" w:color="auto" w:sz="4" w:space="0"/>
              <w:right w:val="single" w:color="auto" w:sz="4" w:space="0"/>
            </w:tcBorders>
            <w:shd w:val="clear" w:color="auto" w:fill="auto"/>
            <w:vAlign w:val="bottom"/>
            <w:hideMark/>
          </w:tcPr>
          <w:p w:rsidRPr="00B71DF4" w:rsidR="00767387" w:rsidP="00955E96" w:rsidRDefault="00767387" w14:paraId="4CB34491" w14:textId="77777777">
            <w:pPr>
              <w:widowControl/>
              <w:autoSpaceDE/>
              <w:autoSpaceDN/>
              <w:adjustRightInd/>
              <w:jc w:val="right"/>
              <w:rPr>
                <w:color w:val="000000"/>
                <w:sz w:val="22"/>
                <w:szCs w:val="22"/>
              </w:rPr>
            </w:pPr>
            <w:r w:rsidRPr="00B71DF4">
              <w:rPr>
                <w:color w:val="000000"/>
                <w:sz w:val="22"/>
                <w:szCs w:val="22"/>
              </w:rPr>
              <w:t>200</w:t>
            </w:r>
          </w:p>
        </w:tc>
        <w:tc>
          <w:tcPr>
            <w:tcW w:w="1365" w:type="dxa"/>
            <w:tcBorders>
              <w:top w:val="nil"/>
              <w:left w:val="nil"/>
              <w:bottom w:val="single" w:color="auto" w:sz="4" w:space="0"/>
              <w:right w:val="single" w:color="auto" w:sz="4" w:space="0"/>
            </w:tcBorders>
            <w:shd w:val="clear" w:color="auto" w:fill="auto"/>
            <w:vAlign w:val="bottom"/>
            <w:hideMark/>
          </w:tcPr>
          <w:p w:rsidRPr="00B71DF4" w:rsidR="00767387" w:rsidP="00955E96" w:rsidRDefault="00767387" w14:paraId="145A43DF" w14:textId="77777777">
            <w:pPr>
              <w:widowControl/>
              <w:autoSpaceDE/>
              <w:autoSpaceDN/>
              <w:adjustRightInd/>
              <w:jc w:val="right"/>
              <w:rPr>
                <w:color w:val="000000"/>
                <w:sz w:val="22"/>
                <w:szCs w:val="22"/>
              </w:rPr>
            </w:pPr>
            <w:r w:rsidRPr="00B71DF4">
              <w:rPr>
                <w:color w:val="000000"/>
                <w:sz w:val="22"/>
                <w:szCs w:val="22"/>
              </w:rPr>
              <w:t>600</w:t>
            </w:r>
          </w:p>
        </w:tc>
        <w:tc>
          <w:tcPr>
            <w:tcW w:w="1820" w:type="dxa"/>
            <w:tcBorders>
              <w:top w:val="nil"/>
              <w:left w:val="nil"/>
              <w:bottom w:val="single" w:color="auto" w:sz="4" w:space="0"/>
              <w:right w:val="single" w:color="auto" w:sz="4" w:space="0"/>
            </w:tcBorders>
            <w:shd w:val="clear" w:color="auto" w:fill="auto"/>
            <w:noWrap/>
            <w:vAlign w:val="bottom"/>
            <w:hideMark/>
          </w:tcPr>
          <w:p w:rsidRPr="00B71DF4" w:rsidR="00767387" w:rsidP="00955E96" w:rsidRDefault="00767387" w14:paraId="65EA89A4" w14:textId="77777777">
            <w:pPr>
              <w:widowControl/>
              <w:autoSpaceDE/>
              <w:autoSpaceDN/>
              <w:adjustRightInd/>
              <w:jc w:val="right"/>
              <w:rPr>
                <w:color w:val="000000"/>
                <w:sz w:val="22"/>
                <w:szCs w:val="22"/>
              </w:rPr>
            </w:pPr>
            <w:r w:rsidRPr="00B71DF4">
              <w:rPr>
                <w:color w:val="000000"/>
                <w:sz w:val="22"/>
                <w:szCs w:val="22"/>
              </w:rPr>
              <w:t>200</w:t>
            </w:r>
          </w:p>
        </w:tc>
        <w:tc>
          <w:tcPr>
            <w:tcW w:w="842" w:type="dxa"/>
            <w:tcBorders>
              <w:top w:val="nil"/>
              <w:left w:val="nil"/>
              <w:bottom w:val="single" w:color="auto" w:sz="4" w:space="0"/>
              <w:right w:val="single" w:color="auto" w:sz="4" w:space="0"/>
            </w:tcBorders>
            <w:shd w:val="clear" w:color="auto" w:fill="auto"/>
            <w:noWrap/>
            <w:vAlign w:val="bottom"/>
            <w:hideMark/>
          </w:tcPr>
          <w:p w:rsidRPr="00B71DF4" w:rsidR="00767387" w:rsidP="00955E96" w:rsidRDefault="00767387" w14:paraId="71AF4B4A" w14:textId="77777777">
            <w:pPr>
              <w:widowControl/>
              <w:autoSpaceDE/>
              <w:autoSpaceDN/>
              <w:adjustRightInd/>
              <w:jc w:val="right"/>
              <w:rPr>
                <w:color w:val="000000"/>
                <w:sz w:val="22"/>
                <w:szCs w:val="22"/>
              </w:rPr>
            </w:pPr>
            <w:r w:rsidRPr="00B71DF4">
              <w:rPr>
                <w:color w:val="000000"/>
                <w:sz w:val="22"/>
                <w:szCs w:val="22"/>
              </w:rPr>
              <w:t>1,</w:t>
            </w:r>
            <w:r>
              <w:rPr>
                <w:color w:val="000000"/>
                <w:sz w:val="22"/>
                <w:szCs w:val="22"/>
              </w:rPr>
              <w:t>0</w:t>
            </w:r>
            <w:r w:rsidRPr="00B71DF4">
              <w:rPr>
                <w:color w:val="000000"/>
                <w:sz w:val="22"/>
                <w:szCs w:val="22"/>
              </w:rPr>
              <w:t>00</w:t>
            </w:r>
          </w:p>
        </w:tc>
        <w:tc>
          <w:tcPr>
            <w:tcW w:w="1365" w:type="dxa"/>
            <w:tcBorders>
              <w:top w:val="nil"/>
              <w:left w:val="nil"/>
              <w:bottom w:val="single" w:color="auto" w:sz="4" w:space="0"/>
              <w:right w:val="single" w:color="auto" w:sz="4" w:space="0"/>
            </w:tcBorders>
            <w:shd w:val="clear" w:color="auto" w:fill="auto"/>
            <w:noWrap/>
            <w:vAlign w:val="bottom"/>
            <w:hideMark/>
          </w:tcPr>
          <w:p w:rsidRPr="00B71DF4" w:rsidR="00767387" w:rsidP="00955E96" w:rsidRDefault="00767387" w14:paraId="6CE8599B" w14:textId="77777777">
            <w:pPr>
              <w:widowControl/>
              <w:autoSpaceDE/>
              <w:autoSpaceDN/>
              <w:adjustRightInd/>
              <w:jc w:val="right"/>
              <w:rPr>
                <w:color w:val="000000"/>
                <w:sz w:val="22"/>
                <w:szCs w:val="22"/>
              </w:rPr>
            </w:pPr>
            <w:r w:rsidRPr="00B71DF4">
              <w:rPr>
                <w:color w:val="000000"/>
                <w:sz w:val="22"/>
                <w:szCs w:val="22"/>
              </w:rPr>
              <w:t>0</w:t>
            </w:r>
          </w:p>
        </w:tc>
        <w:tc>
          <w:tcPr>
            <w:tcW w:w="842" w:type="dxa"/>
            <w:tcBorders>
              <w:top w:val="nil"/>
              <w:left w:val="nil"/>
              <w:bottom w:val="single" w:color="auto" w:sz="4" w:space="0"/>
              <w:right w:val="single" w:color="auto" w:sz="4" w:space="0"/>
            </w:tcBorders>
            <w:shd w:val="clear" w:color="auto" w:fill="auto"/>
            <w:noWrap/>
            <w:vAlign w:val="bottom"/>
            <w:hideMark/>
          </w:tcPr>
          <w:p w:rsidRPr="00B71DF4" w:rsidR="00767387" w:rsidP="00955E96" w:rsidRDefault="00767387" w14:paraId="28C275BD" w14:textId="77777777">
            <w:pPr>
              <w:widowControl/>
              <w:autoSpaceDE/>
              <w:autoSpaceDN/>
              <w:adjustRightInd/>
              <w:jc w:val="right"/>
              <w:rPr>
                <w:color w:val="000000"/>
                <w:sz w:val="22"/>
                <w:szCs w:val="22"/>
              </w:rPr>
            </w:pPr>
            <w:r>
              <w:rPr>
                <w:color w:val="000000"/>
                <w:sz w:val="22"/>
                <w:szCs w:val="22"/>
              </w:rPr>
              <w:t>-400</w:t>
            </w:r>
          </w:p>
        </w:tc>
      </w:tr>
      <w:tr w:rsidRPr="00B71DF4" w:rsidR="00767387" w:rsidTr="00955E96" w14:paraId="439DA04E" w14:textId="77777777">
        <w:trPr>
          <w:trHeight w:val="280"/>
        </w:trPr>
        <w:tc>
          <w:tcPr>
            <w:tcW w:w="2280" w:type="dxa"/>
            <w:tcBorders>
              <w:top w:val="nil"/>
              <w:left w:val="single" w:color="auto" w:sz="4" w:space="0"/>
              <w:bottom w:val="single" w:color="auto" w:sz="4" w:space="0"/>
              <w:right w:val="single" w:color="auto" w:sz="4" w:space="0"/>
            </w:tcBorders>
            <w:shd w:val="clear" w:color="auto" w:fill="auto"/>
            <w:noWrap/>
            <w:vAlign w:val="bottom"/>
            <w:hideMark/>
          </w:tcPr>
          <w:p w:rsidRPr="00B71DF4" w:rsidR="00767387" w:rsidP="00955E96" w:rsidRDefault="00767387" w14:paraId="6DAC8736" w14:textId="77777777">
            <w:pPr>
              <w:widowControl/>
              <w:autoSpaceDE/>
              <w:autoSpaceDN/>
              <w:adjustRightInd/>
              <w:rPr>
                <w:color w:val="000000"/>
                <w:sz w:val="22"/>
                <w:szCs w:val="22"/>
              </w:rPr>
            </w:pPr>
            <w:r w:rsidRPr="00B71DF4">
              <w:rPr>
                <w:color w:val="000000"/>
                <w:sz w:val="22"/>
                <w:szCs w:val="22"/>
              </w:rPr>
              <w:t>Third Party Disclosure</w:t>
            </w:r>
          </w:p>
        </w:tc>
        <w:tc>
          <w:tcPr>
            <w:tcW w:w="1366" w:type="dxa"/>
            <w:tcBorders>
              <w:top w:val="nil"/>
              <w:left w:val="nil"/>
              <w:bottom w:val="single" w:color="auto" w:sz="4" w:space="0"/>
              <w:right w:val="single" w:color="auto" w:sz="4" w:space="0"/>
            </w:tcBorders>
            <w:shd w:val="clear" w:color="auto" w:fill="auto"/>
            <w:vAlign w:val="bottom"/>
            <w:hideMark/>
          </w:tcPr>
          <w:p w:rsidRPr="00B71DF4" w:rsidR="00767387" w:rsidP="00955E96" w:rsidRDefault="00767387" w14:paraId="0ECC054D" w14:textId="77777777">
            <w:pPr>
              <w:widowControl/>
              <w:autoSpaceDE/>
              <w:autoSpaceDN/>
              <w:adjustRightInd/>
              <w:jc w:val="right"/>
              <w:rPr>
                <w:color w:val="000000"/>
                <w:sz w:val="22"/>
                <w:szCs w:val="22"/>
              </w:rPr>
            </w:pPr>
            <w:r w:rsidRPr="00B71DF4">
              <w:rPr>
                <w:color w:val="000000"/>
                <w:sz w:val="22"/>
                <w:szCs w:val="22"/>
              </w:rPr>
              <w:t>0</w:t>
            </w:r>
          </w:p>
        </w:tc>
        <w:tc>
          <w:tcPr>
            <w:tcW w:w="1365" w:type="dxa"/>
            <w:tcBorders>
              <w:top w:val="nil"/>
              <w:left w:val="nil"/>
              <w:bottom w:val="single" w:color="auto" w:sz="4" w:space="0"/>
              <w:right w:val="single" w:color="auto" w:sz="4" w:space="0"/>
            </w:tcBorders>
            <w:shd w:val="clear" w:color="auto" w:fill="auto"/>
            <w:vAlign w:val="bottom"/>
            <w:hideMark/>
          </w:tcPr>
          <w:p w:rsidRPr="00B71DF4" w:rsidR="00767387" w:rsidP="00955E96" w:rsidRDefault="00767387" w14:paraId="43F416FE" w14:textId="77777777">
            <w:pPr>
              <w:widowControl/>
              <w:autoSpaceDE/>
              <w:autoSpaceDN/>
              <w:adjustRightInd/>
              <w:jc w:val="right"/>
              <w:rPr>
                <w:color w:val="000000"/>
                <w:sz w:val="22"/>
                <w:szCs w:val="22"/>
              </w:rPr>
            </w:pPr>
            <w:r w:rsidRPr="00B71DF4">
              <w:rPr>
                <w:color w:val="000000"/>
                <w:sz w:val="22"/>
                <w:szCs w:val="22"/>
              </w:rPr>
              <w:t>0</w:t>
            </w:r>
          </w:p>
        </w:tc>
        <w:tc>
          <w:tcPr>
            <w:tcW w:w="1820" w:type="dxa"/>
            <w:tcBorders>
              <w:top w:val="nil"/>
              <w:left w:val="nil"/>
              <w:bottom w:val="single" w:color="auto" w:sz="4" w:space="0"/>
              <w:right w:val="single" w:color="auto" w:sz="4" w:space="0"/>
            </w:tcBorders>
            <w:shd w:val="clear" w:color="auto" w:fill="auto"/>
            <w:noWrap/>
            <w:vAlign w:val="bottom"/>
            <w:hideMark/>
          </w:tcPr>
          <w:p w:rsidRPr="00B71DF4" w:rsidR="00767387" w:rsidP="00955E96" w:rsidRDefault="00767387" w14:paraId="0622D4B6" w14:textId="77777777">
            <w:pPr>
              <w:widowControl/>
              <w:autoSpaceDE/>
              <w:autoSpaceDN/>
              <w:adjustRightInd/>
              <w:jc w:val="right"/>
              <w:rPr>
                <w:color w:val="000000"/>
                <w:sz w:val="22"/>
                <w:szCs w:val="22"/>
              </w:rPr>
            </w:pPr>
            <w:r w:rsidRPr="00B71DF4">
              <w:rPr>
                <w:color w:val="000000"/>
                <w:sz w:val="22"/>
                <w:szCs w:val="22"/>
              </w:rPr>
              <w:t>200</w:t>
            </w:r>
          </w:p>
        </w:tc>
        <w:tc>
          <w:tcPr>
            <w:tcW w:w="842" w:type="dxa"/>
            <w:tcBorders>
              <w:top w:val="nil"/>
              <w:left w:val="nil"/>
              <w:bottom w:val="single" w:color="auto" w:sz="4" w:space="0"/>
              <w:right w:val="single" w:color="auto" w:sz="4" w:space="0"/>
            </w:tcBorders>
            <w:shd w:val="clear" w:color="auto" w:fill="auto"/>
            <w:noWrap/>
            <w:vAlign w:val="bottom"/>
            <w:hideMark/>
          </w:tcPr>
          <w:p w:rsidRPr="00B71DF4" w:rsidR="00767387" w:rsidP="00955E96" w:rsidRDefault="00767387" w14:paraId="0146F3B5" w14:textId="77777777">
            <w:pPr>
              <w:widowControl/>
              <w:autoSpaceDE/>
              <w:autoSpaceDN/>
              <w:adjustRightInd/>
              <w:jc w:val="right"/>
              <w:rPr>
                <w:color w:val="000000"/>
                <w:sz w:val="22"/>
                <w:szCs w:val="22"/>
              </w:rPr>
            </w:pPr>
            <w:r w:rsidRPr="00B71DF4">
              <w:rPr>
                <w:color w:val="000000"/>
                <w:sz w:val="22"/>
                <w:szCs w:val="22"/>
              </w:rPr>
              <w:t>50</w:t>
            </w:r>
          </w:p>
        </w:tc>
        <w:tc>
          <w:tcPr>
            <w:tcW w:w="1365" w:type="dxa"/>
            <w:tcBorders>
              <w:top w:val="nil"/>
              <w:left w:val="nil"/>
              <w:bottom w:val="single" w:color="auto" w:sz="4" w:space="0"/>
              <w:right w:val="single" w:color="auto" w:sz="4" w:space="0"/>
            </w:tcBorders>
            <w:shd w:val="clear" w:color="auto" w:fill="auto"/>
            <w:noWrap/>
            <w:vAlign w:val="bottom"/>
            <w:hideMark/>
          </w:tcPr>
          <w:p w:rsidRPr="00B71DF4" w:rsidR="00767387" w:rsidP="00955E96" w:rsidRDefault="00767387" w14:paraId="1A0012F7" w14:textId="77777777">
            <w:pPr>
              <w:widowControl/>
              <w:autoSpaceDE/>
              <w:autoSpaceDN/>
              <w:adjustRightInd/>
              <w:jc w:val="right"/>
              <w:rPr>
                <w:color w:val="000000"/>
                <w:sz w:val="22"/>
                <w:szCs w:val="22"/>
              </w:rPr>
            </w:pPr>
            <w:r w:rsidRPr="00B71DF4">
              <w:rPr>
                <w:color w:val="000000"/>
                <w:sz w:val="22"/>
                <w:szCs w:val="22"/>
              </w:rPr>
              <w:t>200</w:t>
            </w:r>
          </w:p>
        </w:tc>
        <w:tc>
          <w:tcPr>
            <w:tcW w:w="842" w:type="dxa"/>
            <w:tcBorders>
              <w:top w:val="nil"/>
              <w:left w:val="nil"/>
              <w:bottom w:val="single" w:color="auto" w:sz="4" w:space="0"/>
              <w:right w:val="single" w:color="auto" w:sz="4" w:space="0"/>
            </w:tcBorders>
            <w:shd w:val="clear" w:color="auto" w:fill="auto"/>
            <w:noWrap/>
            <w:vAlign w:val="bottom"/>
            <w:hideMark/>
          </w:tcPr>
          <w:p w:rsidRPr="00B71DF4" w:rsidR="00767387" w:rsidP="00955E96" w:rsidRDefault="00767387" w14:paraId="0FE447A8" w14:textId="77777777">
            <w:pPr>
              <w:widowControl/>
              <w:autoSpaceDE/>
              <w:autoSpaceDN/>
              <w:adjustRightInd/>
              <w:jc w:val="right"/>
              <w:rPr>
                <w:color w:val="000000"/>
                <w:sz w:val="22"/>
                <w:szCs w:val="22"/>
              </w:rPr>
            </w:pPr>
            <w:r w:rsidRPr="00B71DF4">
              <w:rPr>
                <w:color w:val="000000"/>
                <w:sz w:val="22"/>
                <w:szCs w:val="22"/>
              </w:rPr>
              <w:t>50</w:t>
            </w:r>
          </w:p>
        </w:tc>
      </w:tr>
      <w:tr w:rsidRPr="00B71DF4" w:rsidR="00767387" w:rsidTr="00955E96" w14:paraId="419329A2" w14:textId="77777777">
        <w:trPr>
          <w:trHeight w:val="280"/>
        </w:trPr>
        <w:tc>
          <w:tcPr>
            <w:tcW w:w="2280" w:type="dxa"/>
            <w:tcBorders>
              <w:top w:val="nil"/>
              <w:left w:val="single" w:color="auto" w:sz="4" w:space="0"/>
              <w:bottom w:val="single" w:color="auto" w:sz="4" w:space="0"/>
              <w:right w:val="single" w:color="auto" w:sz="4" w:space="0"/>
            </w:tcBorders>
            <w:shd w:val="clear" w:color="auto" w:fill="auto"/>
            <w:noWrap/>
            <w:vAlign w:val="bottom"/>
            <w:hideMark/>
          </w:tcPr>
          <w:p w:rsidRPr="00B71DF4" w:rsidR="00767387" w:rsidP="00955E96" w:rsidRDefault="00767387" w14:paraId="111BAF3C" w14:textId="77777777">
            <w:pPr>
              <w:widowControl/>
              <w:autoSpaceDE/>
              <w:autoSpaceDN/>
              <w:adjustRightInd/>
              <w:rPr>
                <w:color w:val="000000"/>
                <w:sz w:val="22"/>
                <w:szCs w:val="22"/>
              </w:rPr>
            </w:pPr>
            <w:r w:rsidRPr="00B71DF4">
              <w:rPr>
                <w:color w:val="000000"/>
                <w:sz w:val="22"/>
                <w:szCs w:val="22"/>
              </w:rPr>
              <w:t>Total</w:t>
            </w:r>
          </w:p>
        </w:tc>
        <w:tc>
          <w:tcPr>
            <w:tcW w:w="1366" w:type="dxa"/>
            <w:tcBorders>
              <w:top w:val="nil"/>
              <w:left w:val="nil"/>
              <w:bottom w:val="single" w:color="auto" w:sz="4" w:space="0"/>
              <w:right w:val="single" w:color="auto" w:sz="4" w:space="0"/>
            </w:tcBorders>
            <w:shd w:val="clear" w:color="auto" w:fill="auto"/>
            <w:vAlign w:val="bottom"/>
            <w:hideMark/>
          </w:tcPr>
          <w:p w:rsidRPr="00B71DF4" w:rsidR="00767387" w:rsidP="00955E96" w:rsidRDefault="00767387" w14:paraId="6E1E5953" w14:textId="77777777">
            <w:pPr>
              <w:widowControl/>
              <w:autoSpaceDE/>
              <w:autoSpaceDN/>
              <w:adjustRightInd/>
              <w:jc w:val="right"/>
              <w:rPr>
                <w:color w:val="000000"/>
                <w:sz w:val="22"/>
                <w:szCs w:val="22"/>
              </w:rPr>
            </w:pPr>
            <w:r w:rsidRPr="00B71DF4">
              <w:rPr>
                <w:color w:val="000000"/>
                <w:sz w:val="22"/>
                <w:szCs w:val="22"/>
              </w:rPr>
              <w:t>800</w:t>
            </w:r>
          </w:p>
        </w:tc>
        <w:tc>
          <w:tcPr>
            <w:tcW w:w="1365" w:type="dxa"/>
            <w:tcBorders>
              <w:top w:val="nil"/>
              <w:left w:val="nil"/>
              <w:bottom w:val="single" w:color="auto" w:sz="4" w:space="0"/>
              <w:right w:val="single" w:color="auto" w:sz="4" w:space="0"/>
            </w:tcBorders>
            <w:shd w:val="clear" w:color="auto" w:fill="auto"/>
            <w:vAlign w:val="bottom"/>
            <w:hideMark/>
          </w:tcPr>
          <w:p w:rsidRPr="00B71DF4" w:rsidR="00767387" w:rsidP="00955E96" w:rsidRDefault="00767387" w14:paraId="1D55BEC3" w14:textId="77777777">
            <w:pPr>
              <w:widowControl/>
              <w:autoSpaceDE/>
              <w:autoSpaceDN/>
              <w:adjustRightInd/>
              <w:jc w:val="right"/>
              <w:rPr>
                <w:color w:val="000000"/>
                <w:sz w:val="22"/>
                <w:szCs w:val="22"/>
              </w:rPr>
            </w:pPr>
            <w:r w:rsidRPr="00B71DF4">
              <w:rPr>
                <w:color w:val="000000"/>
                <w:sz w:val="22"/>
                <w:szCs w:val="22"/>
              </w:rPr>
              <w:t>3,600</w:t>
            </w:r>
          </w:p>
        </w:tc>
        <w:tc>
          <w:tcPr>
            <w:tcW w:w="1820" w:type="dxa"/>
            <w:tcBorders>
              <w:top w:val="nil"/>
              <w:left w:val="nil"/>
              <w:bottom w:val="single" w:color="auto" w:sz="4" w:space="0"/>
              <w:right w:val="single" w:color="auto" w:sz="4" w:space="0"/>
            </w:tcBorders>
            <w:shd w:val="clear" w:color="auto" w:fill="auto"/>
            <w:noWrap/>
            <w:vAlign w:val="bottom"/>
            <w:hideMark/>
          </w:tcPr>
          <w:p w:rsidRPr="00B71DF4" w:rsidR="00767387" w:rsidP="00955E96" w:rsidRDefault="00767387" w14:paraId="7D84112F" w14:textId="77777777">
            <w:pPr>
              <w:widowControl/>
              <w:autoSpaceDE/>
              <w:autoSpaceDN/>
              <w:adjustRightInd/>
              <w:jc w:val="right"/>
              <w:rPr>
                <w:color w:val="000000"/>
                <w:sz w:val="22"/>
                <w:szCs w:val="22"/>
              </w:rPr>
            </w:pPr>
            <w:r>
              <w:rPr>
                <w:color w:val="000000"/>
                <w:sz w:val="22"/>
                <w:szCs w:val="22"/>
              </w:rPr>
              <w:t>6</w:t>
            </w:r>
            <w:r w:rsidRPr="00B71DF4">
              <w:rPr>
                <w:color w:val="000000"/>
                <w:sz w:val="22"/>
                <w:szCs w:val="22"/>
              </w:rPr>
              <w:t>00</w:t>
            </w:r>
          </w:p>
        </w:tc>
        <w:tc>
          <w:tcPr>
            <w:tcW w:w="842" w:type="dxa"/>
            <w:tcBorders>
              <w:top w:val="nil"/>
              <w:left w:val="nil"/>
              <w:bottom w:val="single" w:color="auto" w:sz="4" w:space="0"/>
              <w:right w:val="single" w:color="auto" w:sz="4" w:space="0"/>
            </w:tcBorders>
            <w:shd w:val="clear" w:color="auto" w:fill="auto"/>
            <w:noWrap/>
            <w:vAlign w:val="bottom"/>
            <w:hideMark/>
          </w:tcPr>
          <w:p w:rsidRPr="00B71DF4" w:rsidR="00767387" w:rsidP="00955E96" w:rsidRDefault="00767387" w14:paraId="4E9429D1" w14:textId="77777777">
            <w:pPr>
              <w:widowControl/>
              <w:autoSpaceDE/>
              <w:autoSpaceDN/>
              <w:adjustRightInd/>
              <w:jc w:val="right"/>
              <w:rPr>
                <w:color w:val="000000"/>
                <w:sz w:val="22"/>
                <w:szCs w:val="22"/>
              </w:rPr>
            </w:pPr>
            <w:r>
              <w:rPr>
                <w:color w:val="000000"/>
                <w:sz w:val="22"/>
                <w:szCs w:val="22"/>
              </w:rPr>
              <w:t>2</w:t>
            </w:r>
            <w:r w:rsidRPr="00B71DF4">
              <w:rPr>
                <w:color w:val="000000"/>
                <w:sz w:val="22"/>
                <w:szCs w:val="22"/>
              </w:rPr>
              <w:t>,</w:t>
            </w:r>
            <w:r>
              <w:rPr>
                <w:color w:val="000000"/>
                <w:sz w:val="22"/>
                <w:szCs w:val="22"/>
              </w:rPr>
              <w:t>0</w:t>
            </w:r>
            <w:r w:rsidRPr="00B71DF4">
              <w:rPr>
                <w:color w:val="000000"/>
                <w:sz w:val="22"/>
                <w:szCs w:val="22"/>
              </w:rPr>
              <w:t>50</w:t>
            </w:r>
          </w:p>
        </w:tc>
        <w:tc>
          <w:tcPr>
            <w:tcW w:w="1365" w:type="dxa"/>
            <w:tcBorders>
              <w:top w:val="nil"/>
              <w:left w:val="nil"/>
              <w:bottom w:val="single" w:color="auto" w:sz="4" w:space="0"/>
              <w:right w:val="single" w:color="auto" w:sz="4" w:space="0"/>
            </w:tcBorders>
            <w:shd w:val="clear" w:color="auto" w:fill="auto"/>
            <w:noWrap/>
            <w:vAlign w:val="bottom"/>
            <w:hideMark/>
          </w:tcPr>
          <w:p w:rsidRPr="00B71DF4" w:rsidR="00767387" w:rsidP="00955E96" w:rsidRDefault="00767387" w14:paraId="25150694" w14:textId="77777777">
            <w:pPr>
              <w:widowControl/>
              <w:autoSpaceDE/>
              <w:autoSpaceDN/>
              <w:adjustRightInd/>
              <w:jc w:val="right"/>
              <w:rPr>
                <w:color w:val="000000"/>
                <w:sz w:val="22"/>
                <w:szCs w:val="22"/>
              </w:rPr>
            </w:pPr>
            <w:r>
              <w:rPr>
                <w:color w:val="000000"/>
                <w:sz w:val="22"/>
                <w:szCs w:val="22"/>
              </w:rPr>
              <w:t>-2</w:t>
            </w:r>
            <w:r w:rsidRPr="00B71DF4">
              <w:rPr>
                <w:color w:val="000000"/>
                <w:sz w:val="22"/>
                <w:szCs w:val="22"/>
              </w:rPr>
              <w:t>00</w:t>
            </w:r>
          </w:p>
        </w:tc>
        <w:tc>
          <w:tcPr>
            <w:tcW w:w="842" w:type="dxa"/>
            <w:tcBorders>
              <w:top w:val="nil"/>
              <w:left w:val="nil"/>
              <w:bottom w:val="single" w:color="auto" w:sz="4" w:space="0"/>
              <w:right w:val="single" w:color="auto" w:sz="4" w:space="0"/>
            </w:tcBorders>
            <w:shd w:val="clear" w:color="auto" w:fill="auto"/>
            <w:noWrap/>
            <w:vAlign w:val="bottom"/>
            <w:hideMark/>
          </w:tcPr>
          <w:p w:rsidRPr="00B71DF4" w:rsidR="00767387" w:rsidP="00955E96" w:rsidRDefault="00767387" w14:paraId="32AA1277" w14:textId="77777777">
            <w:pPr>
              <w:widowControl/>
              <w:autoSpaceDE/>
              <w:autoSpaceDN/>
              <w:adjustRightInd/>
              <w:jc w:val="right"/>
              <w:rPr>
                <w:color w:val="000000"/>
                <w:sz w:val="22"/>
                <w:szCs w:val="22"/>
              </w:rPr>
            </w:pPr>
            <w:r>
              <w:rPr>
                <w:color w:val="000000"/>
                <w:sz w:val="22"/>
                <w:szCs w:val="22"/>
              </w:rPr>
              <w:t>-1,550</w:t>
            </w:r>
          </w:p>
        </w:tc>
      </w:tr>
    </w:tbl>
    <w:p w:rsidR="00767387" w:rsidP="00767387" w:rsidRDefault="00767387" w14:paraId="45B113DA" w14:textId="77777777">
      <w:pPr>
        <w:pStyle w:val="BodyText"/>
        <w:kinsoku w:val="0"/>
        <w:overflowPunct w:val="0"/>
        <w:spacing w:before="92"/>
        <w:ind w:left="1080" w:right="409"/>
      </w:pPr>
    </w:p>
    <w:p w:rsidR="00300FCA" w:rsidP="00801746" w:rsidRDefault="00D230CD" w14:paraId="22E62DC7" w14:textId="77777777">
      <w:pPr>
        <w:pStyle w:val="ListParagraph"/>
        <w:tabs>
          <w:tab w:val="left" w:pos="480"/>
        </w:tabs>
        <w:kinsoku w:val="0"/>
        <w:overflowPunct w:val="0"/>
        <w:ind w:left="540" w:firstLine="0"/>
        <w:rPr>
          <w:w w:val="105"/>
          <w:sz w:val="22"/>
          <w:szCs w:val="22"/>
        </w:rPr>
      </w:pPr>
      <w:r w:rsidRPr="00801746">
        <w:rPr>
          <w:w w:val="105"/>
          <w:sz w:val="22"/>
        </w:rPr>
        <w:t>16.</w:t>
      </w:r>
      <w:r>
        <w:rPr>
          <w:w w:val="105"/>
          <w:sz w:val="22"/>
          <w:szCs w:val="22"/>
          <w:u w:val="single"/>
        </w:rPr>
        <w:t xml:space="preserve"> </w:t>
      </w:r>
      <w:r w:rsidR="00300FCA">
        <w:rPr>
          <w:w w:val="105"/>
          <w:sz w:val="22"/>
          <w:szCs w:val="22"/>
          <w:u w:val="single"/>
        </w:rPr>
        <w:t>Publication</w:t>
      </w:r>
      <w:r w:rsidR="00300FCA">
        <w:rPr>
          <w:spacing w:val="-28"/>
          <w:w w:val="105"/>
          <w:sz w:val="22"/>
          <w:szCs w:val="22"/>
          <w:u w:val="single"/>
        </w:rPr>
        <w:t xml:space="preserve"> </w:t>
      </w:r>
      <w:r w:rsidR="00300FCA">
        <w:rPr>
          <w:w w:val="105"/>
          <w:sz w:val="22"/>
          <w:szCs w:val="22"/>
          <w:u w:val="single"/>
        </w:rPr>
        <w:t>for</w:t>
      </w:r>
      <w:r w:rsidR="00300FCA">
        <w:rPr>
          <w:spacing w:val="-20"/>
          <w:w w:val="105"/>
          <w:sz w:val="22"/>
          <w:szCs w:val="22"/>
          <w:u w:val="single"/>
        </w:rPr>
        <w:t xml:space="preserve"> </w:t>
      </w:r>
      <w:r w:rsidR="00300FCA">
        <w:rPr>
          <w:w w:val="105"/>
          <w:sz w:val="22"/>
          <w:szCs w:val="22"/>
          <w:u w:val="single"/>
        </w:rPr>
        <w:t>Statistical</w:t>
      </w:r>
      <w:r w:rsidR="00300FCA">
        <w:rPr>
          <w:spacing w:val="-15"/>
          <w:w w:val="105"/>
          <w:sz w:val="22"/>
          <w:szCs w:val="22"/>
          <w:u w:val="single"/>
        </w:rPr>
        <w:t xml:space="preserve"> </w:t>
      </w:r>
      <w:r w:rsidR="00300FCA">
        <w:rPr>
          <w:w w:val="105"/>
          <w:sz w:val="22"/>
          <w:szCs w:val="22"/>
          <w:u w:val="single"/>
        </w:rPr>
        <w:t>Use</w:t>
      </w:r>
    </w:p>
    <w:p w:rsidR="00300FCA" w:rsidP="00D230CD" w:rsidRDefault="00300FCA" w14:paraId="7376E37D" w14:textId="77777777">
      <w:pPr>
        <w:pStyle w:val="BodyText"/>
        <w:kinsoku w:val="0"/>
        <w:overflowPunct w:val="0"/>
        <w:spacing w:before="11"/>
        <w:rPr>
          <w:sz w:val="13"/>
          <w:szCs w:val="13"/>
        </w:rPr>
      </w:pPr>
    </w:p>
    <w:p w:rsidR="00300FCA" w:rsidP="00801746" w:rsidRDefault="00300FCA" w14:paraId="33022C18" w14:textId="77777777">
      <w:pPr>
        <w:pStyle w:val="BodyText"/>
        <w:kinsoku w:val="0"/>
        <w:overflowPunct w:val="0"/>
        <w:spacing w:before="92"/>
        <w:ind w:left="1080" w:right="409"/>
      </w:pPr>
      <w:r>
        <w:t>There are no plans to publish the information received from licensees pursuant to these reporting requirements.</w:t>
      </w:r>
    </w:p>
    <w:p w:rsidR="00300FCA" w:rsidP="00801746" w:rsidRDefault="00D230CD" w14:paraId="75626DF5" w14:textId="77777777">
      <w:pPr>
        <w:pStyle w:val="ListParagraph"/>
        <w:tabs>
          <w:tab w:val="left" w:pos="480"/>
        </w:tabs>
        <w:kinsoku w:val="0"/>
        <w:overflowPunct w:val="0"/>
        <w:spacing w:before="191"/>
        <w:ind w:left="540" w:firstLine="0"/>
        <w:rPr>
          <w:sz w:val="22"/>
          <w:szCs w:val="22"/>
        </w:rPr>
      </w:pPr>
      <w:r w:rsidRPr="00801746">
        <w:rPr>
          <w:sz w:val="22"/>
        </w:rPr>
        <w:t>17.</w:t>
      </w:r>
      <w:r>
        <w:rPr>
          <w:sz w:val="22"/>
          <w:szCs w:val="22"/>
          <w:u w:val="single"/>
        </w:rPr>
        <w:t xml:space="preserve"> </w:t>
      </w:r>
      <w:r w:rsidR="00300FCA">
        <w:rPr>
          <w:sz w:val="22"/>
          <w:szCs w:val="22"/>
          <w:u w:val="single"/>
        </w:rPr>
        <w:t>Reason</w:t>
      </w:r>
      <w:r w:rsidR="00300FCA">
        <w:rPr>
          <w:spacing w:val="-30"/>
          <w:sz w:val="22"/>
          <w:szCs w:val="22"/>
          <w:u w:val="single"/>
        </w:rPr>
        <w:t xml:space="preserve"> </w:t>
      </w:r>
      <w:r w:rsidR="00300FCA">
        <w:rPr>
          <w:sz w:val="22"/>
          <w:szCs w:val="22"/>
          <w:u w:val="single"/>
        </w:rPr>
        <w:t>for</w:t>
      </w:r>
      <w:r w:rsidR="00300FCA">
        <w:rPr>
          <w:spacing w:val="-11"/>
          <w:sz w:val="22"/>
          <w:szCs w:val="22"/>
          <w:u w:val="single"/>
        </w:rPr>
        <w:t xml:space="preserve"> </w:t>
      </w:r>
      <w:r w:rsidR="00300FCA">
        <w:rPr>
          <w:sz w:val="22"/>
          <w:szCs w:val="22"/>
          <w:u w:val="single"/>
        </w:rPr>
        <w:t>Not</w:t>
      </w:r>
      <w:r w:rsidR="00300FCA">
        <w:rPr>
          <w:spacing w:val="-19"/>
          <w:sz w:val="22"/>
          <w:szCs w:val="22"/>
          <w:u w:val="single"/>
        </w:rPr>
        <w:t xml:space="preserve"> </w:t>
      </w:r>
      <w:r w:rsidR="00300FCA">
        <w:rPr>
          <w:sz w:val="22"/>
          <w:szCs w:val="22"/>
          <w:u w:val="single"/>
        </w:rPr>
        <w:t>Displaying</w:t>
      </w:r>
      <w:r w:rsidR="00300FCA">
        <w:rPr>
          <w:spacing w:val="-19"/>
          <w:sz w:val="22"/>
          <w:szCs w:val="22"/>
          <w:u w:val="single"/>
        </w:rPr>
        <w:t xml:space="preserve"> </w:t>
      </w:r>
      <w:r w:rsidR="00300FCA">
        <w:rPr>
          <w:sz w:val="22"/>
          <w:szCs w:val="22"/>
          <w:u w:val="single"/>
        </w:rPr>
        <w:t>the</w:t>
      </w:r>
      <w:r w:rsidR="00300FCA">
        <w:rPr>
          <w:spacing w:val="-14"/>
          <w:sz w:val="22"/>
          <w:szCs w:val="22"/>
          <w:u w:val="single"/>
        </w:rPr>
        <w:t xml:space="preserve"> </w:t>
      </w:r>
      <w:r w:rsidR="00300FCA">
        <w:rPr>
          <w:sz w:val="22"/>
          <w:szCs w:val="22"/>
          <w:u w:val="single"/>
        </w:rPr>
        <w:t>Expiration</w:t>
      </w:r>
      <w:r w:rsidR="00300FCA">
        <w:rPr>
          <w:spacing w:val="-12"/>
          <w:sz w:val="22"/>
          <w:szCs w:val="22"/>
          <w:u w:val="single"/>
        </w:rPr>
        <w:t xml:space="preserve"> </w:t>
      </w:r>
      <w:r w:rsidR="00300FCA">
        <w:rPr>
          <w:sz w:val="22"/>
          <w:szCs w:val="22"/>
          <w:u w:val="single"/>
        </w:rPr>
        <w:t>D</w:t>
      </w:r>
      <w:r w:rsidR="00300FCA">
        <w:rPr>
          <w:sz w:val="22"/>
          <w:szCs w:val="22"/>
        </w:rPr>
        <w:t>ate.</w:t>
      </w:r>
    </w:p>
    <w:p w:rsidR="00300FCA" w:rsidP="00D230CD" w:rsidRDefault="00300FCA" w14:paraId="5C2136A7" w14:textId="77777777">
      <w:pPr>
        <w:pStyle w:val="BodyText"/>
        <w:kinsoku w:val="0"/>
        <w:overflowPunct w:val="0"/>
        <w:spacing w:before="10"/>
        <w:rPr>
          <w:sz w:val="13"/>
          <w:szCs w:val="13"/>
        </w:rPr>
      </w:pPr>
    </w:p>
    <w:p w:rsidR="00300FCA" w:rsidP="00801746" w:rsidRDefault="00300FCA" w14:paraId="013A9F2E" w14:textId="77777777">
      <w:pPr>
        <w:pStyle w:val="BodyText"/>
        <w:kinsoku w:val="0"/>
        <w:overflowPunct w:val="0"/>
        <w:spacing w:before="93"/>
        <w:ind w:left="1080"/>
      </w:pPr>
      <w:r>
        <w:t xml:space="preserve">The requirement will be contained in a regulation. Amending the Code of Federal </w:t>
      </w:r>
      <w:r>
        <w:lastRenderedPageBreak/>
        <w:t>Regulations</w:t>
      </w:r>
      <w:r>
        <w:rPr>
          <w:spacing w:val="-22"/>
        </w:rPr>
        <w:t xml:space="preserve"> </w:t>
      </w:r>
      <w:r>
        <w:t>to</w:t>
      </w:r>
      <w:r>
        <w:rPr>
          <w:spacing w:val="-24"/>
        </w:rPr>
        <w:t xml:space="preserve"> </w:t>
      </w:r>
      <w:r>
        <w:t>display</w:t>
      </w:r>
      <w:r>
        <w:rPr>
          <w:spacing w:val="-16"/>
        </w:rPr>
        <w:t xml:space="preserve"> </w:t>
      </w:r>
      <w:r>
        <w:t>information</w:t>
      </w:r>
      <w:r>
        <w:rPr>
          <w:spacing w:val="-21"/>
        </w:rPr>
        <w:t xml:space="preserve"> </w:t>
      </w:r>
      <w:r>
        <w:t>that,</w:t>
      </w:r>
      <w:r>
        <w:rPr>
          <w:spacing w:val="-5"/>
        </w:rPr>
        <w:t xml:space="preserve"> </w:t>
      </w:r>
      <w:r>
        <w:t>in</w:t>
      </w:r>
      <w:r>
        <w:rPr>
          <w:spacing w:val="-34"/>
        </w:rPr>
        <w:t xml:space="preserve"> </w:t>
      </w:r>
      <w:r>
        <w:t>an</w:t>
      </w:r>
      <w:r>
        <w:rPr>
          <w:spacing w:val="-26"/>
        </w:rPr>
        <w:t xml:space="preserve"> </w:t>
      </w:r>
      <w:r>
        <w:t>annual</w:t>
      </w:r>
      <w:r>
        <w:rPr>
          <w:spacing w:val="-17"/>
        </w:rPr>
        <w:t xml:space="preserve"> </w:t>
      </w:r>
      <w:r>
        <w:t>publication,</w:t>
      </w:r>
      <w:r>
        <w:rPr>
          <w:spacing w:val="-33"/>
        </w:rPr>
        <w:t xml:space="preserve"> </w:t>
      </w:r>
      <w:r>
        <w:t>could</w:t>
      </w:r>
      <w:r>
        <w:rPr>
          <w:spacing w:val="42"/>
        </w:rPr>
        <w:t xml:space="preserve"> </w:t>
      </w:r>
      <w:r>
        <w:t>become</w:t>
      </w:r>
      <w:r>
        <w:rPr>
          <w:spacing w:val="-20"/>
        </w:rPr>
        <w:t xml:space="preserve"> </w:t>
      </w:r>
      <w:r>
        <w:t>obsolete would</w:t>
      </w:r>
      <w:r>
        <w:rPr>
          <w:spacing w:val="-1"/>
        </w:rPr>
        <w:t xml:space="preserve"> </w:t>
      </w:r>
      <w:r>
        <w:t>be</w:t>
      </w:r>
      <w:r>
        <w:rPr>
          <w:spacing w:val="-19"/>
        </w:rPr>
        <w:t xml:space="preserve"> </w:t>
      </w:r>
      <w:r>
        <w:t>unduly</w:t>
      </w:r>
      <w:r>
        <w:rPr>
          <w:spacing w:val="-8"/>
        </w:rPr>
        <w:t xml:space="preserve"> </w:t>
      </w:r>
      <w:r>
        <w:t>burdensome</w:t>
      </w:r>
      <w:r>
        <w:rPr>
          <w:spacing w:val="-6"/>
        </w:rPr>
        <w:t xml:space="preserve"> </w:t>
      </w:r>
      <w:r>
        <w:t>and</w:t>
      </w:r>
      <w:r>
        <w:rPr>
          <w:spacing w:val="-21"/>
        </w:rPr>
        <w:t xml:space="preserve"> </w:t>
      </w:r>
      <w:r>
        <w:t>too</w:t>
      </w:r>
      <w:r>
        <w:rPr>
          <w:spacing w:val="-14"/>
        </w:rPr>
        <w:t xml:space="preserve"> </w:t>
      </w:r>
      <w:r>
        <w:t>difficult</w:t>
      </w:r>
      <w:r>
        <w:rPr>
          <w:spacing w:val="-14"/>
        </w:rPr>
        <w:t xml:space="preserve"> </w:t>
      </w:r>
      <w:r>
        <w:t>to</w:t>
      </w:r>
      <w:r>
        <w:rPr>
          <w:spacing w:val="-13"/>
        </w:rPr>
        <w:t xml:space="preserve"> </w:t>
      </w:r>
      <w:r>
        <w:t>keep</w:t>
      </w:r>
      <w:r>
        <w:rPr>
          <w:spacing w:val="-11"/>
        </w:rPr>
        <w:t xml:space="preserve"> </w:t>
      </w:r>
      <w:r>
        <w:t>current.</w:t>
      </w:r>
    </w:p>
    <w:p w:rsidR="00300FCA" w:rsidP="00D230CD" w:rsidRDefault="00300FCA" w14:paraId="40F95A83" w14:textId="77777777">
      <w:pPr>
        <w:pStyle w:val="BodyText"/>
        <w:kinsoku w:val="0"/>
        <w:overflowPunct w:val="0"/>
      </w:pPr>
    </w:p>
    <w:p w:rsidR="00300FCA" w:rsidP="00801746" w:rsidRDefault="00D230CD" w14:paraId="39123346" w14:textId="77777777">
      <w:pPr>
        <w:pStyle w:val="ListParagraph"/>
        <w:tabs>
          <w:tab w:val="left" w:pos="480"/>
        </w:tabs>
        <w:kinsoku w:val="0"/>
        <w:overflowPunct w:val="0"/>
        <w:ind w:left="540" w:firstLine="0"/>
        <w:rPr>
          <w:sz w:val="22"/>
          <w:szCs w:val="22"/>
        </w:rPr>
      </w:pPr>
      <w:r w:rsidRPr="00801746">
        <w:rPr>
          <w:sz w:val="22"/>
        </w:rPr>
        <w:t>18.</w:t>
      </w:r>
      <w:r>
        <w:rPr>
          <w:sz w:val="22"/>
          <w:szCs w:val="22"/>
          <w:u w:val="single"/>
        </w:rPr>
        <w:t xml:space="preserve"> </w:t>
      </w:r>
      <w:r w:rsidR="00300FCA">
        <w:rPr>
          <w:sz w:val="22"/>
          <w:szCs w:val="22"/>
          <w:u w:val="single"/>
        </w:rPr>
        <w:t>Exceptions</w:t>
      </w:r>
      <w:r w:rsidR="00300FCA">
        <w:rPr>
          <w:spacing w:val="-35"/>
          <w:sz w:val="22"/>
          <w:szCs w:val="22"/>
          <w:u w:val="single"/>
        </w:rPr>
        <w:t xml:space="preserve"> </w:t>
      </w:r>
      <w:r w:rsidR="00300FCA">
        <w:rPr>
          <w:spacing w:val="4"/>
          <w:sz w:val="22"/>
          <w:szCs w:val="22"/>
          <w:u w:val="single"/>
        </w:rPr>
        <w:t>to the</w:t>
      </w:r>
      <w:r w:rsidR="00300FCA">
        <w:rPr>
          <w:spacing w:val="-32"/>
          <w:sz w:val="22"/>
          <w:szCs w:val="22"/>
          <w:u w:val="single"/>
        </w:rPr>
        <w:t xml:space="preserve"> </w:t>
      </w:r>
      <w:r w:rsidR="00300FCA">
        <w:rPr>
          <w:sz w:val="22"/>
          <w:szCs w:val="22"/>
          <w:u w:val="single"/>
        </w:rPr>
        <w:t>Certification</w:t>
      </w:r>
      <w:r w:rsidR="00300FCA">
        <w:rPr>
          <w:spacing w:val="-31"/>
          <w:sz w:val="22"/>
          <w:szCs w:val="22"/>
          <w:u w:val="single"/>
        </w:rPr>
        <w:t xml:space="preserve"> </w:t>
      </w:r>
      <w:r w:rsidR="00300FCA">
        <w:rPr>
          <w:sz w:val="22"/>
          <w:szCs w:val="22"/>
          <w:u w:val="single"/>
        </w:rPr>
        <w:t>S</w:t>
      </w:r>
      <w:r w:rsidR="00300FCA">
        <w:rPr>
          <w:sz w:val="22"/>
          <w:szCs w:val="22"/>
        </w:rPr>
        <w:t>tatement.</w:t>
      </w:r>
    </w:p>
    <w:p w:rsidR="00300FCA" w:rsidP="00D230CD" w:rsidRDefault="00300FCA" w14:paraId="0A45E803" w14:textId="77777777">
      <w:pPr>
        <w:pStyle w:val="BodyText"/>
        <w:kinsoku w:val="0"/>
        <w:overflowPunct w:val="0"/>
        <w:spacing w:before="9"/>
        <w:rPr>
          <w:sz w:val="13"/>
          <w:szCs w:val="13"/>
        </w:rPr>
      </w:pPr>
    </w:p>
    <w:p w:rsidR="00300FCA" w:rsidP="00801746" w:rsidRDefault="00300FCA" w14:paraId="36E27DED" w14:textId="77777777">
      <w:pPr>
        <w:pStyle w:val="BodyText"/>
        <w:kinsoku w:val="0"/>
        <w:overflowPunct w:val="0"/>
        <w:spacing w:before="93"/>
        <w:ind w:left="1080"/>
      </w:pPr>
      <w:r>
        <w:t>There are no exceptions.</w:t>
      </w:r>
    </w:p>
    <w:p w:rsidR="00300FCA" w:rsidP="00801746" w:rsidRDefault="00300FCA" w14:paraId="2A05C7D6" w14:textId="77777777">
      <w:pPr>
        <w:pStyle w:val="BodyText"/>
        <w:kinsoku w:val="0"/>
        <w:overflowPunct w:val="0"/>
        <w:spacing w:before="7"/>
      </w:pPr>
    </w:p>
    <w:sectPr w:rsidR="00300FCA" w:rsidSect="006C5B74">
      <w:footerReference w:type="default" r:id="rId9"/>
      <w:pgSz w:w="12240" w:h="15840"/>
      <w:pgMar w:top="1440" w:right="1440" w:bottom="1440" w:left="1440" w:header="720" w:footer="720" w:gutter="0"/>
      <w:cols w:equalWidth="0" w:space="720">
        <w:col w:w="9120"/>
      </w:cols>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3465F" w14:textId="77777777" w:rsidR="005760F9" w:rsidRDefault="005760F9">
      <w:r>
        <w:separator/>
      </w:r>
    </w:p>
  </w:endnote>
  <w:endnote w:type="continuationSeparator" w:id="0">
    <w:p w14:paraId="7DC1B034" w14:textId="77777777" w:rsidR="005760F9" w:rsidRDefault="005760F9">
      <w:r>
        <w:continuationSeparator/>
      </w:r>
    </w:p>
  </w:endnote>
  <w:endnote w:type="continuationNotice" w:id="1">
    <w:p w14:paraId="10C99BD1" w14:textId="77777777" w:rsidR="005760F9" w:rsidRDefault="005760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WP TypographicSymbol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9574424"/>
      <w:docPartObj>
        <w:docPartGallery w:val="Page Numbers (Bottom of Page)"/>
        <w:docPartUnique/>
      </w:docPartObj>
    </w:sdtPr>
    <w:sdtEndPr>
      <w:rPr>
        <w:noProof/>
      </w:rPr>
    </w:sdtEndPr>
    <w:sdtContent>
      <w:p w14:paraId="5905DC0F" w14:textId="05DF658E" w:rsidR="006C5B74" w:rsidRDefault="006C5B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797B21" w14:textId="77777777" w:rsidR="006C5B74" w:rsidRDefault="006C5B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44899" w14:textId="77777777" w:rsidR="005760F9" w:rsidRDefault="005760F9">
      <w:r>
        <w:separator/>
      </w:r>
    </w:p>
  </w:footnote>
  <w:footnote w:type="continuationSeparator" w:id="0">
    <w:p w14:paraId="7186554A" w14:textId="77777777" w:rsidR="005760F9" w:rsidRDefault="005760F9">
      <w:r>
        <w:continuationSeparator/>
      </w:r>
    </w:p>
  </w:footnote>
  <w:footnote w:type="continuationNotice" w:id="1">
    <w:p w14:paraId="3C274732" w14:textId="77777777" w:rsidR="005760F9" w:rsidRDefault="005760F9"/>
  </w:footnote>
  <w:footnote w:id="2">
    <w:p w14:paraId="50BC5D93" w14:textId="7CFDCDEE" w:rsidR="00790B0A" w:rsidRDefault="00790B0A">
      <w:pPr>
        <w:pStyle w:val="FootnoteText"/>
      </w:pPr>
      <w:r>
        <w:rPr>
          <w:rStyle w:val="FootnoteReference"/>
        </w:rPr>
        <w:footnoteRef/>
      </w:r>
      <w:r>
        <w:t xml:space="preserve"> </w:t>
      </w:r>
      <w:bookmarkStart w:id="0" w:name="_Hlk94788909"/>
      <w:r w:rsidR="00E51074">
        <w:t xml:space="preserve">The information collections for </w:t>
      </w:r>
      <w:r>
        <w:t xml:space="preserve">NRC Form </w:t>
      </w:r>
      <w:r w:rsidR="00E51074">
        <w:t xml:space="preserve">781 and NRC Form 782 are covered by the </w:t>
      </w:r>
      <w:r w:rsidR="00E271B5">
        <w:t>OMB Control Number 3150-0053.</w:t>
      </w:r>
      <w:bookmarkEnd w:id="0"/>
    </w:p>
  </w:footnote>
  <w:footnote w:id="3">
    <w:p w14:paraId="507898B9" w14:textId="289D4760" w:rsidR="005C56A0" w:rsidRDefault="005C56A0">
      <w:pPr>
        <w:pStyle w:val="FootnoteText"/>
      </w:pPr>
      <w:r>
        <w:rPr>
          <w:rStyle w:val="FootnoteReference"/>
        </w:rPr>
        <w:footnoteRef/>
      </w:r>
      <w:r>
        <w:t xml:space="preserve"> </w:t>
      </w:r>
      <w:r w:rsidR="005B46AA">
        <w:t>The information collections for NRC Form 781 and NRC Form 782 are covered by the OMB Control Number 3150-0053.</w:t>
      </w:r>
    </w:p>
  </w:footnote>
  <w:footnote w:id="4">
    <w:p w14:paraId="733769FE" w14:textId="77777777" w:rsidR="00767387" w:rsidRDefault="00767387" w:rsidP="00767387">
      <w:pPr>
        <w:pStyle w:val="BodyText"/>
        <w:kinsoku w:val="0"/>
        <w:overflowPunct w:val="0"/>
        <w:spacing w:before="58" w:line="242" w:lineRule="auto"/>
        <w:ind w:right="174"/>
      </w:pPr>
      <w:r>
        <w:rPr>
          <w:rStyle w:val="FootnoteReference"/>
        </w:rPr>
        <w:footnoteRef/>
      </w:r>
      <w:r w:rsidRPr="00300FCA">
        <w:rPr>
          <w:position w:val="7"/>
          <w:sz w:val="14"/>
          <w:szCs w:val="14"/>
        </w:rPr>
        <w:t xml:space="preserve"> </w:t>
      </w:r>
      <w:r w:rsidRPr="00300FCA">
        <w:rPr>
          <w:sz w:val="14"/>
          <w:szCs w:val="14"/>
        </w:rPr>
        <w:t>Each recipient is required to submit requirements during the Pre-Award process, the Post-Award process, an Annual EO report, and other collections, if requested (e.g. investigate and correct violations, complaint filed, etc.).</w:t>
      </w:r>
      <w:r>
        <w:rPr>
          <w:sz w:val="14"/>
          <w:szCs w:val="14"/>
        </w:rPr>
        <w:t xml:space="preserve"> </w:t>
      </w:r>
      <w:r w:rsidRPr="00300FCA">
        <w:rPr>
          <w:sz w:val="14"/>
          <w:szCs w:val="14"/>
        </w:rPr>
        <w:t>At a minimum, 3 reports and 3 collections are required unless the NRC determines information is necessary to satisfy a complaint, investigate or correct a violation, or other information as needed.</w:t>
      </w:r>
    </w:p>
    <w:p w14:paraId="2FEA1D80" w14:textId="77777777" w:rsidR="00767387" w:rsidRDefault="00767387" w:rsidP="0076738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lowerLetter"/>
      <w:lvlText w:val="(%1)"/>
      <w:lvlJc w:val="left"/>
      <w:pPr>
        <w:ind w:left="100" w:hanging="721"/>
      </w:pPr>
      <w:rPr>
        <w:rFonts w:ascii="Arial" w:hAnsi="Arial" w:cs="Arial"/>
        <w:b w:val="0"/>
        <w:bCs w:val="0"/>
        <w:w w:val="99"/>
        <w:sz w:val="22"/>
        <w:szCs w:val="22"/>
      </w:rPr>
    </w:lvl>
    <w:lvl w:ilvl="1">
      <w:numFmt w:val="bullet"/>
      <w:lvlText w:val="•"/>
      <w:lvlJc w:val="left"/>
      <w:pPr>
        <w:ind w:left="1046" w:hanging="721"/>
      </w:pPr>
    </w:lvl>
    <w:lvl w:ilvl="2">
      <w:numFmt w:val="bullet"/>
      <w:lvlText w:val="•"/>
      <w:lvlJc w:val="left"/>
      <w:pPr>
        <w:ind w:left="1992" w:hanging="721"/>
      </w:pPr>
    </w:lvl>
    <w:lvl w:ilvl="3">
      <w:numFmt w:val="bullet"/>
      <w:lvlText w:val="•"/>
      <w:lvlJc w:val="left"/>
      <w:pPr>
        <w:ind w:left="2938" w:hanging="721"/>
      </w:pPr>
    </w:lvl>
    <w:lvl w:ilvl="4">
      <w:numFmt w:val="bullet"/>
      <w:lvlText w:val="•"/>
      <w:lvlJc w:val="left"/>
      <w:pPr>
        <w:ind w:left="3884" w:hanging="721"/>
      </w:pPr>
    </w:lvl>
    <w:lvl w:ilvl="5">
      <w:numFmt w:val="bullet"/>
      <w:lvlText w:val="•"/>
      <w:lvlJc w:val="left"/>
      <w:pPr>
        <w:ind w:left="4830" w:hanging="721"/>
      </w:pPr>
    </w:lvl>
    <w:lvl w:ilvl="6">
      <w:numFmt w:val="bullet"/>
      <w:lvlText w:val="•"/>
      <w:lvlJc w:val="left"/>
      <w:pPr>
        <w:ind w:left="5776" w:hanging="721"/>
      </w:pPr>
    </w:lvl>
    <w:lvl w:ilvl="7">
      <w:numFmt w:val="bullet"/>
      <w:lvlText w:val="•"/>
      <w:lvlJc w:val="left"/>
      <w:pPr>
        <w:ind w:left="6722" w:hanging="721"/>
      </w:pPr>
    </w:lvl>
    <w:lvl w:ilvl="8">
      <w:numFmt w:val="bullet"/>
      <w:lvlText w:val="•"/>
      <w:lvlJc w:val="left"/>
      <w:pPr>
        <w:ind w:left="7668" w:hanging="721"/>
      </w:pPr>
    </w:lvl>
  </w:abstractNum>
  <w:abstractNum w:abstractNumId="1" w15:restartNumberingAfterBreak="0">
    <w:nsid w:val="00000403"/>
    <w:multiLevelType w:val="multilevel"/>
    <w:tmpl w:val="00000886"/>
    <w:lvl w:ilvl="0">
      <w:start w:val="1"/>
      <w:numFmt w:val="upperLetter"/>
      <w:lvlText w:val="%1."/>
      <w:lvlJc w:val="left"/>
      <w:pPr>
        <w:ind w:left="498" w:hanging="399"/>
      </w:pPr>
      <w:rPr>
        <w:rFonts w:ascii="Arial" w:hAnsi="Arial" w:cs="Arial"/>
        <w:b w:val="0"/>
        <w:bCs w:val="0"/>
        <w:color w:val="1A1A1A"/>
        <w:w w:val="90"/>
        <w:sz w:val="22"/>
        <w:szCs w:val="22"/>
      </w:rPr>
    </w:lvl>
    <w:lvl w:ilvl="1">
      <w:start w:val="1"/>
      <w:numFmt w:val="decimal"/>
      <w:lvlText w:val="%2."/>
      <w:lvlJc w:val="left"/>
      <w:pPr>
        <w:ind w:left="840" w:hanging="360"/>
      </w:pPr>
      <w:rPr>
        <w:rFonts w:ascii="Arial" w:hAnsi="Arial" w:cs="Arial"/>
        <w:b w:val="0"/>
        <w:bCs w:val="0"/>
        <w:w w:val="99"/>
        <w:sz w:val="22"/>
        <w:szCs w:val="22"/>
      </w:rPr>
    </w:lvl>
    <w:lvl w:ilvl="2">
      <w:numFmt w:val="bullet"/>
      <w:lvlText w:val="•"/>
      <w:lvlJc w:val="left"/>
      <w:pPr>
        <w:ind w:left="1795" w:hanging="360"/>
      </w:pPr>
    </w:lvl>
    <w:lvl w:ilvl="3">
      <w:numFmt w:val="bullet"/>
      <w:lvlText w:val="•"/>
      <w:lvlJc w:val="left"/>
      <w:pPr>
        <w:ind w:left="2751" w:hanging="360"/>
      </w:pPr>
    </w:lvl>
    <w:lvl w:ilvl="4">
      <w:numFmt w:val="bullet"/>
      <w:lvlText w:val="•"/>
      <w:lvlJc w:val="left"/>
      <w:pPr>
        <w:ind w:left="3706" w:hanging="360"/>
      </w:pPr>
    </w:lvl>
    <w:lvl w:ilvl="5">
      <w:numFmt w:val="bullet"/>
      <w:lvlText w:val="•"/>
      <w:lvlJc w:val="left"/>
      <w:pPr>
        <w:ind w:left="4662" w:hanging="360"/>
      </w:pPr>
    </w:lvl>
    <w:lvl w:ilvl="6">
      <w:numFmt w:val="bullet"/>
      <w:lvlText w:val="•"/>
      <w:lvlJc w:val="left"/>
      <w:pPr>
        <w:ind w:left="5617" w:hanging="360"/>
      </w:pPr>
    </w:lvl>
    <w:lvl w:ilvl="7">
      <w:numFmt w:val="bullet"/>
      <w:lvlText w:val="•"/>
      <w:lvlJc w:val="left"/>
      <w:pPr>
        <w:ind w:left="6573" w:hanging="360"/>
      </w:pPr>
    </w:lvl>
    <w:lvl w:ilvl="8">
      <w:numFmt w:val="bullet"/>
      <w:lvlText w:val="•"/>
      <w:lvlJc w:val="left"/>
      <w:pPr>
        <w:ind w:left="7528" w:hanging="360"/>
      </w:pPr>
    </w:lvl>
  </w:abstractNum>
  <w:abstractNum w:abstractNumId="2" w15:restartNumberingAfterBreak="0">
    <w:nsid w:val="340C5E56"/>
    <w:multiLevelType w:val="multilevel"/>
    <w:tmpl w:val="00000886"/>
    <w:lvl w:ilvl="0">
      <w:start w:val="1"/>
      <w:numFmt w:val="upperLetter"/>
      <w:lvlText w:val="%1."/>
      <w:lvlJc w:val="left"/>
      <w:pPr>
        <w:ind w:left="498" w:hanging="399"/>
      </w:pPr>
      <w:rPr>
        <w:rFonts w:ascii="Arial" w:hAnsi="Arial" w:cs="Arial"/>
        <w:b w:val="0"/>
        <w:bCs w:val="0"/>
        <w:color w:val="1A1A1A"/>
        <w:w w:val="90"/>
        <w:sz w:val="22"/>
        <w:szCs w:val="22"/>
      </w:rPr>
    </w:lvl>
    <w:lvl w:ilvl="1">
      <w:start w:val="1"/>
      <w:numFmt w:val="decimal"/>
      <w:lvlText w:val="%2."/>
      <w:lvlJc w:val="left"/>
      <w:pPr>
        <w:ind w:left="840" w:hanging="360"/>
      </w:pPr>
      <w:rPr>
        <w:rFonts w:ascii="Arial" w:hAnsi="Arial" w:cs="Arial"/>
        <w:b w:val="0"/>
        <w:bCs w:val="0"/>
        <w:w w:val="99"/>
        <w:sz w:val="22"/>
        <w:szCs w:val="22"/>
      </w:rPr>
    </w:lvl>
    <w:lvl w:ilvl="2">
      <w:numFmt w:val="bullet"/>
      <w:lvlText w:val="•"/>
      <w:lvlJc w:val="left"/>
      <w:pPr>
        <w:ind w:left="1795" w:hanging="360"/>
      </w:pPr>
    </w:lvl>
    <w:lvl w:ilvl="3">
      <w:numFmt w:val="bullet"/>
      <w:lvlText w:val="•"/>
      <w:lvlJc w:val="left"/>
      <w:pPr>
        <w:ind w:left="2751" w:hanging="360"/>
      </w:pPr>
    </w:lvl>
    <w:lvl w:ilvl="4">
      <w:numFmt w:val="bullet"/>
      <w:lvlText w:val="•"/>
      <w:lvlJc w:val="left"/>
      <w:pPr>
        <w:ind w:left="3706" w:hanging="360"/>
      </w:pPr>
    </w:lvl>
    <w:lvl w:ilvl="5">
      <w:numFmt w:val="bullet"/>
      <w:lvlText w:val="•"/>
      <w:lvlJc w:val="left"/>
      <w:pPr>
        <w:ind w:left="4662" w:hanging="360"/>
      </w:pPr>
    </w:lvl>
    <w:lvl w:ilvl="6">
      <w:numFmt w:val="bullet"/>
      <w:lvlText w:val="•"/>
      <w:lvlJc w:val="left"/>
      <w:pPr>
        <w:ind w:left="5617" w:hanging="360"/>
      </w:pPr>
    </w:lvl>
    <w:lvl w:ilvl="7">
      <w:numFmt w:val="bullet"/>
      <w:lvlText w:val="•"/>
      <w:lvlJc w:val="left"/>
      <w:pPr>
        <w:ind w:left="6573" w:hanging="360"/>
      </w:pPr>
    </w:lvl>
    <w:lvl w:ilvl="8">
      <w:numFmt w:val="bullet"/>
      <w:lvlText w:val="•"/>
      <w:lvlJc w:val="left"/>
      <w:pPr>
        <w:ind w:left="7528" w:hanging="360"/>
      </w:pPr>
    </w:lvl>
  </w:abstractNum>
  <w:abstractNum w:abstractNumId="3" w15:restartNumberingAfterBreak="0">
    <w:nsid w:val="40C16B82"/>
    <w:multiLevelType w:val="hybridMultilevel"/>
    <w:tmpl w:val="3C6EA350"/>
    <w:lvl w:ilvl="0" w:tplc="9036DF68">
      <w:start w:val="1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680C4B"/>
    <w:multiLevelType w:val="hybridMultilevel"/>
    <w:tmpl w:val="9D6A87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95349C"/>
    <w:multiLevelType w:val="hybridMultilevel"/>
    <w:tmpl w:val="27AA0DEC"/>
    <w:lvl w:ilvl="0" w:tplc="9036DF68">
      <w:start w:val="1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7312AE"/>
    <w:multiLevelType w:val="hybridMultilevel"/>
    <w:tmpl w:val="82A8F2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7001295">
    <w:abstractNumId w:val="1"/>
  </w:num>
  <w:num w:numId="2" w16cid:durableId="1280063384">
    <w:abstractNumId w:val="0"/>
  </w:num>
  <w:num w:numId="3" w16cid:durableId="247932163">
    <w:abstractNumId w:val="2"/>
  </w:num>
  <w:num w:numId="4" w16cid:durableId="2102675544">
    <w:abstractNumId w:val="6"/>
  </w:num>
  <w:num w:numId="5" w16cid:durableId="1228147988">
    <w:abstractNumId w:val="4"/>
  </w:num>
  <w:num w:numId="6" w16cid:durableId="2091080680">
    <w:abstractNumId w:val="5"/>
  </w:num>
  <w:num w:numId="7" w16cid:durableId="6965423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80A"/>
    <w:rsid w:val="000071C8"/>
    <w:rsid w:val="00024498"/>
    <w:rsid w:val="000636FE"/>
    <w:rsid w:val="00071946"/>
    <w:rsid w:val="0008162F"/>
    <w:rsid w:val="000B12F7"/>
    <w:rsid w:val="000B5368"/>
    <w:rsid w:val="000D34CC"/>
    <w:rsid w:val="000D52FA"/>
    <w:rsid w:val="000E0EAF"/>
    <w:rsid w:val="000E6385"/>
    <w:rsid w:val="000F4A92"/>
    <w:rsid w:val="00107FA9"/>
    <w:rsid w:val="00151218"/>
    <w:rsid w:val="001A44C7"/>
    <w:rsid w:val="001B1D17"/>
    <w:rsid w:val="001C2185"/>
    <w:rsid w:val="001C42AB"/>
    <w:rsid w:val="002200B8"/>
    <w:rsid w:val="00221612"/>
    <w:rsid w:val="00271D90"/>
    <w:rsid w:val="00282C13"/>
    <w:rsid w:val="002C06CB"/>
    <w:rsid w:val="002C652C"/>
    <w:rsid w:val="002F1D73"/>
    <w:rsid w:val="00300FCA"/>
    <w:rsid w:val="0035790F"/>
    <w:rsid w:val="00362FB6"/>
    <w:rsid w:val="00391C91"/>
    <w:rsid w:val="003B411F"/>
    <w:rsid w:val="00401703"/>
    <w:rsid w:val="004122E6"/>
    <w:rsid w:val="004B580A"/>
    <w:rsid w:val="004C5AD2"/>
    <w:rsid w:val="005570AB"/>
    <w:rsid w:val="005663A4"/>
    <w:rsid w:val="005760F9"/>
    <w:rsid w:val="00592C2E"/>
    <w:rsid w:val="005B46AA"/>
    <w:rsid w:val="005C1A06"/>
    <w:rsid w:val="005C56A0"/>
    <w:rsid w:val="005F48DE"/>
    <w:rsid w:val="005F7F63"/>
    <w:rsid w:val="00620785"/>
    <w:rsid w:val="00637637"/>
    <w:rsid w:val="00640AFF"/>
    <w:rsid w:val="006454FE"/>
    <w:rsid w:val="006666D9"/>
    <w:rsid w:val="00690F5A"/>
    <w:rsid w:val="006C5B74"/>
    <w:rsid w:val="006E44B6"/>
    <w:rsid w:val="00747632"/>
    <w:rsid w:val="00767387"/>
    <w:rsid w:val="007907D9"/>
    <w:rsid w:val="00790B0A"/>
    <w:rsid w:val="007920E1"/>
    <w:rsid w:val="007A1C5F"/>
    <w:rsid w:val="00801746"/>
    <w:rsid w:val="008141B4"/>
    <w:rsid w:val="00865CBA"/>
    <w:rsid w:val="00896344"/>
    <w:rsid w:val="008B04F8"/>
    <w:rsid w:val="008B1F8F"/>
    <w:rsid w:val="008D1D6B"/>
    <w:rsid w:val="00934F0A"/>
    <w:rsid w:val="00962BD1"/>
    <w:rsid w:val="0097499A"/>
    <w:rsid w:val="00974EE7"/>
    <w:rsid w:val="009D2A49"/>
    <w:rsid w:val="00A01F6C"/>
    <w:rsid w:val="00A15B4D"/>
    <w:rsid w:val="00A55266"/>
    <w:rsid w:val="00AA4B7D"/>
    <w:rsid w:val="00AA51FC"/>
    <w:rsid w:val="00AB248A"/>
    <w:rsid w:val="00AD74C9"/>
    <w:rsid w:val="00B76BC2"/>
    <w:rsid w:val="00BA36AD"/>
    <w:rsid w:val="00BD1AD3"/>
    <w:rsid w:val="00BE0886"/>
    <w:rsid w:val="00C45D1F"/>
    <w:rsid w:val="00C7738F"/>
    <w:rsid w:val="00CA7591"/>
    <w:rsid w:val="00CC49AF"/>
    <w:rsid w:val="00D21045"/>
    <w:rsid w:val="00D230CD"/>
    <w:rsid w:val="00D3487B"/>
    <w:rsid w:val="00D645BA"/>
    <w:rsid w:val="00D65E47"/>
    <w:rsid w:val="00DA391F"/>
    <w:rsid w:val="00E262F2"/>
    <w:rsid w:val="00E271B5"/>
    <w:rsid w:val="00E51074"/>
    <w:rsid w:val="00E6212C"/>
    <w:rsid w:val="00EA6307"/>
    <w:rsid w:val="00EA6712"/>
    <w:rsid w:val="00EE7710"/>
    <w:rsid w:val="00F27E55"/>
    <w:rsid w:val="00F807CC"/>
    <w:rsid w:val="00F96F3E"/>
    <w:rsid w:val="00FB1C95"/>
    <w:rsid w:val="00FB7142"/>
    <w:rsid w:val="00FF7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9F55AC"/>
  <w14:defaultImageDpi w14:val="96"/>
  <w15:docId w15:val="{2B866965-555D-4301-A9F1-7639CAF88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2"/>
      <w:szCs w:val="22"/>
    </w:rPr>
  </w:style>
  <w:style w:type="character" w:customStyle="1" w:styleId="BodyTextChar">
    <w:name w:val="Body Text Char"/>
    <w:link w:val="BodyText"/>
    <w:uiPriority w:val="99"/>
    <w:semiHidden/>
    <w:locked/>
    <w:rPr>
      <w:rFonts w:ascii="Arial" w:hAnsi="Arial" w:cs="Arial"/>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rPr>
      <w:rFonts w:ascii="Times New Roman" w:hAnsi="Times New Roman" w:cs="Times New Roman"/>
    </w:rPr>
  </w:style>
  <w:style w:type="character" w:styleId="CommentReference">
    <w:name w:val="annotation reference"/>
    <w:uiPriority w:val="99"/>
    <w:semiHidden/>
    <w:unhideWhenUsed/>
    <w:rsid w:val="00962BD1"/>
    <w:rPr>
      <w:sz w:val="16"/>
      <w:szCs w:val="16"/>
    </w:rPr>
  </w:style>
  <w:style w:type="paragraph" w:styleId="CommentText">
    <w:name w:val="annotation text"/>
    <w:basedOn w:val="Normal"/>
    <w:link w:val="CommentTextChar"/>
    <w:uiPriority w:val="99"/>
    <w:unhideWhenUsed/>
    <w:rsid w:val="00962BD1"/>
    <w:rPr>
      <w:sz w:val="20"/>
      <w:szCs w:val="20"/>
    </w:rPr>
  </w:style>
  <w:style w:type="character" w:customStyle="1" w:styleId="CommentTextChar">
    <w:name w:val="Comment Text Char"/>
    <w:link w:val="CommentText"/>
    <w:uiPriority w:val="99"/>
    <w:rsid w:val="00962BD1"/>
    <w:rPr>
      <w:rFonts w:ascii="Arial" w:hAnsi="Arial" w:cs="Arial"/>
    </w:rPr>
  </w:style>
  <w:style w:type="paragraph" w:styleId="CommentSubject">
    <w:name w:val="annotation subject"/>
    <w:basedOn w:val="CommentText"/>
    <w:next w:val="CommentText"/>
    <w:link w:val="CommentSubjectChar"/>
    <w:uiPriority w:val="99"/>
    <w:semiHidden/>
    <w:unhideWhenUsed/>
    <w:rsid w:val="00962BD1"/>
    <w:rPr>
      <w:b/>
      <w:bCs/>
    </w:rPr>
  </w:style>
  <w:style w:type="character" w:customStyle="1" w:styleId="CommentSubjectChar">
    <w:name w:val="Comment Subject Char"/>
    <w:link w:val="CommentSubject"/>
    <w:uiPriority w:val="99"/>
    <w:semiHidden/>
    <w:rsid w:val="00962BD1"/>
    <w:rPr>
      <w:rFonts w:ascii="Arial" w:hAnsi="Arial" w:cs="Arial"/>
      <w:b/>
      <w:bCs/>
    </w:rPr>
  </w:style>
  <w:style w:type="paragraph" w:styleId="BalloonText">
    <w:name w:val="Balloon Text"/>
    <w:basedOn w:val="Normal"/>
    <w:link w:val="BalloonTextChar"/>
    <w:uiPriority w:val="99"/>
    <w:semiHidden/>
    <w:unhideWhenUsed/>
    <w:rsid w:val="00962BD1"/>
    <w:rPr>
      <w:rFonts w:ascii="Segoe UI" w:hAnsi="Segoe UI" w:cs="Segoe UI"/>
      <w:sz w:val="18"/>
      <w:szCs w:val="18"/>
    </w:rPr>
  </w:style>
  <w:style w:type="character" w:customStyle="1" w:styleId="BalloonTextChar">
    <w:name w:val="Balloon Text Char"/>
    <w:link w:val="BalloonText"/>
    <w:uiPriority w:val="99"/>
    <w:semiHidden/>
    <w:rsid w:val="00962BD1"/>
    <w:rPr>
      <w:rFonts w:ascii="Segoe UI" w:hAnsi="Segoe UI" w:cs="Segoe UI"/>
      <w:sz w:val="18"/>
      <w:szCs w:val="18"/>
    </w:rPr>
  </w:style>
  <w:style w:type="character" w:styleId="Hyperlink">
    <w:name w:val="Hyperlink"/>
    <w:uiPriority w:val="99"/>
    <w:unhideWhenUsed/>
    <w:rsid w:val="006E44B6"/>
    <w:rPr>
      <w:color w:val="0563C1"/>
      <w:u w:val="single"/>
    </w:rPr>
  </w:style>
  <w:style w:type="character" w:styleId="UnresolvedMention">
    <w:name w:val="Unresolved Mention"/>
    <w:uiPriority w:val="99"/>
    <w:semiHidden/>
    <w:unhideWhenUsed/>
    <w:rsid w:val="006E44B6"/>
    <w:rPr>
      <w:color w:val="605E5C"/>
      <w:shd w:val="clear" w:color="auto" w:fill="E1DFDD"/>
    </w:rPr>
  </w:style>
  <w:style w:type="paragraph" w:styleId="Header">
    <w:name w:val="header"/>
    <w:basedOn w:val="Normal"/>
    <w:link w:val="HeaderChar"/>
    <w:uiPriority w:val="99"/>
    <w:unhideWhenUsed/>
    <w:rsid w:val="001C42AB"/>
    <w:pPr>
      <w:tabs>
        <w:tab w:val="center" w:pos="4680"/>
        <w:tab w:val="right" w:pos="9360"/>
      </w:tabs>
    </w:pPr>
  </w:style>
  <w:style w:type="character" w:customStyle="1" w:styleId="HeaderChar">
    <w:name w:val="Header Char"/>
    <w:link w:val="Header"/>
    <w:uiPriority w:val="99"/>
    <w:rsid w:val="001C42AB"/>
    <w:rPr>
      <w:rFonts w:ascii="Arial" w:hAnsi="Arial" w:cs="Arial"/>
      <w:sz w:val="24"/>
      <w:szCs w:val="24"/>
    </w:rPr>
  </w:style>
  <w:style w:type="paragraph" w:styleId="Footer">
    <w:name w:val="footer"/>
    <w:basedOn w:val="Normal"/>
    <w:link w:val="FooterChar"/>
    <w:uiPriority w:val="99"/>
    <w:unhideWhenUsed/>
    <w:rsid w:val="001C42AB"/>
    <w:pPr>
      <w:tabs>
        <w:tab w:val="center" w:pos="4680"/>
        <w:tab w:val="right" w:pos="9360"/>
      </w:tabs>
    </w:pPr>
  </w:style>
  <w:style w:type="character" w:customStyle="1" w:styleId="FooterChar">
    <w:name w:val="Footer Char"/>
    <w:link w:val="Footer"/>
    <w:uiPriority w:val="99"/>
    <w:rsid w:val="001C42AB"/>
    <w:rPr>
      <w:rFonts w:ascii="Arial" w:hAnsi="Arial" w:cs="Arial"/>
      <w:sz w:val="24"/>
      <w:szCs w:val="24"/>
    </w:rPr>
  </w:style>
  <w:style w:type="paragraph" w:styleId="FootnoteText">
    <w:name w:val="footnote text"/>
    <w:basedOn w:val="Normal"/>
    <w:link w:val="FootnoteTextChar"/>
    <w:uiPriority w:val="99"/>
    <w:semiHidden/>
    <w:unhideWhenUsed/>
    <w:rsid w:val="00D645BA"/>
    <w:rPr>
      <w:sz w:val="20"/>
      <w:szCs w:val="20"/>
    </w:rPr>
  </w:style>
  <w:style w:type="character" w:customStyle="1" w:styleId="FootnoteTextChar">
    <w:name w:val="Footnote Text Char"/>
    <w:link w:val="FootnoteText"/>
    <w:uiPriority w:val="99"/>
    <w:semiHidden/>
    <w:rsid w:val="00D645BA"/>
    <w:rPr>
      <w:rFonts w:ascii="Arial" w:hAnsi="Arial" w:cs="Arial"/>
    </w:rPr>
  </w:style>
  <w:style w:type="character" w:styleId="FootnoteReference">
    <w:name w:val="footnote reference"/>
    <w:uiPriority w:val="99"/>
    <w:semiHidden/>
    <w:unhideWhenUsed/>
    <w:rsid w:val="00D645BA"/>
    <w:rPr>
      <w:vertAlign w:val="superscript"/>
    </w:rPr>
  </w:style>
  <w:style w:type="character" w:styleId="Emphasis">
    <w:name w:val="Emphasis"/>
    <w:basedOn w:val="DefaultParagraphFont"/>
    <w:uiPriority w:val="20"/>
    <w:qFormat/>
    <w:rsid w:val="000B5368"/>
    <w:rPr>
      <w:i/>
      <w:iCs/>
    </w:rPr>
  </w:style>
  <w:style w:type="paragraph" w:styleId="Revision">
    <w:name w:val="Revision"/>
    <w:hidden/>
    <w:uiPriority w:val="99"/>
    <w:semiHidden/>
    <w:rsid w:val="001A44C7"/>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577425">
      <w:marLeft w:val="0"/>
      <w:marRight w:val="0"/>
      <w:marTop w:val="0"/>
      <w:marBottom w:val="0"/>
      <w:divBdr>
        <w:top w:val="none" w:sz="0" w:space="0" w:color="auto"/>
        <w:left w:val="none" w:sz="0" w:space="0" w:color="auto"/>
        <w:bottom w:val="none" w:sz="0" w:space="0" w:color="auto"/>
        <w:right w:val="none" w:sz="0" w:space="0" w:color="auto"/>
      </w:divBdr>
    </w:div>
    <w:div w:id="207978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nrc.gov/site-help/e-submittal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77CEA-FBDF-465A-8EED-2759DBC2F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3923</Words>
  <Characters>22366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26237</CharactersWithSpaces>
  <SharedDoc>false</SharedDoc>
  <HLinks>
    <vt:vector size="6" baseType="variant">
      <vt:variant>
        <vt:i4>2424892</vt:i4>
      </vt:variant>
      <vt:variant>
        <vt:i4>0</vt:i4>
      </vt:variant>
      <vt:variant>
        <vt:i4>0</vt:i4>
      </vt:variant>
      <vt:variant>
        <vt:i4>5</vt:i4>
      </vt:variant>
      <vt:variant>
        <vt:lpwstr>https://www.nrc.gov/site-help/e-submittals.html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Majeed, Fajr</dc:creator>
  <cp:keywords/>
  <dc:description/>
  <cp:lastModifiedBy>Benney, Kristen</cp:lastModifiedBy>
  <cp:revision>5</cp:revision>
  <dcterms:created xsi:type="dcterms:W3CDTF">2022-08-12T18:06:00Z</dcterms:created>
  <dcterms:modified xsi:type="dcterms:W3CDTF">2022-08-18T13:14:00Z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ies>
</file>