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64F1" w:rsidR="000A7F07" w:rsidP="002E7D6B" w:rsidRDefault="000A7F07" w14:paraId="49C45A7C" w14:textId="77777777">
      <w:pPr>
        <w:widowControl w:val="0"/>
        <w:tabs>
          <w:tab w:val="center" w:pos="4680"/>
        </w:tabs>
        <w:spacing w:line="240" w:lineRule="auto"/>
        <w:jc w:val="center"/>
        <w:rPr>
          <w:rFonts w:eastAsia="Arial"/>
        </w:rPr>
      </w:pPr>
      <w:r>
        <w:fldChar w:fldCharType="begin"/>
      </w:r>
      <w:r>
        <w:instrText xml:space="preserve"> SEQ CHAPTER \h \r 1</w:instrText>
      </w:r>
      <w:r>
        <w:fldChar w:fldCharType="end"/>
      </w:r>
      <w:r w:rsidRPr="2AB9DC29" w:rsidR="1B3F92FE">
        <w:rPr>
          <w:rFonts w:eastAsia="Arial"/>
        </w:rPr>
        <w:t>DRAFT SUPPORTING STATEMENT</w:t>
      </w:r>
    </w:p>
    <w:p w:rsidRPr="002A64F1" w:rsidR="000A7F07" w:rsidP="002E7D6B" w:rsidRDefault="000A7F07" w14:paraId="0CD02A1B" w14:textId="77777777">
      <w:pPr>
        <w:widowControl w:val="0"/>
        <w:tabs>
          <w:tab w:val="center" w:pos="4680"/>
        </w:tabs>
        <w:spacing w:line="240" w:lineRule="auto"/>
        <w:jc w:val="center"/>
        <w:rPr>
          <w:rFonts w:eastAsia="Arial"/>
        </w:rPr>
      </w:pPr>
      <w:r w:rsidRPr="005C6816">
        <w:rPr>
          <w:rFonts w:eastAsia="Arial"/>
        </w:rPr>
        <w:t>FOR</w:t>
      </w:r>
    </w:p>
    <w:p w:rsidRPr="002A64F1" w:rsidR="000A7F07" w:rsidP="002E7D6B" w:rsidRDefault="000A7F07" w14:paraId="28EC063B" w14:textId="77777777">
      <w:pPr>
        <w:widowControl w:val="0"/>
        <w:spacing w:line="240" w:lineRule="auto"/>
        <w:jc w:val="center"/>
        <w:rPr>
          <w:rFonts w:eastAsia="Arial"/>
        </w:rPr>
      </w:pPr>
      <w:r w:rsidRPr="005C6816">
        <w:rPr>
          <w:rFonts w:eastAsia="Arial"/>
        </w:rPr>
        <w:t>PROPOSED RULE AMENDING</w:t>
      </w:r>
    </w:p>
    <w:p w:rsidR="000A7F07" w:rsidP="002E7D6B" w:rsidRDefault="1B3F92FE" w14:paraId="01B7D6A9" w14:textId="77777777">
      <w:pPr>
        <w:widowControl w:val="0"/>
        <w:spacing w:line="240" w:lineRule="auto"/>
        <w:jc w:val="center"/>
        <w:rPr>
          <w:rFonts w:eastAsia="Arial"/>
        </w:rPr>
      </w:pPr>
      <w:r w:rsidRPr="2AB9DC29">
        <w:rPr>
          <w:rFonts w:eastAsia="Arial"/>
        </w:rPr>
        <w:t>10 CFR PART 71</w:t>
      </w:r>
    </w:p>
    <w:p w:rsidRPr="005C6816" w:rsidR="000A7F07" w:rsidP="002E7D6B" w:rsidRDefault="000A7F07" w14:paraId="04B2C0FA" w14:textId="77777777">
      <w:pPr>
        <w:spacing w:line="240" w:lineRule="auto"/>
        <w:jc w:val="center"/>
        <w:rPr>
          <w:rFonts w:eastAsia="Arial"/>
        </w:rPr>
      </w:pPr>
      <w:r w:rsidRPr="005C6816">
        <w:rPr>
          <w:rFonts w:eastAsia="Arial"/>
        </w:rPr>
        <w:t>FISSILE MATERIAL EXEMPTIONS, QUALITY ASSURANCE PROGRAMS; HARMONIZATION WITH IAEA TRANSPORTATION REQUIREMENTS, AND OTHER TRANSPORTATION SAFETY AMENDMENTS</w:t>
      </w:r>
    </w:p>
    <w:p w:rsidRPr="005C6816" w:rsidR="000A7F07" w:rsidP="002E7D6B" w:rsidRDefault="000A7F07" w14:paraId="58A1F769" w14:textId="77777777">
      <w:pPr>
        <w:spacing w:line="240" w:lineRule="auto"/>
        <w:jc w:val="center"/>
        <w:rPr>
          <w:rFonts w:eastAsia="Arial"/>
        </w:rPr>
      </w:pPr>
    </w:p>
    <w:p w:rsidRPr="005C6816" w:rsidR="000A7F07" w:rsidP="002E7D6B" w:rsidRDefault="000A7F07" w14:paraId="589D57A4" w14:textId="77777777">
      <w:pPr>
        <w:tabs>
          <w:tab w:val="center" w:pos="468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ind w:left="3600"/>
        <w:rPr>
          <w:rFonts w:eastAsia="Arial"/>
        </w:rPr>
      </w:pPr>
      <w:r w:rsidRPr="005C6816">
        <w:rPr>
          <w:rFonts w:eastAsia="Arial"/>
        </w:rPr>
        <w:t xml:space="preserve">       (3150-0008)</w:t>
      </w:r>
    </w:p>
    <w:p w:rsidRPr="00CA50EB" w:rsidR="000A7F07" w:rsidP="002E7D6B" w:rsidRDefault="000A7F07" w14:paraId="27381DB3" w14:textId="77777777">
      <w:pPr>
        <w:widowControl w:val="0"/>
        <w:tabs>
          <w:tab w:val="center" w:pos="4680"/>
        </w:tabs>
        <w:spacing w:line="240" w:lineRule="auto"/>
        <w:jc w:val="center"/>
        <w:rPr>
          <w:rFonts w:eastAsia="Arial"/>
        </w:rPr>
      </w:pPr>
      <w:r w:rsidRPr="005C6816">
        <w:rPr>
          <w:rFonts w:eastAsia="Arial"/>
        </w:rPr>
        <w:t>REVISION</w:t>
      </w:r>
    </w:p>
    <w:p w:rsidRPr="005C6816" w:rsidR="000A7F07" w:rsidP="327FBE72" w:rsidRDefault="000A7F07" w14:paraId="2ED81DD1" w14:textId="77777777">
      <w:pPr>
        <w:widowControl w:val="0"/>
        <w:rPr>
          <w:rFonts w:eastAsia="Arial"/>
        </w:rPr>
      </w:pPr>
    </w:p>
    <w:p w:rsidR="000A7F07" w:rsidP="327FBE72" w:rsidRDefault="000A7F07" w14:paraId="33FCA0D6" w14:textId="77777777">
      <w:pPr>
        <w:widowControl w:val="0"/>
        <w:rPr>
          <w:rFonts w:eastAsia="Arial"/>
          <w:u w:val="single"/>
        </w:rPr>
      </w:pPr>
      <w:r w:rsidRPr="005C6816">
        <w:rPr>
          <w:rFonts w:eastAsia="Arial"/>
          <w:u w:val="single"/>
        </w:rPr>
        <w:t>Description of the Information Collection</w:t>
      </w:r>
    </w:p>
    <w:p w:rsidRPr="005C6816" w:rsidR="000A7F07" w:rsidP="327FBE72" w:rsidRDefault="000A7F07" w14:paraId="7DB2F746" w14:textId="77777777">
      <w:pPr>
        <w:widowControl w:val="0"/>
        <w:rPr>
          <w:rFonts w:eastAsia="Arial"/>
        </w:rPr>
      </w:pPr>
    </w:p>
    <w:p w:rsidRPr="00D068C7" w:rsidR="000A7F07" w:rsidP="002E7D6B" w:rsidRDefault="000A7F07" w14:paraId="55C527D9" w14:textId="77777777">
      <w:pPr>
        <w:widowControl w:val="0"/>
        <w:spacing w:line="240" w:lineRule="auto"/>
        <w:rPr>
          <w:rFonts w:eastAsia="Arial"/>
        </w:rPr>
      </w:pPr>
      <w:r w:rsidRPr="005C6816">
        <w:rPr>
          <w:rFonts w:eastAsia="Arial"/>
        </w:rPr>
        <w:t>The U.S. Nuclear Regulatory Commission (NRC), in consultation with the U.S. Department of Transportation (DOT), is proposing to amend its regulations for the packaging and transportation of radioactive material.  The NRC has historically been consistent in its support of harmonizing its transportation safety regulations with the International Atomic Energy Agency (IAEA) standards.  These amendments would make the NRC regulations conform to the recent revisions to the IAEA standards for the international transportation of radioactive material, maintain consistency with the DOT regulations, and include NRC-initiated changes.  These changes are necessary to maintain a consistent regulatory framework for the domestic packaging and transportation of radioactive material.</w:t>
      </w:r>
    </w:p>
    <w:p w:rsidRPr="005C6816" w:rsidR="000A7F07" w:rsidP="327FBE72" w:rsidRDefault="000A7F07" w14:paraId="07968D92" w14:textId="77777777">
      <w:pPr>
        <w:widowControl w:val="0"/>
        <w:rPr>
          <w:rFonts w:eastAsia="Arial"/>
        </w:rPr>
      </w:pPr>
    </w:p>
    <w:p w:rsidR="002E7D6B" w:rsidP="002E7D6B" w:rsidRDefault="000A7F07" w14:paraId="1CDAA06E" w14:textId="77777777">
      <w:pPr>
        <w:spacing w:line="240" w:lineRule="auto"/>
        <w:rPr>
          <w:rFonts w:eastAsia="Arial"/>
        </w:rPr>
      </w:pPr>
      <w:r w:rsidRPr="1B9601BD">
        <w:rPr>
          <w:rFonts w:eastAsia="Arial"/>
        </w:rPr>
        <w:t xml:space="preserve">Regulation changes that affect the burden for reporting include changes to </w:t>
      </w:r>
      <w:r w:rsidRPr="1B9601BD" w:rsidR="00DA6EB3">
        <w:rPr>
          <w:rFonts w:eastAsia="Arial"/>
        </w:rPr>
        <w:t xml:space="preserve">§ </w:t>
      </w:r>
      <w:r w:rsidRPr="1B9601BD" w:rsidR="00EE2236">
        <w:rPr>
          <w:rFonts w:eastAsia="Arial"/>
        </w:rPr>
        <w:t>71.22(f)</w:t>
      </w:r>
      <w:r w:rsidRPr="1B9601BD" w:rsidR="002913D6">
        <w:rPr>
          <w:rFonts w:eastAsia="Arial"/>
        </w:rPr>
        <w:t xml:space="preserve"> and </w:t>
      </w:r>
    </w:p>
    <w:p w:rsidR="002E7D6B" w:rsidP="002E7D6B" w:rsidRDefault="002913D6" w14:paraId="3B5F1781" w14:textId="77777777">
      <w:pPr>
        <w:spacing w:line="240" w:lineRule="auto"/>
        <w:rPr>
          <w:rFonts w:eastAsia="Arial"/>
        </w:rPr>
      </w:pPr>
      <w:r w:rsidRPr="1B9601BD">
        <w:rPr>
          <w:rFonts w:eastAsia="Arial"/>
        </w:rPr>
        <w:t>§ 71.23(f)</w:t>
      </w:r>
      <w:r w:rsidRPr="1B9601BD" w:rsidR="00EE2236">
        <w:rPr>
          <w:rFonts w:eastAsia="Arial"/>
        </w:rPr>
        <w:t xml:space="preserve"> </w:t>
      </w:r>
      <w:r w:rsidRPr="1B9601BD" w:rsidR="003B44A7">
        <w:rPr>
          <w:rFonts w:eastAsia="Arial"/>
        </w:rPr>
        <w:t xml:space="preserve">(via reference </w:t>
      </w:r>
      <w:r w:rsidRPr="1B9601BD" w:rsidR="00201977">
        <w:rPr>
          <w:rFonts w:eastAsia="Arial"/>
        </w:rPr>
        <w:t>to</w:t>
      </w:r>
      <w:r w:rsidRPr="1B9601BD" w:rsidR="003B44A7">
        <w:rPr>
          <w:rFonts w:eastAsia="Arial"/>
        </w:rPr>
        <w:t xml:space="preserve"> </w:t>
      </w:r>
      <w:r w:rsidRPr="1B9601BD" w:rsidR="00DA6EB3">
        <w:rPr>
          <w:rFonts w:eastAsia="Arial"/>
        </w:rPr>
        <w:t xml:space="preserve">§ </w:t>
      </w:r>
      <w:r w:rsidRPr="1B9601BD" w:rsidR="00201977">
        <w:rPr>
          <w:rFonts w:eastAsia="Arial"/>
        </w:rPr>
        <w:t>71.17(c)(3))</w:t>
      </w:r>
      <w:r w:rsidRPr="1B9601BD" w:rsidR="00DA6EB3">
        <w:rPr>
          <w:rFonts w:eastAsia="Arial"/>
        </w:rPr>
        <w:t xml:space="preserve"> to add a new requirement for</w:t>
      </w:r>
      <w:r w:rsidRPr="1B9601BD" w:rsidR="00FD699F">
        <w:rPr>
          <w:rFonts w:eastAsia="Arial"/>
        </w:rPr>
        <w:t xml:space="preserve"> a licensee to</w:t>
      </w:r>
      <w:r w:rsidRPr="1B9601BD" w:rsidR="005958CD">
        <w:rPr>
          <w:rFonts w:eastAsia="Arial"/>
        </w:rPr>
        <w:t>, prior to first use of a package,</w:t>
      </w:r>
      <w:r w:rsidRPr="1B9601BD" w:rsidR="00FD699F">
        <w:rPr>
          <w:rFonts w:eastAsia="Arial"/>
        </w:rPr>
        <w:t xml:space="preserve"> submit to the NRC the licensee's name, license number, and the package identification number specified in the package approval</w:t>
      </w:r>
      <w:r w:rsidRPr="1B9601BD" w:rsidR="00DA6EB3">
        <w:rPr>
          <w:rFonts w:eastAsia="Arial"/>
        </w:rPr>
        <w:t xml:space="preserve">; </w:t>
      </w:r>
      <w:r w:rsidRPr="1B9601BD" w:rsidR="000A7F07">
        <w:rPr>
          <w:rFonts w:eastAsia="Arial"/>
        </w:rPr>
        <w:t xml:space="preserve">§ 71.31(a)(3) and § 71.35(d) to add a new requirement for an applicant to include an evaluation of the maintenance program as part of an application for a package approval; deletion of a duplicative requirement in </w:t>
      </w:r>
    </w:p>
    <w:p w:rsidR="000A7F07" w:rsidP="002E7D6B" w:rsidRDefault="000A7F07" w14:paraId="35C1D66F" w14:textId="0A495C1A">
      <w:pPr>
        <w:spacing w:line="240" w:lineRule="auto"/>
        <w:rPr>
          <w:rFonts w:eastAsia="Arial"/>
        </w:rPr>
      </w:pPr>
      <w:r w:rsidRPr="1B9601BD">
        <w:rPr>
          <w:rFonts w:eastAsia="Arial"/>
        </w:rPr>
        <w:t xml:space="preserve">§ 71.95(a)(3); </w:t>
      </w:r>
      <w:r w:rsidRPr="1B9601BD" w:rsidR="00AC3E3E">
        <w:rPr>
          <w:rFonts w:eastAsia="Arial"/>
        </w:rPr>
        <w:t>a revision to the compatibility designation of §</w:t>
      </w:r>
      <w:r w:rsidRPr="1B9601BD" w:rsidR="00E85ECC">
        <w:rPr>
          <w:rFonts w:eastAsia="Arial"/>
        </w:rPr>
        <w:t>§</w:t>
      </w:r>
      <w:r w:rsidRPr="1B9601BD" w:rsidR="00AC3E3E">
        <w:rPr>
          <w:rFonts w:eastAsia="Arial"/>
        </w:rPr>
        <w:t xml:space="preserve"> 71.95</w:t>
      </w:r>
      <w:r w:rsidRPr="1B9601BD" w:rsidR="00476198">
        <w:rPr>
          <w:rFonts w:eastAsia="Arial"/>
        </w:rPr>
        <w:t xml:space="preserve">, </w:t>
      </w:r>
      <w:r w:rsidRPr="1B9601BD" w:rsidR="00E85ECC">
        <w:rPr>
          <w:rFonts w:eastAsia="Arial"/>
        </w:rPr>
        <w:t>71.</w:t>
      </w:r>
      <w:r w:rsidRPr="1B9601BD" w:rsidR="00476198">
        <w:rPr>
          <w:rFonts w:eastAsia="Arial"/>
        </w:rPr>
        <w:t xml:space="preserve">101(c), </w:t>
      </w:r>
      <w:r w:rsidRPr="1B9601BD" w:rsidR="00E85ECC">
        <w:rPr>
          <w:rFonts w:eastAsia="Arial"/>
        </w:rPr>
        <w:t>and 71.</w:t>
      </w:r>
      <w:r w:rsidRPr="1B9601BD" w:rsidR="00476198">
        <w:rPr>
          <w:rFonts w:eastAsia="Arial"/>
        </w:rPr>
        <w:t>106(a) and (b)</w:t>
      </w:r>
      <w:r w:rsidRPr="1B9601BD" w:rsidR="00AC3E3E">
        <w:rPr>
          <w:rFonts w:eastAsia="Arial"/>
        </w:rPr>
        <w:t xml:space="preserve"> for Agreement States; </w:t>
      </w:r>
      <w:r w:rsidRPr="1B9601BD">
        <w:rPr>
          <w:rFonts w:eastAsia="Arial"/>
        </w:rPr>
        <w:t>and adding a new requirement in § 71.106(b) to notify the NRC every 24 months even if there are no changes to the approval holder’s quality assurance program.  The regulation change in § 71.106(b) also affects the burden for recordkeeping.</w:t>
      </w:r>
    </w:p>
    <w:p w:rsidRPr="005C6816" w:rsidR="000A7F07" w:rsidP="327FBE72" w:rsidRDefault="000A7F07" w14:paraId="684C233C" w14:textId="77777777">
      <w:pPr>
        <w:rPr>
          <w:rFonts w:eastAsia="Arial"/>
        </w:rPr>
      </w:pPr>
    </w:p>
    <w:p w:rsidR="000A7F07" w:rsidP="327FBE72" w:rsidRDefault="000A7F07" w14:paraId="4BF09681" w14:textId="77777777">
      <w:pPr>
        <w:widowControl w:val="0"/>
        <w:numPr>
          <w:ilvl w:val="0"/>
          <w:numId w:val="2"/>
        </w:numPr>
        <w:spacing w:line="240" w:lineRule="auto"/>
        <w:rPr>
          <w:rFonts w:eastAsia="Arial"/>
        </w:rPr>
      </w:pPr>
      <w:r w:rsidRPr="005C6816">
        <w:rPr>
          <w:rFonts w:eastAsia="Arial"/>
        </w:rPr>
        <w:t>JUSTIFICATION</w:t>
      </w:r>
    </w:p>
    <w:p w:rsidRPr="005C6816" w:rsidR="000A7F07" w:rsidP="327FBE72" w:rsidRDefault="000A7F07" w14:paraId="67CAA74E" w14:textId="77777777">
      <w:pPr>
        <w:widowControl w:val="0"/>
        <w:ind w:left="360"/>
        <w:rPr>
          <w:rFonts w:eastAsia="Arial"/>
        </w:rPr>
      </w:pPr>
    </w:p>
    <w:p w:rsidR="000A7F07" w:rsidP="002E7D6B" w:rsidRDefault="000A7F07" w14:paraId="6481505F" w14:textId="365C3B0E">
      <w:pPr>
        <w:widowControl w:val="0"/>
        <w:numPr>
          <w:ilvl w:val="0"/>
          <w:numId w:val="3"/>
        </w:numPr>
        <w:spacing w:line="240" w:lineRule="auto"/>
        <w:rPr>
          <w:rFonts w:eastAsia="Arial"/>
          <w:u w:val="single"/>
        </w:rPr>
      </w:pPr>
      <w:r w:rsidRPr="005C6816">
        <w:rPr>
          <w:rFonts w:eastAsia="Arial"/>
          <w:u w:val="single"/>
        </w:rPr>
        <w:t xml:space="preserve">Need </w:t>
      </w:r>
      <w:r w:rsidR="002E7D6B">
        <w:rPr>
          <w:rFonts w:eastAsia="Arial"/>
          <w:u w:val="single"/>
        </w:rPr>
        <w:t>f</w:t>
      </w:r>
      <w:r w:rsidRPr="005C6816">
        <w:rPr>
          <w:rFonts w:eastAsia="Arial"/>
          <w:u w:val="single"/>
        </w:rPr>
        <w:t>or the Collection of Information</w:t>
      </w:r>
    </w:p>
    <w:p w:rsidRPr="005C6816" w:rsidR="000A7F07" w:rsidP="002E7D6B" w:rsidRDefault="000A7F07" w14:paraId="4FF54213" w14:textId="77777777">
      <w:pPr>
        <w:widowControl w:val="0"/>
        <w:spacing w:line="240" w:lineRule="auto"/>
        <w:rPr>
          <w:rFonts w:eastAsia="Arial"/>
          <w:u w:val="single"/>
        </w:rPr>
      </w:pPr>
    </w:p>
    <w:p w:rsidR="000A7F07" w:rsidP="002E7D6B" w:rsidRDefault="000A7F07" w14:paraId="0EF4AC85" w14:textId="77777777">
      <w:pPr>
        <w:widowControl w:val="0"/>
        <w:spacing w:line="240" w:lineRule="auto"/>
        <w:ind w:left="1080"/>
        <w:rPr>
          <w:rFonts w:eastAsia="Arial"/>
        </w:rPr>
      </w:pPr>
      <w:r w:rsidRPr="327FBE72">
        <w:rPr>
          <w:rFonts w:eastAsia="Arial"/>
        </w:rPr>
        <w:t>The NRC collects information pertinent to 10 CFR Part 71 for three reasons: to issue a package approval; to ensure that any incidents or package degradation are appropriately captured, evaluated and if necessary, corrected to minimize future potential occurrences; and to ensure that all activities are completed using an NRC-approved quality assurance (QA) program.</w:t>
      </w:r>
    </w:p>
    <w:p w:rsidRPr="00594502" w:rsidR="000A7F07" w:rsidP="002E7D6B" w:rsidRDefault="000A7F07" w14:paraId="5B8B2715" w14:textId="77777777">
      <w:pPr>
        <w:widowControl w:val="0"/>
        <w:spacing w:line="240" w:lineRule="auto"/>
        <w:ind w:left="1080"/>
        <w:rPr>
          <w:rFonts w:eastAsia="Arial"/>
        </w:rPr>
      </w:pPr>
    </w:p>
    <w:p w:rsidR="002E7D6B" w:rsidP="002E7D6B" w:rsidRDefault="000A7F07" w14:paraId="7332EAE1" w14:textId="77777777">
      <w:pPr>
        <w:widowControl w:val="0"/>
        <w:spacing w:line="240" w:lineRule="auto"/>
        <w:ind w:left="1080"/>
        <w:rPr>
          <w:rFonts w:eastAsia="Arial"/>
        </w:rPr>
      </w:pPr>
      <w:r w:rsidRPr="327FBE72">
        <w:rPr>
          <w:rFonts w:eastAsia="Arial"/>
        </w:rPr>
        <w:t xml:space="preserve">The changes to the information collection requirements in the proposed rule reflect changes to the NRC’s transportation regulations under 10 CFR Part 71 to harmonize with the international standards of IAEA SSR-6.  In addition, some of the proposed rule changes have been coordinated with changes DOT is making to their corresponding transportation requirements under 49 CFR, so that the NRC’s and </w:t>
      </w:r>
    </w:p>
    <w:p w:rsidR="002E7D6B" w:rsidP="002E7D6B" w:rsidRDefault="002E7D6B" w14:paraId="06D069C0" w14:textId="77777777">
      <w:pPr>
        <w:widowControl w:val="0"/>
        <w:spacing w:line="240" w:lineRule="auto"/>
        <w:ind w:left="1080"/>
        <w:rPr>
          <w:rFonts w:eastAsia="Arial"/>
        </w:rPr>
      </w:pPr>
    </w:p>
    <w:p w:rsidR="000A7F07" w:rsidP="002E7D6B" w:rsidRDefault="000A7F07" w14:paraId="04673663" w14:textId="0369A44A">
      <w:pPr>
        <w:widowControl w:val="0"/>
        <w:spacing w:line="240" w:lineRule="auto"/>
        <w:ind w:left="1080"/>
        <w:rPr>
          <w:rFonts w:eastAsia="Arial"/>
        </w:rPr>
      </w:pPr>
      <w:r w:rsidRPr="327FBE72">
        <w:rPr>
          <w:rFonts w:eastAsia="Arial"/>
        </w:rPr>
        <w:lastRenderedPageBreak/>
        <w:t>DOT’s regulations are similarly harmonized.  The proposed rule would not change the need for the NRC to collect this information.</w:t>
      </w:r>
    </w:p>
    <w:p w:rsidR="000A7F07" w:rsidP="002E7D6B" w:rsidRDefault="000A7F07" w14:paraId="069E1AB5" w14:textId="77777777">
      <w:pPr>
        <w:widowControl w:val="0"/>
        <w:spacing w:line="240" w:lineRule="auto"/>
        <w:ind w:left="1080"/>
        <w:rPr>
          <w:rFonts w:eastAsia="Arial"/>
        </w:rPr>
      </w:pPr>
    </w:p>
    <w:p w:rsidR="002E7D6B" w:rsidP="002E7D6B" w:rsidRDefault="003F0A98" w14:paraId="318B6E7D" w14:textId="77777777">
      <w:pPr>
        <w:spacing w:line="240" w:lineRule="auto"/>
        <w:ind w:left="1080"/>
        <w:rPr>
          <w:rFonts w:eastAsia="Arial"/>
        </w:rPr>
      </w:pPr>
      <w:r w:rsidRPr="327FBE72">
        <w:rPr>
          <w:rFonts w:eastAsia="Arial"/>
        </w:rPr>
        <w:t>In § 71.</w:t>
      </w:r>
      <w:r>
        <w:rPr>
          <w:rFonts w:eastAsia="Arial"/>
        </w:rPr>
        <w:t>22(f</w:t>
      </w:r>
      <w:r w:rsidRPr="327FBE72">
        <w:rPr>
          <w:rFonts w:eastAsia="Arial"/>
        </w:rPr>
        <w:t>)</w:t>
      </w:r>
      <w:r w:rsidR="00271133">
        <w:rPr>
          <w:rFonts w:eastAsia="Arial"/>
        </w:rPr>
        <w:t xml:space="preserve"> and </w:t>
      </w:r>
      <w:r w:rsidRPr="327FBE72" w:rsidR="00271133">
        <w:rPr>
          <w:rFonts w:eastAsia="Arial"/>
        </w:rPr>
        <w:t>§ 71.</w:t>
      </w:r>
      <w:r w:rsidR="00271133">
        <w:rPr>
          <w:rFonts w:eastAsia="Arial"/>
        </w:rPr>
        <w:t>23(f</w:t>
      </w:r>
      <w:r w:rsidRPr="327FBE72" w:rsidR="00271133">
        <w:rPr>
          <w:rFonts w:eastAsia="Arial"/>
        </w:rPr>
        <w:t>)</w:t>
      </w:r>
      <w:r w:rsidRPr="327FBE72">
        <w:rPr>
          <w:rFonts w:eastAsia="Arial"/>
        </w:rPr>
        <w:t xml:space="preserve">, the NRC is proposing to add a new requirement for </w:t>
      </w:r>
      <w:r w:rsidR="008760F0">
        <w:rPr>
          <w:rFonts w:eastAsia="Arial"/>
        </w:rPr>
        <w:t>l</w:t>
      </w:r>
      <w:r w:rsidR="00F3689A">
        <w:rPr>
          <w:rFonts w:eastAsia="Arial"/>
        </w:rPr>
        <w:t>icense</w:t>
      </w:r>
      <w:r w:rsidR="008760F0">
        <w:rPr>
          <w:rFonts w:eastAsia="Arial"/>
        </w:rPr>
        <w:t>e</w:t>
      </w:r>
      <w:r w:rsidR="00F3689A">
        <w:rPr>
          <w:rFonts w:eastAsia="Arial"/>
        </w:rPr>
        <w:t>s shipping a Type B package</w:t>
      </w:r>
      <w:r w:rsidR="008760F0">
        <w:rPr>
          <w:rFonts w:eastAsia="Arial"/>
        </w:rPr>
        <w:t xml:space="preserve"> to </w:t>
      </w:r>
      <w:r w:rsidR="00AF348E">
        <w:rPr>
          <w:rFonts w:eastAsia="Arial"/>
        </w:rPr>
        <w:t xml:space="preserve">also </w:t>
      </w:r>
      <w:r w:rsidR="008760F0">
        <w:rPr>
          <w:rFonts w:eastAsia="Arial"/>
        </w:rPr>
        <w:t xml:space="preserve">comply with </w:t>
      </w:r>
      <w:r w:rsidRPr="327FBE72" w:rsidR="000B4A9C">
        <w:rPr>
          <w:rFonts w:eastAsia="Arial"/>
        </w:rPr>
        <w:t>§ 71.</w:t>
      </w:r>
      <w:r w:rsidR="000B4A9C">
        <w:rPr>
          <w:rFonts w:eastAsia="Arial"/>
        </w:rPr>
        <w:t>17(c</w:t>
      </w:r>
      <w:r w:rsidRPr="327FBE72" w:rsidR="000B4A9C">
        <w:rPr>
          <w:rFonts w:eastAsia="Arial"/>
        </w:rPr>
        <w:t>)</w:t>
      </w:r>
      <w:r w:rsidRPr="327FBE72">
        <w:rPr>
          <w:rFonts w:eastAsia="Arial"/>
        </w:rPr>
        <w:t xml:space="preserve">.  </w:t>
      </w:r>
      <w:r w:rsidR="00AF348E">
        <w:rPr>
          <w:rFonts w:eastAsia="Arial"/>
        </w:rPr>
        <w:t xml:space="preserve">In </w:t>
      </w:r>
    </w:p>
    <w:p w:rsidR="003F0A98" w:rsidP="002E7D6B" w:rsidRDefault="00AF348E" w14:paraId="4342D991" w14:textId="0475AD71">
      <w:pPr>
        <w:spacing w:line="240" w:lineRule="auto"/>
        <w:ind w:left="1080"/>
        <w:rPr>
          <w:rFonts w:eastAsia="Arial"/>
        </w:rPr>
      </w:pPr>
      <w:r w:rsidRPr="327FBE72">
        <w:rPr>
          <w:rFonts w:eastAsia="Arial"/>
        </w:rPr>
        <w:t>§ 71.</w:t>
      </w:r>
      <w:r>
        <w:rPr>
          <w:rFonts w:eastAsia="Arial"/>
        </w:rPr>
        <w:t>17(c</w:t>
      </w:r>
      <w:r w:rsidRPr="327FBE72">
        <w:rPr>
          <w:rFonts w:eastAsia="Arial"/>
        </w:rPr>
        <w:t>)</w:t>
      </w:r>
      <w:r w:rsidR="00717C8E">
        <w:rPr>
          <w:rFonts w:eastAsia="Arial"/>
        </w:rPr>
        <w:t>(3)</w:t>
      </w:r>
      <w:r>
        <w:rPr>
          <w:rFonts w:eastAsia="Arial"/>
        </w:rPr>
        <w:t xml:space="preserve">, </w:t>
      </w:r>
      <w:r w:rsidR="00E91370">
        <w:rPr>
          <w:rFonts w:eastAsia="Arial"/>
        </w:rPr>
        <w:t>the regulation currently requires a licensee to</w:t>
      </w:r>
      <w:r w:rsidR="00EA2C09">
        <w:rPr>
          <w:rFonts w:eastAsia="Arial"/>
        </w:rPr>
        <w:t>, prior to first use of a package,</w:t>
      </w:r>
      <w:r w:rsidRPr="00E91370" w:rsidR="00E91370">
        <w:rPr>
          <w:rFonts w:eastAsia="Arial"/>
        </w:rPr>
        <w:t xml:space="preserve"> </w:t>
      </w:r>
      <w:r w:rsidRPr="00FD699F" w:rsidR="00E91370">
        <w:rPr>
          <w:rFonts w:eastAsia="Arial"/>
        </w:rPr>
        <w:t>submit to the NRC the licensee's name, license number, and the package identification number specified in the package approval</w:t>
      </w:r>
      <w:r w:rsidR="00E91370">
        <w:rPr>
          <w:rFonts w:eastAsia="Arial"/>
        </w:rPr>
        <w:t xml:space="preserve">.  </w:t>
      </w:r>
      <w:r w:rsidRPr="327FBE72" w:rsidR="003F0A98">
        <w:rPr>
          <w:rFonts w:eastAsia="Arial"/>
        </w:rPr>
        <w:t>This represents an increase to the reporting burden.  This information is needed by the NRC</w:t>
      </w:r>
      <w:r w:rsidR="0079495D">
        <w:rPr>
          <w:rFonts w:eastAsia="Arial"/>
        </w:rPr>
        <w:t xml:space="preserve"> to </w:t>
      </w:r>
      <w:r w:rsidRPr="0079495D" w:rsidR="0079495D">
        <w:rPr>
          <w:rFonts w:eastAsia="Arial"/>
        </w:rPr>
        <w:t>identif</w:t>
      </w:r>
      <w:r w:rsidR="0079495D">
        <w:rPr>
          <w:rFonts w:eastAsia="Arial"/>
        </w:rPr>
        <w:t>y</w:t>
      </w:r>
      <w:r w:rsidRPr="0079495D" w:rsidR="0079495D">
        <w:rPr>
          <w:rFonts w:eastAsia="Arial"/>
        </w:rPr>
        <w:t xml:space="preserve"> the licensees who are using </w:t>
      </w:r>
      <w:r w:rsidR="004C3E48">
        <w:rPr>
          <w:rFonts w:eastAsia="Arial"/>
        </w:rPr>
        <w:t xml:space="preserve">these </w:t>
      </w:r>
      <w:r w:rsidRPr="0079495D" w:rsidR="0079495D">
        <w:rPr>
          <w:rFonts w:eastAsia="Arial"/>
        </w:rPr>
        <w:t xml:space="preserve">packages </w:t>
      </w:r>
      <w:r w:rsidR="004C3E48">
        <w:rPr>
          <w:rFonts w:eastAsia="Arial"/>
        </w:rPr>
        <w:t>and the NRC can</w:t>
      </w:r>
      <w:r w:rsidRPr="0079495D" w:rsidR="0079495D">
        <w:rPr>
          <w:rFonts w:eastAsia="Arial"/>
        </w:rPr>
        <w:t xml:space="preserve"> notify users of changes to the package designs.</w:t>
      </w:r>
      <w:r w:rsidR="0030071A">
        <w:rPr>
          <w:rFonts w:eastAsia="Arial"/>
        </w:rPr>
        <w:t xml:space="preserve">  </w:t>
      </w:r>
      <w:r w:rsidR="0030071A">
        <w:t>Knowledge of the identity of users is also essential to the inspection program.  This is a one-time requirement.  Licensees need only report if they plan to make use of a particular package design.</w:t>
      </w:r>
    </w:p>
    <w:p w:rsidR="003F0A98" w:rsidP="002E7D6B" w:rsidRDefault="003F0A98" w14:paraId="76A157D4" w14:textId="77777777">
      <w:pPr>
        <w:spacing w:line="240" w:lineRule="auto"/>
        <w:ind w:left="1080"/>
        <w:rPr>
          <w:rFonts w:eastAsia="Arial"/>
        </w:rPr>
      </w:pPr>
    </w:p>
    <w:p w:rsidR="000A7F07" w:rsidP="002E7D6B" w:rsidRDefault="000A7F07" w14:paraId="7A7341B4" w14:textId="77777777">
      <w:pPr>
        <w:spacing w:line="240" w:lineRule="auto"/>
        <w:ind w:left="1080"/>
        <w:rPr>
          <w:rFonts w:eastAsia="Arial"/>
        </w:rPr>
      </w:pPr>
      <w:r w:rsidRPr="327FBE72">
        <w:rPr>
          <w:rFonts w:eastAsia="Arial"/>
        </w:rPr>
        <w:t>In § 71.31(a)(3), the NRC is proposing to add a new requirement for an applicant to include a maintenance program description as part of an application for a package approval.  This represents an increase to the reporting burden.  This information is needed by the NRC to ensure that the applicant has a maintenance program for the subject transportation package.</w:t>
      </w:r>
    </w:p>
    <w:p w:rsidR="000A7F07" w:rsidP="002E7D6B" w:rsidRDefault="000A7F07" w14:paraId="32ACA02F" w14:textId="77777777">
      <w:pPr>
        <w:spacing w:line="240" w:lineRule="auto"/>
        <w:ind w:left="1080"/>
        <w:rPr>
          <w:rFonts w:eastAsia="Arial"/>
        </w:rPr>
      </w:pPr>
    </w:p>
    <w:p w:rsidR="000A7F07" w:rsidP="002E7D6B" w:rsidRDefault="000A7F07" w14:paraId="238A066A" w14:textId="77777777">
      <w:pPr>
        <w:spacing w:line="240" w:lineRule="auto"/>
        <w:ind w:left="1080"/>
        <w:rPr>
          <w:rFonts w:eastAsia="Arial"/>
        </w:rPr>
      </w:pPr>
      <w:r w:rsidRPr="327FBE72">
        <w:rPr>
          <w:rFonts w:eastAsia="Arial"/>
        </w:rPr>
        <w:t>In § 71.35(d), the NRC is proposing to add a new requirement to describe the specific information to be included in the maintenance program as part of an application for a package approval.  There is no increase to the reporting burden because this is covered in § 71.31(a)(3).  This information is needed by the NRC to ensure that the applicant has performed an evaluation of the maintenance program described in § 71.31(a)(3) for the subject transportation package.</w:t>
      </w:r>
    </w:p>
    <w:p w:rsidR="000A7F07" w:rsidP="002E7D6B" w:rsidRDefault="000A7F07" w14:paraId="0124D419" w14:textId="77777777">
      <w:pPr>
        <w:spacing w:line="240" w:lineRule="auto"/>
        <w:ind w:left="1080"/>
        <w:rPr>
          <w:rFonts w:eastAsia="Arial"/>
        </w:rPr>
      </w:pPr>
    </w:p>
    <w:p w:rsidR="000A7F07" w:rsidP="002E7D6B" w:rsidRDefault="000A7F07" w14:paraId="7CE97069" w14:textId="1A7777C0">
      <w:pPr>
        <w:spacing w:line="240" w:lineRule="auto"/>
        <w:ind w:left="1080"/>
        <w:rPr>
          <w:rFonts w:eastAsia="Arial"/>
        </w:rPr>
      </w:pPr>
      <w:r w:rsidRPr="327FBE72">
        <w:rPr>
          <w:rFonts w:eastAsia="Arial"/>
        </w:rPr>
        <w:t>In § 71.95(a)(3), the NRC is proposing to remove a duplicative requirement to submit a written report of instances where conditions in the certificate of compliance (CoC) were not followed during shipment.  This is an administrative change to these regulations because this requirement is duplicative to the requirement in § 71.95(b).  As a result, there is no change to the reporting requirement and hence, no change in reporting burden.</w:t>
      </w:r>
    </w:p>
    <w:p w:rsidR="001C2A44" w:rsidP="002E7D6B" w:rsidRDefault="001C2A44" w14:paraId="7439CAB4" w14:textId="68223FF1">
      <w:pPr>
        <w:spacing w:line="240" w:lineRule="auto"/>
        <w:ind w:left="1080"/>
        <w:rPr>
          <w:rFonts w:eastAsia="Arial"/>
        </w:rPr>
      </w:pPr>
    </w:p>
    <w:p w:rsidR="001C2A44" w:rsidP="002E7D6B" w:rsidRDefault="001C2A44" w14:paraId="04FBF7C4" w14:textId="574DD96A">
      <w:pPr>
        <w:spacing w:line="240" w:lineRule="auto"/>
        <w:ind w:left="1080"/>
        <w:rPr>
          <w:rFonts w:eastAsia="Arial"/>
        </w:rPr>
      </w:pPr>
      <w:r w:rsidRPr="327FBE72">
        <w:rPr>
          <w:rFonts w:eastAsia="Arial"/>
        </w:rPr>
        <w:t>In § 71.95</w:t>
      </w:r>
      <w:r w:rsidR="00920830">
        <w:rPr>
          <w:rFonts w:eastAsia="Arial"/>
        </w:rPr>
        <w:t xml:space="preserve">, the NRC is proposing to </w:t>
      </w:r>
      <w:r w:rsidR="00060C71">
        <w:t>revise the compatibility category designation for</w:t>
      </w:r>
      <w:r w:rsidRPr="001E0A3F" w:rsidDel="006A0CC3" w:rsidR="00060C71">
        <w:t xml:space="preserve"> </w:t>
      </w:r>
      <w:r w:rsidR="00060C71">
        <w:t>the reporting requirements</w:t>
      </w:r>
      <w:r w:rsidR="00586653">
        <w:t xml:space="preserve"> in this regulation from a </w:t>
      </w:r>
      <w:r w:rsidR="00B4760C">
        <w:t>D to a C.</w:t>
      </w:r>
      <w:r w:rsidR="007531D0">
        <w:t xml:space="preserve">  </w:t>
      </w:r>
      <w:r w:rsidR="0037228D">
        <w:t>This represents a</w:t>
      </w:r>
      <w:r w:rsidR="00674835">
        <w:t xml:space="preserve"> small</w:t>
      </w:r>
      <w:r w:rsidR="0037228D">
        <w:t xml:space="preserve"> increase in </w:t>
      </w:r>
      <w:r w:rsidR="00CF3256">
        <w:t>the reporting burden</w:t>
      </w:r>
      <w:r w:rsidR="00C8010F">
        <w:t xml:space="preserve"> as Agreement State licensees will now be subject to these reporting requirements.</w:t>
      </w:r>
    </w:p>
    <w:p w:rsidR="000A7F07" w:rsidP="002E7D6B" w:rsidRDefault="000A7F07" w14:paraId="228A683B" w14:textId="77777777">
      <w:pPr>
        <w:spacing w:line="240" w:lineRule="auto"/>
        <w:ind w:left="1080"/>
        <w:rPr>
          <w:rFonts w:eastAsia="Arial"/>
        </w:rPr>
      </w:pPr>
    </w:p>
    <w:p w:rsidR="00564CB5" w:rsidP="002E7D6B" w:rsidRDefault="00564CB5" w14:paraId="59DFDA71" w14:textId="7F2D0F29">
      <w:pPr>
        <w:spacing w:line="240" w:lineRule="auto"/>
        <w:ind w:left="1080"/>
        <w:rPr>
          <w:rFonts w:eastAsia="Arial"/>
        </w:rPr>
      </w:pPr>
      <w:r>
        <w:rPr>
          <w:rFonts w:eastAsia="Arial"/>
        </w:rPr>
        <w:t xml:space="preserve">In </w:t>
      </w:r>
      <w:r w:rsidRPr="327FBE72">
        <w:rPr>
          <w:rFonts w:eastAsia="Arial"/>
        </w:rPr>
        <w:t xml:space="preserve">§ </w:t>
      </w:r>
      <w:r>
        <w:rPr>
          <w:rFonts w:eastAsia="Arial"/>
        </w:rPr>
        <w:t xml:space="preserve">71.97, the NRC is proposing to </w:t>
      </w:r>
      <w:r>
        <w:t xml:space="preserve">remove the </w:t>
      </w:r>
      <w:r w:rsidR="00E36993">
        <w:t xml:space="preserve">duplicative burden for </w:t>
      </w:r>
      <w:r w:rsidR="00D66750">
        <w:t xml:space="preserve">advance </w:t>
      </w:r>
      <w:r w:rsidR="00E36993">
        <w:t xml:space="preserve">notification </w:t>
      </w:r>
      <w:r w:rsidR="00D66750">
        <w:t>for shipments of spent fuel</w:t>
      </w:r>
      <w:r>
        <w:t xml:space="preserve">.  </w:t>
      </w:r>
      <w:r w:rsidR="00D66750">
        <w:t xml:space="preserve">This requirement is duplicative to </w:t>
      </w:r>
      <w:r w:rsidRPr="327FBE72" w:rsidR="00D66750">
        <w:rPr>
          <w:rFonts w:eastAsia="Arial"/>
        </w:rPr>
        <w:t>§</w:t>
      </w:r>
      <w:r w:rsidRPr="327FBE72" w:rsidR="003102CF">
        <w:rPr>
          <w:rFonts w:eastAsia="Arial"/>
        </w:rPr>
        <w:t>§</w:t>
      </w:r>
      <w:r w:rsidRPr="327FBE72" w:rsidR="00D66750">
        <w:rPr>
          <w:rFonts w:eastAsia="Arial"/>
        </w:rPr>
        <w:t xml:space="preserve"> </w:t>
      </w:r>
      <w:r w:rsidR="00D66750">
        <w:rPr>
          <w:rFonts w:eastAsia="Arial"/>
        </w:rPr>
        <w:t>73.</w:t>
      </w:r>
      <w:r w:rsidR="003102CF">
        <w:rPr>
          <w:rFonts w:eastAsia="Arial"/>
        </w:rPr>
        <w:t xml:space="preserve">37 and 73.35.  </w:t>
      </w:r>
      <w:r>
        <w:t xml:space="preserve">This represents a </w:t>
      </w:r>
      <w:r w:rsidR="00B460E9">
        <w:t>decrease</w:t>
      </w:r>
      <w:r>
        <w:t xml:space="preserve"> in the reporting burden.</w:t>
      </w:r>
    </w:p>
    <w:p w:rsidR="00564CB5" w:rsidP="002E7D6B" w:rsidRDefault="00564CB5" w14:paraId="7BCC151D" w14:textId="77777777">
      <w:pPr>
        <w:spacing w:line="240" w:lineRule="auto"/>
        <w:ind w:left="1080"/>
        <w:rPr>
          <w:rFonts w:eastAsia="Arial"/>
        </w:rPr>
      </w:pPr>
    </w:p>
    <w:p w:rsidR="00603BC6" w:rsidP="002E7D6B" w:rsidRDefault="00603BC6" w14:paraId="0C837E13" w14:textId="4B926F1E">
      <w:pPr>
        <w:spacing w:line="240" w:lineRule="auto"/>
        <w:ind w:left="1080"/>
        <w:rPr>
          <w:rFonts w:eastAsia="Arial"/>
        </w:rPr>
      </w:pPr>
      <w:r>
        <w:rPr>
          <w:rFonts w:eastAsia="Arial"/>
        </w:rPr>
        <w:t xml:space="preserve">In </w:t>
      </w:r>
      <w:r w:rsidRPr="327FBE72">
        <w:rPr>
          <w:rFonts w:eastAsia="Arial"/>
        </w:rPr>
        <w:t>§</w:t>
      </w:r>
      <w:r w:rsidRPr="327FBE72" w:rsidR="00100166">
        <w:rPr>
          <w:rFonts w:eastAsia="Arial"/>
        </w:rPr>
        <w:t>§</w:t>
      </w:r>
      <w:r w:rsidRPr="327FBE72">
        <w:rPr>
          <w:rFonts w:eastAsia="Arial"/>
        </w:rPr>
        <w:t xml:space="preserve"> </w:t>
      </w:r>
      <w:r>
        <w:rPr>
          <w:rFonts w:eastAsia="Arial"/>
        </w:rPr>
        <w:t xml:space="preserve">71.101(c), and 71.106(a) and (b), the NRC is proposing to </w:t>
      </w:r>
      <w:r>
        <w:t>revise the compatibility category designation for</w:t>
      </w:r>
      <w:r w:rsidRPr="001E0A3F" w:rsidDel="006A0CC3">
        <w:t xml:space="preserve"> </w:t>
      </w:r>
      <w:r>
        <w:t xml:space="preserve">the reporting requirements in this regulation from a </w:t>
      </w:r>
      <w:r w:rsidR="00A603AA">
        <w:t>C</w:t>
      </w:r>
      <w:r>
        <w:t xml:space="preserve"> to a </w:t>
      </w:r>
      <w:r w:rsidR="00A603AA">
        <w:t>B for applicable Agreement States</w:t>
      </w:r>
      <w:r>
        <w:t>.  This represents a</w:t>
      </w:r>
      <w:r w:rsidR="00C9772F">
        <w:t>n</w:t>
      </w:r>
      <w:r>
        <w:t xml:space="preserve"> increase in the </w:t>
      </w:r>
      <w:r w:rsidR="004977BF">
        <w:t xml:space="preserve">third party </w:t>
      </w:r>
      <w:r>
        <w:t xml:space="preserve">reporting burden </w:t>
      </w:r>
      <w:r w:rsidR="004977BF">
        <w:t>for</w:t>
      </w:r>
      <w:r w:rsidR="00930AB2">
        <w:t xml:space="preserve"> applicable</w:t>
      </w:r>
      <w:r>
        <w:t xml:space="preserve"> Agreement States.</w:t>
      </w:r>
    </w:p>
    <w:p w:rsidR="00603BC6" w:rsidP="002E7D6B" w:rsidRDefault="00603BC6" w14:paraId="296272AD" w14:textId="77777777">
      <w:pPr>
        <w:spacing w:line="240" w:lineRule="auto"/>
        <w:ind w:left="1080"/>
        <w:rPr>
          <w:rFonts w:eastAsia="Arial"/>
        </w:rPr>
      </w:pPr>
    </w:p>
    <w:p w:rsidR="000A7F07" w:rsidP="002E7D6B" w:rsidRDefault="000A7F07" w14:paraId="32CD56A8" w14:textId="2B885CF2">
      <w:pPr>
        <w:spacing w:line="240" w:lineRule="auto"/>
        <w:ind w:left="1080"/>
        <w:rPr>
          <w:rFonts w:eastAsia="Arial"/>
        </w:rPr>
      </w:pPr>
      <w:r w:rsidRPr="327FBE72">
        <w:rPr>
          <w:rFonts w:eastAsia="Arial"/>
        </w:rPr>
        <w:t xml:space="preserve">In § 71.106(b), the NRC is proposing to add a new requirement to notify the NRC every 24 months even if there are no changes to the approval holder’s quality assurance program.  This represents an increase in reporting and recordkeeping </w:t>
      </w:r>
      <w:r w:rsidRPr="327FBE72">
        <w:rPr>
          <w:rFonts w:eastAsia="Arial"/>
        </w:rPr>
        <w:lastRenderedPageBreak/>
        <w:t>burden.  This information is needed by the NRC to ensure it is informed periodically that there have been no changes to the program, and to align with the requirements for reactor licensees under § 50.71(e)(2).</w:t>
      </w:r>
    </w:p>
    <w:p w:rsidR="000A7F07" w:rsidP="002E7D6B" w:rsidRDefault="000A7F07" w14:paraId="0A823FDB" w14:textId="77777777">
      <w:pPr>
        <w:widowControl w:val="0"/>
        <w:spacing w:line="240" w:lineRule="auto"/>
        <w:rPr>
          <w:rFonts w:eastAsia="Arial"/>
          <w:u w:val="single"/>
        </w:rPr>
      </w:pPr>
    </w:p>
    <w:p w:rsidR="000A7F07" w:rsidP="002E7D6B" w:rsidRDefault="000A7F07" w14:paraId="41D85959" w14:textId="77777777">
      <w:pPr>
        <w:widowControl w:val="0"/>
        <w:numPr>
          <w:ilvl w:val="0"/>
          <w:numId w:val="3"/>
        </w:numPr>
        <w:spacing w:line="240" w:lineRule="auto"/>
        <w:rPr>
          <w:rFonts w:eastAsia="Arial"/>
          <w:u w:val="single"/>
        </w:rPr>
      </w:pPr>
      <w:r w:rsidRPr="327FBE72">
        <w:rPr>
          <w:rFonts w:eastAsia="Arial"/>
          <w:u w:val="single"/>
        </w:rPr>
        <w:t>Agency Use and Practical Utility of Information</w:t>
      </w:r>
    </w:p>
    <w:p w:rsidR="000A7F07" w:rsidP="002E7D6B" w:rsidRDefault="000A7F07" w14:paraId="23E88C4B" w14:textId="77777777">
      <w:pPr>
        <w:widowControl w:val="0"/>
        <w:spacing w:line="240" w:lineRule="auto"/>
        <w:rPr>
          <w:rFonts w:eastAsia="Arial"/>
          <w:u w:val="single"/>
        </w:rPr>
      </w:pPr>
    </w:p>
    <w:p w:rsidR="000A7F07" w:rsidP="002E7D6B" w:rsidRDefault="000A7F07" w14:paraId="2B5ACE5F" w14:textId="77777777">
      <w:pPr>
        <w:widowControl w:val="0"/>
        <w:spacing w:line="240" w:lineRule="auto"/>
        <w:ind w:left="1080"/>
        <w:rPr>
          <w:rFonts w:eastAsia="Arial"/>
        </w:rPr>
      </w:pPr>
      <w:r w:rsidRPr="327FBE72">
        <w:rPr>
          <w:rFonts w:eastAsia="Arial"/>
        </w:rPr>
        <w:t>The NRC reviews the information submitted with the applications to determine if the applicant's package design, description, evaluation, QA program, and other procedures are adequate to meet all the applicable requirements in 10 CFR Part 71 and the DOT regulations and to protect the public health and safety and the common defense and security.</w:t>
      </w:r>
    </w:p>
    <w:p w:rsidRPr="00A107A2" w:rsidR="000A7F07" w:rsidP="002E7D6B" w:rsidRDefault="000A7F07" w14:paraId="55ABE408" w14:textId="77777777">
      <w:pPr>
        <w:widowControl w:val="0"/>
        <w:spacing w:line="240" w:lineRule="auto"/>
        <w:ind w:left="1080"/>
        <w:rPr>
          <w:rFonts w:eastAsia="Arial"/>
        </w:rPr>
      </w:pPr>
    </w:p>
    <w:p w:rsidR="000A7F07" w:rsidP="002E7D6B" w:rsidRDefault="000A7F07" w14:paraId="3E57F8B9" w14:textId="77777777">
      <w:pPr>
        <w:widowControl w:val="0"/>
        <w:spacing w:line="240" w:lineRule="auto"/>
        <w:ind w:left="1080"/>
        <w:rPr>
          <w:rFonts w:eastAsia="Arial"/>
        </w:rPr>
      </w:pPr>
      <w:r w:rsidRPr="327FBE72">
        <w:rPr>
          <w:rFonts w:eastAsia="Arial"/>
        </w:rPr>
        <w:t>Additional information provided by the certificate holders and licensees is also used as part of the basis for NRC decisions on the issuance, modification, or revocation of licenses, CoCs, or other approvals.</w:t>
      </w:r>
    </w:p>
    <w:p w:rsidRPr="00A107A2" w:rsidR="000A7F07" w:rsidP="002E7D6B" w:rsidRDefault="000A7F07" w14:paraId="4FEDA7AC" w14:textId="77777777">
      <w:pPr>
        <w:widowControl w:val="0"/>
        <w:spacing w:line="240" w:lineRule="auto"/>
        <w:ind w:left="1080"/>
        <w:rPr>
          <w:rFonts w:eastAsia="Arial"/>
        </w:rPr>
      </w:pPr>
    </w:p>
    <w:p w:rsidR="000A7F07" w:rsidP="002E7D6B" w:rsidRDefault="000A7F07" w14:paraId="6B4662D9" w14:textId="77777777">
      <w:pPr>
        <w:widowControl w:val="0"/>
        <w:spacing w:line="240" w:lineRule="auto"/>
        <w:ind w:left="1080"/>
        <w:rPr>
          <w:rFonts w:eastAsia="Arial"/>
        </w:rPr>
      </w:pPr>
      <w:r w:rsidRPr="327FBE72">
        <w:rPr>
          <w:rFonts w:eastAsia="Arial"/>
        </w:rPr>
        <w:t>The NRC reviews the reports and records submitted pursuant to 10 CFR Part 71 to determine whether the licensee's shipping activities are conducted in accordance with the authorization in the license and applicable requirements.</w:t>
      </w:r>
    </w:p>
    <w:p w:rsidRPr="00A107A2" w:rsidR="000A7F07" w:rsidP="002E7D6B" w:rsidRDefault="000A7F07" w14:paraId="064B1838" w14:textId="77777777">
      <w:pPr>
        <w:widowControl w:val="0"/>
        <w:spacing w:line="240" w:lineRule="auto"/>
        <w:ind w:left="1080"/>
        <w:rPr>
          <w:rFonts w:eastAsia="Arial"/>
        </w:rPr>
      </w:pPr>
    </w:p>
    <w:p w:rsidR="000A7F07" w:rsidP="002E7D6B" w:rsidRDefault="000A7F07" w14:paraId="09ECD9B7" w14:textId="77777777">
      <w:pPr>
        <w:widowControl w:val="0"/>
        <w:spacing w:line="240" w:lineRule="auto"/>
        <w:ind w:left="1080"/>
        <w:rPr>
          <w:rFonts w:eastAsia="Arial"/>
        </w:rPr>
      </w:pPr>
      <w:r w:rsidRPr="327FBE72">
        <w:rPr>
          <w:rFonts w:eastAsia="Arial"/>
        </w:rPr>
        <w:t>The agency reviews the licensees' QA programs to ensure that packages are designed, fabricated, tested, procured, used, maintained, repaired, and modified in accordance with the CoC issued for the packaging.</w:t>
      </w:r>
    </w:p>
    <w:p w:rsidRPr="00A107A2" w:rsidR="000A7F07" w:rsidP="002E7D6B" w:rsidRDefault="000A7F07" w14:paraId="5E68EBE3" w14:textId="77777777">
      <w:pPr>
        <w:widowControl w:val="0"/>
        <w:spacing w:line="240" w:lineRule="auto"/>
        <w:ind w:left="1080"/>
        <w:rPr>
          <w:rFonts w:eastAsia="Arial"/>
        </w:rPr>
      </w:pPr>
    </w:p>
    <w:p w:rsidRPr="00DD5D99" w:rsidR="000A7F07" w:rsidP="002E7D6B" w:rsidRDefault="000A7F07" w14:paraId="7A2E5C52" w14:textId="77777777">
      <w:pPr>
        <w:widowControl w:val="0"/>
        <w:spacing w:line="240" w:lineRule="auto"/>
        <w:ind w:left="1080"/>
        <w:rPr>
          <w:rFonts w:eastAsia="Arial"/>
        </w:rPr>
      </w:pPr>
      <w:r w:rsidRPr="327FBE72">
        <w:rPr>
          <w:rFonts w:eastAsia="Arial"/>
        </w:rPr>
        <w:t>The changes to the information collection requirements in the proposed rule reflect changes to the NRC’s transportation regulations under 10 CFR Part 71 to harmonize with the international standards of IAEA SSR-6.  In addition, some of the proposed rule changes have been coordinated with changes DOT is making to their corresponding transportation requirements under 49 CFR, so that the NRC’s and DOT’s regulations are similarly harmonized.  The proposed rule would not change the NRC’s use of or practical utility of this information.</w:t>
      </w:r>
    </w:p>
    <w:p w:rsidRPr="00A107A2" w:rsidR="000A7F07" w:rsidP="002E7D6B" w:rsidRDefault="000A7F07" w14:paraId="5F98B577" w14:textId="77777777">
      <w:pPr>
        <w:widowControl w:val="0"/>
        <w:spacing w:line="240" w:lineRule="auto"/>
        <w:rPr>
          <w:rFonts w:eastAsia="Arial"/>
          <w:u w:val="single"/>
        </w:rPr>
      </w:pPr>
    </w:p>
    <w:p w:rsidR="000A7F07" w:rsidP="002E7D6B" w:rsidRDefault="000A7F07" w14:paraId="007683DB" w14:textId="77777777">
      <w:pPr>
        <w:widowControl w:val="0"/>
        <w:numPr>
          <w:ilvl w:val="0"/>
          <w:numId w:val="3"/>
        </w:numPr>
        <w:spacing w:line="240" w:lineRule="auto"/>
        <w:rPr>
          <w:rFonts w:eastAsia="Arial"/>
        </w:rPr>
      </w:pPr>
      <w:r w:rsidRPr="327FBE72">
        <w:rPr>
          <w:rFonts w:eastAsia="Arial"/>
          <w:u w:val="single"/>
        </w:rPr>
        <w:t>Reduction of Burden Through Information Technology</w:t>
      </w:r>
    </w:p>
    <w:p w:rsidRPr="00A107A2" w:rsidR="000A7F07" w:rsidP="002E7D6B" w:rsidRDefault="000A7F07" w14:paraId="5DAD1211" w14:textId="77777777">
      <w:pPr>
        <w:widowControl w:val="0"/>
        <w:spacing w:line="240" w:lineRule="auto"/>
        <w:rPr>
          <w:rFonts w:eastAsia="Arial"/>
        </w:rPr>
      </w:pPr>
    </w:p>
    <w:p w:rsidRPr="000467C5" w:rsidR="000A7F07" w:rsidP="002E7D6B" w:rsidRDefault="000A7F07" w14:paraId="539B0824" w14:textId="25759BA4">
      <w:pPr>
        <w:widowControl w:val="0"/>
        <w:spacing w:line="240" w:lineRule="auto"/>
        <w:ind w:left="1080"/>
        <w:rPr>
          <w:rFonts w:eastAsia="Arial"/>
        </w:rPr>
      </w:pPr>
      <w:r w:rsidRPr="327FBE72">
        <w:rPr>
          <w:rFonts w:eastAsia="Arial"/>
        </w:rPr>
        <w:t xml:space="preserve">The NRC has issued </w:t>
      </w:r>
      <w:hyperlink r:id="rId10">
        <w:r w:rsidRPr="327FBE72">
          <w:rPr>
            <w:rStyle w:val="Hyperlink"/>
            <w:rFonts w:eastAsia="Arial"/>
            <w:i/>
            <w:iCs/>
          </w:rPr>
          <w:t>Guidance for Electronic Submissions to the NRC</w:t>
        </w:r>
      </w:hyperlink>
      <w:r w:rsidRPr="327FBE72">
        <w:rPr>
          <w:rStyle w:val="Hyperlink"/>
          <w:rFonts w:eastAsia="Arial"/>
          <w:u w:val="none"/>
        </w:rPr>
        <w:t>,</w:t>
      </w:r>
      <w:r w:rsidRPr="327FBE72">
        <w:rPr>
          <w:rFonts w:eastAsia="Arial"/>
        </w:rPr>
        <w:t xml:space="preserve"> which provides direction for the electronic transmission and submittal of documents to the NRC.  Electronic transmission and submittal of documents can be accomplished via the following avenues:  </w:t>
      </w:r>
      <w:r w:rsidRPr="327FBE72" w:rsidR="002E7D6B">
        <w:rPr>
          <w:rFonts w:eastAsia="Arial"/>
        </w:rPr>
        <w:t>The</w:t>
      </w:r>
      <w:r w:rsidRPr="327FBE72">
        <w:rPr>
          <w:rFonts w:eastAsia="Arial"/>
        </w:rPr>
        <w:t xml:space="preserve"> Electronic Information Exchange process, which is available from the NRC's “Electronic Submittals” Web page, by Optical Storage Media (e.g. CD-ROM, DVD), by facsimile or by e-mail.  It is estimated that approximately 70 percent</w:t>
      </w:r>
      <w:r w:rsidRPr="327FBE72">
        <w:rPr>
          <w:rFonts w:eastAsia="Arial"/>
          <w:b/>
          <w:bCs/>
        </w:rPr>
        <w:t xml:space="preserve"> </w:t>
      </w:r>
      <w:r w:rsidRPr="327FBE72">
        <w:rPr>
          <w:rFonts w:eastAsia="Arial"/>
        </w:rPr>
        <w:t>of the responses are filed electronically.</w:t>
      </w:r>
    </w:p>
    <w:p w:rsidRPr="00A107A2" w:rsidR="000A7F07" w:rsidP="002E7D6B" w:rsidRDefault="000A7F07" w14:paraId="7D943CF1" w14:textId="77777777">
      <w:pPr>
        <w:widowControl w:val="0"/>
        <w:spacing w:line="240" w:lineRule="auto"/>
        <w:rPr>
          <w:rFonts w:eastAsia="Arial"/>
        </w:rPr>
      </w:pPr>
    </w:p>
    <w:p w:rsidR="000A7F07" w:rsidP="002E7D6B" w:rsidRDefault="000A7F07" w14:paraId="3AF2F106" w14:textId="77777777">
      <w:pPr>
        <w:widowControl w:val="0"/>
        <w:numPr>
          <w:ilvl w:val="0"/>
          <w:numId w:val="3"/>
        </w:numPr>
        <w:spacing w:line="240" w:lineRule="auto"/>
        <w:rPr>
          <w:rFonts w:eastAsia="Arial"/>
          <w:u w:val="single"/>
        </w:rPr>
      </w:pPr>
      <w:r w:rsidRPr="327FBE72">
        <w:rPr>
          <w:rFonts w:eastAsia="Arial"/>
          <w:u w:val="single"/>
        </w:rPr>
        <w:t>Effort to Identify Duplication and Use Similar Information</w:t>
      </w:r>
    </w:p>
    <w:p w:rsidRPr="00A107A2" w:rsidR="000A7F07" w:rsidP="002E7D6B" w:rsidRDefault="000A7F07" w14:paraId="1515363E" w14:textId="77777777">
      <w:pPr>
        <w:widowControl w:val="0"/>
        <w:spacing w:line="240" w:lineRule="auto"/>
        <w:rPr>
          <w:rFonts w:eastAsia="Arial"/>
          <w:u w:val="single"/>
        </w:rPr>
      </w:pPr>
    </w:p>
    <w:p w:rsidR="000A7F07" w:rsidP="002E7D6B" w:rsidRDefault="000A7F07" w14:paraId="69CEB1CD" w14:textId="2CCE99F5">
      <w:pPr>
        <w:widowControl w:val="0"/>
        <w:spacing w:line="240" w:lineRule="auto"/>
        <w:ind w:left="1080"/>
        <w:rPr>
          <w:rFonts w:eastAsia="Arial"/>
        </w:rPr>
      </w:pPr>
      <w:r w:rsidRPr="327FBE72">
        <w:rPr>
          <w:rFonts w:eastAsia="Arial"/>
        </w:rPr>
        <w:t>No sources of similar information are available.  There is no duplication of requirements.</w:t>
      </w:r>
    </w:p>
    <w:p w:rsidR="002E7D6B" w:rsidP="002E7D6B" w:rsidRDefault="002E7D6B" w14:paraId="0CF516B6" w14:textId="3174FB44">
      <w:pPr>
        <w:widowControl w:val="0"/>
        <w:spacing w:line="240" w:lineRule="auto"/>
        <w:ind w:left="1080"/>
        <w:rPr>
          <w:rFonts w:eastAsia="Arial"/>
        </w:rPr>
      </w:pPr>
    </w:p>
    <w:p w:rsidR="002E7D6B" w:rsidP="002E7D6B" w:rsidRDefault="002E7D6B" w14:paraId="6FD82D8D" w14:textId="53586FDC">
      <w:pPr>
        <w:widowControl w:val="0"/>
        <w:spacing w:line="240" w:lineRule="auto"/>
        <w:ind w:left="1080"/>
        <w:rPr>
          <w:rFonts w:eastAsia="Arial"/>
        </w:rPr>
      </w:pPr>
    </w:p>
    <w:p w:rsidR="002E7D6B" w:rsidP="002E7D6B" w:rsidRDefault="002E7D6B" w14:paraId="02C82BA9" w14:textId="543F929D">
      <w:pPr>
        <w:widowControl w:val="0"/>
        <w:spacing w:line="240" w:lineRule="auto"/>
        <w:ind w:left="1080"/>
        <w:rPr>
          <w:rFonts w:eastAsia="Arial"/>
        </w:rPr>
      </w:pPr>
    </w:p>
    <w:p w:rsidR="002E7D6B" w:rsidP="002E7D6B" w:rsidRDefault="002E7D6B" w14:paraId="25E86EED" w14:textId="77777777">
      <w:pPr>
        <w:widowControl w:val="0"/>
        <w:spacing w:line="240" w:lineRule="auto"/>
        <w:ind w:left="1080"/>
        <w:rPr>
          <w:rFonts w:eastAsia="Arial"/>
        </w:rPr>
      </w:pPr>
    </w:p>
    <w:p w:rsidRPr="00A107A2" w:rsidR="000A7F07" w:rsidP="002E7D6B" w:rsidRDefault="000A7F07" w14:paraId="3987F80A" w14:textId="77777777">
      <w:pPr>
        <w:widowControl w:val="0"/>
        <w:spacing w:line="240" w:lineRule="auto"/>
        <w:rPr>
          <w:rFonts w:eastAsia="Arial"/>
          <w:u w:val="single"/>
        </w:rPr>
      </w:pPr>
    </w:p>
    <w:p w:rsidRPr="005504EC" w:rsidR="000A7F07" w:rsidP="002E7D6B" w:rsidRDefault="000A7F07" w14:paraId="3043670F" w14:textId="77777777">
      <w:pPr>
        <w:widowControl w:val="0"/>
        <w:numPr>
          <w:ilvl w:val="0"/>
          <w:numId w:val="3"/>
        </w:numPr>
        <w:spacing w:line="240" w:lineRule="auto"/>
        <w:rPr>
          <w:rFonts w:eastAsia="Arial"/>
        </w:rPr>
      </w:pPr>
      <w:r w:rsidRPr="327FBE72">
        <w:rPr>
          <w:rFonts w:eastAsia="Arial"/>
          <w:u w:val="single"/>
        </w:rPr>
        <w:lastRenderedPageBreak/>
        <w:t>Effort to Reduce Small Business Burden</w:t>
      </w:r>
    </w:p>
    <w:p w:rsidRPr="00A107A2" w:rsidR="000A7F07" w:rsidP="002E7D6B" w:rsidRDefault="000A7F07" w14:paraId="24D5729B" w14:textId="77777777">
      <w:pPr>
        <w:widowControl w:val="0"/>
        <w:spacing w:line="240" w:lineRule="auto"/>
        <w:rPr>
          <w:rFonts w:eastAsia="Arial"/>
          <w:u w:val="single"/>
        </w:rPr>
      </w:pPr>
    </w:p>
    <w:p w:rsidR="000A7F07" w:rsidP="002E7D6B" w:rsidRDefault="000A7F07" w14:paraId="2B9A7B14" w14:textId="77777777">
      <w:pPr>
        <w:widowControl w:val="0"/>
        <w:spacing w:line="240" w:lineRule="auto"/>
        <w:ind w:left="1080"/>
        <w:rPr>
          <w:rFonts w:eastAsia="Arial"/>
        </w:rPr>
      </w:pPr>
      <w:r w:rsidRPr="327FBE72">
        <w:rPr>
          <w:rFonts w:eastAsia="Arial"/>
        </w:rPr>
        <w:t>Most businesses which either transport Type B</w:t>
      </w:r>
      <w:r w:rsidRPr="327FBE72">
        <w:rPr>
          <w:rFonts w:eastAsia="Arial"/>
          <w:vertAlign w:val="superscript"/>
        </w:rPr>
        <w:footnoteReference w:id="2"/>
      </w:r>
      <w:r w:rsidRPr="327FBE72">
        <w:rPr>
          <w:rFonts w:eastAsia="Arial"/>
        </w:rPr>
        <w:t xml:space="preserve"> or fissile packages or deliver them to a carrier for transport are not small businesses as this term is defined in the Regulatory Flexibility Act.  Moreover, since the health and safety consequences of improper handling or transport of radioactive material are the same for large and small entities, it is for the most part not possible to reduce the burden on small businesses by less frequent or less complete reporting or recordkeeping procedures.  However, the effort required to consolidate renewal applications is proportional to the size and extent of a licensee's program, making the required effort naturally less for a small business.  Approximately 25 percent of respondents are small businesses.</w:t>
      </w:r>
    </w:p>
    <w:p w:rsidRPr="00A107A2" w:rsidR="000A7F07" w:rsidP="002E7D6B" w:rsidRDefault="000A7F07" w14:paraId="60706EC7" w14:textId="77777777">
      <w:pPr>
        <w:widowControl w:val="0"/>
        <w:spacing w:line="240" w:lineRule="auto"/>
        <w:ind w:left="1080"/>
        <w:rPr>
          <w:rFonts w:eastAsia="Arial"/>
        </w:rPr>
      </w:pPr>
    </w:p>
    <w:p w:rsidRPr="00CB1894" w:rsidR="000A7F07" w:rsidP="002E7D6B" w:rsidRDefault="000A7F07" w14:paraId="5456B131" w14:textId="77777777">
      <w:pPr>
        <w:widowControl w:val="0"/>
        <w:spacing w:line="240" w:lineRule="auto"/>
        <w:ind w:left="1080"/>
        <w:rPr>
          <w:rFonts w:eastAsia="Arial"/>
        </w:rPr>
      </w:pPr>
      <w:r w:rsidRPr="327FBE72">
        <w:rPr>
          <w:rFonts w:eastAsia="Arial"/>
        </w:rPr>
        <w:t>The proposed rule and its associated changes to 10 CFR Part 71 would not reduce the burden on small businesses.</w:t>
      </w:r>
    </w:p>
    <w:p w:rsidRPr="00A107A2" w:rsidR="000A7F07" w:rsidP="002E7D6B" w:rsidRDefault="000A7F07" w14:paraId="1CD88A08" w14:textId="77777777">
      <w:pPr>
        <w:widowControl w:val="0"/>
        <w:spacing w:line="240" w:lineRule="auto"/>
        <w:rPr>
          <w:rFonts w:eastAsia="Arial"/>
        </w:rPr>
      </w:pPr>
    </w:p>
    <w:p w:rsidR="000A7F07" w:rsidP="002E7D6B" w:rsidRDefault="000A7F07" w14:paraId="3A341798" w14:textId="77777777">
      <w:pPr>
        <w:widowControl w:val="0"/>
        <w:numPr>
          <w:ilvl w:val="0"/>
          <w:numId w:val="3"/>
        </w:numPr>
        <w:spacing w:line="240" w:lineRule="auto"/>
        <w:rPr>
          <w:rFonts w:eastAsia="Arial"/>
        </w:rPr>
      </w:pPr>
      <w:r w:rsidRPr="327FBE72">
        <w:rPr>
          <w:rFonts w:eastAsia="Arial"/>
          <w:u w:val="single"/>
        </w:rPr>
        <w:t>Consequences to Federal Program or Policy Activities if the Collection Is Not Conducted or Is Conducted Less Frequently</w:t>
      </w:r>
    </w:p>
    <w:p w:rsidRPr="00A107A2" w:rsidR="000A7F07" w:rsidP="002E7D6B" w:rsidRDefault="000A7F07" w14:paraId="7B79EF04" w14:textId="77777777">
      <w:pPr>
        <w:widowControl w:val="0"/>
        <w:spacing w:line="240" w:lineRule="auto"/>
        <w:rPr>
          <w:rFonts w:eastAsia="Arial"/>
        </w:rPr>
      </w:pPr>
    </w:p>
    <w:p w:rsidRPr="0032425C" w:rsidR="000A7F07" w:rsidP="002E7D6B" w:rsidRDefault="000A7F07" w14:paraId="0FD373A1" w14:textId="77777777">
      <w:pPr>
        <w:widowControl w:val="0"/>
        <w:spacing w:line="240" w:lineRule="auto"/>
        <w:ind w:left="1080"/>
        <w:rPr>
          <w:rFonts w:eastAsia="Arial"/>
        </w:rPr>
      </w:pPr>
      <w:r w:rsidRPr="327FBE72">
        <w:rPr>
          <w:rFonts w:eastAsia="Arial"/>
        </w:rPr>
        <w:t>Applications for new package certifications are submitted only once.  A consolidated application is required only at renewal time every 5 years.  The serial number information required by §§ 71.19 and 71.85 is only collected one time.  Other information is collected as dictated by specified events.  Written instructions for exclusive use shipments are needed each time one of these shipments is made, so no less frequent collection is possible.  Recording shipment data, including package serial number, at the time of each shipment is necessary to ensure compliance.  Less frequent collection would impair the ability of the NRC to evaluate the adequacy of the safety of package designs for transport and would not permit the NRC to carry out its obligation to ensure that adequate measures are taken to protect the public health and safety.</w:t>
      </w:r>
    </w:p>
    <w:p w:rsidRPr="00A107A2" w:rsidR="000A7F07" w:rsidP="002E7D6B" w:rsidRDefault="000A7F07" w14:paraId="3E078EAD" w14:textId="77777777">
      <w:pPr>
        <w:widowControl w:val="0"/>
        <w:spacing w:line="240" w:lineRule="auto"/>
        <w:ind w:left="1080"/>
        <w:rPr>
          <w:rFonts w:eastAsia="Arial"/>
        </w:rPr>
      </w:pPr>
    </w:p>
    <w:p w:rsidRPr="00CB1894" w:rsidR="000A7F07" w:rsidP="002E7D6B" w:rsidRDefault="000A7F07" w14:paraId="42F95C9D" w14:textId="77777777">
      <w:pPr>
        <w:widowControl w:val="0"/>
        <w:spacing w:line="240" w:lineRule="auto"/>
        <w:ind w:left="1080"/>
        <w:rPr>
          <w:rFonts w:eastAsia="Arial"/>
        </w:rPr>
      </w:pPr>
      <w:r w:rsidRPr="327FBE72">
        <w:rPr>
          <w:rFonts w:eastAsia="Arial"/>
        </w:rPr>
        <w:t>The proposed rule and its associated changes to 10 CFR Part 71 would not justify the NRC reducing the frequency of information collections, nor would it justify the NRC not collecting the information.</w:t>
      </w:r>
    </w:p>
    <w:p w:rsidRPr="00A107A2" w:rsidR="000A7F07" w:rsidP="002E7D6B" w:rsidRDefault="000A7F07" w14:paraId="7362BDBC" w14:textId="77777777">
      <w:pPr>
        <w:widowControl w:val="0"/>
        <w:spacing w:line="240" w:lineRule="auto"/>
        <w:rPr>
          <w:rFonts w:eastAsia="Arial"/>
        </w:rPr>
      </w:pPr>
    </w:p>
    <w:p w:rsidR="000A7F07" w:rsidP="002E7D6B" w:rsidRDefault="000A7F07" w14:paraId="2E15D92C" w14:textId="61CAEB4E">
      <w:pPr>
        <w:widowControl w:val="0"/>
        <w:numPr>
          <w:ilvl w:val="0"/>
          <w:numId w:val="3"/>
        </w:numPr>
        <w:spacing w:line="240" w:lineRule="auto"/>
        <w:rPr>
          <w:rFonts w:eastAsia="Arial"/>
          <w:u w:val="single"/>
        </w:rPr>
      </w:pPr>
      <w:r w:rsidRPr="327FBE72">
        <w:rPr>
          <w:rFonts w:eastAsia="Arial"/>
          <w:u w:val="single"/>
        </w:rPr>
        <w:t xml:space="preserve">Circumstances Which Justify Variation from </w:t>
      </w:r>
      <w:bookmarkStart w:name="_Hlk54862918" w:id="0"/>
      <w:r w:rsidR="002E7D6B">
        <w:rPr>
          <w:rFonts w:eastAsia="Arial"/>
          <w:u w:val="single"/>
        </w:rPr>
        <w:t xml:space="preserve">The Office of Management and Budget </w:t>
      </w:r>
      <w:r w:rsidRPr="327FBE72">
        <w:rPr>
          <w:rFonts w:eastAsia="Arial"/>
          <w:u w:val="single"/>
        </w:rPr>
        <w:t xml:space="preserve"> Guidelines</w:t>
      </w:r>
    </w:p>
    <w:bookmarkEnd w:id="0"/>
    <w:p w:rsidRPr="00A107A2" w:rsidR="000A7F07" w:rsidP="002E7D6B" w:rsidRDefault="000A7F07" w14:paraId="17393AD6" w14:textId="77777777">
      <w:pPr>
        <w:widowControl w:val="0"/>
        <w:spacing w:line="240" w:lineRule="auto"/>
        <w:rPr>
          <w:rFonts w:eastAsia="Arial"/>
          <w:u w:val="single"/>
        </w:rPr>
      </w:pPr>
    </w:p>
    <w:p w:rsidRPr="00034458" w:rsidR="000A7F07" w:rsidP="002E7D6B" w:rsidRDefault="000A7F07" w14:paraId="0992F305" w14:textId="77041581">
      <w:pPr>
        <w:widowControl w:val="0"/>
        <w:spacing w:line="240" w:lineRule="auto"/>
        <w:ind w:left="1080"/>
        <w:rPr>
          <w:rFonts w:eastAsia="Arial"/>
        </w:rPr>
      </w:pPr>
      <w:r w:rsidRPr="327FBE72">
        <w:rPr>
          <w:rFonts w:eastAsia="Arial"/>
        </w:rPr>
        <w:t xml:space="preserve">There are variations from </w:t>
      </w:r>
      <w:r w:rsidRPr="002E7D6B" w:rsidR="002E7D6B">
        <w:rPr>
          <w:rFonts w:eastAsia="Arial"/>
        </w:rPr>
        <w:t>the Office of Management and Budget  Guidelines</w:t>
      </w:r>
      <w:r w:rsidR="002E7D6B">
        <w:rPr>
          <w:rFonts w:eastAsia="Arial"/>
        </w:rPr>
        <w:t xml:space="preserve"> (</w:t>
      </w:r>
      <w:r w:rsidRPr="327FBE72">
        <w:rPr>
          <w:rFonts w:eastAsia="Arial"/>
        </w:rPr>
        <w:t>OMB</w:t>
      </w:r>
      <w:r w:rsidR="002E7D6B">
        <w:rPr>
          <w:rFonts w:eastAsia="Arial"/>
        </w:rPr>
        <w:t>)</w:t>
      </w:r>
      <w:r w:rsidRPr="327FBE72">
        <w:rPr>
          <w:rFonts w:eastAsia="Arial"/>
        </w:rPr>
        <w:t xml:space="preserve"> guidelines.  The proposed rule contains requirements, consistent with current transportation requirements, to retain certain recordkeeping documents throughout the life of a license.  By maintaining these records throughout the life of the license, the NRC can maintain proper oversight and enforcement, including inspections.  Based on its authority under the </w:t>
      </w:r>
      <w:r w:rsidR="00A524DE">
        <w:rPr>
          <w:rFonts w:eastAsia="Arial"/>
        </w:rPr>
        <w:t>Atomic Energy Act</w:t>
      </w:r>
      <w:r w:rsidRPr="327FBE72">
        <w:rPr>
          <w:rFonts w:eastAsia="Arial"/>
        </w:rPr>
        <w:t>, the NRC has determined that these requirements are necessary to provide for the public health and safety.</w:t>
      </w:r>
    </w:p>
    <w:p w:rsidRPr="00A107A2" w:rsidR="000A7F07" w:rsidP="002E7D6B" w:rsidRDefault="000A7F07" w14:paraId="6581C109" w14:textId="77777777">
      <w:pPr>
        <w:widowControl w:val="0"/>
        <w:spacing w:line="240" w:lineRule="auto"/>
        <w:rPr>
          <w:rFonts w:eastAsia="Arial"/>
          <w:u w:val="single"/>
        </w:rPr>
      </w:pPr>
    </w:p>
    <w:p w:rsidRPr="002A64F1" w:rsidR="000A7F07" w:rsidP="002E7D6B" w:rsidRDefault="000A7F07" w14:paraId="3DD75547" w14:textId="77777777">
      <w:pPr>
        <w:numPr>
          <w:ilvl w:val="0"/>
          <w:numId w:val="3"/>
        </w:numPr>
        <w:spacing w:line="240" w:lineRule="auto"/>
        <w:rPr>
          <w:rFonts w:eastAsia="Arial"/>
        </w:rPr>
      </w:pPr>
      <w:r w:rsidRPr="327FBE72">
        <w:rPr>
          <w:rFonts w:eastAsia="Arial"/>
          <w:u w:val="single"/>
        </w:rPr>
        <w:t>Consultations Outside the NRC</w:t>
      </w:r>
    </w:p>
    <w:p w:rsidRPr="00A107A2" w:rsidR="000A7F07" w:rsidP="002E7D6B" w:rsidRDefault="000A7F07" w14:paraId="08EF6AED" w14:textId="77777777">
      <w:pPr>
        <w:spacing w:line="240" w:lineRule="auto"/>
        <w:rPr>
          <w:rFonts w:eastAsia="Arial"/>
          <w:u w:val="single"/>
        </w:rPr>
      </w:pPr>
    </w:p>
    <w:p w:rsidRPr="00CD3D03" w:rsidR="000A7F07" w:rsidP="002E7D6B" w:rsidRDefault="000A7F07" w14:paraId="63E5A950" w14:textId="0C99FCD8">
      <w:pPr>
        <w:spacing w:line="240" w:lineRule="auto"/>
        <w:ind w:left="1080"/>
        <w:rPr>
          <w:rFonts w:eastAsia="Arial"/>
        </w:rPr>
      </w:pPr>
      <w:r w:rsidRPr="327FBE72">
        <w:rPr>
          <w:rFonts w:eastAsia="Arial"/>
        </w:rPr>
        <w:t xml:space="preserve">On April 12, 2019, the NRC issued a draft regulatory basis in the </w:t>
      </w:r>
      <w:r w:rsidRPr="327FBE72">
        <w:rPr>
          <w:rFonts w:eastAsia="Arial"/>
          <w:i/>
          <w:iCs/>
        </w:rPr>
        <w:t>Federal Register</w:t>
      </w:r>
      <w:r w:rsidRPr="327FBE72">
        <w:rPr>
          <w:rFonts w:eastAsia="Arial"/>
        </w:rPr>
        <w:t xml:space="preserve"> and requested public comments (84 FR 14898).  The NRC also held a public </w:t>
      </w:r>
      <w:r w:rsidRPr="327FBE72">
        <w:rPr>
          <w:rFonts w:eastAsia="Arial"/>
        </w:rPr>
        <w:lastRenderedPageBreak/>
        <w:t>meeting on April 30, 2019, to discuss the draft regulatory basis with interested stakeholders.  The results of this public meeting are detailed in the meeting summary (</w:t>
      </w:r>
      <w:r w:rsidR="00A524DE">
        <w:rPr>
          <w:rFonts w:eastAsia="Arial"/>
        </w:rPr>
        <w:t>Agencywide Documents Access and Management System (</w:t>
      </w:r>
      <w:r w:rsidRPr="327FBE72">
        <w:rPr>
          <w:rFonts w:eastAsia="Arial"/>
        </w:rPr>
        <w:t>ADAMS</w:t>
      </w:r>
      <w:r w:rsidR="00A524DE">
        <w:rPr>
          <w:rFonts w:eastAsia="Arial"/>
        </w:rPr>
        <w:t>)</w:t>
      </w:r>
      <w:r w:rsidRPr="327FBE72">
        <w:rPr>
          <w:rFonts w:eastAsia="Arial"/>
        </w:rPr>
        <w:t xml:space="preserve"> Accession No. ML19136A167).</w:t>
      </w:r>
    </w:p>
    <w:p w:rsidRPr="00A107A2" w:rsidR="000A7F07" w:rsidP="002E7D6B" w:rsidRDefault="000A7F07" w14:paraId="7C9D4A22" w14:textId="77777777">
      <w:pPr>
        <w:spacing w:line="240" w:lineRule="auto"/>
        <w:ind w:left="1080"/>
        <w:rPr>
          <w:rFonts w:eastAsia="Arial"/>
        </w:rPr>
      </w:pPr>
    </w:p>
    <w:p w:rsidRPr="00CD3D03" w:rsidR="000A7F07" w:rsidP="002E7D6B" w:rsidRDefault="000A7F07" w14:paraId="39320605" w14:textId="77777777">
      <w:pPr>
        <w:spacing w:line="240" w:lineRule="auto"/>
        <w:ind w:left="1080"/>
        <w:rPr>
          <w:rFonts w:eastAsia="Arial"/>
        </w:rPr>
      </w:pPr>
      <w:r w:rsidRPr="327FBE72">
        <w:rPr>
          <w:rFonts w:eastAsia="Arial"/>
        </w:rPr>
        <w:t>The NRC received seven comment submissions on the draft regulatory basis.  The NRC considered those comment submissions in preparing the proposed rule.  Because the public comments would only require minor changes to the regulatory basis document, the NRC decided against issuing a final regulatory basis, and instead moving ahead with developing the proposed rule.  None of these comments involved reporting or recordkeeping requirements.</w:t>
      </w:r>
    </w:p>
    <w:p w:rsidRPr="00A107A2" w:rsidR="000A7F07" w:rsidP="002E7D6B" w:rsidRDefault="000A7F07" w14:paraId="4F1DB778" w14:textId="77777777">
      <w:pPr>
        <w:spacing w:line="240" w:lineRule="auto"/>
        <w:ind w:left="1080"/>
        <w:rPr>
          <w:rFonts w:eastAsia="Arial"/>
        </w:rPr>
      </w:pPr>
    </w:p>
    <w:p w:rsidR="000A7F07" w:rsidP="002E7D6B" w:rsidRDefault="000A7F07" w14:paraId="421465A3" w14:textId="77777777">
      <w:pPr>
        <w:spacing w:line="240" w:lineRule="auto"/>
        <w:ind w:left="1080"/>
        <w:rPr>
          <w:rFonts w:eastAsia="Arial"/>
        </w:rPr>
      </w:pPr>
      <w:r w:rsidRPr="327FBE72">
        <w:rPr>
          <w:rFonts w:eastAsia="Arial"/>
        </w:rPr>
        <w:t>The NRC will provide another opportunity for public comment when the proposed rule is published under RIN # 3150-AJ85.  The NRC staff will issue the draft implementing guidance with the proposed rule and draft regulatory analysis to support more informed external stakeholder feedback.  Further, the NRC staff will continue to hold public meetings throughout the rulemaking process.  Any comments related to information collection requirements in the proposed rule will be addressed at the final rule stage.</w:t>
      </w:r>
    </w:p>
    <w:p w:rsidRPr="00A107A2" w:rsidR="000A7F07" w:rsidP="002E7D6B" w:rsidRDefault="000A7F07" w14:paraId="238BFF66" w14:textId="77777777">
      <w:pPr>
        <w:spacing w:line="240" w:lineRule="auto"/>
        <w:rPr>
          <w:rFonts w:eastAsia="Arial"/>
        </w:rPr>
      </w:pPr>
    </w:p>
    <w:p w:rsidR="000A7F07" w:rsidP="002E7D6B" w:rsidRDefault="000A7F07" w14:paraId="4CD1B615" w14:textId="77777777">
      <w:pPr>
        <w:numPr>
          <w:ilvl w:val="0"/>
          <w:numId w:val="3"/>
        </w:numPr>
        <w:spacing w:line="240" w:lineRule="auto"/>
        <w:rPr>
          <w:rFonts w:eastAsia="Arial"/>
        </w:rPr>
      </w:pPr>
      <w:r w:rsidRPr="327FBE72">
        <w:rPr>
          <w:rFonts w:eastAsia="Arial"/>
          <w:u w:val="single"/>
        </w:rPr>
        <w:t>Payment or Gift to Respondents</w:t>
      </w:r>
    </w:p>
    <w:p w:rsidRPr="00A107A2" w:rsidR="000A7F07" w:rsidP="002E7D6B" w:rsidRDefault="000A7F07" w14:paraId="24432F27" w14:textId="77777777">
      <w:pPr>
        <w:spacing w:line="240" w:lineRule="auto"/>
        <w:rPr>
          <w:rFonts w:eastAsia="Arial"/>
        </w:rPr>
      </w:pPr>
    </w:p>
    <w:p w:rsidRPr="008848F2" w:rsidR="000A7F07" w:rsidP="002E7D6B" w:rsidRDefault="000A7F07" w14:paraId="4074B7BF" w14:textId="77777777">
      <w:pPr>
        <w:spacing w:line="240" w:lineRule="auto"/>
        <w:ind w:left="1080"/>
        <w:rPr>
          <w:rFonts w:eastAsia="Arial"/>
        </w:rPr>
      </w:pPr>
      <w:r w:rsidRPr="327FBE72">
        <w:rPr>
          <w:rFonts w:eastAsia="Arial"/>
        </w:rPr>
        <w:t>Not applicable.</w:t>
      </w:r>
    </w:p>
    <w:p w:rsidRPr="00A107A2" w:rsidR="000A7F07" w:rsidP="002E7D6B" w:rsidRDefault="000A7F07" w14:paraId="58B9E64A" w14:textId="77777777">
      <w:pPr>
        <w:spacing w:line="240" w:lineRule="auto"/>
        <w:rPr>
          <w:rFonts w:eastAsia="Arial"/>
        </w:rPr>
      </w:pPr>
    </w:p>
    <w:p w:rsidRPr="002A64F1" w:rsidR="000A7F07" w:rsidP="002E7D6B" w:rsidRDefault="000A7F07" w14:paraId="6EC47ECB" w14:textId="77777777">
      <w:pPr>
        <w:numPr>
          <w:ilvl w:val="0"/>
          <w:numId w:val="3"/>
        </w:numPr>
        <w:spacing w:line="240" w:lineRule="auto"/>
        <w:rPr>
          <w:rFonts w:eastAsia="Arial"/>
        </w:rPr>
      </w:pPr>
      <w:r w:rsidRPr="327FBE72">
        <w:rPr>
          <w:rFonts w:eastAsia="Arial"/>
          <w:u w:val="single"/>
        </w:rPr>
        <w:t>Confidentiality of Information</w:t>
      </w:r>
    </w:p>
    <w:p w:rsidRPr="00A107A2" w:rsidR="000A7F07" w:rsidP="002E7D6B" w:rsidRDefault="000A7F07" w14:paraId="034130C1" w14:textId="77777777">
      <w:pPr>
        <w:spacing w:line="240" w:lineRule="auto"/>
        <w:rPr>
          <w:rFonts w:eastAsia="Arial"/>
          <w:u w:val="single"/>
        </w:rPr>
      </w:pPr>
    </w:p>
    <w:p w:rsidR="000A7F07" w:rsidP="002E7D6B" w:rsidRDefault="000A7F07" w14:paraId="76F80B17" w14:textId="77777777">
      <w:pPr>
        <w:widowControl w:val="0"/>
        <w:spacing w:line="240" w:lineRule="auto"/>
        <w:ind w:left="1080"/>
        <w:rPr>
          <w:rFonts w:eastAsia="Arial"/>
        </w:rPr>
      </w:pPr>
      <w:r w:rsidRPr="327FBE72">
        <w:rPr>
          <w:rFonts w:eastAsia="Arial"/>
        </w:rPr>
        <w:t>Confidential and proprietary information is protected in accordance with NRC regulations at §§ 9.17(a) and 2.390(b).  However, no information normally considered confidential is requested, except for proprietary information.  Some proprietary information may be included when necessary to provide an adequate response.  An application to withhold such information from public disclosure may be made in accordance with the provisions of § 2.390.</w:t>
      </w:r>
    </w:p>
    <w:p w:rsidRPr="00A107A2" w:rsidR="000A7F07" w:rsidP="002E7D6B" w:rsidRDefault="000A7F07" w14:paraId="24CE6D4B" w14:textId="77777777">
      <w:pPr>
        <w:widowControl w:val="0"/>
        <w:spacing w:line="240" w:lineRule="auto"/>
        <w:ind w:left="1080"/>
        <w:rPr>
          <w:rFonts w:eastAsia="Arial"/>
        </w:rPr>
      </w:pPr>
    </w:p>
    <w:p w:rsidRPr="00CB1894" w:rsidR="000A7F07" w:rsidP="002E7D6B" w:rsidRDefault="000A7F07" w14:paraId="1E438B13" w14:textId="77777777">
      <w:pPr>
        <w:widowControl w:val="0"/>
        <w:spacing w:line="240" w:lineRule="auto"/>
        <w:ind w:left="1080"/>
        <w:rPr>
          <w:rFonts w:eastAsia="Arial"/>
        </w:rPr>
      </w:pPr>
      <w:r w:rsidRPr="327FBE72">
        <w:rPr>
          <w:rFonts w:eastAsia="Arial"/>
        </w:rPr>
        <w:t>The proposed rule and its associated changes to 10 CFR Part 71 would not change the manner in which the NRC protects confidential, proprietary, or other types of sensitive information.</w:t>
      </w:r>
    </w:p>
    <w:p w:rsidRPr="00A107A2" w:rsidR="000A7F07" w:rsidP="002E7D6B" w:rsidRDefault="000A7F07" w14:paraId="203B0D8E" w14:textId="77777777">
      <w:pPr>
        <w:spacing w:line="240" w:lineRule="auto"/>
        <w:rPr>
          <w:rFonts w:eastAsia="Arial"/>
        </w:rPr>
      </w:pPr>
    </w:p>
    <w:p w:rsidRPr="002A64F1" w:rsidR="000A7F07" w:rsidP="002E7D6B" w:rsidRDefault="000A7F07" w14:paraId="1483B62A" w14:textId="77777777">
      <w:pPr>
        <w:numPr>
          <w:ilvl w:val="0"/>
          <w:numId w:val="3"/>
        </w:numPr>
        <w:spacing w:line="240" w:lineRule="auto"/>
        <w:rPr>
          <w:rFonts w:eastAsia="Arial"/>
        </w:rPr>
      </w:pPr>
      <w:r w:rsidRPr="327FBE72">
        <w:rPr>
          <w:rFonts w:eastAsia="Arial"/>
          <w:u w:val="single"/>
        </w:rPr>
        <w:t>Justification for Sensitive Questions</w:t>
      </w:r>
    </w:p>
    <w:p w:rsidRPr="00A107A2" w:rsidR="000A7F07" w:rsidP="002E7D6B" w:rsidRDefault="000A7F07" w14:paraId="1BF017DE" w14:textId="77777777">
      <w:pPr>
        <w:spacing w:line="240" w:lineRule="auto"/>
        <w:rPr>
          <w:rFonts w:eastAsia="Arial"/>
          <w:u w:val="single"/>
        </w:rPr>
      </w:pPr>
    </w:p>
    <w:p w:rsidRPr="00D678E1" w:rsidR="000A7F07" w:rsidP="002E7D6B" w:rsidRDefault="000A7F07" w14:paraId="64D0525F" w14:textId="77777777">
      <w:pPr>
        <w:spacing w:line="240" w:lineRule="auto"/>
        <w:ind w:left="1080"/>
        <w:rPr>
          <w:rFonts w:eastAsia="Arial"/>
        </w:rPr>
      </w:pPr>
      <w:r w:rsidRPr="327FBE72">
        <w:rPr>
          <w:rFonts w:eastAsia="Arial"/>
        </w:rPr>
        <w:t>Neither this information collection nor the proposed rule and its associated changes to this collection involves sensitive questions.</w:t>
      </w:r>
    </w:p>
    <w:p w:rsidRPr="00A107A2" w:rsidR="000A7F07" w:rsidP="002E7D6B" w:rsidRDefault="000A7F07" w14:paraId="26F50598" w14:textId="77777777">
      <w:pPr>
        <w:spacing w:line="240" w:lineRule="auto"/>
        <w:rPr>
          <w:rFonts w:eastAsia="Arial"/>
        </w:rPr>
      </w:pPr>
    </w:p>
    <w:p w:rsidRPr="002A64F1" w:rsidR="000A7F07" w:rsidP="002E7D6B" w:rsidRDefault="000A7F07" w14:paraId="20E44E18" w14:textId="77777777">
      <w:pPr>
        <w:numPr>
          <w:ilvl w:val="0"/>
          <w:numId w:val="3"/>
        </w:numPr>
        <w:spacing w:line="240" w:lineRule="auto"/>
        <w:rPr>
          <w:rFonts w:eastAsia="Arial"/>
        </w:rPr>
      </w:pPr>
      <w:r w:rsidRPr="327FBE72">
        <w:rPr>
          <w:rFonts w:eastAsia="Arial"/>
          <w:u w:val="single"/>
        </w:rPr>
        <w:t>Estimated Burden and Burden Hour Cost</w:t>
      </w:r>
    </w:p>
    <w:p w:rsidRPr="00A107A2" w:rsidR="000A7F07" w:rsidP="002E7D6B" w:rsidRDefault="000A7F07" w14:paraId="7194B932" w14:textId="77777777">
      <w:pPr>
        <w:spacing w:line="240" w:lineRule="auto"/>
        <w:rPr>
          <w:rFonts w:eastAsia="Arial"/>
          <w:u w:val="single"/>
        </w:rPr>
      </w:pPr>
    </w:p>
    <w:p w:rsidR="000A7F07" w:rsidP="002E7D6B" w:rsidRDefault="000A7F07" w14:paraId="7191A221" w14:textId="77777777">
      <w:pPr>
        <w:spacing w:line="240" w:lineRule="auto"/>
        <w:ind w:left="1080"/>
        <w:rPr>
          <w:rFonts w:eastAsia="Arial"/>
        </w:rPr>
      </w:pPr>
      <w:r w:rsidRPr="1B9601BD">
        <w:rPr>
          <w:rFonts w:eastAsia="Arial"/>
        </w:rPr>
        <w:t>The proposed rule would harmonize the NRC’s transportation safety requirements with that of IAEA and DOT, as described in the Abstract.  This harmonization would make insignificant changes to the process for an applicant to receive an approval for transport, and consequently insignificant changes to the burden on those applicants under 10 CFR Part 71.</w:t>
      </w:r>
    </w:p>
    <w:p w:rsidRPr="00A107A2" w:rsidR="000A7F07" w:rsidP="002E7D6B" w:rsidRDefault="000A7F07" w14:paraId="7B05CCA3" w14:textId="77777777">
      <w:pPr>
        <w:spacing w:line="240" w:lineRule="auto"/>
        <w:ind w:left="1080"/>
        <w:rPr>
          <w:rFonts w:eastAsia="Arial"/>
        </w:rPr>
      </w:pPr>
    </w:p>
    <w:p w:rsidR="00A524DE" w:rsidP="002E7D6B" w:rsidRDefault="009C6301" w14:paraId="41F52B00" w14:textId="77777777">
      <w:pPr>
        <w:spacing w:line="240" w:lineRule="auto"/>
        <w:ind w:left="1080"/>
        <w:rPr>
          <w:rFonts w:eastAsia="Arial"/>
        </w:rPr>
      </w:pPr>
      <w:r w:rsidRPr="1B9601BD">
        <w:rPr>
          <w:rFonts w:eastAsia="Arial"/>
        </w:rPr>
        <w:lastRenderedPageBreak/>
        <w:t xml:space="preserve">In § 71.22(f) and § 71.23(f), the NRC is proposing to add a new requirement for licensees shipping a Type B package to also comply with § 71.17(c).  In </w:t>
      </w:r>
    </w:p>
    <w:p w:rsidR="007A10BE" w:rsidP="002E7D6B" w:rsidRDefault="009C6301" w14:paraId="2B13F858" w14:textId="0A8596C1">
      <w:pPr>
        <w:spacing w:line="240" w:lineRule="auto"/>
        <w:ind w:left="1080"/>
        <w:rPr>
          <w:rFonts w:eastAsia="Arial"/>
        </w:rPr>
      </w:pPr>
      <w:r w:rsidRPr="1B9601BD">
        <w:rPr>
          <w:rFonts w:eastAsia="Arial"/>
        </w:rPr>
        <w:t>§ 71.17(c)</w:t>
      </w:r>
      <w:r w:rsidRPr="1B9601BD" w:rsidR="000E46DC">
        <w:rPr>
          <w:rFonts w:eastAsia="Arial"/>
        </w:rPr>
        <w:t>(3)</w:t>
      </w:r>
      <w:r w:rsidRPr="1B9601BD">
        <w:rPr>
          <w:rFonts w:eastAsia="Arial"/>
        </w:rPr>
        <w:t>, the regulation currently requires a licensee to</w:t>
      </w:r>
      <w:r w:rsidRPr="1B9601BD" w:rsidR="00451544">
        <w:rPr>
          <w:rFonts w:eastAsia="Arial"/>
        </w:rPr>
        <w:t>, prior to first use of a package,</w:t>
      </w:r>
      <w:r w:rsidRPr="1B9601BD">
        <w:rPr>
          <w:rFonts w:eastAsia="Arial"/>
        </w:rPr>
        <w:t xml:space="preserve"> submit to the NRC the licensee's name, license number, and the package identification number specified in the package approval.</w:t>
      </w:r>
      <w:r w:rsidRPr="1B9601BD" w:rsidR="007A10BE">
        <w:rPr>
          <w:rFonts w:eastAsia="Arial"/>
        </w:rPr>
        <w:t xml:space="preserve">  This would represent an increase in reporting burden.  The requirements in § 71.</w:t>
      </w:r>
      <w:r w:rsidRPr="1B9601BD" w:rsidR="005C73F1">
        <w:rPr>
          <w:rFonts w:eastAsia="Arial"/>
        </w:rPr>
        <w:t>22(f) and § 71.23(f)</w:t>
      </w:r>
      <w:r w:rsidRPr="1B9601BD" w:rsidR="007A10BE">
        <w:rPr>
          <w:rFonts w:eastAsia="Arial"/>
        </w:rPr>
        <w:t xml:space="preserve"> do not involve recordkeeping.</w:t>
      </w:r>
    </w:p>
    <w:p w:rsidRPr="00A107A2" w:rsidR="007A10BE" w:rsidP="002E7D6B" w:rsidRDefault="007A10BE" w14:paraId="382B1AFD" w14:textId="77777777">
      <w:pPr>
        <w:spacing w:line="240" w:lineRule="auto"/>
        <w:ind w:left="1080"/>
        <w:rPr>
          <w:rFonts w:eastAsia="Arial"/>
        </w:rPr>
      </w:pPr>
    </w:p>
    <w:p w:rsidR="000A7F07" w:rsidP="002E7D6B" w:rsidRDefault="000A7F07" w14:paraId="288884C6" w14:textId="2BA5BB1B">
      <w:pPr>
        <w:spacing w:line="240" w:lineRule="auto"/>
        <w:ind w:left="1080"/>
        <w:rPr>
          <w:rFonts w:eastAsia="Arial"/>
        </w:rPr>
      </w:pPr>
      <w:r w:rsidRPr="1B9601BD">
        <w:rPr>
          <w:rFonts w:eastAsia="Arial"/>
        </w:rPr>
        <w:t>In § 71.19(a)(3), the NRC is proposing to phase out the use of packages approved to NRC regulations that were harmonized with the IAEA’s SS No. 6, 1973 edition, and SS No. 6, 1973 (as amended) edition (i.e., package that do not have either a “</w:t>
      </w:r>
      <w:r w:rsidR="003C20CF">
        <w:rPr>
          <w:rFonts w:eastAsia="Arial"/>
        </w:rPr>
        <w:t>-</w:t>
      </w:r>
      <w:r w:rsidRPr="1B9601BD">
        <w:rPr>
          <w:rFonts w:eastAsia="Arial"/>
        </w:rPr>
        <w:t>85” or a “</w:t>
      </w:r>
      <w:r w:rsidR="003C20CF">
        <w:rPr>
          <w:rFonts w:eastAsia="Arial"/>
        </w:rPr>
        <w:t>-</w:t>
      </w:r>
      <w:r w:rsidRPr="1B9601BD">
        <w:rPr>
          <w:rFonts w:eastAsia="Arial"/>
        </w:rPr>
        <w:t>96” in the package identification number on the certificate), 8 years after the effective date of this rulemaking.  These packages would be required to be re-certified, removed from service, or used via exemption.  Most certificate holders will likely choose to recertify packages.  This would represent an increase in reporting burden § 71.31(a).  The requirements in § 71.19(a)(3) do not involve recordkeeping.</w:t>
      </w:r>
    </w:p>
    <w:p w:rsidRPr="00A107A2" w:rsidR="000A7F07" w:rsidP="002E7D6B" w:rsidRDefault="000A7F07" w14:paraId="185A67A4" w14:textId="77777777">
      <w:pPr>
        <w:spacing w:line="240" w:lineRule="auto"/>
        <w:ind w:left="1080"/>
        <w:rPr>
          <w:rFonts w:eastAsia="Arial"/>
        </w:rPr>
      </w:pPr>
    </w:p>
    <w:p w:rsidR="000A7F07" w:rsidP="002E7D6B" w:rsidRDefault="000A7F07" w14:paraId="5F46AB89" w14:textId="77777777">
      <w:pPr>
        <w:spacing w:line="240" w:lineRule="auto"/>
        <w:ind w:left="1080"/>
        <w:rPr>
          <w:rFonts w:eastAsia="Arial"/>
        </w:rPr>
      </w:pPr>
      <w:r w:rsidRPr="1B9601BD">
        <w:rPr>
          <w:rFonts w:eastAsia="Arial"/>
        </w:rPr>
        <w:t>In § 71.31(a)(3), the NRC is proposing to add a new requirement for an applicant to include a maintenance program description as part of an application for a package approval.  This represents an increase to the reporting burden.  The requirements in § 71.31(a)(3) do not involve recordkeeping.</w:t>
      </w:r>
    </w:p>
    <w:p w:rsidRPr="00A107A2" w:rsidR="000A7F07" w:rsidP="002E7D6B" w:rsidRDefault="000A7F07" w14:paraId="352F8003" w14:textId="77777777">
      <w:pPr>
        <w:spacing w:line="240" w:lineRule="auto"/>
        <w:ind w:left="1080"/>
        <w:rPr>
          <w:rFonts w:eastAsia="Arial"/>
        </w:rPr>
      </w:pPr>
    </w:p>
    <w:p w:rsidR="000A7F07" w:rsidP="002E7D6B" w:rsidRDefault="000A7F07" w14:paraId="7A4EB360" w14:textId="77777777">
      <w:pPr>
        <w:spacing w:line="240" w:lineRule="auto"/>
        <w:ind w:left="1080"/>
        <w:rPr>
          <w:rFonts w:eastAsia="Arial"/>
        </w:rPr>
      </w:pPr>
      <w:r w:rsidRPr="1B9601BD">
        <w:rPr>
          <w:rFonts w:eastAsia="Arial"/>
        </w:rPr>
        <w:t>In § 71.35(d), the NRC is proposing to add a new requirement for an applicant to include an evaluation of the maintenance program as part of an application for a package approval.  This represents an increase to the reporting burden.  The requirements in § 71.35(d) do not involve recordkeeping.</w:t>
      </w:r>
    </w:p>
    <w:p w:rsidRPr="00A107A2" w:rsidR="000A7F07" w:rsidP="002E7D6B" w:rsidRDefault="000A7F07" w14:paraId="3844643C" w14:textId="77777777">
      <w:pPr>
        <w:spacing w:line="240" w:lineRule="auto"/>
        <w:ind w:left="1080"/>
        <w:rPr>
          <w:rFonts w:eastAsia="Arial"/>
        </w:rPr>
      </w:pPr>
    </w:p>
    <w:p w:rsidR="000A7F07" w:rsidP="002E7D6B" w:rsidRDefault="000A7F07" w14:paraId="32C61D1A" w14:textId="77777777">
      <w:pPr>
        <w:spacing w:line="240" w:lineRule="auto"/>
        <w:ind w:left="1080"/>
        <w:rPr>
          <w:rFonts w:eastAsia="Arial"/>
        </w:rPr>
      </w:pPr>
      <w:r w:rsidRPr="1B9601BD">
        <w:rPr>
          <w:rFonts w:eastAsia="Arial"/>
        </w:rPr>
        <w:t>In § 71.95(a)(3), the NRC is proposing to remove a duplicative requirement to submit a written report of instances where conditions in the CoC were not followed during shipment.  This requirement is duplicative to the requirement in § 71.95(b).  Hence, there is no change in reporting burden.  The requirements in § 71.95(a)(3) do not involve recordkeeping.</w:t>
      </w:r>
    </w:p>
    <w:p w:rsidRPr="00A107A2" w:rsidR="000A7F07" w:rsidP="002E7D6B" w:rsidRDefault="000A7F07" w14:paraId="755736F9" w14:textId="77777777">
      <w:pPr>
        <w:spacing w:line="240" w:lineRule="auto"/>
        <w:ind w:left="1080"/>
        <w:rPr>
          <w:rFonts w:eastAsia="Arial"/>
        </w:rPr>
      </w:pPr>
    </w:p>
    <w:p w:rsidRPr="00B8391B" w:rsidR="00B8391B" w:rsidP="002E7D6B" w:rsidRDefault="00B8391B" w14:paraId="44DFB1BA" w14:textId="1542F1FE">
      <w:pPr>
        <w:spacing w:line="240" w:lineRule="auto"/>
        <w:ind w:left="1080"/>
        <w:rPr>
          <w:rFonts w:eastAsia="Arial"/>
        </w:rPr>
      </w:pPr>
      <w:r w:rsidRPr="1B9601BD">
        <w:rPr>
          <w:rFonts w:eastAsia="Arial"/>
        </w:rPr>
        <w:t>In §</w:t>
      </w:r>
      <w:r w:rsidRPr="1B9601BD" w:rsidR="00100166">
        <w:rPr>
          <w:rFonts w:eastAsia="Arial"/>
        </w:rPr>
        <w:t>§</w:t>
      </w:r>
      <w:r w:rsidRPr="1B9601BD">
        <w:rPr>
          <w:rFonts w:eastAsia="Arial"/>
        </w:rPr>
        <w:t xml:space="preserve"> 71.95, </w:t>
      </w:r>
      <w:r w:rsidRPr="1B9601BD" w:rsidR="00100166">
        <w:rPr>
          <w:rFonts w:eastAsia="Arial"/>
        </w:rPr>
        <w:t xml:space="preserve">71.101(c), and 71.106(a) and (b) </w:t>
      </w:r>
      <w:r w:rsidRPr="1B9601BD">
        <w:rPr>
          <w:rFonts w:eastAsia="Arial"/>
        </w:rPr>
        <w:t>the NRC is proposing to revise the compatibility category designation for the</w:t>
      </w:r>
      <w:r w:rsidRPr="1B9601BD" w:rsidR="00100166">
        <w:rPr>
          <w:rFonts w:eastAsia="Arial"/>
        </w:rPr>
        <w:t>se</w:t>
      </w:r>
      <w:r w:rsidRPr="1B9601BD">
        <w:rPr>
          <w:rFonts w:eastAsia="Arial"/>
        </w:rPr>
        <w:t xml:space="preserve"> reporting requirements.  This represents a</w:t>
      </w:r>
      <w:r w:rsidRPr="1B9601BD" w:rsidR="00DE57D4">
        <w:rPr>
          <w:rFonts w:eastAsia="Arial"/>
        </w:rPr>
        <w:t>n</w:t>
      </w:r>
      <w:r w:rsidRPr="1B9601BD">
        <w:rPr>
          <w:rFonts w:eastAsia="Arial"/>
        </w:rPr>
        <w:t xml:space="preserve"> increase in the reporting burden </w:t>
      </w:r>
      <w:r w:rsidRPr="1B9601BD" w:rsidR="00DE57D4">
        <w:rPr>
          <w:rFonts w:eastAsia="Arial"/>
        </w:rPr>
        <w:t>for</w:t>
      </w:r>
      <w:r w:rsidRPr="1B9601BD">
        <w:rPr>
          <w:rFonts w:eastAsia="Arial"/>
        </w:rPr>
        <w:t xml:space="preserve"> Agreement States.</w:t>
      </w:r>
      <w:r w:rsidRPr="1B9601BD" w:rsidR="00100166">
        <w:rPr>
          <w:rFonts w:eastAsia="Arial"/>
        </w:rPr>
        <w:t xml:space="preserve">  </w:t>
      </w:r>
      <w:r w:rsidRPr="1B9601BD" w:rsidR="009A69F6">
        <w:rPr>
          <w:rFonts w:eastAsia="Arial"/>
        </w:rPr>
        <w:t xml:space="preserve">For §§ </w:t>
      </w:r>
      <w:r w:rsidRPr="1B9601BD" w:rsidR="000E41DE">
        <w:rPr>
          <w:rFonts w:eastAsia="Arial"/>
        </w:rPr>
        <w:t xml:space="preserve">71.95(b), </w:t>
      </w:r>
      <w:r w:rsidRPr="1B9601BD" w:rsidR="009A69F6">
        <w:rPr>
          <w:rFonts w:eastAsia="Arial"/>
        </w:rPr>
        <w:t>71.101(c), and 71.106(a) and (b),</w:t>
      </w:r>
      <w:r w:rsidRPr="1B9601BD" w:rsidR="00100166">
        <w:rPr>
          <w:rFonts w:eastAsia="Arial"/>
        </w:rPr>
        <w:t xml:space="preserve"> </w:t>
      </w:r>
      <w:r w:rsidRPr="1B9601BD" w:rsidR="009A69F6">
        <w:rPr>
          <w:rFonts w:eastAsia="Arial"/>
        </w:rPr>
        <w:t xml:space="preserve">these requirements are being </w:t>
      </w:r>
      <w:r w:rsidRPr="1B9601BD" w:rsidR="007B239E">
        <w:rPr>
          <w:rFonts w:eastAsia="Arial"/>
        </w:rPr>
        <w:t xml:space="preserve">transferred to third party burdens as they were previously </w:t>
      </w:r>
      <w:r w:rsidRPr="1B9601BD" w:rsidR="00CD4D6A">
        <w:rPr>
          <w:rFonts w:eastAsia="Arial"/>
        </w:rPr>
        <w:t>shown as reporting burdens to the NRC.</w:t>
      </w:r>
    </w:p>
    <w:p w:rsidRPr="00B8391B" w:rsidR="00B8391B" w:rsidP="002E7D6B" w:rsidRDefault="00B8391B" w14:paraId="54B20C8D" w14:textId="77777777">
      <w:pPr>
        <w:spacing w:line="240" w:lineRule="auto"/>
        <w:ind w:left="1080"/>
        <w:rPr>
          <w:rFonts w:eastAsia="Arial"/>
        </w:rPr>
      </w:pPr>
    </w:p>
    <w:p w:rsidR="006A4C97" w:rsidP="002E7D6B" w:rsidRDefault="006A4C97" w14:paraId="0EC0FBFE" w14:textId="77777777">
      <w:pPr>
        <w:spacing w:line="240" w:lineRule="auto"/>
        <w:ind w:left="1080"/>
        <w:rPr>
          <w:rFonts w:eastAsia="Arial"/>
        </w:rPr>
      </w:pPr>
      <w:r>
        <w:rPr>
          <w:rFonts w:eastAsia="Arial"/>
        </w:rPr>
        <w:t xml:space="preserve">In </w:t>
      </w:r>
      <w:r w:rsidRPr="327FBE72">
        <w:rPr>
          <w:rFonts w:eastAsia="Arial"/>
        </w:rPr>
        <w:t xml:space="preserve">§ </w:t>
      </w:r>
      <w:r>
        <w:rPr>
          <w:rFonts w:eastAsia="Arial"/>
        </w:rPr>
        <w:t xml:space="preserve">71.97, the NRC is proposing to </w:t>
      </w:r>
      <w:r>
        <w:t xml:space="preserve">remove the duplicative burden for advance notification for shipments of spent fuel.  This requirement is duplicative to </w:t>
      </w:r>
      <w:r w:rsidRPr="327FBE72">
        <w:rPr>
          <w:rFonts w:eastAsia="Arial"/>
        </w:rPr>
        <w:t xml:space="preserve">§§ </w:t>
      </w:r>
      <w:r>
        <w:rPr>
          <w:rFonts w:eastAsia="Arial"/>
        </w:rPr>
        <w:t xml:space="preserve">73.37 and 73.35.  </w:t>
      </w:r>
      <w:r>
        <w:t>This represents a decrease in the reporting burden.</w:t>
      </w:r>
    </w:p>
    <w:p w:rsidR="006A4C97" w:rsidP="002E7D6B" w:rsidRDefault="006A4C97" w14:paraId="1C8FF1B4" w14:textId="77777777">
      <w:pPr>
        <w:spacing w:line="240" w:lineRule="auto"/>
        <w:ind w:left="1080"/>
        <w:rPr>
          <w:rFonts w:eastAsia="Arial"/>
        </w:rPr>
      </w:pPr>
    </w:p>
    <w:p w:rsidR="000A7F07" w:rsidP="002E7D6B" w:rsidRDefault="000A7F07" w14:paraId="2DE4E811" w14:textId="3F0EAA19">
      <w:pPr>
        <w:spacing w:line="240" w:lineRule="auto"/>
        <w:ind w:left="1080"/>
        <w:rPr>
          <w:rFonts w:eastAsia="Arial"/>
        </w:rPr>
      </w:pPr>
      <w:r w:rsidRPr="327FBE72">
        <w:rPr>
          <w:rFonts w:eastAsia="Arial"/>
        </w:rPr>
        <w:t>In § 71.106(b), the NRC is proposing to add a new requirement to notify the NRC every 24 months even if there are no changes to the approval holder’s quality assurance program.  This represents an increase to both reporting and recordkeeping burdens.</w:t>
      </w:r>
    </w:p>
    <w:p w:rsidRPr="00A107A2" w:rsidR="000A7F07" w:rsidP="002E7D6B" w:rsidRDefault="000A7F07" w14:paraId="41A7A686" w14:textId="77777777">
      <w:pPr>
        <w:spacing w:line="240" w:lineRule="auto"/>
        <w:ind w:left="1080"/>
        <w:rPr>
          <w:rFonts w:eastAsia="Arial"/>
        </w:rPr>
      </w:pPr>
    </w:p>
    <w:p w:rsidR="000A7F07" w:rsidP="002E7D6B" w:rsidRDefault="000A7F07" w14:paraId="57AC2E0E" w14:textId="7E1B7528">
      <w:pPr>
        <w:spacing w:line="240" w:lineRule="auto"/>
        <w:ind w:left="1080"/>
        <w:rPr>
          <w:rFonts w:eastAsia="Arial"/>
        </w:rPr>
      </w:pPr>
      <w:r w:rsidRPr="1391327A">
        <w:rPr>
          <w:rFonts w:eastAsia="Arial"/>
        </w:rPr>
        <w:t xml:space="preserve">The overall estimated annual burden increase is </w:t>
      </w:r>
      <w:r w:rsidR="00F16968">
        <w:rPr>
          <w:rFonts w:eastAsia="Arial"/>
        </w:rPr>
        <w:t>1376.7</w:t>
      </w:r>
      <w:r w:rsidRPr="1391327A">
        <w:rPr>
          <w:rFonts w:eastAsia="Arial"/>
        </w:rPr>
        <w:t xml:space="preserve"> hours at an estimated annual cost increase of </w:t>
      </w:r>
      <w:r w:rsidR="00805207">
        <w:rPr>
          <w:rFonts w:eastAsia="Arial"/>
        </w:rPr>
        <w:t>$</w:t>
      </w:r>
      <w:r w:rsidR="006E50AC">
        <w:rPr>
          <w:rFonts w:eastAsia="Arial"/>
        </w:rPr>
        <w:t>384,099</w:t>
      </w:r>
      <w:r w:rsidRPr="1391327A">
        <w:rPr>
          <w:rFonts w:eastAsia="Arial"/>
        </w:rPr>
        <w:t xml:space="preserve"> (</w:t>
      </w:r>
      <w:r w:rsidR="00C720C5">
        <w:rPr>
          <w:rFonts w:eastAsia="Arial"/>
        </w:rPr>
        <w:t>1376.7</w:t>
      </w:r>
      <w:r w:rsidRPr="1391327A" w:rsidR="00F95DCC">
        <w:rPr>
          <w:rFonts w:eastAsia="Arial"/>
        </w:rPr>
        <w:t xml:space="preserve"> </w:t>
      </w:r>
      <w:proofErr w:type="spellStart"/>
      <w:r w:rsidRPr="1391327A">
        <w:rPr>
          <w:rFonts w:eastAsia="Arial"/>
        </w:rPr>
        <w:t>hrs</w:t>
      </w:r>
      <w:proofErr w:type="spellEnd"/>
      <w:r w:rsidRPr="1391327A">
        <w:rPr>
          <w:rFonts w:eastAsia="Arial"/>
        </w:rPr>
        <w:t xml:space="preserve"> x $</w:t>
      </w:r>
      <w:r w:rsidR="007814F9">
        <w:rPr>
          <w:rFonts w:eastAsia="Arial"/>
        </w:rPr>
        <w:t>279</w:t>
      </w:r>
      <w:r w:rsidRPr="1391327A">
        <w:rPr>
          <w:rFonts w:eastAsia="Arial"/>
        </w:rPr>
        <w:t>/</w:t>
      </w:r>
      <w:proofErr w:type="spellStart"/>
      <w:r w:rsidRPr="1391327A">
        <w:rPr>
          <w:rFonts w:eastAsia="Arial"/>
        </w:rPr>
        <w:t>hr</w:t>
      </w:r>
      <w:proofErr w:type="spellEnd"/>
      <w:r w:rsidRPr="1391327A">
        <w:rPr>
          <w:rFonts w:eastAsia="Arial"/>
        </w:rPr>
        <w:t xml:space="preserve">).  This includes an increase </w:t>
      </w:r>
      <w:r w:rsidRPr="1391327A">
        <w:rPr>
          <w:rFonts w:eastAsia="Arial"/>
        </w:rPr>
        <w:lastRenderedPageBreak/>
        <w:t xml:space="preserve">of </w:t>
      </w:r>
      <w:r w:rsidR="00805207">
        <w:rPr>
          <w:rFonts w:eastAsia="Arial"/>
        </w:rPr>
        <w:t>1052.5</w:t>
      </w:r>
      <w:r w:rsidRPr="1391327A">
        <w:rPr>
          <w:rFonts w:eastAsia="Arial"/>
        </w:rPr>
        <w:t xml:space="preserve"> hours for reporting</w:t>
      </w:r>
      <w:r w:rsidR="000A13C1">
        <w:rPr>
          <w:rFonts w:eastAsia="Arial"/>
        </w:rPr>
        <w:t>, a</w:t>
      </w:r>
      <w:r w:rsidR="006E50AC">
        <w:rPr>
          <w:rFonts w:eastAsia="Arial"/>
        </w:rPr>
        <w:t xml:space="preserve"> </w:t>
      </w:r>
      <w:r w:rsidR="000A13C1">
        <w:rPr>
          <w:rFonts w:eastAsia="Arial"/>
        </w:rPr>
        <w:t>n</w:t>
      </w:r>
      <w:r w:rsidR="006E50AC">
        <w:rPr>
          <w:rFonts w:eastAsia="Arial"/>
        </w:rPr>
        <w:t>et</w:t>
      </w:r>
      <w:r w:rsidR="000A13C1">
        <w:rPr>
          <w:rFonts w:eastAsia="Arial"/>
        </w:rPr>
        <w:t xml:space="preserve"> increase </w:t>
      </w:r>
      <w:r w:rsidR="003054FA">
        <w:rPr>
          <w:rFonts w:eastAsia="Arial"/>
        </w:rPr>
        <w:t xml:space="preserve">of </w:t>
      </w:r>
      <w:r w:rsidR="00774647">
        <w:rPr>
          <w:rFonts w:eastAsia="Arial"/>
        </w:rPr>
        <w:t>322.7</w:t>
      </w:r>
      <w:r w:rsidR="002A495A">
        <w:rPr>
          <w:rFonts w:eastAsia="Arial"/>
        </w:rPr>
        <w:t xml:space="preserve"> hours for third party reporting,</w:t>
      </w:r>
      <w:r w:rsidRPr="1391327A">
        <w:rPr>
          <w:rFonts w:eastAsia="Arial"/>
        </w:rPr>
        <w:t xml:space="preserve"> and an increase of 1.5 hours for recordkeeping.</w:t>
      </w:r>
    </w:p>
    <w:p w:rsidR="002E7D6B" w:rsidP="002E7D6B" w:rsidRDefault="002E7D6B" w14:paraId="7E6A7371" w14:textId="54DBB641">
      <w:pPr>
        <w:spacing w:line="240" w:lineRule="auto"/>
        <w:ind w:left="1080"/>
        <w:rPr>
          <w:rFonts w:eastAsia="Arial"/>
        </w:rPr>
      </w:pPr>
    </w:p>
    <w:p w:rsidR="000A7F07" w:rsidP="002471A8" w:rsidRDefault="000A7F07" w14:paraId="71E36D66" w14:textId="77777777">
      <w:pPr>
        <w:spacing w:line="240" w:lineRule="auto"/>
        <w:ind w:left="1080"/>
        <w:jc w:val="center"/>
        <w:rPr>
          <w:b/>
        </w:rPr>
      </w:pPr>
      <w:r>
        <w:rPr>
          <w:b/>
        </w:rPr>
        <w:t>Table 1</w:t>
      </w:r>
    </w:p>
    <w:p w:rsidRPr="00364E09" w:rsidR="000A7F07" w:rsidP="002471A8" w:rsidRDefault="000A7F07" w14:paraId="3CE8DB10" w14:textId="77777777">
      <w:pPr>
        <w:spacing w:line="240" w:lineRule="auto"/>
        <w:ind w:left="1080"/>
        <w:jc w:val="center"/>
        <w:rPr>
          <w:b/>
        </w:rPr>
      </w:pPr>
      <w:r w:rsidRPr="00364E09">
        <w:rPr>
          <w:b/>
        </w:rPr>
        <w:t>Total Burden Summary</w:t>
      </w:r>
    </w:p>
    <w:tbl>
      <w:tblPr>
        <w:tblW w:w="5000" w:type="pct"/>
        <w:tblLayout w:type="fixed"/>
        <w:tblCellMar>
          <w:top w:w="29" w:type="dxa"/>
          <w:left w:w="58" w:type="dxa"/>
          <w:bottom w:w="29" w:type="dxa"/>
          <w:right w:w="58" w:type="dxa"/>
        </w:tblCellMar>
        <w:tblLook w:val="04A0" w:firstRow="1" w:lastRow="0" w:firstColumn="1" w:lastColumn="0" w:noHBand="0" w:noVBand="1"/>
      </w:tblPr>
      <w:tblGrid>
        <w:gridCol w:w="1695"/>
        <w:gridCol w:w="1569"/>
        <w:gridCol w:w="1227"/>
        <w:gridCol w:w="1003"/>
        <w:gridCol w:w="984"/>
        <w:gridCol w:w="900"/>
        <w:gridCol w:w="895"/>
        <w:gridCol w:w="1067"/>
      </w:tblGrid>
      <w:tr w:rsidRPr="003B5570" w:rsidR="000A7F07" w:rsidTr="1B9601BD" w14:paraId="5CB729CB" w14:textId="77777777">
        <w:trPr>
          <w:trHeight w:val="1035"/>
        </w:trPr>
        <w:tc>
          <w:tcPr>
            <w:tcW w:w="907" w:type="pct"/>
            <w:tcBorders>
              <w:top w:val="single" w:color="auto" w:sz="8" w:space="0"/>
              <w:left w:val="single" w:color="auto" w:sz="8" w:space="0"/>
              <w:bottom w:val="single" w:color="auto" w:sz="8" w:space="0"/>
              <w:right w:val="single" w:color="auto" w:sz="8" w:space="0"/>
            </w:tcBorders>
            <w:shd w:val="clear" w:color="auto" w:fill="auto"/>
            <w:tcMar>
              <w:left w:w="58" w:type="dxa"/>
              <w:right w:w="58" w:type="dxa"/>
            </w:tcMar>
            <w:vAlign w:val="center"/>
            <w:hideMark/>
          </w:tcPr>
          <w:p w:rsidRPr="003B5570" w:rsidR="000A7F07" w:rsidP="0053704D" w:rsidRDefault="000A7F07" w14:paraId="4C28DC23" w14:textId="77777777">
            <w:pPr>
              <w:jc w:val="center"/>
              <w:rPr>
                <w:color w:val="000000"/>
                <w:sz w:val="16"/>
                <w:szCs w:val="18"/>
              </w:rPr>
            </w:pPr>
            <w:r>
              <w:rPr>
                <w:color w:val="000000"/>
                <w:sz w:val="16"/>
                <w:szCs w:val="18"/>
              </w:rPr>
              <w:t>Section/Form</w:t>
            </w:r>
          </w:p>
        </w:tc>
        <w:tc>
          <w:tcPr>
            <w:tcW w:w="840" w:type="pct"/>
            <w:tcBorders>
              <w:top w:val="single" w:color="auto" w:sz="8" w:space="0"/>
              <w:left w:val="nil"/>
              <w:bottom w:val="single" w:color="auto" w:sz="8" w:space="0"/>
              <w:right w:val="single" w:color="auto" w:sz="8" w:space="0"/>
            </w:tcBorders>
            <w:vAlign w:val="center"/>
          </w:tcPr>
          <w:p w:rsidRPr="003B5570" w:rsidR="000A7F07" w:rsidP="00D946E2" w:rsidRDefault="000A7F07" w14:paraId="5692170F" w14:textId="77777777">
            <w:pPr>
              <w:jc w:val="center"/>
              <w:rPr>
                <w:color w:val="000000"/>
                <w:sz w:val="16"/>
                <w:szCs w:val="18"/>
              </w:rPr>
            </w:pPr>
            <w:r w:rsidRPr="003B5570">
              <w:rPr>
                <w:color w:val="000000"/>
                <w:sz w:val="16"/>
                <w:szCs w:val="18"/>
              </w:rPr>
              <w:t>Description</w:t>
            </w:r>
          </w:p>
        </w:tc>
        <w:tc>
          <w:tcPr>
            <w:tcW w:w="657" w:type="pct"/>
            <w:tcBorders>
              <w:top w:val="single" w:color="auto" w:sz="8" w:space="0"/>
              <w:left w:val="single" w:color="auto" w:sz="8" w:space="0"/>
              <w:bottom w:val="single" w:color="auto" w:sz="8" w:space="0"/>
              <w:right w:val="single" w:color="auto" w:sz="8" w:space="0"/>
            </w:tcBorders>
            <w:shd w:val="clear" w:color="auto" w:fill="auto"/>
            <w:tcMar>
              <w:left w:w="58" w:type="dxa"/>
              <w:right w:w="58" w:type="dxa"/>
            </w:tcMar>
            <w:vAlign w:val="center"/>
            <w:hideMark/>
          </w:tcPr>
          <w:p w:rsidR="000A7F07" w:rsidP="0053704D" w:rsidRDefault="000A7F07" w14:paraId="3D8B8D51" w14:textId="77777777">
            <w:pPr>
              <w:jc w:val="center"/>
              <w:rPr>
                <w:color w:val="000000"/>
                <w:sz w:val="16"/>
                <w:szCs w:val="18"/>
              </w:rPr>
            </w:pPr>
            <w:r>
              <w:rPr>
                <w:color w:val="000000"/>
                <w:sz w:val="16"/>
                <w:szCs w:val="18"/>
              </w:rPr>
              <w:t>Annualized</w:t>
            </w:r>
          </w:p>
          <w:p w:rsidRPr="003B5570" w:rsidR="000A7F07" w:rsidP="0053704D" w:rsidRDefault="000A7F07" w14:paraId="2DB9215C" w14:textId="77777777">
            <w:pPr>
              <w:jc w:val="center"/>
              <w:rPr>
                <w:color w:val="000000"/>
                <w:sz w:val="16"/>
                <w:szCs w:val="18"/>
              </w:rPr>
            </w:pPr>
            <w:r w:rsidRPr="003B5570">
              <w:rPr>
                <w:color w:val="000000"/>
                <w:sz w:val="16"/>
                <w:szCs w:val="18"/>
              </w:rPr>
              <w:t>Number of Respondents</w:t>
            </w:r>
          </w:p>
        </w:tc>
        <w:tc>
          <w:tcPr>
            <w:tcW w:w="537" w:type="pct"/>
            <w:tcBorders>
              <w:top w:val="single" w:color="auto" w:sz="8" w:space="0"/>
              <w:left w:val="nil"/>
              <w:bottom w:val="single" w:color="auto" w:sz="8" w:space="0"/>
              <w:right w:val="single" w:color="auto" w:sz="8" w:space="0"/>
            </w:tcBorders>
            <w:shd w:val="clear" w:color="auto" w:fill="auto"/>
            <w:tcMar>
              <w:left w:w="58" w:type="dxa"/>
              <w:right w:w="58" w:type="dxa"/>
            </w:tcMar>
            <w:vAlign w:val="center"/>
            <w:hideMark/>
          </w:tcPr>
          <w:p w:rsidRPr="003B5570" w:rsidR="000A7F07" w:rsidP="0053704D" w:rsidRDefault="000A7F07" w14:paraId="3241A475" w14:textId="77777777">
            <w:pPr>
              <w:jc w:val="center"/>
              <w:rPr>
                <w:color w:val="000000"/>
                <w:sz w:val="16"/>
                <w:szCs w:val="18"/>
              </w:rPr>
            </w:pPr>
            <w:r w:rsidRPr="003B5570">
              <w:rPr>
                <w:color w:val="000000"/>
                <w:sz w:val="16"/>
                <w:szCs w:val="18"/>
              </w:rPr>
              <w:t>Number of Responses Per Respondent</w:t>
            </w:r>
          </w:p>
        </w:tc>
        <w:tc>
          <w:tcPr>
            <w:tcW w:w="527" w:type="pct"/>
            <w:tcBorders>
              <w:top w:val="single" w:color="auto" w:sz="8" w:space="0"/>
              <w:left w:val="nil"/>
              <w:bottom w:val="single" w:color="auto" w:sz="8" w:space="0"/>
              <w:right w:val="single" w:color="auto" w:sz="8" w:space="0"/>
            </w:tcBorders>
            <w:shd w:val="clear" w:color="auto" w:fill="auto"/>
            <w:tcMar>
              <w:left w:w="58" w:type="dxa"/>
              <w:right w:w="58" w:type="dxa"/>
            </w:tcMar>
            <w:vAlign w:val="center"/>
            <w:hideMark/>
          </w:tcPr>
          <w:p w:rsidRPr="003B5570" w:rsidR="000A7F07" w:rsidP="0053704D" w:rsidRDefault="000A7F07" w14:paraId="1B4EF4C6" w14:textId="77777777">
            <w:pPr>
              <w:jc w:val="center"/>
              <w:rPr>
                <w:color w:val="000000"/>
                <w:sz w:val="16"/>
                <w:szCs w:val="18"/>
              </w:rPr>
            </w:pPr>
            <w:r w:rsidRPr="003B5570">
              <w:rPr>
                <w:color w:val="000000"/>
                <w:sz w:val="16"/>
                <w:szCs w:val="18"/>
              </w:rPr>
              <w:t>Total Annual Responses</w:t>
            </w:r>
          </w:p>
        </w:tc>
        <w:tc>
          <w:tcPr>
            <w:tcW w:w="482" w:type="pct"/>
            <w:tcBorders>
              <w:top w:val="single" w:color="auto" w:sz="8" w:space="0"/>
              <w:left w:val="nil"/>
              <w:bottom w:val="single" w:color="auto" w:sz="8" w:space="0"/>
              <w:right w:val="single" w:color="auto" w:sz="8" w:space="0"/>
            </w:tcBorders>
            <w:shd w:val="clear" w:color="auto" w:fill="auto"/>
            <w:tcMar>
              <w:left w:w="58" w:type="dxa"/>
              <w:right w:w="58" w:type="dxa"/>
            </w:tcMar>
            <w:vAlign w:val="center"/>
            <w:hideMark/>
          </w:tcPr>
          <w:p w:rsidRPr="003B5570" w:rsidR="000A7F07" w:rsidP="0053704D" w:rsidRDefault="000A7F07" w14:paraId="3F11025B" w14:textId="77777777">
            <w:pPr>
              <w:jc w:val="center"/>
              <w:rPr>
                <w:color w:val="000000"/>
                <w:sz w:val="16"/>
                <w:szCs w:val="18"/>
              </w:rPr>
            </w:pPr>
            <w:r w:rsidRPr="003B5570">
              <w:rPr>
                <w:color w:val="000000"/>
                <w:sz w:val="16"/>
                <w:szCs w:val="18"/>
              </w:rPr>
              <w:t xml:space="preserve">Burden </w:t>
            </w:r>
            <w:proofErr w:type="spellStart"/>
            <w:r w:rsidRPr="003B5570">
              <w:rPr>
                <w:color w:val="000000"/>
                <w:sz w:val="16"/>
                <w:szCs w:val="18"/>
              </w:rPr>
              <w:t>Hrs</w:t>
            </w:r>
            <w:proofErr w:type="spellEnd"/>
            <w:r w:rsidRPr="003B5570">
              <w:rPr>
                <w:color w:val="000000"/>
                <w:sz w:val="16"/>
                <w:szCs w:val="18"/>
              </w:rPr>
              <w:t xml:space="preserve"> Per Response</w:t>
            </w:r>
            <w:r>
              <w:rPr>
                <w:color w:val="000000"/>
                <w:sz w:val="16"/>
                <w:szCs w:val="18"/>
              </w:rPr>
              <w:t xml:space="preserve"> (</w:t>
            </w:r>
            <w:proofErr w:type="spellStart"/>
            <w:r>
              <w:rPr>
                <w:color w:val="000000"/>
                <w:sz w:val="16"/>
                <w:szCs w:val="18"/>
              </w:rPr>
              <w:t>Hrs</w:t>
            </w:r>
            <w:proofErr w:type="spellEnd"/>
            <w:r>
              <w:rPr>
                <w:color w:val="000000"/>
                <w:sz w:val="16"/>
                <w:szCs w:val="18"/>
              </w:rPr>
              <w:t>)</w:t>
            </w:r>
          </w:p>
        </w:tc>
        <w:tc>
          <w:tcPr>
            <w:tcW w:w="479" w:type="pct"/>
            <w:tcBorders>
              <w:top w:val="single" w:color="auto" w:sz="8" w:space="0"/>
              <w:left w:val="nil"/>
              <w:bottom w:val="single" w:color="auto" w:sz="8" w:space="0"/>
              <w:right w:val="single" w:color="auto" w:sz="8" w:space="0"/>
            </w:tcBorders>
            <w:shd w:val="clear" w:color="auto" w:fill="auto"/>
            <w:tcMar>
              <w:left w:w="58" w:type="dxa"/>
              <w:right w:w="58" w:type="dxa"/>
            </w:tcMar>
            <w:vAlign w:val="center"/>
            <w:hideMark/>
          </w:tcPr>
          <w:p w:rsidRPr="003B5570" w:rsidR="000A7F07" w:rsidP="0053704D" w:rsidRDefault="000A7F07" w14:paraId="0A944044" w14:textId="77777777">
            <w:pPr>
              <w:jc w:val="center"/>
              <w:rPr>
                <w:color w:val="000000"/>
                <w:sz w:val="16"/>
                <w:szCs w:val="18"/>
              </w:rPr>
            </w:pPr>
            <w:r w:rsidRPr="003B5570">
              <w:rPr>
                <w:color w:val="000000"/>
                <w:sz w:val="16"/>
                <w:szCs w:val="18"/>
              </w:rPr>
              <w:t>Total Annual Burden (</w:t>
            </w:r>
            <w:proofErr w:type="spellStart"/>
            <w:r w:rsidRPr="003B5570">
              <w:rPr>
                <w:color w:val="000000"/>
                <w:sz w:val="16"/>
                <w:szCs w:val="18"/>
              </w:rPr>
              <w:t>Hrs</w:t>
            </w:r>
            <w:proofErr w:type="spellEnd"/>
            <w:r w:rsidRPr="003B5570">
              <w:rPr>
                <w:color w:val="000000"/>
                <w:sz w:val="16"/>
                <w:szCs w:val="18"/>
              </w:rPr>
              <w:t>)</w:t>
            </w:r>
          </w:p>
        </w:tc>
        <w:tc>
          <w:tcPr>
            <w:tcW w:w="571" w:type="pct"/>
            <w:tcBorders>
              <w:top w:val="single" w:color="auto" w:sz="8" w:space="0"/>
              <w:left w:val="nil"/>
              <w:bottom w:val="single" w:color="auto" w:sz="8" w:space="0"/>
              <w:right w:val="single" w:color="auto" w:sz="8" w:space="0"/>
            </w:tcBorders>
            <w:shd w:val="clear" w:color="auto" w:fill="auto"/>
            <w:tcMar>
              <w:left w:w="58" w:type="dxa"/>
              <w:right w:w="58" w:type="dxa"/>
            </w:tcMar>
            <w:vAlign w:val="center"/>
            <w:hideMark/>
          </w:tcPr>
          <w:p w:rsidRPr="003B5570" w:rsidR="000A7F07" w:rsidP="0053704D" w:rsidRDefault="000A7F07" w14:paraId="7472370F" w14:textId="44353F76">
            <w:pPr>
              <w:jc w:val="center"/>
              <w:rPr>
                <w:color w:val="000000"/>
                <w:sz w:val="16"/>
                <w:szCs w:val="18"/>
              </w:rPr>
            </w:pPr>
            <w:r w:rsidRPr="003B5570">
              <w:rPr>
                <w:color w:val="000000"/>
                <w:sz w:val="16"/>
                <w:szCs w:val="18"/>
              </w:rPr>
              <w:t>Cost @ $</w:t>
            </w:r>
            <w:r w:rsidR="006E79BB">
              <w:rPr>
                <w:color w:val="000000"/>
                <w:sz w:val="16"/>
                <w:szCs w:val="18"/>
              </w:rPr>
              <w:t>279</w:t>
            </w:r>
            <w:r w:rsidRPr="003B5570">
              <w:rPr>
                <w:color w:val="000000"/>
                <w:sz w:val="16"/>
                <w:szCs w:val="18"/>
              </w:rPr>
              <w:t>/</w:t>
            </w:r>
            <w:proofErr w:type="spellStart"/>
            <w:r w:rsidRPr="003B5570">
              <w:rPr>
                <w:color w:val="000000"/>
                <w:sz w:val="16"/>
                <w:szCs w:val="18"/>
              </w:rPr>
              <w:t>Hr</w:t>
            </w:r>
            <w:proofErr w:type="spellEnd"/>
          </w:p>
        </w:tc>
      </w:tr>
      <w:tr w:rsidRPr="003B5570" w:rsidR="000A7F07" w:rsidTr="1B9601BD" w14:paraId="01BA9357" w14:textId="77777777">
        <w:trPr>
          <w:trHeight w:val="385"/>
        </w:trPr>
        <w:tc>
          <w:tcPr>
            <w:tcW w:w="5000" w:type="pct"/>
            <w:gridSpan w:val="8"/>
            <w:tcBorders>
              <w:top w:val="single" w:color="auto" w:sz="8" w:space="0"/>
              <w:left w:val="single" w:color="auto" w:sz="8" w:space="0"/>
              <w:bottom w:val="single" w:color="auto" w:sz="8" w:space="0"/>
              <w:right w:val="single" w:color="auto" w:sz="8" w:space="0"/>
            </w:tcBorders>
            <w:shd w:val="clear" w:color="auto" w:fill="auto"/>
            <w:vAlign w:val="center"/>
          </w:tcPr>
          <w:p w:rsidR="000A7F07" w:rsidP="1B9601BD" w:rsidRDefault="000A7F07" w14:paraId="79CB2796" w14:textId="77777777">
            <w:pPr>
              <w:jc w:val="center"/>
              <w:rPr>
                <w:b/>
                <w:bCs/>
                <w:color w:val="000000"/>
                <w:sz w:val="18"/>
                <w:szCs w:val="18"/>
              </w:rPr>
            </w:pPr>
            <w:r w:rsidRPr="1B9601BD">
              <w:rPr>
                <w:b/>
                <w:bCs/>
                <w:color w:val="000000" w:themeColor="text1"/>
                <w:sz w:val="18"/>
                <w:szCs w:val="18"/>
              </w:rPr>
              <w:t>REPORTING</w:t>
            </w:r>
          </w:p>
        </w:tc>
      </w:tr>
      <w:tr w:rsidRPr="003B5570" w:rsidR="0097355E" w:rsidTr="1B9601BD" w14:paraId="16BCA43A"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97355E" w:rsidP="0053704D" w:rsidRDefault="005F3B7C" w14:paraId="125FFC64" w14:textId="43AEE0D6">
            <w:pPr>
              <w:rPr>
                <w:color w:val="000000"/>
                <w:sz w:val="16"/>
                <w:szCs w:val="16"/>
              </w:rPr>
            </w:pPr>
            <w:r>
              <w:rPr>
                <w:color w:val="000000"/>
                <w:sz w:val="16"/>
                <w:szCs w:val="16"/>
              </w:rPr>
              <w:t>71.17(c)</w:t>
            </w:r>
            <w:r w:rsidR="00AD056E">
              <w:rPr>
                <w:color w:val="000000"/>
                <w:sz w:val="16"/>
                <w:szCs w:val="16"/>
              </w:rPr>
              <w:t>(3)</w:t>
            </w:r>
          </w:p>
        </w:tc>
        <w:tc>
          <w:tcPr>
            <w:tcW w:w="840" w:type="pct"/>
            <w:tcBorders>
              <w:top w:val="single" w:color="auto" w:sz="8" w:space="0"/>
              <w:left w:val="nil"/>
              <w:bottom w:val="single" w:color="000000" w:themeColor="text1" w:sz="8" w:space="0"/>
              <w:right w:val="single" w:color="auto" w:sz="8" w:space="0"/>
            </w:tcBorders>
            <w:vAlign w:val="center"/>
          </w:tcPr>
          <w:p w:rsidR="0097355E" w:rsidP="0053704D" w:rsidRDefault="00B857E7" w14:paraId="0762360A" w14:textId="6C5E387E">
            <w:pPr>
              <w:jc w:val="center"/>
              <w:rPr>
                <w:color w:val="000000"/>
                <w:sz w:val="16"/>
                <w:szCs w:val="16"/>
              </w:rPr>
            </w:pPr>
            <w:r>
              <w:rPr>
                <w:color w:val="000000"/>
                <w:sz w:val="16"/>
                <w:szCs w:val="16"/>
              </w:rPr>
              <w:t>Notify NRC when using a Type B package</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97355E" w:rsidP="0053704D" w:rsidRDefault="00AD056E" w14:paraId="5DBFC977" w14:textId="07D5C90F">
            <w:pPr>
              <w:jc w:val="right"/>
              <w:rPr>
                <w:color w:val="000000"/>
                <w:sz w:val="16"/>
                <w:szCs w:val="16"/>
              </w:rPr>
            </w:pPr>
            <w:r>
              <w:rPr>
                <w:color w:val="000000"/>
                <w:sz w:val="16"/>
                <w:szCs w:val="16"/>
              </w:rPr>
              <w:t>1</w:t>
            </w:r>
          </w:p>
        </w:tc>
        <w:tc>
          <w:tcPr>
            <w:tcW w:w="537" w:type="pct"/>
            <w:tcBorders>
              <w:top w:val="nil"/>
              <w:left w:val="nil"/>
              <w:bottom w:val="single" w:color="000000" w:themeColor="text1" w:sz="8" w:space="0"/>
              <w:right w:val="single" w:color="auto" w:sz="8" w:space="0"/>
            </w:tcBorders>
            <w:shd w:val="clear" w:color="auto" w:fill="auto"/>
            <w:vAlign w:val="center"/>
          </w:tcPr>
          <w:p w:rsidR="0097355E" w:rsidP="0053704D" w:rsidRDefault="00AD056E" w14:paraId="21A0BE0A" w14:textId="2F8EECB0">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0097355E" w:rsidP="0053704D" w:rsidRDefault="00AD056E" w14:paraId="2EA73703" w14:textId="191AE42C">
            <w:pPr>
              <w:jc w:val="right"/>
              <w:rPr>
                <w:color w:val="000000"/>
                <w:sz w:val="16"/>
                <w:szCs w:val="16"/>
              </w:rPr>
            </w:pPr>
            <w:r>
              <w:rPr>
                <w:color w:val="000000"/>
                <w:sz w:val="16"/>
                <w:szCs w:val="16"/>
              </w:rPr>
              <w:t>1</w:t>
            </w:r>
          </w:p>
        </w:tc>
        <w:tc>
          <w:tcPr>
            <w:tcW w:w="482" w:type="pct"/>
            <w:tcBorders>
              <w:top w:val="nil"/>
              <w:left w:val="nil"/>
              <w:bottom w:val="single" w:color="000000" w:themeColor="text1" w:sz="8" w:space="0"/>
              <w:right w:val="single" w:color="auto" w:sz="8" w:space="0"/>
            </w:tcBorders>
            <w:shd w:val="clear" w:color="auto" w:fill="auto"/>
            <w:vAlign w:val="center"/>
          </w:tcPr>
          <w:p w:rsidR="0097355E" w:rsidP="0053704D" w:rsidRDefault="00C36508" w14:paraId="5FF63C77" w14:textId="73F6C5DE">
            <w:pPr>
              <w:jc w:val="right"/>
              <w:rPr>
                <w:color w:val="000000"/>
                <w:sz w:val="16"/>
                <w:szCs w:val="16"/>
              </w:rPr>
            </w:pPr>
            <w:r>
              <w:rPr>
                <w:color w:val="000000"/>
                <w:sz w:val="16"/>
                <w:szCs w:val="16"/>
              </w:rPr>
              <w:t>1</w:t>
            </w:r>
          </w:p>
        </w:tc>
        <w:tc>
          <w:tcPr>
            <w:tcW w:w="479" w:type="pct"/>
            <w:tcBorders>
              <w:top w:val="nil"/>
              <w:left w:val="nil"/>
              <w:bottom w:val="single" w:color="000000" w:themeColor="text1" w:sz="8" w:space="0"/>
              <w:right w:val="single" w:color="auto" w:sz="8" w:space="0"/>
            </w:tcBorders>
            <w:shd w:val="clear" w:color="auto" w:fill="auto"/>
            <w:vAlign w:val="center"/>
          </w:tcPr>
          <w:p w:rsidR="0097355E" w:rsidP="0053704D" w:rsidRDefault="00C36508" w14:paraId="047A7AEC" w14:textId="5D11C72A">
            <w:pPr>
              <w:jc w:val="right"/>
              <w:rPr>
                <w:color w:val="000000"/>
                <w:sz w:val="16"/>
                <w:szCs w:val="16"/>
              </w:rPr>
            </w:pPr>
            <w:r>
              <w:rPr>
                <w:color w:val="000000"/>
                <w:sz w:val="16"/>
                <w:szCs w:val="16"/>
              </w:rPr>
              <w:t>1</w:t>
            </w:r>
          </w:p>
        </w:tc>
        <w:tc>
          <w:tcPr>
            <w:tcW w:w="571" w:type="pct"/>
            <w:tcBorders>
              <w:top w:val="nil"/>
              <w:left w:val="nil"/>
              <w:bottom w:val="single" w:color="000000" w:themeColor="text1" w:sz="8" w:space="0"/>
              <w:right w:val="single" w:color="auto" w:sz="8" w:space="0"/>
            </w:tcBorders>
            <w:shd w:val="clear" w:color="auto" w:fill="auto"/>
            <w:vAlign w:val="center"/>
          </w:tcPr>
          <w:p w:rsidR="0097355E" w:rsidP="0053704D" w:rsidRDefault="00C36508" w14:paraId="69CA7378" w14:textId="49D06496">
            <w:pPr>
              <w:jc w:val="right"/>
              <w:rPr>
                <w:color w:val="000000"/>
                <w:sz w:val="16"/>
                <w:szCs w:val="16"/>
              </w:rPr>
            </w:pPr>
            <w:r>
              <w:rPr>
                <w:color w:val="000000"/>
                <w:sz w:val="16"/>
                <w:szCs w:val="16"/>
              </w:rPr>
              <w:t>$</w:t>
            </w:r>
            <w:r w:rsidR="006E79BB">
              <w:rPr>
                <w:color w:val="000000"/>
                <w:sz w:val="16"/>
                <w:szCs w:val="16"/>
              </w:rPr>
              <w:t>279</w:t>
            </w:r>
          </w:p>
        </w:tc>
      </w:tr>
      <w:tr w:rsidRPr="003B5570" w:rsidR="00D6110C" w:rsidTr="1B9601BD" w14:paraId="5FB5671E"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D6110C" w:rsidP="0053704D" w:rsidRDefault="00D6110C" w14:paraId="200150BA" w14:textId="1DD24C12">
            <w:pPr>
              <w:rPr>
                <w:color w:val="000000"/>
                <w:sz w:val="16"/>
                <w:szCs w:val="16"/>
              </w:rPr>
            </w:pPr>
            <w:r>
              <w:rPr>
                <w:color w:val="000000"/>
                <w:sz w:val="16"/>
                <w:szCs w:val="16"/>
              </w:rPr>
              <w:t>71.22(f)</w:t>
            </w:r>
          </w:p>
        </w:tc>
        <w:tc>
          <w:tcPr>
            <w:tcW w:w="840" w:type="pct"/>
            <w:tcBorders>
              <w:top w:val="single" w:color="auto" w:sz="8" w:space="0"/>
              <w:left w:val="nil"/>
              <w:bottom w:val="single" w:color="000000" w:themeColor="text1" w:sz="8" w:space="0"/>
              <w:right w:val="single" w:color="auto" w:sz="8" w:space="0"/>
            </w:tcBorders>
            <w:vAlign w:val="center"/>
          </w:tcPr>
          <w:p w:rsidR="00D6110C" w:rsidP="0053704D" w:rsidRDefault="00931EC9" w14:paraId="6D82A8BD" w14:textId="3F4BAE3A">
            <w:pPr>
              <w:jc w:val="center"/>
              <w:rPr>
                <w:color w:val="000000"/>
                <w:sz w:val="16"/>
                <w:szCs w:val="16"/>
              </w:rPr>
            </w:pPr>
            <w:r>
              <w:rPr>
                <w:color w:val="000000"/>
                <w:sz w:val="16"/>
                <w:szCs w:val="16"/>
              </w:rPr>
              <w:t>Notify NRC when using a Type B package</w:t>
            </w:r>
          </w:p>
        </w:tc>
        <w:tc>
          <w:tcPr>
            <w:tcW w:w="3253" w:type="pct"/>
            <w:gridSpan w:val="6"/>
            <w:tcBorders>
              <w:top w:val="nil"/>
              <w:left w:val="single" w:color="auto" w:sz="8" w:space="0"/>
              <w:bottom w:val="single" w:color="000000" w:themeColor="text1" w:sz="8" w:space="0"/>
              <w:right w:val="single" w:color="auto" w:sz="8" w:space="0"/>
            </w:tcBorders>
            <w:shd w:val="clear" w:color="auto" w:fill="auto"/>
            <w:vAlign w:val="center"/>
          </w:tcPr>
          <w:p w:rsidR="00D6110C" w:rsidP="00F304E9" w:rsidRDefault="00D6110C" w14:paraId="5EB84ED7" w14:textId="79C9A9E1">
            <w:pPr>
              <w:jc w:val="center"/>
              <w:rPr>
                <w:color w:val="000000"/>
                <w:sz w:val="16"/>
                <w:szCs w:val="16"/>
              </w:rPr>
            </w:pPr>
            <w:r>
              <w:rPr>
                <w:color w:val="000000"/>
                <w:sz w:val="16"/>
                <w:szCs w:val="16"/>
              </w:rPr>
              <w:t>In</w:t>
            </w:r>
            <w:r w:rsidR="00F304E9">
              <w:rPr>
                <w:color w:val="000000"/>
                <w:sz w:val="16"/>
                <w:szCs w:val="16"/>
              </w:rPr>
              <w:t>cluded in 71.17(c)</w:t>
            </w:r>
          </w:p>
        </w:tc>
      </w:tr>
      <w:tr w:rsidRPr="003B5570" w:rsidR="00D6110C" w:rsidTr="1B9601BD" w14:paraId="53E76286"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D6110C" w:rsidP="0053704D" w:rsidRDefault="00D6110C" w14:paraId="7A296E14" w14:textId="3CA370AB">
            <w:pPr>
              <w:rPr>
                <w:color w:val="000000"/>
                <w:sz w:val="16"/>
                <w:szCs w:val="16"/>
              </w:rPr>
            </w:pPr>
            <w:r>
              <w:rPr>
                <w:color w:val="000000"/>
                <w:sz w:val="16"/>
                <w:szCs w:val="16"/>
              </w:rPr>
              <w:t>71.23(f)</w:t>
            </w:r>
          </w:p>
        </w:tc>
        <w:tc>
          <w:tcPr>
            <w:tcW w:w="840" w:type="pct"/>
            <w:tcBorders>
              <w:top w:val="single" w:color="auto" w:sz="8" w:space="0"/>
              <w:left w:val="nil"/>
              <w:bottom w:val="single" w:color="000000" w:themeColor="text1" w:sz="8" w:space="0"/>
              <w:right w:val="single" w:color="auto" w:sz="8" w:space="0"/>
            </w:tcBorders>
            <w:vAlign w:val="center"/>
          </w:tcPr>
          <w:p w:rsidR="00D6110C" w:rsidP="0053704D" w:rsidRDefault="00B857E7" w14:paraId="2270E9EE" w14:textId="7E8A417D">
            <w:pPr>
              <w:jc w:val="center"/>
              <w:rPr>
                <w:color w:val="000000"/>
                <w:sz w:val="16"/>
                <w:szCs w:val="16"/>
              </w:rPr>
            </w:pPr>
            <w:r>
              <w:rPr>
                <w:color w:val="000000"/>
                <w:sz w:val="16"/>
                <w:szCs w:val="16"/>
              </w:rPr>
              <w:t>Notify NRC when using a Type B package</w:t>
            </w:r>
          </w:p>
        </w:tc>
        <w:tc>
          <w:tcPr>
            <w:tcW w:w="3253" w:type="pct"/>
            <w:gridSpan w:val="6"/>
            <w:tcBorders>
              <w:top w:val="nil"/>
              <w:left w:val="single" w:color="auto" w:sz="8" w:space="0"/>
              <w:bottom w:val="single" w:color="000000" w:themeColor="text1" w:sz="8" w:space="0"/>
              <w:right w:val="single" w:color="auto" w:sz="8" w:space="0"/>
            </w:tcBorders>
            <w:shd w:val="clear" w:color="auto" w:fill="auto"/>
            <w:vAlign w:val="center"/>
          </w:tcPr>
          <w:p w:rsidR="00D6110C" w:rsidP="00F304E9" w:rsidRDefault="00F304E9" w14:paraId="23D595FA" w14:textId="26DFD9F7">
            <w:pPr>
              <w:jc w:val="center"/>
              <w:rPr>
                <w:color w:val="000000"/>
                <w:sz w:val="16"/>
                <w:szCs w:val="16"/>
              </w:rPr>
            </w:pPr>
            <w:r>
              <w:rPr>
                <w:color w:val="000000"/>
                <w:sz w:val="16"/>
                <w:szCs w:val="16"/>
              </w:rPr>
              <w:t>Included in 71.17(c)</w:t>
            </w:r>
          </w:p>
        </w:tc>
      </w:tr>
      <w:tr w:rsidRPr="003B5570" w:rsidR="000A7F07" w:rsidTr="1B9601BD" w14:paraId="531F3748"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0A7F07" w:rsidP="0053704D" w:rsidRDefault="000A7F07" w14:paraId="6DB32F2B" w14:textId="77777777">
            <w:pPr>
              <w:rPr>
                <w:color w:val="000000"/>
                <w:sz w:val="16"/>
                <w:szCs w:val="16"/>
              </w:rPr>
            </w:pPr>
            <w:r>
              <w:rPr>
                <w:color w:val="000000"/>
                <w:sz w:val="16"/>
                <w:szCs w:val="16"/>
              </w:rPr>
              <w:t>71.31</w:t>
            </w:r>
          </w:p>
        </w:tc>
        <w:tc>
          <w:tcPr>
            <w:tcW w:w="840" w:type="pct"/>
            <w:tcBorders>
              <w:top w:val="single" w:color="auto" w:sz="8" w:space="0"/>
              <w:left w:val="nil"/>
              <w:bottom w:val="single" w:color="000000" w:themeColor="text1" w:sz="8" w:space="0"/>
              <w:right w:val="single" w:color="auto" w:sz="8" w:space="0"/>
            </w:tcBorders>
            <w:vAlign w:val="center"/>
          </w:tcPr>
          <w:p w:rsidR="000A7F07" w:rsidP="0053704D" w:rsidRDefault="000A7F07" w14:paraId="0E25782B" w14:textId="77777777">
            <w:pPr>
              <w:jc w:val="center"/>
              <w:rPr>
                <w:color w:val="000000"/>
                <w:sz w:val="16"/>
                <w:szCs w:val="16"/>
              </w:rPr>
            </w:pPr>
            <w:r>
              <w:rPr>
                <w:color w:val="000000"/>
                <w:sz w:val="16"/>
                <w:szCs w:val="16"/>
              </w:rPr>
              <w:t>Expected applications due to phasing out packages in 71.19(a)(3)</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53704D" w:rsidRDefault="000A7F07" w14:paraId="4E7FB142" w14:textId="77777777">
            <w:pPr>
              <w:jc w:val="right"/>
              <w:rPr>
                <w:color w:val="000000"/>
                <w:sz w:val="16"/>
                <w:szCs w:val="16"/>
              </w:rPr>
            </w:pPr>
            <w:r>
              <w:rPr>
                <w:color w:val="000000"/>
                <w:sz w:val="16"/>
                <w:szCs w:val="16"/>
              </w:rPr>
              <w:t>2</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13C00E31" w14:textId="77777777">
            <w:pPr>
              <w:jc w:val="right"/>
              <w:rPr>
                <w:color w:val="000000"/>
                <w:sz w:val="16"/>
                <w:szCs w:val="16"/>
              </w:rPr>
            </w:pPr>
            <w:r>
              <w:rPr>
                <w:color w:val="000000"/>
                <w:sz w:val="16"/>
                <w:szCs w:val="16"/>
              </w:rPr>
              <w:t>1.5</w:t>
            </w:r>
          </w:p>
        </w:tc>
        <w:tc>
          <w:tcPr>
            <w:tcW w:w="527"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49ED1FC7" w14:textId="77777777">
            <w:pPr>
              <w:jc w:val="right"/>
              <w:rPr>
                <w:color w:val="000000"/>
                <w:sz w:val="16"/>
                <w:szCs w:val="16"/>
              </w:rPr>
            </w:pPr>
            <w:r>
              <w:rPr>
                <w:color w:val="000000"/>
                <w:sz w:val="16"/>
                <w:szCs w:val="16"/>
              </w:rPr>
              <w:t>3</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28E8F50E" w14:textId="77777777">
            <w:pPr>
              <w:jc w:val="right"/>
              <w:rPr>
                <w:color w:val="000000"/>
                <w:sz w:val="16"/>
                <w:szCs w:val="16"/>
              </w:rPr>
            </w:pPr>
            <w:r>
              <w:rPr>
                <w:color w:val="000000"/>
                <w:sz w:val="16"/>
                <w:szCs w:val="16"/>
              </w:rPr>
              <w:t>300</w:t>
            </w:r>
          </w:p>
        </w:tc>
        <w:tc>
          <w:tcPr>
            <w:tcW w:w="479"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0C0DD2CF" w14:textId="77777777">
            <w:pPr>
              <w:jc w:val="right"/>
              <w:rPr>
                <w:color w:val="000000"/>
                <w:sz w:val="16"/>
                <w:szCs w:val="16"/>
              </w:rPr>
            </w:pPr>
            <w:r>
              <w:rPr>
                <w:color w:val="000000"/>
                <w:sz w:val="16"/>
                <w:szCs w:val="16"/>
              </w:rPr>
              <w:t>900</w:t>
            </w:r>
          </w:p>
        </w:tc>
        <w:tc>
          <w:tcPr>
            <w:tcW w:w="571"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095D15EF" w14:textId="5AAFBCB6">
            <w:pPr>
              <w:jc w:val="right"/>
              <w:rPr>
                <w:color w:val="000000"/>
                <w:sz w:val="16"/>
                <w:szCs w:val="16"/>
              </w:rPr>
            </w:pPr>
            <w:r>
              <w:rPr>
                <w:color w:val="000000"/>
                <w:sz w:val="16"/>
                <w:szCs w:val="16"/>
              </w:rPr>
              <w:t>$</w:t>
            </w:r>
            <w:r w:rsidR="0047268B">
              <w:rPr>
                <w:color w:val="000000"/>
                <w:sz w:val="16"/>
                <w:szCs w:val="16"/>
              </w:rPr>
              <w:t>251,100</w:t>
            </w:r>
          </w:p>
        </w:tc>
      </w:tr>
      <w:tr w:rsidRPr="003B5570" w:rsidR="000A7F07" w:rsidTr="1B9601BD" w14:paraId="14ACB588"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Pr="009329D6" w:rsidR="000A7F07" w:rsidP="0053704D" w:rsidRDefault="000A7F07" w14:paraId="6F98AD9B" w14:textId="77777777">
            <w:pPr>
              <w:rPr>
                <w:color w:val="000000"/>
                <w:sz w:val="16"/>
                <w:szCs w:val="16"/>
              </w:rPr>
            </w:pPr>
            <w:r>
              <w:rPr>
                <w:color w:val="000000"/>
                <w:sz w:val="16"/>
                <w:szCs w:val="16"/>
              </w:rPr>
              <w:t>71.31(a)(3)</w:t>
            </w:r>
          </w:p>
        </w:tc>
        <w:tc>
          <w:tcPr>
            <w:tcW w:w="840" w:type="pct"/>
            <w:tcBorders>
              <w:top w:val="single" w:color="auto" w:sz="8" w:space="0"/>
              <w:left w:val="nil"/>
              <w:bottom w:val="single" w:color="000000" w:themeColor="text1" w:sz="8" w:space="0"/>
              <w:right w:val="single" w:color="auto" w:sz="8" w:space="0"/>
            </w:tcBorders>
            <w:vAlign w:val="center"/>
          </w:tcPr>
          <w:p w:rsidRPr="009329D6" w:rsidR="000A7F07" w:rsidP="0053704D" w:rsidRDefault="000A7F07" w14:paraId="4F48F517" w14:textId="77777777">
            <w:pPr>
              <w:jc w:val="center"/>
              <w:rPr>
                <w:color w:val="000000"/>
                <w:sz w:val="16"/>
                <w:szCs w:val="16"/>
              </w:rPr>
            </w:pPr>
            <w:r>
              <w:rPr>
                <w:color w:val="000000"/>
                <w:sz w:val="16"/>
                <w:szCs w:val="16"/>
              </w:rPr>
              <w:t>Include a maintenance program description in the contents of an application for package approval</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53704D" w:rsidRDefault="000A7F07" w14:paraId="3CEF4ED8" w14:textId="77777777">
            <w:pPr>
              <w:jc w:val="right"/>
              <w:rPr>
                <w:color w:val="000000"/>
                <w:sz w:val="16"/>
                <w:szCs w:val="16"/>
              </w:rPr>
            </w:pPr>
            <w:r>
              <w:rPr>
                <w:color w:val="000000"/>
                <w:sz w:val="16"/>
                <w:szCs w:val="16"/>
              </w:rPr>
              <w:t>2</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43B085FE" w14:textId="77777777">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66112CB9" w14:textId="77777777">
            <w:pPr>
              <w:jc w:val="right"/>
              <w:rPr>
                <w:color w:val="000000"/>
                <w:sz w:val="16"/>
                <w:szCs w:val="16"/>
              </w:rPr>
            </w:pPr>
            <w:r>
              <w:rPr>
                <w:color w:val="000000"/>
                <w:sz w:val="16"/>
                <w:szCs w:val="16"/>
              </w:rPr>
              <w:t>2</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3BEDB20A" w14:textId="77777777">
            <w:pPr>
              <w:jc w:val="right"/>
              <w:rPr>
                <w:color w:val="000000"/>
                <w:sz w:val="16"/>
                <w:szCs w:val="16"/>
              </w:rPr>
            </w:pPr>
            <w:r>
              <w:rPr>
                <w:color w:val="000000"/>
                <w:sz w:val="16"/>
                <w:szCs w:val="16"/>
              </w:rPr>
              <w:t>75</w:t>
            </w:r>
          </w:p>
        </w:tc>
        <w:tc>
          <w:tcPr>
            <w:tcW w:w="479"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28D3F4A3" w14:textId="77777777">
            <w:pPr>
              <w:jc w:val="right"/>
              <w:rPr>
                <w:color w:val="000000"/>
                <w:sz w:val="16"/>
                <w:szCs w:val="16"/>
              </w:rPr>
            </w:pPr>
            <w:r>
              <w:rPr>
                <w:color w:val="000000"/>
                <w:sz w:val="16"/>
                <w:szCs w:val="16"/>
              </w:rPr>
              <w:t>150</w:t>
            </w:r>
          </w:p>
        </w:tc>
        <w:tc>
          <w:tcPr>
            <w:tcW w:w="571"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665CE43C" w14:textId="22E77360">
            <w:pPr>
              <w:jc w:val="right"/>
              <w:rPr>
                <w:color w:val="000000"/>
                <w:sz w:val="16"/>
                <w:szCs w:val="16"/>
              </w:rPr>
            </w:pPr>
            <w:r>
              <w:rPr>
                <w:color w:val="000000"/>
                <w:sz w:val="16"/>
                <w:szCs w:val="16"/>
              </w:rPr>
              <w:t>$</w:t>
            </w:r>
            <w:r w:rsidR="0047268B">
              <w:rPr>
                <w:color w:val="000000"/>
                <w:sz w:val="16"/>
                <w:szCs w:val="16"/>
              </w:rPr>
              <w:t>41,850</w:t>
            </w:r>
          </w:p>
        </w:tc>
      </w:tr>
      <w:tr w:rsidRPr="003B5570" w:rsidR="000A7F07" w:rsidTr="1B9601BD" w14:paraId="732A107A"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0A7F07" w:rsidP="0053704D" w:rsidRDefault="000A7F07" w14:paraId="40BCCCD1" w14:textId="77777777">
            <w:pPr>
              <w:rPr>
                <w:color w:val="000000"/>
                <w:sz w:val="16"/>
                <w:szCs w:val="16"/>
              </w:rPr>
            </w:pPr>
            <w:r>
              <w:rPr>
                <w:color w:val="000000"/>
                <w:sz w:val="16"/>
                <w:szCs w:val="16"/>
              </w:rPr>
              <w:t>71.35(d)</w:t>
            </w:r>
          </w:p>
        </w:tc>
        <w:tc>
          <w:tcPr>
            <w:tcW w:w="840" w:type="pct"/>
            <w:tcBorders>
              <w:top w:val="single" w:color="auto" w:sz="8" w:space="0"/>
              <w:left w:val="nil"/>
              <w:bottom w:val="single" w:color="000000" w:themeColor="text1" w:sz="8" w:space="0"/>
              <w:right w:val="single" w:color="auto" w:sz="8" w:space="0"/>
            </w:tcBorders>
            <w:vAlign w:val="center"/>
          </w:tcPr>
          <w:p w:rsidR="000A7F07" w:rsidP="0053704D" w:rsidRDefault="000A7F07" w14:paraId="260A406C" w14:textId="77777777">
            <w:pPr>
              <w:jc w:val="center"/>
              <w:rPr>
                <w:color w:val="000000"/>
                <w:sz w:val="16"/>
                <w:szCs w:val="16"/>
              </w:rPr>
            </w:pPr>
            <w:r>
              <w:rPr>
                <w:color w:val="000000"/>
                <w:sz w:val="16"/>
                <w:szCs w:val="16"/>
              </w:rPr>
              <w:t>Include an evaluation of the applicant’s maintenance program</w:t>
            </w:r>
          </w:p>
        </w:tc>
        <w:tc>
          <w:tcPr>
            <w:tcW w:w="3253" w:type="pct"/>
            <w:gridSpan w:val="6"/>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925F93" w:rsidRDefault="000A7F07" w14:paraId="7256488C" w14:textId="77777777">
            <w:pPr>
              <w:jc w:val="center"/>
              <w:rPr>
                <w:color w:val="000000"/>
                <w:sz w:val="16"/>
                <w:szCs w:val="16"/>
              </w:rPr>
            </w:pPr>
            <w:r>
              <w:rPr>
                <w:color w:val="000000"/>
                <w:sz w:val="16"/>
                <w:szCs w:val="16"/>
              </w:rPr>
              <w:t>Included in 71.31(a)(3)</w:t>
            </w:r>
          </w:p>
        </w:tc>
      </w:tr>
      <w:tr w:rsidRPr="003B5570" w:rsidR="000A7F07" w:rsidTr="1B9601BD" w14:paraId="6ED0916D"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0A7F07" w:rsidP="0053704D" w:rsidRDefault="000A7F07" w14:paraId="2FC70EA2" w14:textId="77777777">
            <w:pPr>
              <w:rPr>
                <w:color w:val="000000"/>
                <w:sz w:val="16"/>
                <w:szCs w:val="16"/>
              </w:rPr>
            </w:pPr>
            <w:r>
              <w:rPr>
                <w:color w:val="000000"/>
                <w:sz w:val="16"/>
                <w:szCs w:val="16"/>
              </w:rPr>
              <w:t>71.95(a)(3)</w:t>
            </w:r>
          </w:p>
          <w:p w:rsidR="000A7F07" w:rsidP="0053704D" w:rsidRDefault="000A7F07" w14:paraId="02892F80" w14:textId="37CE2F37">
            <w:pPr>
              <w:rPr>
                <w:color w:val="000000"/>
                <w:sz w:val="16"/>
                <w:szCs w:val="16"/>
              </w:rPr>
            </w:pPr>
            <w:r>
              <w:rPr>
                <w:color w:val="000000"/>
                <w:sz w:val="16"/>
                <w:szCs w:val="16"/>
              </w:rPr>
              <w:t>(burden covered under 71.95)</w:t>
            </w:r>
          </w:p>
        </w:tc>
        <w:tc>
          <w:tcPr>
            <w:tcW w:w="840" w:type="pct"/>
            <w:tcBorders>
              <w:top w:val="single" w:color="auto" w:sz="8" w:space="0"/>
              <w:left w:val="nil"/>
              <w:bottom w:val="single" w:color="000000" w:themeColor="text1" w:sz="8" w:space="0"/>
              <w:right w:val="single" w:color="auto" w:sz="8" w:space="0"/>
            </w:tcBorders>
            <w:vAlign w:val="center"/>
          </w:tcPr>
          <w:p w:rsidR="000A7F07" w:rsidP="0053704D" w:rsidRDefault="000A7F07" w14:paraId="63F00263" w14:textId="77777777">
            <w:pPr>
              <w:jc w:val="center"/>
              <w:rPr>
                <w:color w:val="000000"/>
                <w:sz w:val="16"/>
                <w:szCs w:val="16"/>
              </w:rPr>
            </w:pPr>
            <w:r>
              <w:rPr>
                <w:color w:val="000000"/>
                <w:sz w:val="16"/>
                <w:szCs w:val="16"/>
              </w:rPr>
              <w:t>Submit a written report of instances where conditions in the CoC were not followed during shipment</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53704D" w:rsidRDefault="000A7F07" w14:paraId="09987559" w14:textId="77777777">
            <w:pPr>
              <w:jc w:val="right"/>
              <w:rPr>
                <w:color w:val="000000"/>
                <w:sz w:val="16"/>
                <w:szCs w:val="16"/>
              </w:rPr>
            </w:pPr>
            <w:r>
              <w:rPr>
                <w:color w:val="000000"/>
                <w:sz w:val="16"/>
                <w:szCs w:val="16"/>
              </w:rPr>
              <w:t>25</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38DA9898" w14:textId="77777777">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351CE113" w14:textId="77777777">
            <w:pPr>
              <w:jc w:val="right"/>
              <w:rPr>
                <w:color w:val="000000"/>
                <w:sz w:val="16"/>
                <w:szCs w:val="16"/>
              </w:rPr>
            </w:pPr>
            <w:r>
              <w:rPr>
                <w:color w:val="000000"/>
                <w:sz w:val="16"/>
                <w:szCs w:val="16"/>
              </w:rPr>
              <w:t>25</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2FF37849" w14:textId="77777777">
            <w:pPr>
              <w:jc w:val="right"/>
              <w:rPr>
                <w:color w:val="000000"/>
                <w:sz w:val="16"/>
                <w:szCs w:val="16"/>
              </w:rPr>
            </w:pPr>
            <w:r>
              <w:rPr>
                <w:color w:val="000000"/>
                <w:sz w:val="16"/>
                <w:szCs w:val="16"/>
              </w:rPr>
              <w:t>0</w:t>
            </w:r>
          </w:p>
        </w:tc>
        <w:tc>
          <w:tcPr>
            <w:tcW w:w="479"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2A5A4EF4" w14:textId="77777777">
            <w:pPr>
              <w:jc w:val="right"/>
              <w:rPr>
                <w:color w:val="000000"/>
                <w:sz w:val="16"/>
                <w:szCs w:val="16"/>
              </w:rPr>
            </w:pPr>
            <w:r>
              <w:rPr>
                <w:color w:val="000000"/>
                <w:sz w:val="16"/>
                <w:szCs w:val="16"/>
              </w:rPr>
              <w:t>0</w:t>
            </w:r>
          </w:p>
        </w:tc>
        <w:tc>
          <w:tcPr>
            <w:tcW w:w="571"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6593B696" w14:textId="77777777">
            <w:pPr>
              <w:jc w:val="right"/>
              <w:rPr>
                <w:color w:val="000000"/>
                <w:sz w:val="16"/>
                <w:szCs w:val="16"/>
              </w:rPr>
            </w:pPr>
            <w:r>
              <w:rPr>
                <w:color w:val="000000"/>
                <w:sz w:val="16"/>
                <w:szCs w:val="16"/>
              </w:rPr>
              <w:t>0</w:t>
            </w:r>
          </w:p>
        </w:tc>
      </w:tr>
      <w:tr w:rsidRPr="003B5570" w:rsidR="00992053" w:rsidTr="1B9601BD" w14:paraId="4D3ABCE3"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992053" w:rsidP="0053704D" w:rsidRDefault="00992053" w14:paraId="0B4D02FB" w14:textId="11EE1E0B">
            <w:pPr>
              <w:rPr>
                <w:color w:val="000000"/>
                <w:sz w:val="16"/>
                <w:szCs w:val="16"/>
              </w:rPr>
            </w:pPr>
            <w:r>
              <w:rPr>
                <w:color w:val="000000"/>
                <w:sz w:val="16"/>
                <w:szCs w:val="16"/>
              </w:rPr>
              <w:t>71.95(a)</w:t>
            </w:r>
          </w:p>
        </w:tc>
        <w:tc>
          <w:tcPr>
            <w:tcW w:w="840" w:type="pct"/>
            <w:tcBorders>
              <w:top w:val="single" w:color="auto" w:sz="8" w:space="0"/>
              <w:left w:val="nil"/>
              <w:bottom w:val="single" w:color="000000" w:themeColor="text1" w:sz="8" w:space="0"/>
              <w:right w:val="single" w:color="auto" w:sz="8" w:space="0"/>
            </w:tcBorders>
            <w:vAlign w:val="center"/>
          </w:tcPr>
          <w:p w:rsidR="00992053" w:rsidP="0053704D" w:rsidRDefault="005F39B6" w14:paraId="247817B3" w14:textId="701CD0E4">
            <w:pPr>
              <w:jc w:val="center"/>
              <w:rPr>
                <w:color w:val="000000"/>
                <w:sz w:val="16"/>
                <w:szCs w:val="16"/>
              </w:rPr>
            </w:pPr>
            <w:r>
              <w:rPr>
                <w:color w:val="000000"/>
                <w:sz w:val="16"/>
                <w:szCs w:val="16"/>
              </w:rPr>
              <w:t xml:space="preserve">Submit a written report of instances </w:t>
            </w:r>
            <w:r w:rsidR="00391CBD">
              <w:rPr>
                <w:color w:val="000000"/>
                <w:sz w:val="16"/>
                <w:szCs w:val="16"/>
              </w:rPr>
              <w:t>of</w:t>
            </w:r>
            <w:r>
              <w:rPr>
                <w:color w:val="000000"/>
                <w:sz w:val="16"/>
                <w:szCs w:val="16"/>
              </w:rPr>
              <w:t xml:space="preserve"> a defect or significant reduction in effectiveness of an NRC-approved package</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992053" w:rsidP="0053704D" w:rsidRDefault="00391CBD" w14:paraId="2E31F091" w14:textId="1C86BD81">
            <w:pPr>
              <w:jc w:val="right"/>
              <w:rPr>
                <w:color w:val="000000"/>
                <w:sz w:val="16"/>
                <w:szCs w:val="16"/>
              </w:rPr>
            </w:pPr>
            <w:r>
              <w:rPr>
                <w:color w:val="000000"/>
                <w:sz w:val="16"/>
                <w:szCs w:val="16"/>
              </w:rPr>
              <w:t>0</w:t>
            </w:r>
          </w:p>
        </w:tc>
        <w:tc>
          <w:tcPr>
            <w:tcW w:w="537" w:type="pct"/>
            <w:tcBorders>
              <w:top w:val="nil"/>
              <w:left w:val="nil"/>
              <w:bottom w:val="single" w:color="000000" w:themeColor="text1" w:sz="8" w:space="0"/>
              <w:right w:val="single" w:color="auto" w:sz="8" w:space="0"/>
            </w:tcBorders>
            <w:shd w:val="clear" w:color="auto" w:fill="auto"/>
            <w:vAlign w:val="center"/>
          </w:tcPr>
          <w:p w:rsidR="00992053" w:rsidP="0053704D" w:rsidRDefault="00391CBD" w14:paraId="4CE6A98A" w14:textId="7820CF4F">
            <w:pPr>
              <w:jc w:val="right"/>
              <w:rPr>
                <w:color w:val="000000"/>
                <w:sz w:val="16"/>
                <w:szCs w:val="16"/>
              </w:rPr>
            </w:pPr>
            <w:r>
              <w:rPr>
                <w:color w:val="000000"/>
                <w:sz w:val="16"/>
                <w:szCs w:val="16"/>
              </w:rPr>
              <w:t>0</w:t>
            </w:r>
          </w:p>
        </w:tc>
        <w:tc>
          <w:tcPr>
            <w:tcW w:w="527" w:type="pct"/>
            <w:tcBorders>
              <w:top w:val="nil"/>
              <w:left w:val="nil"/>
              <w:bottom w:val="single" w:color="000000" w:themeColor="text1" w:sz="8" w:space="0"/>
              <w:right w:val="single" w:color="auto" w:sz="8" w:space="0"/>
            </w:tcBorders>
            <w:shd w:val="clear" w:color="auto" w:fill="auto"/>
            <w:vAlign w:val="center"/>
          </w:tcPr>
          <w:p w:rsidR="00992053" w:rsidP="0053704D" w:rsidRDefault="00391CBD" w14:paraId="4802FC2F" w14:textId="1DBDF48D">
            <w:pPr>
              <w:jc w:val="right"/>
              <w:rPr>
                <w:color w:val="000000"/>
                <w:sz w:val="16"/>
                <w:szCs w:val="16"/>
              </w:rPr>
            </w:pPr>
            <w:r>
              <w:rPr>
                <w:color w:val="000000"/>
                <w:sz w:val="16"/>
                <w:szCs w:val="16"/>
              </w:rPr>
              <w:t>0</w:t>
            </w:r>
          </w:p>
        </w:tc>
        <w:tc>
          <w:tcPr>
            <w:tcW w:w="482" w:type="pct"/>
            <w:tcBorders>
              <w:top w:val="nil"/>
              <w:left w:val="nil"/>
              <w:bottom w:val="single" w:color="000000" w:themeColor="text1" w:sz="8" w:space="0"/>
              <w:right w:val="single" w:color="auto" w:sz="8" w:space="0"/>
            </w:tcBorders>
            <w:shd w:val="clear" w:color="auto" w:fill="auto"/>
            <w:vAlign w:val="center"/>
          </w:tcPr>
          <w:p w:rsidR="00992053" w:rsidP="0053704D" w:rsidRDefault="00A63912" w14:paraId="359163E0" w14:textId="15FBD7B6">
            <w:pPr>
              <w:jc w:val="right"/>
              <w:rPr>
                <w:color w:val="000000"/>
                <w:sz w:val="16"/>
                <w:szCs w:val="16"/>
              </w:rPr>
            </w:pPr>
            <w:r>
              <w:rPr>
                <w:color w:val="000000"/>
                <w:sz w:val="16"/>
                <w:szCs w:val="16"/>
              </w:rPr>
              <w:t>24</w:t>
            </w:r>
          </w:p>
        </w:tc>
        <w:tc>
          <w:tcPr>
            <w:tcW w:w="479" w:type="pct"/>
            <w:tcBorders>
              <w:top w:val="nil"/>
              <w:left w:val="nil"/>
              <w:bottom w:val="single" w:color="000000" w:themeColor="text1" w:sz="8" w:space="0"/>
              <w:right w:val="single" w:color="auto" w:sz="8" w:space="0"/>
            </w:tcBorders>
            <w:shd w:val="clear" w:color="auto" w:fill="auto"/>
            <w:vAlign w:val="center"/>
          </w:tcPr>
          <w:p w:rsidR="00992053" w:rsidP="0053704D" w:rsidRDefault="00391CBD" w14:paraId="25B1692F" w14:textId="1F54BB26">
            <w:pPr>
              <w:jc w:val="right"/>
              <w:rPr>
                <w:color w:val="000000"/>
                <w:sz w:val="16"/>
                <w:szCs w:val="16"/>
              </w:rPr>
            </w:pPr>
            <w:r>
              <w:rPr>
                <w:color w:val="000000"/>
                <w:sz w:val="16"/>
                <w:szCs w:val="16"/>
              </w:rPr>
              <w:t>0</w:t>
            </w:r>
          </w:p>
        </w:tc>
        <w:tc>
          <w:tcPr>
            <w:tcW w:w="571" w:type="pct"/>
            <w:tcBorders>
              <w:top w:val="nil"/>
              <w:left w:val="nil"/>
              <w:bottom w:val="single" w:color="000000" w:themeColor="text1" w:sz="8" w:space="0"/>
              <w:right w:val="single" w:color="auto" w:sz="8" w:space="0"/>
            </w:tcBorders>
            <w:shd w:val="clear" w:color="auto" w:fill="auto"/>
            <w:vAlign w:val="center"/>
          </w:tcPr>
          <w:p w:rsidR="00992053" w:rsidP="0053704D" w:rsidRDefault="00391CBD" w14:paraId="221CFDA1" w14:textId="109C6F1C">
            <w:pPr>
              <w:jc w:val="right"/>
              <w:rPr>
                <w:color w:val="000000"/>
                <w:sz w:val="16"/>
                <w:szCs w:val="16"/>
              </w:rPr>
            </w:pPr>
            <w:r>
              <w:rPr>
                <w:color w:val="000000"/>
                <w:sz w:val="16"/>
                <w:szCs w:val="16"/>
              </w:rPr>
              <w:t>0</w:t>
            </w:r>
          </w:p>
        </w:tc>
      </w:tr>
      <w:tr w:rsidRPr="003B5570" w:rsidR="000A7F07" w:rsidTr="00A524DE" w14:paraId="108FC667" w14:textId="77777777">
        <w:trPr>
          <w:trHeight w:val="402"/>
        </w:trPr>
        <w:tc>
          <w:tcPr>
            <w:tcW w:w="907" w:type="pct"/>
            <w:tcBorders>
              <w:top w:val="nil"/>
              <w:left w:val="single" w:color="auto" w:sz="8" w:space="0"/>
              <w:bottom w:val="single" w:color="auto" w:sz="4" w:space="0"/>
              <w:right w:val="single" w:color="auto" w:sz="8" w:space="0"/>
            </w:tcBorders>
            <w:shd w:val="clear" w:color="auto" w:fill="auto"/>
            <w:vAlign w:val="center"/>
          </w:tcPr>
          <w:p w:rsidR="000A7F07" w:rsidP="0053704D" w:rsidRDefault="000A7F07" w14:paraId="5267E2E1" w14:textId="77777777">
            <w:pPr>
              <w:rPr>
                <w:color w:val="000000"/>
                <w:sz w:val="16"/>
                <w:szCs w:val="16"/>
              </w:rPr>
            </w:pPr>
            <w:r>
              <w:rPr>
                <w:color w:val="000000"/>
                <w:sz w:val="16"/>
                <w:szCs w:val="16"/>
              </w:rPr>
              <w:t>71.106(b)</w:t>
            </w:r>
          </w:p>
        </w:tc>
        <w:tc>
          <w:tcPr>
            <w:tcW w:w="840" w:type="pct"/>
            <w:tcBorders>
              <w:top w:val="single" w:color="auto" w:sz="8" w:space="0"/>
              <w:left w:val="nil"/>
              <w:bottom w:val="single" w:color="auto" w:sz="4" w:space="0"/>
              <w:right w:val="single" w:color="auto" w:sz="8" w:space="0"/>
            </w:tcBorders>
            <w:vAlign w:val="center"/>
          </w:tcPr>
          <w:p w:rsidR="000A7F07" w:rsidP="0053704D" w:rsidRDefault="000A7F07" w14:paraId="7677BB4F" w14:textId="77777777">
            <w:pPr>
              <w:jc w:val="center"/>
              <w:rPr>
                <w:color w:val="000000"/>
                <w:sz w:val="16"/>
                <w:szCs w:val="16"/>
              </w:rPr>
            </w:pPr>
            <w:r>
              <w:rPr>
                <w:color w:val="000000"/>
                <w:sz w:val="16"/>
                <w:szCs w:val="16"/>
              </w:rPr>
              <w:t>Notify NRC every 24 months even if no changes to quality assurance program</w:t>
            </w:r>
          </w:p>
        </w:tc>
        <w:tc>
          <w:tcPr>
            <w:tcW w:w="657" w:type="pct"/>
            <w:tcBorders>
              <w:top w:val="nil"/>
              <w:left w:val="single" w:color="auto" w:sz="8" w:space="0"/>
              <w:bottom w:val="single" w:color="auto" w:sz="4" w:space="0"/>
              <w:right w:val="single" w:color="auto" w:sz="8" w:space="0"/>
            </w:tcBorders>
            <w:shd w:val="clear" w:color="auto" w:fill="auto"/>
            <w:vAlign w:val="center"/>
          </w:tcPr>
          <w:p w:rsidRPr="009329D6" w:rsidR="000A7F07" w:rsidP="0053704D" w:rsidRDefault="000A7F07" w14:paraId="6A59C347" w14:textId="77777777">
            <w:pPr>
              <w:jc w:val="right"/>
              <w:rPr>
                <w:color w:val="000000"/>
                <w:sz w:val="16"/>
                <w:szCs w:val="16"/>
              </w:rPr>
            </w:pPr>
            <w:r>
              <w:rPr>
                <w:color w:val="000000"/>
                <w:sz w:val="16"/>
                <w:szCs w:val="16"/>
              </w:rPr>
              <w:t>1.5</w:t>
            </w:r>
          </w:p>
        </w:tc>
        <w:tc>
          <w:tcPr>
            <w:tcW w:w="537" w:type="pct"/>
            <w:tcBorders>
              <w:top w:val="nil"/>
              <w:left w:val="nil"/>
              <w:bottom w:val="single" w:color="auto" w:sz="4" w:space="0"/>
              <w:right w:val="single" w:color="auto" w:sz="8" w:space="0"/>
            </w:tcBorders>
            <w:shd w:val="clear" w:color="auto" w:fill="auto"/>
            <w:vAlign w:val="center"/>
          </w:tcPr>
          <w:p w:rsidRPr="009329D6" w:rsidR="000A7F07" w:rsidP="0053704D" w:rsidRDefault="000A7F07" w14:paraId="10A5651F" w14:textId="77777777">
            <w:pPr>
              <w:jc w:val="right"/>
              <w:rPr>
                <w:color w:val="000000"/>
                <w:sz w:val="16"/>
                <w:szCs w:val="16"/>
              </w:rPr>
            </w:pPr>
            <w:r>
              <w:rPr>
                <w:color w:val="000000"/>
                <w:sz w:val="16"/>
                <w:szCs w:val="16"/>
              </w:rPr>
              <w:t>1</w:t>
            </w:r>
          </w:p>
        </w:tc>
        <w:tc>
          <w:tcPr>
            <w:tcW w:w="527" w:type="pct"/>
            <w:tcBorders>
              <w:top w:val="nil"/>
              <w:left w:val="nil"/>
              <w:bottom w:val="single" w:color="auto" w:sz="4" w:space="0"/>
              <w:right w:val="single" w:color="auto" w:sz="8" w:space="0"/>
            </w:tcBorders>
            <w:shd w:val="clear" w:color="auto" w:fill="auto"/>
            <w:vAlign w:val="center"/>
          </w:tcPr>
          <w:p w:rsidRPr="009329D6" w:rsidR="000A7F07" w:rsidP="0053704D" w:rsidRDefault="000A7F07" w14:paraId="34250013" w14:textId="77777777">
            <w:pPr>
              <w:jc w:val="right"/>
              <w:rPr>
                <w:color w:val="000000"/>
                <w:sz w:val="16"/>
                <w:szCs w:val="16"/>
              </w:rPr>
            </w:pPr>
            <w:r>
              <w:rPr>
                <w:color w:val="000000"/>
                <w:sz w:val="16"/>
                <w:szCs w:val="16"/>
              </w:rPr>
              <w:t>1.5</w:t>
            </w:r>
          </w:p>
        </w:tc>
        <w:tc>
          <w:tcPr>
            <w:tcW w:w="482" w:type="pct"/>
            <w:tcBorders>
              <w:top w:val="nil"/>
              <w:left w:val="nil"/>
              <w:bottom w:val="single" w:color="auto" w:sz="4" w:space="0"/>
              <w:right w:val="single" w:color="auto" w:sz="8" w:space="0"/>
            </w:tcBorders>
            <w:shd w:val="clear" w:color="auto" w:fill="auto"/>
            <w:vAlign w:val="center"/>
          </w:tcPr>
          <w:p w:rsidR="000A7F07" w:rsidP="0053704D" w:rsidRDefault="000A7F07" w14:paraId="0A809A05" w14:textId="77777777">
            <w:pPr>
              <w:jc w:val="right"/>
              <w:rPr>
                <w:color w:val="000000"/>
                <w:sz w:val="16"/>
                <w:szCs w:val="16"/>
              </w:rPr>
            </w:pPr>
            <w:r>
              <w:rPr>
                <w:color w:val="000000"/>
                <w:sz w:val="16"/>
                <w:szCs w:val="16"/>
              </w:rPr>
              <w:t>1</w:t>
            </w:r>
          </w:p>
        </w:tc>
        <w:tc>
          <w:tcPr>
            <w:tcW w:w="479" w:type="pct"/>
            <w:tcBorders>
              <w:top w:val="nil"/>
              <w:left w:val="nil"/>
              <w:bottom w:val="single" w:color="auto" w:sz="4" w:space="0"/>
              <w:right w:val="single" w:color="auto" w:sz="8" w:space="0"/>
            </w:tcBorders>
            <w:shd w:val="clear" w:color="auto" w:fill="auto"/>
            <w:vAlign w:val="center"/>
          </w:tcPr>
          <w:p w:rsidR="000A7F07" w:rsidP="0053704D" w:rsidRDefault="000A7F07" w14:paraId="02A15F60" w14:textId="77777777">
            <w:pPr>
              <w:jc w:val="right"/>
              <w:rPr>
                <w:color w:val="000000"/>
                <w:sz w:val="16"/>
                <w:szCs w:val="16"/>
              </w:rPr>
            </w:pPr>
            <w:r>
              <w:rPr>
                <w:color w:val="000000"/>
                <w:sz w:val="16"/>
                <w:szCs w:val="16"/>
              </w:rPr>
              <w:t>1.5</w:t>
            </w:r>
          </w:p>
        </w:tc>
        <w:tc>
          <w:tcPr>
            <w:tcW w:w="571" w:type="pct"/>
            <w:tcBorders>
              <w:top w:val="nil"/>
              <w:left w:val="nil"/>
              <w:bottom w:val="single" w:color="auto" w:sz="4" w:space="0"/>
              <w:right w:val="single" w:color="auto" w:sz="8" w:space="0"/>
            </w:tcBorders>
            <w:shd w:val="clear" w:color="auto" w:fill="auto"/>
            <w:vAlign w:val="center"/>
          </w:tcPr>
          <w:p w:rsidR="000A7F07" w:rsidP="0053704D" w:rsidRDefault="000A7F07" w14:paraId="03D4AA24" w14:textId="2441FAE0">
            <w:pPr>
              <w:jc w:val="right"/>
              <w:rPr>
                <w:color w:val="000000"/>
                <w:sz w:val="16"/>
                <w:szCs w:val="16"/>
              </w:rPr>
            </w:pPr>
            <w:r>
              <w:rPr>
                <w:color w:val="000000"/>
                <w:sz w:val="16"/>
                <w:szCs w:val="16"/>
              </w:rPr>
              <w:t>$</w:t>
            </w:r>
            <w:r w:rsidR="0047268B">
              <w:rPr>
                <w:color w:val="000000"/>
                <w:sz w:val="16"/>
                <w:szCs w:val="16"/>
              </w:rPr>
              <w:t>419</w:t>
            </w:r>
          </w:p>
        </w:tc>
      </w:tr>
      <w:tr w:rsidRPr="003B5570" w:rsidR="000A7F07" w:rsidTr="00A524DE" w14:paraId="1499A0D0" w14:textId="77777777">
        <w:trPr>
          <w:trHeight w:val="402"/>
        </w:trPr>
        <w:tc>
          <w:tcPr>
            <w:tcW w:w="907" w:type="pct"/>
            <w:tcBorders>
              <w:top w:val="single" w:color="auto" w:sz="4" w:space="0"/>
              <w:left w:val="single" w:color="auto" w:sz="8" w:space="0"/>
              <w:bottom w:val="single" w:color="auto" w:sz="8" w:space="0"/>
              <w:right w:val="single" w:color="auto" w:sz="8" w:space="0"/>
            </w:tcBorders>
            <w:shd w:val="clear" w:color="auto" w:fill="auto"/>
            <w:vAlign w:val="center"/>
          </w:tcPr>
          <w:p w:rsidRPr="009329D6" w:rsidR="000A7F07" w:rsidP="0053704D" w:rsidRDefault="000A7F07" w14:paraId="76BB2509" w14:textId="77777777">
            <w:pPr>
              <w:rPr>
                <w:color w:val="000000"/>
                <w:sz w:val="16"/>
                <w:szCs w:val="16"/>
              </w:rPr>
            </w:pPr>
            <w:r>
              <w:rPr>
                <w:color w:val="000000"/>
                <w:sz w:val="16"/>
                <w:szCs w:val="16"/>
              </w:rPr>
              <w:lastRenderedPageBreak/>
              <w:t>TOTAL</w:t>
            </w:r>
          </w:p>
        </w:tc>
        <w:tc>
          <w:tcPr>
            <w:tcW w:w="840" w:type="pct"/>
            <w:tcBorders>
              <w:top w:val="single" w:color="auto" w:sz="4" w:space="0"/>
              <w:left w:val="nil"/>
              <w:bottom w:val="single" w:color="000000" w:themeColor="text1" w:sz="8" w:space="0"/>
              <w:right w:val="single" w:color="auto" w:sz="8" w:space="0"/>
            </w:tcBorders>
            <w:vAlign w:val="center"/>
          </w:tcPr>
          <w:p w:rsidRPr="009329D6" w:rsidR="000A7F07" w:rsidP="0053704D" w:rsidRDefault="000A7F07" w14:paraId="0488D41B" w14:textId="77777777">
            <w:pPr>
              <w:jc w:val="center"/>
              <w:rPr>
                <w:color w:val="000000"/>
                <w:sz w:val="16"/>
                <w:szCs w:val="16"/>
              </w:rPr>
            </w:pPr>
          </w:p>
        </w:tc>
        <w:tc>
          <w:tcPr>
            <w:tcW w:w="657" w:type="pct"/>
            <w:tcBorders>
              <w:top w:val="single" w:color="auto" w:sz="4" w:space="0"/>
              <w:left w:val="single" w:color="auto" w:sz="8" w:space="0"/>
              <w:bottom w:val="single" w:color="000000" w:themeColor="text1" w:sz="8" w:space="0"/>
              <w:right w:val="single" w:color="auto" w:sz="8" w:space="0"/>
            </w:tcBorders>
            <w:shd w:val="clear" w:color="auto" w:fill="auto"/>
            <w:vAlign w:val="center"/>
          </w:tcPr>
          <w:p w:rsidRPr="009329D6" w:rsidR="000A7F07" w:rsidP="0053704D" w:rsidRDefault="00C20E09" w14:paraId="103DB50D" w14:textId="1242246A">
            <w:pPr>
              <w:jc w:val="right"/>
              <w:rPr>
                <w:color w:val="000000"/>
                <w:sz w:val="16"/>
                <w:szCs w:val="16"/>
              </w:rPr>
            </w:pPr>
            <w:r>
              <w:rPr>
                <w:color w:val="000000"/>
                <w:sz w:val="16"/>
                <w:szCs w:val="16"/>
              </w:rPr>
              <w:t>6.5</w:t>
            </w:r>
          </w:p>
        </w:tc>
        <w:tc>
          <w:tcPr>
            <w:tcW w:w="537" w:type="pct"/>
            <w:tcBorders>
              <w:top w:val="single" w:color="auto" w:sz="4" w:space="0"/>
              <w:left w:val="nil"/>
              <w:bottom w:val="single" w:color="000000" w:themeColor="text1" w:sz="8" w:space="0"/>
              <w:right w:val="single" w:color="auto" w:sz="8" w:space="0"/>
            </w:tcBorders>
            <w:shd w:val="clear" w:color="auto" w:fill="auto"/>
            <w:vAlign w:val="center"/>
          </w:tcPr>
          <w:p w:rsidRPr="009329D6" w:rsidR="000A7F07" w:rsidP="0053704D" w:rsidRDefault="000A7F07" w14:paraId="2A5771C4" w14:textId="77777777">
            <w:pPr>
              <w:jc w:val="right"/>
              <w:rPr>
                <w:color w:val="000000"/>
                <w:sz w:val="16"/>
                <w:szCs w:val="16"/>
              </w:rPr>
            </w:pPr>
          </w:p>
        </w:tc>
        <w:tc>
          <w:tcPr>
            <w:tcW w:w="527" w:type="pct"/>
            <w:tcBorders>
              <w:top w:val="single" w:color="auto" w:sz="4" w:space="0"/>
              <w:left w:val="nil"/>
              <w:bottom w:val="single" w:color="000000" w:themeColor="text1" w:sz="8" w:space="0"/>
              <w:right w:val="single" w:color="auto" w:sz="8" w:space="0"/>
            </w:tcBorders>
            <w:shd w:val="clear" w:color="auto" w:fill="auto"/>
            <w:vAlign w:val="center"/>
          </w:tcPr>
          <w:p w:rsidRPr="009329D6" w:rsidR="000A7F07" w:rsidP="0053704D" w:rsidRDefault="00F945B9" w14:paraId="77B42EF6" w14:textId="0E7BC376">
            <w:pPr>
              <w:jc w:val="right"/>
              <w:rPr>
                <w:color w:val="000000"/>
                <w:sz w:val="16"/>
                <w:szCs w:val="16"/>
              </w:rPr>
            </w:pPr>
            <w:r>
              <w:rPr>
                <w:color w:val="000000"/>
                <w:sz w:val="16"/>
                <w:szCs w:val="16"/>
              </w:rPr>
              <w:t>7.5</w:t>
            </w:r>
          </w:p>
        </w:tc>
        <w:tc>
          <w:tcPr>
            <w:tcW w:w="482" w:type="pct"/>
            <w:tcBorders>
              <w:top w:val="single" w:color="auto" w:sz="4" w:space="0"/>
              <w:left w:val="nil"/>
              <w:bottom w:val="single" w:color="000000" w:themeColor="text1" w:sz="8" w:space="0"/>
              <w:right w:val="single" w:color="auto" w:sz="8" w:space="0"/>
            </w:tcBorders>
            <w:shd w:val="clear" w:color="auto" w:fill="auto"/>
            <w:vAlign w:val="center"/>
          </w:tcPr>
          <w:p w:rsidRPr="009329D6" w:rsidR="000A7F07" w:rsidP="0053704D" w:rsidRDefault="000A7F07" w14:paraId="567A8D80" w14:textId="77777777">
            <w:pPr>
              <w:jc w:val="right"/>
              <w:rPr>
                <w:color w:val="000000"/>
                <w:sz w:val="16"/>
                <w:szCs w:val="16"/>
              </w:rPr>
            </w:pPr>
          </w:p>
        </w:tc>
        <w:tc>
          <w:tcPr>
            <w:tcW w:w="479" w:type="pct"/>
            <w:tcBorders>
              <w:top w:val="single" w:color="auto" w:sz="4" w:space="0"/>
              <w:left w:val="nil"/>
              <w:bottom w:val="single" w:color="000000" w:themeColor="text1" w:sz="8" w:space="0"/>
              <w:right w:val="single" w:color="auto" w:sz="8" w:space="0"/>
            </w:tcBorders>
            <w:shd w:val="clear" w:color="auto" w:fill="auto"/>
            <w:vAlign w:val="center"/>
          </w:tcPr>
          <w:p w:rsidRPr="009329D6" w:rsidR="000A7F07" w:rsidP="0053704D" w:rsidRDefault="00F945B9" w14:paraId="36934456" w14:textId="3D064E40">
            <w:pPr>
              <w:jc w:val="right"/>
              <w:rPr>
                <w:color w:val="000000"/>
                <w:sz w:val="16"/>
                <w:szCs w:val="16"/>
              </w:rPr>
            </w:pPr>
            <w:r>
              <w:rPr>
                <w:color w:val="000000"/>
                <w:sz w:val="16"/>
                <w:szCs w:val="16"/>
              </w:rPr>
              <w:t>1052.5</w:t>
            </w:r>
          </w:p>
        </w:tc>
        <w:tc>
          <w:tcPr>
            <w:tcW w:w="571" w:type="pct"/>
            <w:tcBorders>
              <w:top w:val="single" w:color="auto" w:sz="4" w:space="0"/>
              <w:left w:val="nil"/>
              <w:bottom w:val="single" w:color="000000" w:themeColor="text1" w:sz="8" w:space="0"/>
              <w:right w:val="single" w:color="auto" w:sz="8" w:space="0"/>
            </w:tcBorders>
            <w:shd w:val="clear" w:color="auto" w:fill="auto"/>
            <w:vAlign w:val="center"/>
          </w:tcPr>
          <w:p w:rsidRPr="009329D6" w:rsidR="000A7F07" w:rsidP="0053704D" w:rsidRDefault="0006649D" w14:paraId="4AB1731B" w14:textId="35F4B28F">
            <w:pPr>
              <w:jc w:val="right"/>
              <w:rPr>
                <w:color w:val="000000"/>
                <w:sz w:val="16"/>
                <w:szCs w:val="16"/>
              </w:rPr>
            </w:pPr>
            <w:r>
              <w:rPr>
                <w:color w:val="000000"/>
                <w:sz w:val="16"/>
                <w:szCs w:val="16"/>
              </w:rPr>
              <w:t>$</w:t>
            </w:r>
            <w:r w:rsidR="0047268B">
              <w:rPr>
                <w:color w:val="000000"/>
                <w:sz w:val="16"/>
                <w:szCs w:val="16"/>
              </w:rPr>
              <w:t>293,648</w:t>
            </w:r>
          </w:p>
        </w:tc>
      </w:tr>
      <w:tr w:rsidRPr="003B5570" w:rsidR="00641E3D" w:rsidTr="002E7D6B" w14:paraId="62DC0FE6" w14:textId="77777777">
        <w:trPr>
          <w:trHeight w:val="402"/>
        </w:trPr>
        <w:tc>
          <w:tcPr>
            <w:tcW w:w="5000" w:type="pct"/>
            <w:gridSpan w:val="8"/>
            <w:tcBorders>
              <w:top w:val="nil"/>
              <w:left w:val="single" w:color="auto" w:sz="8" w:space="0"/>
              <w:bottom w:val="single" w:color="auto" w:sz="4" w:space="0"/>
              <w:right w:val="single" w:color="auto" w:sz="8" w:space="0"/>
            </w:tcBorders>
            <w:shd w:val="clear" w:color="auto" w:fill="auto"/>
            <w:vAlign w:val="center"/>
          </w:tcPr>
          <w:p w:rsidR="00641E3D" w:rsidDel="0006649D" w:rsidP="1B9601BD" w:rsidRDefault="151658C5" w14:paraId="16D0C9D8" w14:textId="571DE3B3">
            <w:pPr>
              <w:jc w:val="center"/>
              <w:rPr>
                <w:b/>
                <w:bCs/>
                <w:color w:val="000000"/>
                <w:sz w:val="16"/>
                <w:szCs w:val="16"/>
              </w:rPr>
            </w:pPr>
            <w:r w:rsidRPr="1B9601BD">
              <w:rPr>
                <w:b/>
                <w:bCs/>
                <w:color w:val="000000" w:themeColor="text1"/>
                <w:sz w:val="16"/>
                <w:szCs w:val="16"/>
              </w:rPr>
              <w:t>THIRD PARTY REPORTING BURDEN</w:t>
            </w:r>
          </w:p>
        </w:tc>
      </w:tr>
      <w:tr w:rsidRPr="003B5570" w:rsidR="0091528F" w:rsidTr="002E7D6B" w14:paraId="01A7B137" w14:textId="77777777">
        <w:trPr>
          <w:trHeight w:val="402"/>
        </w:trPr>
        <w:tc>
          <w:tcPr>
            <w:tcW w:w="907" w:type="pct"/>
            <w:tcBorders>
              <w:top w:val="single" w:color="auto" w:sz="4" w:space="0"/>
              <w:left w:val="single" w:color="auto" w:sz="8" w:space="0"/>
              <w:bottom w:val="single" w:color="auto" w:sz="8" w:space="0"/>
              <w:right w:val="single" w:color="auto" w:sz="8" w:space="0"/>
            </w:tcBorders>
            <w:shd w:val="clear" w:color="auto" w:fill="auto"/>
            <w:vAlign w:val="center"/>
          </w:tcPr>
          <w:p w:rsidR="0091528F" w:rsidP="0091528F" w:rsidRDefault="0091528F" w14:paraId="78AC8E0A" w14:textId="13A5A11B">
            <w:pPr>
              <w:jc w:val="center"/>
              <w:rPr>
                <w:color w:val="000000"/>
                <w:sz w:val="16"/>
                <w:szCs w:val="16"/>
              </w:rPr>
            </w:pPr>
            <w:r>
              <w:rPr>
                <w:color w:val="000000"/>
                <w:sz w:val="16"/>
                <w:szCs w:val="18"/>
              </w:rPr>
              <w:t>Section/Form</w:t>
            </w:r>
          </w:p>
        </w:tc>
        <w:tc>
          <w:tcPr>
            <w:tcW w:w="840" w:type="pct"/>
            <w:tcBorders>
              <w:top w:val="single" w:color="auto" w:sz="4" w:space="0"/>
              <w:left w:val="nil"/>
              <w:bottom w:val="single" w:color="000000" w:themeColor="text1" w:sz="8" w:space="0"/>
              <w:right w:val="single" w:color="auto" w:sz="8" w:space="0"/>
            </w:tcBorders>
            <w:vAlign w:val="center"/>
          </w:tcPr>
          <w:p w:rsidRPr="009329D6" w:rsidR="0091528F" w:rsidP="0091528F" w:rsidRDefault="0091528F" w14:paraId="0ED20BB9" w14:textId="54224CB1">
            <w:pPr>
              <w:jc w:val="center"/>
              <w:rPr>
                <w:color w:val="000000"/>
                <w:sz w:val="16"/>
                <w:szCs w:val="16"/>
              </w:rPr>
            </w:pPr>
            <w:r w:rsidRPr="003B5570">
              <w:rPr>
                <w:color w:val="000000"/>
                <w:sz w:val="16"/>
                <w:szCs w:val="18"/>
              </w:rPr>
              <w:t>Description</w:t>
            </w:r>
          </w:p>
        </w:tc>
        <w:tc>
          <w:tcPr>
            <w:tcW w:w="657" w:type="pct"/>
            <w:tcBorders>
              <w:top w:val="single" w:color="auto" w:sz="4" w:space="0"/>
              <w:left w:val="single" w:color="auto" w:sz="8" w:space="0"/>
              <w:bottom w:val="single" w:color="000000" w:themeColor="text1" w:sz="8" w:space="0"/>
              <w:right w:val="single" w:color="auto" w:sz="8" w:space="0"/>
            </w:tcBorders>
            <w:shd w:val="clear" w:color="auto" w:fill="auto"/>
            <w:vAlign w:val="center"/>
          </w:tcPr>
          <w:p w:rsidR="0091528F" w:rsidP="0091528F" w:rsidRDefault="0091528F" w14:paraId="42E511DF" w14:textId="77777777">
            <w:pPr>
              <w:jc w:val="center"/>
              <w:rPr>
                <w:color w:val="000000"/>
                <w:sz w:val="16"/>
                <w:szCs w:val="18"/>
              </w:rPr>
            </w:pPr>
            <w:r>
              <w:rPr>
                <w:color w:val="000000"/>
                <w:sz w:val="16"/>
                <w:szCs w:val="18"/>
              </w:rPr>
              <w:t>Annualized</w:t>
            </w:r>
          </w:p>
          <w:p w:rsidR="0091528F" w:rsidDel="00C20E09" w:rsidP="0091528F" w:rsidRDefault="0091528F" w14:paraId="2B1875E0" w14:textId="68EB5D3E">
            <w:pPr>
              <w:jc w:val="center"/>
              <w:rPr>
                <w:color w:val="000000"/>
                <w:sz w:val="16"/>
                <w:szCs w:val="16"/>
              </w:rPr>
            </w:pPr>
            <w:r w:rsidRPr="003B5570">
              <w:rPr>
                <w:color w:val="000000"/>
                <w:sz w:val="16"/>
                <w:szCs w:val="18"/>
              </w:rPr>
              <w:t>Number of Respondents</w:t>
            </w:r>
          </w:p>
        </w:tc>
        <w:tc>
          <w:tcPr>
            <w:tcW w:w="537" w:type="pct"/>
            <w:tcBorders>
              <w:top w:val="single" w:color="auto" w:sz="4" w:space="0"/>
              <w:left w:val="nil"/>
              <w:bottom w:val="single" w:color="000000" w:themeColor="text1" w:sz="8" w:space="0"/>
              <w:right w:val="single" w:color="auto" w:sz="8" w:space="0"/>
            </w:tcBorders>
            <w:shd w:val="clear" w:color="auto" w:fill="auto"/>
            <w:vAlign w:val="center"/>
          </w:tcPr>
          <w:p w:rsidRPr="009329D6" w:rsidR="0091528F" w:rsidP="0091528F" w:rsidRDefault="0091528F" w14:paraId="646ED8A8" w14:textId="28650D6F">
            <w:pPr>
              <w:jc w:val="center"/>
              <w:rPr>
                <w:color w:val="000000"/>
                <w:sz w:val="16"/>
                <w:szCs w:val="16"/>
              </w:rPr>
            </w:pPr>
            <w:r w:rsidRPr="003B5570">
              <w:rPr>
                <w:color w:val="000000"/>
                <w:sz w:val="16"/>
                <w:szCs w:val="18"/>
              </w:rPr>
              <w:t>Number of Responses Per Respondent</w:t>
            </w:r>
          </w:p>
        </w:tc>
        <w:tc>
          <w:tcPr>
            <w:tcW w:w="527" w:type="pct"/>
            <w:tcBorders>
              <w:top w:val="single" w:color="auto" w:sz="4" w:space="0"/>
              <w:left w:val="nil"/>
              <w:bottom w:val="single" w:color="000000" w:themeColor="text1" w:sz="8" w:space="0"/>
              <w:right w:val="single" w:color="auto" w:sz="8" w:space="0"/>
            </w:tcBorders>
            <w:shd w:val="clear" w:color="auto" w:fill="auto"/>
            <w:vAlign w:val="center"/>
          </w:tcPr>
          <w:p w:rsidR="0091528F" w:rsidDel="00F945B9" w:rsidP="0091528F" w:rsidRDefault="0091528F" w14:paraId="0B7A8D69" w14:textId="47C1231B">
            <w:pPr>
              <w:jc w:val="center"/>
              <w:rPr>
                <w:color w:val="000000"/>
                <w:sz w:val="16"/>
                <w:szCs w:val="16"/>
              </w:rPr>
            </w:pPr>
            <w:r w:rsidRPr="003B5570">
              <w:rPr>
                <w:color w:val="000000"/>
                <w:sz w:val="16"/>
                <w:szCs w:val="18"/>
              </w:rPr>
              <w:t>Total Annual Responses</w:t>
            </w:r>
          </w:p>
        </w:tc>
        <w:tc>
          <w:tcPr>
            <w:tcW w:w="482" w:type="pct"/>
            <w:tcBorders>
              <w:top w:val="single" w:color="auto" w:sz="4" w:space="0"/>
              <w:left w:val="nil"/>
              <w:bottom w:val="single" w:color="000000" w:themeColor="text1" w:sz="8" w:space="0"/>
              <w:right w:val="single" w:color="auto" w:sz="8" w:space="0"/>
            </w:tcBorders>
            <w:shd w:val="clear" w:color="auto" w:fill="auto"/>
            <w:vAlign w:val="center"/>
          </w:tcPr>
          <w:p w:rsidRPr="009329D6" w:rsidR="0091528F" w:rsidP="0091528F" w:rsidRDefault="0091528F" w14:paraId="778FA997" w14:textId="576C9D19">
            <w:pPr>
              <w:jc w:val="center"/>
              <w:rPr>
                <w:color w:val="000000"/>
                <w:sz w:val="16"/>
                <w:szCs w:val="16"/>
              </w:rPr>
            </w:pPr>
            <w:r w:rsidRPr="003B5570">
              <w:rPr>
                <w:color w:val="000000"/>
                <w:sz w:val="16"/>
                <w:szCs w:val="18"/>
              </w:rPr>
              <w:t xml:space="preserve">Burden </w:t>
            </w:r>
            <w:proofErr w:type="spellStart"/>
            <w:r w:rsidRPr="003B5570">
              <w:rPr>
                <w:color w:val="000000"/>
                <w:sz w:val="16"/>
                <w:szCs w:val="18"/>
              </w:rPr>
              <w:t>Hrs</w:t>
            </w:r>
            <w:proofErr w:type="spellEnd"/>
            <w:r w:rsidRPr="003B5570">
              <w:rPr>
                <w:color w:val="000000"/>
                <w:sz w:val="16"/>
                <w:szCs w:val="18"/>
              </w:rPr>
              <w:t xml:space="preserve"> Per Response</w:t>
            </w:r>
            <w:r>
              <w:rPr>
                <w:color w:val="000000"/>
                <w:sz w:val="16"/>
                <w:szCs w:val="18"/>
              </w:rPr>
              <w:t xml:space="preserve"> (</w:t>
            </w:r>
            <w:proofErr w:type="spellStart"/>
            <w:r>
              <w:rPr>
                <w:color w:val="000000"/>
                <w:sz w:val="16"/>
                <w:szCs w:val="18"/>
              </w:rPr>
              <w:t>Hrs</w:t>
            </w:r>
            <w:proofErr w:type="spellEnd"/>
            <w:r>
              <w:rPr>
                <w:color w:val="000000"/>
                <w:sz w:val="16"/>
                <w:szCs w:val="18"/>
              </w:rPr>
              <w:t>)</w:t>
            </w:r>
          </w:p>
        </w:tc>
        <w:tc>
          <w:tcPr>
            <w:tcW w:w="479" w:type="pct"/>
            <w:tcBorders>
              <w:top w:val="single" w:color="auto" w:sz="4" w:space="0"/>
              <w:left w:val="nil"/>
              <w:bottom w:val="single" w:color="000000" w:themeColor="text1" w:sz="8" w:space="0"/>
              <w:right w:val="single" w:color="auto" w:sz="8" w:space="0"/>
            </w:tcBorders>
            <w:shd w:val="clear" w:color="auto" w:fill="auto"/>
            <w:vAlign w:val="center"/>
          </w:tcPr>
          <w:p w:rsidR="0091528F" w:rsidDel="00F945B9" w:rsidP="0091528F" w:rsidRDefault="0091528F" w14:paraId="5D6A0BC0" w14:textId="7CD39D32">
            <w:pPr>
              <w:jc w:val="center"/>
              <w:rPr>
                <w:color w:val="000000"/>
                <w:sz w:val="16"/>
                <w:szCs w:val="16"/>
              </w:rPr>
            </w:pPr>
            <w:r w:rsidRPr="003B5570">
              <w:rPr>
                <w:color w:val="000000"/>
                <w:sz w:val="16"/>
                <w:szCs w:val="18"/>
              </w:rPr>
              <w:t>Total Annual Burden (</w:t>
            </w:r>
            <w:proofErr w:type="spellStart"/>
            <w:r w:rsidRPr="003B5570">
              <w:rPr>
                <w:color w:val="000000"/>
                <w:sz w:val="16"/>
                <w:szCs w:val="18"/>
              </w:rPr>
              <w:t>Hrs</w:t>
            </w:r>
            <w:proofErr w:type="spellEnd"/>
            <w:r w:rsidRPr="003B5570">
              <w:rPr>
                <w:color w:val="000000"/>
                <w:sz w:val="16"/>
                <w:szCs w:val="18"/>
              </w:rPr>
              <w:t>)</w:t>
            </w:r>
          </w:p>
        </w:tc>
        <w:tc>
          <w:tcPr>
            <w:tcW w:w="571" w:type="pct"/>
            <w:tcBorders>
              <w:top w:val="single" w:color="auto" w:sz="4" w:space="0"/>
              <w:left w:val="nil"/>
              <w:bottom w:val="single" w:color="000000" w:themeColor="text1" w:sz="8" w:space="0"/>
              <w:right w:val="single" w:color="auto" w:sz="8" w:space="0"/>
            </w:tcBorders>
            <w:shd w:val="clear" w:color="auto" w:fill="auto"/>
            <w:vAlign w:val="center"/>
          </w:tcPr>
          <w:p w:rsidR="0091528F" w:rsidDel="0006649D" w:rsidP="0091528F" w:rsidRDefault="0091528F" w14:paraId="4851B55E" w14:textId="43F78F2C">
            <w:pPr>
              <w:jc w:val="center"/>
              <w:rPr>
                <w:color w:val="000000"/>
                <w:sz w:val="16"/>
                <w:szCs w:val="16"/>
              </w:rPr>
            </w:pPr>
            <w:r w:rsidRPr="003B5570">
              <w:rPr>
                <w:color w:val="000000"/>
                <w:sz w:val="16"/>
                <w:szCs w:val="18"/>
              </w:rPr>
              <w:t>Cost @ $2</w:t>
            </w:r>
            <w:r>
              <w:rPr>
                <w:color w:val="000000"/>
                <w:sz w:val="16"/>
                <w:szCs w:val="18"/>
              </w:rPr>
              <w:t>7</w:t>
            </w:r>
            <w:r w:rsidR="00045966">
              <w:rPr>
                <w:color w:val="000000"/>
                <w:sz w:val="16"/>
                <w:szCs w:val="18"/>
              </w:rPr>
              <w:t>9</w:t>
            </w:r>
            <w:r w:rsidRPr="003B5570">
              <w:rPr>
                <w:color w:val="000000"/>
                <w:sz w:val="16"/>
                <w:szCs w:val="18"/>
              </w:rPr>
              <w:t>/</w:t>
            </w:r>
            <w:proofErr w:type="spellStart"/>
            <w:r w:rsidRPr="003B5570">
              <w:rPr>
                <w:color w:val="000000"/>
                <w:sz w:val="16"/>
                <w:szCs w:val="18"/>
              </w:rPr>
              <w:t>Hr</w:t>
            </w:r>
            <w:proofErr w:type="spellEnd"/>
          </w:p>
        </w:tc>
      </w:tr>
      <w:tr w:rsidRPr="003B5570" w:rsidR="00641E3D" w:rsidTr="1B9601BD" w14:paraId="3F283D66"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641E3D" w:rsidP="0053704D" w:rsidRDefault="003330DC" w14:paraId="186CB6CD" w14:textId="67FB0EA8">
            <w:pPr>
              <w:rPr>
                <w:color w:val="000000"/>
                <w:sz w:val="16"/>
                <w:szCs w:val="16"/>
              </w:rPr>
            </w:pPr>
            <w:r>
              <w:rPr>
                <w:color w:val="000000"/>
                <w:sz w:val="16"/>
                <w:szCs w:val="16"/>
              </w:rPr>
              <w:t>71.95(b)</w:t>
            </w:r>
          </w:p>
        </w:tc>
        <w:tc>
          <w:tcPr>
            <w:tcW w:w="840" w:type="pct"/>
            <w:tcBorders>
              <w:top w:val="single" w:color="auto" w:sz="8" w:space="0"/>
              <w:left w:val="nil"/>
              <w:bottom w:val="single" w:color="000000" w:themeColor="text1" w:sz="8" w:space="0"/>
              <w:right w:val="single" w:color="auto" w:sz="8" w:space="0"/>
            </w:tcBorders>
            <w:vAlign w:val="center"/>
          </w:tcPr>
          <w:p w:rsidRPr="009329D6" w:rsidR="00641E3D" w:rsidP="0053704D" w:rsidRDefault="002E3D7E" w14:paraId="1DADA467" w14:textId="3E872884">
            <w:pPr>
              <w:jc w:val="center"/>
              <w:rPr>
                <w:color w:val="000000"/>
                <w:sz w:val="16"/>
                <w:szCs w:val="16"/>
              </w:rPr>
            </w:pPr>
            <w:r>
              <w:rPr>
                <w:color w:val="000000"/>
                <w:sz w:val="16"/>
                <w:szCs w:val="16"/>
              </w:rPr>
              <w:t>Submit a written report of instances where conditions in the CoC were not followed during shipment</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641E3D" w:rsidDel="00C20E09" w:rsidP="0053704D" w:rsidRDefault="00E93113" w14:paraId="2988B34D" w14:textId="39A3D9E1">
            <w:pPr>
              <w:jc w:val="right"/>
              <w:rPr>
                <w:color w:val="000000"/>
                <w:sz w:val="16"/>
                <w:szCs w:val="16"/>
              </w:rPr>
            </w:pPr>
            <w:r>
              <w:rPr>
                <w:color w:val="000000"/>
                <w:sz w:val="16"/>
                <w:szCs w:val="16"/>
              </w:rPr>
              <w:t>78</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E93113" w14:paraId="7C534711" w14:textId="02FB3E20">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2E3D7E" w14:paraId="21DA5CED" w14:textId="6E845BFA">
            <w:pPr>
              <w:jc w:val="right"/>
              <w:rPr>
                <w:color w:val="000000"/>
                <w:sz w:val="16"/>
                <w:szCs w:val="16"/>
              </w:rPr>
            </w:pPr>
            <w:r>
              <w:rPr>
                <w:color w:val="000000"/>
                <w:sz w:val="16"/>
                <w:szCs w:val="16"/>
              </w:rPr>
              <w:t>78</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211338" w14:paraId="512BAC6A" w14:textId="6E2F6BE3">
            <w:pPr>
              <w:jc w:val="right"/>
              <w:rPr>
                <w:color w:val="000000"/>
                <w:sz w:val="16"/>
                <w:szCs w:val="16"/>
              </w:rPr>
            </w:pPr>
            <w:r>
              <w:rPr>
                <w:color w:val="000000"/>
                <w:sz w:val="16"/>
                <w:szCs w:val="16"/>
              </w:rPr>
              <w:t>3</w:t>
            </w:r>
          </w:p>
        </w:tc>
        <w:tc>
          <w:tcPr>
            <w:tcW w:w="479"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045966" w14:paraId="138240D1" w14:textId="68FE01E8">
            <w:pPr>
              <w:jc w:val="right"/>
              <w:rPr>
                <w:color w:val="000000"/>
                <w:sz w:val="16"/>
                <w:szCs w:val="16"/>
              </w:rPr>
            </w:pPr>
            <w:r>
              <w:rPr>
                <w:color w:val="000000"/>
                <w:sz w:val="16"/>
                <w:szCs w:val="16"/>
              </w:rPr>
              <w:t>234</w:t>
            </w:r>
          </w:p>
        </w:tc>
        <w:tc>
          <w:tcPr>
            <w:tcW w:w="571" w:type="pct"/>
            <w:tcBorders>
              <w:top w:val="nil"/>
              <w:left w:val="nil"/>
              <w:bottom w:val="single" w:color="000000" w:themeColor="text1" w:sz="8" w:space="0"/>
              <w:right w:val="single" w:color="auto" w:sz="8" w:space="0"/>
            </w:tcBorders>
            <w:shd w:val="clear" w:color="auto" w:fill="auto"/>
            <w:vAlign w:val="center"/>
          </w:tcPr>
          <w:p w:rsidR="00641E3D" w:rsidDel="0006649D" w:rsidP="0053704D" w:rsidRDefault="00FD3EAE" w14:paraId="06FD5165" w14:textId="6D7D3617">
            <w:pPr>
              <w:jc w:val="right"/>
              <w:rPr>
                <w:color w:val="000000"/>
                <w:sz w:val="16"/>
                <w:szCs w:val="16"/>
              </w:rPr>
            </w:pPr>
            <w:r>
              <w:rPr>
                <w:color w:val="000000"/>
                <w:sz w:val="16"/>
                <w:szCs w:val="16"/>
              </w:rPr>
              <w:t>$65,286</w:t>
            </w:r>
          </w:p>
        </w:tc>
      </w:tr>
      <w:tr w:rsidRPr="003B5570" w:rsidR="00245733" w:rsidTr="1B9601BD" w14:paraId="3CB838AA"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245733" w:rsidP="00245733" w:rsidRDefault="00245733" w14:paraId="52EACC3C" w14:textId="29A030A8">
            <w:pPr>
              <w:rPr>
                <w:color w:val="000000"/>
                <w:sz w:val="16"/>
                <w:szCs w:val="16"/>
              </w:rPr>
            </w:pPr>
            <w:r>
              <w:rPr>
                <w:color w:val="000000"/>
                <w:sz w:val="16"/>
                <w:szCs w:val="16"/>
              </w:rPr>
              <w:t>71.97</w:t>
            </w:r>
          </w:p>
        </w:tc>
        <w:tc>
          <w:tcPr>
            <w:tcW w:w="840" w:type="pct"/>
            <w:tcBorders>
              <w:top w:val="single" w:color="auto" w:sz="8" w:space="0"/>
              <w:left w:val="nil"/>
              <w:bottom w:val="single" w:color="000000" w:themeColor="text1" w:sz="8" w:space="0"/>
              <w:right w:val="single" w:color="auto" w:sz="8" w:space="0"/>
            </w:tcBorders>
            <w:vAlign w:val="center"/>
          </w:tcPr>
          <w:p w:rsidR="00245733" w:rsidP="00245733" w:rsidRDefault="00245733" w14:paraId="14AA07F2" w14:textId="2C2E62B4">
            <w:pPr>
              <w:jc w:val="center"/>
              <w:rPr>
                <w:color w:val="000000"/>
                <w:sz w:val="16"/>
                <w:szCs w:val="16"/>
              </w:rPr>
            </w:pPr>
            <w:r>
              <w:rPr>
                <w:color w:val="000000"/>
                <w:sz w:val="16"/>
                <w:szCs w:val="16"/>
              </w:rPr>
              <w:t xml:space="preserve">Submit </w:t>
            </w:r>
            <w:r w:rsidRPr="006A4C97">
              <w:rPr>
                <w:color w:val="000000"/>
                <w:sz w:val="16"/>
                <w:szCs w:val="16"/>
              </w:rPr>
              <w:t xml:space="preserve">advance notification </w:t>
            </w:r>
            <w:r>
              <w:rPr>
                <w:color w:val="000000"/>
                <w:sz w:val="16"/>
                <w:szCs w:val="16"/>
              </w:rPr>
              <w:t xml:space="preserve">to State and Tribal officials </w:t>
            </w:r>
            <w:r w:rsidRPr="006A4C97">
              <w:rPr>
                <w:color w:val="000000"/>
                <w:sz w:val="16"/>
                <w:szCs w:val="16"/>
              </w:rPr>
              <w:t>for shipments of spent fuel</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245733" w:rsidP="00245733" w:rsidRDefault="00C5511C" w14:paraId="59FF82D7" w14:textId="68711BDE">
            <w:pPr>
              <w:jc w:val="right"/>
              <w:rPr>
                <w:color w:val="000000"/>
                <w:sz w:val="16"/>
                <w:szCs w:val="16"/>
              </w:rPr>
            </w:pPr>
            <w:r>
              <w:rPr>
                <w:color w:val="000000"/>
                <w:sz w:val="16"/>
                <w:szCs w:val="16"/>
              </w:rPr>
              <w:t>7</w:t>
            </w:r>
          </w:p>
        </w:tc>
        <w:tc>
          <w:tcPr>
            <w:tcW w:w="537" w:type="pct"/>
            <w:tcBorders>
              <w:top w:val="nil"/>
              <w:left w:val="nil"/>
              <w:bottom w:val="single" w:color="000000" w:themeColor="text1" w:sz="8" w:space="0"/>
              <w:right w:val="single" w:color="auto" w:sz="8" w:space="0"/>
            </w:tcBorders>
            <w:shd w:val="clear" w:color="auto" w:fill="auto"/>
            <w:vAlign w:val="center"/>
          </w:tcPr>
          <w:p w:rsidR="00245733" w:rsidP="00245733" w:rsidRDefault="007C17CB" w14:paraId="3A4B473A" w14:textId="5344C74F">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00245733" w:rsidP="00245733" w:rsidRDefault="007C17CB" w14:paraId="74F83CBB" w14:textId="3E02305B">
            <w:pPr>
              <w:jc w:val="right"/>
              <w:rPr>
                <w:color w:val="000000"/>
                <w:sz w:val="16"/>
                <w:szCs w:val="16"/>
              </w:rPr>
            </w:pPr>
            <w:r>
              <w:rPr>
                <w:color w:val="000000"/>
                <w:sz w:val="16"/>
                <w:szCs w:val="16"/>
              </w:rPr>
              <w:t>7</w:t>
            </w:r>
          </w:p>
        </w:tc>
        <w:tc>
          <w:tcPr>
            <w:tcW w:w="482" w:type="pct"/>
            <w:tcBorders>
              <w:top w:val="nil"/>
              <w:left w:val="nil"/>
              <w:bottom w:val="single" w:color="000000" w:themeColor="text1" w:sz="8" w:space="0"/>
              <w:right w:val="single" w:color="auto" w:sz="8" w:space="0"/>
            </w:tcBorders>
            <w:shd w:val="clear" w:color="auto" w:fill="auto"/>
            <w:vAlign w:val="center"/>
          </w:tcPr>
          <w:p w:rsidR="00245733" w:rsidP="00245733" w:rsidRDefault="000434B0" w14:paraId="723EC8C4" w14:textId="04A84701">
            <w:pPr>
              <w:jc w:val="right"/>
              <w:rPr>
                <w:color w:val="000000"/>
                <w:sz w:val="16"/>
                <w:szCs w:val="16"/>
              </w:rPr>
            </w:pPr>
            <w:r>
              <w:rPr>
                <w:color w:val="000000"/>
                <w:sz w:val="16"/>
                <w:szCs w:val="16"/>
              </w:rPr>
              <w:t>-</w:t>
            </w:r>
            <w:r w:rsidR="00C33B14">
              <w:rPr>
                <w:color w:val="000000"/>
                <w:sz w:val="16"/>
                <w:szCs w:val="16"/>
              </w:rPr>
              <w:t>0.9</w:t>
            </w:r>
          </w:p>
        </w:tc>
        <w:tc>
          <w:tcPr>
            <w:tcW w:w="479" w:type="pct"/>
            <w:tcBorders>
              <w:top w:val="nil"/>
              <w:left w:val="nil"/>
              <w:bottom w:val="single" w:color="000000" w:themeColor="text1" w:sz="8" w:space="0"/>
              <w:right w:val="single" w:color="auto" w:sz="8" w:space="0"/>
            </w:tcBorders>
            <w:shd w:val="clear" w:color="auto" w:fill="auto"/>
            <w:vAlign w:val="center"/>
          </w:tcPr>
          <w:p w:rsidR="00245733" w:rsidP="00245733" w:rsidRDefault="000434B0" w14:paraId="6DA90AB3" w14:textId="193C6542">
            <w:pPr>
              <w:jc w:val="right"/>
              <w:rPr>
                <w:color w:val="000000"/>
                <w:sz w:val="16"/>
                <w:szCs w:val="16"/>
              </w:rPr>
            </w:pPr>
            <w:r>
              <w:rPr>
                <w:color w:val="000000"/>
                <w:sz w:val="16"/>
                <w:szCs w:val="16"/>
              </w:rPr>
              <w:t>-6</w:t>
            </w:r>
            <w:r w:rsidR="003E0903">
              <w:rPr>
                <w:color w:val="000000"/>
                <w:sz w:val="16"/>
                <w:szCs w:val="16"/>
              </w:rPr>
              <w:t>.3</w:t>
            </w:r>
          </w:p>
        </w:tc>
        <w:tc>
          <w:tcPr>
            <w:tcW w:w="571" w:type="pct"/>
            <w:tcBorders>
              <w:top w:val="nil"/>
              <w:left w:val="nil"/>
              <w:bottom w:val="single" w:color="000000" w:themeColor="text1" w:sz="8" w:space="0"/>
              <w:right w:val="single" w:color="auto" w:sz="8" w:space="0"/>
            </w:tcBorders>
            <w:shd w:val="clear" w:color="auto" w:fill="auto"/>
            <w:vAlign w:val="center"/>
          </w:tcPr>
          <w:p w:rsidR="00245733" w:rsidP="00245733" w:rsidRDefault="00EF43F4" w14:paraId="090C6CD7" w14:textId="07303B32">
            <w:pPr>
              <w:jc w:val="right"/>
              <w:rPr>
                <w:color w:val="000000"/>
                <w:sz w:val="16"/>
                <w:szCs w:val="16"/>
              </w:rPr>
            </w:pPr>
            <w:r>
              <w:rPr>
                <w:color w:val="000000"/>
                <w:sz w:val="16"/>
                <w:szCs w:val="16"/>
              </w:rPr>
              <w:t>-$1,</w:t>
            </w:r>
            <w:r w:rsidR="00C67CC8">
              <w:rPr>
                <w:color w:val="000000"/>
                <w:sz w:val="16"/>
                <w:szCs w:val="16"/>
              </w:rPr>
              <w:t>758</w:t>
            </w:r>
          </w:p>
        </w:tc>
      </w:tr>
      <w:tr w:rsidRPr="003B5570" w:rsidR="00641E3D" w:rsidTr="1B9601BD" w14:paraId="21405B06"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641E3D" w:rsidP="0053704D" w:rsidRDefault="00992053" w14:paraId="420B6AF9" w14:textId="267B9077">
            <w:pPr>
              <w:rPr>
                <w:color w:val="000000"/>
                <w:sz w:val="16"/>
                <w:szCs w:val="16"/>
              </w:rPr>
            </w:pPr>
            <w:r>
              <w:rPr>
                <w:color w:val="000000"/>
                <w:sz w:val="16"/>
                <w:szCs w:val="16"/>
              </w:rPr>
              <w:t>71.101(c)</w:t>
            </w:r>
          </w:p>
        </w:tc>
        <w:tc>
          <w:tcPr>
            <w:tcW w:w="840" w:type="pct"/>
            <w:tcBorders>
              <w:top w:val="single" w:color="auto" w:sz="8" w:space="0"/>
              <w:left w:val="nil"/>
              <w:bottom w:val="single" w:color="000000" w:themeColor="text1" w:sz="8" w:space="0"/>
              <w:right w:val="single" w:color="auto" w:sz="8" w:space="0"/>
            </w:tcBorders>
            <w:vAlign w:val="center"/>
          </w:tcPr>
          <w:p w:rsidRPr="009329D6" w:rsidR="00641E3D" w:rsidP="0053704D" w:rsidRDefault="007E1073" w14:paraId="4B13A328" w14:textId="483F5A61">
            <w:pPr>
              <w:jc w:val="center"/>
              <w:rPr>
                <w:color w:val="000000"/>
                <w:sz w:val="16"/>
                <w:szCs w:val="16"/>
              </w:rPr>
            </w:pPr>
            <w:r>
              <w:rPr>
                <w:color w:val="000000"/>
                <w:sz w:val="16"/>
                <w:szCs w:val="16"/>
              </w:rPr>
              <w:t xml:space="preserve">Submit a </w:t>
            </w:r>
            <w:r w:rsidR="005647A8">
              <w:rPr>
                <w:color w:val="000000"/>
                <w:sz w:val="16"/>
                <w:szCs w:val="16"/>
              </w:rPr>
              <w:t>description of the quality assurance plan for review</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641E3D" w:rsidDel="00C20E09" w:rsidP="0053704D" w:rsidRDefault="00E211FD" w14:paraId="4B67010F" w14:textId="6E743C91">
            <w:pPr>
              <w:jc w:val="right"/>
              <w:rPr>
                <w:color w:val="000000"/>
                <w:sz w:val="16"/>
                <w:szCs w:val="16"/>
              </w:rPr>
            </w:pPr>
            <w:r>
              <w:rPr>
                <w:color w:val="000000"/>
                <w:sz w:val="16"/>
                <w:szCs w:val="16"/>
              </w:rPr>
              <w:t>0.5</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E75682" w14:paraId="49A079E2" w14:textId="02E91484">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E75682" w14:paraId="2C70C059" w14:textId="64CA7083">
            <w:pPr>
              <w:jc w:val="right"/>
              <w:rPr>
                <w:color w:val="000000"/>
                <w:sz w:val="16"/>
                <w:szCs w:val="16"/>
              </w:rPr>
            </w:pPr>
            <w:r>
              <w:rPr>
                <w:color w:val="000000"/>
                <w:sz w:val="16"/>
                <w:szCs w:val="16"/>
              </w:rPr>
              <w:t>0.5</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8C4B10" w14:paraId="7C8FE9B9" w14:textId="6F4A41EF">
            <w:pPr>
              <w:jc w:val="right"/>
              <w:rPr>
                <w:color w:val="000000"/>
                <w:sz w:val="16"/>
                <w:szCs w:val="16"/>
              </w:rPr>
            </w:pPr>
            <w:r>
              <w:rPr>
                <w:color w:val="000000"/>
                <w:sz w:val="16"/>
                <w:szCs w:val="16"/>
              </w:rPr>
              <w:t>120</w:t>
            </w:r>
          </w:p>
        </w:tc>
        <w:tc>
          <w:tcPr>
            <w:tcW w:w="479"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8C4B10" w14:paraId="380664C7" w14:textId="6E529999">
            <w:pPr>
              <w:jc w:val="right"/>
              <w:rPr>
                <w:color w:val="000000"/>
                <w:sz w:val="16"/>
                <w:szCs w:val="16"/>
              </w:rPr>
            </w:pPr>
            <w:r>
              <w:rPr>
                <w:color w:val="000000"/>
                <w:sz w:val="16"/>
                <w:szCs w:val="16"/>
              </w:rPr>
              <w:t>60</w:t>
            </w:r>
          </w:p>
        </w:tc>
        <w:tc>
          <w:tcPr>
            <w:tcW w:w="571" w:type="pct"/>
            <w:tcBorders>
              <w:top w:val="nil"/>
              <w:left w:val="nil"/>
              <w:bottom w:val="single" w:color="000000" w:themeColor="text1" w:sz="8" w:space="0"/>
              <w:right w:val="single" w:color="auto" w:sz="8" w:space="0"/>
            </w:tcBorders>
            <w:shd w:val="clear" w:color="auto" w:fill="auto"/>
            <w:vAlign w:val="center"/>
          </w:tcPr>
          <w:p w:rsidR="00641E3D" w:rsidDel="0006649D" w:rsidP="0053704D" w:rsidRDefault="008C4B10" w14:paraId="685508D2" w14:textId="3A94CB8E">
            <w:pPr>
              <w:jc w:val="right"/>
              <w:rPr>
                <w:color w:val="000000"/>
                <w:sz w:val="16"/>
                <w:szCs w:val="16"/>
              </w:rPr>
            </w:pPr>
            <w:r>
              <w:rPr>
                <w:color w:val="000000"/>
                <w:sz w:val="16"/>
                <w:szCs w:val="16"/>
              </w:rPr>
              <w:t>$</w:t>
            </w:r>
            <w:r w:rsidR="00724F4C">
              <w:rPr>
                <w:color w:val="000000"/>
                <w:sz w:val="16"/>
                <w:szCs w:val="16"/>
              </w:rPr>
              <w:t>16,740</w:t>
            </w:r>
          </w:p>
        </w:tc>
      </w:tr>
      <w:tr w:rsidRPr="003B5570" w:rsidR="00641E3D" w:rsidTr="1B9601BD" w14:paraId="03BC8FBB"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641E3D" w:rsidP="0053704D" w:rsidRDefault="00992053" w14:paraId="447B367A" w14:textId="2DF90C8F">
            <w:pPr>
              <w:rPr>
                <w:color w:val="000000"/>
                <w:sz w:val="16"/>
                <w:szCs w:val="16"/>
              </w:rPr>
            </w:pPr>
            <w:r>
              <w:rPr>
                <w:color w:val="000000"/>
                <w:sz w:val="16"/>
                <w:szCs w:val="16"/>
              </w:rPr>
              <w:t>71.106(a)</w:t>
            </w:r>
          </w:p>
        </w:tc>
        <w:tc>
          <w:tcPr>
            <w:tcW w:w="840" w:type="pct"/>
            <w:tcBorders>
              <w:top w:val="single" w:color="auto" w:sz="8" w:space="0"/>
              <w:left w:val="nil"/>
              <w:bottom w:val="single" w:color="000000" w:themeColor="text1" w:sz="8" w:space="0"/>
              <w:right w:val="single" w:color="auto" w:sz="8" w:space="0"/>
            </w:tcBorders>
            <w:vAlign w:val="center"/>
          </w:tcPr>
          <w:p w:rsidRPr="009329D6" w:rsidR="00641E3D" w:rsidP="0053704D" w:rsidRDefault="00ED3C47" w14:paraId="45E5B718" w14:textId="5D0C530C">
            <w:pPr>
              <w:jc w:val="center"/>
              <w:rPr>
                <w:color w:val="000000"/>
                <w:sz w:val="16"/>
                <w:szCs w:val="16"/>
              </w:rPr>
            </w:pPr>
            <w:r>
              <w:rPr>
                <w:color w:val="000000"/>
                <w:sz w:val="16"/>
                <w:szCs w:val="16"/>
              </w:rPr>
              <w:t xml:space="preserve">Submit a description of </w:t>
            </w:r>
            <w:r w:rsidR="009D7AEC">
              <w:rPr>
                <w:color w:val="000000"/>
                <w:sz w:val="16"/>
                <w:szCs w:val="16"/>
              </w:rPr>
              <w:t xml:space="preserve">a </w:t>
            </w:r>
            <w:r>
              <w:rPr>
                <w:color w:val="000000"/>
                <w:sz w:val="16"/>
                <w:szCs w:val="16"/>
              </w:rPr>
              <w:t>revis</w:t>
            </w:r>
            <w:r w:rsidR="009D7AEC">
              <w:rPr>
                <w:color w:val="000000"/>
                <w:sz w:val="16"/>
                <w:szCs w:val="16"/>
              </w:rPr>
              <w:t>ion to a</w:t>
            </w:r>
            <w:r>
              <w:rPr>
                <w:color w:val="000000"/>
                <w:sz w:val="16"/>
                <w:szCs w:val="16"/>
              </w:rPr>
              <w:t xml:space="preserve"> quality assurance plan that reduces commitments</w:t>
            </w: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641E3D" w:rsidDel="00C20E09" w:rsidP="0053704D" w:rsidRDefault="00681431" w14:paraId="18ADE638" w14:textId="63AC9DFD">
            <w:pPr>
              <w:jc w:val="right"/>
              <w:rPr>
                <w:color w:val="000000"/>
                <w:sz w:val="16"/>
                <w:szCs w:val="16"/>
              </w:rPr>
            </w:pPr>
            <w:r>
              <w:rPr>
                <w:color w:val="000000"/>
                <w:sz w:val="16"/>
                <w:szCs w:val="16"/>
              </w:rPr>
              <w:t>1</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681431" w14:paraId="6265A54B" w14:textId="7035E6AC">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681431" w14:paraId="70831BDD" w14:textId="36A72DCB">
            <w:pPr>
              <w:jc w:val="right"/>
              <w:rPr>
                <w:color w:val="000000"/>
                <w:sz w:val="16"/>
                <w:szCs w:val="16"/>
              </w:rPr>
            </w:pPr>
            <w:r>
              <w:rPr>
                <w:color w:val="000000"/>
                <w:sz w:val="16"/>
                <w:szCs w:val="16"/>
              </w:rPr>
              <w:t>1</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735B97" w14:paraId="70D0E385" w14:textId="4751D1BB">
            <w:pPr>
              <w:jc w:val="right"/>
              <w:rPr>
                <w:color w:val="000000"/>
                <w:sz w:val="16"/>
                <w:szCs w:val="16"/>
              </w:rPr>
            </w:pPr>
            <w:r>
              <w:rPr>
                <w:color w:val="000000"/>
                <w:sz w:val="16"/>
                <w:szCs w:val="16"/>
              </w:rPr>
              <w:t>25</w:t>
            </w:r>
          </w:p>
        </w:tc>
        <w:tc>
          <w:tcPr>
            <w:tcW w:w="479"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735B97" w14:paraId="18B5576F" w14:textId="5EDE62A7">
            <w:pPr>
              <w:jc w:val="right"/>
              <w:rPr>
                <w:color w:val="000000"/>
                <w:sz w:val="16"/>
                <w:szCs w:val="16"/>
              </w:rPr>
            </w:pPr>
            <w:r>
              <w:rPr>
                <w:color w:val="000000"/>
                <w:sz w:val="16"/>
                <w:szCs w:val="16"/>
              </w:rPr>
              <w:t>25</w:t>
            </w:r>
          </w:p>
        </w:tc>
        <w:tc>
          <w:tcPr>
            <w:tcW w:w="571" w:type="pct"/>
            <w:tcBorders>
              <w:top w:val="nil"/>
              <w:left w:val="nil"/>
              <w:bottom w:val="single" w:color="000000" w:themeColor="text1" w:sz="8" w:space="0"/>
              <w:right w:val="single" w:color="auto" w:sz="8" w:space="0"/>
            </w:tcBorders>
            <w:shd w:val="clear" w:color="auto" w:fill="auto"/>
            <w:vAlign w:val="center"/>
          </w:tcPr>
          <w:p w:rsidR="00641E3D" w:rsidDel="0006649D" w:rsidP="0053704D" w:rsidRDefault="00735B97" w14:paraId="7FE8095F" w14:textId="3E8F1C8A">
            <w:pPr>
              <w:jc w:val="right"/>
              <w:rPr>
                <w:color w:val="000000"/>
                <w:sz w:val="16"/>
                <w:szCs w:val="16"/>
              </w:rPr>
            </w:pPr>
            <w:r>
              <w:rPr>
                <w:color w:val="000000"/>
                <w:sz w:val="16"/>
                <w:szCs w:val="16"/>
              </w:rPr>
              <w:t>$</w:t>
            </w:r>
            <w:r w:rsidR="007C738E">
              <w:rPr>
                <w:color w:val="000000"/>
                <w:sz w:val="16"/>
                <w:szCs w:val="16"/>
              </w:rPr>
              <w:t>6,975</w:t>
            </w:r>
          </w:p>
        </w:tc>
      </w:tr>
      <w:tr w:rsidRPr="003B5570" w:rsidR="00641E3D" w:rsidTr="1B9601BD" w14:paraId="3D410B30"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641E3D" w:rsidP="0053704D" w:rsidRDefault="00992053" w14:paraId="6EFEAA93" w14:textId="406C02CB">
            <w:pPr>
              <w:rPr>
                <w:color w:val="000000"/>
                <w:sz w:val="16"/>
                <w:szCs w:val="16"/>
              </w:rPr>
            </w:pPr>
            <w:r>
              <w:rPr>
                <w:color w:val="000000"/>
                <w:sz w:val="16"/>
                <w:szCs w:val="16"/>
              </w:rPr>
              <w:t>71</w:t>
            </w:r>
            <w:r w:rsidR="009D7AEC">
              <w:rPr>
                <w:color w:val="000000"/>
                <w:sz w:val="16"/>
                <w:szCs w:val="16"/>
              </w:rPr>
              <w:t>.</w:t>
            </w:r>
            <w:r>
              <w:rPr>
                <w:color w:val="000000"/>
                <w:sz w:val="16"/>
                <w:szCs w:val="16"/>
              </w:rPr>
              <w:t>106(b)</w:t>
            </w:r>
          </w:p>
        </w:tc>
        <w:tc>
          <w:tcPr>
            <w:tcW w:w="840" w:type="pct"/>
            <w:tcBorders>
              <w:top w:val="single" w:color="auto" w:sz="8" w:space="0"/>
              <w:left w:val="nil"/>
              <w:bottom w:val="single" w:color="000000" w:themeColor="text1" w:sz="8" w:space="0"/>
              <w:right w:val="single" w:color="auto" w:sz="8" w:space="0"/>
            </w:tcBorders>
            <w:vAlign w:val="center"/>
          </w:tcPr>
          <w:p w:rsidRPr="009329D6" w:rsidR="00641E3D" w:rsidP="0053704D" w:rsidRDefault="009D7AEC" w14:paraId="3AE2B0A7" w14:textId="2713874C">
            <w:pPr>
              <w:jc w:val="center"/>
              <w:rPr>
                <w:color w:val="000000"/>
                <w:sz w:val="16"/>
                <w:szCs w:val="16"/>
              </w:rPr>
            </w:pPr>
            <w:bookmarkStart w:name="_Hlk48549026" w:id="1"/>
            <w:r>
              <w:rPr>
                <w:color w:val="000000"/>
                <w:sz w:val="16"/>
                <w:szCs w:val="16"/>
              </w:rPr>
              <w:t xml:space="preserve">Submit a biennial report of </w:t>
            </w:r>
            <w:r w:rsidR="00473965">
              <w:rPr>
                <w:color w:val="000000"/>
                <w:sz w:val="16"/>
                <w:szCs w:val="16"/>
              </w:rPr>
              <w:t>changes to quality assurance plans that do not reduce commitments</w:t>
            </w:r>
            <w:r w:rsidR="00B15EE7">
              <w:rPr>
                <w:color w:val="000000"/>
                <w:sz w:val="16"/>
                <w:szCs w:val="16"/>
              </w:rPr>
              <w:t xml:space="preserve"> or if no changes </w:t>
            </w:r>
            <w:r w:rsidR="00A35BFB">
              <w:rPr>
                <w:color w:val="000000"/>
                <w:sz w:val="16"/>
                <w:szCs w:val="16"/>
              </w:rPr>
              <w:t>were made</w:t>
            </w:r>
            <w:bookmarkEnd w:id="1"/>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641E3D" w:rsidDel="00C20E09" w:rsidP="0053704D" w:rsidRDefault="00CF5149" w14:paraId="259FDC33" w14:textId="59717CAB">
            <w:pPr>
              <w:jc w:val="right"/>
              <w:rPr>
                <w:color w:val="000000"/>
                <w:sz w:val="16"/>
                <w:szCs w:val="16"/>
              </w:rPr>
            </w:pPr>
            <w:r>
              <w:rPr>
                <w:color w:val="000000"/>
                <w:sz w:val="16"/>
                <w:szCs w:val="16"/>
              </w:rPr>
              <w:t>10</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681431" w14:paraId="00CF48BA" w14:textId="5EDF46AC">
            <w:pPr>
              <w:jc w:val="right"/>
              <w:rPr>
                <w:color w:val="000000"/>
                <w:sz w:val="16"/>
                <w:szCs w:val="16"/>
              </w:rPr>
            </w:pPr>
            <w:r>
              <w:rPr>
                <w:color w:val="000000"/>
                <w:sz w:val="16"/>
                <w:szCs w:val="16"/>
              </w:rPr>
              <w:t>1</w:t>
            </w:r>
          </w:p>
        </w:tc>
        <w:tc>
          <w:tcPr>
            <w:tcW w:w="527"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735B97" w14:paraId="2B25C3E4" w14:textId="6302FD46">
            <w:pPr>
              <w:jc w:val="right"/>
              <w:rPr>
                <w:color w:val="000000"/>
                <w:sz w:val="16"/>
                <w:szCs w:val="16"/>
              </w:rPr>
            </w:pPr>
            <w:r>
              <w:rPr>
                <w:color w:val="000000"/>
                <w:sz w:val="16"/>
                <w:szCs w:val="16"/>
              </w:rPr>
              <w:t>10</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641E3D" w:rsidP="0053704D" w:rsidRDefault="00735B97" w14:paraId="62D8BDC5" w14:textId="04BB4285">
            <w:pPr>
              <w:jc w:val="right"/>
              <w:rPr>
                <w:color w:val="000000"/>
                <w:sz w:val="16"/>
                <w:szCs w:val="16"/>
              </w:rPr>
            </w:pPr>
            <w:r>
              <w:rPr>
                <w:color w:val="000000"/>
                <w:sz w:val="16"/>
                <w:szCs w:val="16"/>
              </w:rPr>
              <w:t>1</w:t>
            </w:r>
          </w:p>
        </w:tc>
        <w:tc>
          <w:tcPr>
            <w:tcW w:w="479" w:type="pct"/>
            <w:tcBorders>
              <w:top w:val="nil"/>
              <w:left w:val="nil"/>
              <w:bottom w:val="single" w:color="000000" w:themeColor="text1" w:sz="8" w:space="0"/>
              <w:right w:val="single" w:color="auto" w:sz="8" w:space="0"/>
            </w:tcBorders>
            <w:shd w:val="clear" w:color="auto" w:fill="auto"/>
            <w:vAlign w:val="center"/>
          </w:tcPr>
          <w:p w:rsidR="00641E3D" w:rsidDel="00F945B9" w:rsidP="0053704D" w:rsidRDefault="00735B97" w14:paraId="2FF51FE6" w14:textId="04085CC6">
            <w:pPr>
              <w:jc w:val="right"/>
              <w:rPr>
                <w:color w:val="000000"/>
                <w:sz w:val="16"/>
                <w:szCs w:val="16"/>
              </w:rPr>
            </w:pPr>
            <w:r>
              <w:rPr>
                <w:color w:val="000000"/>
                <w:sz w:val="16"/>
                <w:szCs w:val="16"/>
              </w:rPr>
              <w:t>10</w:t>
            </w:r>
          </w:p>
        </w:tc>
        <w:tc>
          <w:tcPr>
            <w:tcW w:w="571" w:type="pct"/>
            <w:tcBorders>
              <w:top w:val="nil"/>
              <w:left w:val="nil"/>
              <w:bottom w:val="single" w:color="000000" w:themeColor="text1" w:sz="8" w:space="0"/>
              <w:right w:val="single" w:color="auto" w:sz="8" w:space="0"/>
            </w:tcBorders>
            <w:shd w:val="clear" w:color="auto" w:fill="auto"/>
            <w:vAlign w:val="center"/>
          </w:tcPr>
          <w:p w:rsidR="00641E3D" w:rsidDel="0006649D" w:rsidP="0053704D" w:rsidRDefault="007C738E" w14:paraId="69D576F2" w14:textId="430A1D25">
            <w:pPr>
              <w:jc w:val="right"/>
              <w:rPr>
                <w:color w:val="000000"/>
                <w:sz w:val="16"/>
                <w:szCs w:val="16"/>
              </w:rPr>
            </w:pPr>
            <w:r>
              <w:rPr>
                <w:color w:val="000000"/>
                <w:sz w:val="16"/>
                <w:szCs w:val="16"/>
              </w:rPr>
              <w:t>$2,790</w:t>
            </w:r>
          </w:p>
        </w:tc>
      </w:tr>
      <w:tr w:rsidRPr="003B5570" w:rsidR="00992053" w:rsidTr="1B9601BD" w14:paraId="2A1B5695"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00992053" w:rsidP="0053704D" w:rsidRDefault="00992053" w14:paraId="66B33F4B" w14:textId="6E49955C">
            <w:pPr>
              <w:rPr>
                <w:color w:val="000000"/>
                <w:sz w:val="16"/>
                <w:szCs w:val="16"/>
              </w:rPr>
            </w:pPr>
            <w:r>
              <w:rPr>
                <w:color w:val="000000"/>
                <w:sz w:val="16"/>
                <w:szCs w:val="16"/>
              </w:rPr>
              <w:t>TOTAL</w:t>
            </w:r>
          </w:p>
        </w:tc>
        <w:tc>
          <w:tcPr>
            <w:tcW w:w="840" w:type="pct"/>
            <w:tcBorders>
              <w:top w:val="single" w:color="auto" w:sz="8" w:space="0"/>
              <w:left w:val="nil"/>
              <w:bottom w:val="single" w:color="000000" w:themeColor="text1" w:sz="8" w:space="0"/>
              <w:right w:val="single" w:color="auto" w:sz="8" w:space="0"/>
            </w:tcBorders>
            <w:vAlign w:val="center"/>
          </w:tcPr>
          <w:p w:rsidRPr="009329D6" w:rsidR="00992053" w:rsidP="0053704D" w:rsidRDefault="00992053" w14:paraId="0590028E" w14:textId="77777777">
            <w:pPr>
              <w:jc w:val="center"/>
              <w:rPr>
                <w:color w:val="000000"/>
                <w:sz w:val="16"/>
                <w:szCs w:val="16"/>
              </w:rPr>
            </w:pPr>
          </w:p>
        </w:tc>
        <w:tc>
          <w:tcPr>
            <w:tcW w:w="657" w:type="pct"/>
            <w:tcBorders>
              <w:top w:val="nil"/>
              <w:left w:val="single" w:color="auto" w:sz="8" w:space="0"/>
              <w:bottom w:val="single" w:color="000000" w:themeColor="text1" w:sz="8" w:space="0"/>
              <w:right w:val="single" w:color="auto" w:sz="8" w:space="0"/>
            </w:tcBorders>
            <w:shd w:val="clear" w:color="auto" w:fill="auto"/>
            <w:vAlign w:val="center"/>
          </w:tcPr>
          <w:p w:rsidR="00992053" w:rsidDel="00C20E09" w:rsidP="0053704D" w:rsidRDefault="00A11D23" w14:paraId="00BEC10E" w14:textId="724019EB">
            <w:pPr>
              <w:jc w:val="right"/>
              <w:rPr>
                <w:color w:val="000000"/>
                <w:sz w:val="16"/>
                <w:szCs w:val="16"/>
              </w:rPr>
            </w:pPr>
            <w:r>
              <w:rPr>
                <w:color w:val="000000"/>
                <w:sz w:val="16"/>
                <w:szCs w:val="16"/>
              </w:rPr>
              <w:t>96.5</w:t>
            </w:r>
          </w:p>
        </w:tc>
        <w:tc>
          <w:tcPr>
            <w:tcW w:w="537" w:type="pct"/>
            <w:tcBorders>
              <w:top w:val="nil"/>
              <w:left w:val="nil"/>
              <w:bottom w:val="single" w:color="000000" w:themeColor="text1" w:sz="8" w:space="0"/>
              <w:right w:val="single" w:color="auto" w:sz="8" w:space="0"/>
            </w:tcBorders>
            <w:shd w:val="clear" w:color="auto" w:fill="auto"/>
            <w:vAlign w:val="center"/>
          </w:tcPr>
          <w:p w:rsidRPr="009329D6" w:rsidR="00992053" w:rsidP="0053704D" w:rsidRDefault="00992053" w14:paraId="3100E3CB" w14:textId="77777777">
            <w:pPr>
              <w:jc w:val="right"/>
              <w:rPr>
                <w:color w:val="000000"/>
                <w:sz w:val="16"/>
                <w:szCs w:val="16"/>
              </w:rPr>
            </w:pPr>
          </w:p>
        </w:tc>
        <w:tc>
          <w:tcPr>
            <w:tcW w:w="527" w:type="pct"/>
            <w:tcBorders>
              <w:top w:val="nil"/>
              <w:left w:val="nil"/>
              <w:bottom w:val="single" w:color="000000" w:themeColor="text1" w:sz="8" w:space="0"/>
              <w:right w:val="single" w:color="auto" w:sz="8" w:space="0"/>
            </w:tcBorders>
            <w:shd w:val="clear" w:color="auto" w:fill="auto"/>
            <w:vAlign w:val="center"/>
          </w:tcPr>
          <w:p w:rsidR="00992053" w:rsidDel="00F945B9" w:rsidP="0053704D" w:rsidRDefault="00A11D23" w14:paraId="0A2FB4F2" w14:textId="7E2E6F58">
            <w:pPr>
              <w:jc w:val="right"/>
              <w:rPr>
                <w:color w:val="000000"/>
                <w:sz w:val="16"/>
                <w:szCs w:val="16"/>
              </w:rPr>
            </w:pPr>
            <w:r>
              <w:rPr>
                <w:color w:val="000000"/>
                <w:sz w:val="16"/>
                <w:szCs w:val="16"/>
              </w:rPr>
              <w:t>96.5</w:t>
            </w:r>
          </w:p>
        </w:tc>
        <w:tc>
          <w:tcPr>
            <w:tcW w:w="482" w:type="pct"/>
            <w:tcBorders>
              <w:top w:val="nil"/>
              <w:left w:val="nil"/>
              <w:bottom w:val="single" w:color="000000" w:themeColor="text1" w:sz="8" w:space="0"/>
              <w:right w:val="single" w:color="auto" w:sz="8" w:space="0"/>
            </w:tcBorders>
            <w:shd w:val="clear" w:color="auto" w:fill="auto"/>
            <w:vAlign w:val="center"/>
          </w:tcPr>
          <w:p w:rsidRPr="009329D6" w:rsidR="00992053" w:rsidP="0053704D" w:rsidRDefault="00992053" w14:paraId="633D70DB" w14:textId="77777777">
            <w:pPr>
              <w:jc w:val="right"/>
              <w:rPr>
                <w:color w:val="000000"/>
                <w:sz w:val="16"/>
                <w:szCs w:val="16"/>
              </w:rPr>
            </w:pPr>
          </w:p>
        </w:tc>
        <w:tc>
          <w:tcPr>
            <w:tcW w:w="479" w:type="pct"/>
            <w:tcBorders>
              <w:top w:val="nil"/>
              <w:left w:val="nil"/>
              <w:bottom w:val="single" w:color="000000" w:themeColor="text1" w:sz="8" w:space="0"/>
              <w:right w:val="single" w:color="auto" w:sz="8" w:space="0"/>
            </w:tcBorders>
            <w:shd w:val="clear" w:color="auto" w:fill="auto"/>
            <w:vAlign w:val="center"/>
          </w:tcPr>
          <w:p w:rsidR="00992053" w:rsidDel="00F945B9" w:rsidP="0053704D" w:rsidRDefault="003428CF" w14:paraId="471F67F3" w14:textId="7D543760">
            <w:pPr>
              <w:jc w:val="right"/>
              <w:rPr>
                <w:color w:val="000000"/>
                <w:sz w:val="16"/>
                <w:szCs w:val="16"/>
              </w:rPr>
            </w:pPr>
            <w:r>
              <w:rPr>
                <w:color w:val="000000"/>
                <w:sz w:val="16"/>
                <w:szCs w:val="16"/>
              </w:rPr>
              <w:t>32</w:t>
            </w:r>
            <w:r w:rsidR="003E0903">
              <w:rPr>
                <w:color w:val="000000"/>
                <w:sz w:val="16"/>
                <w:szCs w:val="16"/>
              </w:rPr>
              <w:t>2.7</w:t>
            </w:r>
          </w:p>
        </w:tc>
        <w:tc>
          <w:tcPr>
            <w:tcW w:w="571" w:type="pct"/>
            <w:tcBorders>
              <w:top w:val="nil"/>
              <w:left w:val="nil"/>
              <w:bottom w:val="single" w:color="000000" w:themeColor="text1" w:sz="8" w:space="0"/>
              <w:right w:val="single" w:color="auto" w:sz="8" w:space="0"/>
            </w:tcBorders>
            <w:shd w:val="clear" w:color="auto" w:fill="auto"/>
            <w:vAlign w:val="center"/>
          </w:tcPr>
          <w:p w:rsidR="00992053" w:rsidDel="0006649D" w:rsidP="0053704D" w:rsidRDefault="001F7470" w14:paraId="1AE3A41B" w14:textId="647A0AE6">
            <w:pPr>
              <w:jc w:val="right"/>
              <w:rPr>
                <w:color w:val="000000"/>
                <w:sz w:val="16"/>
                <w:szCs w:val="16"/>
              </w:rPr>
            </w:pPr>
            <w:r>
              <w:rPr>
                <w:color w:val="000000"/>
                <w:sz w:val="16"/>
                <w:szCs w:val="16"/>
              </w:rPr>
              <w:t>$90,</w:t>
            </w:r>
            <w:r w:rsidR="00AD658A">
              <w:rPr>
                <w:color w:val="000000"/>
                <w:sz w:val="16"/>
                <w:szCs w:val="16"/>
              </w:rPr>
              <w:t>033</w:t>
            </w:r>
          </w:p>
        </w:tc>
      </w:tr>
      <w:tr w:rsidRPr="003B5570" w:rsidR="000A7F07" w:rsidTr="1B9601BD" w14:paraId="75584E7B" w14:textId="77777777">
        <w:trPr>
          <w:trHeight w:val="402"/>
        </w:trPr>
        <w:tc>
          <w:tcPr>
            <w:tcW w:w="5000" w:type="pct"/>
            <w:gridSpan w:val="8"/>
            <w:tcBorders>
              <w:top w:val="nil"/>
              <w:left w:val="single" w:color="auto" w:sz="8" w:space="0"/>
              <w:bottom w:val="single" w:color="auto" w:sz="8" w:space="0"/>
              <w:right w:val="single" w:color="auto" w:sz="8" w:space="0"/>
            </w:tcBorders>
            <w:shd w:val="clear" w:color="auto" w:fill="auto"/>
            <w:vAlign w:val="center"/>
          </w:tcPr>
          <w:p w:rsidRPr="003B5570" w:rsidR="000A7F07" w:rsidP="1B9601BD" w:rsidRDefault="000A7F07" w14:paraId="64BB0268" w14:textId="77777777">
            <w:pPr>
              <w:jc w:val="center"/>
              <w:rPr>
                <w:b/>
                <w:bCs/>
                <w:color w:val="000000"/>
                <w:sz w:val="18"/>
                <w:szCs w:val="18"/>
              </w:rPr>
            </w:pPr>
            <w:r w:rsidRPr="1B9601BD">
              <w:rPr>
                <w:b/>
                <w:bCs/>
                <w:color w:val="000000" w:themeColor="text1"/>
                <w:sz w:val="18"/>
                <w:szCs w:val="18"/>
              </w:rPr>
              <w:t>RECORDKEEPING</w:t>
            </w:r>
          </w:p>
        </w:tc>
      </w:tr>
      <w:tr w:rsidRPr="003B5570" w:rsidR="000A7F07" w:rsidTr="1B9601BD" w14:paraId="4870846E"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Pr="009329D6" w:rsidR="000A7F07" w:rsidP="00D43454" w:rsidRDefault="000A7F07" w14:paraId="57C7CACE" w14:textId="77777777">
            <w:pPr>
              <w:jc w:val="center"/>
              <w:rPr>
                <w:color w:val="000000"/>
                <w:sz w:val="16"/>
                <w:szCs w:val="16"/>
              </w:rPr>
            </w:pPr>
            <w:r>
              <w:rPr>
                <w:color w:val="000000"/>
                <w:sz w:val="16"/>
                <w:szCs w:val="16"/>
              </w:rPr>
              <w:t>Section/Form</w:t>
            </w:r>
          </w:p>
        </w:tc>
        <w:tc>
          <w:tcPr>
            <w:tcW w:w="840" w:type="pct"/>
            <w:tcBorders>
              <w:top w:val="single" w:color="auto" w:sz="8" w:space="0"/>
              <w:left w:val="nil"/>
              <w:bottom w:val="single" w:color="000000" w:themeColor="text1" w:sz="8" w:space="0"/>
              <w:right w:val="single" w:color="auto" w:sz="8" w:space="0"/>
            </w:tcBorders>
            <w:vAlign w:val="center"/>
          </w:tcPr>
          <w:p w:rsidRPr="009329D6" w:rsidR="000A7F07" w:rsidP="00D43454" w:rsidRDefault="000A7F07" w14:paraId="26BC2012" w14:textId="77777777">
            <w:pPr>
              <w:jc w:val="center"/>
              <w:rPr>
                <w:color w:val="000000"/>
                <w:sz w:val="16"/>
                <w:szCs w:val="16"/>
              </w:rPr>
            </w:pPr>
            <w:r>
              <w:rPr>
                <w:color w:val="000000"/>
                <w:sz w:val="16"/>
                <w:szCs w:val="16"/>
              </w:rPr>
              <w:t>Description</w:t>
            </w:r>
          </w:p>
        </w:tc>
        <w:tc>
          <w:tcPr>
            <w:tcW w:w="1194" w:type="pct"/>
            <w:gridSpan w:val="2"/>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D43454" w:rsidRDefault="000A7F07" w14:paraId="1A272736" w14:textId="77777777">
            <w:pPr>
              <w:jc w:val="center"/>
              <w:rPr>
                <w:color w:val="000000"/>
                <w:sz w:val="16"/>
                <w:szCs w:val="16"/>
              </w:rPr>
            </w:pPr>
            <w:r>
              <w:rPr>
                <w:color w:val="000000"/>
                <w:sz w:val="16"/>
                <w:szCs w:val="16"/>
              </w:rPr>
              <w:t>Annualized Number of Recordkeepers</w:t>
            </w:r>
          </w:p>
        </w:tc>
        <w:tc>
          <w:tcPr>
            <w:tcW w:w="1009" w:type="pct"/>
            <w:gridSpan w:val="2"/>
            <w:tcBorders>
              <w:top w:val="nil"/>
              <w:left w:val="nil"/>
              <w:bottom w:val="single" w:color="000000" w:themeColor="text1" w:sz="8" w:space="0"/>
              <w:right w:val="single" w:color="auto" w:sz="8" w:space="0"/>
            </w:tcBorders>
            <w:shd w:val="clear" w:color="auto" w:fill="auto"/>
            <w:vAlign w:val="center"/>
          </w:tcPr>
          <w:p w:rsidRPr="009329D6" w:rsidR="000A7F07" w:rsidP="00D43454" w:rsidRDefault="000A7F07" w14:paraId="6B17FFD5" w14:textId="77777777">
            <w:pPr>
              <w:jc w:val="center"/>
              <w:rPr>
                <w:color w:val="000000"/>
                <w:sz w:val="16"/>
                <w:szCs w:val="16"/>
              </w:rPr>
            </w:pPr>
            <w:r>
              <w:rPr>
                <w:color w:val="000000"/>
                <w:sz w:val="16"/>
                <w:szCs w:val="16"/>
              </w:rPr>
              <w:t>Burden Hrs. Per Recordkeeper (</w:t>
            </w:r>
            <w:proofErr w:type="spellStart"/>
            <w:r>
              <w:rPr>
                <w:color w:val="000000"/>
                <w:sz w:val="16"/>
                <w:szCs w:val="16"/>
              </w:rPr>
              <w:t>Hrs</w:t>
            </w:r>
            <w:proofErr w:type="spellEnd"/>
            <w:r>
              <w:rPr>
                <w:color w:val="000000"/>
                <w:sz w:val="16"/>
                <w:szCs w:val="16"/>
              </w:rPr>
              <w:t>)</w:t>
            </w:r>
          </w:p>
        </w:tc>
        <w:tc>
          <w:tcPr>
            <w:tcW w:w="479" w:type="pct"/>
            <w:tcBorders>
              <w:top w:val="nil"/>
              <w:left w:val="nil"/>
              <w:bottom w:val="single" w:color="000000" w:themeColor="text1" w:sz="8" w:space="0"/>
              <w:right w:val="single" w:color="auto" w:sz="8" w:space="0"/>
            </w:tcBorders>
            <w:shd w:val="clear" w:color="auto" w:fill="auto"/>
            <w:vAlign w:val="center"/>
          </w:tcPr>
          <w:p w:rsidRPr="009329D6" w:rsidR="000A7F07" w:rsidP="00D43454" w:rsidRDefault="000A7F07" w14:paraId="12BE7795" w14:textId="77777777">
            <w:pPr>
              <w:jc w:val="center"/>
              <w:rPr>
                <w:color w:val="000000"/>
                <w:sz w:val="16"/>
                <w:szCs w:val="16"/>
              </w:rPr>
            </w:pPr>
            <w:r>
              <w:rPr>
                <w:color w:val="000000"/>
                <w:sz w:val="16"/>
                <w:szCs w:val="16"/>
              </w:rPr>
              <w:t>Total Annual Burden (</w:t>
            </w:r>
            <w:proofErr w:type="spellStart"/>
            <w:r>
              <w:rPr>
                <w:color w:val="000000"/>
                <w:sz w:val="16"/>
                <w:szCs w:val="16"/>
              </w:rPr>
              <w:t>Hrs</w:t>
            </w:r>
            <w:proofErr w:type="spellEnd"/>
            <w:r>
              <w:rPr>
                <w:color w:val="000000"/>
                <w:sz w:val="16"/>
                <w:szCs w:val="16"/>
              </w:rPr>
              <w:t>)</w:t>
            </w:r>
          </w:p>
        </w:tc>
        <w:tc>
          <w:tcPr>
            <w:tcW w:w="571" w:type="pct"/>
            <w:tcBorders>
              <w:top w:val="nil"/>
              <w:left w:val="nil"/>
              <w:bottom w:val="single" w:color="000000" w:themeColor="text1" w:sz="8" w:space="0"/>
              <w:right w:val="single" w:color="auto" w:sz="8" w:space="0"/>
            </w:tcBorders>
            <w:shd w:val="clear" w:color="auto" w:fill="auto"/>
            <w:vAlign w:val="center"/>
          </w:tcPr>
          <w:p w:rsidRPr="009329D6" w:rsidR="000A7F07" w:rsidP="00D43454" w:rsidRDefault="000A7F07" w14:paraId="2FFE4381" w14:textId="342D865D">
            <w:pPr>
              <w:jc w:val="center"/>
              <w:rPr>
                <w:color w:val="000000"/>
                <w:sz w:val="16"/>
                <w:szCs w:val="16"/>
              </w:rPr>
            </w:pPr>
            <w:r w:rsidRPr="003B5570">
              <w:rPr>
                <w:color w:val="000000"/>
                <w:sz w:val="16"/>
                <w:szCs w:val="18"/>
              </w:rPr>
              <w:t>Cost @ $</w:t>
            </w:r>
            <w:r w:rsidR="001F7470">
              <w:rPr>
                <w:color w:val="000000"/>
                <w:sz w:val="16"/>
                <w:szCs w:val="18"/>
              </w:rPr>
              <w:t>279</w:t>
            </w:r>
            <w:r w:rsidRPr="003B5570">
              <w:rPr>
                <w:color w:val="000000"/>
                <w:sz w:val="16"/>
                <w:szCs w:val="18"/>
              </w:rPr>
              <w:t>/</w:t>
            </w:r>
            <w:proofErr w:type="spellStart"/>
            <w:r w:rsidRPr="003B5570">
              <w:rPr>
                <w:color w:val="000000"/>
                <w:sz w:val="16"/>
                <w:szCs w:val="18"/>
              </w:rPr>
              <w:t>Hr</w:t>
            </w:r>
            <w:proofErr w:type="spellEnd"/>
          </w:p>
        </w:tc>
      </w:tr>
      <w:tr w:rsidRPr="003B5570" w:rsidR="000A7F07" w:rsidTr="1B9601BD" w14:paraId="3663357B"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Pr="009329D6" w:rsidR="000A7F07" w:rsidP="0053704D" w:rsidRDefault="000A7F07" w14:paraId="1F953E43" w14:textId="77777777">
            <w:pPr>
              <w:rPr>
                <w:color w:val="000000"/>
                <w:sz w:val="16"/>
                <w:szCs w:val="16"/>
              </w:rPr>
            </w:pPr>
            <w:r w:rsidRPr="0E6A69A3">
              <w:rPr>
                <w:color w:val="000000" w:themeColor="text1"/>
                <w:sz w:val="16"/>
                <w:szCs w:val="16"/>
              </w:rPr>
              <w:t>71.106(b)</w:t>
            </w:r>
          </w:p>
        </w:tc>
        <w:tc>
          <w:tcPr>
            <w:tcW w:w="840" w:type="pct"/>
            <w:tcBorders>
              <w:top w:val="single" w:color="auto" w:sz="8" w:space="0"/>
              <w:left w:val="nil"/>
              <w:bottom w:val="single" w:color="000000" w:themeColor="text1" w:sz="8" w:space="0"/>
              <w:right w:val="single" w:color="auto" w:sz="8" w:space="0"/>
            </w:tcBorders>
            <w:vAlign w:val="center"/>
          </w:tcPr>
          <w:p w:rsidRPr="009329D6" w:rsidR="000A7F07" w:rsidP="0053704D" w:rsidRDefault="000A7F07" w14:paraId="3B826310" w14:textId="77777777">
            <w:pPr>
              <w:jc w:val="center"/>
              <w:rPr>
                <w:color w:val="000000"/>
                <w:sz w:val="16"/>
                <w:szCs w:val="16"/>
              </w:rPr>
            </w:pPr>
            <w:r w:rsidRPr="0E6A69A3">
              <w:rPr>
                <w:color w:val="000000" w:themeColor="text1"/>
                <w:sz w:val="16"/>
                <w:szCs w:val="16"/>
              </w:rPr>
              <w:t>Retain a record of the NRC notification every 24 months even if no changes to the quality assurance program</w:t>
            </w:r>
          </w:p>
        </w:tc>
        <w:tc>
          <w:tcPr>
            <w:tcW w:w="1194" w:type="pct"/>
            <w:gridSpan w:val="2"/>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53704D" w:rsidRDefault="000A7F07" w14:paraId="141F24AC" w14:textId="77777777">
            <w:pPr>
              <w:jc w:val="right"/>
              <w:rPr>
                <w:color w:val="000000"/>
                <w:sz w:val="16"/>
                <w:szCs w:val="16"/>
              </w:rPr>
            </w:pPr>
            <w:r w:rsidRPr="0E6A69A3">
              <w:rPr>
                <w:color w:val="000000" w:themeColor="text1"/>
                <w:sz w:val="16"/>
                <w:szCs w:val="16"/>
              </w:rPr>
              <w:t>1.5</w:t>
            </w:r>
          </w:p>
        </w:tc>
        <w:tc>
          <w:tcPr>
            <w:tcW w:w="1009" w:type="pct"/>
            <w:gridSpan w:val="2"/>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09CE9562" w14:textId="77777777">
            <w:pPr>
              <w:jc w:val="right"/>
              <w:rPr>
                <w:color w:val="000000"/>
                <w:sz w:val="16"/>
                <w:szCs w:val="16"/>
              </w:rPr>
            </w:pPr>
            <w:r w:rsidRPr="0E6A69A3">
              <w:rPr>
                <w:color w:val="000000" w:themeColor="text1"/>
                <w:sz w:val="16"/>
                <w:szCs w:val="16"/>
              </w:rPr>
              <w:t>1</w:t>
            </w:r>
          </w:p>
        </w:tc>
        <w:tc>
          <w:tcPr>
            <w:tcW w:w="479"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55457B3C" w14:textId="77777777">
            <w:pPr>
              <w:jc w:val="right"/>
              <w:rPr>
                <w:color w:val="000000"/>
                <w:sz w:val="16"/>
                <w:szCs w:val="16"/>
              </w:rPr>
            </w:pPr>
            <w:r w:rsidRPr="0E6A69A3">
              <w:rPr>
                <w:color w:val="000000" w:themeColor="text1"/>
                <w:sz w:val="16"/>
                <w:szCs w:val="16"/>
              </w:rPr>
              <w:t>1.5</w:t>
            </w:r>
          </w:p>
        </w:tc>
        <w:tc>
          <w:tcPr>
            <w:tcW w:w="571"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65959432" w14:textId="51886D49">
            <w:pPr>
              <w:jc w:val="right"/>
              <w:rPr>
                <w:color w:val="000000"/>
                <w:sz w:val="16"/>
                <w:szCs w:val="16"/>
              </w:rPr>
            </w:pPr>
            <w:r w:rsidRPr="0E6A69A3">
              <w:rPr>
                <w:color w:val="000000" w:themeColor="text1"/>
                <w:sz w:val="16"/>
                <w:szCs w:val="16"/>
              </w:rPr>
              <w:t>$</w:t>
            </w:r>
            <w:r w:rsidR="001F7470">
              <w:rPr>
                <w:color w:val="000000" w:themeColor="text1"/>
                <w:sz w:val="16"/>
                <w:szCs w:val="16"/>
              </w:rPr>
              <w:t>419</w:t>
            </w:r>
          </w:p>
        </w:tc>
      </w:tr>
      <w:tr w:rsidRPr="003B5570" w:rsidR="000A7F07" w:rsidTr="1B9601BD" w14:paraId="4007726B" w14:textId="77777777">
        <w:trPr>
          <w:trHeight w:val="402"/>
        </w:trPr>
        <w:tc>
          <w:tcPr>
            <w:tcW w:w="907" w:type="pct"/>
            <w:tcBorders>
              <w:top w:val="nil"/>
              <w:left w:val="single" w:color="auto" w:sz="8" w:space="0"/>
              <w:bottom w:val="single" w:color="auto" w:sz="8" w:space="0"/>
              <w:right w:val="single" w:color="auto" w:sz="8" w:space="0"/>
            </w:tcBorders>
            <w:shd w:val="clear" w:color="auto" w:fill="auto"/>
            <w:vAlign w:val="center"/>
          </w:tcPr>
          <w:p w:rsidRPr="009329D6" w:rsidR="000A7F07" w:rsidP="0053704D" w:rsidRDefault="000A7F07" w14:paraId="17077811" w14:textId="77777777">
            <w:pPr>
              <w:rPr>
                <w:color w:val="000000"/>
                <w:sz w:val="16"/>
                <w:szCs w:val="16"/>
              </w:rPr>
            </w:pPr>
            <w:r>
              <w:rPr>
                <w:color w:val="000000"/>
                <w:sz w:val="16"/>
                <w:szCs w:val="16"/>
              </w:rPr>
              <w:t>TOTAL</w:t>
            </w:r>
          </w:p>
        </w:tc>
        <w:tc>
          <w:tcPr>
            <w:tcW w:w="840" w:type="pct"/>
            <w:tcBorders>
              <w:top w:val="single" w:color="auto" w:sz="8" w:space="0"/>
              <w:left w:val="nil"/>
              <w:bottom w:val="single" w:color="000000" w:themeColor="text1" w:sz="8" w:space="0"/>
              <w:right w:val="single" w:color="auto" w:sz="8" w:space="0"/>
            </w:tcBorders>
            <w:vAlign w:val="center"/>
          </w:tcPr>
          <w:p w:rsidRPr="009329D6" w:rsidR="000A7F07" w:rsidP="0053704D" w:rsidRDefault="000A7F07" w14:paraId="1495E97D" w14:textId="77777777">
            <w:pPr>
              <w:jc w:val="center"/>
              <w:rPr>
                <w:color w:val="000000"/>
                <w:sz w:val="16"/>
                <w:szCs w:val="16"/>
              </w:rPr>
            </w:pPr>
          </w:p>
        </w:tc>
        <w:tc>
          <w:tcPr>
            <w:tcW w:w="1194" w:type="pct"/>
            <w:gridSpan w:val="2"/>
            <w:tcBorders>
              <w:top w:val="nil"/>
              <w:left w:val="single" w:color="auto" w:sz="8" w:space="0"/>
              <w:bottom w:val="single" w:color="000000" w:themeColor="text1" w:sz="8" w:space="0"/>
              <w:right w:val="single" w:color="auto" w:sz="8" w:space="0"/>
            </w:tcBorders>
            <w:shd w:val="clear" w:color="auto" w:fill="auto"/>
            <w:vAlign w:val="center"/>
          </w:tcPr>
          <w:p w:rsidRPr="009329D6" w:rsidR="000A7F07" w:rsidP="0053704D" w:rsidRDefault="000A7F07" w14:paraId="562B148F" w14:textId="77777777">
            <w:pPr>
              <w:jc w:val="right"/>
              <w:rPr>
                <w:color w:val="000000"/>
                <w:sz w:val="16"/>
                <w:szCs w:val="16"/>
              </w:rPr>
            </w:pPr>
            <w:r w:rsidRPr="0E6A69A3">
              <w:rPr>
                <w:color w:val="000000" w:themeColor="text1"/>
                <w:sz w:val="16"/>
                <w:szCs w:val="16"/>
              </w:rPr>
              <w:t>1.5</w:t>
            </w:r>
          </w:p>
        </w:tc>
        <w:tc>
          <w:tcPr>
            <w:tcW w:w="1009" w:type="pct"/>
            <w:gridSpan w:val="2"/>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4DC09BF9" w14:textId="77777777">
            <w:pPr>
              <w:jc w:val="right"/>
              <w:rPr>
                <w:color w:val="000000"/>
                <w:sz w:val="16"/>
                <w:szCs w:val="16"/>
              </w:rPr>
            </w:pPr>
            <w:r w:rsidRPr="0E6A69A3">
              <w:rPr>
                <w:color w:val="000000" w:themeColor="text1"/>
                <w:sz w:val="16"/>
                <w:szCs w:val="16"/>
              </w:rPr>
              <w:t>1</w:t>
            </w:r>
          </w:p>
        </w:tc>
        <w:tc>
          <w:tcPr>
            <w:tcW w:w="479"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712C7A1E" w14:textId="77777777">
            <w:pPr>
              <w:jc w:val="right"/>
              <w:rPr>
                <w:color w:val="000000"/>
                <w:sz w:val="16"/>
                <w:szCs w:val="16"/>
              </w:rPr>
            </w:pPr>
            <w:r w:rsidRPr="0E6A69A3">
              <w:rPr>
                <w:color w:val="000000" w:themeColor="text1"/>
                <w:sz w:val="16"/>
                <w:szCs w:val="16"/>
              </w:rPr>
              <w:t>1.5</w:t>
            </w:r>
          </w:p>
        </w:tc>
        <w:tc>
          <w:tcPr>
            <w:tcW w:w="571" w:type="pct"/>
            <w:tcBorders>
              <w:top w:val="nil"/>
              <w:left w:val="nil"/>
              <w:bottom w:val="single" w:color="000000" w:themeColor="text1" w:sz="8" w:space="0"/>
              <w:right w:val="single" w:color="auto" w:sz="8" w:space="0"/>
            </w:tcBorders>
            <w:shd w:val="clear" w:color="auto" w:fill="auto"/>
            <w:vAlign w:val="center"/>
          </w:tcPr>
          <w:p w:rsidRPr="009329D6" w:rsidR="000A7F07" w:rsidP="0053704D" w:rsidRDefault="000A7F07" w14:paraId="5255C8DC" w14:textId="79D558A4">
            <w:pPr>
              <w:jc w:val="right"/>
              <w:rPr>
                <w:color w:val="000000"/>
                <w:sz w:val="16"/>
                <w:szCs w:val="16"/>
              </w:rPr>
            </w:pPr>
            <w:r w:rsidRPr="0E6A69A3">
              <w:rPr>
                <w:color w:val="000000" w:themeColor="text1"/>
                <w:sz w:val="16"/>
                <w:szCs w:val="16"/>
              </w:rPr>
              <w:t>$</w:t>
            </w:r>
            <w:r w:rsidR="001F7470">
              <w:rPr>
                <w:color w:val="000000" w:themeColor="text1"/>
                <w:sz w:val="16"/>
                <w:szCs w:val="16"/>
              </w:rPr>
              <w:t>419</w:t>
            </w:r>
          </w:p>
        </w:tc>
      </w:tr>
    </w:tbl>
    <w:p w:rsidR="000A7F07" w:rsidP="004A479B" w:rsidRDefault="000A7F07" w14:paraId="78BD4C2F" w14:textId="77777777">
      <w:pPr>
        <w:ind w:left="1080"/>
        <w:rPr>
          <w:i/>
        </w:rPr>
      </w:pPr>
    </w:p>
    <w:p w:rsidR="000A7F07" w:rsidP="327FBE72" w:rsidRDefault="00B03471" w14:paraId="112094B3" w14:textId="76BF62DA">
      <w:pPr>
        <w:spacing w:line="240" w:lineRule="auto"/>
        <w:ind w:left="1080"/>
        <w:rPr>
          <w:rFonts w:eastAsia="Arial"/>
        </w:rPr>
      </w:pPr>
      <w:r w:rsidRPr="00670BDE">
        <w:rPr>
          <w:rFonts w:eastAsia="Arial"/>
        </w:rPr>
        <w:t xml:space="preserve">The $279 hourly rate used in the burden estimates is based on the </w:t>
      </w:r>
      <w:r>
        <w:rPr>
          <w:rFonts w:eastAsia="Arial"/>
        </w:rPr>
        <w:t>NRC</w:t>
      </w:r>
      <w:r w:rsidRPr="00670BDE">
        <w:rPr>
          <w:rFonts w:eastAsia="Arial"/>
        </w:rPr>
        <w:t>’s fee for hourly rates as noted in 10</w:t>
      </w:r>
      <w:r>
        <w:rPr>
          <w:rFonts w:eastAsia="Arial"/>
        </w:rPr>
        <w:t> </w:t>
      </w:r>
      <w:r w:rsidRPr="00670BDE">
        <w:rPr>
          <w:rFonts w:eastAsia="Arial"/>
        </w:rPr>
        <w:t>CFR</w:t>
      </w:r>
      <w:r>
        <w:rPr>
          <w:rFonts w:eastAsia="Arial"/>
        </w:rPr>
        <w:t> </w:t>
      </w:r>
      <w:r w:rsidRPr="00670BDE">
        <w:rPr>
          <w:rFonts w:eastAsia="Arial"/>
        </w:rPr>
        <w:t xml:space="preserve">170.20 “Average cost per professional staff-hour.”  </w:t>
      </w:r>
      <w:r w:rsidRPr="00670BDE">
        <w:rPr>
          <w:rFonts w:eastAsia="Arial"/>
        </w:rPr>
        <w:lastRenderedPageBreak/>
        <w:t>For more information on the basis of this rate, see the Revision of Fee Schedules; Fee Recovery for Fiscal Year 2020 (85</w:t>
      </w:r>
      <w:r>
        <w:rPr>
          <w:rFonts w:eastAsia="Arial"/>
        </w:rPr>
        <w:t> </w:t>
      </w:r>
      <w:r w:rsidRPr="00670BDE">
        <w:rPr>
          <w:rFonts w:eastAsia="Arial"/>
        </w:rPr>
        <w:t>FR</w:t>
      </w:r>
      <w:r>
        <w:rPr>
          <w:rFonts w:eastAsia="Arial"/>
        </w:rPr>
        <w:t> </w:t>
      </w:r>
      <w:r w:rsidRPr="00670BDE">
        <w:rPr>
          <w:rFonts w:eastAsia="Arial"/>
        </w:rPr>
        <w:t>37250, June</w:t>
      </w:r>
      <w:r>
        <w:rPr>
          <w:rFonts w:eastAsia="Arial"/>
        </w:rPr>
        <w:t> </w:t>
      </w:r>
      <w:r w:rsidRPr="00670BDE">
        <w:rPr>
          <w:rFonts w:eastAsia="Arial"/>
        </w:rPr>
        <w:t>19,</w:t>
      </w:r>
      <w:r>
        <w:rPr>
          <w:rFonts w:eastAsia="Arial"/>
        </w:rPr>
        <w:t> </w:t>
      </w:r>
      <w:r w:rsidRPr="00670BDE">
        <w:rPr>
          <w:rFonts w:eastAsia="Arial"/>
        </w:rPr>
        <w:t>2020).</w:t>
      </w:r>
    </w:p>
    <w:p w:rsidRPr="00754AA2" w:rsidR="000A7F07" w:rsidP="327FBE72" w:rsidRDefault="000A7F07" w14:paraId="29F5409D" w14:textId="77777777">
      <w:pPr>
        <w:ind w:left="1080"/>
        <w:rPr>
          <w:rFonts w:eastAsia="Arial"/>
          <w:i/>
          <w:iCs/>
        </w:rPr>
      </w:pPr>
    </w:p>
    <w:p w:rsidR="000A7F07" w:rsidP="5F5ADB27" w:rsidRDefault="000A7F07" w14:paraId="40BC999B" w14:textId="77777777">
      <w:pPr>
        <w:pStyle w:val="Level1"/>
        <w:widowControl/>
        <w:numPr>
          <w:ilvl w:val="0"/>
          <w:numId w:val="3"/>
        </w:numPr>
        <w:rPr>
          <w:rFonts w:ascii="Arial" w:hAnsi="Arial" w:eastAsia="Arial" w:cs="Arial"/>
          <w:sz w:val="22"/>
          <w:szCs w:val="22"/>
        </w:rPr>
      </w:pPr>
      <w:r w:rsidRPr="327FBE72">
        <w:rPr>
          <w:rFonts w:ascii="Arial" w:hAnsi="Arial" w:eastAsia="Arial" w:cs="Arial"/>
          <w:sz w:val="22"/>
          <w:szCs w:val="22"/>
          <w:u w:val="single"/>
        </w:rPr>
        <w:t>Estimate of Other Additional Costs</w:t>
      </w:r>
    </w:p>
    <w:p w:rsidR="000A7F07" w:rsidP="327FBE72" w:rsidRDefault="000A7F07" w14:paraId="1E5DAF98" w14:textId="77777777">
      <w:pPr>
        <w:pStyle w:val="Level1"/>
        <w:widowControl/>
        <w:rPr>
          <w:rFonts w:ascii="Arial" w:hAnsi="Arial" w:eastAsia="Arial" w:cs="Arial"/>
          <w:sz w:val="22"/>
          <w:szCs w:val="22"/>
        </w:rPr>
      </w:pPr>
    </w:p>
    <w:p w:rsidRPr="0066560C" w:rsidR="000A7F07" w:rsidP="002E7D6B" w:rsidRDefault="000A7F07" w14:paraId="0B261D5C" w14:textId="507F39E3">
      <w:pPr>
        <w:pStyle w:val="Level1"/>
        <w:widowControl/>
        <w:ind w:left="1080"/>
        <w:rPr>
          <w:rFonts w:ascii="Arial" w:hAnsi="Arial" w:eastAsia="Arial" w:cs="Arial"/>
          <w:sz w:val="22"/>
          <w:szCs w:val="22"/>
        </w:rPr>
      </w:pPr>
      <w:r w:rsidRPr="1B9601BD">
        <w:rPr>
          <w:rFonts w:ascii="Arial" w:hAnsi="Arial" w:eastAsia="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Because the recordkeeping burden is estimated to be 1.5 hours, the storage cost for this clearance is $1 (1.5 hours x 0.0004 x $27</w:t>
      </w:r>
      <w:r w:rsidRPr="1B9601BD" w:rsidR="080288BC">
        <w:rPr>
          <w:rFonts w:ascii="Arial" w:hAnsi="Arial" w:eastAsia="Arial" w:cs="Arial"/>
          <w:sz w:val="22"/>
          <w:szCs w:val="22"/>
        </w:rPr>
        <w:t>9</w:t>
      </w:r>
      <w:r w:rsidRPr="1B9601BD">
        <w:rPr>
          <w:rFonts w:ascii="Arial" w:hAnsi="Arial" w:eastAsia="Arial" w:cs="Arial"/>
          <w:sz w:val="22"/>
          <w:szCs w:val="22"/>
        </w:rPr>
        <w:t>/hour).</w:t>
      </w:r>
    </w:p>
    <w:p w:rsidR="000A7F07" w:rsidP="327FBE72" w:rsidRDefault="000A7F07" w14:paraId="5040FC4E" w14:textId="77777777">
      <w:pPr>
        <w:pStyle w:val="Level1"/>
        <w:widowControl/>
        <w:rPr>
          <w:rFonts w:ascii="Arial" w:hAnsi="Arial" w:eastAsia="Arial" w:cs="Arial"/>
          <w:sz w:val="22"/>
          <w:szCs w:val="22"/>
        </w:rPr>
      </w:pPr>
    </w:p>
    <w:p w:rsidRPr="002A64F1" w:rsidR="000A7F07" w:rsidP="5F5ADB27" w:rsidRDefault="000A7F07" w14:paraId="681C2AC7" w14:textId="77777777">
      <w:pPr>
        <w:pStyle w:val="Level1"/>
        <w:widowControl/>
        <w:numPr>
          <w:ilvl w:val="0"/>
          <w:numId w:val="3"/>
        </w:numPr>
        <w:rPr>
          <w:rFonts w:ascii="Arial" w:hAnsi="Arial" w:eastAsia="Arial" w:cs="Arial"/>
          <w:sz w:val="22"/>
          <w:szCs w:val="22"/>
        </w:rPr>
      </w:pPr>
      <w:r w:rsidRPr="327FBE72">
        <w:rPr>
          <w:rFonts w:ascii="Arial" w:hAnsi="Arial" w:eastAsia="Arial" w:cs="Arial"/>
          <w:sz w:val="22"/>
          <w:szCs w:val="22"/>
          <w:u w:val="single"/>
        </w:rPr>
        <w:t>Estimated Annualized Cost to the Federal Government</w:t>
      </w:r>
    </w:p>
    <w:p w:rsidR="000A7F07" w:rsidP="327FBE72" w:rsidRDefault="000A7F07" w14:paraId="1BA20A75" w14:textId="77777777">
      <w:pPr>
        <w:pStyle w:val="Level1"/>
        <w:widowControl/>
        <w:rPr>
          <w:rFonts w:ascii="Arial" w:hAnsi="Arial" w:eastAsia="Arial" w:cs="Arial"/>
          <w:sz w:val="22"/>
          <w:szCs w:val="22"/>
          <w:u w:val="single"/>
        </w:rPr>
      </w:pPr>
    </w:p>
    <w:p w:rsidR="000A7F07" w:rsidP="327FBE72" w:rsidRDefault="000A7F07" w14:paraId="3277EF24" w14:textId="77777777">
      <w:pPr>
        <w:pStyle w:val="Level1"/>
        <w:widowControl/>
        <w:ind w:left="1080"/>
        <w:rPr>
          <w:rFonts w:ascii="Arial" w:hAnsi="Arial" w:eastAsia="Arial" w:cs="Arial"/>
          <w:sz w:val="22"/>
          <w:szCs w:val="22"/>
        </w:rPr>
      </w:pPr>
      <w:r w:rsidRPr="327FBE72">
        <w:rPr>
          <w:rFonts w:ascii="Arial" w:hAnsi="Arial" w:eastAsia="Arial" w:cs="Arial"/>
          <w:sz w:val="22"/>
          <w:szCs w:val="22"/>
        </w:rPr>
        <w:t>The NRC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0A7F07" w:rsidP="327FBE72" w:rsidRDefault="000A7F07" w14:paraId="3E1DFA3E" w14:textId="77777777">
      <w:pPr>
        <w:pStyle w:val="Level1"/>
        <w:widowControl/>
        <w:ind w:left="1080"/>
        <w:rPr>
          <w:rFonts w:ascii="Arial" w:hAnsi="Arial" w:eastAsia="Arial" w:cs="Arial"/>
          <w:sz w:val="22"/>
          <w:szCs w:val="22"/>
        </w:rPr>
      </w:pPr>
    </w:p>
    <w:p w:rsidR="000A7F07" w:rsidP="327FBE72" w:rsidRDefault="000A7F07" w14:paraId="1F15DEEA" w14:textId="678AED9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rPr>
          <w:rFonts w:eastAsia="Arial"/>
        </w:rPr>
      </w:pPr>
      <w:r w:rsidRPr="327FBE72">
        <w:rPr>
          <w:rFonts w:eastAsia="Arial"/>
        </w:rPr>
        <w:t>The NRC’s average annual burden associated with the information collections is given in Table 2 (Annualized NRC Cost).  The annualized cost increase to the government is estimated to be $114,</w:t>
      </w:r>
      <w:r w:rsidR="00D7170D">
        <w:rPr>
          <w:rFonts w:eastAsia="Arial"/>
        </w:rPr>
        <w:t>809</w:t>
      </w:r>
      <w:r w:rsidRPr="327FBE72">
        <w:rPr>
          <w:rFonts w:eastAsia="Arial"/>
        </w:rPr>
        <w:t xml:space="preserve"> (411.5 hours x $</w:t>
      </w:r>
      <w:r w:rsidR="000C4CD5">
        <w:rPr>
          <w:rFonts w:eastAsia="Arial"/>
        </w:rPr>
        <w:t>279</w:t>
      </w:r>
      <w:r w:rsidRPr="327FBE72">
        <w:rPr>
          <w:rFonts w:eastAsia="Arial"/>
        </w:rPr>
        <w:t>/hour).</w:t>
      </w:r>
    </w:p>
    <w:p w:rsidR="000A7F07" w:rsidP="5F5ADB27" w:rsidRDefault="000A7F07" w14:paraId="251567F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170"/>
        <w:rPr>
          <w:rFonts w:eastAsia="Arial"/>
        </w:rPr>
      </w:pPr>
    </w:p>
    <w:p w:rsidR="000A7F07" w:rsidP="00CE70B4" w:rsidRDefault="000A7F07" w14:paraId="41412D1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170"/>
        <w:jc w:val="center"/>
        <w:rPr>
          <w:b/>
          <w:bCs/>
          <w:color w:val="000000" w:themeColor="text1"/>
        </w:rPr>
      </w:pPr>
      <w:r>
        <w:rPr>
          <w:b/>
          <w:bCs/>
          <w:color w:val="000000" w:themeColor="text1"/>
        </w:rPr>
        <w:t>Table 2</w:t>
      </w:r>
    </w:p>
    <w:p w:rsidR="000A7F07" w:rsidP="00CE70B4" w:rsidRDefault="000A7F07" w14:paraId="7C6CA3F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170"/>
        <w:jc w:val="center"/>
      </w:pPr>
      <w:r>
        <w:rPr>
          <w:b/>
          <w:bCs/>
          <w:color w:val="000000" w:themeColor="text1"/>
        </w:rPr>
        <w:t>Annualized NRC Cost</w:t>
      </w:r>
    </w:p>
    <w:tbl>
      <w:tblPr>
        <w:tblStyle w:val="TableGrid"/>
        <w:tblW w:w="9450" w:type="dxa"/>
        <w:tblInd w:w="-5" w:type="dxa"/>
        <w:tblLayout w:type="fixed"/>
        <w:tblLook w:val="04A0" w:firstRow="1" w:lastRow="0" w:firstColumn="1" w:lastColumn="0" w:noHBand="0" w:noVBand="1"/>
      </w:tblPr>
      <w:tblGrid>
        <w:gridCol w:w="3150"/>
        <w:gridCol w:w="1440"/>
        <w:gridCol w:w="1170"/>
        <w:gridCol w:w="1260"/>
        <w:gridCol w:w="1170"/>
        <w:gridCol w:w="1260"/>
      </w:tblGrid>
      <w:tr w:rsidRPr="00E217DE" w:rsidR="000A7F07" w:rsidTr="2AB9DC29" w14:paraId="615D283D" w14:textId="77777777">
        <w:trPr>
          <w:tblHeader/>
        </w:trPr>
        <w:tc>
          <w:tcPr>
            <w:tcW w:w="3150" w:type="dxa"/>
            <w:vAlign w:val="center"/>
          </w:tcPr>
          <w:p w:rsidRPr="008B22B1" w:rsidR="000A7F07" w:rsidP="0053704D" w:rsidRDefault="000A7F07" w14:paraId="6EDA892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NRC Action</w:t>
            </w:r>
          </w:p>
        </w:tc>
        <w:tc>
          <w:tcPr>
            <w:tcW w:w="1440" w:type="dxa"/>
            <w:vAlign w:val="center"/>
          </w:tcPr>
          <w:p w:rsidRPr="008B22B1" w:rsidR="000A7F07" w:rsidP="0053704D" w:rsidRDefault="000A7F07" w14:paraId="50CB878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Rule Text Provision</w:t>
            </w:r>
          </w:p>
        </w:tc>
        <w:tc>
          <w:tcPr>
            <w:tcW w:w="1170" w:type="dxa"/>
            <w:vAlign w:val="center"/>
          </w:tcPr>
          <w:p w:rsidRPr="008B22B1" w:rsidR="000A7F07" w:rsidP="0053704D" w:rsidRDefault="000A7F07" w14:paraId="2B1B76CD"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No. </w:t>
            </w:r>
            <w:r>
              <w:rPr>
                <w:sz w:val="16"/>
                <w:szCs w:val="16"/>
              </w:rPr>
              <w:t xml:space="preserve">of </w:t>
            </w:r>
            <w:r w:rsidRPr="008B22B1">
              <w:rPr>
                <w:sz w:val="16"/>
                <w:szCs w:val="16"/>
              </w:rPr>
              <w:t>Actions/Year</w:t>
            </w:r>
          </w:p>
        </w:tc>
        <w:tc>
          <w:tcPr>
            <w:tcW w:w="1260" w:type="dxa"/>
            <w:vAlign w:val="center"/>
          </w:tcPr>
          <w:p w:rsidRPr="008B22B1" w:rsidR="000A7F07" w:rsidP="0053704D" w:rsidRDefault="000A7F07" w14:paraId="57A95CC1"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Burden Hours/Action</w:t>
            </w:r>
          </w:p>
        </w:tc>
        <w:tc>
          <w:tcPr>
            <w:tcW w:w="1170" w:type="dxa"/>
            <w:vAlign w:val="center"/>
          </w:tcPr>
          <w:p w:rsidRPr="008B22B1" w:rsidR="000A7F07" w:rsidP="0053704D" w:rsidRDefault="000A7F07" w14:paraId="1758407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Total </w:t>
            </w:r>
            <w:r>
              <w:rPr>
                <w:sz w:val="16"/>
                <w:szCs w:val="16"/>
              </w:rPr>
              <w:t xml:space="preserve">Burden </w:t>
            </w:r>
            <w:r w:rsidRPr="008B22B1">
              <w:rPr>
                <w:sz w:val="16"/>
                <w:szCs w:val="16"/>
              </w:rPr>
              <w:t>Hours</w:t>
            </w:r>
          </w:p>
        </w:tc>
        <w:tc>
          <w:tcPr>
            <w:tcW w:w="1260" w:type="dxa"/>
            <w:vAlign w:val="center"/>
          </w:tcPr>
          <w:p w:rsidRPr="008B22B1" w:rsidR="000A7F07" w:rsidP="0053704D" w:rsidRDefault="000A7F07" w14:paraId="2FAED63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Total Cost </w:t>
            </w:r>
          </w:p>
        </w:tc>
      </w:tr>
      <w:tr w:rsidRPr="00E217DE" w:rsidR="00331BE7" w:rsidTr="2AB9DC29" w14:paraId="65DB3940" w14:textId="77777777">
        <w:tc>
          <w:tcPr>
            <w:tcW w:w="3150" w:type="dxa"/>
          </w:tcPr>
          <w:p w:rsidR="00331BE7" w:rsidP="00C138B3" w:rsidRDefault="002367BD" w14:paraId="559800EC" w14:textId="2E7CA3D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color w:val="000000"/>
                <w:sz w:val="16"/>
                <w:szCs w:val="16"/>
              </w:rPr>
            </w:pPr>
            <w:r w:rsidRPr="002367BD">
              <w:rPr>
                <w:color w:val="000000"/>
                <w:sz w:val="16"/>
                <w:szCs w:val="16"/>
              </w:rPr>
              <w:t>Notify NRC when using a Type B package</w:t>
            </w:r>
          </w:p>
        </w:tc>
        <w:tc>
          <w:tcPr>
            <w:tcW w:w="1440" w:type="dxa"/>
          </w:tcPr>
          <w:p w:rsidR="00331BE7" w:rsidP="00C138B3" w:rsidRDefault="002367BD" w14:paraId="43682E6F" w14:textId="07F7B47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71.</w:t>
            </w:r>
            <w:r w:rsidR="00693BDE">
              <w:rPr>
                <w:sz w:val="16"/>
                <w:szCs w:val="16"/>
              </w:rPr>
              <w:t>22(f)</w:t>
            </w:r>
          </w:p>
        </w:tc>
        <w:tc>
          <w:tcPr>
            <w:tcW w:w="1170" w:type="dxa"/>
            <w:shd w:val="clear" w:color="auto" w:fill="FFFFFF" w:themeFill="background1"/>
            <w:vAlign w:val="center"/>
          </w:tcPr>
          <w:p w:rsidR="00331BE7" w:rsidP="00C138B3" w:rsidRDefault="001249AA" w14:paraId="0ECA23DB" w14:textId="72813D0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260" w:type="dxa"/>
            <w:shd w:val="clear" w:color="auto" w:fill="FFFFFF" w:themeFill="background1"/>
            <w:vAlign w:val="center"/>
          </w:tcPr>
          <w:p w:rsidR="00331BE7" w:rsidP="00C138B3" w:rsidRDefault="00693BDE" w14:paraId="7BCE3FA1" w14:textId="60CE80A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170" w:type="dxa"/>
            <w:shd w:val="clear" w:color="auto" w:fill="FFFFFF" w:themeFill="background1"/>
            <w:vAlign w:val="center"/>
          </w:tcPr>
          <w:p w:rsidR="00331BE7" w:rsidP="00C138B3" w:rsidRDefault="005C0AF2" w14:paraId="326BF0BC" w14:textId="2A124D4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260" w:type="dxa"/>
            <w:shd w:val="clear" w:color="auto" w:fill="FFFFFF" w:themeFill="background1"/>
            <w:vAlign w:val="center"/>
          </w:tcPr>
          <w:p w:rsidR="00331BE7" w:rsidP="00D8073D" w:rsidRDefault="005C0AF2" w14:paraId="71FF2FD7" w14:textId="6315CDE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r>
      <w:tr w:rsidRPr="00E217DE" w:rsidR="005C0AF2" w:rsidTr="2AB9DC29" w14:paraId="35EBCAB4" w14:textId="77777777">
        <w:tc>
          <w:tcPr>
            <w:tcW w:w="3150" w:type="dxa"/>
          </w:tcPr>
          <w:p w:rsidR="005C0AF2" w:rsidP="005C0AF2" w:rsidRDefault="005C0AF2" w14:paraId="35DA88EA" w14:textId="67EBCC0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color w:val="000000"/>
                <w:sz w:val="16"/>
                <w:szCs w:val="16"/>
              </w:rPr>
            </w:pPr>
            <w:r w:rsidRPr="002367BD">
              <w:rPr>
                <w:color w:val="000000"/>
                <w:sz w:val="16"/>
                <w:szCs w:val="16"/>
              </w:rPr>
              <w:t>Notify NRC when using a Type B package</w:t>
            </w:r>
          </w:p>
        </w:tc>
        <w:tc>
          <w:tcPr>
            <w:tcW w:w="1440" w:type="dxa"/>
          </w:tcPr>
          <w:p w:rsidR="005C0AF2" w:rsidP="005C0AF2" w:rsidRDefault="005C0AF2" w14:paraId="1BC336FA" w14:textId="43D67CB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71.2</w:t>
            </w:r>
            <w:r w:rsidR="0077055D">
              <w:rPr>
                <w:sz w:val="16"/>
                <w:szCs w:val="16"/>
              </w:rPr>
              <w:t>3</w:t>
            </w:r>
            <w:r>
              <w:rPr>
                <w:sz w:val="16"/>
                <w:szCs w:val="16"/>
              </w:rPr>
              <w:t>(f)</w:t>
            </w:r>
          </w:p>
        </w:tc>
        <w:tc>
          <w:tcPr>
            <w:tcW w:w="1170" w:type="dxa"/>
            <w:shd w:val="clear" w:color="auto" w:fill="FFFFFF" w:themeFill="background1"/>
            <w:vAlign w:val="center"/>
          </w:tcPr>
          <w:p w:rsidR="005C0AF2" w:rsidP="005C0AF2" w:rsidRDefault="001249AA" w14:paraId="2B20D09D" w14:textId="46770DF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260" w:type="dxa"/>
            <w:shd w:val="clear" w:color="auto" w:fill="FFFFFF" w:themeFill="background1"/>
            <w:vAlign w:val="center"/>
          </w:tcPr>
          <w:p w:rsidR="005C0AF2" w:rsidP="005C0AF2" w:rsidRDefault="005C0AF2" w14:paraId="24EFEEEE" w14:textId="1F9E18D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170" w:type="dxa"/>
            <w:shd w:val="clear" w:color="auto" w:fill="FFFFFF" w:themeFill="background1"/>
            <w:vAlign w:val="center"/>
          </w:tcPr>
          <w:p w:rsidR="005C0AF2" w:rsidP="005C0AF2" w:rsidRDefault="005C0AF2" w14:paraId="23ADD669" w14:textId="0F2B9F3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260" w:type="dxa"/>
            <w:shd w:val="clear" w:color="auto" w:fill="FFFFFF" w:themeFill="background1"/>
            <w:vAlign w:val="center"/>
          </w:tcPr>
          <w:p w:rsidR="005C0AF2" w:rsidP="005C0AF2" w:rsidRDefault="005C0AF2" w14:paraId="5F074B97" w14:textId="1788A44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r>
      <w:tr w:rsidRPr="00E217DE" w:rsidR="000A7F07" w:rsidTr="2AB9DC29" w14:paraId="0EE48D20" w14:textId="77777777">
        <w:tc>
          <w:tcPr>
            <w:tcW w:w="3150" w:type="dxa"/>
          </w:tcPr>
          <w:p w:rsidRPr="00B647BE" w:rsidR="000A7F07" w:rsidP="00C138B3" w:rsidRDefault="000A7F07" w14:paraId="4DDD9CB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color w:val="000000"/>
                <w:sz w:val="16"/>
                <w:szCs w:val="16"/>
              </w:rPr>
              <w:t>Expected applications due to phasing out packages in 71.19(a)(3)</w:t>
            </w:r>
          </w:p>
        </w:tc>
        <w:tc>
          <w:tcPr>
            <w:tcW w:w="1440" w:type="dxa"/>
          </w:tcPr>
          <w:p w:rsidRPr="00C138B3" w:rsidR="000A7F07" w:rsidP="00C138B3" w:rsidRDefault="000A7F07" w14:paraId="49D1787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71.31</w:t>
            </w:r>
          </w:p>
        </w:tc>
        <w:tc>
          <w:tcPr>
            <w:tcW w:w="1170" w:type="dxa"/>
            <w:shd w:val="clear" w:color="auto" w:fill="FFFFFF" w:themeFill="background1"/>
            <w:vAlign w:val="center"/>
          </w:tcPr>
          <w:p w:rsidRPr="008B22B1" w:rsidR="000A7F07" w:rsidP="00C138B3" w:rsidRDefault="000A7F07" w14:paraId="040817C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3</w:t>
            </w:r>
          </w:p>
        </w:tc>
        <w:tc>
          <w:tcPr>
            <w:tcW w:w="1260" w:type="dxa"/>
            <w:shd w:val="clear" w:color="auto" w:fill="FFFFFF" w:themeFill="background1"/>
            <w:vAlign w:val="center"/>
          </w:tcPr>
          <w:p w:rsidRPr="008B22B1" w:rsidR="000A7F07" w:rsidP="00C138B3" w:rsidRDefault="000A7F07" w14:paraId="4583C70A"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120</w:t>
            </w:r>
          </w:p>
        </w:tc>
        <w:tc>
          <w:tcPr>
            <w:tcW w:w="1170" w:type="dxa"/>
            <w:shd w:val="clear" w:color="auto" w:fill="FFFFFF" w:themeFill="background1"/>
            <w:vAlign w:val="center"/>
          </w:tcPr>
          <w:p w:rsidRPr="008B22B1" w:rsidR="000A7F07" w:rsidP="00C138B3" w:rsidRDefault="000A7F07" w14:paraId="6B779D8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360</w:t>
            </w:r>
          </w:p>
        </w:tc>
        <w:tc>
          <w:tcPr>
            <w:tcW w:w="1260" w:type="dxa"/>
            <w:shd w:val="clear" w:color="auto" w:fill="FFFFFF" w:themeFill="background1"/>
            <w:vAlign w:val="center"/>
          </w:tcPr>
          <w:p w:rsidRPr="008B22B1" w:rsidR="000A7F07" w:rsidP="00D8073D" w:rsidRDefault="000A7F07" w14:paraId="66E233A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$100,080</w:t>
            </w:r>
          </w:p>
        </w:tc>
      </w:tr>
      <w:tr w:rsidRPr="00E217DE" w:rsidR="000A7F07" w:rsidTr="2AB9DC29" w14:paraId="35888B9E" w14:textId="77777777">
        <w:tc>
          <w:tcPr>
            <w:tcW w:w="3150" w:type="dxa"/>
          </w:tcPr>
          <w:p w:rsidRPr="00B647BE" w:rsidR="000A7F07" w:rsidP="00C138B3" w:rsidRDefault="000A7F07" w14:paraId="7106B6F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647BE">
              <w:rPr>
                <w:sz w:val="16"/>
                <w:szCs w:val="16"/>
              </w:rPr>
              <w:t>Include a maintenance program description in the contents of an application for package approval</w:t>
            </w:r>
          </w:p>
        </w:tc>
        <w:tc>
          <w:tcPr>
            <w:tcW w:w="1440" w:type="dxa"/>
          </w:tcPr>
          <w:p w:rsidRPr="00C138B3" w:rsidR="000A7F07" w:rsidP="00C138B3" w:rsidRDefault="000A7F07" w14:paraId="29A6710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C138B3">
              <w:rPr>
                <w:sz w:val="16"/>
                <w:szCs w:val="16"/>
              </w:rPr>
              <w:t>71.31(a)(3)</w:t>
            </w:r>
          </w:p>
        </w:tc>
        <w:tc>
          <w:tcPr>
            <w:tcW w:w="1170" w:type="dxa"/>
            <w:shd w:val="clear" w:color="auto" w:fill="FFFFFF" w:themeFill="background1"/>
            <w:vAlign w:val="center"/>
          </w:tcPr>
          <w:p w:rsidRPr="008B22B1" w:rsidR="000A7F07" w:rsidP="00C138B3" w:rsidRDefault="000A7F07" w14:paraId="714C170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w:t>
            </w:r>
          </w:p>
        </w:tc>
        <w:tc>
          <w:tcPr>
            <w:tcW w:w="1260" w:type="dxa"/>
            <w:shd w:val="clear" w:color="auto" w:fill="FFFFFF" w:themeFill="background1"/>
            <w:vAlign w:val="center"/>
          </w:tcPr>
          <w:p w:rsidRPr="008B22B1" w:rsidR="000A7F07" w:rsidP="00C138B3" w:rsidRDefault="000A7F07" w14:paraId="0F1B50F1"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25</w:t>
            </w:r>
          </w:p>
        </w:tc>
        <w:tc>
          <w:tcPr>
            <w:tcW w:w="1170" w:type="dxa"/>
            <w:shd w:val="clear" w:color="auto" w:fill="FFFFFF" w:themeFill="background1"/>
            <w:vAlign w:val="center"/>
          </w:tcPr>
          <w:p w:rsidRPr="008B22B1" w:rsidR="000A7F07" w:rsidP="00C138B3" w:rsidRDefault="000A7F07" w14:paraId="25FCDD6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w:t>
            </w:r>
          </w:p>
        </w:tc>
        <w:tc>
          <w:tcPr>
            <w:tcW w:w="1260" w:type="dxa"/>
            <w:shd w:val="clear" w:color="auto" w:fill="FFFFFF" w:themeFill="background1"/>
            <w:vAlign w:val="center"/>
          </w:tcPr>
          <w:p w:rsidRPr="008B22B1" w:rsidR="000A7F07" w:rsidP="00C138B3" w:rsidRDefault="000A7F07" w14:paraId="70C7A16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$13,900</w:t>
            </w:r>
          </w:p>
        </w:tc>
      </w:tr>
      <w:tr w:rsidRPr="00E217DE" w:rsidR="000A7F07" w:rsidTr="2AB9DC29" w14:paraId="4465FACB" w14:textId="77777777">
        <w:tc>
          <w:tcPr>
            <w:tcW w:w="3150" w:type="dxa"/>
          </w:tcPr>
          <w:p w:rsidRPr="00B647BE" w:rsidR="000A7F07" w:rsidP="00181881" w:rsidRDefault="000A7F07" w14:paraId="52610F1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647BE">
              <w:rPr>
                <w:sz w:val="16"/>
                <w:szCs w:val="16"/>
              </w:rPr>
              <w:t>Include an evaluation of the applicant’s maintenance program</w:t>
            </w:r>
          </w:p>
        </w:tc>
        <w:tc>
          <w:tcPr>
            <w:tcW w:w="1440" w:type="dxa"/>
          </w:tcPr>
          <w:p w:rsidRPr="00C138B3" w:rsidR="000A7F07" w:rsidP="00C138B3" w:rsidRDefault="000A7F07" w14:paraId="708C549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C138B3">
              <w:rPr>
                <w:sz w:val="16"/>
                <w:szCs w:val="16"/>
              </w:rPr>
              <w:t>71.35(d)</w:t>
            </w:r>
          </w:p>
        </w:tc>
        <w:tc>
          <w:tcPr>
            <w:tcW w:w="4860" w:type="dxa"/>
            <w:gridSpan w:val="4"/>
            <w:shd w:val="clear" w:color="auto" w:fill="FFFFFF" w:themeFill="background1"/>
            <w:vAlign w:val="center"/>
          </w:tcPr>
          <w:p w:rsidR="000A7F07" w:rsidP="00C138B3" w:rsidRDefault="000A7F07" w14:paraId="52954AD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color w:val="000000"/>
                <w:sz w:val="16"/>
                <w:szCs w:val="16"/>
              </w:rPr>
              <w:t>Included in 71.31(a)(3)</w:t>
            </w:r>
          </w:p>
        </w:tc>
      </w:tr>
      <w:tr w:rsidRPr="00E217DE" w:rsidR="000A7F07" w:rsidTr="2AB9DC29" w14:paraId="6B4D7480" w14:textId="77777777">
        <w:tc>
          <w:tcPr>
            <w:tcW w:w="3150" w:type="dxa"/>
          </w:tcPr>
          <w:p w:rsidRPr="00B647BE" w:rsidR="000A7F07" w:rsidP="00C138B3" w:rsidRDefault="000A7F07" w14:paraId="175316EA"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647BE">
              <w:rPr>
                <w:sz w:val="16"/>
                <w:szCs w:val="16"/>
              </w:rPr>
              <w:t>Submit a written report of instances where conditions in the CoC were not followed during shipment</w:t>
            </w:r>
            <w:r>
              <w:rPr>
                <w:sz w:val="16"/>
                <w:szCs w:val="16"/>
              </w:rPr>
              <w:t xml:space="preserve"> (eliminating duplicate requirement)</w:t>
            </w:r>
          </w:p>
        </w:tc>
        <w:tc>
          <w:tcPr>
            <w:tcW w:w="1440" w:type="dxa"/>
          </w:tcPr>
          <w:p w:rsidRPr="00C138B3" w:rsidR="000A7F07" w:rsidP="00C138B3" w:rsidRDefault="000A7F07" w14:paraId="69A2C85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C138B3">
              <w:rPr>
                <w:sz w:val="16"/>
                <w:szCs w:val="16"/>
              </w:rPr>
              <w:t>71.95(a)(3)</w:t>
            </w:r>
          </w:p>
        </w:tc>
        <w:tc>
          <w:tcPr>
            <w:tcW w:w="1170" w:type="dxa"/>
            <w:shd w:val="clear" w:color="auto" w:fill="FFFFFF" w:themeFill="background1"/>
            <w:vAlign w:val="center"/>
          </w:tcPr>
          <w:p w:rsidR="000A7F07" w:rsidP="00C138B3" w:rsidRDefault="000A7F07" w14:paraId="24EC16A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25</w:t>
            </w:r>
          </w:p>
        </w:tc>
        <w:tc>
          <w:tcPr>
            <w:tcW w:w="1260" w:type="dxa"/>
            <w:shd w:val="clear" w:color="auto" w:fill="FFFFFF" w:themeFill="background1"/>
            <w:vAlign w:val="center"/>
          </w:tcPr>
          <w:p w:rsidR="000A7F07" w:rsidDel="00334CC4" w:rsidP="00C138B3" w:rsidRDefault="000A7F07" w14:paraId="102D0FB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170" w:type="dxa"/>
            <w:shd w:val="clear" w:color="auto" w:fill="FFFFFF" w:themeFill="background1"/>
            <w:vAlign w:val="center"/>
          </w:tcPr>
          <w:p w:rsidR="000A7F07" w:rsidDel="00334CC4" w:rsidP="00C138B3" w:rsidRDefault="000A7F07" w14:paraId="2BC057D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260" w:type="dxa"/>
            <w:shd w:val="clear" w:color="auto" w:fill="FFFFFF" w:themeFill="background1"/>
            <w:vAlign w:val="center"/>
          </w:tcPr>
          <w:p w:rsidR="000A7F07" w:rsidDel="00334CC4" w:rsidP="00C138B3" w:rsidRDefault="000A7F07" w14:paraId="0CF698B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r>
      <w:tr w:rsidRPr="00E217DE" w:rsidR="000A7F07" w:rsidTr="2AB9DC29" w14:paraId="3BA79E1D" w14:textId="77777777">
        <w:tc>
          <w:tcPr>
            <w:tcW w:w="3150" w:type="dxa"/>
          </w:tcPr>
          <w:p w:rsidRPr="00B647BE" w:rsidR="000A7F07" w:rsidP="00C138B3" w:rsidRDefault="000A7F07" w14:paraId="157B526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647BE">
              <w:rPr>
                <w:sz w:val="16"/>
                <w:szCs w:val="16"/>
              </w:rPr>
              <w:t>Notify NRC every 24 months even if no changes to quality assurance program</w:t>
            </w:r>
          </w:p>
        </w:tc>
        <w:tc>
          <w:tcPr>
            <w:tcW w:w="1440" w:type="dxa"/>
          </w:tcPr>
          <w:p w:rsidRPr="00C138B3" w:rsidR="000A7F07" w:rsidP="00C138B3" w:rsidRDefault="000A7F07" w14:paraId="371515A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C138B3">
              <w:rPr>
                <w:sz w:val="16"/>
                <w:szCs w:val="16"/>
              </w:rPr>
              <w:t>71.106(b)</w:t>
            </w:r>
          </w:p>
        </w:tc>
        <w:tc>
          <w:tcPr>
            <w:tcW w:w="1170" w:type="dxa"/>
            <w:shd w:val="clear" w:color="auto" w:fill="FFFFFF" w:themeFill="background1"/>
            <w:vAlign w:val="center"/>
          </w:tcPr>
          <w:p w:rsidR="000A7F07" w:rsidP="00C138B3" w:rsidRDefault="000A7F07" w14:paraId="3EEC988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1.5</w:t>
            </w:r>
          </w:p>
        </w:tc>
        <w:tc>
          <w:tcPr>
            <w:tcW w:w="1260" w:type="dxa"/>
            <w:shd w:val="clear" w:color="auto" w:fill="FFFFFF" w:themeFill="background1"/>
            <w:vAlign w:val="center"/>
          </w:tcPr>
          <w:p w:rsidR="000A7F07" w:rsidP="00C138B3" w:rsidRDefault="000A7F07" w14:paraId="15A3A23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170" w:type="dxa"/>
            <w:shd w:val="clear" w:color="auto" w:fill="FFFFFF" w:themeFill="background1"/>
            <w:vAlign w:val="center"/>
          </w:tcPr>
          <w:p w:rsidR="000A7F07" w:rsidP="00C138B3" w:rsidRDefault="000A7F07" w14:paraId="41923261"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1.5</w:t>
            </w:r>
          </w:p>
        </w:tc>
        <w:tc>
          <w:tcPr>
            <w:tcW w:w="1260" w:type="dxa"/>
            <w:shd w:val="clear" w:color="auto" w:fill="FFFFFF" w:themeFill="background1"/>
            <w:vAlign w:val="center"/>
          </w:tcPr>
          <w:p w:rsidRPr="0058288F" w:rsidR="000A7F07" w:rsidP="00C138B3" w:rsidRDefault="000A7F07" w14:paraId="20A3816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$417</w:t>
            </w:r>
          </w:p>
        </w:tc>
      </w:tr>
      <w:tr w:rsidRPr="00E36DE1" w:rsidR="000A7F07" w:rsidTr="2AB9DC29" w14:paraId="1693A5D2" w14:textId="77777777">
        <w:tc>
          <w:tcPr>
            <w:tcW w:w="3150" w:type="dxa"/>
            <w:vAlign w:val="center"/>
          </w:tcPr>
          <w:p w:rsidRPr="00E36DE1" w:rsidR="000A7F07" w:rsidP="0053704D" w:rsidRDefault="000A7F07" w14:paraId="28698EA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E36DE1">
              <w:rPr>
                <w:sz w:val="16"/>
                <w:szCs w:val="16"/>
              </w:rPr>
              <w:t>Total</w:t>
            </w:r>
          </w:p>
        </w:tc>
        <w:tc>
          <w:tcPr>
            <w:tcW w:w="1440" w:type="dxa"/>
            <w:vAlign w:val="center"/>
          </w:tcPr>
          <w:p w:rsidRPr="00E36DE1" w:rsidR="000A7F07" w:rsidP="0053704D" w:rsidRDefault="000A7F07" w14:paraId="7491BD5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shd w:val="clear" w:color="auto" w:fill="FFFFFF" w:themeFill="background1"/>
            <w:vAlign w:val="center"/>
          </w:tcPr>
          <w:p w:rsidRPr="00E36DE1" w:rsidR="000A7F07" w:rsidP="00572D38" w:rsidRDefault="363C4CC9" w14:paraId="161A4A77" w14:textId="5E17B361">
            <w:pPr>
              <w:spacing w:line="276" w:lineRule="auto"/>
              <w:jc w:val="center"/>
              <w:rPr>
                <w:sz w:val="16"/>
                <w:szCs w:val="16"/>
              </w:rPr>
            </w:pPr>
            <w:r w:rsidRPr="2AB9DC29">
              <w:rPr>
                <w:sz w:val="16"/>
                <w:szCs w:val="16"/>
              </w:rPr>
              <w:t>7</w:t>
            </w:r>
            <w:r w:rsidR="00572D38">
              <w:rPr>
                <w:sz w:val="16"/>
                <w:szCs w:val="16"/>
              </w:rPr>
              <w:t>.</w:t>
            </w:r>
            <w:r w:rsidRPr="2AB9DC29">
              <w:rPr>
                <w:sz w:val="16"/>
                <w:szCs w:val="16"/>
              </w:rPr>
              <w:t>5</w:t>
            </w:r>
          </w:p>
        </w:tc>
        <w:tc>
          <w:tcPr>
            <w:tcW w:w="1260" w:type="dxa"/>
            <w:shd w:val="clear" w:color="auto" w:fill="FFFFFF" w:themeFill="background1"/>
            <w:vAlign w:val="center"/>
          </w:tcPr>
          <w:p w:rsidRPr="00E36DE1" w:rsidR="000A7F07" w:rsidP="0053704D" w:rsidRDefault="000A7F07" w14:paraId="09A77B3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146</w:t>
            </w:r>
          </w:p>
        </w:tc>
        <w:tc>
          <w:tcPr>
            <w:tcW w:w="1170" w:type="dxa"/>
            <w:shd w:val="clear" w:color="auto" w:fill="FFFFFF" w:themeFill="background1"/>
            <w:vAlign w:val="center"/>
          </w:tcPr>
          <w:p w:rsidRPr="00E36DE1" w:rsidR="000A7F07" w:rsidP="0053704D" w:rsidRDefault="000A7F07" w14:paraId="792DD6F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411.5</w:t>
            </w:r>
          </w:p>
        </w:tc>
        <w:tc>
          <w:tcPr>
            <w:tcW w:w="1260" w:type="dxa"/>
            <w:shd w:val="clear" w:color="auto" w:fill="FFFFFF" w:themeFill="background1"/>
            <w:vAlign w:val="center"/>
          </w:tcPr>
          <w:p w:rsidRPr="00E36DE1" w:rsidR="000A7F07" w:rsidP="0053704D" w:rsidRDefault="000A7F07" w14:paraId="6E9CF5E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$114,397</w:t>
            </w:r>
          </w:p>
        </w:tc>
      </w:tr>
    </w:tbl>
    <w:p w:rsidR="000A7F07" w:rsidP="00E213F5" w:rsidRDefault="000A7F07" w14:paraId="394D3498" w14:textId="77777777">
      <w:pPr>
        <w:pStyle w:val="Level1"/>
        <w:widowControl/>
        <w:rPr>
          <w:rFonts w:ascii="Arial" w:hAnsi="Arial"/>
          <w:sz w:val="22"/>
        </w:rPr>
      </w:pPr>
    </w:p>
    <w:p w:rsidR="000A7F07" w:rsidP="002E7D6B" w:rsidRDefault="000A7F07" w14:paraId="61E773BF"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r>
        <w:t>The current annualized cost to the Federal government for 10 CFR Part 71 is $5,383,125.  The total annualized cost to the government for 10 CFR Part 71 proposed rule will be $ 5,497,522 (5,383,125 +114,397).</w:t>
      </w:r>
    </w:p>
    <w:p w:rsidR="000A7F07" w:rsidP="002E7D6B" w:rsidRDefault="000A7F07" w14:paraId="07506000" w14:textId="77777777">
      <w:pPr>
        <w:pStyle w:val="Level1"/>
        <w:widowControl/>
        <w:rPr>
          <w:rFonts w:ascii="Arial" w:hAnsi="Arial"/>
          <w:sz w:val="22"/>
        </w:rPr>
      </w:pPr>
    </w:p>
    <w:p w:rsidR="000A7F07" w:rsidP="002E7D6B" w:rsidRDefault="000A7F07" w14:paraId="317F8BE9" w14:textId="77777777">
      <w:pPr>
        <w:widowControl w:val="0"/>
        <w:numPr>
          <w:ilvl w:val="0"/>
          <w:numId w:val="3"/>
        </w:numPr>
        <w:spacing w:line="240" w:lineRule="auto"/>
        <w:rPr>
          <w:u w:val="single"/>
        </w:rPr>
      </w:pPr>
      <w:r>
        <w:rPr>
          <w:u w:val="single"/>
        </w:rPr>
        <w:t>Reasons for Change in Burden or Cost</w:t>
      </w:r>
    </w:p>
    <w:p w:rsidR="000A7F07" w:rsidP="002E7D6B" w:rsidRDefault="000A7F07" w14:paraId="05272E0F" w14:textId="77777777">
      <w:pPr>
        <w:widowControl w:val="0"/>
        <w:spacing w:line="240" w:lineRule="auto"/>
        <w:rPr>
          <w:u w:val="single"/>
        </w:rPr>
      </w:pPr>
    </w:p>
    <w:p w:rsidR="000A7F07" w:rsidP="002E7D6B" w:rsidRDefault="000A7F07" w14:paraId="4B1EA2B5" w14:textId="77777777">
      <w:pPr>
        <w:widowControl w:val="0"/>
        <w:spacing w:line="240" w:lineRule="auto"/>
        <w:ind w:left="1080"/>
      </w:pPr>
      <w:r>
        <w:t>The proposed rule’s changes to 10 CFR Part 71 would affect applicants during the period of this clearance.</w:t>
      </w:r>
    </w:p>
    <w:p w:rsidR="000A7F07" w:rsidP="002E7D6B" w:rsidRDefault="000A7F07" w14:paraId="5C9CD308" w14:textId="7D33B685">
      <w:pPr>
        <w:widowControl w:val="0"/>
        <w:spacing w:line="240" w:lineRule="auto"/>
        <w:ind w:left="1080"/>
        <w:rPr>
          <w:color w:val="000000" w:themeColor="text1"/>
        </w:rPr>
      </w:pPr>
      <w:r>
        <w:lastRenderedPageBreak/>
        <w:t xml:space="preserve">The proposed rule would increase the annualized burden for 10 CFR Part 71 from 30,589 hours </w:t>
      </w:r>
      <w:r w:rsidRPr="1391327A">
        <w:rPr>
          <w:color w:val="000000" w:themeColor="text1"/>
        </w:rPr>
        <w:t xml:space="preserve">and 634 responses to </w:t>
      </w:r>
      <w:r w:rsidR="00C2248B">
        <w:rPr>
          <w:color w:val="000000" w:themeColor="text1"/>
        </w:rPr>
        <w:t>31,965.7</w:t>
      </w:r>
      <w:r w:rsidRPr="1391327A">
        <w:rPr>
          <w:color w:val="000000" w:themeColor="text1"/>
        </w:rPr>
        <w:t xml:space="preserve"> hours and </w:t>
      </w:r>
      <w:r w:rsidR="00C422BD">
        <w:rPr>
          <w:color w:val="000000" w:themeColor="text1"/>
        </w:rPr>
        <w:t>738</w:t>
      </w:r>
      <w:r w:rsidRPr="1391327A">
        <w:rPr>
          <w:color w:val="000000" w:themeColor="text1"/>
        </w:rPr>
        <w:t xml:space="preserve"> responses, an addition of </w:t>
      </w:r>
      <w:r w:rsidR="007A2507">
        <w:t>1,</w:t>
      </w:r>
      <w:r w:rsidR="00A27C49">
        <w:t>376.7</w:t>
      </w:r>
      <w:r>
        <w:t xml:space="preserve"> </w:t>
      </w:r>
      <w:r w:rsidRPr="1391327A">
        <w:rPr>
          <w:color w:val="000000" w:themeColor="text1"/>
        </w:rPr>
        <w:t xml:space="preserve">hours and </w:t>
      </w:r>
      <w:r w:rsidR="00A27C49">
        <w:t>104</w:t>
      </w:r>
      <w:r w:rsidRPr="1391327A">
        <w:rPr>
          <w:color w:val="000000" w:themeColor="text1"/>
        </w:rPr>
        <w:t xml:space="preserve"> responses.</w:t>
      </w:r>
    </w:p>
    <w:p w:rsidR="000A7F07" w:rsidP="1391327A" w:rsidRDefault="000A7F07" w14:paraId="0758AF8E" w14:textId="77777777">
      <w:pPr>
        <w:spacing w:line="240" w:lineRule="auto"/>
        <w:ind w:left="1080"/>
        <w:rPr>
          <w:color w:val="000000" w:themeColor="text1"/>
        </w:rPr>
      </w:pPr>
    </w:p>
    <w:p w:rsidR="000A7F07" w:rsidP="00EF3BA5" w:rsidRDefault="000A7F07" w14:paraId="70537F4C" w14:textId="71B02224">
      <w:pPr>
        <w:spacing w:line="240" w:lineRule="auto"/>
        <w:ind w:left="1080"/>
        <w:rPr>
          <w:rFonts w:eastAsia="Arial"/>
        </w:rPr>
      </w:pPr>
      <w:r w:rsidRPr="1391327A">
        <w:rPr>
          <w:rFonts w:eastAsia="Arial"/>
        </w:rPr>
        <w:t>In § 71.19(a)(3), the NRC is proposing to phase out the use of packages approved to NRC regulations that were harmonized with the IAEA’s SS No. 6, 1973 edition, and SS No. 6, 1973 (as amended) edition (i.e., package that do not have either a “</w:t>
      </w:r>
      <w:r w:rsidR="00ED3375">
        <w:rPr>
          <w:rFonts w:eastAsia="Arial"/>
        </w:rPr>
        <w:t>-</w:t>
      </w:r>
      <w:r w:rsidRPr="1391327A">
        <w:rPr>
          <w:rFonts w:eastAsia="Arial"/>
        </w:rPr>
        <w:t>85” or a “</w:t>
      </w:r>
      <w:r w:rsidR="00ED3375">
        <w:rPr>
          <w:rFonts w:eastAsia="Arial"/>
        </w:rPr>
        <w:t>-</w:t>
      </w:r>
      <w:r w:rsidRPr="1391327A">
        <w:rPr>
          <w:rFonts w:eastAsia="Arial"/>
        </w:rPr>
        <w:t>96” in the package identification number on the certificate), 8 years after the effective date of this rulemaking.  These packages would be required to be re-certified, removed from service, or used via exemption.  Most certificate holders will likely choose to recertify packages.  This would represent an increase in reporting burden § 71.31(a).  The requirements in § 71.19(a)(3) do not involve recordkeeping.  This would represent an increase in 900 hours of reporting burden and 3 responses.</w:t>
      </w:r>
    </w:p>
    <w:p w:rsidR="000A7F07" w:rsidP="00EF3BA5" w:rsidRDefault="000A7F07" w14:paraId="4E4786F6" w14:textId="77777777">
      <w:pPr>
        <w:spacing w:line="240" w:lineRule="auto"/>
        <w:ind w:left="720"/>
      </w:pPr>
    </w:p>
    <w:p w:rsidR="00A524DE" w:rsidP="00EF3BA5" w:rsidRDefault="005D0962" w14:paraId="38064DDD" w14:textId="77777777">
      <w:pPr>
        <w:spacing w:line="240" w:lineRule="auto"/>
        <w:ind w:left="1080"/>
        <w:rPr>
          <w:rFonts w:eastAsia="Arial"/>
        </w:rPr>
      </w:pPr>
      <w:r w:rsidRPr="1391327A">
        <w:rPr>
          <w:rFonts w:eastAsia="Arial"/>
        </w:rPr>
        <w:t>In § 71.</w:t>
      </w:r>
      <w:r w:rsidR="00E35EE7">
        <w:rPr>
          <w:rFonts w:eastAsia="Arial"/>
        </w:rPr>
        <w:t xml:space="preserve">22(f) and </w:t>
      </w:r>
      <w:r w:rsidRPr="1391327A" w:rsidR="00E35EE7">
        <w:rPr>
          <w:rFonts w:eastAsia="Arial"/>
        </w:rPr>
        <w:t>§ 71.</w:t>
      </w:r>
      <w:r w:rsidR="00E35EE7">
        <w:rPr>
          <w:rFonts w:eastAsia="Arial"/>
        </w:rPr>
        <w:t>23(f)</w:t>
      </w:r>
      <w:r w:rsidRPr="1391327A">
        <w:rPr>
          <w:rFonts w:eastAsia="Arial"/>
        </w:rPr>
        <w:t xml:space="preserve">, the NRC is proposing to </w:t>
      </w:r>
      <w:r w:rsidRPr="1391327A" w:rsidR="00E35EE7">
        <w:rPr>
          <w:rFonts w:eastAsia="Arial"/>
        </w:rPr>
        <w:t xml:space="preserve">add a new requirement for </w:t>
      </w:r>
      <w:r w:rsidRPr="00E35EE7" w:rsidR="00E35EE7">
        <w:rPr>
          <w:rFonts w:eastAsia="Arial"/>
        </w:rPr>
        <w:t xml:space="preserve">licensees shipping a Type B package to also comply with § 71.17(c).  In </w:t>
      </w:r>
    </w:p>
    <w:p w:rsidR="005D0962" w:rsidP="00EF3BA5" w:rsidRDefault="00E35EE7" w14:paraId="03086BCD" w14:textId="009DBBE6">
      <w:pPr>
        <w:spacing w:line="240" w:lineRule="auto"/>
        <w:ind w:left="1080"/>
        <w:rPr>
          <w:rFonts w:eastAsia="Arial"/>
        </w:rPr>
      </w:pPr>
      <w:r w:rsidRPr="00E35EE7">
        <w:rPr>
          <w:rFonts w:eastAsia="Arial"/>
        </w:rPr>
        <w:t>§ 71.17(c)</w:t>
      </w:r>
      <w:r w:rsidR="002B7AD6">
        <w:rPr>
          <w:rFonts w:eastAsia="Arial"/>
        </w:rPr>
        <w:t>(3)</w:t>
      </w:r>
      <w:r w:rsidRPr="00E35EE7">
        <w:rPr>
          <w:rFonts w:eastAsia="Arial"/>
        </w:rPr>
        <w:t>, the regulation currently requires a licensee</w:t>
      </w:r>
      <w:r w:rsidR="00122070">
        <w:rPr>
          <w:rFonts w:eastAsia="Arial"/>
        </w:rPr>
        <w:t>, prior to first use of a package,</w:t>
      </w:r>
      <w:r w:rsidRPr="00E35EE7">
        <w:rPr>
          <w:rFonts w:eastAsia="Arial"/>
        </w:rPr>
        <w:t xml:space="preserve"> to submit to the NRC the licensee's name, license number, and the package identification number specified in the package approval</w:t>
      </w:r>
      <w:r w:rsidRPr="1391327A">
        <w:rPr>
          <w:rFonts w:eastAsia="Arial"/>
        </w:rPr>
        <w:t xml:space="preserve">.  </w:t>
      </w:r>
      <w:r w:rsidR="001721C5">
        <w:rPr>
          <w:rFonts w:eastAsia="Arial"/>
        </w:rPr>
        <w:t xml:space="preserve">This is a one-time notification </w:t>
      </w:r>
      <w:r w:rsidR="00E11D73">
        <w:rPr>
          <w:rFonts w:eastAsia="Arial"/>
        </w:rPr>
        <w:t xml:space="preserve">to the NRC.  </w:t>
      </w:r>
      <w:r w:rsidRPr="1391327A">
        <w:rPr>
          <w:rFonts w:eastAsia="Arial"/>
        </w:rPr>
        <w:t>The requirements in § 71.</w:t>
      </w:r>
      <w:r w:rsidR="009777A9">
        <w:rPr>
          <w:rFonts w:eastAsia="Arial"/>
        </w:rPr>
        <w:t>17(c)</w:t>
      </w:r>
      <w:r w:rsidRPr="1391327A">
        <w:rPr>
          <w:rFonts w:eastAsia="Arial"/>
        </w:rPr>
        <w:t xml:space="preserve"> do not involve recordkeeping. </w:t>
      </w:r>
      <w:r w:rsidR="00C22D7C">
        <w:rPr>
          <w:rFonts w:eastAsia="Arial"/>
        </w:rPr>
        <w:t xml:space="preserve"> </w:t>
      </w:r>
      <w:r w:rsidRPr="1391327A">
        <w:rPr>
          <w:rFonts w:eastAsia="Arial"/>
        </w:rPr>
        <w:t xml:space="preserve">This would represent an increase in 1 hour of reporting burden and </w:t>
      </w:r>
      <w:r w:rsidR="00A524DE">
        <w:rPr>
          <w:rFonts w:eastAsia="Arial"/>
        </w:rPr>
        <w:t xml:space="preserve">1 </w:t>
      </w:r>
      <w:r w:rsidRPr="1391327A">
        <w:rPr>
          <w:rFonts w:eastAsia="Arial"/>
        </w:rPr>
        <w:t>response.</w:t>
      </w:r>
    </w:p>
    <w:p w:rsidR="005D0962" w:rsidP="00EF3BA5" w:rsidRDefault="005D0962" w14:paraId="751C40AE" w14:textId="77777777">
      <w:pPr>
        <w:spacing w:line="240" w:lineRule="auto"/>
        <w:ind w:left="720"/>
      </w:pPr>
    </w:p>
    <w:p w:rsidR="000A7F07" w:rsidP="00EF3BA5" w:rsidRDefault="000A7F07" w14:paraId="29116B0D" w14:textId="04AAE77C">
      <w:pPr>
        <w:spacing w:line="240" w:lineRule="auto"/>
        <w:ind w:left="1080"/>
      </w:pPr>
      <w:r w:rsidRPr="1391327A">
        <w:rPr>
          <w:rFonts w:eastAsia="Arial"/>
        </w:rPr>
        <w:t xml:space="preserve">In § 71.31(a)(3), the NRC is proposing to add a new requirement for an applicant to include a maintenance program description as part of an application for a package approval.  This represents an increase to the reporting burden.  The requirements in § 71.31(a)(3) do not involve recordkeeping. </w:t>
      </w:r>
      <w:r w:rsidR="00C22D7C">
        <w:rPr>
          <w:rFonts w:eastAsia="Arial"/>
        </w:rPr>
        <w:t xml:space="preserve"> </w:t>
      </w:r>
      <w:r w:rsidRPr="1391327A">
        <w:rPr>
          <w:rFonts w:eastAsia="Arial"/>
        </w:rPr>
        <w:t xml:space="preserve">This would represent an increase in 150 hours of reporting burden and </w:t>
      </w:r>
      <w:r w:rsidR="00A524DE">
        <w:rPr>
          <w:rFonts w:eastAsia="Arial"/>
        </w:rPr>
        <w:t>2</w:t>
      </w:r>
      <w:r w:rsidRPr="1391327A">
        <w:rPr>
          <w:rFonts w:eastAsia="Arial"/>
        </w:rPr>
        <w:t xml:space="preserve"> responses.</w:t>
      </w:r>
    </w:p>
    <w:p w:rsidR="000A7F07" w:rsidP="00EF3BA5" w:rsidRDefault="000A7F07" w14:paraId="1C44A9D7" w14:textId="77777777">
      <w:pPr>
        <w:spacing w:line="240" w:lineRule="auto"/>
        <w:ind w:left="720"/>
        <w:rPr>
          <w:rFonts w:eastAsia="Arial"/>
        </w:rPr>
      </w:pPr>
    </w:p>
    <w:p w:rsidR="000A7F07" w:rsidP="00EF3BA5" w:rsidRDefault="000A7F07" w14:paraId="113467F6" w14:textId="77777777">
      <w:pPr>
        <w:spacing w:line="240" w:lineRule="auto"/>
        <w:ind w:left="1080"/>
      </w:pPr>
      <w:r w:rsidRPr="756A8B72">
        <w:rPr>
          <w:rFonts w:eastAsia="Arial"/>
        </w:rPr>
        <w:t>In § 71.35(d), the NRC is proposing to add a new requirement for an applicant to include an evaluation of the maintenance program as part of an application for a package approval.  This represents an increase to the reporting burden.  The requirements in § 71.35(d) do not involve recordkeeping.  There is no increase to the reporting burden because this is covered in § 71.31(a)(3).</w:t>
      </w:r>
    </w:p>
    <w:p w:rsidR="000A7F07" w:rsidP="00EF3BA5" w:rsidRDefault="000A7F07" w14:paraId="22850D74" w14:textId="77777777">
      <w:pPr>
        <w:spacing w:line="240" w:lineRule="auto"/>
        <w:ind w:left="720"/>
        <w:rPr>
          <w:rFonts w:eastAsia="Arial"/>
        </w:rPr>
      </w:pPr>
    </w:p>
    <w:p w:rsidR="00443CC5" w:rsidP="00EF3BA5" w:rsidRDefault="00443CC5" w14:paraId="1411F1EC" w14:textId="4185A84C">
      <w:pPr>
        <w:spacing w:line="240" w:lineRule="auto"/>
        <w:ind w:left="1080"/>
      </w:pPr>
      <w:r w:rsidRPr="756A8B72">
        <w:rPr>
          <w:rFonts w:eastAsia="Arial"/>
        </w:rPr>
        <w:t>In § 71.</w:t>
      </w:r>
      <w:r>
        <w:rPr>
          <w:rFonts w:eastAsia="Arial"/>
        </w:rPr>
        <w:t>9</w:t>
      </w:r>
      <w:r w:rsidRPr="756A8B72">
        <w:rPr>
          <w:rFonts w:eastAsia="Arial"/>
        </w:rPr>
        <w:t>5(</w:t>
      </w:r>
      <w:r>
        <w:rPr>
          <w:rFonts w:eastAsia="Arial"/>
        </w:rPr>
        <w:t>b</w:t>
      </w:r>
      <w:r w:rsidRPr="756A8B72">
        <w:rPr>
          <w:rFonts w:eastAsia="Arial"/>
        </w:rPr>
        <w:t xml:space="preserve">), the NRC is proposing to </w:t>
      </w:r>
      <w:r w:rsidR="000E6229">
        <w:rPr>
          <w:rFonts w:eastAsia="Arial"/>
        </w:rPr>
        <w:t>revise the Agreement State compatibility category to require State licensees to</w:t>
      </w:r>
      <w:r w:rsidRPr="1391327A" w:rsidR="00D51C9A">
        <w:rPr>
          <w:rFonts w:eastAsia="Arial"/>
        </w:rPr>
        <w:t xml:space="preserve"> </w:t>
      </w:r>
      <w:r w:rsidR="000E6229">
        <w:rPr>
          <w:rFonts w:eastAsia="Arial"/>
        </w:rPr>
        <w:t>s</w:t>
      </w:r>
      <w:r w:rsidRPr="000E6229" w:rsidR="000E6229">
        <w:rPr>
          <w:rFonts w:eastAsia="Arial"/>
        </w:rPr>
        <w:t xml:space="preserve">ubmit a written report of instances where conditions in the CoC were not followed during shipment </w:t>
      </w:r>
      <w:r w:rsidR="000E6229">
        <w:rPr>
          <w:rFonts w:eastAsia="Arial"/>
        </w:rPr>
        <w:t xml:space="preserve">to the applicable Agreement State.  </w:t>
      </w:r>
      <w:r w:rsidRPr="1391327A" w:rsidR="00D51C9A">
        <w:rPr>
          <w:rFonts w:eastAsia="Arial"/>
        </w:rPr>
        <w:t xml:space="preserve">This represents an increase to the </w:t>
      </w:r>
      <w:r w:rsidR="000E6229">
        <w:rPr>
          <w:rFonts w:eastAsia="Arial"/>
        </w:rPr>
        <w:t>third party reporting</w:t>
      </w:r>
      <w:r w:rsidRPr="1391327A" w:rsidR="00D51C9A">
        <w:rPr>
          <w:rFonts w:eastAsia="Arial"/>
        </w:rPr>
        <w:t xml:space="preserve"> burden.  The requirements in § 71.</w:t>
      </w:r>
      <w:r w:rsidR="00171FF9">
        <w:rPr>
          <w:rFonts w:eastAsia="Arial"/>
        </w:rPr>
        <w:t>95</w:t>
      </w:r>
      <w:r w:rsidRPr="1391327A" w:rsidR="00D51C9A">
        <w:rPr>
          <w:rFonts w:eastAsia="Arial"/>
        </w:rPr>
        <w:t>(</w:t>
      </w:r>
      <w:r w:rsidR="00171FF9">
        <w:rPr>
          <w:rFonts w:eastAsia="Arial"/>
        </w:rPr>
        <w:t>b</w:t>
      </w:r>
      <w:r w:rsidRPr="1391327A" w:rsidR="00D51C9A">
        <w:rPr>
          <w:rFonts w:eastAsia="Arial"/>
        </w:rPr>
        <w:t xml:space="preserve">) do not involve recordkeeping. </w:t>
      </w:r>
      <w:r w:rsidR="00D51C9A">
        <w:rPr>
          <w:rFonts w:eastAsia="Arial"/>
        </w:rPr>
        <w:t xml:space="preserve"> </w:t>
      </w:r>
      <w:r w:rsidRPr="1391327A" w:rsidR="00D51C9A">
        <w:rPr>
          <w:rFonts w:eastAsia="Arial"/>
        </w:rPr>
        <w:t xml:space="preserve">This would represent an increase in </w:t>
      </w:r>
      <w:r w:rsidR="003D531E">
        <w:rPr>
          <w:rFonts w:eastAsia="Arial"/>
        </w:rPr>
        <w:t>234</w:t>
      </w:r>
      <w:r w:rsidRPr="1391327A" w:rsidR="00D51C9A">
        <w:rPr>
          <w:rFonts w:eastAsia="Arial"/>
        </w:rPr>
        <w:t xml:space="preserve"> hours of </w:t>
      </w:r>
      <w:r w:rsidR="003D531E">
        <w:rPr>
          <w:rFonts w:eastAsia="Arial"/>
        </w:rPr>
        <w:t xml:space="preserve">third party </w:t>
      </w:r>
      <w:r w:rsidRPr="1391327A" w:rsidR="00D51C9A">
        <w:rPr>
          <w:rFonts w:eastAsia="Arial"/>
        </w:rPr>
        <w:t xml:space="preserve">reporting burden and </w:t>
      </w:r>
      <w:r w:rsidR="003D531E">
        <w:rPr>
          <w:rFonts w:eastAsia="Arial"/>
        </w:rPr>
        <w:t>78</w:t>
      </w:r>
      <w:r w:rsidRPr="1391327A" w:rsidR="00D51C9A">
        <w:rPr>
          <w:rFonts w:eastAsia="Arial"/>
        </w:rPr>
        <w:t xml:space="preserve"> responses</w:t>
      </w:r>
      <w:r w:rsidRPr="756A8B72">
        <w:rPr>
          <w:rFonts w:eastAsia="Arial"/>
        </w:rPr>
        <w:t>.</w:t>
      </w:r>
    </w:p>
    <w:p w:rsidR="00443CC5" w:rsidP="00EF3BA5" w:rsidRDefault="00443CC5" w14:paraId="0F7AADA6" w14:textId="77777777">
      <w:pPr>
        <w:spacing w:line="240" w:lineRule="auto"/>
        <w:ind w:left="720"/>
        <w:rPr>
          <w:rFonts w:eastAsia="Arial"/>
        </w:rPr>
      </w:pPr>
    </w:p>
    <w:p w:rsidR="00443CC5" w:rsidP="00EF3BA5" w:rsidRDefault="00443CC5" w14:paraId="706474A5" w14:textId="03896E7C">
      <w:pPr>
        <w:spacing w:line="240" w:lineRule="auto"/>
        <w:ind w:left="1080"/>
      </w:pPr>
      <w:r w:rsidRPr="756A8B72">
        <w:rPr>
          <w:rFonts w:eastAsia="Arial"/>
        </w:rPr>
        <w:t>In § 71.</w:t>
      </w:r>
      <w:r w:rsidR="008546AB">
        <w:rPr>
          <w:rFonts w:eastAsia="Arial"/>
        </w:rPr>
        <w:t>97</w:t>
      </w:r>
      <w:r w:rsidRPr="756A8B72">
        <w:rPr>
          <w:rFonts w:eastAsia="Arial"/>
        </w:rPr>
        <w:t xml:space="preserve">, the NRC is proposing to </w:t>
      </w:r>
      <w:r w:rsidR="003D531E">
        <w:rPr>
          <w:rFonts w:eastAsia="Arial"/>
        </w:rPr>
        <w:t>delete advanced notifications for shipments of spent fuel</w:t>
      </w:r>
      <w:r w:rsidRPr="1391327A" w:rsidR="00D51C9A">
        <w:rPr>
          <w:rFonts w:eastAsia="Arial"/>
        </w:rPr>
        <w:t>.  This represents a</w:t>
      </w:r>
      <w:r w:rsidR="003D531E">
        <w:rPr>
          <w:rFonts w:eastAsia="Arial"/>
        </w:rPr>
        <w:t xml:space="preserve"> de</w:t>
      </w:r>
      <w:r w:rsidRPr="1391327A" w:rsidR="00D51C9A">
        <w:rPr>
          <w:rFonts w:eastAsia="Arial"/>
        </w:rPr>
        <w:t xml:space="preserve">crease to the </w:t>
      </w:r>
      <w:r w:rsidR="003D531E">
        <w:rPr>
          <w:rFonts w:eastAsia="Arial"/>
        </w:rPr>
        <w:t xml:space="preserve">third party </w:t>
      </w:r>
      <w:r w:rsidRPr="1391327A" w:rsidR="00D51C9A">
        <w:rPr>
          <w:rFonts w:eastAsia="Arial"/>
        </w:rPr>
        <w:t>reporting burden.  The requirements in § 71.</w:t>
      </w:r>
      <w:r w:rsidR="003D531E">
        <w:rPr>
          <w:rFonts w:eastAsia="Arial"/>
        </w:rPr>
        <w:t>97</w:t>
      </w:r>
      <w:r w:rsidRPr="1391327A" w:rsidR="00D51C9A">
        <w:rPr>
          <w:rFonts w:eastAsia="Arial"/>
        </w:rPr>
        <w:t xml:space="preserve"> involve recordkeeping</w:t>
      </w:r>
      <w:r w:rsidR="003D531E">
        <w:rPr>
          <w:rFonts w:eastAsia="Arial"/>
        </w:rPr>
        <w:t xml:space="preserve"> but are covered under </w:t>
      </w:r>
      <w:r w:rsidRPr="1391327A" w:rsidR="003D531E">
        <w:rPr>
          <w:rFonts w:eastAsia="Arial"/>
        </w:rPr>
        <w:t>§ 71.</w:t>
      </w:r>
      <w:r w:rsidR="003D531E">
        <w:rPr>
          <w:rFonts w:eastAsia="Arial"/>
        </w:rPr>
        <w:t>91</w:t>
      </w:r>
      <w:r w:rsidRPr="1391327A" w:rsidR="00D51C9A">
        <w:rPr>
          <w:rFonts w:eastAsia="Arial"/>
        </w:rPr>
        <w:t xml:space="preserve">. </w:t>
      </w:r>
      <w:r w:rsidR="00D51C9A">
        <w:rPr>
          <w:rFonts w:eastAsia="Arial"/>
        </w:rPr>
        <w:t xml:space="preserve"> </w:t>
      </w:r>
      <w:r w:rsidRPr="1391327A" w:rsidR="00D51C9A">
        <w:rPr>
          <w:rFonts w:eastAsia="Arial"/>
        </w:rPr>
        <w:t xml:space="preserve">This would represent a </w:t>
      </w:r>
      <w:r w:rsidR="003D531E">
        <w:rPr>
          <w:rFonts w:eastAsia="Arial"/>
        </w:rPr>
        <w:t>de</w:t>
      </w:r>
      <w:r w:rsidRPr="1391327A" w:rsidR="00D51C9A">
        <w:rPr>
          <w:rFonts w:eastAsia="Arial"/>
        </w:rPr>
        <w:t xml:space="preserve">crease in </w:t>
      </w:r>
      <w:r w:rsidR="00137902">
        <w:rPr>
          <w:rFonts w:eastAsia="Arial"/>
        </w:rPr>
        <w:t>6.3</w:t>
      </w:r>
      <w:r w:rsidRPr="1391327A" w:rsidR="00D51C9A">
        <w:rPr>
          <w:rFonts w:eastAsia="Arial"/>
        </w:rPr>
        <w:t xml:space="preserve"> hours of </w:t>
      </w:r>
      <w:r w:rsidR="00137902">
        <w:rPr>
          <w:rFonts w:eastAsia="Arial"/>
        </w:rPr>
        <w:t xml:space="preserve">third party </w:t>
      </w:r>
      <w:r w:rsidRPr="1391327A" w:rsidR="00D51C9A">
        <w:rPr>
          <w:rFonts w:eastAsia="Arial"/>
        </w:rPr>
        <w:t xml:space="preserve">reporting burden and </w:t>
      </w:r>
      <w:r w:rsidR="00A524DE">
        <w:rPr>
          <w:rFonts w:eastAsia="Arial"/>
        </w:rPr>
        <w:t>7</w:t>
      </w:r>
      <w:r w:rsidRPr="1391327A" w:rsidR="00D51C9A">
        <w:rPr>
          <w:rFonts w:eastAsia="Arial"/>
        </w:rPr>
        <w:t xml:space="preserve"> responses</w:t>
      </w:r>
      <w:r w:rsidRPr="756A8B72">
        <w:rPr>
          <w:rFonts w:eastAsia="Arial"/>
        </w:rPr>
        <w:t>.</w:t>
      </w:r>
    </w:p>
    <w:p w:rsidR="00443CC5" w:rsidP="00EF3BA5" w:rsidRDefault="00443CC5" w14:paraId="58DBD8BF" w14:textId="77777777">
      <w:pPr>
        <w:spacing w:line="240" w:lineRule="auto"/>
        <w:ind w:left="720"/>
        <w:rPr>
          <w:rFonts w:eastAsia="Arial"/>
        </w:rPr>
      </w:pPr>
    </w:p>
    <w:p w:rsidR="00443CC5" w:rsidP="00EF3BA5" w:rsidRDefault="00443CC5" w14:paraId="05170C81" w14:textId="6BA1993D">
      <w:pPr>
        <w:spacing w:line="240" w:lineRule="auto"/>
        <w:ind w:left="1080"/>
      </w:pPr>
      <w:r w:rsidRPr="756A8B72">
        <w:rPr>
          <w:rFonts w:eastAsia="Arial"/>
        </w:rPr>
        <w:t>In § 71.</w:t>
      </w:r>
      <w:r w:rsidR="00D04684">
        <w:rPr>
          <w:rFonts w:eastAsia="Arial"/>
        </w:rPr>
        <w:t>101</w:t>
      </w:r>
      <w:r w:rsidRPr="756A8B72">
        <w:rPr>
          <w:rFonts w:eastAsia="Arial"/>
        </w:rPr>
        <w:t>(</w:t>
      </w:r>
      <w:r w:rsidR="00D04684">
        <w:rPr>
          <w:rFonts w:eastAsia="Arial"/>
        </w:rPr>
        <w:t>c</w:t>
      </w:r>
      <w:r w:rsidRPr="756A8B72">
        <w:rPr>
          <w:rFonts w:eastAsia="Arial"/>
        </w:rPr>
        <w:t xml:space="preserve">), the NRC is proposing to </w:t>
      </w:r>
      <w:r w:rsidR="002D6F12">
        <w:rPr>
          <w:rFonts w:eastAsia="Arial"/>
        </w:rPr>
        <w:t xml:space="preserve">revise the Agreement State compatibility category </w:t>
      </w:r>
      <w:r w:rsidR="00E57932">
        <w:rPr>
          <w:rFonts w:eastAsia="Arial"/>
        </w:rPr>
        <w:t>to require Agreement State</w:t>
      </w:r>
      <w:r w:rsidR="002D6F12">
        <w:rPr>
          <w:rFonts w:eastAsia="Arial"/>
        </w:rPr>
        <w:t xml:space="preserve"> licensees </w:t>
      </w:r>
      <w:r w:rsidR="00E57932">
        <w:rPr>
          <w:rFonts w:eastAsia="Arial"/>
        </w:rPr>
        <w:t>t</w:t>
      </w:r>
      <w:r w:rsidR="002D6F12">
        <w:rPr>
          <w:rFonts w:eastAsia="Arial"/>
        </w:rPr>
        <w:t>o</w:t>
      </w:r>
      <w:r w:rsidRPr="002D6F12" w:rsidR="002D6F12">
        <w:rPr>
          <w:rFonts w:eastAsia="Arial"/>
        </w:rPr>
        <w:t xml:space="preserve"> file a description of its QA program with </w:t>
      </w:r>
      <w:r w:rsidR="00E57932">
        <w:rPr>
          <w:rFonts w:eastAsia="Arial"/>
        </w:rPr>
        <w:t>the Agreement State</w:t>
      </w:r>
      <w:r w:rsidRPr="002D6F12" w:rsidR="002D6F12">
        <w:rPr>
          <w:rFonts w:eastAsia="Arial"/>
        </w:rPr>
        <w:t xml:space="preserve"> and obtain its approval</w:t>
      </w:r>
      <w:r w:rsidRPr="1391327A" w:rsidR="00D51C9A">
        <w:rPr>
          <w:rFonts w:eastAsia="Arial"/>
        </w:rPr>
        <w:t xml:space="preserve">.  This represents an increase to the </w:t>
      </w:r>
      <w:r w:rsidR="00E57932">
        <w:rPr>
          <w:rFonts w:eastAsia="Arial"/>
        </w:rPr>
        <w:lastRenderedPageBreak/>
        <w:t xml:space="preserve">third party </w:t>
      </w:r>
      <w:r w:rsidRPr="1391327A" w:rsidR="00D51C9A">
        <w:rPr>
          <w:rFonts w:eastAsia="Arial"/>
        </w:rPr>
        <w:t>reporting burden.  The requirements in § 71.</w:t>
      </w:r>
      <w:r w:rsidR="00E57932">
        <w:rPr>
          <w:rFonts w:eastAsia="Arial"/>
        </w:rPr>
        <w:t>101</w:t>
      </w:r>
      <w:r w:rsidRPr="1391327A" w:rsidR="00D51C9A">
        <w:rPr>
          <w:rFonts w:eastAsia="Arial"/>
        </w:rPr>
        <w:t>(</w:t>
      </w:r>
      <w:r w:rsidR="00E57932">
        <w:rPr>
          <w:rFonts w:eastAsia="Arial"/>
        </w:rPr>
        <w:t>c</w:t>
      </w:r>
      <w:r w:rsidRPr="1391327A" w:rsidR="00D51C9A">
        <w:rPr>
          <w:rFonts w:eastAsia="Arial"/>
        </w:rPr>
        <w:t>) involve recordkeeping</w:t>
      </w:r>
      <w:r w:rsidR="00543891">
        <w:rPr>
          <w:rFonts w:eastAsia="Arial"/>
        </w:rPr>
        <w:t xml:space="preserve"> but are covered under </w:t>
      </w:r>
      <w:r w:rsidRPr="1391327A" w:rsidR="00543891">
        <w:rPr>
          <w:rFonts w:eastAsia="Arial"/>
        </w:rPr>
        <w:t>§ 71.</w:t>
      </w:r>
      <w:r w:rsidR="00543891">
        <w:rPr>
          <w:rFonts w:eastAsia="Arial"/>
        </w:rPr>
        <w:t>91(d)</w:t>
      </w:r>
      <w:r w:rsidRPr="1391327A" w:rsidR="00D51C9A">
        <w:rPr>
          <w:rFonts w:eastAsia="Arial"/>
        </w:rPr>
        <w:t xml:space="preserve">. </w:t>
      </w:r>
      <w:r w:rsidR="00D51C9A">
        <w:rPr>
          <w:rFonts w:eastAsia="Arial"/>
        </w:rPr>
        <w:t xml:space="preserve"> </w:t>
      </w:r>
      <w:r w:rsidRPr="1391327A" w:rsidR="00D51C9A">
        <w:rPr>
          <w:rFonts w:eastAsia="Arial"/>
        </w:rPr>
        <w:t xml:space="preserve">This would represent an increase in </w:t>
      </w:r>
      <w:r w:rsidR="003207A5">
        <w:rPr>
          <w:rFonts w:eastAsia="Arial"/>
        </w:rPr>
        <w:t>6</w:t>
      </w:r>
      <w:r w:rsidRPr="1391327A" w:rsidR="00D51C9A">
        <w:rPr>
          <w:rFonts w:eastAsia="Arial"/>
        </w:rPr>
        <w:t xml:space="preserve">0 hours of </w:t>
      </w:r>
      <w:r w:rsidR="003207A5">
        <w:rPr>
          <w:rFonts w:eastAsia="Arial"/>
        </w:rPr>
        <w:t xml:space="preserve">third party </w:t>
      </w:r>
      <w:r w:rsidRPr="1391327A" w:rsidR="00D51C9A">
        <w:rPr>
          <w:rFonts w:eastAsia="Arial"/>
        </w:rPr>
        <w:t xml:space="preserve">reporting burden and </w:t>
      </w:r>
      <w:r w:rsidR="003207A5">
        <w:rPr>
          <w:rFonts w:eastAsia="Arial"/>
        </w:rPr>
        <w:t>0.5</w:t>
      </w:r>
      <w:r w:rsidRPr="1391327A" w:rsidR="00D51C9A">
        <w:rPr>
          <w:rFonts w:eastAsia="Arial"/>
        </w:rPr>
        <w:t xml:space="preserve"> responses</w:t>
      </w:r>
      <w:r w:rsidRPr="756A8B72">
        <w:rPr>
          <w:rFonts w:eastAsia="Arial"/>
        </w:rPr>
        <w:t>.</w:t>
      </w:r>
    </w:p>
    <w:p w:rsidR="00443CC5" w:rsidP="00EF3BA5" w:rsidRDefault="00443CC5" w14:paraId="604760AA" w14:textId="77777777">
      <w:pPr>
        <w:spacing w:line="240" w:lineRule="auto"/>
        <w:ind w:left="720"/>
        <w:rPr>
          <w:rFonts w:eastAsia="Arial"/>
        </w:rPr>
      </w:pPr>
    </w:p>
    <w:p w:rsidR="00443CC5" w:rsidP="002E7D6B" w:rsidRDefault="00443CC5" w14:paraId="2D54559E" w14:textId="0BCBE7BA">
      <w:pPr>
        <w:spacing w:line="240" w:lineRule="auto"/>
        <w:ind w:left="1080"/>
      </w:pPr>
      <w:r w:rsidRPr="756A8B72">
        <w:rPr>
          <w:rFonts w:eastAsia="Arial"/>
        </w:rPr>
        <w:t>In § 71.</w:t>
      </w:r>
      <w:r w:rsidR="00D04684">
        <w:rPr>
          <w:rFonts w:eastAsia="Arial"/>
        </w:rPr>
        <w:t>106</w:t>
      </w:r>
      <w:r w:rsidRPr="756A8B72">
        <w:rPr>
          <w:rFonts w:eastAsia="Arial"/>
        </w:rPr>
        <w:t>(</w:t>
      </w:r>
      <w:r w:rsidR="00D04684">
        <w:rPr>
          <w:rFonts w:eastAsia="Arial"/>
        </w:rPr>
        <w:t>a</w:t>
      </w:r>
      <w:r w:rsidRPr="756A8B72">
        <w:rPr>
          <w:rFonts w:eastAsia="Arial"/>
        </w:rPr>
        <w:t xml:space="preserve">), the NRC is proposing to </w:t>
      </w:r>
      <w:r w:rsidR="003207A5">
        <w:rPr>
          <w:rFonts w:eastAsia="Arial"/>
        </w:rPr>
        <w:t>revise the Agreement State compatibility category to require Agreement State licensees to</w:t>
      </w:r>
      <w:r w:rsidRPr="002D6F12" w:rsidR="003207A5">
        <w:rPr>
          <w:rFonts w:eastAsia="Arial"/>
        </w:rPr>
        <w:t xml:space="preserve"> </w:t>
      </w:r>
      <w:r w:rsidR="003207A5">
        <w:rPr>
          <w:rFonts w:eastAsia="Arial"/>
        </w:rPr>
        <w:t>s</w:t>
      </w:r>
      <w:r w:rsidRPr="003207A5" w:rsidR="003207A5">
        <w:rPr>
          <w:rFonts w:eastAsia="Arial"/>
        </w:rPr>
        <w:t xml:space="preserve">ubmit </w:t>
      </w:r>
      <w:r w:rsidR="003F0B31">
        <w:rPr>
          <w:rFonts w:eastAsia="Arial"/>
        </w:rPr>
        <w:t xml:space="preserve">to the Agreement States </w:t>
      </w:r>
      <w:r w:rsidRPr="003207A5" w:rsidR="003207A5">
        <w:rPr>
          <w:rFonts w:eastAsia="Arial"/>
        </w:rPr>
        <w:t xml:space="preserve">a description of </w:t>
      </w:r>
      <w:r w:rsidR="00AF3086">
        <w:rPr>
          <w:rFonts w:eastAsia="Arial"/>
        </w:rPr>
        <w:t>changes</w:t>
      </w:r>
      <w:r w:rsidRPr="003207A5" w:rsidR="003207A5">
        <w:rPr>
          <w:rFonts w:eastAsia="Arial"/>
        </w:rPr>
        <w:t xml:space="preserve"> that reduce commitments</w:t>
      </w:r>
      <w:r w:rsidR="00186EA6">
        <w:rPr>
          <w:rFonts w:eastAsia="Arial"/>
        </w:rPr>
        <w:t xml:space="preserve"> </w:t>
      </w:r>
      <w:r w:rsidR="00C03C7E">
        <w:rPr>
          <w:rFonts w:eastAsia="Arial"/>
        </w:rPr>
        <w:t xml:space="preserve">to the quality assurance plan </w:t>
      </w:r>
      <w:r w:rsidR="00186EA6">
        <w:rPr>
          <w:rFonts w:eastAsia="Arial"/>
        </w:rPr>
        <w:t>and show that t</w:t>
      </w:r>
      <w:r w:rsidR="00E81C4E">
        <w:rPr>
          <w:rFonts w:eastAsia="Arial"/>
        </w:rPr>
        <w:t>he changes meet the applicable requirements of Subpart H to 10 CFR Part 71</w:t>
      </w:r>
      <w:r w:rsidRPr="1391327A" w:rsidR="00D51C9A">
        <w:rPr>
          <w:rFonts w:eastAsia="Arial"/>
        </w:rPr>
        <w:t>.  This represents an increase to the</w:t>
      </w:r>
      <w:r w:rsidR="00C03C7E">
        <w:rPr>
          <w:rFonts w:eastAsia="Arial"/>
        </w:rPr>
        <w:t xml:space="preserve"> third party</w:t>
      </w:r>
      <w:r w:rsidRPr="1391327A" w:rsidR="00D51C9A">
        <w:rPr>
          <w:rFonts w:eastAsia="Arial"/>
        </w:rPr>
        <w:t xml:space="preserve"> reporting burden.  The requirements in </w:t>
      </w:r>
      <w:r w:rsidRPr="1391327A" w:rsidR="002611C3">
        <w:rPr>
          <w:rFonts w:eastAsia="Arial"/>
        </w:rPr>
        <w:t>§ 71.</w:t>
      </w:r>
      <w:r w:rsidR="002611C3">
        <w:rPr>
          <w:rFonts w:eastAsia="Arial"/>
        </w:rPr>
        <w:t>106</w:t>
      </w:r>
      <w:r w:rsidRPr="1391327A" w:rsidR="002611C3">
        <w:rPr>
          <w:rFonts w:eastAsia="Arial"/>
        </w:rPr>
        <w:t>(</w:t>
      </w:r>
      <w:r w:rsidR="002611C3">
        <w:rPr>
          <w:rFonts w:eastAsia="Arial"/>
        </w:rPr>
        <w:t>a</w:t>
      </w:r>
      <w:r w:rsidRPr="1391327A" w:rsidR="002611C3">
        <w:rPr>
          <w:rFonts w:eastAsia="Arial"/>
        </w:rPr>
        <w:t>) involve recordkeeping</w:t>
      </w:r>
      <w:r w:rsidR="002611C3">
        <w:rPr>
          <w:rFonts w:eastAsia="Arial"/>
        </w:rPr>
        <w:t xml:space="preserve"> but are covered under </w:t>
      </w:r>
      <w:r w:rsidRPr="1391327A" w:rsidR="002611C3">
        <w:rPr>
          <w:rFonts w:eastAsia="Arial"/>
        </w:rPr>
        <w:t>§ 71.</w:t>
      </w:r>
      <w:r w:rsidR="002611C3">
        <w:rPr>
          <w:rFonts w:eastAsia="Arial"/>
        </w:rPr>
        <w:t>91(d)</w:t>
      </w:r>
      <w:r w:rsidRPr="1391327A" w:rsidR="00D51C9A">
        <w:rPr>
          <w:rFonts w:eastAsia="Arial"/>
        </w:rPr>
        <w:t xml:space="preserve">. </w:t>
      </w:r>
      <w:r w:rsidR="00D51C9A">
        <w:rPr>
          <w:rFonts w:eastAsia="Arial"/>
        </w:rPr>
        <w:t xml:space="preserve"> </w:t>
      </w:r>
      <w:r w:rsidRPr="1391327A" w:rsidR="00D51C9A">
        <w:rPr>
          <w:rFonts w:eastAsia="Arial"/>
        </w:rPr>
        <w:t xml:space="preserve">This would represent an increase in </w:t>
      </w:r>
      <w:r w:rsidR="0023347B">
        <w:rPr>
          <w:rFonts w:eastAsia="Arial"/>
        </w:rPr>
        <w:t>25</w:t>
      </w:r>
      <w:r w:rsidRPr="1391327A" w:rsidR="00D51C9A">
        <w:rPr>
          <w:rFonts w:eastAsia="Arial"/>
        </w:rPr>
        <w:t xml:space="preserve"> hours of reporting burden and </w:t>
      </w:r>
      <w:r w:rsidR="0023347B">
        <w:rPr>
          <w:rFonts w:eastAsia="Arial"/>
        </w:rPr>
        <w:t>1</w:t>
      </w:r>
      <w:r w:rsidRPr="1391327A" w:rsidR="00D51C9A">
        <w:rPr>
          <w:rFonts w:eastAsia="Arial"/>
        </w:rPr>
        <w:t xml:space="preserve"> response</w:t>
      </w:r>
      <w:r w:rsidRPr="756A8B72">
        <w:rPr>
          <w:rFonts w:eastAsia="Arial"/>
        </w:rPr>
        <w:t>.</w:t>
      </w:r>
    </w:p>
    <w:p w:rsidR="00443CC5" w:rsidP="002E7D6B" w:rsidRDefault="00443CC5" w14:paraId="17654B8B" w14:textId="77777777">
      <w:pPr>
        <w:spacing w:line="240" w:lineRule="auto"/>
        <w:ind w:left="720"/>
        <w:rPr>
          <w:rFonts w:eastAsia="Arial"/>
        </w:rPr>
      </w:pPr>
    </w:p>
    <w:p w:rsidR="00443CC5" w:rsidP="002E7D6B" w:rsidRDefault="00443CC5" w14:paraId="240FCF5E" w14:textId="55A3E333">
      <w:pPr>
        <w:spacing w:line="240" w:lineRule="auto"/>
        <w:ind w:left="1080"/>
      </w:pPr>
      <w:r w:rsidRPr="756A8B72">
        <w:rPr>
          <w:rFonts w:eastAsia="Arial"/>
        </w:rPr>
        <w:t>In § 71.</w:t>
      </w:r>
      <w:r w:rsidR="00D04684">
        <w:rPr>
          <w:rFonts w:eastAsia="Arial"/>
        </w:rPr>
        <w:t>106</w:t>
      </w:r>
      <w:r w:rsidRPr="756A8B72">
        <w:rPr>
          <w:rFonts w:eastAsia="Arial"/>
        </w:rPr>
        <w:t>(</w:t>
      </w:r>
      <w:r w:rsidR="00D04684">
        <w:rPr>
          <w:rFonts w:eastAsia="Arial"/>
        </w:rPr>
        <w:t>b</w:t>
      </w:r>
      <w:r w:rsidRPr="756A8B72">
        <w:rPr>
          <w:rFonts w:eastAsia="Arial"/>
        </w:rPr>
        <w:t xml:space="preserve">), the NRC is proposing to </w:t>
      </w:r>
      <w:r w:rsidR="0023347B">
        <w:rPr>
          <w:rFonts w:eastAsia="Arial"/>
        </w:rPr>
        <w:t>revise the Agreement State compatibility category to require Agreement State licensees to</w:t>
      </w:r>
      <w:r w:rsidRPr="002D6F12" w:rsidR="0023347B">
        <w:rPr>
          <w:rFonts w:eastAsia="Arial"/>
        </w:rPr>
        <w:t xml:space="preserve"> </w:t>
      </w:r>
      <w:r w:rsidR="0023347B">
        <w:rPr>
          <w:rFonts w:eastAsia="Arial"/>
        </w:rPr>
        <w:t>s</w:t>
      </w:r>
      <w:r w:rsidRPr="0023347B" w:rsidR="0023347B">
        <w:rPr>
          <w:rFonts w:eastAsia="Arial"/>
        </w:rPr>
        <w:t xml:space="preserve">ubmit </w:t>
      </w:r>
      <w:r w:rsidR="003F0B31">
        <w:rPr>
          <w:rFonts w:eastAsia="Arial"/>
        </w:rPr>
        <w:t xml:space="preserve">to the Agreement States </w:t>
      </w:r>
      <w:r w:rsidRPr="0023347B" w:rsidR="0023347B">
        <w:rPr>
          <w:rFonts w:eastAsia="Arial"/>
        </w:rPr>
        <w:t>a biennial report of changes to quality assurance plans that do not reduce commitments or if no changes were made</w:t>
      </w:r>
      <w:r w:rsidRPr="1391327A" w:rsidR="00D51C9A">
        <w:rPr>
          <w:rFonts w:eastAsia="Arial"/>
        </w:rPr>
        <w:t xml:space="preserve">.  This represents an increase to the </w:t>
      </w:r>
      <w:r w:rsidR="003F0B31">
        <w:rPr>
          <w:rFonts w:eastAsia="Arial"/>
        </w:rPr>
        <w:t xml:space="preserve">third party </w:t>
      </w:r>
      <w:r w:rsidRPr="1391327A" w:rsidR="00D51C9A">
        <w:rPr>
          <w:rFonts w:eastAsia="Arial"/>
        </w:rPr>
        <w:t xml:space="preserve">reporting burden.  </w:t>
      </w:r>
      <w:r w:rsidRPr="1391327A" w:rsidR="00EF3BA5">
        <w:rPr>
          <w:rFonts w:eastAsia="Arial"/>
        </w:rPr>
        <w:t>The requirements in § 71.</w:t>
      </w:r>
      <w:r w:rsidR="00EF3BA5">
        <w:rPr>
          <w:rFonts w:eastAsia="Arial"/>
        </w:rPr>
        <w:t>106</w:t>
      </w:r>
      <w:r w:rsidRPr="1391327A" w:rsidR="00EF3BA5">
        <w:rPr>
          <w:rFonts w:eastAsia="Arial"/>
        </w:rPr>
        <w:t>(</w:t>
      </w:r>
      <w:r w:rsidR="00EF3BA5">
        <w:rPr>
          <w:rFonts w:eastAsia="Arial"/>
        </w:rPr>
        <w:t>b</w:t>
      </w:r>
      <w:r w:rsidRPr="1391327A" w:rsidR="00EF3BA5">
        <w:rPr>
          <w:rFonts w:eastAsia="Arial"/>
        </w:rPr>
        <w:t>) involve recordkeeping</w:t>
      </w:r>
      <w:r w:rsidR="00EF3BA5">
        <w:rPr>
          <w:rFonts w:eastAsia="Arial"/>
        </w:rPr>
        <w:t xml:space="preserve"> but are covered under </w:t>
      </w:r>
      <w:r w:rsidRPr="1391327A" w:rsidR="00EF3BA5">
        <w:rPr>
          <w:rFonts w:eastAsia="Arial"/>
        </w:rPr>
        <w:t>§ 71.</w:t>
      </w:r>
      <w:r w:rsidR="00EF3BA5">
        <w:rPr>
          <w:rFonts w:eastAsia="Arial"/>
        </w:rPr>
        <w:t>91(d)</w:t>
      </w:r>
      <w:r w:rsidRPr="1391327A" w:rsidR="00D51C9A">
        <w:rPr>
          <w:rFonts w:eastAsia="Arial"/>
        </w:rPr>
        <w:t xml:space="preserve">. </w:t>
      </w:r>
      <w:r w:rsidR="00D51C9A">
        <w:rPr>
          <w:rFonts w:eastAsia="Arial"/>
        </w:rPr>
        <w:t xml:space="preserve"> </w:t>
      </w:r>
      <w:r w:rsidRPr="1391327A" w:rsidR="00D51C9A">
        <w:rPr>
          <w:rFonts w:eastAsia="Arial"/>
        </w:rPr>
        <w:t xml:space="preserve">This would represent an increase in 10 hours of reporting burden and </w:t>
      </w:r>
      <w:r w:rsidR="00EF3BA5">
        <w:rPr>
          <w:rFonts w:eastAsia="Arial"/>
        </w:rPr>
        <w:t>10</w:t>
      </w:r>
      <w:r w:rsidRPr="1391327A" w:rsidR="00D51C9A">
        <w:rPr>
          <w:rFonts w:eastAsia="Arial"/>
        </w:rPr>
        <w:t xml:space="preserve"> responses</w:t>
      </w:r>
      <w:r w:rsidRPr="756A8B72">
        <w:rPr>
          <w:rFonts w:eastAsia="Arial"/>
        </w:rPr>
        <w:t>.</w:t>
      </w:r>
    </w:p>
    <w:p w:rsidR="00443CC5" w:rsidP="002E7D6B" w:rsidRDefault="00443CC5" w14:paraId="0D9301A6" w14:textId="77777777">
      <w:pPr>
        <w:spacing w:line="240" w:lineRule="auto"/>
        <w:ind w:left="720"/>
        <w:rPr>
          <w:rFonts w:eastAsia="Arial"/>
        </w:rPr>
      </w:pPr>
    </w:p>
    <w:p w:rsidR="000A7F07" w:rsidP="002E7D6B" w:rsidRDefault="000A7F07" w14:paraId="6561E0BF" w14:textId="77777777">
      <w:pPr>
        <w:spacing w:line="240" w:lineRule="auto"/>
        <w:ind w:left="1080"/>
      </w:pPr>
      <w:r w:rsidRPr="1391327A">
        <w:rPr>
          <w:rFonts w:eastAsia="Arial"/>
        </w:rPr>
        <w:t>In § 71.106(b), the NRC is proposing to add a new requirement to notify the NRC every 24 months even if there are no changes to the approval holder’s quality assurance program.  This represents an increase to both reporting and recordkeeping burdens. This would represent an increase in 1.5 hours of reporting burden, 1.5 hours of recordkeeping burden and 1.5 responses.</w:t>
      </w:r>
    </w:p>
    <w:p w:rsidR="000A7F07" w:rsidP="002E7D6B" w:rsidRDefault="000A7F07" w14:paraId="76F7F5C5" w14:textId="77777777">
      <w:pPr>
        <w:widowControl w:val="0"/>
        <w:spacing w:line="240" w:lineRule="auto"/>
        <w:rPr>
          <w:u w:val="single"/>
        </w:rPr>
      </w:pPr>
    </w:p>
    <w:p w:rsidR="000A7F07" w:rsidP="002E7D6B" w:rsidRDefault="000A7F07" w14:paraId="219C8679" w14:textId="77777777">
      <w:pPr>
        <w:pStyle w:val="Level1"/>
        <w:numPr>
          <w:ilvl w:val="0"/>
          <w:numId w:val="3"/>
        </w:numPr>
        <w:rPr>
          <w:rFonts w:ascii="Arial" w:hAnsi="Arial"/>
          <w:sz w:val="22"/>
        </w:rPr>
      </w:pPr>
      <w:r>
        <w:rPr>
          <w:rFonts w:ascii="Arial" w:hAnsi="Arial"/>
          <w:sz w:val="22"/>
          <w:u w:val="single"/>
        </w:rPr>
        <w:t>Publication for Statistical Use</w:t>
      </w:r>
    </w:p>
    <w:p w:rsidR="000A7F07" w:rsidP="002E7D6B" w:rsidRDefault="000A7F07" w14:paraId="0CDF85D5" w14:textId="77777777">
      <w:pPr>
        <w:pStyle w:val="Level1"/>
        <w:rPr>
          <w:rFonts w:ascii="Arial" w:hAnsi="Arial"/>
          <w:sz w:val="22"/>
        </w:rPr>
      </w:pPr>
    </w:p>
    <w:p w:rsidRPr="00594502" w:rsidR="000A7F07" w:rsidP="002E7D6B" w:rsidRDefault="000A7F07" w14:paraId="761E06DB" w14:textId="77777777">
      <w:pPr>
        <w:pStyle w:val="Level1"/>
        <w:ind w:left="1080"/>
        <w:rPr>
          <w:rFonts w:ascii="Arial" w:hAnsi="Arial"/>
          <w:sz w:val="22"/>
          <w:u w:val="single"/>
        </w:rPr>
      </w:pPr>
      <w:r>
        <w:rPr>
          <w:rFonts w:ascii="Arial" w:hAnsi="Arial"/>
          <w:sz w:val="22"/>
        </w:rPr>
        <w:t xml:space="preserve">Not applicable.  </w:t>
      </w:r>
      <w:r w:rsidRPr="00AA56FD">
        <w:rPr>
          <w:rFonts w:ascii="Arial" w:hAnsi="Arial"/>
          <w:sz w:val="22"/>
        </w:rPr>
        <w:t>The information being collected is not expected to be published for statistical use.</w:t>
      </w:r>
    </w:p>
    <w:p w:rsidR="000A7F07" w:rsidP="002E7D6B" w:rsidRDefault="000A7F07" w14:paraId="78F9EE86" w14:textId="77777777">
      <w:pPr>
        <w:pStyle w:val="Level1"/>
        <w:rPr>
          <w:rFonts w:ascii="Arial" w:hAnsi="Arial"/>
          <w:sz w:val="22"/>
        </w:rPr>
      </w:pPr>
    </w:p>
    <w:p w:rsidR="000A7F07" w:rsidP="002E7D6B" w:rsidRDefault="000A7F07" w14:paraId="27408B55" w14:textId="77777777">
      <w:pPr>
        <w:pStyle w:val="Level1"/>
        <w:numPr>
          <w:ilvl w:val="0"/>
          <w:numId w:val="3"/>
        </w:numPr>
        <w:rPr>
          <w:rFonts w:ascii="Arial" w:hAnsi="Arial"/>
          <w:sz w:val="22"/>
        </w:rPr>
      </w:pPr>
      <w:r>
        <w:rPr>
          <w:rFonts w:ascii="Arial" w:hAnsi="Arial"/>
          <w:sz w:val="22"/>
          <w:u w:val="single"/>
        </w:rPr>
        <w:t>Reason for Not Displaying the Expiration Date</w:t>
      </w:r>
    </w:p>
    <w:p w:rsidR="000A7F07" w:rsidP="002E7D6B" w:rsidRDefault="000A7F07" w14:paraId="722E1112" w14:textId="77777777">
      <w:pPr>
        <w:pStyle w:val="Level1"/>
        <w:rPr>
          <w:rFonts w:ascii="Arial" w:hAnsi="Arial"/>
          <w:sz w:val="22"/>
        </w:rPr>
      </w:pPr>
    </w:p>
    <w:p w:rsidRPr="00594502" w:rsidR="000A7F07" w:rsidP="002E7D6B" w:rsidRDefault="000A7F07" w14:paraId="6C51CD88" w14:textId="77777777">
      <w:pPr>
        <w:pStyle w:val="Level1"/>
        <w:ind w:left="1080"/>
        <w:rPr>
          <w:rFonts w:ascii="Arial" w:hAnsi="Arial"/>
          <w:sz w:val="22"/>
        </w:rPr>
      </w:pPr>
      <w:r w:rsidRPr="00FC134E">
        <w:rPr>
          <w:rFonts w:ascii="Arial" w:hAnsi="Arial"/>
          <w:sz w:val="22"/>
        </w:rPr>
        <w:t>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0A7F07" w:rsidP="002E7D6B" w:rsidRDefault="000A7F07" w14:paraId="1946CD20" w14:textId="77777777">
      <w:pPr>
        <w:pStyle w:val="Level1"/>
        <w:rPr>
          <w:rFonts w:ascii="Arial" w:hAnsi="Arial"/>
          <w:sz w:val="22"/>
        </w:rPr>
      </w:pPr>
    </w:p>
    <w:p w:rsidRPr="002A64F1" w:rsidR="000A7F07" w:rsidP="002E7D6B" w:rsidRDefault="000A7F07" w14:paraId="4C37FBB2" w14:textId="77777777">
      <w:pPr>
        <w:pStyle w:val="Level1"/>
        <w:numPr>
          <w:ilvl w:val="0"/>
          <w:numId w:val="3"/>
        </w:numPr>
        <w:rPr>
          <w:rFonts w:ascii="Arial" w:hAnsi="Arial"/>
          <w:sz w:val="22"/>
        </w:rPr>
      </w:pPr>
      <w:r>
        <w:rPr>
          <w:rFonts w:ascii="Arial" w:hAnsi="Arial"/>
          <w:sz w:val="22"/>
          <w:u w:val="single"/>
        </w:rPr>
        <w:t>Exceptions to the Certification Statement</w:t>
      </w:r>
    </w:p>
    <w:p w:rsidR="000A7F07" w:rsidP="002E7D6B" w:rsidRDefault="000A7F07" w14:paraId="1ABFC8EA" w14:textId="77777777">
      <w:pPr>
        <w:pStyle w:val="Level1"/>
        <w:rPr>
          <w:rFonts w:ascii="Arial" w:hAnsi="Arial"/>
          <w:sz w:val="22"/>
          <w:u w:val="single"/>
        </w:rPr>
      </w:pPr>
    </w:p>
    <w:p w:rsidRPr="00594502" w:rsidR="000A7F07" w:rsidP="002E7D6B" w:rsidRDefault="000A7F07" w14:paraId="4A8B660A" w14:textId="77777777">
      <w:pPr>
        <w:pStyle w:val="Level1"/>
        <w:ind w:left="1080"/>
        <w:rPr>
          <w:rFonts w:ascii="Arial" w:hAnsi="Arial"/>
          <w:sz w:val="22"/>
        </w:rPr>
      </w:pPr>
      <w:r w:rsidRPr="5F5ADB27">
        <w:rPr>
          <w:rFonts w:ascii="Arial" w:hAnsi="Arial"/>
          <w:sz w:val="22"/>
          <w:szCs w:val="22"/>
        </w:rPr>
        <w:t>There are no exceptions.</w:t>
      </w:r>
    </w:p>
    <w:p w:rsidR="000A7F07" w:rsidP="002E7D6B" w:rsidRDefault="000A7F07" w14:paraId="1D40B3A3" w14:textId="77777777">
      <w:pPr>
        <w:spacing w:line="240" w:lineRule="auto"/>
        <w:rPr>
          <w:rFonts w:eastAsia="Arial"/>
        </w:rPr>
      </w:pPr>
    </w:p>
    <w:p w:rsidR="000A7F07" w:rsidP="002E7D6B" w:rsidRDefault="000A7F07" w14:paraId="56384895" w14:textId="77777777">
      <w:pPr>
        <w:pStyle w:val="ListParagraph"/>
        <w:numPr>
          <w:ilvl w:val="0"/>
          <w:numId w:val="1"/>
        </w:numPr>
        <w:spacing w:line="240" w:lineRule="auto"/>
        <w:rPr>
          <w:rFonts w:asciiTheme="minorHAnsi" w:hAnsiTheme="minorHAnsi" w:eastAsiaTheme="minorEastAsia" w:cstheme="minorBidi"/>
        </w:rPr>
      </w:pPr>
      <w:r w:rsidRPr="5F5ADB27">
        <w:rPr>
          <w:rFonts w:eastAsia="Arial"/>
        </w:rPr>
        <w:t xml:space="preserve">         COLLECTIONS OF INFORMATION EMPLOYING STATISTICAL METHODS</w:t>
      </w:r>
    </w:p>
    <w:p w:rsidR="000A7F07" w:rsidP="002E7D6B" w:rsidRDefault="000A7F07" w14:paraId="48456A33" w14:textId="77777777">
      <w:pPr>
        <w:spacing w:line="240" w:lineRule="auto"/>
      </w:pPr>
      <w:r w:rsidRPr="5F5ADB27">
        <w:rPr>
          <w:rFonts w:eastAsia="Arial"/>
        </w:rPr>
        <w:t xml:space="preserve"> </w:t>
      </w:r>
    </w:p>
    <w:p w:rsidR="000A7F07" w:rsidP="002E7D6B" w:rsidRDefault="000A7F07" w14:paraId="2A07F9D9" w14:textId="77777777">
      <w:pPr>
        <w:spacing w:line="240" w:lineRule="auto"/>
        <w:ind w:left="720"/>
      </w:pPr>
      <w:r w:rsidRPr="5F5ADB27">
        <w:rPr>
          <w:rFonts w:eastAsia="Arial"/>
        </w:rPr>
        <w:t xml:space="preserve">       Not applicable</w:t>
      </w:r>
    </w:p>
    <w:p w:rsidR="000A7F07" w:rsidP="002E7D6B" w:rsidRDefault="000A7F07" w14:paraId="0F08D313" w14:textId="77777777">
      <w:pPr>
        <w:spacing w:line="240" w:lineRule="auto"/>
        <w:rPr>
          <w:rFonts w:eastAsia="Arial"/>
        </w:rPr>
      </w:pPr>
    </w:p>
    <w:p w:rsidR="000A7F07" w:rsidP="002E7D6B" w:rsidRDefault="000A7F07" w14:paraId="60964030" w14:textId="77777777">
      <w:pPr>
        <w:pStyle w:val="Level1"/>
        <w:ind w:left="1080"/>
        <w:rPr>
          <w:rFonts w:ascii="Arial" w:hAnsi="Arial"/>
          <w:sz w:val="22"/>
          <w:szCs w:val="22"/>
        </w:rPr>
      </w:pPr>
    </w:p>
    <w:p w:rsidR="000A7F07" w:rsidP="002E7D6B" w:rsidRDefault="000A7F07" w14:paraId="7F296BCB" w14:textId="77777777">
      <w:pPr>
        <w:spacing w:line="240" w:lineRule="auto"/>
      </w:pPr>
    </w:p>
    <w:sectPr w:rsidR="000A7F0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B9BF" w14:textId="77777777" w:rsidR="00194A73" w:rsidRDefault="00194A73" w:rsidP="00CB1894">
      <w:pPr>
        <w:spacing w:line="240" w:lineRule="auto"/>
      </w:pPr>
      <w:r>
        <w:separator/>
      </w:r>
    </w:p>
  </w:endnote>
  <w:endnote w:type="continuationSeparator" w:id="0">
    <w:p w14:paraId="041BA3FF" w14:textId="77777777" w:rsidR="00194A73" w:rsidRDefault="00194A73" w:rsidP="00CB1894">
      <w:pPr>
        <w:spacing w:line="240" w:lineRule="auto"/>
      </w:pPr>
      <w:r>
        <w:continuationSeparator/>
      </w:r>
    </w:p>
  </w:endnote>
  <w:endnote w:type="continuationNotice" w:id="1">
    <w:p w14:paraId="4B41B118" w14:textId="77777777" w:rsidR="00194A73" w:rsidRDefault="00194A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A0AF" w14:textId="77777777" w:rsidR="00525A94" w:rsidRDefault="00525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508A" w14:textId="77777777" w:rsidR="00194A73" w:rsidRDefault="00194A73" w:rsidP="00CB1894">
      <w:pPr>
        <w:spacing w:line="240" w:lineRule="auto"/>
      </w:pPr>
      <w:r>
        <w:separator/>
      </w:r>
    </w:p>
  </w:footnote>
  <w:footnote w:type="continuationSeparator" w:id="0">
    <w:p w14:paraId="23282DD0" w14:textId="77777777" w:rsidR="00194A73" w:rsidRDefault="00194A73" w:rsidP="00CB1894">
      <w:pPr>
        <w:spacing w:line="240" w:lineRule="auto"/>
      </w:pPr>
      <w:r>
        <w:continuationSeparator/>
      </w:r>
    </w:p>
  </w:footnote>
  <w:footnote w:type="continuationNotice" w:id="1">
    <w:p w14:paraId="58B95CCF" w14:textId="77777777" w:rsidR="00194A73" w:rsidRDefault="00194A73">
      <w:pPr>
        <w:spacing w:line="240" w:lineRule="auto"/>
      </w:pPr>
    </w:p>
  </w:footnote>
  <w:footnote w:id="2">
    <w:p w14:paraId="2A2C972B" w14:textId="77777777" w:rsidR="000A7F07" w:rsidRDefault="000A7F07" w:rsidP="00CB1894">
      <w:pPr>
        <w:pStyle w:val="FootnoteText"/>
      </w:pPr>
      <w:r>
        <w:rPr>
          <w:rStyle w:val="FootnoteReference"/>
        </w:rPr>
        <w:footnoteRef/>
      </w:r>
      <w:r>
        <w:t xml:space="preserve"> </w:t>
      </w:r>
      <w:r w:rsidRPr="00AB55A3">
        <w:rPr>
          <w:rFonts w:ascii="Arial" w:hAnsi="Arial" w:cs="Arial"/>
        </w:rPr>
        <w:t>Type</w:t>
      </w:r>
      <w:r>
        <w:rPr>
          <w:rFonts w:ascii="Arial" w:hAnsi="Arial" w:cs="Arial"/>
        </w:rPr>
        <w:t>s</w:t>
      </w:r>
      <w:r w:rsidRPr="00AB55A3">
        <w:rPr>
          <w:rFonts w:ascii="Arial" w:hAnsi="Arial" w:cs="Arial"/>
        </w:rPr>
        <w:t xml:space="preserve"> </w:t>
      </w:r>
      <w:r>
        <w:rPr>
          <w:rFonts w:ascii="Arial" w:hAnsi="Arial" w:cs="Arial"/>
        </w:rPr>
        <w:t xml:space="preserve">A and </w:t>
      </w:r>
      <w:r w:rsidRPr="00AB55A3">
        <w:rPr>
          <w:rFonts w:ascii="Arial" w:hAnsi="Arial" w:cs="Arial"/>
        </w:rPr>
        <w:t>B quantit</w:t>
      </w:r>
      <w:r>
        <w:rPr>
          <w:rFonts w:ascii="Arial" w:hAnsi="Arial" w:cs="Arial"/>
        </w:rPr>
        <w:t>ies</w:t>
      </w:r>
      <w:r w:rsidRPr="00AB55A3">
        <w:rPr>
          <w:rFonts w:ascii="Arial" w:hAnsi="Arial" w:cs="Arial"/>
        </w:rPr>
        <w:t xml:space="preserve"> of radioactive material </w:t>
      </w:r>
      <w:r>
        <w:rPr>
          <w:rFonts w:ascii="Arial" w:hAnsi="Arial" w:cs="Arial"/>
        </w:rPr>
        <w:t>are defined in § 71.4</w:t>
      </w:r>
      <w:r w:rsidRPr="00AB55A3">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D348" w14:textId="77777777" w:rsidR="00525A94" w:rsidRDefault="00525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623A4"/>
    <w:multiLevelType w:val="hybridMultilevel"/>
    <w:tmpl w:val="FFFFFFFF"/>
    <w:lvl w:ilvl="0" w:tplc="14986386">
      <w:start w:val="2"/>
      <w:numFmt w:val="upperLetter"/>
      <w:lvlText w:val="%1."/>
      <w:lvlJc w:val="left"/>
      <w:pPr>
        <w:ind w:left="720" w:hanging="360"/>
      </w:pPr>
    </w:lvl>
    <w:lvl w:ilvl="1" w:tplc="626AE058">
      <w:start w:val="1"/>
      <w:numFmt w:val="lowerLetter"/>
      <w:lvlText w:val="%2."/>
      <w:lvlJc w:val="left"/>
      <w:pPr>
        <w:ind w:left="1440" w:hanging="360"/>
      </w:pPr>
    </w:lvl>
    <w:lvl w:ilvl="2" w:tplc="2DC2AF4A">
      <w:start w:val="1"/>
      <w:numFmt w:val="lowerRoman"/>
      <w:lvlText w:val="%3."/>
      <w:lvlJc w:val="right"/>
      <w:pPr>
        <w:ind w:left="2160" w:hanging="180"/>
      </w:pPr>
    </w:lvl>
    <w:lvl w:ilvl="3" w:tplc="24A2B338">
      <w:start w:val="1"/>
      <w:numFmt w:val="decimal"/>
      <w:lvlText w:val="%4."/>
      <w:lvlJc w:val="left"/>
      <w:pPr>
        <w:ind w:left="2880" w:hanging="360"/>
      </w:pPr>
    </w:lvl>
    <w:lvl w:ilvl="4" w:tplc="1FBA968C">
      <w:start w:val="1"/>
      <w:numFmt w:val="lowerLetter"/>
      <w:lvlText w:val="%5."/>
      <w:lvlJc w:val="left"/>
      <w:pPr>
        <w:ind w:left="3600" w:hanging="360"/>
      </w:pPr>
    </w:lvl>
    <w:lvl w:ilvl="5" w:tplc="03EE365A">
      <w:start w:val="1"/>
      <w:numFmt w:val="lowerRoman"/>
      <w:lvlText w:val="%6."/>
      <w:lvlJc w:val="right"/>
      <w:pPr>
        <w:ind w:left="4320" w:hanging="180"/>
      </w:pPr>
    </w:lvl>
    <w:lvl w:ilvl="6" w:tplc="95DC9A92">
      <w:start w:val="1"/>
      <w:numFmt w:val="decimal"/>
      <w:lvlText w:val="%7."/>
      <w:lvlJc w:val="left"/>
      <w:pPr>
        <w:ind w:left="5040" w:hanging="360"/>
      </w:pPr>
    </w:lvl>
    <w:lvl w:ilvl="7" w:tplc="8252EAC2">
      <w:start w:val="1"/>
      <w:numFmt w:val="lowerLetter"/>
      <w:lvlText w:val="%8."/>
      <w:lvlJc w:val="left"/>
      <w:pPr>
        <w:ind w:left="5760" w:hanging="360"/>
      </w:pPr>
    </w:lvl>
    <w:lvl w:ilvl="8" w:tplc="D88284F2">
      <w:start w:val="1"/>
      <w:numFmt w:val="lowerRoman"/>
      <w:lvlText w:val="%9."/>
      <w:lvlJc w:val="right"/>
      <w:pPr>
        <w:ind w:left="6480" w:hanging="180"/>
      </w:pPr>
    </w:lvl>
  </w:abstractNum>
  <w:num w:numId="1" w16cid:durableId="793905674">
    <w:abstractNumId w:val="4"/>
  </w:num>
  <w:num w:numId="2" w16cid:durableId="156070397">
    <w:abstractNumId w:val="3"/>
  </w:num>
  <w:num w:numId="3" w16cid:durableId="725295896">
    <w:abstractNumId w:val="0"/>
  </w:num>
  <w:num w:numId="4" w16cid:durableId="583104824">
    <w:abstractNumId w:val="2"/>
  </w:num>
  <w:num w:numId="5" w16cid:durableId="689919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35A2"/>
    <w:rsid w:val="00012C8A"/>
    <w:rsid w:val="00021CDC"/>
    <w:rsid w:val="0002614D"/>
    <w:rsid w:val="000261EA"/>
    <w:rsid w:val="0002688B"/>
    <w:rsid w:val="00027A71"/>
    <w:rsid w:val="0003118D"/>
    <w:rsid w:val="00032CE9"/>
    <w:rsid w:val="00034458"/>
    <w:rsid w:val="0003641B"/>
    <w:rsid w:val="00036EC4"/>
    <w:rsid w:val="00041CB0"/>
    <w:rsid w:val="0004211F"/>
    <w:rsid w:val="00042CEB"/>
    <w:rsid w:val="000434B0"/>
    <w:rsid w:val="00045966"/>
    <w:rsid w:val="000465D9"/>
    <w:rsid w:val="000467C5"/>
    <w:rsid w:val="00050BDD"/>
    <w:rsid w:val="0005123E"/>
    <w:rsid w:val="000602CE"/>
    <w:rsid w:val="00060C71"/>
    <w:rsid w:val="000637C0"/>
    <w:rsid w:val="00064F55"/>
    <w:rsid w:val="00065144"/>
    <w:rsid w:val="0006649D"/>
    <w:rsid w:val="00083412"/>
    <w:rsid w:val="00085AA2"/>
    <w:rsid w:val="00086894"/>
    <w:rsid w:val="00086E65"/>
    <w:rsid w:val="0008777A"/>
    <w:rsid w:val="000901D2"/>
    <w:rsid w:val="00090240"/>
    <w:rsid w:val="00091E87"/>
    <w:rsid w:val="00092A50"/>
    <w:rsid w:val="00093E23"/>
    <w:rsid w:val="00095184"/>
    <w:rsid w:val="000A0872"/>
    <w:rsid w:val="000A0E99"/>
    <w:rsid w:val="000A13C1"/>
    <w:rsid w:val="000A6A20"/>
    <w:rsid w:val="000A7F07"/>
    <w:rsid w:val="000B044F"/>
    <w:rsid w:val="000B17A6"/>
    <w:rsid w:val="000B31C4"/>
    <w:rsid w:val="000B3AB7"/>
    <w:rsid w:val="000B3F49"/>
    <w:rsid w:val="000B49C4"/>
    <w:rsid w:val="000B4A9C"/>
    <w:rsid w:val="000B5857"/>
    <w:rsid w:val="000C4CD5"/>
    <w:rsid w:val="000C569F"/>
    <w:rsid w:val="000C73BE"/>
    <w:rsid w:val="000D2D59"/>
    <w:rsid w:val="000E41DE"/>
    <w:rsid w:val="000E46DC"/>
    <w:rsid w:val="000E6229"/>
    <w:rsid w:val="000F2559"/>
    <w:rsid w:val="000F3A9A"/>
    <w:rsid w:val="000F46FA"/>
    <w:rsid w:val="000F6507"/>
    <w:rsid w:val="00100166"/>
    <w:rsid w:val="00101DEE"/>
    <w:rsid w:val="00104CC5"/>
    <w:rsid w:val="00106315"/>
    <w:rsid w:val="00106CCF"/>
    <w:rsid w:val="00106F54"/>
    <w:rsid w:val="00107B5C"/>
    <w:rsid w:val="00111152"/>
    <w:rsid w:val="0011125C"/>
    <w:rsid w:val="00117347"/>
    <w:rsid w:val="00122070"/>
    <w:rsid w:val="00122A7D"/>
    <w:rsid w:val="001244E7"/>
    <w:rsid w:val="001249AA"/>
    <w:rsid w:val="00125CD9"/>
    <w:rsid w:val="001353E8"/>
    <w:rsid w:val="001358A8"/>
    <w:rsid w:val="00136177"/>
    <w:rsid w:val="00137902"/>
    <w:rsid w:val="00144D83"/>
    <w:rsid w:val="00153085"/>
    <w:rsid w:val="0016050E"/>
    <w:rsid w:val="001705CE"/>
    <w:rsid w:val="00171FF9"/>
    <w:rsid w:val="001721C5"/>
    <w:rsid w:val="001721F1"/>
    <w:rsid w:val="0017309E"/>
    <w:rsid w:val="00174EE7"/>
    <w:rsid w:val="001751C8"/>
    <w:rsid w:val="0017613C"/>
    <w:rsid w:val="00181831"/>
    <w:rsid w:val="00181881"/>
    <w:rsid w:val="00182464"/>
    <w:rsid w:val="00186EA6"/>
    <w:rsid w:val="0019075D"/>
    <w:rsid w:val="00194A73"/>
    <w:rsid w:val="00196069"/>
    <w:rsid w:val="001A336A"/>
    <w:rsid w:val="001A5BF9"/>
    <w:rsid w:val="001A78F1"/>
    <w:rsid w:val="001C1E43"/>
    <w:rsid w:val="001C2A44"/>
    <w:rsid w:val="001C64F6"/>
    <w:rsid w:val="001D0748"/>
    <w:rsid w:val="001D35BE"/>
    <w:rsid w:val="001D5AB5"/>
    <w:rsid w:val="001E0D31"/>
    <w:rsid w:val="001E7B8F"/>
    <w:rsid w:val="001F6B23"/>
    <w:rsid w:val="001F7470"/>
    <w:rsid w:val="00200BB4"/>
    <w:rsid w:val="00201656"/>
    <w:rsid w:val="00201977"/>
    <w:rsid w:val="00202E69"/>
    <w:rsid w:val="0020437B"/>
    <w:rsid w:val="00204C92"/>
    <w:rsid w:val="002062AD"/>
    <w:rsid w:val="002068D1"/>
    <w:rsid w:val="0020694A"/>
    <w:rsid w:val="0021010D"/>
    <w:rsid w:val="00211338"/>
    <w:rsid w:val="002215E4"/>
    <w:rsid w:val="00223E97"/>
    <w:rsid w:val="00226AA4"/>
    <w:rsid w:val="002270E2"/>
    <w:rsid w:val="0023347B"/>
    <w:rsid w:val="00234890"/>
    <w:rsid w:val="002367BD"/>
    <w:rsid w:val="0024004E"/>
    <w:rsid w:val="002428AD"/>
    <w:rsid w:val="0024369F"/>
    <w:rsid w:val="00244774"/>
    <w:rsid w:val="00245733"/>
    <w:rsid w:val="00246C5D"/>
    <w:rsid w:val="002471A8"/>
    <w:rsid w:val="00251A47"/>
    <w:rsid w:val="0026096A"/>
    <w:rsid w:val="002611C3"/>
    <w:rsid w:val="002639B8"/>
    <w:rsid w:val="00264F99"/>
    <w:rsid w:val="00267D72"/>
    <w:rsid w:val="00271133"/>
    <w:rsid w:val="0027180B"/>
    <w:rsid w:val="00271B87"/>
    <w:rsid w:val="00274355"/>
    <w:rsid w:val="00274B43"/>
    <w:rsid w:val="00275B4D"/>
    <w:rsid w:val="00276685"/>
    <w:rsid w:val="002816F2"/>
    <w:rsid w:val="00286157"/>
    <w:rsid w:val="002867D7"/>
    <w:rsid w:val="002913D6"/>
    <w:rsid w:val="002958F6"/>
    <w:rsid w:val="00295959"/>
    <w:rsid w:val="00297A25"/>
    <w:rsid w:val="002A495A"/>
    <w:rsid w:val="002A7F1A"/>
    <w:rsid w:val="002B26B7"/>
    <w:rsid w:val="002B7AD6"/>
    <w:rsid w:val="002B7DC4"/>
    <w:rsid w:val="002C4481"/>
    <w:rsid w:val="002C7BE6"/>
    <w:rsid w:val="002C7C3F"/>
    <w:rsid w:val="002D275E"/>
    <w:rsid w:val="002D47D0"/>
    <w:rsid w:val="002D65EA"/>
    <w:rsid w:val="002D6F12"/>
    <w:rsid w:val="002E0E77"/>
    <w:rsid w:val="002E1C6B"/>
    <w:rsid w:val="002E2B08"/>
    <w:rsid w:val="002E3D7E"/>
    <w:rsid w:val="002E4E73"/>
    <w:rsid w:val="002E5762"/>
    <w:rsid w:val="002E7D6B"/>
    <w:rsid w:val="002F08F2"/>
    <w:rsid w:val="002F3F0F"/>
    <w:rsid w:val="002F4713"/>
    <w:rsid w:val="002F66CC"/>
    <w:rsid w:val="002F7C2F"/>
    <w:rsid w:val="002F7D16"/>
    <w:rsid w:val="0030071A"/>
    <w:rsid w:val="00300FA9"/>
    <w:rsid w:val="00303930"/>
    <w:rsid w:val="00304CCE"/>
    <w:rsid w:val="003054FA"/>
    <w:rsid w:val="003064C1"/>
    <w:rsid w:val="00306FED"/>
    <w:rsid w:val="00307232"/>
    <w:rsid w:val="00307572"/>
    <w:rsid w:val="003102CF"/>
    <w:rsid w:val="003133EA"/>
    <w:rsid w:val="003136EB"/>
    <w:rsid w:val="00314554"/>
    <w:rsid w:val="003163F7"/>
    <w:rsid w:val="00317BA5"/>
    <w:rsid w:val="003207A5"/>
    <w:rsid w:val="003220F4"/>
    <w:rsid w:val="00322A0F"/>
    <w:rsid w:val="003235EB"/>
    <w:rsid w:val="0032425C"/>
    <w:rsid w:val="003255DA"/>
    <w:rsid w:val="003279AE"/>
    <w:rsid w:val="003313FE"/>
    <w:rsid w:val="00331559"/>
    <w:rsid w:val="00331BE7"/>
    <w:rsid w:val="003330DC"/>
    <w:rsid w:val="00333603"/>
    <w:rsid w:val="00337717"/>
    <w:rsid w:val="00341B3B"/>
    <w:rsid w:val="003428CF"/>
    <w:rsid w:val="00347D60"/>
    <w:rsid w:val="00350958"/>
    <w:rsid w:val="003510CE"/>
    <w:rsid w:val="00362045"/>
    <w:rsid w:val="00371BB6"/>
    <w:rsid w:val="0037228D"/>
    <w:rsid w:val="00372DB9"/>
    <w:rsid w:val="003742B3"/>
    <w:rsid w:val="00380054"/>
    <w:rsid w:val="003814FD"/>
    <w:rsid w:val="00382817"/>
    <w:rsid w:val="00384C00"/>
    <w:rsid w:val="0038757E"/>
    <w:rsid w:val="00391CBD"/>
    <w:rsid w:val="00396653"/>
    <w:rsid w:val="00397998"/>
    <w:rsid w:val="003A5314"/>
    <w:rsid w:val="003A6BA2"/>
    <w:rsid w:val="003B2783"/>
    <w:rsid w:val="003B365E"/>
    <w:rsid w:val="003B3906"/>
    <w:rsid w:val="003B44A7"/>
    <w:rsid w:val="003B68B1"/>
    <w:rsid w:val="003C20CF"/>
    <w:rsid w:val="003C252E"/>
    <w:rsid w:val="003C7CAA"/>
    <w:rsid w:val="003D040E"/>
    <w:rsid w:val="003D04D0"/>
    <w:rsid w:val="003D2F90"/>
    <w:rsid w:val="003D4B04"/>
    <w:rsid w:val="003D531E"/>
    <w:rsid w:val="003E0903"/>
    <w:rsid w:val="003E339F"/>
    <w:rsid w:val="003F05CC"/>
    <w:rsid w:val="003F0A98"/>
    <w:rsid w:val="003F0B31"/>
    <w:rsid w:val="003F63EA"/>
    <w:rsid w:val="003F6457"/>
    <w:rsid w:val="00404C02"/>
    <w:rsid w:val="00406BE9"/>
    <w:rsid w:val="00413930"/>
    <w:rsid w:val="00421ED6"/>
    <w:rsid w:val="00427A03"/>
    <w:rsid w:val="0043134D"/>
    <w:rsid w:val="004325E2"/>
    <w:rsid w:val="00435604"/>
    <w:rsid w:val="00441244"/>
    <w:rsid w:val="00443CC5"/>
    <w:rsid w:val="00447258"/>
    <w:rsid w:val="00450873"/>
    <w:rsid w:val="00450D01"/>
    <w:rsid w:val="00451544"/>
    <w:rsid w:val="0045425E"/>
    <w:rsid w:val="00455478"/>
    <w:rsid w:val="00455841"/>
    <w:rsid w:val="00465D84"/>
    <w:rsid w:val="0046748D"/>
    <w:rsid w:val="004715E3"/>
    <w:rsid w:val="0047268B"/>
    <w:rsid w:val="00473965"/>
    <w:rsid w:val="004747AB"/>
    <w:rsid w:val="00476198"/>
    <w:rsid w:val="00481024"/>
    <w:rsid w:val="00481576"/>
    <w:rsid w:val="00481F7F"/>
    <w:rsid w:val="004909B4"/>
    <w:rsid w:val="00494905"/>
    <w:rsid w:val="004977BF"/>
    <w:rsid w:val="004A0EA4"/>
    <w:rsid w:val="004A381E"/>
    <w:rsid w:val="004A479B"/>
    <w:rsid w:val="004A7C3F"/>
    <w:rsid w:val="004B188F"/>
    <w:rsid w:val="004B6AE0"/>
    <w:rsid w:val="004C0ACF"/>
    <w:rsid w:val="004C0ADF"/>
    <w:rsid w:val="004C299A"/>
    <w:rsid w:val="004C2F57"/>
    <w:rsid w:val="004C3E48"/>
    <w:rsid w:val="004C5C8C"/>
    <w:rsid w:val="004D481E"/>
    <w:rsid w:val="004D5C27"/>
    <w:rsid w:val="004D6497"/>
    <w:rsid w:val="004E1140"/>
    <w:rsid w:val="004E136C"/>
    <w:rsid w:val="004E2D29"/>
    <w:rsid w:val="004E3DC9"/>
    <w:rsid w:val="004E5EFE"/>
    <w:rsid w:val="004E779A"/>
    <w:rsid w:val="004F5E39"/>
    <w:rsid w:val="004F5FB9"/>
    <w:rsid w:val="004F6295"/>
    <w:rsid w:val="004F6A52"/>
    <w:rsid w:val="00502D33"/>
    <w:rsid w:val="00504AFB"/>
    <w:rsid w:val="00506CE8"/>
    <w:rsid w:val="00510B68"/>
    <w:rsid w:val="00513C6C"/>
    <w:rsid w:val="00516041"/>
    <w:rsid w:val="0052260F"/>
    <w:rsid w:val="00523900"/>
    <w:rsid w:val="005241B4"/>
    <w:rsid w:val="005251CD"/>
    <w:rsid w:val="00525A94"/>
    <w:rsid w:val="00527DAB"/>
    <w:rsid w:val="00531D42"/>
    <w:rsid w:val="00535B57"/>
    <w:rsid w:val="00536019"/>
    <w:rsid w:val="0053704D"/>
    <w:rsid w:val="00537333"/>
    <w:rsid w:val="005404BD"/>
    <w:rsid w:val="00543891"/>
    <w:rsid w:val="00543F8A"/>
    <w:rsid w:val="00544837"/>
    <w:rsid w:val="005504EC"/>
    <w:rsid w:val="00560945"/>
    <w:rsid w:val="0056162B"/>
    <w:rsid w:val="00562192"/>
    <w:rsid w:val="005647A8"/>
    <w:rsid w:val="00564CB5"/>
    <w:rsid w:val="00566A13"/>
    <w:rsid w:val="00566FC7"/>
    <w:rsid w:val="00567C61"/>
    <w:rsid w:val="00571E1E"/>
    <w:rsid w:val="00572D38"/>
    <w:rsid w:val="00575507"/>
    <w:rsid w:val="00580C04"/>
    <w:rsid w:val="0058136D"/>
    <w:rsid w:val="00582A73"/>
    <w:rsid w:val="00586653"/>
    <w:rsid w:val="0059455F"/>
    <w:rsid w:val="005958CD"/>
    <w:rsid w:val="00596B77"/>
    <w:rsid w:val="005A5EFF"/>
    <w:rsid w:val="005A6F14"/>
    <w:rsid w:val="005A7064"/>
    <w:rsid w:val="005A7205"/>
    <w:rsid w:val="005B1468"/>
    <w:rsid w:val="005B2BC9"/>
    <w:rsid w:val="005B496D"/>
    <w:rsid w:val="005B4C74"/>
    <w:rsid w:val="005B5536"/>
    <w:rsid w:val="005C0AF2"/>
    <w:rsid w:val="005C3020"/>
    <w:rsid w:val="005C4ADE"/>
    <w:rsid w:val="005C6816"/>
    <w:rsid w:val="005C6858"/>
    <w:rsid w:val="005C73F1"/>
    <w:rsid w:val="005C7F85"/>
    <w:rsid w:val="005D0962"/>
    <w:rsid w:val="005D245A"/>
    <w:rsid w:val="005D4C7E"/>
    <w:rsid w:val="005D66E0"/>
    <w:rsid w:val="005D6973"/>
    <w:rsid w:val="005D6D6E"/>
    <w:rsid w:val="005D75C9"/>
    <w:rsid w:val="005E20FD"/>
    <w:rsid w:val="005E2FD1"/>
    <w:rsid w:val="005E7796"/>
    <w:rsid w:val="005F39B6"/>
    <w:rsid w:val="005F3B7C"/>
    <w:rsid w:val="005F6BC0"/>
    <w:rsid w:val="005F6FDC"/>
    <w:rsid w:val="006006BC"/>
    <w:rsid w:val="00601EA9"/>
    <w:rsid w:val="006035A8"/>
    <w:rsid w:val="00603BC6"/>
    <w:rsid w:val="00604124"/>
    <w:rsid w:val="00607EBA"/>
    <w:rsid w:val="0061290E"/>
    <w:rsid w:val="006150B7"/>
    <w:rsid w:val="00615556"/>
    <w:rsid w:val="006235A3"/>
    <w:rsid w:val="00624884"/>
    <w:rsid w:val="00627F4A"/>
    <w:rsid w:val="00634E3F"/>
    <w:rsid w:val="0063744E"/>
    <w:rsid w:val="00637DB6"/>
    <w:rsid w:val="00641E3D"/>
    <w:rsid w:val="00644F83"/>
    <w:rsid w:val="006455FA"/>
    <w:rsid w:val="00650371"/>
    <w:rsid w:val="00651ABD"/>
    <w:rsid w:val="00655526"/>
    <w:rsid w:val="006559B3"/>
    <w:rsid w:val="006577CE"/>
    <w:rsid w:val="0066560C"/>
    <w:rsid w:val="00666275"/>
    <w:rsid w:val="00670BDE"/>
    <w:rsid w:val="00670F22"/>
    <w:rsid w:val="00672CF6"/>
    <w:rsid w:val="00674835"/>
    <w:rsid w:val="006773BE"/>
    <w:rsid w:val="00677E08"/>
    <w:rsid w:val="0068125F"/>
    <w:rsid w:val="00681431"/>
    <w:rsid w:val="00687DBA"/>
    <w:rsid w:val="006918C3"/>
    <w:rsid w:val="0069300D"/>
    <w:rsid w:val="00693385"/>
    <w:rsid w:val="00693BDE"/>
    <w:rsid w:val="00697137"/>
    <w:rsid w:val="006A4326"/>
    <w:rsid w:val="006A4C97"/>
    <w:rsid w:val="006B0A43"/>
    <w:rsid w:val="006B0F8D"/>
    <w:rsid w:val="006B177F"/>
    <w:rsid w:val="006B1A4D"/>
    <w:rsid w:val="006B2066"/>
    <w:rsid w:val="006B2D1C"/>
    <w:rsid w:val="006B5896"/>
    <w:rsid w:val="006B7807"/>
    <w:rsid w:val="006C4636"/>
    <w:rsid w:val="006C5939"/>
    <w:rsid w:val="006C5DB9"/>
    <w:rsid w:val="006C76BB"/>
    <w:rsid w:val="006D2774"/>
    <w:rsid w:val="006D3156"/>
    <w:rsid w:val="006E14F6"/>
    <w:rsid w:val="006E50AC"/>
    <w:rsid w:val="006E56B4"/>
    <w:rsid w:val="006E79BB"/>
    <w:rsid w:val="006E7A0E"/>
    <w:rsid w:val="006F0F88"/>
    <w:rsid w:val="006F1623"/>
    <w:rsid w:val="006F1AC0"/>
    <w:rsid w:val="006F2643"/>
    <w:rsid w:val="006F5C20"/>
    <w:rsid w:val="00702C01"/>
    <w:rsid w:val="00711A66"/>
    <w:rsid w:val="00715133"/>
    <w:rsid w:val="00717C8E"/>
    <w:rsid w:val="007200DA"/>
    <w:rsid w:val="007223BA"/>
    <w:rsid w:val="0072306E"/>
    <w:rsid w:val="007235A7"/>
    <w:rsid w:val="00724F4C"/>
    <w:rsid w:val="00726336"/>
    <w:rsid w:val="00730C0A"/>
    <w:rsid w:val="00735B97"/>
    <w:rsid w:val="00736824"/>
    <w:rsid w:val="00737B24"/>
    <w:rsid w:val="007427E6"/>
    <w:rsid w:val="00744256"/>
    <w:rsid w:val="00744EEE"/>
    <w:rsid w:val="00746088"/>
    <w:rsid w:val="007531D0"/>
    <w:rsid w:val="0075378C"/>
    <w:rsid w:val="007546F8"/>
    <w:rsid w:val="00754AA2"/>
    <w:rsid w:val="00755631"/>
    <w:rsid w:val="00757719"/>
    <w:rsid w:val="00761D74"/>
    <w:rsid w:val="0076216E"/>
    <w:rsid w:val="0076338F"/>
    <w:rsid w:val="00767E45"/>
    <w:rsid w:val="0077055D"/>
    <w:rsid w:val="00770F8B"/>
    <w:rsid w:val="00774647"/>
    <w:rsid w:val="00777F3D"/>
    <w:rsid w:val="007814F9"/>
    <w:rsid w:val="00783DB7"/>
    <w:rsid w:val="00783E4B"/>
    <w:rsid w:val="0078502E"/>
    <w:rsid w:val="00787EF9"/>
    <w:rsid w:val="0079495D"/>
    <w:rsid w:val="007A10BE"/>
    <w:rsid w:val="007A2507"/>
    <w:rsid w:val="007A398C"/>
    <w:rsid w:val="007A4608"/>
    <w:rsid w:val="007A5549"/>
    <w:rsid w:val="007B0A23"/>
    <w:rsid w:val="007B239E"/>
    <w:rsid w:val="007B4FC9"/>
    <w:rsid w:val="007B5ED0"/>
    <w:rsid w:val="007B68D8"/>
    <w:rsid w:val="007C17B1"/>
    <w:rsid w:val="007C17CB"/>
    <w:rsid w:val="007C305E"/>
    <w:rsid w:val="007C42CB"/>
    <w:rsid w:val="007C617F"/>
    <w:rsid w:val="007C738E"/>
    <w:rsid w:val="007C7816"/>
    <w:rsid w:val="007C7F7C"/>
    <w:rsid w:val="007D2E2D"/>
    <w:rsid w:val="007D36FA"/>
    <w:rsid w:val="007D71EE"/>
    <w:rsid w:val="007E03C7"/>
    <w:rsid w:val="007E1073"/>
    <w:rsid w:val="007E14E6"/>
    <w:rsid w:val="007E56D4"/>
    <w:rsid w:val="007E7D0F"/>
    <w:rsid w:val="007F0362"/>
    <w:rsid w:val="007F4EE5"/>
    <w:rsid w:val="007F6D8B"/>
    <w:rsid w:val="00800190"/>
    <w:rsid w:val="008013BC"/>
    <w:rsid w:val="0080155D"/>
    <w:rsid w:val="00801EE9"/>
    <w:rsid w:val="00803666"/>
    <w:rsid w:val="00804293"/>
    <w:rsid w:val="00804CF3"/>
    <w:rsid w:val="00805207"/>
    <w:rsid w:val="00820522"/>
    <w:rsid w:val="0082231E"/>
    <w:rsid w:val="0082340D"/>
    <w:rsid w:val="0082343D"/>
    <w:rsid w:val="0083303C"/>
    <w:rsid w:val="00834EB2"/>
    <w:rsid w:val="00835C1F"/>
    <w:rsid w:val="00836533"/>
    <w:rsid w:val="008453F3"/>
    <w:rsid w:val="00847266"/>
    <w:rsid w:val="00847525"/>
    <w:rsid w:val="008546AB"/>
    <w:rsid w:val="0085740E"/>
    <w:rsid w:val="0085752D"/>
    <w:rsid w:val="008616A7"/>
    <w:rsid w:val="00861970"/>
    <w:rsid w:val="00862E7B"/>
    <w:rsid w:val="00863E4D"/>
    <w:rsid w:val="00866B16"/>
    <w:rsid w:val="00872B7E"/>
    <w:rsid w:val="008730FF"/>
    <w:rsid w:val="00874749"/>
    <w:rsid w:val="008760F0"/>
    <w:rsid w:val="00880A56"/>
    <w:rsid w:val="00881E76"/>
    <w:rsid w:val="008820EC"/>
    <w:rsid w:val="00884383"/>
    <w:rsid w:val="008848F2"/>
    <w:rsid w:val="008850D0"/>
    <w:rsid w:val="00886D01"/>
    <w:rsid w:val="008911BA"/>
    <w:rsid w:val="008914A7"/>
    <w:rsid w:val="00891AC7"/>
    <w:rsid w:val="0089272F"/>
    <w:rsid w:val="008A4659"/>
    <w:rsid w:val="008A4F97"/>
    <w:rsid w:val="008B4943"/>
    <w:rsid w:val="008B5CED"/>
    <w:rsid w:val="008B6714"/>
    <w:rsid w:val="008C4B10"/>
    <w:rsid w:val="008C5306"/>
    <w:rsid w:val="008C75B9"/>
    <w:rsid w:val="008D1930"/>
    <w:rsid w:val="008D6D41"/>
    <w:rsid w:val="008E0508"/>
    <w:rsid w:val="008E1C67"/>
    <w:rsid w:val="008F1ABF"/>
    <w:rsid w:val="008F491E"/>
    <w:rsid w:val="008F514B"/>
    <w:rsid w:val="008F70B8"/>
    <w:rsid w:val="008F790D"/>
    <w:rsid w:val="00900635"/>
    <w:rsid w:val="009011A4"/>
    <w:rsid w:val="009011C3"/>
    <w:rsid w:val="00902640"/>
    <w:rsid w:val="009050B5"/>
    <w:rsid w:val="00905250"/>
    <w:rsid w:val="009059C5"/>
    <w:rsid w:val="00905AE5"/>
    <w:rsid w:val="00911A1D"/>
    <w:rsid w:val="00912890"/>
    <w:rsid w:val="00914E04"/>
    <w:rsid w:val="0091528F"/>
    <w:rsid w:val="00915EC2"/>
    <w:rsid w:val="00916849"/>
    <w:rsid w:val="00916DB8"/>
    <w:rsid w:val="00920830"/>
    <w:rsid w:val="00925F93"/>
    <w:rsid w:val="009309C9"/>
    <w:rsid w:val="00930AB2"/>
    <w:rsid w:val="00931D5C"/>
    <w:rsid w:val="00931EC9"/>
    <w:rsid w:val="009323AF"/>
    <w:rsid w:val="009329D6"/>
    <w:rsid w:val="00936CD7"/>
    <w:rsid w:val="009423FA"/>
    <w:rsid w:val="00942801"/>
    <w:rsid w:val="00945089"/>
    <w:rsid w:val="009561FD"/>
    <w:rsid w:val="00956B19"/>
    <w:rsid w:val="009608CC"/>
    <w:rsid w:val="009629F8"/>
    <w:rsid w:val="0097349A"/>
    <w:rsid w:val="0097355E"/>
    <w:rsid w:val="00973E9C"/>
    <w:rsid w:val="009777A9"/>
    <w:rsid w:val="00981DA1"/>
    <w:rsid w:val="0098268E"/>
    <w:rsid w:val="00984F21"/>
    <w:rsid w:val="0098708A"/>
    <w:rsid w:val="00992053"/>
    <w:rsid w:val="0099240C"/>
    <w:rsid w:val="009A289B"/>
    <w:rsid w:val="009A3ED1"/>
    <w:rsid w:val="009A437C"/>
    <w:rsid w:val="009A69F6"/>
    <w:rsid w:val="009B04B2"/>
    <w:rsid w:val="009B187F"/>
    <w:rsid w:val="009B295D"/>
    <w:rsid w:val="009B3316"/>
    <w:rsid w:val="009C0CD5"/>
    <w:rsid w:val="009C3239"/>
    <w:rsid w:val="009C4AEC"/>
    <w:rsid w:val="009C6301"/>
    <w:rsid w:val="009D0593"/>
    <w:rsid w:val="009D4077"/>
    <w:rsid w:val="009D78D7"/>
    <w:rsid w:val="009D7AEC"/>
    <w:rsid w:val="009E0D5E"/>
    <w:rsid w:val="009E6EBE"/>
    <w:rsid w:val="009E6F51"/>
    <w:rsid w:val="009F1F31"/>
    <w:rsid w:val="009F5670"/>
    <w:rsid w:val="00A0018B"/>
    <w:rsid w:val="00A001C1"/>
    <w:rsid w:val="00A008E4"/>
    <w:rsid w:val="00A02CF0"/>
    <w:rsid w:val="00A07DCA"/>
    <w:rsid w:val="00A107A2"/>
    <w:rsid w:val="00A11D23"/>
    <w:rsid w:val="00A13708"/>
    <w:rsid w:val="00A14419"/>
    <w:rsid w:val="00A164CE"/>
    <w:rsid w:val="00A1670F"/>
    <w:rsid w:val="00A215B5"/>
    <w:rsid w:val="00A27A0A"/>
    <w:rsid w:val="00A27C49"/>
    <w:rsid w:val="00A30CC9"/>
    <w:rsid w:val="00A31A1A"/>
    <w:rsid w:val="00A35BFB"/>
    <w:rsid w:val="00A36C54"/>
    <w:rsid w:val="00A421C7"/>
    <w:rsid w:val="00A473FB"/>
    <w:rsid w:val="00A47759"/>
    <w:rsid w:val="00A501A8"/>
    <w:rsid w:val="00A524DE"/>
    <w:rsid w:val="00A539C3"/>
    <w:rsid w:val="00A5473F"/>
    <w:rsid w:val="00A547A6"/>
    <w:rsid w:val="00A603AA"/>
    <w:rsid w:val="00A60EF1"/>
    <w:rsid w:val="00A63912"/>
    <w:rsid w:val="00A64259"/>
    <w:rsid w:val="00A65E47"/>
    <w:rsid w:val="00A67620"/>
    <w:rsid w:val="00A73EDA"/>
    <w:rsid w:val="00A74B3D"/>
    <w:rsid w:val="00A81236"/>
    <w:rsid w:val="00A92AF1"/>
    <w:rsid w:val="00A93730"/>
    <w:rsid w:val="00A94D23"/>
    <w:rsid w:val="00A94DF9"/>
    <w:rsid w:val="00A96A91"/>
    <w:rsid w:val="00AB4589"/>
    <w:rsid w:val="00AC2360"/>
    <w:rsid w:val="00AC3473"/>
    <w:rsid w:val="00AC3A61"/>
    <w:rsid w:val="00AC3E3E"/>
    <w:rsid w:val="00AC406B"/>
    <w:rsid w:val="00AD056E"/>
    <w:rsid w:val="00AD1487"/>
    <w:rsid w:val="00AD40DF"/>
    <w:rsid w:val="00AD658A"/>
    <w:rsid w:val="00AE302A"/>
    <w:rsid w:val="00AE59D1"/>
    <w:rsid w:val="00AE60E0"/>
    <w:rsid w:val="00AE7190"/>
    <w:rsid w:val="00AE73A6"/>
    <w:rsid w:val="00AE7996"/>
    <w:rsid w:val="00AF16D1"/>
    <w:rsid w:val="00AF191D"/>
    <w:rsid w:val="00AF3086"/>
    <w:rsid w:val="00AF348E"/>
    <w:rsid w:val="00B03471"/>
    <w:rsid w:val="00B04E04"/>
    <w:rsid w:val="00B12E7D"/>
    <w:rsid w:val="00B15EE7"/>
    <w:rsid w:val="00B20E63"/>
    <w:rsid w:val="00B24343"/>
    <w:rsid w:val="00B24D83"/>
    <w:rsid w:val="00B258D2"/>
    <w:rsid w:val="00B25A3B"/>
    <w:rsid w:val="00B33046"/>
    <w:rsid w:val="00B422C1"/>
    <w:rsid w:val="00B42B19"/>
    <w:rsid w:val="00B43465"/>
    <w:rsid w:val="00B458FE"/>
    <w:rsid w:val="00B460E9"/>
    <w:rsid w:val="00B4760C"/>
    <w:rsid w:val="00B55562"/>
    <w:rsid w:val="00B61114"/>
    <w:rsid w:val="00B647BE"/>
    <w:rsid w:val="00B66055"/>
    <w:rsid w:val="00B7370D"/>
    <w:rsid w:val="00B82FBD"/>
    <w:rsid w:val="00B830E3"/>
    <w:rsid w:val="00B8391B"/>
    <w:rsid w:val="00B84AC9"/>
    <w:rsid w:val="00B85087"/>
    <w:rsid w:val="00B857E7"/>
    <w:rsid w:val="00B86A26"/>
    <w:rsid w:val="00B87328"/>
    <w:rsid w:val="00B874B6"/>
    <w:rsid w:val="00B91A49"/>
    <w:rsid w:val="00B95B3A"/>
    <w:rsid w:val="00B96159"/>
    <w:rsid w:val="00BA3D2C"/>
    <w:rsid w:val="00BA45A2"/>
    <w:rsid w:val="00BA62A6"/>
    <w:rsid w:val="00BA6B31"/>
    <w:rsid w:val="00BB2B36"/>
    <w:rsid w:val="00BB3394"/>
    <w:rsid w:val="00BB3566"/>
    <w:rsid w:val="00BB3663"/>
    <w:rsid w:val="00BB43E6"/>
    <w:rsid w:val="00BB6682"/>
    <w:rsid w:val="00BB7A39"/>
    <w:rsid w:val="00BC0E0D"/>
    <w:rsid w:val="00BC6482"/>
    <w:rsid w:val="00BD0959"/>
    <w:rsid w:val="00BD4EDF"/>
    <w:rsid w:val="00BD6449"/>
    <w:rsid w:val="00BE21C0"/>
    <w:rsid w:val="00BE285C"/>
    <w:rsid w:val="00BF0A32"/>
    <w:rsid w:val="00BF222D"/>
    <w:rsid w:val="00BF28E3"/>
    <w:rsid w:val="00C03C7E"/>
    <w:rsid w:val="00C106C5"/>
    <w:rsid w:val="00C138B3"/>
    <w:rsid w:val="00C14CD1"/>
    <w:rsid w:val="00C2005A"/>
    <w:rsid w:val="00C20E09"/>
    <w:rsid w:val="00C21EAA"/>
    <w:rsid w:val="00C2248B"/>
    <w:rsid w:val="00C22D7C"/>
    <w:rsid w:val="00C24DBB"/>
    <w:rsid w:val="00C2778F"/>
    <w:rsid w:val="00C30209"/>
    <w:rsid w:val="00C3064B"/>
    <w:rsid w:val="00C33B14"/>
    <w:rsid w:val="00C36508"/>
    <w:rsid w:val="00C36DC6"/>
    <w:rsid w:val="00C422BD"/>
    <w:rsid w:val="00C51CC5"/>
    <w:rsid w:val="00C524AF"/>
    <w:rsid w:val="00C528FB"/>
    <w:rsid w:val="00C5511C"/>
    <w:rsid w:val="00C65388"/>
    <w:rsid w:val="00C67982"/>
    <w:rsid w:val="00C67CC8"/>
    <w:rsid w:val="00C720C5"/>
    <w:rsid w:val="00C8010F"/>
    <w:rsid w:val="00C85871"/>
    <w:rsid w:val="00C87B34"/>
    <w:rsid w:val="00C90D87"/>
    <w:rsid w:val="00C92EDF"/>
    <w:rsid w:val="00C93B89"/>
    <w:rsid w:val="00C9504F"/>
    <w:rsid w:val="00C9772F"/>
    <w:rsid w:val="00CA50EB"/>
    <w:rsid w:val="00CA5AE7"/>
    <w:rsid w:val="00CB1894"/>
    <w:rsid w:val="00CB591B"/>
    <w:rsid w:val="00CB75B2"/>
    <w:rsid w:val="00CC68A9"/>
    <w:rsid w:val="00CD3D03"/>
    <w:rsid w:val="00CD4D6A"/>
    <w:rsid w:val="00CD61AE"/>
    <w:rsid w:val="00CE379E"/>
    <w:rsid w:val="00CE3E2D"/>
    <w:rsid w:val="00CE3F8A"/>
    <w:rsid w:val="00CE4A32"/>
    <w:rsid w:val="00CE55AE"/>
    <w:rsid w:val="00CE59CB"/>
    <w:rsid w:val="00CE6525"/>
    <w:rsid w:val="00CE70B4"/>
    <w:rsid w:val="00CF2941"/>
    <w:rsid w:val="00CF3256"/>
    <w:rsid w:val="00CF37F5"/>
    <w:rsid w:val="00CF5149"/>
    <w:rsid w:val="00CF7348"/>
    <w:rsid w:val="00CF744F"/>
    <w:rsid w:val="00D04684"/>
    <w:rsid w:val="00D059EB"/>
    <w:rsid w:val="00D068C7"/>
    <w:rsid w:val="00D10DE0"/>
    <w:rsid w:val="00D149A0"/>
    <w:rsid w:val="00D153EF"/>
    <w:rsid w:val="00D1749B"/>
    <w:rsid w:val="00D2490B"/>
    <w:rsid w:val="00D24AD2"/>
    <w:rsid w:val="00D24BC0"/>
    <w:rsid w:val="00D279C4"/>
    <w:rsid w:val="00D331CD"/>
    <w:rsid w:val="00D37E28"/>
    <w:rsid w:val="00D43025"/>
    <w:rsid w:val="00D43454"/>
    <w:rsid w:val="00D51C9A"/>
    <w:rsid w:val="00D537CF"/>
    <w:rsid w:val="00D545DE"/>
    <w:rsid w:val="00D5608B"/>
    <w:rsid w:val="00D6110C"/>
    <w:rsid w:val="00D65515"/>
    <w:rsid w:val="00D66178"/>
    <w:rsid w:val="00D66750"/>
    <w:rsid w:val="00D678E1"/>
    <w:rsid w:val="00D67F98"/>
    <w:rsid w:val="00D711AC"/>
    <w:rsid w:val="00D7170D"/>
    <w:rsid w:val="00D7407B"/>
    <w:rsid w:val="00D7435A"/>
    <w:rsid w:val="00D74888"/>
    <w:rsid w:val="00D74E65"/>
    <w:rsid w:val="00D76681"/>
    <w:rsid w:val="00D8073D"/>
    <w:rsid w:val="00D84BA0"/>
    <w:rsid w:val="00D85868"/>
    <w:rsid w:val="00D909E4"/>
    <w:rsid w:val="00D944BE"/>
    <w:rsid w:val="00D946E2"/>
    <w:rsid w:val="00D95B84"/>
    <w:rsid w:val="00D96667"/>
    <w:rsid w:val="00DA0166"/>
    <w:rsid w:val="00DA06B8"/>
    <w:rsid w:val="00DA2B93"/>
    <w:rsid w:val="00DA3304"/>
    <w:rsid w:val="00DA3561"/>
    <w:rsid w:val="00DA4EA8"/>
    <w:rsid w:val="00DA6EB3"/>
    <w:rsid w:val="00DB6E51"/>
    <w:rsid w:val="00DC1DEF"/>
    <w:rsid w:val="00DC1F50"/>
    <w:rsid w:val="00DC6AFF"/>
    <w:rsid w:val="00DD1736"/>
    <w:rsid w:val="00DD2A8F"/>
    <w:rsid w:val="00DD3F7B"/>
    <w:rsid w:val="00DD51C0"/>
    <w:rsid w:val="00DD5A15"/>
    <w:rsid w:val="00DD5D99"/>
    <w:rsid w:val="00DE01D2"/>
    <w:rsid w:val="00DE57D4"/>
    <w:rsid w:val="00DF0CD5"/>
    <w:rsid w:val="00E041FE"/>
    <w:rsid w:val="00E04EF0"/>
    <w:rsid w:val="00E10BE4"/>
    <w:rsid w:val="00E11D73"/>
    <w:rsid w:val="00E126ED"/>
    <w:rsid w:val="00E1368E"/>
    <w:rsid w:val="00E153F2"/>
    <w:rsid w:val="00E15BB4"/>
    <w:rsid w:val="00E16429"/>
    <w:rsid w:val="00E211FD"/>
    <w:rsid w:val="00E213F5"/>
    <w:rsid w:val="00E24573"/>
    <w:rsid w:val="00E2539C"/>
    <w:rsid w:val="00E27D13"/>
    <w:rsid w:val="00E35260"/>
    <w:rsid w:val="00E35EE7"/>
    <w:rsid w:val="00E3605C"/>
    <w:rsid w:val="00E36993"/>
    <w:rsid w:val="00E37A7D"/>
    <w:rsid w:val="00E41C7D"/>
    <w:rsid w:val="00E438B3"/>
    <w:rsid w:val="00E45535"/>
    <w:rsid w:val="00E501AF"/>
    <w:rsid w:val="00E5367C"/>
    <w:rsid w:val="00E5379E"/>
    <w:rsid w:val="00E53E33"/>
    <w:rsid w:val="00E55959"/>
    <w:rsid w:val="00E57932"/>
    <w:rsid w:val="00E63255"/>
    <w:rsid w:val="00E63CB4"/>
    <w:rsid w:val="00E65045"/>
    <w:rsid w:val="00E70CF3"/>
    <w:rsid w:val="00E71BBF"/>
    <w:rsid w:val="00E7516B"/>
    <w:rsid w:val="00E75682"/>
    <w:rsid w:val="00E81C4E"/>
    <w:rsid w:val="00E85ECC"/>
    <w:rsid w:val="00E8661F"/>
    <w:rsid w:val="00E90420"/>
    <w:rsid w:val="00E91370"/>
    <w:rsid w:val="00E93113"/>
    <w:rsid w:val="00E93395"/>
    <w:rsid w:val="00EA2C09"/>
    <w:rsid w:val="00EA3602"/>
    <w:rsid w:val="00EA3967"/>
    <w:rsid w:val="00EA3C54"/>
    <w:rsid w:val="00EA61EB"/>
    <w:rsid w:val="00EA6B97"/>
    <w:rsid w:val="00EB12A7"/>
    <w:rsid w:val="00EB41D3"/>
    <w:rsid w:val="00EB6AB3"/>
    <w:rsid w:val="00EC4360"/>
    <w:rsid w:val="00EC4D69"/>
    <w:rsid w:val="00EC6F67"/>
    <w:rsid w:val="00EC75B4"/>
    <w:rsid w:val="00ED2B27"/>
    <w:rsid w:val="00ED3375"/>
    <w:rsid w:val="00ED3C47"/>
    <w:rsid w:val="00EE2236"/>
    <w:rsid w:val="00EE42A0"/>
    <w:rsid w:val="00EE4C8A"/>
    <w:rsid w:val="00EE4EE2"/>
    <w:rsid w:val="00EE5286"/>
    <w:rsid w:val="00EE70CE"/>
    <w:rsid w:val="00EF3BA5"/>
    <w:rsid w:val="00EF43F4"/>
    <w:rsid w:val="00EF58FD"/>
    <w:rsid w:val="00EF71BB"/>
    <w:rsid w:val="00F0233B"/>
    <w:rsid w:val="00F02C8E"/>
    <w:rsid w:val="00F04C0F"/>
    <w:rsid w:val="00F14793"/>
    <w:rsid w:val="00F16968"/>
    <w:rsid w:val="00F245D8"/>
    <w:rsid w:val="00F251D8"/>
    <w:rsid w:val="00F278C0"/>
    <w:rsid w:val="00F27C20"/>
    <w:rsid w:val="00F304E9"/>
    <w:rsid w:val="00F3116A"/>
    <w:rsid w:val="00F33F0B"/>
    <w:rsid w:val="00F3689A"/>
    <w:rsid w:val="00F41CEA"/>
    <w:rsid w:val="00F43DA3"/>
    <w:rsid w:val="00F44F27"/>
    <w:rsid w:val="00F452C6"/>
    <w:rsid w:val="00F46882"/>
    <w:rsid w:val="00F46CC8"/>
    <w:rsid w:val="00F508C8"/>
    <w:rsid w:val="00F51ED9"/>
    <w:rsid w:val="00F563AB"/>
    <w:rsid w:val="00F576DB"/>
    <w:rsid w:val="00F62F86"/>
    <w:rsid w:val="00F6359A"/>
    <w:rsid w:val="00F65DD3"/>
    <w:rsid w:val="00F66B3C"/>
    <w:rsid w:val="00F74FC3"/>
    <w:rsid w:val="00F76300"/>
    <w:rsid w:val="00F80F82"/>
    <w:rsid w:val="00F81A39"/>
    <w:rsid w:val="00F8336D"/>
    <w:rsid w:val="00F9320E"/>
    <w:rsid w:val="00F945B9"/>
    <w:rsid w:val="00F95DCC"/>
    <w:rsid w:val="00FA4AD8"/>
    <w:rsid w:val="00FB0C81"/>
    <w:rsid w:val="00FC134E"/>
    <w:rsid w:val="00FC1811"/>
    <w:rsid w:val="00FC1956"/>
    <w:rsid w:val="00FC5873"/>
    <w:rsid w:val="00FD0D8F"/>
    <w:rsid w:val="00FD3EAE"/>
    <w:rsid w:val="00FD699F"/>
    <w:rsid w:val="00FD6E60"/>
    <w:rsid w:val="00FE06F6"/>
    <w:rsid w:val="00FE093B"/>
    <w:rsid w:val="00FE2346"/>
    <w:rsid w:val="00FE4F76"/>
    <w:rsid w:val="00FF297A"/>
    <w:rsid w:val="00FF5D77"/>
    <w:rsid w:val="01DE5640"/>
    <w:rsid w:val="02168527"/>
    <w:rsid w:val="02521494"/>
    <w:rsid w:val="030645D9"/>
    <w:rsid w:val="03598002"/>
    <w:rsid w:val="03F6E17E"/>
    <w:rsid w:val="041EC375"/>
    <w:rsid w:val="06A9BAC5"/>
    <w:rsid w:val="075BBF63"/>
    <w:rsid w:val="080288BC"/>
    <w:rsid w:val="0B33FF4A"/>
    <w:rsid w:val="0B63DA5F"/>
    <w:rsid w:val="0B8E56EB"/>
    <w:rsid w:val="0C026F4B"/>
    <w:rsid w:val="0C0CA871"/>
    <w:rsid w:val="0C522B9E"/>
    <w:rsid w:val="0E0008C3"/>
    <w:rsid w:val="0E2784CD"/>
    <w:rsid w:val="0E6A69A3"/>
    <w:rsid w:val="0EDE7906"/>
    <w:rsid w:val="0FE1B088"/>
    <w:rsid w:val="102F8823"/>
    <w:rsid w:val="12C98970"/>
    <w:rsid w:val="1391327A"/>
    <w:rsid w:val="143FECCE"/>
    <w:rsid w:val="1480C61D"/>
    <w:rsid w:val="14C0F6B4"/>
    <w:rsid w:val="151658C5"/>
    <w:rsid w:val="17EF5CA1"/>
    <w:rsid w:val="18AA076D"/>
    <w:rsid w:val="18DD6949"/>
    <w:rsid w:val="18DE7BC0"/>
    <w:rsid w:val="18EA45F2"/>
    <w:rsid w:val="1B0AE4EF"/>
    <w:rsid w:val="1B3F92FE"/>
    <w:rsid w:val="1B9601BD"/>
    <w:rsid w:val="1BBD5983"/>
    <w:rsid w:val="1C7B703B"/>
    <w:rsid w:val="1CE9763F"/>
    <w:rsid w:val="1DFEDD23"/>
    <w:rsid w:val="244868AB"/>
    <w:rsid w:val="24913DCF"/>
    <w:rsid w:val="24FCD65E"/>
    <w:rsid w:val="261844C3"/>
    <w:rsid w:val="2825C062"/>
    <w:rsid w:val="288E1B2E"/>
    <w:rsid w:val="2AB9DC29"/>
    <w:rsid w:val="2ADE8ABE"/>
    <w:rsid w:val="2B6AE842"/>
    <w:rsid w:val="30D07EE4"/>
    <w:rsid w:val="31122014"/>
    <w:rsid w:val="31409E67"/>
    <w:rsid w:val="325560AA"/>
    <w:rsid w:val="327FBE72"/>
    <w:rsid w:val="32AD34BE"/>
    <w:rsid w:val="35363F60"/>
    <w:rsid w:val="3538F85A"/>
    <w:rsid w:val="363C4CC9"/>
    <w:rsid w:val="368A7559"/>
    <w:rsid w:val="37FC7E58"/>
    <w:rsid w:val="3994E255"/>
    <w:rsid w:val="3A070997"/>
    <w:rsid w:val="3A15EAC1"/>
    <w:rsid w:val="3BD03FCE"/>
    <w:rsid w:val="3D8B1118"/>
    <w:rsid w:val="3D908ADA"/>
    <w:rsid w:val="3DB28213"/>
    <w:rsid w:val="3F009096"/>
    <w:rsid w:val="3F44138F"/>
    <w:rsid w:val="3FCBCAB1"/>
    <w:rsid w:val="3FD3D2BF"/>
    <w:rsid w:val="4025C8AF"/>
    <w:rsid w:val="41A3490D"/>
    <w:rsid w:val="41FA5DFC"/>
    <w:rsid w:val="446BE0EE"/>
    <w:rsid w:val="4608F337"/>
    <w:rsid w:val="4A6F76CC"/>
    <w:rsid w:val="4B6FB39C"/>
    <w:rsid w:val="4BDF3F39"/>
    <w:rsid w:val="4C41F7A2"/>
    <w:rsid w:val="4C7F2D66"/>
    <w:rsid w:val="4E3E83C2"/>
    <w:rsid w:val="4EDF98A9"/>
    <w:rsid w:val="514D00F5"/>
    <w:rsid w:val="51EEFE90"/>
    <w:rsid w:val="5268B9A5"/>
    <w:rsid w:val="527A8254"/>
    <w:rsid w:val="5455A76E"/>
    <w:rsid w:val="574B01C7"/>
    <w:rsid w:val="57A75EC8"/>
    <w:rsid w:val="5824FDFD"/>
    <w:rsid w:val="5A68667F"/>
    <w:rsid w:val="5B7FFFE9"/>
    <w:rsid w:val="5CACF1F4"/>
    <w:rsid w:val="5D2DB0CD"/>
    <w:rsid w:val="5D55E553"/>
    <w:rsid w:val="5DD07EBF"/>
    <w:rsid w:val="5F5ADB27"/>
    <w:rsid w:val="61A4EB4D"/>
    <w:rsid w:val="62686CD9"/>
    <w:rsid w:val="64B8026F"/>
    <w:rsid w:val="64C3EE05"/>
    <w:rsid w:val="66A85CF4"/>
    <w:rsid w:val="675E9B35"/>
    <w:rsid w:val="67AF52A2"/>
    <w:rsid w:val="6894770B"/>
    <w:rsid w:val="69F6B53B"/>
    <w:rsid w:val="6A7A44D1"/>
    <w:rsid w:val="6C48897A"/>
    <w:rsid w:val="70527212"/>
    <w:rsid w:val="70EC5374"/>
    <w:rsid w:val="71F8A5BA"/>
    <w:rsid w:val="724153FB"/>
    <w:rsid w:val="756A8B72"/>
    <w:rsid w:val="7698C0FE"/>
    <w:rsid w:val="76BADD69"/>
    <w:rsid w:val="77F5D44F"/>
    <w:rsid w:val="7A8ACAAD"/>
    <w:rsid w:val="7C5A56CD"/>
    <w:rsid w:val="7CC462E9"/>
    <w:rsid w:val="7CF19206"/>
    <w:rsid w:val="7D8C6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15:docId w15:val="{FAC102E6-A27E-4E73-A0CE-A9E8ECEB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character" w:styleId="UnresolvedMention">
    <w:name w:val="Unresolved Mention"/>
    <w:basedOn w:val="DefaultParagraphFont"/>
    <w:uiPriority w:val="99"/>
    <w:semiHidden/>
    <w:unhideWhenUsed/>
    <w:rsid w:val="000467C5"/>
    <w:rPr>
      <w:color w:val="605E5C"/>
      <w:shd w:val="clear" w:color="auto" w:fill="E1DFDD"/>
    </w:rPr>
  </w:style>
  <w:style w:type="paragraph" w:styleId="FootnoteText">
    <w:name w:val="footnote text"/>
    <w:basedOn w:val="Normal"/>
    <w:link w:val="FootnoteTextChar"/>
    <w:rsid w:val="00CB1894"/>
    <w:pPr>
      <w:autoSpaceDE w:val="0"/>
      <w:autoSpaceDN w:val="0"/>
      <w:adjustRightInd w:val="0"/>
      <w:spacing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rsid w:val="00CB1894"/>
    <w:rPr>
      <w:rFonts w:ascii="Courier" w:eastAsia="Times New Roman" w:hAnsi="Courier" w:cs="Times New Roman"/>
      <w:sz w:val="20"/>
      <w:szCs w:val="20"/>
    </w:rPr>
  </w:style>
  <w:style w:type="character" w:styleId="FootnoteReference">
    <w:name w:val="footnote reference"/>
    <w:rsid w:val="00CB1894"/>
    <w:rPr>
      <w:vertAlign w:val="superscript"/>
    </w:rPr>
  </w:style>
  <w:style w:type="table" w:styleId="TableGrid">
    <w:name w:val="Table Grid"/>
    <w:basedOn w:val="TableNormal"/>
    <w:rsid w:val="00CE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137"/>
    <w:pPr>
      <w:tabs>
        <w:tab w:val="center" w:pos="4680"/>
        <w:tab w:val="right" w:pos="9360"/>
      </w:tabs>
      <w:spacing w:line="240" w:lineRule="auto"/>
    </w:pPr>
  </w:style>
  <w:style w:type="character" w:customStyle="1" w:styleId="HeaderChar">
    <w:name w:val="Header Char"/>
    <w:basedOn w:val="DefaultParagraphFont"/>
    <w:link w:val="Header"/>
    <w:uiPriority w:val="99"/>
    <w:rsid w:val="00697137"/>
    <w:rPr>
      <w:rFonts w:ascii="Arial" w:hAnsi="Arial" w:cs="Arial"/>
    </w:rPr>
  </w:style>
  <w:style w:type="paragraph" w:styleId="Footer">
    <w:name w:val="footer"/>
    <w:basedOn w:val="Normal"/>
    <w:link w:val="FooterChar"/>
    <w:uiPriority w:val="99"/>
    <w:unhideWhenUsed/>
    <w:rsid w:val="00697137"/>
    <w:pPr>
      <w:tabs>
        <w:tab w:val="center" w:pos="4680"/>
        <w:tab w:val="right" w:pos="9360"/>
      </w:tabs>
      <w:spacing w:line="240" w:lineRule="auto"/>
    </w:pPr>
  </w:style>
  <w:style w:type="character" w:customStyle="1" w:styleId="FooterChar">
    <w:name w:val="Footer Char"/>
    <w:basedOn w:val="DefaultParagraphFont"/>
    <w:link w:val="Footer"/>
    <w:uiPriority w:val="99"/>
    <w:rsid w:val="0069713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81720">
      <w:bodyDiv w:val="1"/>
      <w:marLeft w:val="0"/>
      <w:marRight w:val="0"/>
      <w:marTop w:val="0"/>
      <w:marBottom w:val="0"/>
      <w:divBdr>
        <w:top w:val="none" w:sz="0" w:space="0" w:color="auto"/>
        <w:left w:val="none" w:sz="0" w:space="0" w:color="auto"/>
        <w:bottom w:val="none" w:sz="0" w:space="0" w:color="auto"/>
        <w:right w:val="none" w:sz="0" w:space="0" w:color="auto"/>
      </w:divBdr>
    </w:div>
    <w:div w:id="10891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7ed9da-973a-458e-ba2b-639733953c26">
      <UserInfo>
        <DisplayName>Benney, Kristen</DisplayName>
        <AccountId>36</AccountId>
        <AccountType/>
      </UserInfo>
      <UserInfo>
        <DisplayName>Cullison, David</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1" ma:contentTypeDescription="Create a new document." ma:contentTypeScope="" ma:versionID="82a28b88eee1a91d138912bc9a0a9841">
  <xsd:schema xmlns:xsd="http://www.w3.org/2001/XMLSchema" xmlns:xs="http://www.w3.org/2001/XMLSchema" xmlns:p="http://schemas.microsoft.com/office/2006/metadata/properties" xmlns:ns3="087ed9da-973a-458e-ba2b-639733953c26" xmlns:ns4="0cecad8f-305c-4ab2-8046-db3b11566c17" targetNamespace="http://schemas.microsoft.com/office/2006/metadata/properties" ma:root="true" ma:fieldsID="1b6330f2c44387089d4c49583b766f89" ns3:_="" ns4:_="">
    <xsd:import namespace="087ed9da-973a-458e-ba2b-639733953c26"/>
    <xsd:import namespace="0cecad8f-305c-4ab2-8046-db3b11566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734CE-46B1-4327-80F1-3EF8701FC847}">
  <ds:schemaRefs>
    <ds:schemaRef ds:uri="http://schemas.microsoft.com/office/2006/documentManagement/types"/>
    <ds:schemaRef ds:uri="http://purl.org/dc/elements/1.1/"/>
    <ds:schemaRef ds:uri="http://schemas.microsoft.com/office/2006/metadata/properties"/>
    <ds:schemaRef ds:uri="0cecad8f-305c-4ab2-8046-db3b11566c17"/>
    <ds:schemaRef ds:uri="http://purl.org/dc/terms/"/>
    <ds:schemaRef ds:uri="http://schemas.microsoft.com/office/infopath/2007/PartnerControls"/>
    <ds:schemaRef ds:uri="http://schemas.openxmlformats.org/package/2006/metadata/core-properties"/>
    <ds:schemaRef ds:uri="087ed9da-973a-458e-ba2b-639733953c26"/>
    <ds:schemaRef ds:uri="http://www.w3.org/XML/1998/namespace"/>
    <ds:schemaRef ds:uri="http://purl.org/dc/dcmitype/"/>
  </ds:schemaRefs>
</ds:datastoreItem>
</file>

<file path=customXml/itemProps2.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3.xml><?xml version="1.0" encoding="utf-8"?>
<ds:datastoreItem xmlns:ds="http://schemas.openxmlformats.org/officeDocument/2006/customXml" ds:itemID="{0F8472CE-13B7-40A7-B294-F8692A730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ed9da-973a-458e-ba2b-639733953c26"/>
    <ds:schemaRef ds:uri="0cecad8f-305c-4ab2-8046-db3b11566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4222</Words>
  <Characters>24072</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28238</CharactersWithSpaces>
  <SharedDoc>false</SharedDoc>
  <HLinks>
    <vt:vector size="6" baseType="variant">
      <vt:variant>
        <vt:i4>1048578</vt:i4>
      </vt:variant>
      <vt:variant>
        <vt:i4>2</vt:i4>
      </vt:variant>
      <vt:variant>
        <vt:i4>0</vt:i4>
      </vt:variant>
      <vt:variant>
        <vt:i4>5</vt:i4>
      </vt:variant>
      <vt:variant>
        <vt:lpwstr>http://www.nrc.gov/site-help/electronic-sub-ref-mat.html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cp:lastModifiedBy>Lappert-Jones, Glenna</cp:lastModifiedBy>
  <cp:revision>2</cp:revision>
  <dcterms:created xsi:type="dcterms:W3CDTF">2022-07-28T13:09:00Z</dcterms:created>
  <dcterms:modified xsi:type="dcterms:W3CDTF">2022-07-28T13:09:00Z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y fmtid="{D5CDD505-2E9C-101B-9397-08002B2CF9AE}" pid="3" name="_dlc_DocIdItemGuid">
    <vt:lpwstr>848eb281-2d24-45d8-8975-ea91b8a39fac</vt:lpwstr>
  </property>
  <property fmtid="{D5CDD505-2E9C-101B-9397-08002B2CF9AE}" pid="4" name="Order">
    <vt:r8>58700</vt:r8>
  </property>
</Properties>
</file>