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2CF5" w:rsidR="005F1FFC" w:rsidP="005F1FFC" w:rsidRDefault="005F1FFC" w14:paraId="7E088B25" w14:textId="77777777">
      <w:pPr>
        <w:rPr>
          <w:sz w:val="24"/>
          <w:szCs w:val="24"/>
        </w:rPr>
      </w:pPr>
    </w:p>
    <w:p w:rsidRPr="008F2CF5" w:rsidR="003225D2" w:rsidP="001650D5" w:rsidRDefault="005F1FFC" w14:paraId="00B8C0D6" w14:textId="52DE246B">
      <w:pPr>
        <w:jc w:val="center"/>
        <w:rPr>
          <w:b/>
          <w:caps/>
          <w:sz w:val="24"/>
          <w:szCs w:val="24"/>
        </w:rPr>
      </w:pPr>
      <w:r w:rsidRPr="008F2CF5">
        <w:rPr>
          <w:b/>
          <w:caps/>
          <w:sz w:val="24"/>
          <w:szCs w:val="24"/>
        </w:rPr>
        <w:t>Supporting</w:t>
      </w:r>
      <w:r w:rsidRPr="008F2CF5">
        <w:rPr>
          <w:b/>
          <w:sz w:val="24"/>
          <w:szCs w:val="24"/>
        </w:rPr>
        <w:t xml:space="preserve"> </w:t>
      </w:r>
      <w:r w:rsidRPr="008F2CF5">
        <w:rPr>
          <w:b/>
          <w:caps/>
          <w:sz w:val="24"/>
          <w:szCs w:val="24"/>
        </w:rPr>
        <w:t>Statement</w:t>
      </w:r>
      <w:r w:rsidRPr="008F2CF5" w:rsidR="00A4452C">
        <w:rPr>
          <w:b/>
          <w:caps/>
          <w:sz w:val="24"/>
          <w:szCs w:val="24"/>
        </w:rPr>
        <w:t xml:space="preserve"> For</w:t>
      </w:r>
    </w:p>
    <w:p w:rsidRPr="008F2CF5" w:rsidR="001650D5" w:rsidP="001650D5" w:rsidRDefault="002B337D" w14:paraId="2F27FDD4" w14:textId="303CF0FA">
      <w:pPr>
        <w:jc w:val="center"/>
        <w:rPr>
          <w:b/>
          <w:caps/>
          <w:sz w:val="24"/>
          <w:szCs w:val="24"/>
        </w:rPr>
      </w:pPr>
      <w:r w:rsidRPr="008F2CF5">
        <w:rPr>
          <w:b/>
          <w:caps/>
          <w:sz w:val="24"/>
          <w:szCs w:val="24"/>
        </w:rPr>
        <w:t xml:space="preserve">Joint Standards </w:t>
      </w:r>
      <w:r w:rsidR="00AD2FFF">
        <w:rPr>
          <w:b/>
          <w:caps/>
          <w:sz w:val="24"/>
          <w:szCs w:val="24"/>
        </w:rPr>
        <w:t xml:space="preserve">and CFPB Standards </w:t>
      </w:r>
      <w:r w:rsidRPr="008F2CF5">
        <w:rPr>
          <w:b/>
          <w:caps/>
          <w:sz w:val="24"/>
          <w:szCs w:val="24"/>
        </w:rPr>
        <w:t>for Assessing the Diversity policies and practices</w:t>
      </w:r>
    </w:p>
    <w:p w:rsidRPr="008F2CF5" w:rsidR="003225D2" w:rsidP="003225D2" w:rsidRDefault="003225D2" w14:paraId="4ACA79D4" w14:textId="78EBF7C4">
      <w:pPr>
        <w:jc w:val="center"/>
        <w:rPr>
          <w:b/>
          <w:bCs/>
          <w:sz w:val="24"/>
          <w:szCs w:val="24"/>
        </w:rPr>
      </w:pPr>
      <w:r w:rsidRPr="008F2CF5">
        <w:rPr>
          <w:b/>
          <w:bCs/>
          <w:sz w:val="24"/>
          <w:szCs w:val="24"/>
        </w:rPr>
        <w:t>OMB CONTROL NO.</w:t>
      </w:r>
      <w:r w:rsidRPr="008F2CF5" w:rsidR="004D6F7D">
        <w:rPr>
          <w:b/>
          <w:bCs/>
          <w:sz w:val="24"/>
          <w:szCs w:val="24"/>
        </w:rPr>
        <w:t>:</w:t>
      </w:r>
      <w:r w:rsidRPr="008F2CF5">
        <w:rPr>
          <w:b/>
          <w:bCs/>
          <w:sz w:val="24"/>
          <w:szCs w:val="24"/>
        </w:rPr>
        <w:t xml:space="preserve"> </w:t>
      </w:r>
      <w:r w:rsidRPr="008F2CF5" w:rsidR="00E81562">
        <w:rPr>
          <w:b/>
          <w:bCs/>
          <w:sz w:val="24"/>
          <w:szCs w:val="24"/>
        </w:rPr>
        <w:t>3170-0</w:t>
      </w:r>
      <w:r w:rsidRPr="008F2CF5" w:rsidR="001650D5">
        <w:rPr>
          <w:b/>
          <w:bCs/>
          <w:sz w:val="24"/>
          <w:szCs w:val="24"/>
        </w:rPr>
        <w:t>0</w:t>
      </w:r>
      <w:r w:rsidRPr="008F2CF5" w:rsidR="002B337D">
        <w:rPr>
          <w:b/>
          <w:bCs/>
          <w:sz w:val="24"/>
          <w:szCs w:val="24"/>
        </w:rPr>
        <w:t>60</w:t>
      </w:r>
    </w:p>
    <w:p w:rsidRPr="008F2CF5" w:rsidR="00A4452C" w:rsidP="000F0DD6" w:rsidRDefault="00CF1807" w14:paraId="7DC5C315" w14:textId="0B2A5A15">
      <w:pPr>
        <w:tabs>
          <w:tab w:val="left" w:pos="880"/>
        </w:tabs>
        <w:rPr>
          <w:b/>
          <w:caps/>
          <w:sz w:val="24"/>
          <w:szCs w:val="24"/>
        </w:rPr>
      </w:pPr>
      <w:r w:rsidRPr="008F2CF5">
        <w:rPr>
          <w:b/>
          <w:caps/>
          <w:sz w:val="24"/>
          <w:szCs w:val="24"/>
        </w:rPr>
        <w:tab/>
      </w:r>
    </w:p>
    <w:p w:rsidRPr="008F2CF5" w:rsidR="005F1FFC" w:rsidP="005F1FFC" w:rsidRDefault="005F1FFC" w14:paraId="14A29F18" w14:textId="77777777">
      <w:pPr>
        <w:jc w:val="center"/>
        <w:rPr>
          <w:b/>
          <w:sz w:val="24"/>
          <w:szCs w:val="24"/>
        </w:rPr>
      </w:pPr>
    </w:p>
    <w:p w:rsidRPr="008F2CF5" w:rsidR="005F1FFC" w:rsidP="005F1FFC" w:rsidRDefault="005F1FFC" w14:paraId="3DBE2AB2" w14:textId="77777777">
      <w:pPr>
        <w:rPr>
          <w:b/>
          <w:sz w:val="24"/>
          <w:szCs w:val="24"/>
        </w:rPr>
      </w:pPr>
      <w:r w:rsidRPr="008F2CF5">
        <w:rPr>
          <w:b/>
          <w:sz w:val="24"/>
          <w:szCs w:val="24"/>
        </w:rPr>
        <w:t xml:space="preserve">A.  </w:t>
      </w:r>
      <w:r w:rsidRPr="008F2CF5">
        <w:rPr>
          <w:b/>
          <w:caps/>
          <w:sz w:val="24"/>
          <w:szCs w:val="24"/>
        </w:rPr>
        <w:t>Justification</w:t>
      </w:r>
    </w:p>
    <w:p w:rsidRPr="008F2CF5" w:rsidR="005F1FFC" w:rsidP="005F1FFC" w:rsidRDefault="005F1FFC" w14:paraId="4378B360" w14:textId="77777777">
      <w:pPr>
        <w:rPr>
          <w:b/>
          <w:sz w:val="24"/>
          <w:szCs w:val="24"/>
        </w:rPr>
      </w:pPr>
    </w:p>
    <w:p w:rsidRPr="008F2CF5" w:rsidR="00092D91" w:rsidP="00092D91" w:rsidRDefault="00092D91" w14:paraId="08863302" w14:textId="77777777">
      <w:pPr>
        <w:rPr>
          <w:sz w:val="24"/>
          <w:szCs w:val="24"/>
        </w:rPr>
      </w:pPr>
      <w:r w:rsidRPr="008F2CF5">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F2CF5" w:rsidR="005F1FFC" w:rsidP="005F1FFC" w:rsidRDefault="005F1FFC" w14:paraId="1F5F91FF" w14:textId="77777777">
      <w:pPr>
        <w:rPr>
          <w:sz w:val="24"/>
          <w:szCs w:val="24"/>
        </w:rPr>
      </w:pPr>
    </w:p>
    <w:p w:rsidR="00716EC4" w:rsidP="007C46A8" w:rsidRDefault="007C46A8" w14:paraId="1F5D817A" w14:textId="0DDF1CFC">
      <w:pPr>
        <w:autoSpaceDE w:val="0"/>
        <w:autoSpaceDN w:val="0"/>
        <w:adjustRightInd w:val="0"/>
        <w:rPr>
          <w:sz w:val="24"/>
          <w:szCs w:val="24"/>
        </w:rPr>
      </w:pPr>
      <w:r w:rsidRPr="008F2CF5">
        <w:rPr>
          <w:color w:val="000000"/>
          <w:sz w:val="24"/>
          <w:szCs w:val="24"/>
        </w:rPr>
        <w:t>Section 342 of the Dodd-Frank Wall Street Reform and Consumer Protection Act of 2010 (Act) required the Office of the Comptroller of the Currency (OCC), Board of Governors of the Federal Reserve System (Board), Federal Deposit Insurance Corporation (FDIC), Consumer Financial Protection</w:t>
      </w:r>
      <w:r w:rsidR="006943BE">
        <w:rPr>
          <w:color w:val="000000"/>
          <w:sz w:val="24"/>
          <w:szCs w:val="24"/>
        </w:rPr>
        <w:t xml:space="preserve"> Bureau</w:t>
      </w:r>
      <w:r w:rsidRPr="008F2CF5">
        <w:rPr>
          <w:color w:val="000000"/>
          <w:sz w:val="24"/>
          <w:szCs w:val="24"/>
        </w:rPr>
        <w:t xml:space="preserve"> (</w:t>
      </w:r>
      <w:r w:rsidR="006943BE">
        <w:rPr>
          <w:color w:val="000000"/>
          <w:sz w:val="24"/>
          <w:szCs w:val="24"/>
        </w:rPr>
        <w:t>CFPB</w:t>
      </w:r>
      <w:r w:rsidR="00227CB5">
        <w:rPr>
          <w:color w:val="000000"/>
          <w:sz w:val="24"/>
          <w:szCs w:val="24"/>
        </w:rPr>
        <w:t xml:space="preserve"> or the Bureau</w:t>
      </w:r>
      <w:r w:rsidRPr="008F2CF5">
        <w:rPr>
          <w:color w:val="000000"/>
          <w:sz w:val="24"/>
          <w:szCs w:val="24"/>
        </w:rPr>
        <w:t>), and Securities and Exchange Commission (SEC) (</w:t>
      </w:r>
      <w:r w:rsidR="002064EC">
        <w:rPr>
          <w:color w:val="000000"/>
          <w:sz w:val="24"/>
          <w:szCs w:val="24"/>
        </w:rPr>
        <w:t xml:space="preserve">collectively: </w:t>
      </w:r>
      <w:r w:rsidRPr="008F2CF5">
        <w:rPr>
          <w:color w:val="000000"/>
          <w:sz w:val="24"/>
          <w:szCs w:val="24"/>
        </w:rPr>
        <w:t>Agencie</w:t>
      </w:r>
      <w:r w:rsidR="002064EC">
        <w:rPr>
          <w:color w:val="000000"/>
          <w:sz w:val="24"/>
          <w:szCs w:val="24"/>
        </w:rPr>
        <w:t xml:space="preserve">s; </w:t>
      </w:r>
      <w:r w:rsidR="001A2526">
        <w:rPr>
          <w:color w:val="000000"/>
          <w:sz w:val="24"/>
          <w:szCs w:val="24"/>
        </w:rPr>
        <w:t xml:space="preserve">individually: </w:t>
      </w:r>
      <w:r w:rsidRPr="008F2CF5">
        <w:rPr>
          <w:color w:val="000000"/>
          <w:sz w:val="24"/>
          <w:szCs w:val="24"/>
        </w:rPr>
        <w:t>Agency) each to establish an Office of Minority and Women Inclusion (OMWI) to be responsible for all matters of the Agency relating to diversity in management, employment, and business activities.  The Act also instructed each OMWI Director to develop standards for assessing the diversity policies and practices of entities regulated by the Agency.  The Agencies worked together to develop joint standards</w:t>
      </w:r>
      <w:r w:rsidRPr="008F2CF5">
        <w:rPr>
          <w:sz w:val="24"/>
          <w:szCs w:val="24"/>
        </w:rPr>
        <w:t xml:space="preserve"> (Joint Standards) and they jointly published</w:t>
      </w:r>
      <w:r w:rsidRPr="008F2CF5">
        <w:rPr>
          <w:rStyle w:val="FootnoteReference"/>
          <w:sz w:val="24"/>
          <w:szCs w:val="24"/>
        </w:rPr>
        <w:footnoteReference w:id="2"/>
      </w:r>
      <w:r w:rsidRPr="008F2CF5">
        <w:rPr>
          <w:sz w:val="24"/>
          <w:szCs w:val="24"/>
          <w:vertAlign w:val="superscript"/>
        </w:rPr>
        <w:t xml:space="preserve"> </w:t>
      </w:r>
      <w:r w:rsidRPr="008F2CF5">
        <w:rPr>
          <w:sz w:val="24"/>
          <w:szCs w:val="24"/>
        </w:rPr>
        <w:t>the “Final Interagency Policy Statement Establishing Joint Standards for Assessing the Diversity Policies and Practices of Entities Regulated by the Agencies” (Policy Statement).</w:t>
      </w:r>
      <w:r w:rsidRPr="008F2CF5">
        <w:rPr>
          <w:rStyle w:val="FootnoteReference"/>
          <w:sz w:val="24"/>
          <w:szCs w:val="24"/>
        </w:rPr>
        <w:footnoteReference w:id="3"/>
      </w:r>
    </w:p>
    <w:p w:rsidR="00716EC4" w:rsidP="007C46A8" w:rsidRDefault="00716EC4" w14:paraId="76A0986A" w14:textId="77777777">
      <w:pPr>
        <w:autoSpaceDE w:val="0"/>
        <w:autoSpaceDN w:val="0"/>
        <w:adjustRightInd w:val="0"/>
        <w:rPr>
          <w:sz w:val="24"/>
          <w:szCs w:val="24"/>
        </w:rPr>
      </w:pPr>
    </w:p>
    <w:p w:rsidR="007C46A8" w:rsidP="00D047B8" w:rsidRDefault="007C46A8" w14:paraId="12218C0D" w14:textId="0F7EA179">
      <w:pPr>
        <w:spacing w:line="259" w:lineRule="auto"/>
        <w:rPr>
          <w:sz w:val="24"/>
          <w:szCs w:val="24"/>
        </w:rPr>
      </w:pPr>
      <w:r w:rsidRPr="008F2CF5">
        <w:rPr>
          <w:sz w:val="24"/>
          <w:szCs w:val="24"/>
        </w:rPr>
        <w:t>Section 342 of the Act</w:t>
      </w:r>
      <w:r w:rsidR="00326A89">
        <w:rPr>
          <w:sz w:val="24"/>
          <w:szCs w:val="24"/>
        </w:rPr>
        <w:t xml:space="preserve"> </w:t>
      </w:r>
      <w:r w:rsidRPr="008F2CF5">
        <w:rPr>
          <w:sz w:val="24"/>
          <w:szCs w:val="24"/>
        </w:rPr>
        <w:t xml:space="preserve">also required the Agencies to assess whether entities that do business with the Agencies, including contractors, make a good faith effort </w:t>
      </w:r>
      <w:r w:rsidR="00405528">
        <w:rPr>
          <w:sz w:val="24"/>
          <w:szCs w:val="24"/>
        </w:rPr>
        <w:t xml:space="preserve">(GFE) </w:t>
      </w:r>
      <w:r w:rsidRPr="008F2CF5">
        <w:rPr>
          <w:sz w:val="24"/>
          <w:szCs w:val="24"/>
        </w:rPr>
        <w:t xml:space="preserve">to diversify their organizations and to report that information to the Agencies. </w:t>
      </w:r>
    </w:p>
    <w:p w:rsidRPr="008F2CF5" w:rsidR="00150BAE" w:rsidP="00D047B8" w:rsidRDefault="00150BAE" w14:paraId="080548D8" w14:textId="77777777">
      <w:pPr>
        <w:spacing w:line="259" w:lineRule="auto"/>
        <w:rPr>
          <w:sz w:val="24"/>
          <w:szCs w:val="24"/>
        </w:rPr>
      </w:pPr>
    </w:p>
    <w:p w:rsidRPr="00D77B56" w:rsidR="00D77B56" w:rsidP="009C778D" w:rsidRDefault="007C46A8" w14:paraId="58E47493" w14:textId="77777777">
      <w:pPr>
        <w:autoSpaceDE w:val="0"/>
        <w:autoSpaceDN w:val="0"/>
        <w:adjustRightInd w:val="0"/>
        <w:rPr>
          <w:sz w:val="24"/>
          <w:szCs w:val="24"/>
        </w:rPr>
      </w:pPr>
      <w:r w:rsidRPr="008F2CF5">
        <w:rPr>
          <w:sz w:val="24"/>
          <w:szCs w:val="24"/>
        </w:rPr>
        <w:t xml:space="preserve">The Policy Statement includes Joint Standards that cover “Practices to Promote Transparency of Organizational Diversity and Inclusion.”  These Joint Standards contemplate that a regulated entity is transparent about its diversity and inclusion activities by making certain information available to the public annually on its Web sites or through other appropriate communications methods, in a manner reflective of the </w:t>
      </w:r>
      <w:r w:rsidRPr="00D77B56">
        <w:rPr>
          <w:sz w:val="24"/>
          <w:szCs w:val="24"/>
        </w:rPr>
        <w:t>entity’s size and other characteristics.  The specific information referenced in these standards is</w:t>
      </w:r>
      <w:r w:rsidRPr="00D77B56" w:rsidR="00D77B56">
        <w:rPr>
          <w:sz w:val="24"/>
          <w:szCs w:val="24"/>
        </w:rPr>
        <w:t>:</w:t>
      </w:r>
    </w:p>
    <w:p w:rsidRPr="00D77B56" w:rsidR="00D77B56" w:rsidP="00D77B56" w:rsidRDefault="007C46A8" w14:paraId="7B672406" w14:textId="77777777">
      <w:pPr>
        <w:pStyle w:val="ListParagraph"/>
        <w:numPr>
          <w:ilvl w:val="0"/>
          <w:numId w:val="22"/>
        </w:numPr>
        <w:autoSpaceDE w:val="0"/>
        <w:autoSpaceDN w:val="0"/>
        <w:adjustRightInd w:val="0"/>
        <w:rPr>
          <w:rFonts w:ascii="Times New Roman" w:hAnsi="Times New Roman"/>
          <w:sz w:val="24"/>
          <w:szCs w:val="24"/>
        </w:rPr>
      </w:pPr>
      <w:r w:rsidRPr="00D77B56">
        <w:rPr>
          <w:rFonts w:ascii="Times New Roman" w:hAnsi="Times New Roman"/>
          <w:sz w:val="24"/>
          <w:szCs w:val="24"/>
        </w:rPr>
        <w:t xml:space="preserve">the entity’s diversity and inclusion strategic </w:t>
      </w:r>
      <w:proofErr w:type="gramStart"/>
      <w:r w:rsidRPr="00D77B56">
        <w:rPr>
          <w:rFonts w:ascii="Times New Roman" w:hAnsi="Times New Roman"/>
          <w:sz w:val="24"/>
          <w:szCs w:val="24"/>
        </w:rPr>
        <w:t>plan;</w:t>
      </w:r>
      <w:proofErr w:type="gramEnd"/>
    </w:p>
    <w:p w:rsidRPr="00D77B56" w:rsidR="00D77B56" w:rsidP="00D77B56" w:rsidRDefault="007C46A8" w14:paraId="38357F58" w14:textId="77777777">
      <w:pPr>
        <w:pStyle w:val="ListParagraph"/>
        <w:numPr>
          <w:ilvl w:val="0"/>
          <w:numId w:val="22"/>
        </w:numPr>
        <w:autoSpaceDE w:val="0"/>
        <w:autoSpaceDN w:val="0"/>
        <w:adjustRightInd w:val="0"/>
        <w:rPr>
          <w:rFonts w:ascii="Times New Roman" w:hAnsi="Times New Roman"/>
          <w:sz w:val="24"/>
          <w:szCs w:val="24"/>
        </w:rPr>
      </w:pPr>
      <w:r w:rsidRPr="00D77B56">
        <w:rPr>
          <w:rFonts w:ascii="Times New Roman" w:hAnsi="Times New Roman"/>
          <w:sz w:val="24"/>
          <w:szCs w:val="24"/>
        </w:rPr>
        <w:lastRenderedPageBreak/>
        <w:t xml:space="preserve">its policy on its commitment to diversity and </w:t>
      </w:r>
      <w:proofErr w:type="gramStart"/>
      <w:r w:rsidRPr="00D77B56">
        <w:rPr>
          <w:rFonts w:ascii="Times New Roman" w:hAnsi="Times New Roman"/>
          <w:sz w:val="24"/>
          <w:szCs w:val="24"/>
        </w:rPr>
        <w:t>inclusion</w:t>
      </w:r>
      <w:r w:rsidRPr="00D77B56" w:rsidR="00D77B56">
        <w:rPr>
          <w:rFonts w:ascii="Times New Roman" w:hAnsi="Times New Roman"/>
          <w:sz w:val="24"/>
          <w:szCs w:val="24"/>
        </w:rPr>
        <w:t>;</w:t>
      </w:r>
      <w:proofErr w:type="gramEnd"/>
    </w:p>
    <w:p w:rsidRPr="00D77B56" w:rsidR="00D77B56" w:rsidP="00D77B56" w:rsidRDefault="007C46A8" w14:paraId="133C23FC" w14:textId="77777777">
      <w:pPr>
        <w:pStyle w:val="ListParagraph"/>
        <w:numPr>
          <w:ilvl w:val="0"/>
          <w:numId w:val="22"/>
        </w:numPr>
        <w:autoSpaceDE w:val="0"/>
        <w:autoSpaceDN w:val="0"/>
        <w:adjustRightInd w:val="0"/>
        <w:rPr>
          <w:rFonts w:ascii="Times New Roman" w:hAnsi="Times New Roman"/>
          <w:sz w:val="24"/>
          <w:szCs w:val="24"/>
        </w:rPr>
      </w:pPr>
      <w:r w:rsidRPr="00D77B56">
        <w:rPr>
          <w:rFonts w:ascii="Times New Roman" w:hAnsi="Times New Roman"/>
          <w:sz w:val="24"/>
          <w:szCs w:val="24"/>
        </w:rPr>
        <w:t>its progress toward achieving diversity and inclusion in its workforce and procurement activities; and</w:t>
      </w:r>
    </w:p>
    <w:p w:rsidRPr="00D77B56" w:rsidR="007C46A8" w:rsidP="00D77B56" w:rsidRDefault="007C46A8" w14:paraId="1CE2FD9F" w14:textId="484B7E61">
      <w:pPr>
        <w:pStyle w:val="ListParagraph"/>
        <w:numPr>
          <w:ilvl w:val="0"/>
          <w:numId w:val="22"/>
        </w:numPr>
        <w:autoSpaceDE w:val="0"/>
        <w:autoSpaceDN w:val="0"/>
        <w:adjustRightInd w:val="0"/>
        <w:rPr>
          <w:rFonts w:ascii="Times New Roman" w:hAnsi="Times New Roman"/>
          <w:sz w:val="24"/>
          <w:szCs w:val="24"/>
        </w:rPr>
      </w:pPr>
      <w:r w:rsidRPr="00D77B56">
        <w:rPr>
          <w:rFonts w:ascii="Times New Roman" w:hAnsi="Times New Roman"/>
          <w:sz w:val="24"/>
          <w:szCs w:val="24"/>
        </w:rPr>
        <w:t xml:space="preserve">opportunities available at the entity that promote diversity.  </w:t>
      </w:r>
    </w:p>
    <w:p w:rsidRPr="00D77B56" w:rsidR="3D50E744" w:rsidP="3D50E744" w:rsidRDefault="3D50E744" w14:paraId="4EFE50FB" w14:textId="026134A5">
      <w:pPr>
        <w:rPr>
          <w:sz w:val="24"/>
          <w:szCs w:val="24"/>
        </w:rPr>
      </w:pPr>
    </w:p>
    <w:p w:rsidRPr="00D77B56" w:rsidR="00D77B56" w:rsidP="3D50E744" w:rsidRDefault="3D50E744" w14:paraId="7EEE2D72" w14:textId="5D360380">
      <w:pPr>
        <w:rPr>
          <w:sz w:val="24"/>
          <w:szCs w:val="24"/>
        </w:rPr>
      </w:pPr>
      <w:r w:rsidRPr="00D77B56">
        <w:rPr>
          <w:sz w:val="24"/>
          <w:szCs w:val="24"/>
        </w:rPr>
        <w:t xml:space="preserve">The </w:t>
      </w:r>
      <w:r w:rsidRPr="00D77B56" w:rsidR="00B83D4F">
        <w:rPr>
          <w:sz w:val="24"/>
          <w:szCs w:val="24"/>
        </w:rPr>
        <w:t xml:space="preserve">CFPB’s </w:t>
      </w:r>
      <w:r w:rsidRPr="00D77B56" w:rsidR="00842391">
        <w:rPr>
          <w:sz w:val="24"/>
          <w:szCs w:val="24"/>
        </w:rPr>
        <w:t xml:space="preserve">GFE </w:t>
      </w:r>
      <w:r w:rsidRPr="00D77B56">
        <w:rPr>
          <w:sz w:val="24"/>
          <w:szCs w:val="24"/>
        </w:rPr>
        <w:t xml:space="preserve">Policy includes the process to review and evaluate </w:t>
      </w:r>
      <w:r w:rsidRPr="00D77B56" w:rsidR="00D6588C">
        <w:rPr>
          <w:sz w:val="24"/>
          <w:szCs w:val="24"/>
        </w:rPr>
        <w:t>c</w:t>
      </w:r>
      <w:r w:rsidRPr="00D77B56">
        <w:rPr>
          <w:sz w:val="24"/>
          <w:szCs w:val="24"/>
        </w:rPr>
        <w:t xml:space="preserve">ontractors, and as applicable, </w:t>
      </w:r>
      <w:r w:rsidRPr="00D77B56" w:rsidR="00D6588C">
        <w:rPr>
          <w:sz w:val="24"/>
          <w:szCs w:val="24"/>
        </w:rPr>
        <w:t>s</w:t>
      </w:r>
      <w:r w:rsidRPr="00D77B56">
        <w:rPr>
          <w:sz w:val="24"/>
          <w:szCs w:val="24"/>
        </w:rPr>
        <w:t xml:space="preserve">ubcontractors to ensure the fair inclusion of women and minorities in their workforce. </w:t>
      </w:r>
      <w:r w:rsidRPr="00D77B56" w:rsidR="004A0B82">
        <w:rPr>
          <w:sz w:val="24"/>
          <w:szCs w:val="24"/>
        </w:rPr>
        <w:t xml:space="preserve"> </w:t>
      </w:r>
      <w:r w:rsidRPr="00D77B56">
        <w:rPr>
          <w:sz w:val="24"/>
          <w:szCs w:val="24"/>
        </w:rPr>
        <w:t xml:space="preserve">The implementation of the CFPB’s GFE process consists of the inclusion of the GFE clause in all </w:t>
      </w:r>
      <w:r w:rsidRPr="00D77B56" w:rsidR="00D6588C">
        <w:rPr>
          <w:sz w:val="24"/>
          <w:szCs w:val="24"/>
        </w:rPr>
        <w:t>m</w:t>
      </w:r>
      <w:r w:rsidRPr="00D77B56">
        <w:rPr>
          <w:sz w:val="24"/>
          <w:szCs w:val="24"/>
        </w:rPr>
        <w:t xml:space="preserve">arket </w:t>
      </w:r>
      <w:r w:rsidRPr="00D77B56" w:rsidR="00D6588C">
        <w:rPr>
          <w:sz w:val="24"/>
          <w:szCs w:val="24"/>
        </w:rPr>
        <w:t>r</w:t>
      </w:r>
      <w:r w:rsidRPr="00D77B56">
        <w:rPr>
          <w:sz w:val="24"/>
          <w:szCs w:val="24"/>
        </w:rPr>
        <w:t>esearch, solicitations, requests for information</w:t>
      </w:r>
      <w:r w:rsidRPr="008F2CF5">
        <w:rPr>
          <w:sz w:val="24"/>
          <w:szCs w:val="24"/>
        </w:rPr>
        <w:t xml:space="preserve">, requests for proposals, and contracts, </w:t>
      </w:r>
      <w:r w:rsidR="004A0B82">
        <w:rPr>
          <w:sz w:val="24"/>
          <w:szCs w:val="24"/>
        </w:rPr>
        <w:t>t</w:t>
      </w:r>
      <w:r w:rsidRPr="008F2CF5">
        <w:rPr>
          <w:sz w:val="24"/>
          <w:szCs w:val="24"/>
        </w:rPr>
        <w:t xml:space="preserve">he </w:t>
      </w:r>
      <w:r w:rsidR="004A0B82">
        <w:rPr>
          <w:sz w:val="24"/>
          <w:szCs w:val="24"/>
        </w:rPr>
        <w:t>s</w:t>
      </w:r>
      <w:r w:rsidRPr="008F2CF5">
        <w:rPr>
          <w:sz w:val="24"/>
          <w:szCs w:val="24"/>
        </w:rPr>
        <w:t xml:space="preserve">pecific information referenced in the clause is documentation demonstrating </w:t>
      </w:r>
      <w:r w:rsidR="006F3814">
        <w:rPr>
          <w:sz w:val="24"/>
          <w:szCs w:val="24"/>
        </w:rPr>
        <w:t>c</w:t>
      </w:r>
      <w:r w:rsidRPr="008F2CF5">
        <w:rPr>
          <w:sz w:val="24"/>
          <w:szCs w:val="24"/>
        </w:rPr>
        <w:t xml:space="preserve">ontractor efforts to address all six evaluation criteria encompassing the CFPB’s GFE which </w:t>
      </w:r>
      <w:r w:rsidRPr="00D77B56">
        <w:rPr>
          <w:sz w:val="24"/>
          <w:szCs w:val="24"/>
        </w:rPr>
        <w:t>are:</w:t>
      </w:r>
    </w:p>
    <w:p w:rsidRPr="00D77B56" w:rsidR="00D77B56" w:rsidP="00D77B56" w:rsidRDefault="3D50E744" w14:paraId="0F3ED86E" w14:textId="77777777">
      <w:pPr>
        <w:pStyle w:val="ListParagraph"/>
        <w:numPr>
          <w:ilvl w:val="0"/>
          <w:numId w:val="23"/>
        </w:numPr>
        <w:rPr>
          <w:rFonts w:ascii="Times New Roman" w:hAnsi="Times New Roman"/>
          <w:sz w:val="24"/>
          <w:szCs w:val="24"/>
        </w:rPr>
      </w:pPr>
      <w:r w:rsidRPr="00D77B56">
        <w:rPr>
          <w:rFonts w:ascii="Times New Roman" w:hAnsi="Times New Roman"/>
          <w:sz w:val="24"/>
          <w:szCs w:val="24"/>
        </w:rPr>
        <w:t xml:space="preserve">Diversity </w:t>
      </w:r>
      <w:proofErr w:type="gramStart"/>
      <w:r w:rsidRPr="00D77B56">
        <w:rPr>
          <w:rFonts w:ascii="Times New Roman" w:hAnsi="Times New Roman"/>
          <w:sz w:val="24"/>
          <w:szCs w:val="24"/>
        </w:rPr>
        <w:t>Strategy;</w:t>
      </w:r>
      <w:proofErr w:type="gramEnd"/>
    </w:p>
    <w:p w:rsidRPr="00D77B56" w:rsidR="00D77B56" w:rsidP="00D77B56" w:rsidRDefault="3D50E744" w14:paraId="689AC4B6" w14:textId="77777777">
      <w:pPr>
        <w:pStyle w:val="ListParagraph"/>
        <w:numPr>
          <w:ilvl w:val="0"/>
          <w:numId w:val="23"/>
        </w:numPr>
        <w:rPr>
          <w:rFonts w:ascii="Times New Roman" w:hAnsi="Times New Roman"/>
          <w:sz w:val="24"/>
          <w:szCs w:val="24"/>
        </w:rPr>
      </w:pPr>
      <w:r w:rsidRPr="00D77B56">
        <w:rPr>
          <w:rFonts w:ascii="Times New Roman" w:hAnsi="Times New Roman"/>
          <w:sz w:val="24"/>
          <w:szCs w:val="24"/>
        </w:rPr>
        <w:t xml:space="preserve">Diversity </w:t>
      </w:r>
      <w:proofErr w:type="gramStart"/>
      <w:r w:rsidRPr="00D77B56">
        <w:rPr>
          <w:rFonts w:ascii="Times New Roman" w:hAnsi="Times New Roman"/>
          <w:sz w:val="24"/>
          <w:szCs w:val="24"/>
        </w:rPr>
        <w:t>Policies;</w:t>
      </w:r>
      <w:proofErr w:type="gramEnd"/>
    </w:p>
    <w:p w:rsidRPr="00D77B56" w:rsidR="00D77B56" w:rsidP="00D77B56" w:rsidRDefault="3D50E744" w14:paraId="31E03FBB" w14:textId="77777777">
      <w:pPr>
        <w:pStyle w:val="ListParagraph"/>
        <w:numPr>
          <w:ilvl w:val="0"/>
          <w:numId w:val="23"/>
        </w:numPr>
        <w:rPr>
          <w:rFonts w:ascii="Times New Roman" w:hAnsi="Times New Roman"/>
          <w:sz w:val="24"/>
          <w:szCs w:val="24"/>
        </w:rPr>
      </w:pPr>
      <w:proofErr w:type="gramStart"/>
      <w:r w:rsidRPr="00D77B56">
        <w:rPr>
          <w:rFonts w:ascii="Times New Roman" w:hAnsi="Times New Roman"/>
          <w:sz w:val="24"/>
          <w:szCs w:val="24"/>
        </w:rPr>
        <w:t>Recruitment;</w:t>
      </w:r>
      <w:proofErr w:type="gramEnd"/>
    </w:p>
    <w:p w:rsidRPr="00D77B56" w:rsidR="00D77B56" w:rsidP="00D77B56" w:rsidRDefault="3D50E744" w14:paraId="530EC7EC" w14:textId="77777777">
      <w:pPr>
        <w:pStyle w:val="ListParagraph"/>
        <w:numPr>
          <w:ilvl w:val="0"/>
          <w:numId w:val="23"/>
        </w:numPr>
        <w:rPr>
          <w:rFonts w:ascii="Times New Roman" w:hAnsi="Times New Roman"/>
          <w:sz w:val="24"/>
          <w:szCs w:val="24"/>
        </w:rPr>
      </w:pPr>
      <w:r w:rsidRPr="00D77B56">
        <w:rPr>
          <w:rFonts w:ascii="Times New Roman" w:hAnsi="Times New Roman"/>
          <w:sz w:val="24"/>
          <w:szCs w:val="24"/>
        </w:rPr>
        <w:t xml:space="preserve">Succession </w:t>
      </w:r>
      <w:proofErr w:type="gramStart"/>
      <w:r w:rsidRPr="00D77B56">
        <w:rPr>
          <w:rFonts w:ascii="Times New Roman" w:hAnsi="Times New Roman"/>
          <w:sz w:val="24"/>
          <w:szCs w:val="24"/>
        </w:rPr>
        <w:t>Planning;</w:t>
      </w:r>
      <w:proofErr w:type="gramEnd"/>
    </w:p>
    <w:p w:rsidRPr="00D77B56" w:rsidR="00D77B56" w:rsidP="00D77B56" w:rsidRDefault="3D50E744" w14:paraId="5D81766D" w14:textId="77777777">
      <w:pPr>
        <w:pStyle w:val="ListParagraph"/>
        <w:numPr>
          <w:ilvl w:val="0"/>
          <w:numId w:val="23"/>
        </w:numPr>
        <w:rPr>
          <w:rFonts w:ascii="Times New Roman" w:hAnsi="Times New Roman"/>
          <w:sz w:val="24"/>
          <w:szCs w:val="24"/>
        </w:rPr>
      </w:pPr>
      <w:r w:rsidRPr="00D77B56">
        <w:rPr>
          <w:rFonts w:ascii="Times New Roman" w:hAnsi="Times New Roman"/>
          <w:sz w:val="24"/>
          <w:szCs w:val="24"/>
        </w:rPr>
        <w:t>Outreach; and</w:t>
      </w:r>
    </w:p>
    <w:p w:rsidRPr="00D77B56" w:rsidR="00405528" w:rsidP="00D77B56" w:rsidRDefault="3D50E744" w14:paraId="24103D2B" w14:textId="0AAE5863">
      <w:pPr>
        <w:pStyle w:val="ListParagraph"/>
        <w:numPr>
          <w:ilvl w:val="0"/>
          <w:numId w:val="23"/>
        </w:numPr>
        <w:rPr>
          <w:rFonts w:ascii="Times New Roman" w:hAnsi="Times New Roman"/>
          <w:sz w:val="24"/>
          <w:szCs w:val="24"/>
        </w:rPr>
      </w:pPr>
      <w:r w:rsidRPr="00D77B56">
        <w:rPr>
          <w:rFonts w:ascii="Times New Roman" w:hAnsi="Times New Roman"/>
          <w:sz w:val="24"/>
          <w:szCs w:val="24"/>
        </w:rPr>
        <w:t>Supplier – Subcontractor Diversity.</w:t>
      </w:r>
    </w:p>
    <w:p w:rsidRPr="00D77B56" w:rsidR="004A0B82" w:rsidP="3D50E744" w:rsidRDefault="004A0B82" w14:paraId="4AB3B2D6" w14:textId="77777777">
      <w:pPr>
        <w:rPr>
          <w:sz w:val="24"/>
          <w:szCs w:val="24"/>
        </w:rPr>
      </w:pPr>
    </w:p>
    <w:p w:rsidRPr="008F2CF5" w:rsidR="00405528" w:rsidP="00405528" w:rsidRDefault="00405528" w14:paraId="762DD5D0" w14:textId="46B86353">
      <w:pPr>
        <w:rPr>
          <w:sz w:val="24"/>
          <w:szCs w:val="24"/>
        </w:rPr>
      </w:pPr>
      <w:r w:rsidRPr="00D77B56">
        <w:rPr>
          <w:sz w:val="24"/>
          <w:szCs w:val="24"/>
        </w:rPr>
        <w:t xml:space="preserve">The GFE clause within </w:t>
      </w:r>
      <w:r w:rsidRPr="00D77B56" w:rsidR="006F3814">
        <w:rPr>
          <w:sz w:val="24"/>
          <w:szCs w:val="24"/>
        </w:rPr>
        <w:t>c</w:t>
      </w:r>
      <w:r w:rsidRPr="00D77B56">
        <w:rPr>
          <w:sz w:val="24"/>
          <w:szCs w:val="24"/>
        </w:rPr>
        <w:t>ontractor agreements</w:t>
      </w:r>
      <w:r w:rsidRPr="008F2CF5">
        <w:rPr>
          <w:sz w:val="24"/>
          <w:szCs w:val="24"/>
        </w:rPr>
        <w:t xml:space="preserve"> with the CFPB require that contractors and others that do business with the CFPB provide information related to their internal diversity and inclusion efforts</w:t>
      </w:r>
      <w:r w:rsidR="00947393">
        <w:rPr>
          <w:sz w:val="24"/>
          <w:szCs w:val="24"/>
        </w:rPr>
        <w:t xml:space="preserve">, the </w:t>
      </w:r>
      <w:r w:rsidR="006D1EE2">
        <w:rPr>
          <w:sz w:val="24"/>
          <w:szCs w:val="24"/>
        </w:rPr>
        <w:t>c</w:t>
      </w:r>
      <w:r w:rsidR="00947393">
        <w:rPr>
          <w:sz w:val="24"/>
          <w:szCs w:val="24"/>
        </w:rPr>
        <w:t xml:space="preserve">ontractor </w:t>
      </w:r>
      <w:r w:rsidR="006D1EE2">
        <w:rPr>
          <w:sz w:val="24"/>
          <w:szCs w:val="24"/>
        </w:rPr>
        <w:t>s</w:t>
      </w:r>
      <w:r w:rsidR="00947393">
        <w:rPr>
          <w:sz w:val="24"/>
          <w:szCs w:val="24"/>
        </w:rPr>
        <w:t>elf-</w:t>
      </w:r>
      <w:r w:rsidR="006D1EE2">
        <w:rPr>
          <w:sz w:val="24"/>
          <w:szCs w:val="24"/>
        </w:rPr>
        <w:t>a</w:t>
      </w:r>
      <w:r w:rsidR="00947393">
        <w:rPr>
          <w:sz w:val="24"/>
          <w:szCs w:val="24"/>
        </w:rPr>
        <w:t>ssessment</w:t>
      </w:r>
      <w:r w:rsidRPr="008F2CF5">
        <w:rPr>
          <w:sz w:val="24"/>
          <w:szCs w:val="24"/>
        </w:rPr>
        <w:t xml:space="preserve">. </w:t>
      </w:r>
    </w:p>
    <w:p w:rsidRPr="008F2CF5" w:rsidR="007C46A8" w:rsidP="007C46A8" w:rsidRDefault="007C46A8" w14:paraId="0F8189EE" w14:textId="2AC73754">
      <w:pPr>
        <w:rPr>
          <w:sz w:val="24"/>
          <w:szCs w:val="24"/>
        </w:rPr>
      </w:pPr>
    </w:p>
    <w:p w:rsidRPr="00F31C66" w:rsidR="00F31C66" w:rsidP="007C46A8" w:rsidRDefault="007C46A8" w14:paraId="7C739905" w14:textId="77777777">
      <w:pPr>
        <w:rPr>
          <w:sz w:val="24"/>
          <w:szCs w:val="24"/>
        </w:rPr>
      </w:pPr>
      <w:r w:rsidRPr="008F2CF5">
        <w:rPr>
          <w:sz w:val="24"/>
          <w:szCs w:val="24"/>
        </w:rPr>
        <w:t>In addition, the Policy Statement includes Joint Standards that address “Entities’ Self-</w:t>
      </w:r>
      <w:r w:rsidRPr="00F31C66">
        <w:rPr>
          <w:sz w:val="24"/>
          <w:szCs w:val="24"/>
        </w:rPr>
        <w:t>Assessment.”  The Joint Standards for Entities’ Self-Assessment envision that a regulated entity, in a manner reflective of its size and other characteristics</w:t>
      </w:r>
      <w:r w:rsidRPr="00F31C66" w:rsidR="00F31C66">
        <w:rPr>
          <w:sz w:val="24"/>
          <w:szCs w:val="24"/>
        </w:rPr>
        <w:t>:</w:t>
      </w:r>
    </w:p>
    <w:p w:rsidRPr="00F31C66" w:rsidR="00F31C66" w:rsidP="00F31C66" w:rsidRDefault="007C46A8" w14:paraId="11EFA0EB" w14:textId="77777777">
      <w:pPr>
        <w:pStyle w:val="ListParagraph"/>
        <w:numPr>
          <w:ilvl w:val="0"/>
          <w:numId w:val="24"/>
        </w:numPr>
        <w:rPr>
          <w:rFonts w:ascii="Times New Roman" w:hAnsi="Times New Roman"/>
          <w:sz w:val="24"/>
          <w:szCs w:val="24"/>
        </w:rPr>
      </w:pPr>
      <w:r w:rsidRPr="00F31C66">
        <w:rPr>
          <w:rFonts w:ascii="Times New Roman" w:hAnsi="Times New Roman"/>
          <w:sz w:val="24"/>
          <w:szCs w:val="24"/>
        </w:rPr>
        <w:t xml:space="preserve">conducts annually a voluntary self-assessment of its diversity policies and </w:t>
      </w:r>
      <w:proofErr w:type="gramStart"/>
      <w:r w:rsidRPr="00F31C66">
        <w:rPr>
          <w:rFonts w:ascii="Times New Roman" w:hAnsi="Times New Roman"/>
          <w:sz w:val="24"/>
          <w:szCs w:val="24"/>
        </w:rPr>
        <w:t>practices;</w:t>
      </w:r>
      <w:proofErr w:type="gramEnd"/>
    </w:p>
    <w:p w:rsidRPr="00F31C66" w:rsidR="00F31C66" w:rsidP="00F31C66" w:rsidRDefault="007C46A8" w14:paraId="3422DF2F" w14:textId="77777777">
      <w:pPr>
        <w:pStyle w:val="ListParagraph"/>
        <w:numPr>
          <w:ilvl w:val="0"/>
          <w:numId w:val="24"/>
        </w:numPr>
        <w:rPr>
          <w:rFonts w:ascii="Times New Roman" w:hAnsi="Times New Roman"/>
          <w:sz w:val="24"/>
          <w:szCs w:val="24"/>
        </w:rPr>
      </w:pPr>
      <w:r w:rsidRPr="00F31C66">
        <w:rPr>
          <w:rFonts w:ascii="Times New Roman" w:hAnsi="Times New Roman"/>
          <w:sz w:val="24"/>
          <w:szCs w:val="24"/>
        </w:rPr>
        <w:t xml:space="preserve">monitors and evaluates its performance under its diversity policies and practices on an ongoing </w:t>
      </w:r>
      <w:proofErr w:type="gramStart"/>
      <w:r w:rsidRPr="00F31C66">
        <w:rPr>
          <w:rFonts w:ascii="Times New Roman" w:hAnsi="Times New Roman"/>
          <w:sz w:val="24"/>
          <w:szCs w:val="24"/>
        </w:rPr>
        <w:t>basis;</w:t>
      </w:r>
      <w:proofErr w:type="gramEnd"/>
    </w:p>
    <w:p w:rsidRPr="00F31C66" w:rsidR="00F31C66" w:rsidP="00F31C66" w:rsidRDefault="007C46A8" w14:paraId="1CFD648A" w14:textId="77777777">
      <w:pPr>
        <w:pStyle w:val="ListParagraph"/>
        <w:numPr>
          <w:ilvl w:val="0"/>
          <w:numId w:val="24"/>
        </w:numPr>
        <w:rPr>
          <w:rFonts w:ascii="Times New Roman" w:hAnsi="Times New Roman"/>
          <w:sz w:val="24"/>
          <w:szCs w:val="24"/>
        </w:rPr>
      </w:pPr>
      <w:r w:rsidRPr="00F31C66">
        <w:rPr>
          <w:rFonts w:ascii="Times New Roman" w:hAnsi="Times New Roman"/>
          <w:sz w:val="24"/>
          <w:szCs w:val="24"/>
        </w:rPr>
        <w:t>provides information pertaining to its self-assessment to the OMWI Director of its primary federal financial regulator; and</w:t>
      </w:r>
    </w:p>
    <w:p w:rsidRPr="00F31C66" w:rsidR="00E939D3" w:rsidP="00F31C66" w:rsidRDefault="007C46A8" w14:paraId="2C6945E3" w14:textId="7C672B84">
      <w:pPr>
        <w:pStyle w:val="ListParagraph"/>
        <w:numPr>
          <w:ilvl w:val="0"/>
          <w:numId w:val="24"/>
        </w:numPr>
        <w:rPr>
          <w:rFonts w:ascii="Times New Roman" w:hAnsi="Times New Roman"/>
          <w:sz w:val="24"/>
          <w:szCs w:val="24"/>
        </w:rPr>
      </w:pPr>
      <w:r w:rsidRPr="00F31C66">
        <w:rPr>
          <w:rFonts w:ascii="Times New Roman" w:hAnsi="Times New Roman"/>
          <w:sz w:val="24"/>
          <w:szCs w:val="24"/>
        </w:rPr>
        <w:t xml:space="preserve">publishes information pertaining to its efforts with respect to the Joint Standards.  </w:t>
      </w:r>
    </w:p>
    <w:p w:rsidRPr="008F2CF5" w:rsidR="007C46A8" w:rsidP="00092D91" w:rsidRDefault="007C46A8" w14:paraId="5A048C1E" w14:textId="77777777">
      <w:pPr>
        <w:rPr>
          <w:b/>
          <w:bCs/>
          <w:sz w:val="24"/>
          <w:szCs w:val="24"/>
        </w:rPr>
      </w:pPr>
    </w:p>
    <w:p w:rsidRPr="008F2CF5" w:rsidR="00092D91" w:rsidP="00092D91" w:rsidRDefault="00092D91" w14:paraId="15554E87" w14:textId="0B01AADD">
      <w:pPr>
        <w:rPr>
          <w:sz w:val="24"/>
          <w:szCs w:val="24"/>
        </w:rPr>
      </w:pPr>
      <w:r w:rsidRPr="008F2CF5">
        <w:rPr>
          <w:b/>
          <w:bCs/>
          <w:sz w:val="24"/>
          <w:szCs w:val="24"/>
        </w:rPr>
        <w:t>2.  Indicate how, by whom, and for what purpose the information is to be used.  Except for a new collection, indicate the actual use the agency has made of the information received from the current collection.</w:t>
      </w:r>
    </w:p>
    <w:p w:rsidRPr="008F2CF5" w:rsidR="005F1FFC" w:rsidP="005F1FFC" w:rsidRDefault="005F1FFC" w14:paraId="04B2529C" w14:textId="4DA8944E">
      <w:pPr>
        <w:rPr>
          <w:sz w:val="24"/>
          <w:szCs w:val="24"/>
        </w:rPr>
      </w:pPr>
    </w:p>
    <w:p w:rsidR="00947393" w:rsidP="139E3DD7" w:rsidRDefault="007C46A8" w14:paraId="363BB7E7" w14:textId="3B5EF0ED">
      <w:pPr>
        <w:rPr>
          <w:sz w:val="24"/>
          <w:szCs w:val="24"/>
        </w:rPr>
      </w:pPr>
      <w:r w:rsidRPr="008F2CF5">
        <w:rPr>
          <w:sz w:val="24"/>
          <w:szCs w:val="24"/>
        </w:rPr>
        <w:t xml:space="preserve">The </w:t>
      </w:r>
      <w:r w:rsidR="00844825">
        <w:rPr>
          <w:sz w:val="24"/>
          <w:szCs w:val="24"/>
        </w:rPr>
        <w:t xml:space="preserve">CFPB </w:t>
      </w:r>
      <w:r w:rsidRPr="008F2CF5">
        <w:rPr>
          <w:sz w:val="24"/>
          <w:szCs w:val="24"/>
        </w:rPr>
        <w:t xml:space="preserve">will use the information provided to them to monitor progress and trends in the financial services industry </w:t>
      </w:r>
      <w:r w:rsidR="00400934">
        <w:rPr>
          <w:sz w:val="24"/>
          <w:szCs w:val="24"/>
        </w:rPr>
        <w:t>regarding</w:t>
      </w:r>
      <w:r w:rsidRPr="008F2CF5">
        <w:rPr>
          <w:sz w:val="24"/>
          <w:szCs w:val="24"/>
        </w:rPr>
        <w:t xml:space="preserve"> diversity and inclusion in employment and contracting activities </w:t>
      </w:r>
      <w:r w:rsidR="00400934">
        <w:rPr>
          <w:sz w:val="24"/>
          <w:szCs w:val="24"/>
        </w:rPr>
        <w:t>and</w:t>
      </w:r>
      <w:r w:rsidRPr="008F2CF5">
        <w:rPr>
          <w:sz w:val="24"/>
          <w:szCs w:val="24"/>
        </w:rPr>
        <w:t xml:space="preserve"> to identify and highlight those policies and practices that have been successful. </w:t>
      </w:r>
      <w:r w:rsidR="00754EE7">
        <w:rPr>
          <w:sz w:val="24"/>
          <w:szCs w:val="24"/>
        </w:rPr>
        <w:t xml:space="preserve"> </w:t>
      </w:r>
      <w:r w:rsidRPr="008F2CF5">
        <w:rPr>
          <w:sz w:val="24"/>
          <w:szCs w:val="24"/>
        </w:rPr>
        <w:t>The primary federal financial regulator will share information with other agencie</w:t>
      </w:r>
      <w:r w:rsidR="00754EE7">
        <w:rPr>
          <w:sz w:val="24"/>
          <w:szCs w:val="24"/>
        </w:rPr>
        <w:t>s (</w:t>
      </w:r>
      <w:r w:rsidRPr="008F2CF5">
        <w:rPr>
          <w:sz w:val="24"/>
          <w:szCs w:val="24"/>
        </w:rPr>
        <w:t>when appropriate</w:t>
      </w:r>
      <w:r w:rsidR="00754EE7">
        <w:rPr>
          <w:sz w:val="24"/>
          <w:szCs w:val="24"/>
        </w:rPr>
        <w:t>)</w:t>
      </w:r>
      <w:r w:rsidRPr="008F2CF5">
        <w:rPr>
          <w:sz w:val="24"/>
          <w:szCs w:val="24"/>
        </w:rPr>
        <w:t xml:space="preserve"> to support coordination of efforts and to avoid duplication.  The </w:t>
      </w:r>
      <w:r w:rsidR="00844825">
        <w:rPr>
          <w:sz w:val="24"/>
          <w:szCs w:val="24"/>
        </w:rPr>
        <w:t>CFPB</w:t>
      </w:r>
      <w:r w:rsidRPr="008F2CF5">
        <w:rPr>
          <w:sz w:val="24"/>
          <w:szCs w:val="24"/>
        </w:rPr>
        <w:t xml:space="preserve"> </w:t>
      </w:r>
      <w:r w:rsidR="00844825">
        <w:rPr>
          <w:sz w:val="24"/>
          <w:szCs w:val="24"/>
        </w:rPr>
        <w:t xml:space="preserve">has and will continue to </w:t>
      </w:r>
      <w:r w:rsidRPr="008F2CF5">
        <w:rPr>
          <w:sz w:val="24"/>
          <w:szCs w:val="24"/>
        </w:rPr>
        <w:t>publish information disclosed to them</w:t>
      </w:r>
      <w:r w:rsidR="005F404A">
        <w:rPr>
          <w:sz w:val="24"/>
          <w:szCs w:val="24"/>
        </w:rPr>
        <w:t xml:space="preserve"> </w:t>
      </w:r>
      <w:r w:rsidR="005F404A">
        <w:rPr>
          <w:sz w:val="24"/>
          <w:szCs w:val="24"/>
        </w:rPr>
        <w:lastRenderedPageBreak/>
        <w:t>(</w:t>
      </w:r>
      <w:proofErr w:type="gramStart"/>
      <w:r w:rsidR="005F404A">
        <w:rPr>
          <w:sz w:val="24"/>
          <w:szCs w:val="24"/>
        </w:rPr>
        <w:t>e.g.</w:t>
      </w:r>
      <w:proofErr w:type="gramEnd"/>
      <w:r w:rsidR="005F404A">
        <w:rPr>
          <w:sz w:val="24"/>
          <w:szCs w:val="24"/>
        </w:rPr>
        <w:t xml:space="preserve"> </w:t>
      </w:r>
      <w:r w:rsidRPr="008F2CF5">
        <w:rPr>
          <w:sz w:val="24"/>
          <w:szCs w:val="24"/>
        </w:rPr>
        <w:t>best practices</w:t>
      </w:r>
      <w:r w:rsidR="005F404A">
        <w:rPr>
          <w:sz w:val="24"/>
          <w:szCs w:val="24"/>
        </w:rPr>
        <w:t>)</w:t>
      </w:r>
      <w:r w:rsidRPr="008F2CF5">
        <w:rPr>
          <w:sz w:val="24"/>
          <w:szCs w:val="24"/>
        </w:rPr>
        <w:t xml:space="preserve"> in any form that does not identify a particular entity or individual or disclose confidential business information.</w:t>
      </w:r>
      <w:r w:rsidRPr="008F2CF5" w:rsidR="009F42EA">
        <w:rPr>
          <w:sz w:val="24"/>
          <w:szCs w:val="24"/>
        </w:rPr>
        <w:t xml:space="preserve"> </w:t>
      </w:r>
    </w:p>
    <w:p w:rsidR="00250EE2" w:rsidP="139E3DD7" w:rsidRDefault="00250EE2" w14:paraId="675BEBBA" w14:textId="77777777">
      <w:pPr>
        <w:rPr>
          <w:sz w:val="24"/>
          <w:szCs w:val="24"/>
        </w:rPr>
      </w:pPr>
    </w:p>
    <w:p w:rsidRPr="008F2CF5" w:rsidR="007C46A8" w:rsidP="139E3DD7" w:rsidRDefault="009F42EA" w14:paraId="574E4123" w14:textId="47CBFF1F">
      <w:pPr>
        <w:rPr>
          <w:sz w:val="24"/>
          <w:szCs w:val="24"/>
        </w:rPr>
      </w:pPr>
      <w:r w:rsidRPr="008F2CF5">
        <w:rPr>
          <w:sz w:val="24"/>
          <w:szCs w:val="24"/>
        </w:rPr>
        <w:t xml:space="preserve">The </w:t>
      </w:r>
      <w:r w:rsidR="00E22590">
        <w:rPr>
          <w:sz w:val="24"/>
          <w:szCs w:val="24"/>
        </w:rPr>
        <w:t>CFPB</w:t>
      </w:r>
      <w:r w:rsidRPr="008F2CF5" w:rsidR="00E22590">
        <w:rPr>
          <w:sz w:val="24"/>
          <w:szCs w:val="24"/>
        </w:rPr>
        <w:t xml:space="preserve"> </w:t>
      </w:r>
      <w:r w:rsidRPr="008F2CF5">
        <w:rPr>
          <w:sz w:val="24"/>
          <w:szCs w:val="24"/>
        </w:rPr>
        <w:t xml:space="preserve">will use the information </w:t>
      </w:r>
      <w:r w:rsidR="00F84AAD">
        <w:rPr>
          <w:sz w:val="24"/>
          <w:szCs w:val="24"/>
        </w:rPr>
        <w:t>from</w:t>
      </w:r>
      <w:r w:rsidR="00250EE2">
        <w:rPr>
          <w:sz w:val="24"/>
          <w:szCs w:val="24"/>
        </w:rPr>
        <w:t xml:space="preserve"> its</w:t>
      </w:r>
      <w:r w:rsidRPr="008F2CF5">
        <w:rPr>
          <w:sz w:val="24"/>
          <w:szCs w:val="24"/>
        </w:rPr>
        <w:t xml:space="preserve"> </w:t>
      </w:r>
      <w:r w:rsidR="00F84AAD">
        <w:rPr>
          <w:sz w:val="24"/>
          <w:szCs w:val="24"/>
        </w:rPr>
        <w:t xml:space="preserve">mandatory </w:t>
      </w:r>
      <w:r w:rsidR="006D1EE2">
        <w:rPr>
          <w:sz w:val="24"/>
          <w:szCs w:val="24"/>
        </w:rPr>
        <w:t>c</w:t>
      </w:r>
      <w:r w:rsidRPr="008F2CF5">
        <w:rPr>
          <w:sz w:val="24"/>
          <w:szCs w:val="24"/>
        </w:rPr>
        <w:t xml:space="preserve">ontractor </w:t>
      </w:r>
      <w:r w:rsidR="006D1EE2">
        <w:rPr>
          <w:sz w:val="24"/>
          <w:szCs w:val="24"/>
        </w:rPr>
        <w:t>s</w:t>
      </w:r>
      <w:r w:rsidR="00250EE2">
        <w:rPr>
          <w:sz w:val="24"/>
          <w:szCs w:val="24"/>
        </w:rPr>
        <w:t>elf-</w:t>
      </w:r>
      <w:r w:rsidR="006D1EE2">
        <w:rPr>
          <w:sz w:val="24"/>
          <w:szCs w:val="24"/>
        </w:rPr>
        <w:t>a</w:t>
      </w:r>
      <w:r w:rsidR="00250EE2">
        <w:rPr>
          <w:sz w:val="24"/>
          <w:szCs w:val="24"/>
        </w:rPr>
        <w:t xml:space="preserve">ssessment </w:t>
      </w:r>
      <w:r w:rsidRPr="008F2CF5">
        <w:rPr>
          <w:sz w:val="24"/>
          <w:szCs w:val="24"/>
        </w:rPr>
        <w:t>through the G</w:t>
      </w:r>
      <w:r w:rsidR="007B7C5C">
        <w:rPr>
          <w:sz w:val="24"/>
          <w:szCs w:val="24"/>
        </w:rPr>
        <w:t>FE</w:t>
      </w:r>
      <w:r w:rsidR="00F84AAD">
        <w:rPr>
          <w:sz w:val="24"/>
          <w:szCs w:val="24"/>
        </w:rPr>
        <w:t xml:space="preserve"> C</w:t>
      </w:r>
      <w:r w:rsidRPr="008F2CF5">
        <w:rPr>
          <w:sz w:val="24"/>
          <w:szCs w:val="24"/>
        </w:rPr>
        <w:t>lause to</w:t>
      </w:r>
      <w:r w:rsidR="00F84AAD">
        <w:rPr>
          <w:sz w:val="24"/>
          <w:szCs w:val="24"/>
        </w:rPr>
        <w:t xml:space="preserve"> ensure </w:t>
      </w:r>
      <w:r w:rsidR="00C447A0">
        <w:rPr>
          <w:sz w:val="24"/>
          <w:szCs w:val="24"/>
        </w:rPr>
        <w:t>(</w:t>
      </w:r>
      <w:r w:rsidR="00F84AAD">
        <w:rPr>
          <w:sz w:val="24"/>
          <w:szCs w:val="24"/>
        </w:rPr>
        <w:t>to the maximum extent possible</w:t>
      </w:r>
      <w:r w:rsidR="00C447A0">
        <w:rPr>
          <w:sz w:val="24"/>
          <w:szCs w:val="24"/>
        </w:rPr>
        <w:t xml:space="preserve">) </w:t>
      </w:r>
      <w:r w:rsidR="00F84AAD">
        <w:rPr>
          <w:sz w:val="24"/>
          <w:szCs w:val="24"/>
        </w:rPr>
        <w:t xml:space="preserve">the fair inclusion of minorities and women in the workforce of </w:t>
      </w:r>
      <w:r w:rsidR="009B1850">
        <w:rPr>
          <w:sz w:val="24"/>
          <w:szCs w:val="24"/>
        </w:rPr>
        <w:t xml:space="preserve">its </w:t>
      </w:r>
      <w:r w:rsidR="006D1EE2">
        <w:rPr>
          <w:sz w:val="24"/>
          <w:szCs w:val="24"/>
        </w:rPr>
        <w:t>c</w:t>
      </w:r>
      <w:r w:rsidR="00F84AAD">
        <w:rPr>
          <w:sz w:val="24"/>
          <w:szCs w:val="24"/>
        </w:rPr>
        <w:t>ontractors and</w:t>
      </w:r>
      <w:r w:rsidR="00114732">
        <w:rPr>
          <w:sz w:val="24"/>
          <w:szCs w:val="24"/>
        </w:rPr>
        <w:t xml:space="preserve"> (</w:t>
      </w:r>
      <w:r w:rsidR="00F84AAD">
        <w:rPr>
          <w:sz w:val="24"/>
          <w:szCs w:val="24"/>
        </w:rPr>
        <w:t>as applicabl</w:t>
      </w:r>
      <w:r w:rsidR="00114732">
        <w:rPr>
          <w:sz w:val="24"/>
          <w:szCs w:val="24"/>
        </w:rPr>
        <w:t xml:space="preserve">e </w:t>
      </w:r>
      <w:r w:rsidR="006D1EE2">
        <w:rPr>
          <w:sz w:val="24"/>
          <w:szCs w:val="24"/>
        </w:rPr>
        <w:t>s</w:t>
      </w:r>
      <w:r w:rsidR="00F84AAD">
        <w:rPr>
          <w:sz w:val="24"/>
          <w:szCs w:val="24"/>
        </w:rPr>
        <w:t>ubcontractors</w:t>
      </w:r>
      <w:r w:rsidR="00114732">
        <w:rPr>
          <w:sz w:val="24"/>
          <w:szCs w:val="24"/>
        </w:rPr>
        <w:t>)</w:t>
      </w:r>
      <w:r w:rsidR="00F84AAD">
        <w:rPr>
          <w:sz w:val="24"/>
          <w:szCs w:val="24"/>
        </w:rPr>
        <w:t xml:space="preserve"> </w:t>
      </w:r>
      <w:r w:rsidR="00092F30">
        <w:rPr>
          <w:sz w:val="24"/>
          <w:szCs w:val="24"/>
        </w:rPr>
        <w:t xml:space="preserve">in </w:t>
      </w:r>
      <w:r w:rsidR="00F84AAD">
        <w:rPr>
          <w:sz w:val="24"/>
          <w:szCs w:val="24"/>
        </w:rPr>
        <w:t>each new contract award.</w:t>
      </w:r>
    </w:p>
    <w:p w:rsidRPr="008F2CF5" w:rsidR="00250EE2" w:rsidP="005F1FFC" w:rsidRDefault="00250EE2" w14:paraId="2226EC37" w14:textId="77777777">
      <w:pPr>
        <w:rPr>
          <w:sz w:val="24"/>
          <w:szCs w:val="24"/>
        </w:rPr>
      </w:pPr>
    </w:p>
    <w:p w:rsidRPr="008F2CF5" w:rsidR="00092D91" w:rsidP="00092D91" w:rsidRDefault="00092D91" w14:paraId="0C7BE16B" w14:textId="77777777">
      <w:pPr>
        <w:rPr>
          <w:b/>
          <w:bCs/>
          <w:sz w:val="24"/>
          <w:szCs w:val="24"/>
        </w:rPr>
      </w:pPr>
      <w:r w:rsidRPr="008F2CF5">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F2CF5" w:rsidR="005F1FFC" w:rsidP="005F1FFC" w:rsidRDefault="005F1FFC" w14:paraId="07836B1D" w14:textId="77777777">
      <w:pPr>
        <w:rPr>
          <w:sz w:val="24"/>
          <w:szCs w:val="24"/>
        </w:rPr>
      </w:pPr>
    </w:p>
    <w:p w:rsidR="008A32FA" w:rsidP="007C46A8" w:rsidRDefault="007C46A8" w14:paraId="7265037F" w14:textId="12291759">
      <w:pPr>
        <w:rPr>
          <w:sz w:val="24"/>
          <w:szCs w:val="24"/>
        </w:rPr>
      </w:pPr>
      <w:r w:rsidRPr="008F2CF5">
        <w:rPr>
          <w:sz w:val="24"/>
          <w:szCs w:val="24"/>
        </w:rPr>
        <w:t xml:space="preserve">An entity </w:t>
      </w:r>
      <w:r w:rsidR="00E522E2">
        <w:rPr>
          <w:sz w:val="24"/>
          <w:szCs w:val="24"/>
        </w:rPr>
        <w:t xml:space="preserve">and </w:t>
      </w:r>
      <w:r w:rsidR="00FD1E66">
        <w:rPr>
          <w:sz w:val="24"/>
          <w:szCs w:val="24"/>
        </w:rPr>
        <w:t>c</w:t>
      </w:r>
      <w:r w:rsidR="00E522E2">
        <w:rPr>
          <w:sz w:val="24"/>
          <w:szCs w:val="24"/>
        </w:rPr>
        <w:t>ontractor</w:t>
      </w:r>
      <w:r w:rsidR="00DB6F02">
        <w:rPr>
          <w:sz w:val="24"/>
          <w:szCs w:val="24"/>
        </w:rPr>
        <w:t>(s)</w:t>
      </w:r>
      <w:r w:rsidR="00E522E2">
        <w:rPr>
          <w:sz w:val="24"/>
          <w:szCs w:val="24"/>
        </w:rPr>
        <w:t xml:space="preserve"> </w:t>
      </w:r>
      <w:r w:rsidRPr="008F2CF5">
        <w:rPr>
          <w:sz w:val="24"/>
          <w:szCs w:val="24"/>
        </w:rPr>
        <w:t>may use any available automated, electronic, mechanical or other technological collection technique to submit information to the Agencies</w:t>
      </w:r>
      <w:r w:rsidR="00FD1E66">
        <w:rPr>
          <w:sz w:val="24"/>
          <w:szCs w:val="24"/>
        </w:rPr>
        <w:t xml:space="preserve"> and CFPB</w:t>
      </w:r>
      <w:r w:rsidRPr="008F2CF5">
        <w:rPr>
          <w:sz w:val="24"/>
          <w:szCs w:val="24"/>
        </w:rPr>
        <w:t>.</w:t>
      </w:r>
      <w:r w:rsidR="00AB745F">
        <w:rPr>
          <w:sz w:val="24"/>
          <w:szCs w:val="24"/>
        </w:rPr>
        <w:t xml:space="preserve"> </w:t>
      </w:r>
    </w:p>
    <w:p w:rsidR="00114732" w:rsidP="007C46A8" w:rsidRDefault="00114732" w14:paraId="5CAB0E4C" w14:textId="77777777">
      <w:pPr>
        <w:rPr>
          <w:sz w:val="24"/>
          <w:szCs w:val="24"/>
        </w:rPr>
      </w:pPr>
    </w:p>
    <w:p w:rsidRPr="008F2CF5"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8F2CF5">
        <w:rPr>
          <w:b/>
          <w:sz w:val="24"/>
          <w:szCs w:val="24"/>
        </w:rPr>
        <w:t xml:space="preserve">4.  </w:t>
      </w:r>
      <w:r w:rsidRPr="008F2CF5">
        <w:rPr>
          <w:b/>
          <w:bCs/>
          <w:sz w:val="24"/>
          <w:szCs w:val="24"/>
        </w:rPr>
        <w:t>Describe efforts to identify duplication.  Show specifically why any similar information already available cannot be used or modified for use for the purposes described in Item A.2 above.</w:t>
      </w:r>
    </w:p>
    <w:p w:rsidRPr="008F2CF5" w:rsidR="005F1FFC" w:rsidP="005F1FFC" w:rsidRDefault="005F1FFC" w14:paraId="7339726A" w14:textId="73B73F1A">
      <w:pPr>
        <w:rPr>
          <w:sz w:val="24"/>
          <w:szCs w:val="24"/>
        </w:rPr>
      </w:pPr>
    </w:p>
    <w:p w:rsidR="007C46A8" w:rsidP="005F1FFC" w:rsidRDefault="00844825" w14:paraId="57FCB145" w14:textId="76269937">
      <w:pPr>
        <w:rPr>
          <w:sz w:val="24"/>
          <w:szCs w:val="24"/>
        </w:rPr>
      </w:pPr>
      <w:r>
        <w:rPr>
          <w:sz w:val="24"/>
          <w:szCs w:val="24"/>
        </w:rPr>
        <w:t xml:space="preserve">CFPB’s </w:t>
      </w:r>
      <w:r w:rsidR="00E522E2">
        <w:rPr>
          <w:sz w:val="24"/>
          <w:szCs w:val="24"/>
        </w:rPr>
        <w:t>e</w:t>
      </w:r>
      <w:r w:rsidRPr="008F2CF5" w:rsidR="007C46A8">
        <w:rPr>
          <w:sz w:val="24"/>
          <w:szCs w:val="24"/>
        </w:rPr>
        <w:t>ntities that are subject to certain recordkeeping and reporting requirements</w:t>
      </w:r>
      <w:r w:rsidR="00DB6F02">
        <w:rPr>
          <w:sz w:val="24"/>
          <w:szCs w:val="24"/>
        </w:rPr>
        <w:t xml:space="preserve"> (</w:t>
      </w:r>
      <w:r w:rsidRPr="008F2CF5" w:rsidR="007C46A8">
        <w:rPr>
          <w:sz w:val="24"/>
          <w:szCs w:val="24"/>
        </w:rPr>
        <w:t>such as those required by the Equal Employment Opportunity Commission and the Office of Federal Contract Compliance Programs</w:t>
      </w:r>
      <w:r w:rsidR="00DB6F02">
        <w:rPr>
          <w:sz w:val="24"/>
          <w:szCs w:val="24"/>
        </w:rPr>
        <w:t>)</w:t>
      </w:r>
      <w:r w:rsidRPr="008F2CF5" w:rsidR="007C46A8">
        <w:rPr>
          <w:sz w:val="24"/>
          <w:szCs w:val="24"/>
        </w:rPr>
        <w:t xml:space="preserve"> currently collect and maintain data and supporting documentation that may assist in evaluating and assessing their policies and practices related to workforce diversity and inclusion.  Entities also are encouraged to use other analytical tools that they may find helpful.  </w:t>
      </w:r>
      <w:r w:rsidR="00232FCC">
        <w:rPr>
          <w:sz w:val="24"/>
          <w:szCs w:val="24"/>
        </w:rPr>
        <w:t>Additionally</w:t>
      </w:r>
      <w:r w:rsidRPr="008F2CF5" w:rsidR="007C46A8">
        <w:rPr>
          <w:sz w:val="24"/>
          <w:szCs w:val="24"/>
        </w:rPr>
        <w:t>, the primary federal financial regulator will share information with other agencies</w:t>
      </w:r>
      <w:r w:rsidR="00232FCC">
        <w:rPr>
          <w:sz w:val="24"/>
          <w:szCs w:val="24"/>
        </w:rPr>
        <w:t xml:space="preserve"> (</w:t>
      </w:r>
      <w:r w:rsidRPr="008F2CF5" w:rsidR="007C46A8">
        <w:rPr>
          <w:sz w:val="24"/>
          <w:szCs w:val="24"/>
        </w:rPr>
        <w:t>when appropriate</w:t>
      </w:r>
      <w:r w:rsidR="00232FCC">
        <w:rPr>
          <w:sz w:val="24"/>
          <w:szCs w:val="24"/>
        </w:rPr>
        <w:t>)</w:t>
      </w:r>
      <w:r w:rsidRPr="008F2CF5" w:rsidR="007C46A8">
        <w:rPr>
          <w:sz w:val="24"/>
          <w:szCs w:val="24"/>
        </w:rPr>
        <w:t xml:space="preserve"> to support coordination of efforts and to avoid duplication.</w:t>
      </w:r>
    </w:p>
    <w:p w:rsidR="00495FBF" w:rsidP="005F1FFC" w:rsidRDefault="00495FBF" w14:paraId="50A99189" w14:textId="77777777">
      <w:pPr>
        <w:rPr>
          <w:sz w:val="24"/>
          <w:szCs w:val="24"/>
        </w:rPr>
      </w:pPr>
    </w:p>
    <w:p w:rsidRPr="008F2CF5" w:rsidR="004E18CD" w:rsidP="005F1FFC" w:rsidRDefault="00202E8B" w14:paraId="46E5F06B" w14:textId="6E353A0A">
      <w:pPr>
        <w:rPr>
          <w:sz w:val="24"/>
          <w:szCs w:val="24"/>
        </w:rPr>
      </w:pPr>
      <w:r>
        <w:rPr>
          <w:sz w:val="24"/>
          <w:szCs w:val="24"/>
        </w:rPr>
        <w:t>The</w:t>
      </w:r>
      <w:r w:rsidR="005922C4">
        <w:rPr>
          <w:sz w:val="24"/>
          <w:szCs w:val="24"/>
        </w:rPr>
        <w:t xml:space="preserve"> Bureau</w:t>
      </w:r>
      <w:r>
        <w:rPr>
          <w:sz w:val="24"/>
          <w:szCs w:val="24"/>
        </w:rPr>
        <w:t xml:space="preserve"> will </w:t>
      </w:r>
      <w:r w:rsidRPr="00202E8B">
        <w:rPr>
          <w:sz w:val="24"/>
          <w:szCs w:val="24"/>
        </w:rPr>
        <w:t xml:space="preserve">focus on </w:t>
      </w:r>
      <w:r>
        <w:rPr>
          <w:sz w:val="24"/>
          <w:szCs w:val="24"/>
        </w:rPr>
        <w:t>its larger value contracts</w:t>
      </w:r>
      <w:r w:rsidR="000D4FF3">
        <w:rPr>
          <w:sz w:val="24"/>
          <w:szCs w:val="24"/>
        </w:rPr>
        <w:t xml:space="preserve"> to reduce the </w:t>
      </w:r>
      <w:r w:rsidRPr="00202E8B">
        <w:rPr>
          <w:sz w:val="24"/>
          <w:szCs w:val="24"/>
        </w:rPr>
        <w:t>administrative burden</w:t>
      </w:r>
      <w:r w:rsidR="00844825">
        <w:rPr>
          <w:sz w:val="24"/>
          <w:szCs w:val="24"/>
        </w:rPr>
        <w:t xml:space="preserve"> on</w:t>
      </w:r>
      <w:r w:rsidR="00B94CF7">
        <w:rPr>
          <w:sz w:val="24"/>
          <w:szCs w:val="24"/>
        </w:rPr>
        <w:t xml:space="preserve"> c</w:t>
      </w:r>
      <w:r w:rsidRPr="00202E8B">
        <w:rPr>
          <w:sz w:val="24"/>
          <w:szCs w:val="24"/>
        </w:rPr>
        <w:t xml:space="preserve">ontractors and subcontractors </w:t>
      </w:r>
      <w:r w:rsidR="000D4FF3">
        <w:rPr>
          <w:sz w:val="24"/>
          <w:szCs w:val="24"/>
        </w:rPr>
        <w:t xml:space="preserve">with smaller awards.  </w:t>
      </w:r>
      <w:r w:rsidR="00844825">
        <w:rPr>
          <w:sz w:val="24"/>
          <w:szCs w:val="24"/>
        </w:rPr>
        <w:t>C</w:t>
      </w:r>
      <w:r w:rsidR="005922C4">
        <w:rPr>
          <w:sz w:val="24"/>
          <w:szCs w:val="24"/>
        </w:rPr>
        <w:t>urrently, c</w:t>
      </w:r>
      <w:r w:rsidR="00844825">
        <w:rPr>
          <w:sz w:val="24"/>
          <w:szCs w:val="24"/>
        </w:rPr>
        <w:t>ontractors</w:t>
      </w:r>
      <w:r w:rsidRPr="00202E8B">
        <w:rPr>
          <w:sz w:val="24"/>
          <w:szCs w:val="24"/>
        </w:rPr>
        <w:t xml:space="preserve"> are subject to recordkeeping and reporting requirements to demonstrate they have made good faith efforts to remove identified barriers, </w:t>
      </w:r>
      <w:r w:rsidR="00BE11C6">
        <w:rPr>
          <w:sz w:val="24"/>
          <w:szCs w:val="24"/>
        </w:rPr>
        <w:t xml:space="preserve">to </w:t>
      </w:r>
      <w:r w:rsidRPr="00202E8B">
        <w:rPr>
          <w:sz w:val="24"/>
          <w:szCs w:val="24"/>
        </w:rPr>
        <w:t xml:space="preserve">expand employment opportunities, and </w:t>
      </w:r>
      <w:r w:rsidR="00BE11C6">
        <w:rPr>
          <w:sz w:val="24"/>
          <w:szCs w:val="24"/>
        </w:rPr>
        <w:t xml:space="preserve">to </w:t>
      </w:r>
      <w:r w:rsidRPr="00202E8B">
        <w:rPr>
          <w:sz w:val="24"/>
          <w:szCs w:val="24"/>
        </w:rPr>
        <w:t>produce measurable results</w:t>
      </w:r>
      <w:r w:rsidR="00BE11C6">
        <w:rPr>
          <w:rStyle w:val="FootnoteReference"/>
          <w:sz w:val="24"/>
          <w:szCs w:val="24"/>
        </w:rPr>
        <w:footnoteReference w:id="4"/>
      </w:r>
      <w:r w:rsidRPr="00202E8B">
        <w:rPr>
          <w:sz w:val="24"/>
          <w:szCs w:val="24"/>
        </w:rPr>
        <w:t>, and to develop and maintain a written program</w:t>
      </w:r>
      <w:r w:rsidR="00230C56">
        <w:rPr>
          <w:sz w:val="24"/>
          <w:szCs w:val="24"/>
        </w:rPr>
        <w:t xml:space="preserve"> (</w:t>
      </w:r>
      <w:r w:rsidRPr="00202E8B">
        <w:rPr>
          <w:sz w:val="24"/>
          <w:szCs w:val="24"/>
        </w:rPr>
        <w:t>which describes the policies, practices, and procedures that the contractor uses to ensure that applicants and employees receive equal opportunities for employment and advancement</w:t>
      </w:r>
      <w:r w:rsidR="00230C56">
        <w:rPr>
          <w:sz w:val="24"/>
          <w:szCs w:val="24"/>
        </w:rPr>
        <w:t>)</w:t>
      </w:r>
      <w:r w:rsidR="00230C56">
        <w:rPr>
          <w:rStyle w:val="FootnoteReference"/>
          <w:sz w:val="24"/>
          <w:szCs w:val="24"/>
        </w:rPr>
        <w:footnoteReference w:id="5"/>
      </w:r>
      <w:r w:rsidRPr="00202E8B">
        <w:rPr>
          <w:sz w:val="24"/>
          <w:szCs w:val="24"/>
        </w:rPr>
        <w:t xml:space="preserve">.  In lieu of developing a separate workforce inclusion plan, a </w:t>
      </w:r>
      <w:r w:rsidR="00402283">
        <w:rPr>
          <w:sz w:val="24"/>
          <w:szCs w:val="24"/>
        </w:rPr>
        <w:t>c</w:t>
      </w:r>
      <w:r w:rsidRPr="00202E8B">
        <w:rPr>
          <w:sz w:val="24"/>
          <w:szCs w:val="24"/>
        </w:rPr>
        <w:t>ontractor is permitted to submit its existing written program (</w:t>
      </w:r>
      <w:proofErr w:type="gramStart"/>
      <w:r w:rsidRPr="00202E8B">
        <w:rPr>
          <w:sz w:val="24"/>
          <w:szCs w:val="24"/>
        </w:rPr>
        <w:t>e.g.</w:t>
      </w:r>
      <w:proofErr w:type="gramEnd"/>
      <w:r w:rsidRPr="00202E8B">
        <w:rPr>
          <w:sz w:val="24"/>
          <w:szCs w:val="24"/>
        </w:rPr>
        <w:t xml:space="preserve"> affirmative action plan or AAP) prescribed by the EO 11246 regulations as part of the documentation that demonstrates the contractor’s good faith efforts to ensure fair inclusion of minorities and women in its workforce.  </w:t>
      </w:r>
    </w:p>
    <w:p w:rsidRPr="008F2CF5" w:rsidR="00BE61FE" w:rsidP="005F1FFC" w:rsidRDefault="00BE61FE" w14:paraId="1111F676" w14:textId="77777777">
      <w:pPr>
        <w:rPr>
          <w:sz w:val="24"/>
          <w:szCs w:val="24"/>
        </w:rPr>
      </w:pPr>
    </w:p>
    <w:p w:rsidRPr="008F2CF5" w:rsidR="00092D91" w:rsidP="00092D91" w:rsidRDefault="00092D91" w14:paraId="78977288" w14:textId="77777777">
      <w:pPr>
        <w:pStyle w:val="BodyText"/>
        <w:rPr>
          <w:b/>
          <w:szCs w:val="24"/>
        </w:rPr>
      </w:pPr>
      <w:r w:rsidRPr="008F2CF5">
        <w:rPr>
          <w:b/>
          <w:szCs w:val="24"/>
        </w:rPr>
        <w:t xml:space="preserve">5.  </w:t>
      </w:r>
      <w:r w:rsidRPr="008F2CF5">
        <w:rPr>
          <w:b/>
          <w:bCs/>
          <w:szCs w:val="24"/>
        </w:rPr>
        <w:t>If the collection of information impacts small businesses or other small entities, describe any methods used to minimize burden.</w:t>
      </w:r>
    </w:p>
    <w:p w:rsidRPr="008F2CF5" w:rsidR="005F1FFC" w:rsidP="00092D91" w:rsidRDefault="005F1FFC" w14:paraId="6511B9A0" w14:textId="0DD9D836">
      <w:pPr>
        <w:pStyle w:val="BodyText"/>
        <w:rPr>
          <w:szCs w:val="24"/>
        </w:rPr>
      </w:pPr>
    </w:p>
    <w:p w:rsidR="008A32FA" w:rsidP="00092D91" w:rsidRDefault="005C602C" w14:paraId="00CCD75B" w14:textId="11AA2AFB">
      <w:pPr>
        <w:pStyle w:val="BodyText"/>
        <w:rPr>
          <w:szCs w:val="24"/>
        </w:rPr>
      </w:pPr>
      <w:r>
        <w:rPr>
          <w:spacing w:val="-1"/>
          <w:szCs w:val="24"/>
        </w:rPr>
        <w:t>The</w:t>
      </w:r>
      <w:r w:rsidRPr="008F2CF5" w:rsidR="007C46A8">
        <w:rPr>
          <w:spacing w:val="-1"/>
          <w:szCs w:val="24"/>
        </w:rPr>
        <w:t xml:space="preserve"> Agencies focused primarily on institutions with more than 100 employees to minimize the impact on smaller entities.  </w:t>
      </w:r>
      <w:r w:rsidR="00D05BD6">
        <w:rPr>
          <w:spacing w:val="-1"/>
          <w:szCs w:val="24"/>
        </w:rPr>
        <w:t>Additionally</w:t>
      </w:r>
      <w:r w:rsidRPr="008F2CF5" w:rsidR="007C46A8">
        <w:rPr>
          <w:spacing w:val="-1"/>
          <w:szCs w:val="24"/>
        </w:rPr>
        <w:t>, in order to make clear how the standards are relevant to and may be used by small entities, the Policy Statement encourages each entity to use the standards in a manner appropriate to its size and unique characteristics.  Finally, we note that the standards are voluntary.</w:t>
      </w:r>
      <w:r w:rsidRPr="008F2CF5" w:rsidR="00890F7A">
        <w:rPr>
          <w:szCs w:val="24"/>
        </w:rPr>
        <w:t xml:space="preserve"> </w:t>
      </w:r>
      <w:r w:rsidR="00BE3B31">
        <w:rPr>
          <w:szCs w:val="24"/>
        </w:rPr>
        <w:t xml:space="preserve"> </w:t>
      </w:r>
      <w:r w:rsidRPr="008F2CF5" w:rsidR="00890F7A">
        <w:rPr>
          <w:szCs w:val="24"/>
        </w:rPr>
        <w:t>Fewer questions will be asked of regulated entities with fewer than 100 employees that submit an assessment reducing the burden for these entities.</w:t>
      </w:r>
      <w:r w:rsidRPr="008F2CF5" w:rsidR="004D4ADC">
        <w:rPr>
          <w:szCs w:val="24"/>
        </w:rPr>
        <w:t xml:space="preserve"> </w:t>
      </w:r>
    </w:p>
    <w:p w:rsidR="008A32FA" w:rsidP="00092D91" w:rsidRDefault="008A32FA" w14:paraId="209C0B3B" w14:textId="77777777">
      <w:pPr>
        <w:pStyle w:val="BodyText"/>
        <w:rPr>
          <w:szCs w:val="24"/>
        </w:rPr>
      </w:pPr>
    </w:p>
    <w:p w:rsidR="00E939D3" w:rsidP="005F1FFC" w:rsidRDefault="00890F7A" w14:paraId="2EE74F06" w14:textId="2B53E858">
      <w:pPr>
        <w:pStyle w:val="BodyText"/>
        <w:rPr>
          <w:szCs w:val="24"/>
        </w:rPr>
      </w:pPr>
      <w:r w:rsidRPr="008F2CF5">
        <w:rPr>
          <w:szCs w:val="24"/>
        </w:rPr>
        <w:t xml:space="preserve">For smaller </w:t>
      </w:r>
      <w:r w:rsidR="007F3915">
        <w:rPr>
          <w:szCs w:val="24"/>
        </w:rPr>
        <w:t>c</w:t>
      </w:r>
      <w:r w:rsidRPr="008F2CF5">
        <w:rPr>
          <w:szCs w:val="24"/>
        </w:rPr>
        <w:t xml:space="preserve">ontractors with less than 100 employees who wish to do business with the </w:t>
      </w:r>
      <w:r w:rsidR="00E22590">
        <w:rPr>
          <w:szCs w:val="24"/>
        </w:rPr>
        <w:t>CFPB</w:t>
      </w:r>
      <w:r w:rsidRPr="008F2CF5">
        <w:rPr>
          <w:szCs w:val="24"/>
        </w:rPr>
        <w:t xml:space="preserve">, </w:t>
      </w:r>
      <w:r w:rsidR="0052678D">
        <w:rPr>
          <w:szCs w:val="24"/>
        </w:rPr>
        <w:t xml:space="preserve">data </w:t>
      </w:r>
      <w:r w:rsidRPr="008F2CF5">
        <w:rPr>
          <w:szCs w:val="24"/>
        </w:rPr>
        <w:t xml:space="preserve">collection is required. </w:t>
      </w:r>
      <w:r w:rsidR="008A32FA">
        <w:rPr>
          <w:szCs w:val="24"/>
        </w:rPr>
        <w:t xml:space="preserve"> </w:t>
      </w:r>
      <w:r w:rsidRPr="008F2CF5">
        <w:rPr>
          <w:szCs w:val="24"/>
        </w:rPr>
        <w:t>However, fewer questions will be asked of all contractors</w:t>
      </w:r>
      <w:r w:rsidR="00645F9C">
        <w:rPr>
          <w:szCs w:val="24"/>
        </w:rPr>
        <w:t xml:space="preserve"> which will also reduce</w:t>
      </w:r>
      <w:r w:rsidRPr="008F2CF5">
        <w:rPr>
          <w:szCs w:val="24"/>
        </w:rPr>
        <w:t xml:space="preserve"> the burden on smaller entities. </w:t>
      </w:r>
    </w:p>
    <w:p w:rsidRPr="008F2CF5" w:rsidR="00BA5ED3" w:rsidP="005F1FFC" w:rsidRDefault="00BA5ED3" w14:paraId="19F0FD72" w14:textId="77777777">
      <w:pPr>
        <w:pStyle w:val="BodyText"/>
        <w:rPr>
          <w:szCs w:val="24"/>
        </w:rPr>
      </w:pPr>
    </w:p>
    <w:p w:rsidRPr="008F2CF5" w:rsidR="00F660E8" w:rsidP="00F660E8" w:rsidRDefault="00F660E8" w14:paraId="7ACF7470" w14:textId="77777777">
      <w:pPr>
        <w:rPr>
          <w:b/>
          <w:sz w:val="24"/>
          <w:szCs w:val="24"/>
        </w:rPr>
      </w:pPr>
      <w:r w:rsidRPr="008F2CF5">
        <w:rPr>
          <w:b/>
          <w:sz w:val="24"/>
          <w:szCs w:val="24"/>
        </w:rPr>
        <w:t xml:space="preserve">6.  </w:t>
      </w:r>
      <w:r w:rsidRPr="008F2CF5">
        <w:rPr>
          <w:b/>
          <w:bCs/>
          <w:sz w:val="24"/>
          <w:szCs w:val="24"/>
        </w:rPr>
        <w:t xml:space="preserve">Describe the consequence to federal program or policy activities if the collection is not conducted or is conducted less frequently, as well as any technical or legal obstacles to reducing burden. </w:t>
      </w:r>
    </w:p>
    <w:p w:rsidRPr="008F2CF5" w:rsidR="005F1FFC" w:rsidP="005F1FFC" w:rsidRDefault="005F1FFC" w14:paraId="039568CD" w14:textId="6DDB6E15">
      <w:pPr>
        <w:rPr>
          <w:sz w:val="24"/>
          <w:szCs w:val="24"/>
        </w:rPr>
      </w:pPr>
    </w:p>
    <w:p w:rsidR="008A32FA" w:rsidP="139E3DD7" w:rsidRDefault="00831164" w14:paraId="2A3B9D3A" w14:textId="3F6D9B4C">
      <w:pPr>
        <w:rPr>
          <w:sz w:val="24"/>
          <w:szCs w:val="24"/>
        </w:rPr>
      </w:pPr>
      <w:r w:rsidRPr="008F2CF5">
        <w:rPr>
          <w:sz w:val="24"/>
          <w:szCs w:val="24"/>
        </w:rPr>
        <w:t xml:space="preserve">If the information is not collected or is collected less frequently, the Agencies may not be able to monitor progress and trends in the financial services industry </w:t>
      </w:r>
      <w:proofErr w:type="gramStart"/>
      <w:r w:rsidRPr="008F2CF5">
        <w:rPr>
          <w:sz w:val="24"/>
          <w:szCs w:val="24"/>
        </w:rPr>
        <w:t>with regard to</w:t>
      </w:r>
      <w:proofErr w:type="gramEnd"/>
      <w:r w:rsidRPr="008F2CF5">
        <w:rPr>
          <w:sz w:val="24"/>
          <w:szCs w:val="24"/>
        </w:rPr>
        <w:t xml:space="preserve"> diversity and inclusion in employment and contracting activities or identify and highlight those policies and practices that have been successful.</w:t>
      </w:r>
      <w:r w:rsidRPr="008F2CF5" w:rsidR="009F42EA">
        <w:rPr>
          <w:sz w:val="24"/>
          <w:szCs w:val="24"/>
        </w:rPr>
        <w:t xml:space="preserve"> </w:t>
      </w:r>
    </w:p>
    <w:p w:rsidR="008A32FA" w:rsidP="139E3DD7" w:rsidRDefault="008A32FA" w14:paraId="7241CE4E" w14:textId="77777777">
      <w:pPr>
        <w:rPr>
          <w:sz w:val="24"/>
          <w:szCs w:val="24"/>
        </w:rPr>
      </w:pPr>
    </w:p>
    <w:p w:rsidRPr="008F2CF5" w:rsidR="00831164" w:rsidP="139E3DD7" w:rsidRDefault="009F42EA" w14:paraId="161B20A1" w14:textId="300C85A8">
      <w:pPr>
        <w:rPr>
          <w:sz w:val="24"/>
          <w:szCs w:val="24"/>
        </w:rPr>
      </w:pPr>
      <w:r w:rsidRPr="008F2CF5">
        <w:rPr>
          <w:sz w:val="24"/>
          <w:szCs w:val="24"/>
        </w:rPr>
        <w:t xml:space="preserve">If the information is not collected for </w:t>
      </w:r>
      <w:r w:rsidR="00E841E1">
        <w:rPr>
          <w:sz w:val="24"/>
          <w:szCs w:val="24"/>
        </w:rPr>
        <w:t>c</w:t>
      </w:r>
      <w:r w:rsidRPr="008F2CF5">
        <w:rPr>
          <w:sz w:val="24"/>
          <w:szCs w:val="24"/>
        </w:rPr>
        <w:t xml:space="preserve">ontractors, the </w:t>
      </w:r>
      <w:r w:rsidR="00E22590">
        <w:rPr>
          <w:sz w:val="24"/>
          <w:szCs w:val="24"/>
        </w:rPr>
        <w:t>CFPB</w:t>
      </w:r>
      <w:r w:rsidRPr="008F2CF5">
        <w:rPr>
          <w:sz w:val="24"/>
          <w:szCs w:val="24"/>
        </w:rPr>
        <w:t xml:space="preserve"> will not be able to ensure diverse representation of </w:t>
      </w:r>
      <w:r w:rsidR="00E22590">
        <w:rPr>
          <w:sz w:val="24"/>
          <w:szCs w:val="24"/>
        </w:rPr>
        <w:t>its</w:t>
      </w:r>
      <w:r w:rsidRPr="008F2CF5">
        <w:rPr>
          <w:sz w:val="24"/>
          <w:szCs w:val="24"/>
        </w:rPr>
        <w:t xml:space="preserve"> </w:t>
      </w:r>
      <w:r w:rsidR="00E841E1">
        <w:rPr>
          <w:sz w:val="24"/>
          <w:szCs w:val="24"/>
        </w:rPr>
        <w:t>c</w:t>
      </w:r>
      <w:r w:rsidRPr="008F2CF5">
        <w:rPr>
          <w:sz w:val="24"/>
          <w:szCs w:val="24"/>
        </w:rPr>
        <w:t xml:space="preserve">ontractor </w:t>
      </w:r>
      <w:proofErr w:type="gramStart"/>
      <w:r w:rsidRPr="008F2CF5">
        <w:rPr>
          <w:sz w:val="24"/>
          <w:szCs w:val="24"/>
        </w:rPr>
        <w:t>workforc</w:t>
      </w:r>
      <w:r w:rsidR="00227CB5">
        <w:rPr>
          <w:sz w:val="24"/>
          <w:szCs w:val="24"/>
        </w:rPr>
        <w:t>e</w:t>
      </w:r>
      <w:proofErr w:type="gramEnd"/>
      <w:r w:rsidR="00227CB5">
        <w:rPr>
          <w:sz w:val="24"/>
          <w:szCs w:val="24"/>
        </w:rPr>
        <w:t xml:space="preserve"> nor will</w:t>
      </w:r>
      <w:r w:rsidRPr="008F2CF5">
        <w:rPr>
          <w:sz w:val="24"/>
          <w:szCs w:val="24"/>
        </w:rPr>
        <w:t xml:space="preserve"> </w:t>
      </w:r>
      <w:r w:rsidR="00227CB5">
        <w:rPr>
          <w:sz w:val="24"/>
          <w:szCs w:val="24"/>
        </w:rPr>
        <w:t>t</w:t>
      </w:r>
      <w:r w:rsidRPr="008F2CF5">
        <w:rPr>
          <w:sz w:val="24"/>
          <w:szCs w:val="24"/>
        </w:rPr>
        <w:t>he</w:t>
      </w:r>
      <w:r w:rsidR="002F7DAF">
        <w:rPr>
          <w:sz w:val="24"/>
          <w:szCs w:val="24"/>
        </w:rPr>
        <w:t xml:space="preserve"> Bureau</w:t>
      </w:r>
      <w:r w:rsidRPr="008F2CF5">
        <w:rPr>
          <w:sz w:val="24"/>
          <w:szCs w:val="24"/>
        </w:rPr>
        <w:t xml:space="preserve"> meet its mandatory G</w:t>
      </w:r>
      <w:r w:rsidR="007B7C5C">
        <w:rPr>
          <w:sz w:val="24"/>
          <w:szCs w:val="24"/>
        </w:rPr>
        <w:t>FE</w:t>
      </w:r>
      <w:r w:rsidRPr="008F2CF5">
        <w:rPr>
          <w:sz w:val="24"/>
          <w:szCs w:val="24"/>
        </w:rPr>
        <w:t xml:space="preserve"> collection requirement within Section 342 of the Act.</w:t>
      </w:r>
    </w:p>
    <w:p w:rsidRPr="008F2CF5" w:rsidR="00831164" w:rsidP="005F1FFC" w:rsidRDefault="00831164" w14:paraId="333200FD" w14:textId="77777777">
      <w:pPr>
        <w:rPr>
          <w:sz w:val="24"/>
          <w:szCs w:val="24"/>
        </w:rPr>
      </w:pPr>
    </w:p>
    <w:p w:rsidRPr="008F2CF5"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F2CF5">
        <w:rPr>
          <w:b/>
          <w:sz w:val="24"/>
          <w:szCs w:val="24"/>
        </w:rPr>
        <w:t xml:space="preserve">7.  </w:t>
      </w:r>
      <w:r w:rsidRPr="008F2CF5">
        <w:rPr>
          <w:b/>
          <w:bCs/>
          <w:sz w:val="24"/>
          <w:szCs w:val="24"/>
        </w:rPr>
        <w:t>Explain any special circumstances that would cause an information collection to be conducted in a manner:</w:t>
      </w:r>
    </w:p>
    <w:p w:rsidRPr="008F2CF5"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bCs/>
          <w:sz w:val="24"/>
          <w:szCs w:val="24"/>
        </w:rPr>
        <w:t xml:space="preserve">requiring respondents to report information to the agency more often than </w:t>
      </w:r>
      <w:proofErr w:type="gramStart"/>
      <w:r w:rsidRPr="008F2CF5">
        <w:rPr>
          <w:b/>
          <w:bCs/>
          <w:sz w:val="24"/>
          <w:szCs w:val="24"/>
        </w:rPr>
        <w:t>quarterly;</w:t>
      </w:r>
      <w:proofErr w:type="gramEnd"/>
    </w:p>
    <w:p w:rsidRPr="008F2CF5" w:rsidR="00F660E8" w:rsidP="139E3DD7" w:rsidRDefault="00F660E8" w14:paraId="1B834044" w14:textId="77777777">
      <w:pPr>
        <w:numPr>
          <w:ilvl w:val="0"/>
          <w:numId w:val="1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sz w:val="24"/>
          <w:szCs w:val="24"/>
        </w:rPr>
        <w:t xml:space="preserve">requiring respondents to prepare a written response to a collection of information in fewer than 30 days after receipt of </w:t>
      </w:r>
      <w:proofErr w:type="gramStart"/>
      <w:r w:rsidRPr="008F2CF5">
        <w:rPr>
          <w:b/>
          <w:sz w:val="24"/>
          <w:szCs w:val="24"/>
        </w:rPr>
        <w:t>it;</w:t>
      </w:r>
      <w:proofErr w:type="gramEnd"/>
    </w:p>
    <w:p w:rsidRPr="008F2CF5"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bCs/>
          <w:sz w:val="24"/>
          <w:szCs w:val="24"/>
        </w:rPr>
        <w:t xml:space="preserve">requiring respondents to submit more than an original and two copies of any </w:t>
      </w:r>
      <w:proofErr w:type="gramStart"/>
      <w:r w:rsidRPr="008F2CF5">
        <w:rPr>
          <w:b/>
          <w:bCs/>
          <w:sz w:val="24"/>
          <w:szCs w:val="24"/>
        </w:rPr>
        <w:t>document;</w:t>
      </w:r>
      <w:proofErr w:type="gramEnd"/>
    </w:p>
    <w:p w:rsidRPr="008F2CF5"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bCs/>
          <w:sz w:val="24"/>
          <w:szCs w:val="24"/>
        </w:rPr>
        <w:t xml:space="preserve">requiring respondents to retain records, other than health, medical, government contract, grant-in-aid, or tax records for more than three </w:t>
      </w:r>
      <w:proofErr w:type="gramStart"/>
      <w:r w:rsidRPr="008F2CF5">
        <w:rPr>
          <w:b/>
          <w:bCs/>
          <w:sz w:val="24"/>
          <w:szCs w:val="24"/>
        </w:rPr>
        <w:t>years;</w:t>
      </w:r>
      <w:proofErr w:type="gramEnd"/>
    </w:p>
    <w:p w:rsidRPr="008F2CF5"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F2CF5">
        <w:rPr>
          <w:b/>
          <w:bCs/>
        </w:rPr>
        <w:t xml:space="preserve">in connection with a statistical survey, that is not designed to produce valid and reliable results that can be generalized to the universe of </w:t>
      </w:r>
      <w:proofErr w:type="gramStart"/>
      <w:r w:rsidRPr="008F2CF5">
        <w:rPr>
          <w:b/>
          <w:bCs/>
        </w:rPr>
        <w:t>study;</w:t>
      </w:r>
      <w:proofErr w:type="gramEnd"/>
    </w:p>
    <w:p w:rsidRPr="008F2CF5"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F2CF5">
        <w:rPr>
          <w:b/>
          <w:bCs/>
        </w:rPr>
        <w:t xml:space="preserve">requiring the use of statistical data classification that has not been reviewed and approved by </w:t>
      </w:r>
      <w:proofErr w:type="gramStart"/>
      <w:r w:rsidRPr="008F2CF5">
        <w:rPr>
          <w:b/>
          <w:bCs/>
        </w:rPr>
        <w:t>OMB;</w:t>
      </w:r>
      <w:proofErr w:type="gramEnd"/>
    </w:p>
    <w:p w:rsidRPr="008F2CF5"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F2CF5">
        <w:rPr>
          <w:b/>
          <w:bCs/>
        </w:rPr>
        <w:t xml:space="preserve">that includes a pledge of confidentially that is not supported by authority established in statute or regulation, that is not supported by disclosure and </w:t>
      </w:r>
      <w:r w:rsidRPr="008F2CF5">
        <w:rPr>
          <w:b/>
          <w:bCs/>
        </w:rPr>
        <w:lastRenderedPageBreak/>
        <w:t>data security policies that are consistent with the pledge, or which unnecessarily impedes sharing of data with other agencies for compatible confidential use; or</w:t>
      </w:r>
    </w:p>
    <w:p w:rsidRPr="008F2CF5"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F2CF5">
        <w:rPr>
          <w:b/>
          <w:bCs/>
        </w:rPr>
        <w:t>requiring respondents to submit proprietary trade secret, or other confidential information unless the agency can demonstrate that it has instituted procedures to protect the information's confidentially to the extent permitted by law.</w:t>
      </w:r>
    </w:p>
    <w:p w:rsidRPr="008F2CF5" w:rsidR="005F1FFC" w:rsidP="005F1FFC" w:rsidRDefault="005F1FFC" w14:paraId="394DE9F1" w14:textId="77777777">
      <w:pPr>
        <w:ind w:left="720"/>
        <w:rPr>
          <w:sz w:val="24"/>
          <w:szCs w:val="24"/>
        </w:rPr>
      </w:pPr>
    </w:p>
    <w:p w:rsidR="00831164" w:rsidP="00831164" w:rsidRDefault="00831164" w14:paraId="2F7B299A" w14:textId="254ADD0A">
      <w:pPr>
        <w:rPr>
          <w:bCs/>
          <w:iCs/>
          <w:sz w:val="24"/>
          <w:szCs w:val="24"/>
        </w:rPr>
      </w:pPr>
      <w:r w:rsidRPr="008F2CF5">
        <w:rPr>
          <w:bCs/>
          <w:iCs/>
          <w:sz w:val="24"/>
          <w:szCs w:val="24"/>
        </w:rPr>
        <w:t>T</w:t>
      </w:r>
      <w:r w:rsidR="0023313C">
        <w:rPr>
          <w:bCs/>
          <w:iCs/>
          <w:sz w:val="24"/>
          <w:szCs w:val="24"/>
        </w:rPr>
        <w:t>his information collection</w:t>
      </w:r>
      <w:r w:rsidR="001624A3">
        <w:rPr>
          <w:bCs/>
          <w:iCs/>
          <w:sz w:val="24"/>
          <w:szCs w:val="24"/>
        </w:rPr>
        <w:t xml:space="preserve"> complies with</w:t>
      </w:r>
      <w:r w:rsidRPr="008F2CF5">
        <w:rPr>
          <w:bCs/>
          <w:iCs/>
          <w:sz w:val="24"/>
          <w:szCs w:val="24"/>
        </w:rPr>
        <w:t xml:space="preserve"> applicable guidelines contained in 5 CFR 1320.5(d)(2).</w:t>
      </w:r>
    </w:p>
    <w:p w:rsidRPr="008F2CF5" w:rsidR="00316F87" w:rsidP="00831164" w:rsidRDefault="00316F87" w14:paraId="1D090725" w14:textId="77777777">
      <w:pPr>
        <w:rPr>
          <w:sz w:val="24"/>
          <w:szCs w:val="24"/>
        </w:rPr>
      </w:pPr>
    </w:p>
    <w:p w:rsidRPr="008F2CF5"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8F2CF5">
        <w:rPr>
          <w:b/>
          <w:sz w:val="24"/>
          <w:szCs w:val="24"/>
        </w:rPr>
        <w:t xml:space="preserve">8.  </w:t>
      </w:r>
      <w:r w:rsidRPr="008F2CF5">
        <w:rPr>
          <w:b/>
          <w:bCs/>
          <w:sz w:val="24"/>
          <w:szCs w:val="24"/>
        </w:rPr>
        <w:t xml:space="preserve">If applicable, provide a copy and identify the date and page number of </w:t>
      </w:r>
      <w:proofErr w:type="gramStart"/>
      <w:r w:rsidRPr="008F2CF5">
        <w:rPr>
          <w:b/>
          <w:bCs/>
          <w:sz w:val="24"/>
          <w:szCs w:val="24"/>
        </w:rPr>
        <w:t>publication</w:t>
      </w:r>
      <w:proofErr w:type="gramEnd"/>
      <w:r w:rsidRPr="008F2CF5">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F2CF5"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8F2CF5"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8F2CF5">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CF5"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8F2CF5"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8F2CF5">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8F2CF5" w:rsidR="005F1FFC" w:rsidP="005F1FFC" w:rsidRDefault="005F1FFC" w14:paraId="3454479C" w14:textId="77777777">
      <w:pPr>
        <w:rPr>
          <w:sz w:val="24"/>
          <w:szCs w:val="24"/>
        </w:rPr>
      </w:pPr>
    </w:p>
    <w:p w:rsidRPr="008F2CF5" w:rsidR="00BC56A2" w:rsidP="00BC56A2" w:rsidRDefault="00BC56A2" w14:paraId="4EF51BBA" w14:textId="3D941D5E">
      <w:pPr>
        <w:rPr>
          <w:bCs/>
          <w:sz w:val="24"/>
          <w:szCs w:val="24"/>
        </w:rPr>
      </w:pPr>
      <w:r w:rsidRPr="008F2CF5">
        <w:rPr>
          <w:bCs/>
          <w:sz w:val="24"/>
          <w:szCs w:val="24"/>
        </w:rPr>
        <w:t xml:space="preserve">In accordance with 5 CFR 1320.8(d)(1), the </w:t>
      </w:r>
      <w:r w:rsidR="00E841E1">
        <w:rPr>
          <w:bCs/>
          <w:sz w:val="24"/>
          <w:szCs w:val="24"/>
        </w:rPr>
        <w:t>CFPB</w:t>
      </w:r>
      <w:r w:rsidRPr="008F2CF5">
        <w:rPr>
          <w:bCs/>
          <w:sz w:val="24"/>
          <w:szCs w:val="24"/>
        </w:rPr>
        <w:t xml:space="preserve"> has published a notice in </w:t>
      </w:r>
      <w:r w:rsidRPr="008F2CF5">
        <w:rPr>
          <w:bCs/>
          <w:iCs/>
          <w:sz w:val="24"/>
          <w:szCs w:val="24"/>
        </w:rPr>
        <w:t>Federal Register</w:t>
      </w:r>
      <w:r w:rsidRPr="008F2CF5">
        <w:rPr>
          <w:bCs/>
          <w:sz w:val="24"/>
          <w:szCs w:val="24"/>
        </w:rPr>
        <w:t xml:space="preserve"> that provides the public 60 calendar days to comment on the extension of reporting requirements contained within OMB Control No. 3170-00</w:t>
      </w:r>
      <w:r w:rsidR="00B75CCC">
        <w:rPr>
          <w:bCs/>
          <w:sz w:val="24"/>
          <w:szCs w:val="24"/>
        </w:rPr>
        <w:t>60</w:t>
      </w:r>
      <w:r w:rsidRPr="008F2CF5">
        <w:rPr>
          <w:bCs/>
          <w:sz w:val="24"/>
          <w:szCs w:val="24"/>
        </w:rPr>
        <w:t>.</w:t>
      </w:r>
      <w:r w:rsidRPr="008F2CF5">
        <w:rPr>
          <w:rStyle w:val="FootnoteReference"/>
          <w:bCs/>
          <w:sz w:val="24"/>
          <w:szCs w:val="24"/>
        </w:rPr>
        <w:footnoteReference w:id="6"/>
      </w:r>
      <w:r w:rsidR="007C32FB">
        <w:rPr>
          <w:bCs/>
          <w:sz w:val="24"/>
          <w:szCs w:val="24"/>
        </w:rPr>
        <w:t xml:space="preserve"> No comments</w:t>
      </w:r>
      <w:r w:rsidR="000E3ABC">
        <w:rPr>
          <w:bCs/>
          <w:sz w:val="24"/>
          <w:szCs w:val="24"/>
        </w:rPr>
        <w:t xml:space="preserve"> were received during the comment period.</w:t>
      </w:r>
    </w:p>
    <w:p w:rsidRPr="008F2CF5" w:rsidR="004E1F5B" w:rsidP="00BC56A2" w:rsidRDefault="004E1F5B" w14:paraId="13830F01" w14:textId="77777777">
      <w:pPr>
        <w:rPr>
          <w:bCs/>
          <w:sz w:val="24"/>
          <w:szCs w:val="24"/>
        </w:rPr>
      </w:pPr>
    </w:p>
    <w:p w:rsidR="00BE61FE" w:rsidP="00BC56A2" w:rsidRDefault="004E1F5B" w14:paraId="18A7A451" w14:textId="2FF0A26E">
      <w:pPr>
        <w:rPr>
          <w:bCs/>
          <w:sz w:val="24"/>
          <w:szCs w:val="24"/>
        </w:rPr>
      </w:pPr>
      <w:r w:rsidRPr="008F2CF5">
        <w:rPr>
          <w:bCs/>
          <w:sz w:val="24"/>
          <w:szCs w:val="24"/>
        </w:rPr>
        <w:t xml:space="preserve">Also, </w:t>
      </w:r>
      <w:r w:rsidRPr="008F2CF5" w:rsidR="00BC56A2">
        <w:rPr>
          <w:bCs/>
          <w:sz w:val="24"/>
          <w:szCs w:val="24"/>
        </w:rPr>
        <w:t xml:space="preserve">in accordance with 5 CFR 1320.5(a)(1)(iv), the </w:t>
      </w:r>
      <w:r w:rsidR="009F4360">
        <w:rPr>
          <w:bCs/>
          <w:sz w:val="24"/>
          <w:szCs w:val="24"/>
        </w:rPr>
        <w:t>CFPB</w:t>
      </w:r>
      <w:r w:rsidRPr="008F2CF5" w:rsidR="00BC56A2">
        <w:rPr>
          <w:bCs/>
          <w:sz w:val="24"/>
          <w:szCs w:val="24"/>
        </w:rPr>
        <w:t xml:space="preserve"> has also published a notice in the </w:t>
      </w:r>
      <w:r w:rsidRPr="008F2CF5" w:rsidR="00BC56A2">
        <w:rPr>
          <w:bCs/>
          <w:iCs/>
          <w:sz w:val="24"/>
          <w:szCs w:val="24"/>
        </w:rPr>
        <w:t>Federal Register</w:t>
      </w:r>
      <w:r w:rsidRPr="008F2CF5" w:rsidR="00BC56A2">
        <w:rPr>
          <w:bCs/>
          <w:sz w:val="24"/>
          <w:szCs w:val="24"/>
        </w:rPr>
        <w:t xml:space="preserve"> </w:t>
      </w:r>
      <w:r w:rsidRPr="008F2CF5">
        <w:rPr>
          <w:bCs/>
          <w:sz w:val="24"/>
          <w:szCs w:val="24"/>
        </w:rPr>
        <w:t>providing</w:t>
      </w:r>
      <w:r w:rsidRPr="008F2CF5" w:rsidR="00BC56A2">
        <w:rPr>
          <w:bCs/>
          <w:sz w:val="24"/>
          <w:szCs w:val="24"/>
        </w:rPr>
        <w:t xml:space="preserve"> the public 30 days to comment </w:t>
      </w:r>
      <w:r w:rsidRPr="008F2CF5">
        <w:rPr>
          <w:bCs/>
          <w:sz w:val="24"/>
          <w:szCs w:val="24"/>
        </w:rPr>
        <w:t>on reporting requirements contained within th</w:t>
      </w:r>
      <w:r w:rsidRPr="008F2CF5" w:rsidR="009D7886">
        <w:rPr>
          <w:bCs/>
          <w:sz w:val="24"/>
          <w:szCs w:val="24"/>
        </w:rPr>
        <w:t>is</w:t>
      </w:r>
      <w:r w:rsidRPr="008F2CF5">
        <w:rPr>
          <w:bCs/>
          <w:sz w:val="24"/>
          <w:szCs w:val="24"/>
        </w:rPr>
        <w:t xml:space="preserve"> information collection request.</w:t>
      </w:r>
      <w:r w:rsidRPr="008F2CF5" w:rsidR="009D7886">
        <w:rPr>
          <w:rStyle w:val="FootnoteReference"/>
          <w:bCs/>
          <w:sz w:val="24"/>
          <w:szCs w:val="24"/>
        </w:rPr>
        <w:footnoteReference w:id="7"/>
      </w:r>
    </w:p>
    <w:p w:rsidR="00F84AAA" w:rsidP="00BC56A2" w:rsidRDefault="00F84AAA" w14:paraId="745A2A20" w14:textId="796A65E3">
      <w:pPr>
        <w:rPr>
          <w:bCs/>
          <w:sz w:val="24"/>
          <w:szCs w:val="24"/>
        </w:rPr>
      </w:pPr>
    </w:p>
    <w:p w:rsidRPr="008F2CF5" w:rsidR="00E939D3" w:rsidP="005F1FFC" w:rsidRDefault="00E939D3" w14:paraId="6891C959" w14:textId="77777777">
      <w:pPr>
        <w:rPr>
          <w:sz w:val="24"/>
          <w:szCs w:val="24"/>
        </w:rPr>
      </w:pPr>
    </w:p>
    <w:p w:rsidRPr="008F2CF5" w:rsidR="00F660E8" w:rsidP="00F660E8" w:rsidRDefault="00F660E8" w14:paraId="3BE65949" w14:textId="77777777">
      <w:pPr>
        <w:autoSpaceDE w:val="0"/>
        <w:autoSpaceDN w:val="0"/>
        <w:adjustRightInd w:val="0"/>
        <w:rPr>
          <w:b/>
          <w:sz w:val="24"/>
          <w:szCs w:val="24"/>
        </w:rPr>
      </w:pPr>
      <w:r w:rsidRPr="008F2CF5">
        <w:rPr>
          <w:b/>
          <w:sz w:val="24"/>
          <w:szCs w:val="24"/>
        </w:rPr>
        <w:t xml:space="preserve">9.  </w:t>
      </w:r>
      <w:r w:rsidRPr="008F2CF5">
        <w:rPr>
          <w:b/>
          <w:bCs/>
          <w:sz w:val="24"/>
          <w:szCs w:val="24"/>
        </w:rPr>
        <w:t>Explain any decision to provide any payments or gifts to respondents, other than remuneration of contractors or grantees.</w:t>
      </w:r>
    </w:p>
    <w:p w:rsidRPr="008F2CF5" w:rsidR="005F1FFC" w:rsidP="005F1FFC" w:rsidRDefault="005F1FFC" w14:paraId="0EFC2C53" w14:textId="77777777">
      <w:pPr>
        <w:rPr>
          <w:sz w:val="24"/>
          <w:szCs w:val="24"/>
        </w:rPr>
      </w:pPr>
    </w:p>
    <w:p w:rsidR="00A93967" w:rsidP="009E1042" w:rsidRDefault="00831164" w14:paraId="7CFFEB9F" w14:textId="4A578714">
      <w:pPr>
        <w:rPr>
          <w:bCs/>
          <w:iCs/>
          <w:sz w:val="24"/>
          <w:szCs w:val="24"/>
        </w:rPr>
      </w:pPr>
      <w:r w:rsidRPr="008F2CF5">
        <w:rPr>
          <w:bCs/>
          <w:iCs/>
          <w:sz w:val="24"/>
          <w:szCs w:val="24"/>
        </w:rPr>
        <w:t>No payments or gifts are provided to respondents.</w:t>
      </w:r>
    </w:p>
    <w:p w:rsidR="003655B8" w:rsidP="009E1042" w:rsidRDefault="003655B8" w14:paraId="1AE5F6D7" w14:textId="033B5127">
      <w:pPr>
        <w:rPr>
          <w:bCs/>
          <w:iCs/>
          <w:sz w:val="24"/>
          <w:szCs w:val="24"/>
        </w:rPr>
      </w:pPr>
    </w:p>
    <w:p w:rsidRPr="008F2CF5" w:rsidR="00831164" w:rsidP="009E1042" w:rsidRDefault="00831164" w14:paraId="6127871B" w14:textId="77777777">
      <w:pPr>
        <w:rPr>
          <w:sz w:val="24"/>
          <w:szCs w:val="24"/>
        </w:rPr>
      </w:pPr>
    </w:p>
    <w:p w:rsidRPr="008F2CF5" w:rsidR="00F660E8" w:rsidP="00F660E8" w:rsidRDefault="00F660E8" w14:paraId="00FF3777" w14:textId="77777777">
      <w:pPr>
        <w:rPr>
          <w:b/>
          <w:sz w:val="24"/>
          <w:szCs w:val="24"/>
        </w:rPr>
      </w:pPr>
      <w:r w:rsidRPr="008F2CF5">
        <w:rPr>
          <w:b/>
          <w:sz w:val="24"/>
          <w:szCs w:val="24"/>
        </w:rPr>
        <w:t xml:space="preserve">10.  </w:t>
      </w:r>
      <w:r w:rsidRPr="008F2CF5">
        <w:rPr>
          <w:b/>
          <w:bCs/>
          <w:sz w:val="24"/>
          <w:szCs w:val="24"/>
        </w:rPr>
        <w:t>Describe any assurance of confidentiality provided to respondents and the basis for the assurance in statute, regulation, or agency policy.</w:t>
      </w:r>
    </w:p>
    <w:p w:rsidRPr="008F2CF5" w:rsidR="005F1FFC" w:rsidP="005F1FFC" w:rsidRDefault="005F1FFC" w14:paraId="59FF77B7" w14:textId="77777777">
      <w:pPr>
        <w:ind w:left="720"/>
        <w:rPr>
          <w:sz w:val="24"/>
          <w:szCs w:val="24"/>
        </w:rPr>
      </w:pPr>
    </w:p>
    <w:p w:rsidR="00110A9B" w:rsidP="00831164" w:rsidRDefault="00831164" w14:paraId="375621B4" w14:textId="01FB8071">
      <w:pPr>
        <w:rPr>
          <w:sz w:val="24"/>
          <w:szCs w:val="24"/>
        </w:rPr>
      </w:pPr>
      <w:r w:rsidRPr="008F2CF5">
        <w:rPr>
          <w:sz w:val="24"/>
          <w:szCs w:val="24"/>
        </w:rPr>
        <w:t xml:space="preserve">The Policy Statement states that the Agencies may publish information disclosed to them provided they do not identify a particular entity or individual or disclose confidential business information </w:t>
      </w:r>
      <w:r w:rsidR="001B3D00">
        <w:rPr>
          <w:sz w:val="24"/>
          <w:szCs w:val="24"/>
        </w:rPr>
        <w:t>to</w:t>
      </w:r>
      <w:r w:rsidRPr="008F2CF5">
        <w:rPr>
          <w:sz w:val="24"/>
          <w:szCs w:val="24"/>
        </w:rPr>
        <w:t xml:space="preserve"> balance concerns about confidentiality of information with the importance of sharing information.  Any entities submitting information may designate such information as confidential, as appropriate, and the Agencies will keep this information private to the extent allowed by law.</w:t>
      </w:r>
      <w:r w:rsidR="00B364AF">
        <w:rPr>
          <w:sz w:val="24"/>
          <w:szCs w:val="24"/>
        </w:rPr>
        <w:t xml:space="preserve"> </w:t>
      </w:r>
    </w:p>
    <w:p w:rsidR="00110A9B" w:rsidP="00831164" w:rsidRDefault="00110A9B" w14:paraId="0A4F33F0" w14:textId="77777777">
      <w:pPr>
        <w:rPr>
          <w:sz w:val="24"/>
          <w:szCs w:val="24"/>
        </w:rPr>
      </w:pPr>
    </w:p>
    <w:p w:rsidRPr="008F2CF5" w:rsidR="00A93967" w:rsidP="00831164" w:rsidRDefault="00AB745F" w14:paraId="2A4F7C4C" w14:textId="1A321DFE">
      <w:pPr>
        <w:rPr>
          <w:sz w:val="24"/>
          <w:szCs w:val="24"/>
        </w:rPr>
      </w:pPr>
      <w:r>
        <w:rPr>
          <w:sz w:val="24"/>
          <w:szCs w:val="24"/>
        </w:rPr>
        <w:t xml:space="preserve">The CFPB will report to Congress as required by Section 342 on </w:t>
      </w:r>
      <w:r w:rsidR="00673E94">
        <w:rPr>
          <w:sz w:val="24"/>
          <w:szCs w:val="24"/>
        </w:rPr>
        <w:t>c</w:t>
      </w:r>
      <w:r w:rsidR="00F97348">
        <w:rPr>
          <w:sz w:val="24"/>
          <w:szCs w:val="24"/>
        </w:rPr>
        <w:t xml:space="preserve">ontractor </w:t>
      </w:r>
      <w:r>
        <w:rPr>
          <w:sz w:val="24"/>
          <w:szCs w:val="24"/>
        </w:rPr>
        <w:t>good faith effort</w:t>
      </w:r>
      <w:r w:rsidR="004E18CD">
        <w:rPr>
          <w:sz w:val="24"/>
          <w:szCs w:val="24"/>
        </w:rPr>
        <w:t>s</w:t>
      </w:r>
      <w:r>
        <w:rPr>
          <w:sz w:val="24"/>
          <w:szCs w:val="24"/>
        </w:rPr>
        <w:t xml:space="preserve"> to</w:t>
      </w:r>
      <w:r w:rsidR="00F97348">
        <w:rPr>
          <w:sz w:val="24"/>
          <w:szCs w:val="24"/>
        </w:rPr>
        <w:t xml:space="preserve"> diversify </w:t>
      </w:r>
      <w:r w:rsidR="004E18CD">
        <w:rPr>
          <w:sz w:val="24"/>
          <w:szCs w:val="24"/>
        </w:rPr>
        <w:t>their</w:t>
      </w:r>
      <w:r w:rsidR="00F97348">
        <w:rPr>
          <w:sz w:val="24"/>
          <w:szCs w:val="24"/>
        </w:rPr>
        <w:t xml:space="preserve"> workforce</w:t>
      </w:r>
      <w:r w:rsidR="004E18CD">
        <w:rPr>
          <w:sz w:val="24"/>
          <w:szCs w:val="24"/>
        </w:rPr>
        <w:t>s</w:t>
      </w:r>
      <w:r w:rsidR="00F97348">
        <w:rPr>
          <w:sz w:val="24"/>
          <w:szCs w:val="24"/>
        </w:rPr>
        <w:t xml:space="preserve"> to be more reflective of American consumers. There are no plans to publicize specific vendor information beyond what is allowable through existing </w:t>
      </w:r>
      <w:r w:rsidR="00D21C2B">
        <w:rPr>
          <w:sz w:val="24"/>
          <w:szCs w:val="24"/>
        </w:rPr>
        <w:t xml:space="preserve">policies and procedures that govern entities </w:t>
      </w:r>
      <w:r w:rsidR="00F97348">
        <w:rPr>
          <w:sz w:val="24"/>
          <w:szCs w:val="24"/>
        </w:rPr>
        <w:t>d</w:t>
      </w:r>
      <w:r w:rsidR="00D21C2B">
        <w:rPr>
          <w:sz w:val="24"/>
          <w:szCs w:val="24"/>
        </w:rPr>
        <w:t>oing</w:t>
      </w:r>
      <w:r w:rsidR="00F97348">
        <w:rPr>
          <w:sz w:val="24"/>
          <w:szCs w:val="24"/>
        </w:rPr>
        <w:t xml:space="preserve"> business with the </w:t>
      </w:r>
      <w:r w:rsidR="00D21C2B">
        <w:rPr>
          <w:sz w:val="24"/>
          <w:szCs w:val="24"/>
        </w:rPr>
        <w:t xml:space="preserve">federal </w:t>
      </w:r>
      <w:r w:rsidR="00F97348">
        <w:rPr>
          <w:sz w:val="24"/>
          <w:szCs w:val="24"/>
        </w:rPr>
        <w:t xml:space="preserve">government. </w:t>
      </w:r>
      <w:r>
        <w:rPr>
          <w:sz w:val="24"/>
          <w:szCs w:val="24"/>
        </w:rPr>
        <w:t xml:space="preserve"> </w:t>
      </w:r>
    </w:p>
    <w:p w:rsidRPr="008F2CF5" w:rsidR="00831164" w:rsidP="00831164" w:rsidRDefault="00831164" w14:paraId="3AD13C42" w14:textId="77777777">
      <w:pPr>
        <w:rPr>
          <w:sz w:val="24"/>
          <w:szCs w:val="24"/>
        </w:rPr>
      </w:pPr>
    </w:p>
    <w:p w:rsidRPr="008F2CF5" w:rsidR="00F660E8" w:rsidP="00F660E8" w:rsidRDefault="00F660E8" w14:paraId="466038D0" w14:textId="77777777">
      <w:pPr>
        <w:rPr>
          <w:sz w:val="24"/>
          <w:szCs w:val="24"/>
        </w:rPr>
      </w:pPr>
      <w:r w:rsidRPr="008F2CF5">
        <w:rPr>
          <w:b/>
          <w:sz w:val="24"/>
          <w:szCs w:val="24"/>
        </w:rPr>
        <w:t xml:space="preserve">11.  </w:t>
      </w:r>
      <w:r w:rsidRPr="008F2CF5">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F2CF5" w:rsidR="005F1FFC" w:rsidP="00831164" w:rsidRDefault="005F1FFC" w14:paraId="74706F28" w14:textId="65DBE9C1">
      <w:pPr>
        <w:rPr>
          <w:sz w:val="24"/>
          <w:szCs w:val="24"/>
        </w:rPr>
      </w:pPr>
    </w:p>
    <w:p w:rsidRPr="008F2CF5" w:rsidR="00831164" w:rsidP="00831164" w:rsidRDefault="00453F4A" w14:paraId="40A388ED" w14:textId="3721D201">
      <w:pPr>
        <w:rPr>
          <w:sz w:val="24"/>
          <w:szCs w:val="24"/>
        </w:rPr>
      </w:pPr>
      <w:r w:rsidRPr="008F2CF5">
        <w:rPr>
          <w:sz w:val="24"/>
          <w:szCs w:val="24"/>
        </w:rPr>
        <w:t>N</w:t>
      </w:r>
      <w:r w:rsidRPr="008F2CF5" w:rsidR="00831164">
        <w:rPr>
          <w:sz w:val="24"/>
          <w:szCs w:val="24"/>
        </w:rPr>
        <w:t xml:space="preserve">o </w:t>
      </w:r>
      <w:r w:rsidR="00402283">
        <w:rPr>
          <w:sz w:val="24"/>
          <w:szCs w:val="24"/>
        </w:rPr>
        <w:t xml:space="preserve">such </w:t>
      </w:r>
      <w:r w:rsidRPr="008F2CF5" w:rsidR="00831164">
        <w:rPr>
          <w:sz w:val="24"/>
          <w:szCs w:val="24"/>
        </w:rPr>
        <w:t xml:space="preserve">sensitive information </w:t>
      </w:r>
      <w:r w:rsidRPr="008F2CF5">
        <w:rPr>
          <w:sz w:val="24"/>
          <w:szCs w:val="24"/>
        </w:rPr>
        <w:t xml:space="preserve">will be </w:t>
      </w:r>
      <w:r w:rsidRPr="008F2CF5" w:rsidR="00831164">
        <w:rPr>
          <w:sz w:val="24"/>
          <w:szCs w:val="24"/>
        </w:rPr>
        <w:t>collected.</w:t>
      </w:r>
    </w:p>
    <w:p w:rsidRPr="008F2CF5" w:rsidR="00A93967" w:rsidP="005F1FFC" w:rsidRDefault="00A93967" w14:paraId="42E5A68A" w14:textId="77777777">
      <w:pPr>
        <w:pStyle w:val="BodyText"/>
        <w:rPr>
          <w:szCs w:val="24"/>
        </w:rPr>
      </w:pPr>
    </w:p>
    <w:p w:rsidRPr="008F2CF5" w:rsidR="00F660E8" w:rsidP="00F660E8" w:rsidRDefault="00F660E8" w14:paraId="7F32CD21" w14:textId="77777777">
      <w:pPr>
        <w:contextualSpacing/>
        <w:rPr>
          <w:b/>
          <w:sz w:val="24"/>
          <w:szCs w:val="24"/>
        </w:rPr>
      </w:pPr>
      <w:r w:rsidRPr="008F2CF5">
        <w:rPr>
          <w:b/>
          <w:sz w:val="24"/>
          <w:szCs w:val="24"/>
        </w:rPr>
        <w:t>12.  Provide estimates of the hour burden of the collection of information.  The statement should:</w:t>
      </w:r>
    </w:p>
    <w:p w:rsidRPr="008F2CF5"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8F2CF5" w:rsidR="00F660E8" w:rsidP="3D50E744" w:rsidRDefault="00F660E8" w14:paraId="6BC15F91" w14:textId="77777777">
      <w:pPr>
        <w:numPr>
          <w:ilvl w:val="0"/>
          <w:numId w:val="17"/>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bCs/>
          <w:sz w:val="24"/>
          <w:szCs w:val="24"/>
        </w:rPr>
        <w:t>If this request for approval covers more than one form, provide separate hour burden estimates for each form.</w:t>
      </w:r>
    </w:p>
    <w:p w:rsidRPr="008F2CF5"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8F2CF5">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8F2CF5" w:rsidR="00BC16BB" w:rsidP="005F1FFC" w:rsidRDefault="00BC16BB" w14:paraId="18388E76" w14:textId="23CF03E1">
      <w:pPr>
        <w:rPr>
          <w:bCs/>
          <w:sz w:val="24"/>
          <w:szCs w:val="24"/>
        </w:rPr>
      </w:pPr>
    </w:p>
    <w:p w:rsidR="00B364AF" w:rsidP="00831164" w:rsidRDefault="00B364AF" w14:paraId="62E64310" w14:textId="1E73F448">
      <w:pPr>
        <w:rPr>
          <w:sz w:val="24"/>
          <w:szCs w:val="24"/>
          <w:u w:val="single"/>
        </w:rPr>
      </w:pPr>
      <w:r w:rsidRPr="00B76B52">
        <w:rPr>
          <w:sz w:val="24"/>
          <w:szCs w:val="24"/>
          <w:u w:val="single"/>
        </w:rPr>
        <w:lastRenderedPageBreak/>
        <w:t>Joint Standards</w:t>
      </w:r>
    </w:p>
    <w:p w:rsidRPr="00B76B52" w:rsidR="00673E94" w:rsidP="00831164" w:rsidRDefault="00673E94" w14:paraId="616F3F87" w14:textId="77777777">
      <w:pPr>
        <w:rPr>
          <w:sz w:val="24"/>
          <w:szCs w:val="24"/>
          <w:u w:val="single"/>
        </w:rPr>
      </w:pPr>
    </w:p>
    <w:p w:rsidRPr="008F2CF5" w:rsidR="00831164" w:rsidP="00831164" w:rsidRDefault="00831164" w14:paraId="5ACB0DBF" w14:textId="4F53F4E1">
      <w:pPr>
        <w:rPr>
          <w:sz w:val="24"/>
          <w:szCs w:val="24"/>
        </w:rPr>
      </w:pPr>
      <w:r w:rsidRPr="008F2CF5">
        <w:rPr>
          <w:sz w:val="24"/>
          <w:szCs w:val="24"/>
        </w:rPr>
        <w:t>The collection of information contemplated by the Joint Standards imposes no new recordkeeping burdens as regulated entities will only publish or provide information pertaining to diversity policies and practices</w:t>
      </w:r>
      <w:r w:rsidRPr="008F2CF5">
        <w:rPr>
          <w:b/>
          <w:sz w:val="24"/>
          <w:szCs w:val="24"/>
        </w:rPr>
        <w:t xml:space="preserve"> </w:t>
      </w:r>
      <w:r w:rsidRPr="008F2CF5">
        <w:rPr>
          <w:sz w:val="24"/>
          <w:szCs w:val="24"/>
        </w:rPr>
        <w:t xml:space="preserve">that they maintain during the normal course of business. </w:t>
      </w:r>
    </w:p>
    <w:p w:rsidRPr="008F2CF5" w:rsidR="00831164" w:rsidP="00831164" w:rsidRDefault="00831164" w14:paraId="3ADB3C6B" w14:textId="77777777">
      <w:pPr>
        <w:ind w:firstLine="90"/>
        <w:rPr>
          <w:sz w:val="24"/>
          <w:szCs w:val="24"/>
        </w:rPr>
      </w:pPr>
    </w:p>
    <w:p w:rsidR="00831164" w:rsidP="00831164" w:rsidRDefault="00831164" w14:paraId="07A99B28" w14:textId="6AF35860">
      <w:pPr>
        <w:rPr>
          <w:sz w:val="24"/>
          <w:szCs w:val="24"/>
        </w:rPr>
      </w:pPr>
      <w:r w:rsidRPr="008F2CF5">
        <w:rPr>
          <w:sz w:val="24"/>
          <w:szCs w:val="24"/>
        </w:rPr>
        <w:t xml:space="preserve">The Agencies estimate that it will take a regulated entity approximately 12 burden hours, on average, to (a) to publish annually information pertaining to diversity policies and practices on the entity’s Web site or in other appropriate communications and (b) to retrieve and submit information pertaining to the entity’s self-assessment of its diversity policies and practices to its primary federal financial regulator.  </w:t>
      </w:r>
    </w:p>
    <w:p w:rsidR="00B364AF" w:rsidP="00831164" w:rsidRDefault="00B364AF" w14:paraId="0A057779" w14:textId="0EC514A2">
      <w:pPr>
        <w:rPr>
          <w:sz w:val="24"/>
          <w:szCs w:val="24"/>
        </w:rPr>
      </w:pPr>
    </w:p>
    <w:p w:rsidRPr="008F2CF5" w:rsidR="00B364AF" w:rsidP="00B364AF" w:rsidRDefault="00B364AF" w14:paraId="78E890E6" w14:textId="068E80C5">
      <w:pPr>
        <w:rPr>
          <w:sz w:val="24"/>
          <w:szCs w:val="24"/>
        </w:rPr>
      </w:pPr>
      <w:r w:rsidRPr="008F2CF5">
        <w:rPr>
          <w:sz w:val="24"/>
          <w:szCs w:val="24"/>
        </w:rPr>
        <w:t>To estimate average hourly wages for entities regulated by the Bureau, we reviewed data from May 20</w:t>
      </w:r>
      <w:r w:rsidR="001B11BF">
        <w:rPr>
          <w:sz w:val="24"/>
          <w:szCs w:val="24"/>
        </w:rPr>
        <w:t>21</w:t>
      </w:r>
      <w:r w:rsidRPr="008F2CF5">
        <w:rPr>
          <w:sz w:val="24"/>
          <w:szCs w:val="24"/>
        </w:rPr>
        <w:t xml:space="preserve"> for wages (by industry and occupation) from the U.S. Bureau of Labor</w:t>
      </w:r>
      <w:r w:rsidR="00BB2DC4">
        <w:rPr>
          <w:sz w:val="24"/>
          <w:szCs w:val="24"/>
        </w:rPr>
        <w:t xml:space="preserve"> </w:t>
      </w:r>
      <w:r w:rsidRPr="008F2CF5">
        <w:rPr>
          <w:sz w:val="24"/>
          <w:szCs w:val="24"/>
        </w:rPr>
        <w:t>Statistics (BLS) for Depository Credit Intermediation (NAICS 522100).  To estimate compensation costs associated with the collection of information under the Joint Standards, we use $109</w:t>
      </w:r>
      <w:r w:rsidR="00971902">
        <w:rPr>
          <w:sz w:val="24"/>
          <w:szCs w:val="24"/>
        </w:rPr>
        <w:t>/</w:t>
      </w:r>
      <w:r w:rsidRPr="008F2CF5">
        <w:rPr>
          <w:sz w:val="24"/>
          <w:szCs w:val="24"/>
        </w:rPr>
        <w:t>hour.  This is based on the average of the 90th percentile for seven occupations</w:t>
      </w:r>
      <w:r w:rsidRPr="008F2CF5">
        <w:rPr>
          <w:rStyle w:val="FootnoteReference"/>
          <w:sz w:val="24"/>
          <w:szCs w:val="24"/>
        </w:rPr>
        <w:footnoteReference w:id="8"/>
      </w:r>
      <w:r w:rsidRPr="008F2CF5">
        <w:rPr>
          <w:sz w:val="24"/>
          <w:szCs w:val="24"/>
          <w:vertAlign w:val="superscript"/>
        </w:rPr>
        <w:t xml:space="preserve"> </w:t>
      </w:r>
      <w:r w:rsidRPr="008F2CF5">
        <w:rPr>
          <w:sz w:val="24"/>
          <w:szCs w:val="24"/>
        </w:rPr>
        <w:t>adjusted for inflation (at 2</w:t>
      </w:r>
      <w:r w:rsidR="00971902">
        <w:rPr>
          <w:sz w:val="24"/>
          <w:szCs w:val="24"/>
        </w:rPr>
        <w:t>%</w:t>
      </w:r>
      <w:r w:rsidRPr="008F2CF5">
        <w:rPr>
          <w:sz w:val="24"/>
          <w:szCs w:val="24"/>
        </w:rPr>
        <w:t>), plus an additional 30</w:t>
      </w:r>
      <w:r w:rsidR="00971902">
        <w:rPr>
          <w:sz w:val="24"/>
          <w:szCs w:val="24"/>
        </w:rPr>
        <w:t>%</w:t>
      </w:r>
      <w:r w:rsidRPr="008F2CF5">
        <w:rPr>
          <w:sz w:val="24"/>
          <w:szCs w:val="24"/>
        </w:rPr>
        <w:t xml:space="preserve"> to cover private sector benefits (30</w:t>
      </w:r>
      <w:r w:rsidR="0091441E">
        <w:rPr>
          <w:sz w:val="24"/>
          <w:szCs w:val="24"/>
        </w:rPr>
        <w:t>%</w:t>
      </w:r>
      <w:r w:rsidRPr="008F2CF5">
        <w:rPr>
          <w:sz w:val="24"/>
          <w:szCs w:val="24"/>
        </w:rPr>
        <w:t xml:space="preserve"> represents the average private sector costs of employee benefits).</w:t>
      </w:r>
    </w:p>
    <w:p w:rsidR="00B364AF" w:rsidP="00831164" w:rsidRDefault="00B364AF" w14:paraId="39B53CC1" w14:textId="77777777">
      <w:pPr>
        <w:rPr>
          <w:sz w:val="24"/>
          <w:szCs w:val="24"/>
        </w:rPr>
      </w:pPr>
    </w:p>
    <w:p w:rsidRPr="00B76B52" w:rsidR="00B364AF" w:rsidP="00831164" w:rsidRDefault="00B364AF" w14:paraId="7585407E" w14:textId="4CAD4C23">
      <w:pPr>
        <w:rPr>
          <w:sz w:val="24"/>
          <w:szCs w:val="24"/>
          <w:u w:val="single"/>
        </w:rPr>
      </w:pPr>
      <w:r w:rsidRPr="00B76B52">
        <w:rPr>
          <w:sz w:val="24"/>
          <w:szCs w:val="24"/>
          <w:u w:val="single"/>
        </w:rPr>
        <w:t>CFPB Standards</w:t>
      </w:r>
    </w:p>
    <w:p w:rsidR="00B364AF" w:rsidP="00831164" w:rsidRDefault="00B364AF" w14:paraId="2F4EB2D5" w14:textId="77777777">
      <w:pPr>
        <w:rPr>
          <w:sz w:val="24"/>
          <w:szCs w:val="24"/>
        </w:rPr>
      </w:pPr>
    </w:p>
    <w:p w:rsidR="00DB621A" w:rsidP="00057AB2" w:rsidRDefault="00057AB2" w14:paraId="29A0FA58" w14:textId="6788255D">
      <w:pPr>
        <w:pStyle w:val="BodyText"/>
        <w:numPr>
          <w:ilvl w:val="12"/>
          <w:numId w:val="0"/>
        </w:numPr>
        <w:tabs>
          <w:tab w:val="left" w:pos="0"/>
        </w:tabs>
        <w:rPr>
          <w:szCs w:val="24"/>
        </w:rPr>
      </w:pPr>
      <w:r w:rsidRPr="00167DBD">
        <w:rPr>
          <w:szCs w:val="24"/>
        </w:rPr>
        <w:t xml:space="preserve">The time estimated to complete the </w:t>
      </w:r>
      <w:r>
        <w:rPr>
          <w:szCs w:val="24"/>
        </w:rPr>
        <w:t xml:space="preserve">Contractor Self-Assessment </w:t>
      </w:r>
      <w:r w:rsidRPr="00167DBD">
        <w:rPr>
          <w:szCs w:val="24"/>
        </w:rPr>
        <w:t xml:space="preserve">is approximately 45 minutes.  Since the information that is requested is required by federal procurement regulation and readily available to the </w:t>
      </w:r>
      <w:r>
        <w:rPr>
          <w:szCs w:val="24"/>
        </w:rPr>
        <w:t>contractor</w:t>
      </w:r>
      <w:r w:rsidRPr="00167DBD">
        <w:rPr>
          <w:szCs w:val="24"/>
        </w:rPr>
        <w:t xml:space="preserve">/respondent, the hourly burden should be the same and consistent </w:t>
      </w:r>
      <w:r w:rsidR="0091441E">
        <w:rPr>
          <w:szCs w:val="24"/>
        </w:rPr>
        <w:t>for most</w:t>
      </w:r>
      <w:r w:rsidRPr="00167DBD">
        <w:rPr>
          <w:szCs w:val="24"/>
        </w:rPr>
        <w:t xml:space="preserve"> vendors.</w:t>
      </w:r>
      <w:r w:rsidR="00096609">
        <w:rPr>
          <w:szCs w:val="24"/>
        </w:rPr>
        <w:t xml:space="preserve">  A wage rate of $65.67</w:t>
      </w:r>
      <w:r w:rsidR="00096609">
        <w:rPr>
          <w:rStyle w:val="FootnoteReference"/>
          <w:szCs w:val="24"/>
        </w:rPr>
        <w:footnoteReference w:id="9"/>
      </w:r>
      <w:r w:rsidR="00096609">
        <w:rPr>
          <w:szCs w:val="24"/>
        </w:rPr>
        <w:t xml:space="preserve"> assumed completion </w:t>
      </w:r>
      <w:r w:rsidR="00DB621A">
        <w:rPr>
          <w:szCs w:val="24"/>
        </w:rPr>
        <w:t xml:space="preserve">by a </w:t>
      </w:r>
      <w:r w:rsidRPr="00DB621A" w:rsidR="00DB621A">
        <w:rPr>
          <w:szCs w:val="24"/>
        </w:rPr>
        <w:t>Human Resources Manager</w:t>
      </w:r>
      <w:r w:rsidR="00DB621A">
        <w:rPr>
          <w:szCs w:val="24"/>
        </w:rPr>
        <w:t xml:space="preserve"> </w:t>
      </w:r>
      <w:r w:rsidR="00096609">
        <w:rPr>
          <w:szCs w:val="24"/>
        </w:rPr>
        <w:t>or similar profession.</w:t>
      </w:r>
    </w:p>
    <w:p w:rsidR="00DB621A" w:rsidP="00057AB2" w:rsidRDefault="00DB621A" w14:paraId="42ED7600" w14:textId="2AD4B5E5">
      <w:pPr>
        <w:pStyle w:val="BodyText"/>
        <w:numPr>
          <w:ilvl w:val="12"/>
          <w:numId w:val="0"/>
        </w:numPr>
        <w:tabs>
          <w:tab w:val="left" w:pos="0"/>
        </w:tabs>
        <w:rPr>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8"/>
        <w:gridCol w:w="1410"/>
        <w:gridCol w:w="1260"/>
        <w:gridCol w:w="1248"/>
        <w:gridCol w:w="1134"/>
        <w:gridCol w:w="1337"/>
      </w:tblGrid>
      <w:tr w:rsidRPr="001761B2" w:rsidR="00357FB4" w:rsidTr="00D812AB" w14:paraId="54D14C20" w14:textId="77777777">
        <w:tc>
          <w:tcPr>
            <w:tcW w:w="1958" w:type="dxa"/>
            <w:tcBorders>
              <w:bottom w:val="single" w:color="auto" w:sz="4" w:space="0"/>
            </w:tcBorders>
            <w:shd w:val="clear" w:color="auto" w:fill="D9D9D9" w:themeFill="background1" w:themeFillShade="D9"/>
          </w:tcPr>
          <w:p w:rsidRPr="001761B2" w:rsidR="00357FB4" w:rsidP="00D812AB" w:rsidRDefault="00357FB4" w14:paraId="0E949F6C" w14:textId="77777777">
            <w:pPr>
              <w:rPr>
                <w:b/>
                <w:bCs/>
              </w:rPr>
            </w:pPr>
            <w:r w:rsidRPr="001761B2">
              <w:rPr>
                <w:b/>
                <w:bCs/>
              </w:rPr>
              <w:t>Collection of Information</w:t>
            </w:r>
          </w:p>
        </w:tc>
        <w:tc>
          <w:tcPr>
            <w:tcW w:w="1410" w:type="dxa"/>
            <w:tcBorders>
              <w:bottom w:val="single" w:color="auto" w:sz="4" w:space="0"/>
            </w:tcBorders>
            <w:shd w:val="clear" w:color="auto" w:fill="D9D9D9" w:themeFill="background1" w:themeFillShade="D9"/>
          </w:tcPr>
          <w:p w:rsidRPr="001761B2" w:rsidR="00357FB4" w:rsidP="00D812AB" w:rsidRDefault="00357FB4" w14:paraId="76B4A5DB" w14:textId="77777777">
            <w:pPr>
              <w:rPr>
                <w:b/>
                <w:bCs/>
              </w:rPr>
            </w:pPr>
            <w:r w:rsidRPr="001761B2">
              <w:rPr>
                <w:b/>
                <w:bCs/>
              </w:rPr>
              <w:t>Number of Respon</w:t>
            </w:r>
            <w:r>
              <w:rPr>
                <w:b/>
                <w:bCs/>
              </w:rPr>
              <w:t>dents</w:t>
            </w:r>
          </w:p>
        </w:tc>
        <w:tc>
          <w:tcPr>
            <w:tcW w:w="1260" w:type="dxa"/>
            <w:tcBorders>
              <w:bottom w:val="single" w:color="auto" w:sz="4" w:space="0"/>
            </w:tcBorders>
            <w:shd w:val="clear" w:color="auto" w:fill="D9D9D9" w:themeFill="background1" w:themeFillShade="D9"/>
          </w:tcPr>
          <w:p w:rsidRPr="001761B2" w:rsidR="00357FB4" w:rsidP="00D812AB" w:rsidRDefault="00357FB4" w14:paraId="0B4BC889" w14:textId="77777777">
            <w:pPr>
              <w:rPr>
                <w:b/>
                <w:bCs/>
              </w:rPr>
            </w:pPr>
            <w:r w:rsidRPr="001761B2">
              <w:rPr>
                <w:b/>
                <w:bCs/>
              </w:rPr>
              <w:t>Frequency</w:t>
            </w:r>
          </w:p>
        </w:tc>
        <w:tc>
          <w:tcPr>
            <w:tcW w:w="1248" w:type="dxa"/>
            <w:tcBorders>
              <w:bottom w:val="single" w:color="auto" w:sz="4" w:space="0"/>
            </w:tcBorders>
            <w:shd w:val="clear" w:color="auto" w:fill="D9D9D9" w:themeFill="background1" w:themeFillShade="D9"/>
          </w:tcPr>
          <w:p w:rsidRPr="001761B2" w:rsidR="00357FB4" w:rsidP="00D812AB" w:rsidRDefault="00357FB4" w14:paraId="7558DA8D" w14:textId="77777777">
            <w:pPr>
              <w:rPr>
                <w:b/>
                <w:bCs/>
              </w:rPr>
            </w:pPr>
            <w:r w:rsidRPr="001761B2">
              <w:rPr>
                <w:b/>
                <w:bCs/>
                <w:lang w:val="x-none"/>
              </w:rPr>
              <w:t>Number of Respon</w:t>
            </w:r>
            <w:r w:rsidRPr="001761B2">
              <w:rPr>
                <w:b/>
                <w:bCs/>
              </w:rPr>
              <w:t>ses</w:t>
            </w:r>
          </w:p>
        </w:tc>
        <w:tc>
          <w:tcPr>
            <w:tcW w:w="1134" w:type="dxa"/>
            <w:tcBorders>
              <w:bottom w:val="single" w:color="auto" w:sz="4" w:space="0"/>
            </w:tcBorders>
            <w:shd w:val="clear" w:color="auto" w:fill="D9D9D9" w:themeFill="background1" w:themeFillShade="D9"/>
          </w:tcPr>
          <w:p w:rsidRPr="001761B2" w:rsidR="00357FB4" w:rsidP="00D812AB" w:rsidRDefault="00357FB4" w14:paraId="6CC5488F" w14:textId="77777777">
            <w:pPr>
              <w:rPr>
                <w:b/>
                <w:bCs/>
              </w:rPr>
            </w:pPr>
            <w:r w:rsidRPr="001761B2">
              <w:rPr>
                <w:b/>
                <w:bCs/>
              </w:rPr>
              <w:t>Response Time (Hours)</w:t>
            </w:r>
          </w:p>
        </w:tc>
        <w:tc>
          <w:tcPr>
            <w:tcW w:w="1337" w:type="dxa"/>
            <w:tcBorders>
              <w:bottom w:val="single" w:color="auto" w:sz="4" w:space="0"/>
            </w:tcBorders>
            <w:shd w:val="clear" w:color="auto" w:fill="D9D9D9" w:themeFill="background1" w:themeFillShade="D9"/>
          </w:tcPr>
          <w:p w:rsidRPr="001761B2" w:rsidR="00357FB4" w:rsidP="00D812AB" w:rsidRDefault="00357FB4" w14:paraId="677D812B" w14:textId="77777777">
            <w:pPr>
              <w:rPr>
                <w:b/>
                <w:bCs/>
              </w:rPr>
            </w:pPr>
            <w:r w:rsidRPr="001761B2">
              <w:rPr>
                <w:b/>
                <w:bCs/>
              </w:rPr>
              <w:t xml:space="preserve">Burden (Hours) </w:t>
            </w:r>
          </w:p>
        </w:tc>
      </w:tr>
      <w:tr w:rsidRPr="001761B2" w:rsidR="00357FB4" w:rsidTr="00D812AB" w14:paraId="2FE6110D" w14:textId="77777777">
        <w:tc>
          <w:tcPr>
            <w:tcW w:w="1958" w:type="dxa"/>
            <w:tcBorders>
              <w:bottom w:val="single" w:color="auto" w:sz="4" w:space="0"/>
            </w:tcBorders>
            <w:shd w:val="clear" w:color="auto" w:fill="auto"/>
            <w:vAlign w:val="center"/>
          </w:tcPr>
          <w:p w:rsidRPr="001761B2" w:rsidR="00357FB4" w:rsidP="00D812AB" w:rsidRDefault="00357FB4" w14:paraId="61E3537A" w14:textId="7503D59C">
            <w:r>
              <w:t>Publication of diversity policy and submission of Self-Assessment form</w:t>
            </w:r>
          </w:p>
        </w:tc>
        <w:tc>
          <w:tcPr>
            <w:tcW w:w="1410" w:type="dxa"/>
            <w:tcBorders>
              <w:bottom w:val="single" w:color="auto" w:sz="4" w:space="0"/>
            </w:tcBorders>
            <w:shd w:val="clear" w:color="auto" w:fill="auto"/>
            <w:vAlign w:val="center"/>
          </w:tcPr>
          <w:p w:rsidRPr="001761B2" w:rsidR="00357FB4" w:rsidP="00D812AB" w:rsidRDefault="00357FB4" w14:paraId="6906567F" w14:textId="7FEA827A">
            <w:pPr>
              <w:jc w:val="right"/>
            </w:pPr>
            <w:r>
              <w:t>750</w:t>
            </w:r>
          </w:p>
        </w:tc>
        <w:tc>
          <w:tcPr>
            <w:tcW w:w="1260" w:type="dxa"/>
            <w:tcBorders>
              <w:bottom w:val="single" w:color="auto" w:sz="4" w:space="0"/>
            </w:tcBorders>
            <w:shd w:val="clear" w:color="auto" w:fill="auto"/>
            <w:vAlign w:val="center"/>
          </w:tcPr>
          <w:p w:rsidRPr="001761B2" w:rsidR="00357FB4" w:rsidP="00D812AB" w:rsidRDefault="00357FB4" w14:paraId="3331248C" w14:textId="2A64B3B3">
            <w:pPr>
              <w:jc w:val="right"/>
            </w:pPr>
            <w:r>
              <w:t>1</w:t>
            </w:r>
          </w:p>
        </w:tc>
        <w:tc>
          <w:tcPr>
            <w:tcW w:w="1248" w:type="dxa"/>
            <w:tcBorders>
              <w:bottom w:val="single" w:color="auto" w:sz="4" w:space="0"/>
            </w:tcBorders>
            <w:shd w:val="clear" w:color="auto" w:fill="auto"/>
            <w:vAlign w:val="center"/>
          </w:tcPr>
          <w:p w:rsidRPr="00E27966" w:rsidR="00357FB4" w:rsidP="00D812AB" w:rsidRDefault="00357FB4" w14:paraId="7F53E39A" w14:textId="61FFA167">
            <w:pPr>
              <w:jc w:val="right"/>
            </w:pPr>
            <w:r>
              <w:t>750</w:t>
            </w:r>
          </w:p>
        </w:tc>
        <w:tc>
          <w:tcPr>
            <w:tcW w:w="1134" w:type="dxa"/>
            <w:tcBorders>
              <w:bottom w:val="single" w:color="auto" w:sz="4" w:space="0"/>
            </w:tcBorders>
            <w:shd w:val="clear" w:color="auto" w:fill="auto"/>
            <w:vAlign w:val="center"/>
          </w:tcPr>
          <w:p w:rsidRPr="001761B2" w:rsidR="00357FB4" w:rsidP="00D812AB" w:rsidRDefault="00357FB4" w14:paraId="504F757E" w14:textId="23DCF9E6">
            <w:pPr>
              <w:jc w:val="right"/>
            </w:pPr>
            <w:r>
              <w:t>12</w:t>
            </w:r>
          </w:p>
        </w:tc>
        <w:tc>
          <w:tcPr>
            <w:tcW w:w="1337" w:type="dxa"/>
            <w:tcBorders>
              <w:bottom w:val="single" w:color="auto" w:sz="4" w:space="0"/>
            </w:tcBorders>
            <w:shd w:val="clear" w:color="auto" w:fill="auto"/>
            <w:vAlign w:val="center"/>
          </w:tcPr>
          <w:p w:rsidRPr="001761B2" w:rsidR="00357FB4" w:rsidP="00D812AB" w:rsidRDefault="00357FB4" w14:paraId="135B4801" w14:textId="7E38E72A">
            <w:pPr>
              <w:jc w:val="right"/>
            </w:pPr>
            <w:r>
              <w:t>9,000</w:t>
            </w:r>
          </w:p>
        </w:tc>
      </w:tr>
      <w:tr w:rsidRPr="001761B2" w:rsidR="00357FB4" w:rsidTr="00D812AB" w14:paraId="1DA88D9A" w14:textId="77777777">
        <w:tc>
          <w:tcPr>
            <w:tcW w:w="1958" w:type="dxa"/>
            <w:vAlign w:val="center"/>
          </w:tcPr>
          <w:p w:rsidRPr="001761B2" w:rsidR="00357FB4" w:rsidP="00D812AB" w:rsidRDefault="003F2A19" w14:paraId="4506B17D" w14:textId="53D415AE">
            <w:pPr>
              <w:rPr>
                <w:bCs/>
              </w:rPr>
            </w:pPr>
            <w:r>
              <w:rPr>
                <w:bCs/>
              </w:rPr>
              <w:t>Contractor Self-Assessment</w:t>
            </w:r>
          </w:p>
        </w:tc>
        <w:tc>
          <w:tcPr>
            <w:tcW w:w="1410" w:type="dxa"/>
            <w:vAlign w:val="center"/>
          </w:tcPr>
          <w:p w:rsidRPr="001761B2" w:rsidR="00357FB4" w:rsidP="00D812AB" w:rsidRDefault="00357FB4" w14:paraId="2CD3D5F6" w14:textId="00EA4A08">
            <w:pPr>
              <w:jc w:val="right"/>
              <w:rPr>
                <w:bCs/>
              </w:rPr>
            </w:pPr>
            <w:r>
              <w:rPr>
                <w:bCs/>
              </w:rPr>
              <w:t>500</w:t>
            </w:r>
          </w:p>
        </w:tc>
        <w:tc>
          <w:tcPr>
            <w:tcW w:w="1260" w:type="dxa"/>
            <w:vAlign w:val="center"/>
          </w:tcPr>
          <w:p w:rsidRPr="001761B2" w:rsidR="00357FB4" w:rsidP="00D812AB" w:rsidRDefault="00357FB4" w14:paraId="55C41821" w14:textId="65B70B36">
            <w:pPr>
              <w:jc w:val="right"/>
              <w:rPr>
                <w:bCs/>
              </w:rPr>
            </w:pPr>
            <w:r>
              <w:rPr>
                <w:bCs/>
              </w:rPr>
              <w:t>1</w:t>
            </w:r>
          </w:p>
        </w:tc>
        <w:tc>
          <w:tcPr>
            <w:tcW w:w="1248" w:type="dxa"/>
            <w:vAlign w:val="center"/>
          </w:tcPr>
          <w:p w:rsidRPr="001761B2" w:rsidR="00357FB4" w:rsidP="00D812AB" w:rsidRDefault="00357FB4" w14:paraId="5EDE9B0E" w14:textId="1773A103">
            <w:pPr>
              <w:jc w:val="right"/>
              <w:rPr>
                <w:bCs/>
              </w:rPr>
            </w:pPr>
            <w:r>
              <w:rPr>
                <w:bCs/>
              </w:rPr>
              <w:t>500</w:t>
            </w:r>
          </w:p>
        </w:tc>
        <w:tc>
          <w:tcPr>
            <w:tcW w:w="1134" w:type="dxa"/>
            <w:vAlign w:val="center"/>
          </w:tcPr>
          <w:p w:rsidRPr="001761B2" w:rsidR="00357FB4" w:rsidP="00D812AB" w:rsidRDefault="00357FB4" w14:paraId="1CEF4599" w14:textId="624F0908">
            <w:pPr>
              <w:jc w:val="right"/>
              <w:rPr>
                <w:bCs/>
              </w:rPr>
            </w:pPr>
            <w:r>
              <w:rPr>
                <w:bCs/>
              </w:rPr>
              <w:t>0.75</w:t>
            </w:r>
          </w:p>
        </w:tc>
        <w:tc>
          <w:tcPr>
            <w:tcW w:w="1337" w:type="dxa"/>
            <w:vAlign w:val="center"/>
          </w:tcPr>
          <w:p w:rsidRPr="001761B2" w:rsidR="00357FB4" w:rsidP="00D812AB" w:rsidRDefault="00357FB4" w14:paraId="224DCC6F" w14:textId="39AE56F3">
            <w:pPr>
              <w:jc w:val="right"/>
              <w:rPr>
                <w:bCs/>
              </w:rPr>
            </w:pPr>
            <w:r>
              <w:rPr>
                <w:bCs/>
              </w:rPr>
              <w:t>375</w:t>
            </w:r>
          </w:p>
        </w:tc>
      </w:tr>
      <w:tr w:rsidRPr="001761B2" w:rsidR="00357FB4" w:rsidTr="00D812AB" w14:paraId="4AA6FD53" w14:textId="77777777">
        <w:tc>
          <w:tcPr>
            <w:tcW w:w="1958" w:type="dxa"/>
          </w:tcPr>
          <w:p w:rsidRPr="001761B2" w:rsidR="00357FB4" w:rsidP="00D812AB" w:rsidRDefault="00357FB4" w14:paraId="57649212" w14:textId="77777777">
            <w:pPr>
              <w:rPr>
                <w:b/>
              </w:rPr>
            </w:pPr>
            <w:r w:rsidRPr="001761B2">
              <w:rPr>
                <w:b/>
              </w:rPr>
              <w:t>TOTAL</w:t>
            </w:r>
          </w:p>
        </w:tc>
        <w:tc>
          <w:tcPr>
            <w:tcW w:w="1410" w:type="dxa"/>
          </w:tcPr>
          <w:p w:rsidRPr="001761B2" w:rsidR="00357FB4" w:rsidP="00D812AB" w:rsidRDefault="00357FB4" w14:paraId="484491F5" w14:textId="0ECE800F">
            <w:pPr>
              <w:jc w:val="right"/>
              <w:rPr>
                <w:bCs/>
              </w:rPr>
            </w:pPr>
            <w:r>
              <w:rPr>
                <w:bCs/>
              </w:rPr>
              <w:t>1,250</w:t>
            </w:r>
          </w:p>
        </w:tc>
        <w:tc>
          <w:tcPr>
            <w:tcW w:w="1260" w:type="dxa"/>
            <w:shd w:val="clear" w:color="auto" w:fill="D9D9D9" w:themeFill="background1" w:themeFillShade="D9"/>
          </w:tcPr>
          <w:p w:rsidRPr="001761B2" w:rsidR="00357FB4" w:rsidP="00D812AB" w:rsidRDefault="00357FB4" w14:paraId="09A0408B" w14:textId="77777777">
            <w:pPr>
              <w:jc w:val="right"/>
              <w:rPr>
                <w:bCs/>
              </w:rPr>
            </w:pPr>
          </w:p>
        </w:tc>
        <w:tc>
          <w:tcPr>
            <w:tcW w:w="1248" w:type="dxa"/>
          </w:tcPr>
          <w:p w:rsidRPr="001761B2" w:rsidR="00357FB4" w:rsidP="00D812AB" w:rsidRDefault="003F2A19" w14:paraId="63D8D47C" w14:textId="2870CB87">
            <w:pPr>
              <w:jc w:val="right"/>
              <w:rPr>
                <w:bCs/>
              </w:rPr>
            </w:pPr>
            <w:r>
              <w:rPr>
                <w:bCs/>
              </w:rPr>
              <w:t>1,250</w:t>
            </w:r>
          </w:p>
        </w:tc>
        <w:tc>
          <w:tcPr>
            <w:tcW w:w="1134" w:type="dxa"/>
            <w:shd w:val="clear" w:color="auto" w:fill="D9D9D9" w:themeFill="background1" w:themeFillShade="D9"/>
          </w:tcPr>
          <w:p w:rsidRPr="001761B2" w:rsidR="00357FB4" w:rsidP="00D812AB" w:rsidRDefault="00357FB4" w14:paraId="105C7789" w14:textId="77777777">
            <w:pPr>
              <w:jc w:val="right"/>
              <w:rPr>
                <w:bCs/>
              </w:rPr>
            </w:pPr>
          </w:p>
        </w:tc>
        <w:tc>
          <w:tcPr>
            <w:tcW w:w="1337" w:type="dxa"/>
          </w:tcPr>
          <w:p w:rsidRPr="001761B2" w:rsidR="00357FB4" w:rsidP="00D812AB" w:rsidRDefault="003F2A19" w14:paraId="4662781E" w14:textId="64963590">
            <w:pPr>
              <w:jc w:val="right"/>
              <w:rPr>
                <w:bCs/>
              </w:rPr>
            </w:pPr>
            <w:r>
              <w:rPr>
                <w:bCs/>
              </w:rPr>
              <w:t>9,375</w:t>
            </w:r>
          </w:p>
        </w:tc>
      </w:tr>
    </w:tbl>
    <w:p w:rsidRPr="008F2CF5" w:rsidR="00831164" w:rsidP="003F2A19" w:rsidRDefault="00831164" w14:paraId="5C733270" w14:textId="77777777">
      <w:pPr>
        <w:ind w:right="634"/>
        <w:rPr>
          <w:sz w:val="24"/>
          <w:szCs w:val="24"/>
        </w:rPr>
      </w:pPr>
    </w:p>
    <w:p w:rsidRPr="008F2CF5" w:rsidR="00831164" w:rsidP="00831164" w:rsidRDefault="00831164" w14:paraId="7E45912C" w14:textId="77777777">
      <w:pPr>
        <w:rPr>
          <w:sz w:val="24"/>
          <w:szCs w:val="24"/>
        </w:rPr>
      </w:pPr>
    </w:p>
    <w:p w:rsidRPr="008F2CF5" w:rsidR="00F660E8" w:rsidP="00831164" w:rsidRDefault="00F660E8" w14:paraId="446A24E3" w14:textId="788AC21B">
      <w:pPr>
        <w:rPr>
          <w:b/>
          <w:sz w:val="24"/>
          <w:szCs w:val="24"/>
        </w:rPr>
      </w:pPr>
      <w:r w:rsidRPr="008F2CF5">
        <w:rPr>
          <w:b/>
          <w:sz w:val="24"/>
          <w:szCs w:val="24"/>
        </w:rPr>
        <w:lastRenderedPageBreak/>
        <w:t>13.  Provide an estimate of the total annual cost burden to respondents or record</w:t>
      </w:r>
      <w:r w:rsidRPr="008F2CF5" w:rsidR="007E7E37">
        <w:rPr>
          <w:b/>
          <w:sz w:val="24"/>
          <w:szCs w:val="24"/>
        </w:rPr>
        <w:t xml:space="preserve"> </w:t>
      </w:r>
      <w:r w:rsidRPr="008F2CF5">
        <w:rPr>
          <w:b/>
          <w:sz w:val="24"/>
          <w:szCs w:val="24"/>
        </w:rPr>
        <w:t>keepers resulting from the collection of information.  (Do not include the cost of any hour burden shown in Items 12 and 14).</w:t>
      </w:r>
    </w:p>
    <w:p w:rsidRPr="008F2CF5" w:rsidR="005F1FFC" w:rsidP="005F1FFC" w:rsidRDefault="005F1FFC" w14:paraId="3715E245" w14:textId="454340E8">
      <w:pPr>
        <w:rPr>
          <w:b/>
          <w:sz w:val="24"/>
          <w:szCs w:val="24"/>
        </w:rPr>
      </w:pPr>
    </w:p>
    <w:p w:rsidR="00453F4A" w:rsidP="005F1FFC" w:rsidRDefault="00453F4A" w14:paraId="401DE04B" w14:textId="5EAE7C5B">
      <w:pPr>
        <w:rPr>
          <w:snapToGrid w:val="0"/>
          <w:sz w:val="24"/>
          <w:szCs w:val="24"/>
        </w:rPr>
      </w:pPr>
      <w:r w:rsidRPr="008F2CF5">
        <w:rPr>
          <w:snapToGrid w:val="0"/>
          <w:sz w:val="24"/>
          <w:szCs w:val="24"/>
        </w:rPr>
        <w:t xml:space="preserve">There are no additional materials costs for this </w:t>
      </w:r>
      <w:r w:rsidR="00C71A4C">
        <w:rPr>
          <w:snapToGrid w:val="0"/>
          <w:sz w:val="24"/>
          <w:szCs w:val="24"/>
        </w:rPr>
        <w:t>information collection</w:t>
      </w:r>
      <w:r w:rsidRPr="008F2CF5">
        <w:rPr>
          <w:snapToGrid w:val="0"/>
          <w:sz w:val="24"/>
          <w:szCs w:val="24"/>
        </w:rPr>
        <w:t>.</w:t>
      </w:r>
    </w:p>
    <w:p w:rsidRPr="008F2CF5" w:rsidR="00A93967" w:rsidP="005F1FFC" w:rsidRDefault="00A93967" w14:paraId="7426A13C" w14:textId="77777777">
      <w:pPr>
        <w:ind w:left="720"/>
        <w:rPr>
          <w:sz w:val="24"/>
          <w:szCs w:val="24"/>
        </w:rPr>
      </w:pPr>
    </w:p>
    <w:p w:rsidRPr="008F2CF5"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8F2CF5">
        <w:rPr>
          <w:b/>
          <w:sz w:val="24"/>
          <w:szCs w:val="24"/>
        </w:rPr>
        <w:t xml:space="preserve">14.  </w:t>
      </w:r>
      <w:r w:rsidRPr="008F2CF5">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F2CF5">
        <w:rPr>
          <w:sz w:val="24"/>
          <w:szCs w:val="24"/>
        </w:rPr>
        <w:t xml:space="preserve"> </w:t>
      </w:r>
      <w:r w:rsidRPr="008F2CF5">
        <w:rPr>
          <w:b/>
          <w:bCs/>
          <w:sz w:val="24"/>
          <w:szCs w:val="24"/>
        </w:rPr>
        <w:t>without this collection of information.  Agencies also may aggregate cost estimates from Items 12, 13, and 14 into a single table.</w:t>
      </w:r>
    </w:p>
    <w:p w:rsidRPr="008F2CF5" w:rsidR="005F1FFC" w:rsidP="005F1FFC" w:rsidRDefault="005F1FFC" w14:paraId="0A689257" w14:textId="77777777">
      <w:pPr>
        <w:ind w:left="720"/>
        <w:rPr>
          <w:sz w:val="24"/>
          <w:szCs w:val="24"/>
        </w:rPr>
      </w:pPr>
    </w:p>
    <w:p w:rsidRPr="008F2CF5" w:rsidR="00A93967" w:rsidP="00453F4A" w:rsidRDefault="00C71A4C" w14:paraId="28539FB8" w14:textId="2BA26D2D">
      <w:pPr>
        <w:rPr>
          <w:sz w:val="24"/>
          <w:szCs w:val="24"/>
        </w:rPr>
      </w:pPr>
      <w:r>
        <w:rPr>
          <w:sz w:val="24"/>
          <w:szCs w:val="24"/>
        </w:rPr>
        <w:t>T</w:t>
      </w:r>
      <w:r w:rsidRPr="008F2CF5" w:rsidR="00453F4A">
        <w:rPr>
          <w:sz w:val="24"/>
          <w:szCs w:val="24"/>
        </w:rPr>
        <w:t>here are no additional costs to the Federal Government.</w:t>
      </w:r>
    </w:p>
    <w:p w:rsidRPr="008F2CF5" w:rsidR="002F2067" w:rsidP="00453F4A" w:rsidRDefault="002F2067" w14:paraId="5936210C" w14:textId="77777777">
      <w:pPr>
        <w:rPr>
          <w:sz w:val="24"/>
          <w:szCs w:val="24"/>
        </w:rPr>
      </w:pPr>
    </w:p>
    <w:p w:rsidRPr="008F2CF5" w:rsidR="00F660E8" w:rsidP="00F660E8" w:rsidRDefault="00F660E8" w14:paraId="2B232019" w14:textId="77777777">
      <w:pPr>
        <w:rPr>
          <w:b/>
          <w:sz w:val="24"/>
          <w:szCs w:val="24"/>
        </w:rPr>
      </w:pPr>
      <w:r w:rsidRPr="008F2CF5">
        <w:rPr>
          <w:b/>
          <w:sz w:val="24"/>
          <w:szCs w:val="24"/>
        </w:rPr>
        <w:t xml:space="preserve">15.  </w:t>
      </w:r>
      <w:r w:rsidRPr="008F2CF5">
        <w:rPr>
          <w:b/>
          <w:bCs/>
          <w:sz w:val="24"/>
          <w:szCs w:val="24"/>
        </w:rPr>
        <w:t>Explain the reasons for any program changes or adjustments.</w:t>
      </w:r>
    </w:p>
    <w:p w:rsidRPr="008F2CF5" w:rsidR="00453F4A" w:rsidP="00453F4A" w:rsidRDefault="00453F4A" w14:paraId="31E676BD" w14:textId="77777777">
      <w:pPr>
        <w:rPr>
          <w:b/>
          <w:sz w:val="24"/>
          <w:szCs w:val="24"/>
        </w:rPr>
      </w:pPr>
    </w:p>
    <w:p w:rsidRPr="00DC0304" w:rsidR="00065C8D" w:rsidP="00453F4A" w:rsidRDefault="009408B0" w14:paraId="62E56329" w14:textId="63B80E9D">
      <w:pPr>
        <w:rPr>
          <w:bCs/>
          <w:sz w:val="24"/>
          <w:szCs w:val="24"/>
        </w:rPr>
      </w:pPr>
      <w:r>
        <w:rPr>
          <w:bCs/>
          <w:sz w:val="24"/>
          <w:szCs w:val="24"/>
        </w:rPr>
        <w:t>A</w:t>
      </w:r>
      <w:r w:rsidR="00E60742">
        <w:rPr>
          <w:bCs/>
          <w:sz w:val="24"/>
          <w:szCs w:val="24"/>
        </w:rPr>
        <w:t xml:space="preserve">dditional </w:t>
      </w:r>
      <w:r w:rsidR="00564F8F">
        <w:rPr>
          <w:bCs/>
          <w:sz w:val="24"/>
          <w:szCs w:val="24"/>
        </w:rPr>
        <w:t>q</w:t>
      </w:r>
      <w:r w:rsidR="00E60742">
        <w:rPr>
          <w:bCs/>
          <w:sz w:val="24"/>
          <w:szCs w:val="24"/>
        </w:rPr>
        <w:t xml:space="preserve">uestions have been added to address the self-assessment </w:t>
      </w:r>
      <w:r w:rsidR="00D1651F">
        <w:rPr>
          <w:bCs/>
          <w:sz w:val="24"/>
          <w:szCs w:val="24"/>
        </w:rPr>
        <w:t>for</w:t>
      </w:r>
      <w:r w:rsidR="00E60742">
        <w:rPr>
          <w:bCs/>
          <w:sz w:val="24"/>
          <w:szCs w:val="24"/>
        </w:rPr>
        <w:t xml:space="preserve"> CFPB </w:t>
      </w:r>
      <w:r w:rsidR="0030596A">
        <w:rPr>
          <w:bCs/>
          <w:sz w:val="24"/>
          <w:szCs w:val="24"/>
        </w:rPr>
        <w:t>c</w:t>
      </w:r>
      <w:r w:rsidR="00E60742">
        <w:rPr>
          <w:bCs/>
          <w:sz w:val="24"/>
          <w:szCs w:val="24"/>
        </w:rPr>
        <w:t xml:space="preserve">ontractors.  </w:t>
      </w:r>
      <w:r w:rsidR="00D1651F">
        <w:rPr>
          <w:bCs/>
          <w:sz w:val="24"/>
          <w:szCs w:val="24"/>
        </w:rPr>
        <w:t>T</w:t>
      </w:r>
      <w:r w:rsidR="00AB7C75">
        <w:rPr>
          <w:bCs/>
          <w:sz w:val="24"/>
          <w:szCs w:val="24"/>
        </w:rPr>
        <w:t xml:space="preserve">o ensure the </w:t>
      </w:r>
      <w:r w:rsidRPr="00E60742" w:rsidR="00E60742">
        <w:rPr>
          <w:bCs/>
          <w:sz w:val="24"/>
          <w:szCs w:val="24"/>
        </w:rPr>
        <w:t>fair inclusion of minorities</w:t>
      </w:r>
      <w:r w:rsidR="00AB7C75">
        <w:rPr>
          <w:bCs/>
          <w:sz w:val="24"/>
          <w:szCs w:val="24"/>
        </w:rPr>
        <w:t xml:space="preserve"> and</w:t>
      </w:r>
      <w:r w:rsidRPr="00E60742" w:rsidR="00E60742">
        <w:rPr>
          <w:bCs/>
          <w:sz w:val="24"/>
          <w:szCs w:val="24"/>
        </w:rPr>
        <w:t xml:space="preserve"> women in the workforce of </w:t>
      </w:r>
      <w:r w:rsidR="00E60742">
        <w:rPr>
          <w:bCs/>
          <w:sz w:val="24"/>
          <w:szCs w:val="24"/>
        </w:rPr>
        <w:t>CFPB</w:t>
      </w:r>
      <w:r w:rsidRPr="00E60742" w:rsidR="00E60742">
        <w:rPr>
          <w:bCs/>
          <w:sz w:val="24"/>
          <w:szCs w:val="24"/>
        </w:rPr>
        <w:t xml:space="preserve"> </w:t>
      </w:r>
      <w:r w:rsidR="0030596A">
        <w:rPr>
          <w:bCs/>
          <w:sz w:val="24"/>
          <w:szCs w:val="24"/>
        </w:rPr>
        <w:t>c</w:t>
      </w:r>
      <w:r w:rsidRPr="00E60742" w:rsidR="00E60742">
        <w:rPr>
          <w:bCs/>
          <w:sz w:val="24"/>
          <w:szCs w:val="24"/>
        </w:rPr>
        <w:t>ontractors</w:t>
      </w:r>
      <w:r w:rsidR="00AB7C75">
        <w:rPr>
          <w:bCs/>
          <w:sz w:val="24"/>
          <w:szCs w:val="24"/>
        </w:rPr>
        <w:t xml:space="preserve"> (</w:t>
      </w:r>
      <w:r w:rsidRPr="00E60742" w:rsidR="00E60742">
        <w:rPr>
          <w:bCs/>
          <w:sz w:val="24"/>
          <w:szCs w:val="24"/>
        </w:rPr>
        <w:t>and, as applicable, subcontractors</w:t>
      </w:r>
      <w:r w:rsidR="00C96548">
        <w:rPr>
          <w:bCs/>
          <w:sz w:val="24"/>
          <w:szCs w:val="24"/>
        </w:rPr>
        <w:t>),</w:t>
      </w:r>
      <w:r w:rsidRPr="00E60742" w:rsidR="00E60742">
        <w:rPr>
          <w:bCs/>
          <w:sz w:val="24"/>
          <w:szCs w:val="24"/>
        </w:rPr>
        <w:t xml:space="preserve"> </w:t>
      </w:r>
      <w:r w:rsidR="00E60742">
        <w:rPr>
          <w:bCs/>
          <w:sz w:val="24"/>
          <w:szCs w:val="24"/>
        </w:rPr>
        <w:t xml:space="preserve">the </w:t>
      </w:r>
      <w:r w:rsidR="007A7264">
        <w:rPr>
          <w:bCs/>
          <w:sz w:val="24"/>
          <w:szCs w:val="24"/>
        </w:rPr>
        <w:t>GFE</w:t>
      </w:r>
      <w:r w:rsidR="00C96548">
        <w:rPr>
          <w:bCs/>
          <w:sz w:val="24"/>
          <w:szCs w:val="24"/>
        </w:rPr>
        <w:t xml:space="preserve"> and </w:t>
      </w:r>
      <w:r w:rsidR="007A7264">
        <w:rPr>
          <w:bCs/>
          <w:sz w:val="24"/>
          <w:szCs w:val="24"/>
        </w:rPr>
        <w:t>c</w:t>
      </w:r>
      <w:r w:rsidR="00820EEB">
        <w:rPr>
          <w:bCs/>
          <w:sz w:val="24"/>
          <w:szCs w:val="24"/>
        </w:rPr>
        <w:t xml:space="preserve">ontractor </w:t>
      </w:r>
      <w:r w:rsidR="007A7264">
        <w:rPr>
          <w:bCs/>
          <w:sz w:val="24"/>
          <w:szCs w:val="24"/>
        </w:rPr>
        <w:t>s</w:t>
      </w:r>
      <w:r w:rsidR="00820EEB">
        <w:rPr>
          <w:bCs/>
          <w:sz w:val="24"/>
          <w:szCs w:val="24"/>
        </w:rPr>
        <w:t>elf-</w:t>
      </w:r>
      <w:r w:rsidR="007A7264">
        <w:rPr>
          <w:bCs/>
          <w:sz w:val="24"/>
          <w:szCs w:val="24"/>
        </w:rPr>
        <w:t>a</w:t>
      </w:r>
      <w:r w:rsidR="00820EEB">
        <w:rPr>
          <w:bCs/>
          <w:sz w:val="24"/>
          <w:szCs w:val="24"/>
        </w:rPr>
        <w:t>ssessment requirement</w:t>
      </w:r>
      <w:r w:rsidR="00D35AC9">
        <w:rPr>
          <w:bCs/>
          <w:sz w:val="24"/>
          <w:szCs w:val="24"/>
        </w:rPr>
        <w:t>s are</w:t>
      </w:r>
      <w:r w:rsidRPr="00E60742" w:rsidR="00E60742">
        <w:rPr>
          <w:bCs/>
          <w:sz w:val="24"/>
          <w:szCs w:val="24"/>
        </w:rPr>
        <w:t xml:space="preserve"> included in the </w:t>
      </w:r>
      <w:r w:rsidRPr="00DC0304" w:rsidR="00E60742">
        <w:rPr>
          <w:bCs/>
          <w:sz w:val="24"/>
          <w:szCs w:val="24"/>
        </w:rPr>
        <w:t>solicitation package</w:t>
      </w:r>
      <w:r w:rsidRPr="00DC0304" w:rsidR="00820EEB">
        <w:rPr>
          <w:bCs/>
          <w:sz w:val="24"/>
          <w:szCs w:val="24"/>
        </w:rPr>
        <w:t xml:space="preserve"> and </w:t>
      </w:r>
      <w:r w:rsidRPr="00DC0304" w:rsidR="008B6DD2">
        <w:rPr>
          <w:bCs/>
          <w:sz w:val="24"/>
          <w:szCs w:val="24"/>
        </w:rPr>
        <w:t xml:space="preserve">contract </w:t>
      </w:r>
      <w:r w:rsidRPr="00DC0304" w:rsidR="00E60742">
        <w:rPr>
          <w:bCs/>
          <w:sz w:val="24"/>
          <w:szCs w:val="24"/>
        </w:rPr>
        <w:t>clause</w:t>
      </w:r>
      <w:r w:rsidRPr="00DC0304" w:rsidR="00820EEB">
        <w:rPr>
          <w:bCs/>
          <w:sz w:val="24"/>
          <w:szCs w:val="24"/>
        </w:rPr>
        <w:t xml:space="preserve"> </w:t>
      </w:r>
      <w:r w:rsidRPr="00DC0304" w:rsidR="00E60742">
        <w:rPr>
          <w:bCs/>
          <w:sz w:val="24"/>
          <w:szCs w:val="24"/>
        </w:rPr>
        <w:t xml:space="preserve">as part of the </w:t>
      </w:r>
      <w:r w:rsidRPr="00DC0304" w:rsidR="007A7264">
        <w:rPr>
          <w:bCs/>
          <w:sz w:val="24"/>
          <w:szCs w:val="24"/>
        </w:rPr>
        <w:t>c</w:t>
      </w:r>
      <w:r w:rsidRPr="00DC0304" w:rsidR="00E60742">
        <w:rPr>
          <w:bCs/>
          <w:sz w:val="24"/>
          <w:szCs w:val="24"/>
        </w:rPr>
        <w:t xml:space="preserve">ontractor’s </w:t>
      </w:r>
      <w:r w:rsidRPr="00DC0304" w:rsidR="00820EEB">
        <w:rPr>
          <w:bCs/>
          <w:sz w:val="24"/>
          <w:szCs w:val="24"/>
        </w:rPr>
        <w:t xml:space="preserve">no-cost deliverable.  </w:t>
      </w:r>
    </w:p>
    <w:p w:rsidRPr="00DC0304" w:rsidR="00951F27" w:rsidP="00453F4A" w:rsidRDefault="00951F27" w14:paraId="7C47953F" w14:textId="6135880C">
      <w:pPr>
        <w:rPr>
          <w:bCs/>
          <w:sz w:val="24"/>
          <w:szCs w:val="24"/>
        </w:rPr>
      </w:pPr>
    </w:p>
    <w:p w:rsidR="00951F27" w:rsidP="00951F27" w:rsidRDefault="000743D8" w14:paraId="447C1DC8" w14:textId="6493153D">
      <w:pPr>
        <w:rPr>
          <w:bCs/>
          <w:sz w:val="24"/>
          <w:szCs w:val="24"/>
        </w:rPr>
      </w:pPr>
      <w:r>
        <w:rPr>
          <w:bCs/>
          <w:sz w:val="24"/>
          <w:szCs w:val="24"/>
        </w:rPr>
        <w:t>Additionally</w:t>
      </w:r>
      <w:r w:rsidRPr="00DC0304" w:rsidR="00DC0304">
        <w:rPr>
          <w:bCs/>
          <w:sz w:val="24"/>
          <w:szCs w:val="24"/>
        </w:rPr>
        <w:t xml:space="preserve">, </w:t>
      </w:r>
      <w:r w:rsidRPr="00DC0304" w:rsidR="0082015F">
        <w:rPr>
          <w:bCs/>
          <w:sz w:val="24"/>
          <w:szCs w:val="24"/>
        </w:rPr>
        <w:t>OMWI</w:t>
      </w:r>
      <w:r w:rsidRPr="00DC0304" w:rsidR="00227AD1">
        <w:rPr>
          <w:bCs/>
          <w:sz w:val="24"/>
          <w:szCs w:val="24"/>
        </w:rPr>
        <w:t xml:space="preserve"> </w:t>
      </w:r>
      <w:r>
        <w:rPr>
          <w:bCs/>
          <w:sz w:val="24"/>
          <w:szCs w:val="24"/>
        </w:rPr>
        <w:t>changed a field name</w:t>
      </w:r>
      <w:r w:rsidRPr="00DC0304" w:rsidR="00227AD1">
        <w:rPr>
          <w:bCs/>
          <w:sz w:val="24"/>
          <w:szCs w:val="24"/>
        </w:rPr>
        <w:t xml:space="preserve"> from </w:t>
      </w:r>
      <w:r>
        <w:rPr>
          <w:bCs/>
          <w:sz w:val="24"/>
          <w:szCs w:val="24"/>
        </w:rPr>
        <w:t>“</w:t>
      </w:r>
      <w:r w:rsidRPr="00DC0304" w:rsidR="00227AD1">
        <w:rPr>
          <w:bCs/>
          <w:sz w:val="24"/>
          <w:szCs w:val="24"/>
        </w:rPr>
        <w:t>Vendor DUNS</w:t>
      </w:r>
      <w:r>
        <w:rPr>
          <w:bCs/>
          <w:sz w:val="24"/>
          <w:szCs w:val="24"/>
        </w:rPr>
        <w:t>”</w:t>
      </w:r>
      <w:r w:rsidRPr="00DC0304" w:rsidR="00227AD1">
        <w:rPr>
          <w:bCs/>
          <w:sz w:val="24"/>
          <w:szCs w:val="24"/>
        </w:rPr>
        <w:t xml:space="preserve"> to </w:t>
      </w:r>
      <w:r>
        <w:rPr>
          <w:bCs/>
          <w:sz w:val="24"/>
          <w:szCs w:val="24"/>
        </w:rPr>
        <w:t>“</w:t>
      </w:r>
      <w:r w:rsidRPr="00DC0304" w:rsidR="00227AD1">
        <w:rPr>
          <w:bCs/>
          <w:sz w:val="24"/>
          <w:szCs w:val="24"/>
        </w:rPr>
        <w:t>Vendor</w:t>
      </w:r>
      <w:r w:rsidRPr="00DC0304" w:rsidR="0082015F">
        <w:rPr>
          <w:bCs/>
          <w:sz w:val="24"/>
          <w:szCs w:val="24"/>
        </w:rPr>
        <w:t xml:space="preserve"> </w:t>
      </w:r>
      <w:r w:rsidRPr="00DC0304" w:rsidR="00227AD1">
        <w:rPr>
          <w:bCs/>
          <w:sz w:val="24"/>
          <w:szCs w:val="24"/>
        </w:rPr>
        <w:t>ID</w:t>
      </w:r>
      <w:r>
        <w:rPr>
          <w:bCs/>
          <w:sz w:val="24"/>
          <w:szCs w:val="24"/>
        </w:rPr>
        <w:t>”</w:t>
      </w:r>
      <w:r w:rsidRPr="00DC0304" w:rsidR="00227AD1">
        <w:rPr>
          <w:bCs/>
          <w:sz w:val="24"/>
          <w:szCs w:val="24"/>
        </w:rPr>
        <w:t>.</w:t>
      </w:r>
      <w:r w:rsidRPr="00DC0304" w:rsidR="0082015F">
        <w:rPr>
          <w:bCs/>
          <w:sz w:val="24"/>
          <w:szCs w:val="24"/>
        </w:rPr>
        <w:t xml:space="preserve">  This action is necessary to </w:t>
      </w:r>
      <w:r w:rsidRPr="00DC0304" w:rsidR="00347D13">
        <w:rPr>
          <w:bCs/>
          <w:sz w:val="24"/>
          <w:szCs w:val="24"/>
        </w:rPr>
        <w:t xml:space="preserve">comply with </w:t>
      </w:r>
      <w:r w:rsidRPr="00DC0304" w:rsidR="00951F27">
        <w:rPr>
          <w:bCs/>
          <w:sz w:val="24"/>
          <w:szCs w:val="24"/>
        </w:rPr>
        <w:t xml:space="preserve">the </w:t>
      </w:r>
      <w:r w:rsidRPr="00DC0304" w:rsidR="00227AD1">
        <w:rPr>
          <w:bCs/>
          <w:sz w:val="24"/>
          <w:szCs w:val="24"/>
        </w:rPr>
        <w:t>federal adoption</w:t>
      </w:r>
      <w:r w:rsidRPr="00DC0304" w:rsidR="00951F27">
        <w:rPr>
          <w:bCs/>
          <w:sz w:val="24"/>
          <w:szCs w:val="24"/>
        </w:rPr>
        <w:t xml:space="preserve"> </w:t>
      </w:r>
      <w:r w:rsidRPr="00DC0304" w:rsidR="00227AD1">
        <w:rPr>
          <w:bCs/>
          <w:sz w:val="24"/>
          <w:szCs w:val="24"/>
        </w:rPr>
        <w:t xml:space="preserve">of </w:t>
      </w:r>
      <w:r w:rsidRPr="00DC0304" w:rsidR="00964C74">
        <w:rPr>
          <w:bCs/>
          <w:sz w:val="24"/>
          <w:szCs w:val="24"/>
        </w:rPr>
        <w:t xml:space="preserve">the </w:t>
      </w:r>
      <w:r w:rsidRPr="00DC0304" w:rsidR="0082015F">
        <w:rPr>
          <w:bCs/>
          <w:sz w:val="24"/>
          <w:szCs w:val="24"/>
        </w:rPr>
        <w:t>unique entity identifier (UEI) numbering system</w:t>
      </w:r>
      <w:r w:rsidRPr="00DC0304" w:rsidR="00800EE6">
        <w:rPr>
          <w:bCs/>
          <w:sz w:val="24"/>
          <w:szCs w:val="24"/>
        </w:rPr>
        <w:t xml:space="preserve"> which replaces the DUNS system for use in Federal Procurement</w:t>
      </w:r>
      <w:r w:rsidR="008B677D">
        <w:rPr>
          <w:bCs/>
          <w:sz w:val="24"/>
          <w:szCs w:val="24"/>
        </w:rPr>
        <w:t>.</w:t>
      </w:r>
    </w:p>
    <w:p w:rsidR="00357FB4" w:rsidP="00951F27" w:rsidRDefault="00357FB4" w14:paraId="4FD8008F" w14:textId="2C9A5BB8">
      <w:pPr>
        <w:rPr>
          <w:bCs/>
          <w:sz w:val="24"/>
          <w:szCs w:val="24"/>
        </w:rPr>
      </w:pPr>
    </w:p>
    <w:tbl>
      <w:tblPr>
        <w:tblStyle w:val="TableGrid"/>
        <w:tblW w:w="0" w:type="auto"/>
        <w:tblLook w:val="04A0" w:firstRow="1" w:lastRow="0" w:firstColumn="1" w:lastColumn="0" w:noHBand="0" w:noVBand="1"/>
      </w:tblPr>
      <w:tblGrid>
        <w:gridCol w:w="1266"/>
        <w:gridCol w:w="1474"/>
        <w:gridCol w:w="1407"/>
        <w:gridCol w:w="1471"/>
        <w:gridCol w:w="1530"/>
        <w:gridCol w:w="1482"/>
      </w:tblGrid>
      <w:tr w:rsidRPr="00524EE0" w:rsidR="00357FB4" w:rsidTr="00D812AB" w14:paraId="4E0FC87B" w14:textId="77777777">
        <w:tc>
          <w:tcPr>
            <w:tcW w:w="9350" w:type="dxa"/>
            <w:gridSpan w:val="6"/>
            <w:shd w:val="clear" w:color="auto" w:fill="D9D9D9" w:themeFill="background1" w:themeFillShade="D9"/>
          </w:tcPr>
          <w:p w:rsidRPr="00524EE0" w:rsidR="00357FB4" w:rsidP="00D812AB" w:rsidRDefault="00357FB4" w14:paraId="58D71364" w14:textId="77777777">
            <w:pPr>
              <w:numPr>
                <w:ilvl w:val="12"/>
                <w:numId w:val="0"/>
              </w:numPr>
              <w:jc w:val="center"/>
              <w:rPr>
                <w:b/>
                <w:bCs/>
              </w:rPr>
            </w:pPr>
            <w:r w:rsidRPr="00524EE0">
              <w:rPr>
                <w:b/>
                <w:bCs/>
              </w:rPr>
              <w:t>ICR Summary of Burden</w:t>
            </w:r>
          </w:p>
        </w:tc>
      </w:tr>
      <w:tr w:rsidRPr="00524EE0" w:rsidR="00357FB4" w:rsidTr="00D812AB" w14:paraId="5B59F652" w14:textId="77777777">
        <w:tc>
          <w:tcPr>
            <w:tcW w:w="1337" w:type="dxa"/>
            <w:shd w:val="clear" w:color="auto" w:fill="D9D9D9" w:themeFill="background1" w:themeFillShade="D9"/>
            <w:vAlign w:val="center"/>
          </w:tcPr>
          <w:p w:rsidRPr="00524EE0" w:rsidR="00357FB4" w:rsidP="00D812AB" w:rsidRDefault="00357FB4" w14:paraId="4E8AF8C4" w14:textId="77777777">
            <w:pPr>
              <w:numPr>
                <w:ilvl w:val="12"/>
                <w:numId w:val="0"/>
              </w:numPr>
              <w:rPr>
                <w:b/>
                <w:bCs/>
              </w:rPr>
            </w:pPr>
          </w:p>
        </w:tc>
        <w:tc>
          <w:tcPr>
            <w:tcW w:w="1604" w:type="dxa"/>
            <w:shd w:val="clear" w:color="auto" w:fill="D9D9D9" w:themeFill="background1" w:themeFillShade="D9"/>
            <w:vAlign w:val="center"/>
          </w:tcPr>
          <w:p w:rsidRPr="00524EE0" w:rsidR="00357FB4" w:rsidP="00D812AB" w:rsidRDefault="00357FB4" w14:paraId="44764820" w14:textId="77777777">
            <w:pPr>
              <w:numPr>
                <w:ilvl w:val="12"/>
                <w:numId w:val="0"/>
              </w:numPr>
              <w:rPr>
                <w:b/>
                <w:bCs/>
              </w:rPr>
            </w:pPr>
            <w:r w:rsidRPr="00524EE0">
              <w:rPr>
                <w:b/>
                <w:bCs/>
              </w:rPr>
              <w:t>Requested</w:t>
            </w:r>
          </w:p>
        </w:tc>
        <w:tc>
          <w:tcPr>
            <w:tcW w:w="1557" w:type="dxa"/>
            <w:shd w:val="clear" w:color="auto" w:fill="D9D9D9" w:themeFill="background1" w:themeFillShade="D9"/>
            <w:vAlign w:val="center"/>
          </w:tcPr>
          <w:p w:rsidRPr="00524EE0" w:rsidR="00357FB4" w:rsidP="00D812AB" w:rsidRDefault="00357FB4" w14:paraId="08B9D410" w14:textId="77777777">
            <w:pPr>
              <w:numPr>
                <w:ilvl w:val="12"/>
                <w:numId w:val="0"/>
              </w:numPr>
              <w:rPr>
                <w:b/>
                <w:bCs/>
              </w:rPr>
            </w:pPr>
            <w:r w:rsidRPr="00524EE0">
              <w:rPr>
                <w:b/>
                <w:bCs/>
              </w:rPr>
              <w:t>Program Change Due to New Statute</w:t>
            </w:r>
          </w:p>
        </w:tc>
        <w:tc>
          <w:tcPr>
            <w:tcW w:w="1604" w:type="dxa"/>
            <w:shd w:val="clear" w:color="auto" w:fill="D9D9D9" w:themeFill="background1" w:themeFillShade="D9"/>
            <w:vAlign w:val="center"/>
          </w:tcPr>
          <w:p w:rsidRPr="00524EE0" w:rsidR="00357FB4" w:rsidP="00D812AB" w:rsidRDefault="00357FB4" w14:paraId="5C091485" w14:textId="77777777">
            <w:pPr>
              <w:numPr>
                <w:ilvl w:val="12"/>
                <w:numId w:val="0"/>
              </w:numPr>
              <w:rPr>
                <w:b/>
                <w:bCs/>
              </w:rPr>
            </w:pPr>
            <w:r w:rsidRPr="00524EE0">
              <w:rPr>
                <w:b/>
                <w:bCs/>
              </w:rPr>
              <w:t>Program Change Due to Agency Discretion</w:t>
            </w:r>
          </w:p>
        </w:tc>
        <w:tc>
          <w:tcPr>
            <w:tcW w:w="1637" w:type="dxa"/>
            <w:shd w:val="clear" w:color="auto" w:fill="D9D9D9" w:themeFill="background1" w:themeFillShade="D9"/>
            <w:vAlign w:val="center"/>
          </w:tcPr>
          <w:p w:rsidRPr="00524EE0" w:rsidR="00357FB4" w:rsidP="00D812AB" w:rsidRDefault="00357FB4" w14:paraId="636520AF" w14:textId="77777777">
            <w:pPr>
              <w:numPr>
                <w:ilvl w:val="12"/>
                <w:numId w:val="0"/>
              </w:numPr>
              <w:rPr>
                <w:b/>
                <w:bCs/>
              </w:rPr>
            </w:pPr>
            <w:r w:rsidRPr="00524EE0">
              <w:rPr>
                <w:b/>
                <w:bCs/>
              </w:rPr>
              <w:t>Change Due to Adjustment in Agency Estimate</w:t>
            </w:r>
          </w:p>
        </w:tc>
        <w:tc>
          <w:tcPr>
            <w:tcW w:w="1611" w:type="dxa"/>
            <w:shd w:val="clear" w:color="auto" w:fill="D9D9D9" w:themeFill="background1" w:themeFillShade="D9"/>
            <w:vAlign w:val="center"/>
          </w:tcPr>
          <w:p w:rsidRPr="00524EE0" w:rsidR="00357FB4" w:rsidP="00D812AB" w:rsidRDefault="00357FB4" w14:paraId="39A3C8C5" w14:textId="77777777">
            <w:pPr>
              <w:numPr>
                <w:ilvl w:val="12"/>
                <w:numId w:val="0"/>
              </w:numPr>
              <w:rPr>
                <w:b/>
                <w:bCs/>
              </w:rPr>
            </w:pPr>
            <w:r w:rsidRPr="00524EE0">
              <w:rPr>
                <w:b/>
                <w:bCs/>
              </w:rPr>
              <w:t>Previously Approved</w:t>
            </w:r>
          </w:p>
        </w:tc>
      </w:tr>
      <w:tr w:rsidRPr="00524EE0" w:rsidR="00357FB4" w:rsidTr="00D812AB" w14:paraId="10EC485E" w14:textId="77777777">
        <w:tc>
          <w:tcPr>
            <w:tcW w:w="1337" w:type="dxa"/>
          </w:tcPr>
          <w:p w:rsidRPr="00524EE0" w:rsidR="00357FB4" w:rsidP="00D812AB" w:rsidRDefault="00357FB4" w14:paraId="254B8FF1" w14:textId="77777777">
            <w:pPr>
              <w:numPr>
                <w:ilvl w:val="12"/>
                <w:numId w:val="0"/>
              </w:numPr>
            </w:pPr>
            <w:r w:rsidRPr="00524EE0">
              <w:t>Annual Number of Responses</w:t>
            </w:r>
          </w:p>
        </w:tc>
        <w:tc>
          <w:tcPr>
            <w:tcW w:w="1604" w:type="dxa"/>
          </w:tcPr>
          <w:p w:rsidRPr="00524EE0" w:rsidR="00357FB4" w:rsidP="00D812AB" w:rsidRDefault="00F860B8" w14:paraId="5EDDD675" w14:textId="54321A46">
            <w:pPr>
              <w:numPr>
                <w:ilvl w:val="12"/>
                <w:numId w:val="0"/>
              </w:numPr>
            </w:pPr>
            <w:r>
              <w:t>1,250</w:t>
            </w:r>
          </w:p>
        </w:tc>
        <w:tc>
          <w:tcPr>
            <w:tcW w:w="1557" w:type="dxa"/>
          </w:tcPr>
          <w:p w:rsidRPr="00524EE0" w:rsidR="00357FB4" w:rsidP="00D812AB" w:rsidRDefault="00357FB4" w14:paraId="7F793266" w14:textId="77777777">
            <w:pPr>
              <w:numPr>
                <w:ilvl w:val="12"/>
                <w:numId w:val="0"/>
              </w:numPr>
            </w:pPr>
            <w:r w:rsidRPr="00524EE0">
              <w:t>0</w:t>
            </w:r>
          </w:p>
        </w:tc>
        <w:tc>
          <w:tcPr>
            <w:tcW w:w="1604" w:type="dxa"/>
          </w:tcPr>
          <w:p w:rsidRPr="00524EE0" w:rsidR="00357FB4" w:rsidP="00D812AB" w:rsidRDefault="007E7937" w14:paraId="678F6279" w14:textId="6876FF2E">
            <w:pPr>
              <w:numPr>
                <w:ilvl w:val="12"/>
                <w:numId w:val="0"/>
              </w:numPr>
            </w:pPr>
            <w:r>
              <w:t>500</w:t>
            </w:r>
          </w:p>
        </w:tc>
        <w:tc>
          <w:tcPr>
            <w:tcW w:w="1637" w:type="dxa"/>
          </w:tcPr>
          <w:p w:rsidRPr="00524EE0" w:rsidR="00357FB4" w:rsidP="00D812AB" w:rsidRDefault="007E7937" w14:paraId="02C199B2" w14:textId="2C35EBF0">
            <w:pPr>
              <w:numPr>
                <w:ilvl w:val="12"/>
                <w:numId w:val="0"/>
              </w:numPr>
            </w:pPr>
            <w:r>
              <w:t>0</w:t>
            </w:r>
          </w:p>
        </w:tc>
        <w:tc>
          <w:tcPr>
            <w:tcW w:w="1611" w:type="dxa"/>
          </w:tcPr>
          <w:p w:rsidRPr="00524EE0" w:rsidR="00357FB4" w:rsidP="00D812AB" w:rsidRDefault="007E7937" w14:paraId="5831FE0E" w14:textId="5AE5B020">
            <w:pPr>
              <w:numPr>
                <w:ilvl w:val="12"/>
                <w:numId w:val="0"/>
              </w:numPr>
            </w:pPr>
            <w:r>
              <w:t>750</w:t>
            </w:r>
          </w:p>
        </w:tc>
      </w:tr>
      <w:tr w:rsidRPr="00524EE0" w:rsidR="00357FB4" w:rsidTr="00D812AB" w14:paraId="0EE1916E" w14:textId="77777777">
        <w:tc>
          <w:tcPr>
            <w:tcW w:w="1337" w:type="dxa"/>
          </w:tcPr>
          <w:p w:rsidRPr="00524EE0" w:rsidR="00357FB4" w:rsidP="00D812AB" w:rsidRDefault="00357FB4" w14:paraId="53A0EA21" w14:textId="77777777">
            <w:pPr>
              <w:numPr>
                <w:ilvl w:val="12"/>
                <w:numId w:val="0"/>
              </w:numPr>
            </w:pPr>
            <w:r w:rsidRPr="00524EE0">
              <w:t>Annual Time Burden (Hours)</w:t>
            </w:r>
          </w:p>
        </w:tc>
        <w:tc>
          <w:tcPr>
            <w:tcW w:w="1604" w:type="dxa"/>
          </w:tcPr>
          <w:p w:rsidRPr="00524EE0" w:rsidR="00357FB4" w:rsidP="00D812AB" w:rsidRDefault="007E7937" w14:paraId="5F42E5BA" w14:textId="5DECAC8C">
            <w:pPr>
              <w:numPr>
                <w:ilvl w:val="12"/>
                <w:numId w:val="0"/>
              </w:numPr>
            </w:pPr>
            <w:r>
              <w:t>9,375</w:t>
            </w:r>
          </w:p>
        </w:tc>
        <w:tc>
          <w:tcPr>
            <w:tcW w:w="1557" w:type="dxa"/>
          </w:tcPr>
          <w:p w:rsidRPr="00524EE0" w:rsidR="00357FB4" w:rsidP="00D812AB" w:rsidRDefault="00357FB4" w14:paraId="2474066F" w14:textId="77777777">
            <w:pPr>
              <w:numPr>
                <w:ilvl w:val="12"/>
                <w:numId w:val="0"/>
              </w:numPr>
            </w:pPr>
            <w:r w:rsidRPr="00524EE0">
              <w:t>0</w:t>
            </w:r>
          </w:p>
        </w:tc>
        <w:tc>
          <w:tcPr>
            <w:tcW w:w="1604" w:type="dxa"/>
          </w:tcPr>
          <w:p w:rsidRPr="00524EE0" w:rsidR="00357FB4" w:rsidP="00D812AB" w:rsidRDefault="007E7937" w14:paraId="12279F74" w14:textId="029A9A0D">
            <w:pPr>
              <w:numPr>
                <w:ilvl w:val="12"/>
                <w:numId w:val="0"/>
              </w:numPr>
            </w:pPr>
            <w:r>
              <w:t>375</w:t>
            </w:r>
          </w:p>
        </w:tc>
        <w:tc>
          <w:tcPr>
            <w:tcW w:w="1637" w:type="dxa"/>
          </w:tcPr>
          <w:p w:rsidRPr="00524EE0" w:rsidR="00357FB4" w:rsidP="00D812AB" w:rsidRDefault="007E7937" w14:paraId="151CD16D" w14:textId="2FC6BDB9">
            <w:pPr>
              <w:numPr>
                <w:ilvl w:val="12"/>
                <w:numId w:val="0"/>
              </w:numPr>
            </w:pPr>
            <w:r>
              <w:t>0</w:t>
            </w:r>
          </w:p>
        </w:tc>
        <w:tc>
          <w:tcPr>
            <w:tcW w:w="1611" w:type="dxa"/>
          </w:tcPr>
          <w:p w:rsidRPr="00524EE0" w:rsidR="00357FB4" w:rsidP="00D812AB" w:rsidRDefault="007E7937" w14:paraId="0D9B037D" w14:textId="7A028D47">
            <w:pPr>
              <w:numPr>
                <w:ilvl w:val="12"/>
                <w:numId w:val="0"/>
              </w:numPr>
            </w:pPr>
            <w:r>
              <w:t>9,000</w:t>
            </w:r>
          </w:p>
        </w:tc>
      </w:tr>
      <w:tr w:rsidRPr="00524EE0" w:rsidR="00357FB4" w:rsidTr="00D812AB" w14:paraId="2552F36D" w14:textId="77777777">
        <w:tc>
          <w:tcPr>
            <w:tcW w:w="1337" w:type="dxa"/>
          </w:tcPr>
          <w:p w:rsidRPr="00524EE0" w:rsidR="00357FB4" w:rsidP="00D812AB" w:rsidRDefault="00357FB4" w14:paraId="7E94D338" w14:textId="77777777">
            <w:pPr>
              <w:numPr>
                <w:ilvl w:val="12"/>
                <w:numId w:val="0"/>
              </w:numPr>
            </w:pPr>
            <w:r w:rsidRPr="00524EE0">
              <w:t>Annual Cost Burden ($)</w:t>
            </w:r>
          </w:p>
        </w:tc>
        <w:tc>
          <w:tcPr>
            <w:tcW w:w="1604" w:type="dxa"/>
          </w:tcPr>
          <w:p w:rsidRPr="00524EE0" w:rsidR="00357FB4" w:rsidP="00D812AB" w:rsidRDefault="00357FB4" w14:paraId="2E77F645" w14:textId="77777777">
            <w:pPr>
              <w:numPr>
                <w:ilvl w:val="12"/>
                <w:numId w:val="0"/>
              </w:numPr>
            </w:pPr>
            <w:r>
              <w:t>0</w:t>
            </w:r>
          </w:p>
        </w:tc>
        <w:tc>
          <w:tcPr>
            <w:tcW w:w="1557" w:type="dxa"/>
          </w:tcPr>
          <w:p w:rsidRPr="00524EE0" w:rsidR="00357FB4" w:rsidP="00D812AB" w:rsidRDefault="00357FB4" w14:paraId="4B2F7056" w14:textId="77777777">
            <w:pPr>
              <w:numPr>
                <w:ilvl w:val="12"/>
                <w:numId w:val="0"/>
              </w:numPr>
            </w:pPr>
            <w:r w:rsidRPr="00524EE0">
              <w:t>0</w:t>
            </w:r>
          </w:p>
        </w:tc>
        <w:tc>
          <w:tcPr>
            <w:tcW w:w="1604" w:type="dxa"/>
          </w:tcPr>
          <w:p w:rsidRPr="00524EE0" w:rsidR="00357FB4" w:rsidP="00D812AB" w:rsidRDefault="00357FB4" w14:paraId="75F560B7" w14:textId="77777777">
            <w:pPr>
              <w:numPr>
                <w:ilvl w:val="12"/>
                <w:numId w:val="0"/>
              </w:numPr>
            </w:pPr>
            <w:r w:rsidRPr="00524EE0">
              <w:t>0</w:t>
            </w:r>
          </w:p>
        </w:tc>
        <w:tc>
          <w:tcPr>
            <w:tcW w:w="1637" w:type="dxa"/>
          </w:tcPr>
          <w:p w:rsidRPr="00524EE0" w:rsidR="00357FB4" w:rsidP="00D812AB" w:rsidRDefault="00357FB4" w14:paraId="618C45A3" w14:textId="77777777">
            <w:pPr>
              <w:numPr>
                <w:ilvl w:val="12"/>
                <w:numId w:val="0"/>
              </w:numPr>
            </w:pPr>
            <w:r>
              <w:t>0</w:t>
            </w:r>
          </w:p>
        </w:tc>
        <w:tc>
          <w:tcPr>
            <w:tcW w:w="1611" w:type="dxa"/>
          </w:tcPr>
          <w:p w:rsidRPr="00524EE0" w:rsidR="00357FB4" w:rsidP="00D812AB" w:rsidRDefault="00357FB4" w14:paraId="5D58737A" w14:textId="77777777">
            <w:pPr>
              <w:numPr>
                <w:ilvl w:val="12"/>
                <w:numId w:val="0"/>
              </w:numPr>
            </w:pPr>
            <w:r>
              <w:t>0</w:t>
            </w:r>
          </w:p>
        </w:tc>
      </w:tr>
    </w:tbl>
    <w:p w:rsidRPr="00DC0304" w:rsidR="00357FB4" w:rsidP="00951F27" w:rsidRDefault="00357FB4" w14:paraId="38BD7FA8" w14:textId="77777777">
      <w:pPr>
        <w:rPr>
          <w:bCs/>
          <w:sz w:val="24"/>
          <w:szCs w:val="24"/>
        </w:rPr>
      </w:pPr>
    </w:p>
    <w:p w:rsidRPr="00DC0304" w:rsidR="00A93967" w:rsidP="00253FF0" w:rsidRDefault="00A93967" w14:paraId="52F188B0" w14:textId="77777777">
      <w:pPr>
        <w:rPr>
          <w:sz w:val="24"/>
          <w:szCs w:val="24"/>
        </w:rPr>
      </w:pPr>
    </w:p>
    <w:p w:rsidRPr="008F2CF5" w:rsidR="00F660E8" w:rsidP="00F660E8" w:rsidRDefault="00F660E8" w14:paraId="1715AB5F" w14:textId="77777777">
      <w:pPr>
        <w:rPr>
          <w:b/>
          <w:sz w:val="24"/>
          <w:szCs w:val="24"/>
        </w:rPr>
      </w:pPr>
      <w:r w:rsidRPr="00DC0304">
        <w:rPr>
          <w:b/>
          <w:sz w:val="24"/>
          <w:szCs w:val="24"/>
        </w:rPr>
        <w:t>16.  F</w:t>
      </w:r>
      <w:r w:rsidRPr="00DC0304">
        <w:rPr>
          <w:b/>
          <w:bCs/>
          <w:sz w:val="24"/>
          <w:szCs w:val="24"/>
        </w:rPr>
        <w:t xml:space="preserve">or collections of information </w:t>
      </w:r>
      <w:r w:rsidRPr="008F2CF5">
        <w:rPr>
          <w:b/>
          <w:bCs/>
          <w:sz w:val="24"/>
          <w:szCs w:val="24"/>
        </w:rPr>
        <w:t xml:space="preserve">whose results will be published, outline plans for tabulations, and publication.  Address any complex analytical techniques that will be used.  Provide the time schedule for the entire project, including beginning and </w:t>
      </w:r>
      <w:r w:rsidRPr="008F2CF5">
        <w:rPr>
          <w:b/>
          <w:bCs/>
          <w:sz w:val="24"/>
          <w:szCs w:val="24"/>
        </w:rPr>
        <w:lastRenderedPageBreak/>
        <w:t>ending dates of the collection of information, completion of report, publication dates, and other actions</w:t>
      </w:r>
      <w:r w:rsidRPr="008F2CF5">
        <w:rPr>
          <w:sz w:val="24"/>
          <w:szCs w:val="24"/>
        </w:rPr>
        <w:t>.</w:t>
      </w:r>
    </w:p>
    <w:p w:rsidRPr="008F2CF5" w:rsidR="005F1FFC" w:rsidP="005F1FFC" w:rsidRDefault="005F1FFC" w14:paraId="3C07C2B3" w14:textId="660FA711">
      <w:pPr>
        <w:rPr>
          <w:sz w:val="24"/>
          <w:szCs w:val="24"/>
        </w:rPr>
      </w:pPr>
    </w:p>
    <w:p w:rsidRPr="008F2CF5" w:rsidR="00453F4A" w:rsidP="005F1FFC" w:rsidRDefault="00453F4A" w14:paraId="018931B0" w14:textId="0D3923CF">
      <w:pPr>
        <w:rPr>
          <w:sz w:val="24"/>
          <w:szCs w:val="24"/>
        </w:rPr>
      </w:pPr>
      <w:r w:rsidRPr="008F2CF5">
        <w:rPr>
          <w:bCs/>
          <w:iCs/>
          <w:sz w:val="24"/>
          <w:szCs w:val="24"/>
        </w:rPr>
        <w:t>As stated in the Policy Statement, the Agencies may publish information disclosed to them</w:t>
      </w:r>
      <w:r w:rsidR="005372F1">
        <w:rPr>
          <w:bCs/>
          <w:iCs/>
          <w:sz w:val="24"/>
          <w:szCs w:val="24"/>
        </w:rPr>
        <w:t xml:space="preserve"> (</w:t>
      </w:r>
      <w:proofErr w:type="gramStart"/>
      <w:r w:rsidR="005372F1">
        <w:rPr>
          <w:bCs/>
          <w:iCs/>
          <w:sz w:val="24"/>
          <w:szCs w:val="24"/>
        </w:rPr>
        <w:t>e.g.</w:t>
      </w:r>
      <w:proofErr w:type="gramEnd"/>
      <w:r w:rsidR="005372F1">
        <w:rPr>
          <w:bCs/>
          <w:iCs/>
          <w:sz w:val="24"/>
          <w:szCs w:val="24"/>
        </w:rPr>
        <w:t xml:space="preserve"> </w:t>
      </w:r>
      <w:r w:rsidRPr="008F2CF5">
        <w:rPr>
          <w:bCs/>
          <w:iCs/>
          <w:sz w:val="24"/>
          <w:szCs w:val="24"/>
        </w:rPr>
        <w:t>best practices</w:t>
      </w:r>
      <w:r w:rsidR="005372F1">
        <w:rPr>
          <w:bCs/>
          <w:iCs/>
          <w:sz w:val="24"/>
          <w:szCs w:val="24"/>
        </w:rPr>
        <w:t>)</w:t>
      </w:r>
      <w:r w:rsidRPr="008F2CF5">
        <w:rPr>
          <w:bCs/>
          <w:iCs/>
          <w:sz w:val="24"/>
          <w:szCs w:val="24"/>
        </w:rPr>
        <w:t xml:space="preserve"> in any form that does not identify a particular entity or individual or disclose confidential business information.</w:t>
      </w:r>
      <w:r w:rsidRPr="008F2CF5">
        <w:rPr>
          <w:sz w:val="24"/>
          <w:szCs w:val="24"/>
        </w:rPr>
        <w:t xml:space="preserve"> </w:t>
      </w:r>
      <w:r w:rsidR="006E107B">
        <w:rPr>
          <w:sz w:val="24"/>
          <w:szCs w:val="24"/>
        </w:rPr>
        <w:t xml:space="preserve"> </w:t>
      </w:r>
      <w:r w:rsidR="00D21C2B">
        <w:rPr>
          <w:sz w:val="24"/>
          <w:szCs w:val="24"/>
        </w:rPr>
        <w:t xml:space="preserve">The </w:t>
      </w:r>
      <w:r w:rsidR="006E107B">
        <w:rPr>
          <w:sz w:val="24"/>
          <w:szCs w:val="24"/>
        </w:rPr>
        <w:t>Bureau</w:t>
      </w:r>
      <w:r w:rsidR="00D21C2B">
        <w:rPr>
          <w:sz w:val="24"/>
          <w:szCs w:val="24"/>
        </w:rPr>
        <w:t xml:space="preserve"> may consider recognizing specific entity accomplishments by publishing </w:t>
      </w:r>
      <w:r w:rsidR="00375A67">
        <w:rPr>
          <w:sz w:val="24"/>
          <w:szCs w:val="24"/>
        </w:rPr>
        <w:t xml:space="preserve">the </w:t>
      </w:r>
      <w:r w:rsidR="00D21C2B">
        <w:rPr>
          <w:sz w:val="24"/>
          <w:szCs w:val="24"/>
        </w:rPr>
        <w:t>names of entities and outlining specific programming or impressive progress towards diversity</w:t>
      </w:r>
      <w:r w:rsidR="000E6AE4">
        <w:rPr>
          <w:sz w:val="24"/>
          <w:szCs w:val="24"/>
        </w:rPr>
        <w:t>, equity</w:t>
      </w:r>
      <w:r w:rsidR="00D21C2B">
        <w:rPr>
          <w:sz w:val="24"/>
          <w:szCs w:val="24"/>
        </w:rPr>
        <w:t xml:space="preserve"> and inclusion however not before notifying an entity in advance</w:t>
      </w:r>
      <w:r w:rsidR="00375A67">
        <w:rPr>
          <w:sz w:val="24"/>
          <w:szCs w:val="24"/>
        </w:rPr>
        <w:t xml:space="preserve"> and gaining approval to do so</w:t>
      </w:r>
      <w:r w:rsidR="00D21C2B">
        <w:rPr>
          <w:sz w:val="24"/>
          <w:szCs w:val="24"/>
        </w:rPr>
        <w:t>.</w:t>
      </w:r>
    </w:p>
    <w:p w:rsidR="005F1FFC" w:rsidP="005F1FFC" w:rsidRDefault="005F1FFC" w14:paraId="77B89593" w14:textId="0342435A">
      <w:pPr>
        <w:rPr>
          <w:sz w:val="24"/>
          <w:szCs w:val="24"/>
        </w:rPr>
      </w:pPr>
    </w:p>
    <w:p w:rsidR="00FC3FA3" w:rsidP="00BA2E10" w:rsidRDefault="00FC3FA3" w14:paraId="201E72F1" w14:textId="696897FE">
      <w:pPr>
        <w:tabs>
          <w:tab w:val="left" w:pos="0"/>
        </w:tabs>
        <w:rPr>
          <w:sz w:val="24"/>
          <w:szCs w:val="24"/>
        </w:rPr>
      </w:pPr>
      <w:r>
        <w:rPr>
          <w:bCs/>
          <w:iCs/>
          <w:sz w:val="24"/>
          <w:szCs w:val="24"/>
        </w:rPr>
        <w:t>The</w:t>
      </w:r>
      <w:r w:rsidR="006E107B">
        <w:rPr>
          <w:bCs/>
          <w:iCs/>
          <w:sz w:val="24"/>
          <w:szCs w:val="24"/>
        </w:rPr>
        <w:t xml:space="preserve"> Bureau</w:t>
      </w:r>
      <w:r>
        <w:rPr>
          <w:bCs/>
          <w:iCs/>
          <w:sz w:val="24"/>
          <w:szCs w:val="24"/>
        </w:rPr>
        <w:t xml:space="preserve"> may publish </w:t>
      </w:r>
      <w:r w:rsidR="00450335">
        <w:rPr>
          <w:bCs/>
          <w:iCs/>
          <w:sz w:val="24"/>
          <w:szCs w:val="24"/>
        </w:rPr>
        <w:t>c</w:t>
      </w:r>
      <w:r>
        <w:rPr>
          <w:bCs/>
          <w:iCs/>
          <w:sz w:val="24"/>
          <w:szCs w:val="24"/>
        </w:rPr>
        <w:t xml:space="preserve">ontractor </w:t>
      </w:r>
      <w:r w:rsidR="00450335">
        <w:rPr>
          <w:bCs/>
          <w:iCs/>
          <w:sz w:val="24"/>
          <w:szCs w:val="24"/>
        </w:rPr>
        <w:t>s</w:t>
      </w:r>
      <w:r>
        <w:rPr>
          <w:bCs/>
          <w:iCs/>
          <w:sz w:val="24"/>
          <w:szCs w:val="24"/>
        </w:rPr>
        <w:t>elf-</w:t>
      </w:r>
      <w:r w:rsidR="00450335">
        <w:rPr>
          <w:bCs/>
          <w:iCs/>
          <w:sz w:val="24"/>
          <w:szCs w:val="24"/>
        </w:rPr>
        <w:t>a</w:t>
      </w:r>
      <w:r>
        <w:rPr>
          <w:bCs/>
          <w:iCs/>
          <w:sz w:val="24"/>
          <w:szCs w:val="24"/>
        </w:rPr>
        <w:t xml:space="preserve">ssessment </w:t>
      </w:r>
      <w:r w:rsidRPr="008F2CF5">
        <w:rPr>
          <w:bCs/>
          <w:iCs/>
          <w:sz w:val="24"/>
          <w:szCs w:val="24"/>
        </w:rPr>
        <w:t>information disclosed to them, such as best practices, in any form that does not identify a particular entity or individual or disclose confidential business information.</w:t>
      </w:r>
      <w:r w:rsidR="00935E5E">
        <w:rPr>
          <w:sz w:val="24"/>
          <w:szCs w:val="24"/>
        </w:rPr>
        <w:t xml:space="preserve">  </w:t>
      </w:r>
      <w:r w:rsidR="00BA2E10">
        <w:rPr>
          <w:sz w:val="24"/>
          <w:szCs w:val="24"/>
        </w:rPr>
        <w:t>The</w:t>
      </w:r>
      <w:r w:rsidR="000D137E">
        <w:rPr>
          <w:sz w:val="24"/>
          <w:szCs w:val="24"/>
        </w:rPr>
        <w:t xml:space="preserve"> Bureau</w:t>
      </w:r>
      <w:r w:rsidR="00BA2E10">
        <w:rPr>
          <w:sz w:val="24"/>
          <w:szCs w:val="24"/>
        </w:rPr>
        <w:t xml:space="preserve"> may consider recognizing specific entity accomplishments by publishing the names of entities and outlining specific programming or impressive progress towards diversity and inclusion however not before notifying an entity in advance and gaining approval to do so.</w:t>
      </w:r>
    </w:p>
    <w:p w:rsidRPr="008F2CF5" w:rsidR="00BA2E10" w:rsidP="00BA2E10" w:rsidRDefault="00BA2E10" w14:paraId="3B19367B" w14:textId="77777777">
      <w:pPr>
        <w:tabs>
          <w:tab w:val="left" w:pos="0"/>
        </w:tabs>
        <w:rPr>
          <w:sz w:val="24"/>
          <w:szCs w:val="24"/>
        </w:rPr>
      </w:pPr>
    </w:p>
    <w:p w:rsidRPr="008F2CF5" w:rsidR="00F660E8" w:rsidP="00F660E8" w:rsidRDefault="00F660E8" w14:paraId="7F4F1EB6" w14:textId="4918B266">
      <w:pPr>
        <w:rPr>
          <w:b/>
          <w:sz w:val="24"/>
          <w:szCs w:val="24"/>
        </w:rPr>
      </w:pPr>
      <w:r w:rsidRPr="008F2CF5">
        <w:rPr>
          <w:b/>
          <w:sz w:val="24"/>
          <w:szCs w:val="24"/>
        </w:rPr>
        <w:t>17.  I</w:t>
      </w:r>
      <w:r w:rsidRPr="008F2CF5">
        <w:rPr>
          <w:b/>
          <w:bCs/>
          <w:sz w:val="24"/>
          <w:szCs w:val="24"/>
        </w:rPr>
        <w:t>f seeking approval to not display the expiration dat</w:t>
      </w:r>
      <w:r w:rsidR="000D0D84">
        <w:rPr>
          <w:b/>
          <w:bCs/>
          <w:sz w:val="24"/>
          <w:szCs w:val="24"/>
        </w:rPr>
        <w:t xml:space="preserve">e </w:t>
      </w:r>
      <w:r w:rsidRPr="008F2CF5">
        <w:rPr>
          <w:b/>
          <w:bCs/>
          <w:sz w:val="24"/>
          <w:szCs w:val="24"/>
        </w:rPr>
        <w:t>for OMB approval of the information collection, explain the reasons that display would be inappropriate</w:t>
      </w:r>
      <w:r w:rsidRPr="008F2CF5">
        <w:rPr>
          <w:b/>
          <w:sz w:val="24"/>
          <w:szCs w:val="24"/>
        </w:rPr>
        <w:t>.</w:t>
      </w:r>
    </w:p>
    <w:p w:rsidRPr="008F2CF5" w:rsidR="005F1FFC" w:rsidP="005F1FFC" w:rsidRDefault="005F1FFC" w14:paraId="195A2521" w14:textId="77777777">
      <w:pPr>
        <w:rPr>
          <w:sz w:val="24"/>
          <w:szCs w:val="24"/>
        </w:rPr>
      </w:pPr>
    </w:p>
    <w:p w:rsidRPr="008F2CF5" w:rsidR="00791AC9" w:rsidP="005F1FFC" w:rsidRDefault="00791AC9" w14:paraId="2449748D" w14:textId="09E3A707">
      <w:pPr>
        <w:rPr>
          <w:sz w:val="24"/>
          <w:szCs w:val="24"/>
        </w:rPr>
      </w:pPr>
      <w:r w:rsidRPr="008F2CF5">
        <w:rPr>
          <w:sz w:val="24"/>
          <w:szCs w:val="24"/>
        </w:rPr>
        <w:t xml:space="preserve">The information collection is not collected in a manner that allows the display of the current expiration date.  However, the expiration date can be found under the “Information Collections under Review” section of </w:t>
      </w:r>
      <w:hyperlink w:history="1" r:id="rId13">
        <w:r w:rsidRPr="008F2CF5">
          <w:rPr>
            <w:rStyle w:val="Hyperlink"/>
            <w:sz w:val="24"/>
            <w:szCs w:val="24"/>
          </w:rPr>
          <w:t>www.reginfo.gov</w:t>
        </w:r>
      </w:hyperlink>
      <w:r w:rsidRPr="008F2CF5">
        <w:rPr>
          <w:sz w:val="24"/>
          <w:szCs w:val="24"/>
        </w:rPr>
        <w:t xml:space="preserve"> (</w:t>
      </w:r>
      <w:hyperlink w:history="1" r:id="rId14">
        <w:r w:rsidRPr="008F2CF5">
          <w:rPr>
            <w:rStyle w:val="Hyperlink"/>
            <w:sz w:val="24"/>
            <w:szCs w:val="24"/>
          </w:rPr>
          <w:t>https://www.reginfo.gov/public/do/PRAMain</w:t>
        </w:r>
      </w:hyperlink>
      <w:r w:rsidRPr="008F2CF5">
        <w:rPr>
          <w:sz w:val="24"/>
          <w:szCs w:val="24"/>
        </w:rPr>
        <w:t>).</w:t>
      </w:r>
    </w:p>
    <w:p w:rsidRPr="008F2CF5" w:rsidR="00BA2E10" w:rsidP="003E083F" w:rsidRDefault="00BA2E10" w14:paraId="0A4CEC42" w14:textId="77777777">
      <w:pPr>
        <w:rPr>
          <w:sz w:val="24"/>
          <w:szCs w:val="24"/>
        </w:rPr>
      </w:pPr>
    </w:p>
    <w:p w:rsidRPr="008F2CF5" w:rsidR="00F660E8" w:rsidP="00F660E8" w:rsidRDefault="00F660E8" w14:paraId="0503086D" w14:textId="77777777">
      <w:pPr>
        <w:rPr>
          <w:b/>
          <w:sz w:val="24"/>
          <w:szCs w:val="24"/>
        </w:rPr>
      </w:pPr>
      <w:r w:rsidRPr="008F2CF5">
        <w:rPr>
          <w:b/>
          <w:sz w:val="24"/>
          <w:szCs w:val="24"/>
        </w:rPr>
        <w:t>18.  Explain each exception to the certification statement.</w:t>
      </w:r>
    </w:p>
    <w:p w:rsidRPr="008F2CF5" w:rsidR="005F1FFC" w:rsidP="005F1FFC" w:rsidRDefault="005F1FFC" w14:paraId="6066F545" w14:textId="77777777">
      <w:pPr>
        <w:pStyle w:val="BodyText"/>
        <w:rPr>
          <w:szCs w:val="24"/>
        </w:rPr>
      </w:pPr>
    </w:p>
    <w:p w:rsidR="00CA6DAB" w:rsidP="00A0364C" w:rsidRDefault="00453F4A" w14:paraId="235F0EA3" w14:textId="126E63A0">
      <w:pPr>
        <w:rPr>
          <w:sz w:val="24"/>
          <w:szCs w:val="24"/>
        </w:rPr>
      </w:pPr>
      <w:r w:rsidRPr="008F2CF5">
        <w:rPr>
          <w:sz w:val="24"/>
          <w:szCs w:val="24"/>
        </w:rPr>
        <w:t>The Agencies certify that this collection of information is consistent with the requirements of 5 C</w:t>
      </w:r>
      <w:r w:rsidR="006A4087">
        <w:rPr>
          <w:sz w:val="24"/>
          <w:szCs w:val="24"/>
        </w:rPr>
        <w:t>FR</w:t>
      </w:r>
      <w:r w:rsidRPr="008F2CF5">
        <w:rPr>
          <w:sz w:val="24"/>
          <w:szCs w:val="24"/>
        </w:rPr>
        <w:t xml:space="preserve"> 1320.9 and the related provisions of 5 C</w:t>
      </w:r>
      <w:r w:rsidR="006A4087">
        <w:rPr>
          <w:sz w:val="24"/>
          <w:szCs w:val="24"/>
        </w:rPr>
        <w:t>FR</w:t>
      </w:r>
      <w:r w:rsidRPr="008F2CF5">
        <w:rPr>
          <w:sz w:val="24"/>
          <w:szCs w:val="24"/>
        </w:rPr>
        <w:t xml:space="preserve"> 1320.8(b)(3), and they are not seeking an exemption to these certification requirements.</w:t>
      </w:r>
    </w:p>
    <w:p w:rsidRPr="008F2CF5" w:rsidR="00453F4A" w:rsidP="00A0364C" w:rsidRDefault="00453F4A" w14:paraId="35D8E758" w14:textId="5D2FE8AB">
      <w:pPr>
        <w:rPr>
          <w:sz w:val="24"/>
          <w:szCs w:val="24"/>
        </w:rPr>
      </w:pPr>
    </w:p>
    <w:p w:rsidRPr="008F2CF5" w:rsidR="00453F4A" w:rsidP="00453F4A" w:rsidRDefault="00453F4A" w14:paraId="511A941D" w14:textId="77777777">
      <w:pPr>
        <w:pStyle w:val="BodyText"/>
        <w:rPr>
          <w:szCs w:val="24"/>
        </w:rPr>
      </w:pPr>
      <w:r w:rsidRPr="008F2CF5">
        <w:rPr>
          <w:b/>
          <w:szCs w:val="24"/>
        </w:rPr>
        <w:t xml:space="preserve">B.  COLLECTION OF INFORMATION EMPLOYING STATISTICAL METHODS </w:t>
      </w:r>
    </w:p>
    <w:p w:rsidRPr="008F2CF5" w:rsidR="00453F4A" w:rsidP="00453F4A" w:rsidRDefault="00453F4A" w14:paraId="03B0FACD" w14:textId="77777777">
      <w:pPr>
        <w:pStyle w:val="BodyText"/>
        <w:rPr>
          <w:szCs w:val="24"/>
        </w:rPr>
      </w:pPr>
    </w:p>
    <w:p w:rsidRPr="008F2CF5" w:rsidR="00453F4A" w:rsidP="00453F4A" w:rsidRDefault="00453F4A" w14:paraId="37922AEB" w14:textId="07D6DF97">
      <w:pPr>
        <w:pStyle w:val="BodyText"/>
        <w:widowControl w:val="0"/>
        <w:tabs>
          <w:tab w:val="left" w:pos="462"/>
        </w:tabs>
        <w:ind w:right="861"/>
        <w:rPr>
          <w:szCs w:val="24"/>
        </w:rPr>
      </w:pPr>
      <w:r w:rsidRPr="008F2CF5">
        <w:rPr>
          <w:bCs/>
          <w:iCs/>
          <w:szCs w:val="24"/>
        </w:rPr>
        <w:t>This collection of information does not involve the use of statistical methods.</w:t>
      </w:r>
    </w:p>
    <w:p w:rsidR="00453F4A" w:rsidP="00A0364C" w:rsidRDefault="00453F4A" w14:paraId="11FDCFD3" w14:textId="699D359A">
      <w:pPr>
        <w:rPr>
          <w:b/>
          <w:bCs/>
          <w:sz w:val="24"/>
          <w:szCs w:val="24"/>
        </w:rPr>
      </w:pPr>
    </w:p>
    <w:p w:rsidRPr="008F2CF5" w:rsidR="001E1FBA" w:rsidP="00B364AF" w:rsidRDefault="001E1FBA" w14:paraId="4F1E41F7" w14:textId="45BBF128">
      <w:pPr>
        <w:rPr>
          <w:b/>
          <w:bCs/>
          <w:sz w:val="24"/>
          <w:szCs w:val="24"/>
        </w:rPr>
      </w:pPr>
    </w:p>
    <w:sectPr w:rsidRPr="008F2CF5" w:rsidR="001E1FBA" w:rsidSect="0079547E">
      <w:headerReference w:type="default"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001D" w14:textId="77777777" w:rsidR="00FE04FE" w:rsidRDefault="00FE04FE" w:rsidP="0079547E">
      <w:r>
        <w:separator/>
      </w:r>
    </w:p>
  </w:endnote>
  <w:endnote w:type="continuationSeparator" w:id="0">
    <w:p w14:paraId="75B67955" w14:textId="77777777" w:rsidR="00FE04FE" w:rsidRDefault="00FE04FE" w:rsidP="0079547E">
      <w:r>
        <w:continuationSeparator/>
      </w:r>
    </w:p>
  </w:endnote>
  <w:endnote w:type="continuationNotice" w:id="1">
    <w:p w14:paraId="300EC195" w14:textId="77777777" w:rsidR="00FE04FE" w:rsidRDefault="00FE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0882" w14:textId="77777777" w:rsidR="00FE04FE" w:rsidRDefault="00FE04FE" w:rsidP="0079547E">
      <w:r>
        <w:separator/>
      </w:r>
    </w:p>
  </w:footnote>
  <w:footnote w:type="continuationSeparator" w:id="0">
    <w:p w14:paraId="4E48A6FA" w14:textId="77777777" w:rsidR="00FE04FE" w:rsidRDefault="00FE04FE" w:rsidP="0079547E">
      <w:r>
        <w:continuationSeparator/>
      </w:r>
    </w:p>
  </w:footnote>
  <w:footnote w:type="continuationNotice" w:id="1">
    <w:p w14:paraId="68727031" w14:textId="77777777" w:rsidR="00FE04FE" w:rsidRDefault="00FE04FE"/>
  </w:footnote>
  <w:footnote w:id="2">
    <w:p w14:paraId="307CA683" w14:textId="559364EA" w:rsidR="007C46A8" w:rsidRPr="002F7DAF" w:rsidRDefault="007C46A8" w:rsidP="007C46A8">
      <w:pPr>
        <w:pStyle w:val="FootnoteText"/>
      </w:pPr>
      <w:r w:rsidRPr="002F7DAF">
        <w:rPr>
          <w:rStyle w:val="FootnoteReference"/>
        </w:rPr>
        <w:footnoteRef/>
      </w:r>
      <w:r w:rsidRPr="002F7DAF">
        <w:t xml:space="preserve"> 80 </w:t>
      </w:r>
      <w:r w:rsidR="009A4E79" w:rsidRPr="002F7DAF">
        <w:t xml:space="preserve">FR </w:t>
      </w:r>
      <w:r w:rsidRPr="002F7DAF">
        <w:t>33016</w:t>
      </w:r>
      <w:r w:rsidR="00D23F91" w:rsidRPr="002F7DAF">
        <w:t xml:space="preserve"> (6/10/2015)</w:t>
      </w:r>
      <w:r w:rsidRPr="002F7DAF">
        <w:t>.</w:t>
      </w:r>
    </w:p>
  </w:footnote>
  <w:footnote w:id="3">
    <w:p w14:paraId="390CABE8" w14:textId="77777777" w:rsidR="007C46A8" w:rsidRPr="002F7DAF" w:rsidRDefault="007C46A8" w:rsidP="007C46A8">
      <w:pPr>
        <w:pStyle w:val="FootnoteText"/>
      </w:pPr>
      <w:r w:rsidRPr="002F7DAF">
        <w:rPr>
          <w:rStyle w:val="FootnoteReference"/>
        </w:rPr>
        <w:footnoteRef/>
      </w:r>
      <w:r w:rsidR="5207007F" w:rsidRPr="002F7DAF">
        <w:t xml:space="preserve"> The National Credit Union Administration (NCUA) joined the Agencies in issuing the Policy Statement.   However, the NCUA has not joined in this request for approval under the PRA of the information collection contained in the Policy Statement.  NCUA intends to submit a separate request for PRA approval.</w:t>
      </w:r>
    </w:p>
  </w:footnote>
  <w:footnote w:id="4">
    <w:p w14:paraId="51BB6C6E" w14:textId="65F7CB0A" w:rsidR="00BE11C6" w:rsidRPr="002F7DAF" w:rsidRDefault="00BE11C6">
      <w:pPr>
        <w:pStyle w:val="FootnoteText"/>
      </w:pPr>
      <w:r w:rsidRPr="002F7DAF">
        <w:rPr>
          <w:rStyle w:val="FootnoteReference"/>
        </w:rPr>
        <w:footnoteRef/>
      </w:r>
      <w:r w:rsidRPr="002F7DAF">
        <w:t xml:space="preserve"> EO 11246, 41 CFR 60-1.7</w:t>
      </w:r>
      <w:r w:rsidR="00230C56" w:rsidRPr="002F7DAF">
        <w:t>.</w:t>
      </w:r>
    </w:p>
  </w:footnote>
  <w:footnote w:id="5">
    <w:p w14:paraId="4EE8112B" w14:textId="7DD9B803" w:rsidR="00230C56" w:rsidRPr="002F7DAF" w:rsidRDefault="00230C56">
      <w:pPr>
        <w:pStyle w:val="FootnoteText"/>
      </w:pPr>
      <w:r w:rsidRPr="002F7DAF">
        <w:rPr>
          <w:rStyle w:val="FootnoteReference"/>
        </w:rPr>
        <w:footnoteRef/>
      </w:r>
      <w:r w:rsidRPr="002F7DAF">
        <w:t xml:space="preserve"> 41 CFR </w:t>
      </w:r>
      <w:r w:rsidR="002F7DAF">
        <w:t>P</w:t>
      </w:r>
      <w:r w:rsidRPr="002F7DAF">
        <w:t>art 60-2.</w:t>
      </w:r>
    </w:p>
  </w:footnote>
  <w:footnote w:id="6">
    <w:p w14:paraId="1F586CAA" w14:textId="06E93B6C" w:rsidR="00BC56A2" w:rsidRPr="002F7DAF" w:rsidRDefault="00BC56A2">
      <w:pPr>
        <w:pStyle w:val="FootnoteText"/>
      </w:pPr>
      <w:r w:rsidRPr="002F7DAF">
        <w:rPr>
          <w:rStyle w:val="FootnoteReference"/>
        </w:rPr>
        <w:footnoteRef/>
      </w:r>
      <w:r w:rsidRPr="002F7DAF">
        <w:t xml:space="preserve"> </w:t>
      </w:r>
      <w:r w:rsidR="00574196" w:rsidRPr="002F7DAF">
        <w:t>87</w:t>
      </w:r>
      <w:r w:rsidRPr="002F7DAF">
        <w:t xml:space="preserve"> FR </w:t>
      </w:r>
      <w:r w:rsidR="00CF774B" w:rsidRPr="002F7DAF">
        <w:t>33473</w:t>
      </w:r>
      <w:r w:rsidRPr="002F7DAF">
        <w:t xml:space="preserve"> (published on </w:t>
      </w:r>
      <w:r w:rsidR="00CF774B" w:rsidRPr="002F7DAF">
        <w:t>6/2/2022</w:t>
      </w:r>
      <w:r w:rsidRPr="002F7DAF">
        <w:t>)</w:t>
      </w:r>
      <w:r w:rsidR="009D7886" w:rsidRPr="002F7DAF">
        <w:t>.</w:t>
      </w:r>
    </w:p>
  </w:footnote>
  <w:footnote w:id="7">
    <w:p w14:paraId="1530F2D0" w14:textId="79C1AE6B" w:rsidR="009D7886" w:rsidRPr="002F7DAF" w:rsidRDefault="009D7886">
      <w:pPr>
        <w:pStyle w:val="FootnoteText"/>
      </w:pPr>
      <w:r w:rsidRPr="002F7DAF">
        <w:rPr>
          <w:rStyle w:val="FootnoteReference"/>
        </w:rPr>
        <w:footnoteRef/>
      </w:r>
      <w:r w:rsidRPr="002F7DAF">
        <w:t xml:space="preserve"> </w:t>
      </w:r>
      <w:r w:rsidR="003F2A19" w:rsidRPr="002F7DAF">
        <w:t>87 FR 49583</w:t>
      </w:r>
      <w:r w:rsidR="001650D5" w:rsidRPr="002F7DAF">
        <w:t xml:space="preserve"> </w:t>
      </w:r>
      <w:r w:rsidRPr="002F7DAF">
        <w:t>(published on</w:t>
      </w:r>
      <w:r w:rsidR="003F2A19" w:rsidRPr="002F7DAF">
        <w:t xml:space="preserve"> 8/11/2022</w:t>
      </w:r>
      <w:r w:rsidRPr="002F7DAF">
        <w:t xml:space="preserve">; comment period ends on </w:t>
      </w:r>
      <w:r w:rsidR="003F2A19" w:rsidRPr="002F7DAF">
        <w:t>9/12/2022</w:t>
      </w:r>
      <w:r w:rsidRPr="002F7DAF">
        <w:t>).</w:t>
      </w:r>
    </w:p>
  </w:footnote>
  <w:footnote w:id="8">
    <w:p w14:paraId="0D0BD120" w14:textId="0233B4BC" w:rsidR="00B364AF" w:rsidRPr="002F7DAF" w:rsidRDefault="00B364AF" w:rsidP="00B364AF">
      <w:pPr>
        <w:pStyle w:val="FootnoteText"/>
      </w:pPr>
      <w:r w:rsidRPr="002F7DAF">
        <w:rPr>
          <w:rStyle w:val="FootnoteReference"/>
        </w:rPr>
        <w:footnoteRef/>
      </w:r>
      <w:r w:rsidRPr="002F7DAF">
        <w:t xml:space="preserve"> The occupations are accountants and auditors, compliance officers, financial analysts, lawyers, management occupations, software developers, and statisticians</w:t>
      </w:r>
      <w:r w:rsidR="001B11BF" w:rsidRPr="002F7DAF">
        <w:t>, https://www.bls.gov/oes/current/naics4_5220A1.htm.</w:t>
      </w:r>
    </w:p>
  </w:footnote>
  <w:footnote w:id="9">
    <w:p w14:paraId="39DE0CEA" w14:textId="77777777" w:rsidR="00096609" w:rsidRPr="002F7DAF" w:rsidRDefault="00096609" w:rsidP="00096609">
      <w:pPr>
        <w:pStyle w:val="FootnoteText"/>
      </w:pPr>
      <w:r w:rsidRPr="002F7DAF">
        <w:rPr>
          <w:rStyle w:val="FootnoteReference"/>
        </w:rPr>
        <w:footnoteRef/>
      </w:r>
      <w:r w:rsidRPr="002F7DAF">
        <w:t xml:space="preserve"> Bureau of Labor Statistics, https://www.bls.gov/oes/current/oes113121.htm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16F" w14:textId="77777777" w:rsidR="007930AD" w:rsidRDefault="002B337D">
    <w:pPr>
      <w:pStyle w:val="Header"/>
    </w:pPr>
    <w:r>
      <w:t xml:space="preserve">Joint Standards </w:t>
    </w:r>
    <w:r w:rsidR="00AD2FFF">
      <w:t xml:space="preserve">and CFPB Standards </w:t>
    </w:r>
    <w:r>
      <w:t>for Assessing the Diversity Policies and Practices</w:t>
    </w:r>
  </w:p>
  <w:p w14:paraId="55C694D9" w14:textId="0A56820D" w:rsidR="00B35205" w:rsidRDefault="00B35205">
    <w:pPr>
      <w:pStyle w:val="Header"/>
    </w:pPr>
    <w:r>
      <w:t>OMB Control Number</w:t>
    </w:r>
    <w:r w:rsidR="004D6F7D">
      <w:t>:</w:t>
    </w:r>
    <w:r>
      <w:t xml:space="preserve"> </w:t>
    </w:r>
    <w:r w:rsidR="00E81562">
      <w:t>3170-</w:t>
    </w:r>
    <w:r w:rsidR="002B337D">
      <w:t>0060</w:t>
    </w:r>
  </w:p>
  <w:p w14:paraId="33C7DABB" w14:textId="50274542" w:rsidR="005D6A91" w:rsidRDefault="005D6A91">
    <w:pPr>
      <w:pStyle w:val="Header"/>
    </w:pPr>
    <w:r>
      <w:t>RIN: N/A</w:t>
    </w:r>
  </w:p>
  <w:p w14:paraId="1930D639" w14:textId="355A5B1A" w:rsidR="00B35205" w:rsidRDefault="00B35205" w:rsidP="00B76B52">
    <w:pPr>
      <w:pStyle w:val="Header"/>
    </w:pPr>
    <w:r>
      <w:t xml:space="preserve">OMB Expiration Date: </w:t>
    </w:r>
    <w:r w:rsidR="002B337D">
      <w:t>8/31/</w:t>
    </w:r>
    <w:r w:rsidR="003F2A19">
      <w:t>2022</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2013E"/>
    <w:multiLevelType w:val="hybridMultilevel"/>
    <w:tmpl w:val="D1E8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8" w15:restartNumberingAfterBreak="0">
    <w:nsid w:val="39756FA6"/>
    <w:multiLevelType w:val="hybridMultilevel"/>
    <w:tmpl w:val="F592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9"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9C13049"/>
    <w:multiLevelType w:val="hybridMultilevel"/>
    <w:tmpl w:val="45EC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8"/>
  </w:num>
  <w:num w:numId="4">
    <w:abstractNumId w:val="9"/>
  </w:num>
  <w:num w:numId="5">
    <w:abstractNumId w:val="15"/>
  </w:num>
  <w:num w:numId="6">
    <w:abstractNumId w:val="14"/>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19"/>
  </w:num>
  <w:num w:numId="17">
    <w:abstractNumId w:val="3"/>
  </w:num>
  <w:num w:numId="18">
    <w:abstractNumId w:val="7"/>
  </w:num>
  <w:num w:numId="19">
    <w:abstractNumId w:val="4"/>
  </w:num>
  <w:num w:numId="20">
    <w:abstractNumId w:val="11"/>
  </w:num>
  <w:num w:numId="21">
    <w:abstractNumId w:val="0"/>
  </w:num>
  <w:num w:numId="22">
    <w:abstractNumId w:val="8"/>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169C7"/>
    <w:rsid w:val="000267DB"/>
    <w:rsid w:val="00032848"/>
    <w:rsid w:val="00032C14"/>
    <w:rsid w:val="00034C49"/>
    <w:rsid w:val="00035E5E"/>
    <w:rsid w:val="0004229D"/>
    <w:rsid w:val="0005070D"/>
    <w:rsid w:val="000533A4"/>
    <w:rsid w:val="0005687E"/>
    <w:rsid w:val="00057AB2"/>
    <w:rsid w:val="00057B87"/>
    <w:rsid w:val="00065C8D"/>
    <w:rsid w:val="0007006A"/>
    <w:rsid w:val="00071C66"/>
    <w:rsid w:val="00072D86"/>
    <w:rsid w:val="000743D8"/>
    <w:rsid w:val="000763B3"/>
    <w:rsid w:val="00080781"/>
    <w:rsid w:val="00081109"/>
    <w:rsid w:val="00091AE1"/>
    <w:rsid w:val="00092D91"/>
    <w:rsid w:val="00092F30"/>
    <w:rsid w:val="0009401F"/>
    <w:rsid w:val="00096609"/>
    <w:rsid w:val="000A44E3"/>
    <w:rsid w:val="000B1727"/>
    <w:rsid w:val="000C1729"/>
    <w:rsid w:val="000C39BD"/>
    <w:rsid w:val="000D0B4D"/>
    <w:rsid w:val="000D0D84"/>
    <w:rsid w:val="000D137E"/>
    <w:rsid w:val="000D3E1A"/>
    <w:rsid w:val="000D4FF3"/>
    <w:rsid w:val="000D74D0"/>
    <w:rsid w:val="000E3A06"/>
    <w:rsid w:val="000E3ABC"/>
    <w:rsid w:val="000E6AE4"/>
    <w:rsid w:val="000F0DD6"/>
    <w:rsid w:val="000F5117"/>
    <w:rsid w:val="00100120"/>
    <w:rsid w:val="0010562F"/>
    <w:rsid w:val="00110A9B"/>
    <w:rsid w:val="00110F8E"/>
    <w:rsid w:val="00114732"/>
    <w:rsid w:val="001323EA"/>
    <w:rsid w:val="001345AE"/>
    <w:rsid w:val="001346E6"/>
    <w:rsid w:val="00135A84"/>
    <w:rsid w:val="00141E34"/>
    <w:rsid w:val="00143C38"/>
    <w:rsid w:val="00143D87"/>
    <w:rsid w:val="00145A40"/>
    <w:rsid w:val="00150BAE"/>
    <w:rsid w:val="00162371"/>
    <w:rsid w:val="001624A3"/>
    <w:rsid w:val="001639C2"/>
    <w:rsid w:val="001650D5"/>
    <w:rsid w:val="00165E1D"/>
    <w:rsid w:val="00166D3B"/>
    <w:rsid w:val="00166FBE"/>
    <w:rsid w:val="00177293"/>
    <w:rsid w:val="00187617"/>
    <w:rsid w:val="001912C5"/>
    <w:rsid w:val="00194264"/>
    <w:rsid w:val="001A2526"/>
    <w:rsid w:val="001B11BF"/>
    <w:rsid w:val="001B12AF"/>
    <w:rsid w:val="001B2D41"/>
    <w:rsid w:val="001B3D00"/>
    <w:rsid w:val="001B50EB"/>
    <w:rsid w:val="001C1DAC"/>
    <w:rsid w:val="001C4457"/>
    <w:rsid w:val="001C59A8"/>
    <w:rsid w:val="001D5558"/>
    <w:rsid w:val="001D7264"/>
    <w:rsid w:val="001E1FBA"/>
    <w:rsid w:val="001E418A"/>
    <w:rsid w:val="001F0989"/>
    <w:rsid w:val="002029FA"/>
    <w:rsid w:val="00202E8B"/>
    <w:rsid w:val="002051BD"/>
    <w:rsid w:val="00205872"/>
    <w:rsid w:val="002063CD"/>
    <w:rsid w:val="002064EC"/>
    <w:rsid w:val="00211F72"/>
    <w:rsid w:val="002153B7"/>
    <w:rsid w:val="002215EA"/>
    <w:rsid w:val="00226237"/>
    <w:rsid w:val="00227AD1"/>
    <w:rsid w:val="00227CB5"/>
    <w:rsid w:val="00230C56"/>
    <w:rsid w:val="00232FCC"/>
    <w:rsid w:val="0023313C"/>
    <w:rsid w:val="002341FB"/>
    <w:rsid w:val="00235BD3"/>
    <w:rsid w:val="00246461"/>
    <w:rsid w:val="0025091D"/>
    <w:rsid w:val="00250EE2"/>
    <w:rsid w:val="00253FF0"/>
    <w:rsid w:val="00255107"/>
    <w:rsid w:val="00256325"/>
    <w:rsid w:val="002678C2"/>
    <w:rsid w:val="00273390"/>
    <w:rsid w:val="00274CC0"/>
    <w:rsid w:val="00294DF4"/>
    <w:rsid w:val="0029506E"/>
    <w:rsid w:val="0029700C"/>
    <w:rsid w:val="002B0AB2"/>
    <w:rsid w:val="002B337D"/>
    <w:rsid w:val="002B341A"/>
    <w:rsid w:val="002B7700"/>
    <w:rsid w:val="002C126F"/>
    <w:rsid w:val="002C5F25"/>
    <w:rsid w:val="002C6BC6"/>
    <w:rsid w:val="002D1431"/>
    <w:rsid w:val="002D19AD"/>
    <w:rsid w:val="002D2C81"/>
    <w:rsid w:val="002D5173"/>
    <w:rsid w:val="002D789D"/>
    <w:rsid w:val="002D7ED0"/>
    <w:rsid w:val="002E0E6B"/>
    <w:rsid w:val="002E65EF"/>
    <w:rsid w:val="002E7B73"/>
    <w:rsid w:val="002F17DC"/>
    <w:rsid w:val="002F2067"/>
    <w:rsid w:val="002F4F70"/>
    <w:rsid w:val="002F7DAF"/>
    <w:rsid w:val="00302B1C"/>
    <w:rsid w:val="0030596A"/>
    <w:rsid w:val="003105AC"/>
    <w:rsid w:val="00312C7C"/>
    <w:rsid w:val="003161D3"/>
    <w:rsid w:val="0031698E"/>
    <w:rsid w:val="00316F7F"/>
    <w:rsid w:val="00316F87"/>
    <w:rsid w:val="00316FE0"/>
    <w:rsid w:val="003225D2"/>
    <w:rsid w:val="003252C5"/>
    <w:rsid w:val="00326A89"/>
    <w:rsid w:val="00327A0B"/>
    <w:rsid w:val="0033632B"/>
    <w:rsid w:val="003372E9"/>
    <w:rsid w:val="00340510"/>
    <w:rsid w:val="003427C8"/>
    <w:rsid w:val="00345720"/>
    <w:rsid w:val="00347D13"/>
    <w:rsid w:val="003560DF"/>
    <w:rsid w:val="00357FB4"/>
    <w:rsid w:val="0036198E"/>
    <w:rsid w:val="003655B8"/>
    <w:rsid w:val="00366EAF"/>
    <w:rsid w:val="00375A67"/>
    <w:rsid w:val="0038607F"/>
    <w:rsid w:val="0038749E"/>
    <w:rsid w:val="003A1CBC"/>
    <w:rsid w:val="003A66A4"/>
    <w:rsid w:val="003B4917"/>
    <w:rsid w:val="003C30A7"/>
    <w:rsid w:val="003C4F2E"/>
    <w:rsid w:val="003D08B9"/>
    <w:rsid w:val="003D1A46"/>
    <w:rsid w:val="003D3ED3"/>
    <w:rsid w:val="003D6C6B"/>
    <w:rsid w:val="003D6EA7"/>
    <w:rsid w:val="003E083F"/>
    <w:rsid w:val="003E34FA"/>
    <w:rsid w:val="003E4A9E"/>
    <w:rsid w:val="003F2A19"/>
    <w:rsid w:val="00400934"/>
    <w:rsid w:val="00402283"/>
    <w:rsid w:val="00404337"/>
    <w:rsid w:val="00405528"/>
    <w:rsid w:val="00420514"/>
    <w:rsid w:val="00426D4F"/>
    <w:rsid w:val="00427149"/>
    <w:rsid w:val="004318BF"/>
    <w:rsid w:val="00433D35"/>
    <w:rsid w:val="004342CA"/>
    <w:rsid w:val="00441BED"/>
    <w:rsid w:val="004460F3"/>
    <w:rsid w:val="00450335"/>
    <w:rsid w:val="00453F4A"/>
    <w:rsid w:val="004715B3"/>
    <w:rsid w:val="00473ADB"/>
    <w:rsid w:val="0047444F"/>
    <w:rsid w:val="00475305"/>
    <w:rsid w:val="00477376"/>
    <w:rsid w:val="00481A62"/>
    <w:rsid w:val="00484654"/>
    <w:rsid w:val="0048530B"/>
    <w:rsid w:val="004863FC"/>
    <w:rsid w:val="00486C34"/>
    <w:rsid w:val="00487A05"/>
    <w:rsid w:val="0049122F"/>
    <w:rsid w:val="00495FBF"/>
    <w:rsid w:val="0049767C"/>
    <w:rsid w:val="004A0B82"/>
    <w:rsid w:val="004A0C5F"/>
    <w:rsid w:val="004A5D8F"/>
    <w:rsid w:val="004A7DC4"/>
    <w:rsid w:val="004B45A2"/>
    <w:rsid w:val="004B7532"/>
    <w:rsid w:val="004C0E57"/>
    <w:rsid w:val="004C77CB"/>
    <w:rsid w:val="004D4ADC"/>
    <w:rsid w:val="004D665B"/>
    <w:rsid w:val="004D6F7D"/>
    <w:rsid w:val="004E18CD"/>
    <w:rsid w:val="004E1F5B"/>
    <w:rsid w:val="005061D0"/>
    <w:rsid w:val="00511C92"/>
    <w:rsid w:val="00513ACA"/>
    <w:rsid w:val="005148FE"/>
    <w:rsid w:val="0051614E"/>
    <w:rsid w:val="005168DD"/>
    <w:rsid w:val="00516CC6"/>
    <w:rsid w:val="005201ED"/>
    <w:rsid w:val="005224E0"/>
    <w:rsid w:val="0052678D"/>
    <w:rsid w:val="005270DF"/>
    <w:rsid w:val="00532872"/>
    <w:rsid w:val="00533076"/>
    <w:rsid w:val="005339D5"/>
    <w:rsid w:val="00536006"/>
    <w:rsid w:val="00536912"/>
    <w:rsid w:val="005372F1"/>
    <w:rsid w:val="0054189C"/>
    <w:rsid w:val="0054251A"/>
    <w:rsid w:val="00551FD9"/>
    <w:rsid w:val="00553771"/>
    <w:rsid w:val="00564F8F"/>
    <w:rsid w:val="0057278C"/>
    <w:rsid w:val="00573509"/>
    <w:rsid w:val="00574196"/>
    <w:rsid w:val="0057551F"/>
    <w:rsid w:val="005922C4"/>
    <w:rsid w:val="00594C60"/>
    <w:rsid w:val="00595988"/>
    <w:rsid w:val="0059681A"/>
    <w:rsid w:val="005A04FC"/>
    <w:rsid w:val="005A1AE0"/>
    <w:rsid w:val="005B3933"/>
    <w:rsid w:val="005B6341"/>
    <w:rsid w:val="005C602C"/>
    <w:rsid w:val="005D0484"/>
    <w:rsid w:val="005D2B19"/>
    <w:rsid w:val="005D6A91"/>
    <w:rsid w:val="005D6DBE"/>
    <w:rsid w:val="005E5175"/>
    <w:rsid w:val="005F1FFC"/>
    <w:rsid w:val="005F249F"/>
    <w:rsid w:val="005F404A"/>
    <w:rsid w:val="00600A9A"/>
    <w:rsid w:val="006213DD"/>
    <w:rsid w:val="00625395"/>
    <w:rsid w:val="00626F36"/>
    <w:rsid w:val="006312FA"/>
    <w:rsid w:val="006325E8"/>
    <w:rsid w:val="00634112"/>
    <w:rsid w:val="00635204"/>
    <w:rsid w:val="00637913"/>
    <w:rsid w:val="006416E1"/>
    <w:rsid w:val="00641707"/>
    <w:rsid w:val="00643848"/>
    <w:rsid w:val="00645F9C"/>
    <w:rsid w:val="00650767"/>
    <w:rsid w:val="00652F45"/>
    <w:rsid w:val="0065680E"/>
    <w:rsid w:val="00664D05"/>
    <w:rsid w:val="00665C34"/>
    <w:rsid w:val="00672866"/>
    <w:rsid w:val="00673E94"/>
    <w:rsid w:val="006769EB"/>
    <w:rsid w:val="0068349A"/>
    <w:rsid w:val="00690B79"/>
    <w:rsid w:val="006943BE"/>
    <w:rsid w:val="006A4087"/>
    <w:rsid w:val="006A5577"/>
    <w:rsid w:val="006B7AD2"/>
    <w:rsid w:val="006C511F"/>
    <w:rsid w:val="006C7C21"/>
    <w:rsid w:val="006D05E1"/>
    <w:rsid w:val="006D1E8C"/>
    <w:rsid w:val="006D1EE2"/>
    <w:rsid w:val="006D37FD"/>
    <w:rsid w:val="006D4E10"/>
    <w:rsid w:val="006E107B"/>
    <w:rsid w:val="006E2197"/>
    <w:rsid w:val="006E6951"/>
    <w:rsid w:val="006F0A01"/>
    <w:rsid w:val="006F13DD"/>
    <w:rsid w:val="006F2252"/>
    <w:rsid w:val="006F3814"/>
    <w:rsid w:val="007011FA"/>
    <w:rsid w:val="007059EE"/>
    <w:rsid w:val="00706218"/>
    <w:rsid w:val="00710CC5"/>
    <w:rsid w:val="007134C7"/>
    <w:rsid w:val="00715C7F"/>
    <w:rsid w:val="00716EC4"/>
    <w:rsid w:val="00725AAA"/>
    <w:rsid w:val="007319B7"/>
    <w:rsid w:val="00732F4F"/>
    <w:rsid w:val="00733C46"/>
    <w:rsid w:val="007355AA"/>
    <w:rsid w:val="00744ECB"/>
    <w:rsid w:val="0074629B"/>
    <w:rsid w:val="00751358"/>
    <w:rsid w:val="00754EE7"/>
    <w:rsid w:val="0076100C"/>
    <w:rsid w:val="00763D5B"/>
    <w:rsid w:val="00765C7B"/>
    <w:rsid w:val="00791AC9"/>
    <w:rsid w:val="007930AD"/>
    <w:rsid w:val="0079339F"/>
    <w:rsid w:val="00793479"/>
    <w:rsid w:val="0079547E"/>
    <w:rsid w:val="007A30EB"/>
    <w:rsid w:val="007A6EE8"/>
    <w:rsid w:val="007A7264"/>
    <w:rsid w:val="007B7C5C"/>
    <w:rsid w:val="007C0923"/>
    <w:rsid w:val="007C32FB"/>
    <w:rsid w:val="007C353A"/>
    <w:rsid w:val="007C3C35"/>
    <w:rsid w:val="007C46A8"/>
    <w:rsid w:val="007C7E60"/>
    <w:rsid w:val="007D3D93"/>
    <w:rsid w:val="007D64F6"/>
    <w:rsid w:val="007E7937"/>
    <w:rsid w:val="007E7E37"/>
    <w:rsid w:val="007F3057"/>
    <w:rsid w:val="007F35B6"/>
    <w:rsid w:val="007F3915"/>
    <w:rsid w:val="007F4556"/>
    <w:rsid w:val="00800EE6"/>
    <w:rsid w:val="00810DE4"/>
    <w:rsid w:val="00810FF4"/>
    <w:rsid w:val="0081330B"/>
    <w:rsid w:val="00814193"/>
    <w:rsid w:val="00814413"/>
    <w:rsid w:val="00816792"/>
    <w:rsid w:val="00816AA8"/>
    <w:rsid w:val="0082015F"/>
    <w:rsid w:val="00820EEB"/>
    <w:rsid w:val="00821505"/>
    <w:rsid w:val="00823FDC"/>
    <w:rsid w:val="00831164"/>
    <w:rsid w:val="00842391"/>
    <w:rsid w:val="00844825"/>
    <w:rsid w:val="00855E15"/>
    <w:rsid w:val="008573A2"/>
    <w:rsid w:val="008576C7"/>
    <w:rsid w:val="008671F9"/>
    <w:rsid w:val="00870AD0"/>
    <w:rsid w:val="00875B65"/>
    <w:rsid w:val="00881281"/>
    <w:rsid w:val="0088222A"/>
    <w:rsid w:val="00882935"/>
    <w:rsid w:val="00890F7A"/>
    <w:rsid w:val="008964E9"/>
    <w:rsid w:val="008970DC"/>
    <w:rsid w:val="008A32FA"/>
    <w:rsid w:val="008A6525"/>
    <w:rsid w:val="008B001F"/>
    <w:rsid w:val="008B1EF8"/>
    <w:rsid w:val="008B2CB9"/>
    <w:rsid w:val="008B40CD"/>
    <w:rsid w:val="008B54DF"/>
    <w:rsid w:val="008B677D"/>
    <w:rsid w:val="008B6DD2"/>
    <w:rsid w:val="008C0D1A"/>
    <w:rsid w:val="008C44A7"/>
    <w:rsid w:val="008C7818"/>
    <w:rsid w:val="008D3161"/>
    <w:rsid w:val="008D38AE"/>
    <w:rsid w:val="008D3940"/>
    <w:rsid w:val="008E0371"/>
    <w:rsid w:val="008E164F"/>
    <w:rsid w:val="008E3E92"/>
    <w:rsid w:val="008E5D30"/>
    <w:rsid w:val="008E777F"/>
    <w:rsid w:val="008F2CF5"/>
    <w:rsid w:val="0090025B"/>
    <w:rsid w:val="00904477"/>
    <w:rsid w:val="0091441E"/>
    <w:rsid w:val="0092092B"/>
    <w:rsid w:val="00923029"/>
    <w:rsid w:val="009336CF"/>
    <w:rsid w:val="009351CF"/>
    <w:rsid w:val="00935E5E"/>
    <w:rsid w:val="009408B0"/>
    <w:rsid w:val="00947393"/>
    <w:rsid w:val="00951F27"/>
    <w:rsid w:val="00954684"/>
    <w:rsid w:val="00955CDF"/>
    <w:rsid w:val="009606E7"/>
    <w:rsid w:val="0096415E"/>
    <w:rsid w:val="00964C74"/>
    <w:rsid w:val="009664D0"/>
    <w:rsid w:val="00967432"/>
    <w:rsid w:val="0097154F"/>
    <w:rsid w:val="00971902"/>
    <w:rsid w:val="00973293"/>
    <w:rsid w:val="00977470"/>
    <w:rsid w:val="00990CFC"/>
    <w:rsid w:val="009936CA"/>
    <w:rsid w:val="00994943"/>
    <w:rsid w:val="00996A0D"/>
    <w:rsid w:val="009A13BD"/>
    <w:rsid w:val="009A4E79"/>
    <w:rsid w:val="009A641F"/>
    <w:rsid w:val="009B1850"/>
    <w:rsid w:val="009B30FA"/>
    <w:rsid w:val="009B3CA2"/>
    <w:rsid w:val="009C07B4"/>
    <w:rsid w:val="009C0A33"/>
    <w:rsid w:val="009C10E1"/>
    <w:rsid w:val="009C5ABF"/>
    <w:rsid w:val="009C7539"/>
    <w:rsid w:val="009C778D"/>
    <w:rsid w:val="009D195A"/>
    <w:rsid w:val="009D33D2"/>
    <w:rsid w:val="009D412E"/>
    <w:rsid w:val="009D7886"/>
    <w:rsid w:val="009E1042"/>
    <w:rsid w:val="009E47CC"/>
    <w:rsid w:val="009E76E0"/>
    <w:rsid w:val="009F0BC4"/>
    <w:rsid w:val="009F3A08"/>
    <w:rsid w:val="009F42EA"/>
    <w:rsid w:val="009F4360"/>
    <w:rsid w:val="009F4469"/>
    <w:rsid w:val="009F49A3"/>
    <w:rsid w:val="009F6E69"/>
    <w:rsid w:val="009F7E64"/>
    <w:rsid w:val="00A0364C"/>
    <w:rsid w:val="00A0474C"/>
    <w:rsid w:val="00A06C9A"/>
    <w:rsid w:val="00A13C84"/>
    <w:rsid w:val="00A30AA0"/>
    <w:rsid w:val="00A31F7B"/>
    <w:rsid w:val="00A358CE"/>
    <w:rsid w:val="00A36144"/>
    <w:rsid w:val="00A36A4E"/>
    <w:rsid w:val="00A4452C"/>
    <w:rsid w:val="00A55878"/>
    <w:rsid w:val="00A622E9"/>
    <w:rsid w:val="00A637BE"/>
    <w:rsid w:val="00A67A6C"/>
    <w:rsid w:val="00A71151"/>
    <w:rsid w:val="00A80B6F"/>
    <w:rsid w:val="00A818AE"/>
    <w:rsid w:val="00A83ED2"/>
    <w:rsid w:val="00A84128"/>
    <w:rsid w:val="00A90DA3"/>
    <w:rsid w:val="00A92A19"/>
    <w:rsid w:val="00A93967"/>
    <w:rsid w:val="00A94E54"/>
    <w:rsid w:val="00AA633C"/>
    <w:rsid w:val="00AA66A0"/>
    <w:rsid w:val="00AA6EC1"/>
    <w:rsid w:val="00AB4536"/>
    <w:rsid w:val="00AB745F"/>
    <w:rsid w:val="00AB7C75"/>
    <w:rsid w:val="00AC2DFF"/>
    <w:rsid w:val="00AC447C"/>
    <w:rsid w:val="00AC6EAE"/>
    <w:rsid w:val="00AD0BCB"/>
    <w:rsid w:val="00AD2890"/>
    <w:rsid w:val="00AD2FFF"/>
    <w:rsid w:val="00AD7C75"/>
    <w:rsid w:val="00AF1678"/>
    <w:rsid w:val="00AF51D0"/>
    <w:rsid w:val="00B0041E"/>
    <w:rsid w:val="00B021C5"/>
    <w:rsid w:val="00B02F1E"/>
    <w:rsid w:val="00B03988"/>
    <w:rsid w:val="00B07D28"/>
    <w:rsid w:val="00B10271"/>
    <w:rsid w:val="00B16815"/>
    <w:rsid w:val="00B258FB"/>
    <w:rsid w:val="00B30BA4"/>
    <w:rsid w:val="00B35205"/>
    <w:rsid w:val="00B364AF"/>
    <w:rsid w:val="00B43E7B"/>
    <w:rsid w:val="00B518EF"/>
    <w:rsid w:val="00B5483C"/>
    <w:rsid w:val="00B64D1B"/>
    <w:rsid w:val="00B7194A"/>
    <w:rsid w:val="00B730E3"/>
    <w:rsid w:val="00B75CCC"/>
    <w:rsid w:val="00B76B52"/>
    <w:rsid w:val="00B76BED"/>
    <w:rsid w:val="00B804F3"/>
    <w:rsid w:val="00B80AA5"/>
    <w:rsid w:val="00B813DE"/>
    <w:rsid w:val="00B83D4F"/>
    <w:rsid w:val="00B85F31"/>
    <w:rsid w:val="00B860C7"/>
    <w:rsid w:val="00B92BDE"/>
    <w:rsid w:val="00B94CF7"/>
    <w:rsid w:val="00B96DD6"/>
    <w:rsid w:val="00B974E3"/>
    <w:rsid w:val="00BA1433"/>
    <w:rsid w:val="00BA213C"/>
    <w:rsid w:val="00BA2E10"/>
    <w:rsid w:val="00BA4383"/>
    <w:rsid w:val="00BA5ED3"/>
    <w:rsid w:val="00BB2DC4"/>
    <w:rsid w:val="00BC10FD"/>
    <w:rsid w:val="00BC16BB"/>
    <w:rsid w:val="00BC56A2"/>
    <w:rsid w:val="00BC5B56"/>
    <w:rsid w:val="00BD42E6"/>
    <w:rsid w:val="00BD440C"/>
    <w:rsid w:val="00BD596F"/>
    <w:rsid w:val="00BD634B"/>
    <w:rsid w:val="00BD789B"/>
    <w:rsid w:val="00BD7D0B"/>
    <w:rsid w:val="00BE11C6"/>
    <w:rsid w:val="00BE3B31"/>
    <w:rsid w:val="00BE4034"/>
    <w:rsid w:val="00BE414D"/>
    <w:rsid w:val="00BE4FA9"/>
    <w:rsid w:val="00BE61FE"/>
    <w:rsid w:val="00BE7EAD"/>
    <w:rsid w:val="00BF3B8E"/>
    <w:rsid w:val="00BF6D43"/>
    <w:rsid w:val="00C01BBE"/>
    <w:rsid w:val="00C05B3E"/>
    <w:rsid w:val="00C26D14"/>
    <w:rsid w:val="00C309FD"/>
    <w:rsid w:val="00C3225C"/>
    <w:rsid w:val="00C34282"/>
    <w:rsid w:val="00C34CD3"/>
    <w:rsid w:val="00C37D4E"/>
    <w:rsid w:val="00C40CD8"/>
    <w:rsid w:val="00C41186"/>
    <w:rsid w:val="00C4132E"/>
    <w:rsid w:val="00C41820"/>
    <w:rsid w:val="00C447A0"/>
    <w:rsid w:val="00C44DA9"/>
    <w:rsid w:val="00C51760"/>
    <w:rsid w:val="00C55581"/>
    <w:rsid w:val="00C602F5"/>
    <w:rsid w:val="00C62364"/>
    <w:rsid w:val="00C6633F"/>
    <w:rsid w:val="00C701D2"/>
    <w:rsid w:val="00C70859"/>
    <w:rsid w:val="00C71A4C"/>
    <w:rsid w:val="00C7631A"/>
    <w:rsid w:val="00C801D4"/>
    <w:rsid w:val="00C812E5"/>
    <w:rsid w:val="00C83FBC"/>
    <w:rsid w:val="00C86DD8"/>
    <w:rsid w:val="00C8745F"/>
    <w:rsid w:val="00C94030"/>
    <w:rsid w:val="00C96548"/>
    <w:rsid w:val="00CA6DAB"/>
    <w:rsid w:val="00CB33D0"/>
    <w:rsid w:val="00CB5026"/>
    <w:rsid w:val="00CB6B31"/>
    <w:rsid w:val="00CB6D80"/>
    <w:rsid w:val="00CC2076"/>
    <w:rsid w:val="00CC2D48"/>
    <w:rsid w:val="00CC384D"/>
    <w:rsid w:val="00CC45DE"/>
    <w:rsid w:val="00CC48F5"/>
    <w:rsid w:val="00CC5231"/>
    <w:rsid w:val="00CC7299"/>
    <w:rsid w:val="00CC7831"/>
    <w:rsid w:val="00CD5F33"/>
    <w:rsid w:val="00CE13C5"/>
    <w:rsid w:val="00CE2CA6"/>
    <w:rsid w:val="00CE36FF"/>
    <w:rsid w:val="00CE65D6"/>
    <w:rsid w:val="00CE6EF6"/>
    <w:rsid w:val="00CE781E"/>
    <w:rsid w:val="00CF1807"/>
    <w:rsid w:val="00CF54AB"/>
    <w:rsid w:val="00CF6E73"/>
    <w:rsid w:val="00CF774B"/>
    <w:rsid w:val="00D01BC3"/>
    <w:rsid w:val="00D030D2"/>
    <w:rsid w:val="00D047B8"/>
    <w:rsid w:val="00D05BD6"/>
    <w:rsid w:val="00D13CC0"/>
    <w:rsid w:val="00D152D6"/>
    <w:rsid w:val="00D1640B"/>
    <w:rsid w:val="00D1651F"/>
    <w:rsid w:val="00D1702D"/>
    <w:rsid w:val="00D21C2B"/>
    <w:rsid w:val="00D21CAF"/>
    <w:rsid w:val="00D23F91"/>
    <w:rsid w:val="00D27EE7"/>
    <w:rsid w:val="00D35AC9"/>
    <w:rsid w:val="00D35E81"/>
    <w:rsid w:val="00D41323"/>
    <w:rsid w:val="00D51A8E"/>
    <w:rsid w:val="00D5266A"/>
    <w:rsid w:val="00D54E06"/>
    <w:rsid w:val="00D561AD"/>
    <w:rsid w:val="00D57647"/>
    <w:rsid w:val="00D6588C"/>
    <w:rsid w:val="00D77B56"/>
    <w:rsid w:val="00D84541"/>
    <w:rsid w:val="00D86091"/>
    <w:rsid w:val="00DA0CF0"/>
    <w:rsid w:val="00DA62F9"/>
    <w:rsid w:val="00DB621A"/>
    <w:rsid w:val="00DB6F02"/>
    <w:rsid w:val="00DC0304"/>
    <w:rsid w:val="00DD1FDE"/>
    <w:rsid w:val="00DD20FC"/>
    <w:rsid w:val="00DD3EB0"/>
    <w:rsid w:val="00DD40BE"/>
    <w:rsid w:val="00DD6F06"/>
    <w:rsid w:val="00DE2E05"/>
    <w:rsid w:val="00DE3025"/>
    <w:rsid w:val="00DE6849"/>
    <w:rsid w:val="00DE70D6"/>
    <w:rsid w:val="00DF2DAA"/>
    <w:rsid w:val="00E0047E"/>
    <w:rsid w:val="00E0306E"/>
    <w:rsid w:val="00E16BA7"/>
    <w:rsid w:val="00E22590"/>
    <w:rsid w:val="00E2261E"/>
    <w:rsid w:val="00E22A8C"/>
    <w:rsid w:val="00E2598F"/>
    <w:rsid w:val="00E30F77"/>
    <w:rsid w:val="00E31770"/>
    <w:rsid w:val="00E34C47"/>
    <w:rsid w:val="00E35C99"/>
    <w:rsid w:val="00E365FF"/>
    <w:rsid w:val="00E44531"/>
    <w:rsid w:val="00E509E8"/>
    <w:rsid w:val="00E5129B"/>
    <w:rsid w:val="00E522E2"/>
    <w:rsid w:val="00E577E0"/>
    <w:rsid w:val="00E6073A"/>
    <w:rsid w:val="00E60742"/>
    <w:rsid w:val="00E621CC"/>
    <w:rsid w:val="00E63DE1"/>
    <w:rsid w:val="00E66CDA"/>
    <w:rsid w:val="00E72701"/>
    <w:rsid w:val="00E81562"/>
    <w:rsid w:val="00E81DA1"/>
    <w:rsid w:val="00E841E1"/>
    <w:rsid w:val="00E85B4C"/>
    <w:rsid w:val="00E939D3"/>
    <w:rsid w:val="00E969FB"/>
    <w:rsid w:val="00EA1984"/>
    <w:rsid w:val="00EA669E"/>
    <w:rsid w:val="00EA7F9F"/>
    <w:rsid w:val="00EB0A8A"/>
    <w:rsid w:val="00EB4DF0"/>
    <w:rsid w:val="00EB554A"/>
    <w:rsid w:val="00EC2804"/>
    <w:rsid w:val="00EC5636"/>
    <w:rsid w:val="00ED26B5"/>
    <w:rsid w:val="00ED4240"/>
    <w:rsid w:val="00EE31E1"/>
    <w:rsid w:val="00EE6C88"/>
    <w:rsid w:val="00F04735"/>
    <w:rsid w:val="00F07733"/>
    <w:rsid w:val="00F07C26"/>
    <w:rsid w:val="00F10718"/>
    <w:rsid w:val="00F10F75"/>
    <w:rsid w:val="00F12FB6"/>
    <w:rsid w:val="00F13A08"/>
    <w:rsid w:val="00F1588B"/>
    <w:rsid w:val="00F213B5"/>
    <w:rsid w:val="00F2419A"/>
    <w:rsid w:val="00F26141"/>
    <w:rsid w:val="00F307E5"/>
    <w:rsid w:val="00F31C66"/>
    <w:rsid w:val="00F32331"/>
    <w:rsid w:val="00F32901"/>
    <w:rsid w:val="00F348C5"/>
    <w:rsid w:val="00F430A2"/>
    <w:rsid w:val="00F43FAC"/>
    <w:rsid w:val="00F449B5"/>
    <w:rsid w:val="00F50D5F"/>
    <w:rsid w:val="00F52081"/>
    <w:rsid w:val="00F52D42"/>
    <w:rsid w:val="00F561CC"/>
    <w:rsid w:val="00F60B0E"/>
    <w:rsid w:val="00F62EE2"/>
    <w:rsid w:val="00F660E8"/>
    <w:rsid w:val="00F70BBC"/>
    <w:rsid w:val="00F7353F"/>
    <w:rsid w:val="00F763A9"/>
    <w:rsid w:val="00F804DD"/>
    <w:rsid w:val="00F83ECD"/>
    <w:rsid w:val="00F84AAA"/>
    <w:rsid w:val="00F84AAD"/>
    <w:rsid w:val="00F85F5D"/>
    <w:rsid w:val="00F860B8"/>
    <w:rsid w:val="00F9485D"/>
    <w:rsid w:val="00F97348"/>
    <w:rsid w:val="00F97A0C"/>
    <w:rsid w:val="00FA5B24"/>
    <w:rsid w:val="00FB4384"/>
    <w:rsid w:val="00FB4B0E"/>
    <w:rsid w:val="00FB531D"/>
    <w:rsid w:val="00FC3FA3"/>
    <w:rsid w:val="00FD1E66"/>
    <w:rsid w:val="00FD39F0"/>
    <w:rsid w:val="00FD45EB"/>
    <w:rsid w:val="00FD666D"/>
    <w:rsid w:val="00FD7D8E"/>
    <w:rsid w:val="00FE04FE"/>
    <w:rsid w:val="00FE52ED"/>
    <w:rsid w:val="00FF4C3B"/>
    <w:rsid w:val="00FF4DBC"/>
    <w:rsid w:val="00FF6C53"/>
    <w:rsid w:val="011E2C2B"/>
    <w:rsid w:val="02F6A44B"/>
    <w:rsid w:val="036865EB"/>
    <w:rsid w:val="040EDFC2"/>
    <w:rsid w:val="052A4362"/>
    <w:rsid w:val="052BA226"/>
    <w:rsid w:val="056F3A51"/>
    <w:rsid w:val="07041A46"/>
    <w:rsid w:val="071458FE"/>
    <w:rsid w:val="07E79D86"/>
    <w:rsid w:val="0847FA56"/>
    <w:rsid w:val="093F7412"/>
    <w:rsid w:val="09F62CA1"/>
    <w:rsid w:val="0A066B59"/>
    <w:rsid w:val="0A57AF89"/>
    <w:rsid w:val="0AB49FE5"/>
    <w:rsid w:val="0BCE3A20"/>
    <w:rsid w:val="0D0C85AA"/>
    <w:rsid w:val="0DBEABAD"/>
    <w:rsid w:val="0DF7E3E6"/>
    <w:rsid w:val="0E54E6CC"/>
    <w:rsid w:val="0F808924"/>
    <w:rsid w:val="106BF9EA"/>
    <w:rsid w:val="110AEBDD"/>
    <w:rsid w:val="115896A3"/>
    <w:rsid w:val="118BF016"/>
    <w:rsid w:val="12729B7F"/>
    <w:rsid w:val="12C7D126"/>
    <w:rsid w:val="137605B2"/>
    <w:rsid w:val="13776476"/>
    <w:rsid w:val="139E3DD7"/>
    <w:rsid w:val="19153379"/>
    <w:rsid w:val="1A205861"/>
    <w:rsid w:val="1A3851CE"/>
    <w:rsid w:val="1B4BFAB9"/>
    <w:rsid w:val="1C0F0089"/>
    <w:rsid w:val="1C50C3B0"/>
    <w:rsid w:val="1CC8E141"/>
    <w:rsid w:val="1D3AD5B2"/>
    <w:rsid w:val="1D70ECAD"/>
    <w:rsid w:val="1E25A94E"/>
    <w:rsid w:val="1FA2FA2F"/>
    <w:rsid w:val="1FBAF39C"/>
    <w:rsid w:val="20AE1F17"/>
    <w:rsid w:val="22F9B79B"/>
    <w:rsid w:val="25351167"/>
    <w:rsid w:val="259A85C6"/>
    <w:rsid w:val="25DF7CB5"/>
    <w:rsid w:val="25EBC9F6"/>
    <w:rsid w:val="2648BA52"/>
    <w:rsid w:val="2762548D"/>
    <w:rsid w:val="297FC39C"/>
    <w:rsid w:val="2A97FF13"/>
    <w:rsid w:val="2ABF6DEA"/>
    <w:rsid w:val="2B14A391"/>
    <w:rsid w:val="2DBA0448"/>
    <w:rsid w:val="2F205027"/>
    <w:rsid w:val="304A93BB"/>
    <w:rsid w:val="31FD913E"/>
    <w:rsid w:val="3248E41E"/>
    <w:rsid w:val="325922D6"/>
    <w:rsid w:val="32D29F2B"/>
    <w:rsid w:val="3380D3B7"/>
    <w:rsid w:val="33FB195A"/>
    <w:rsid w:val="34990F2E"/>
    <w:rsid w:val="34AAACAA"/>
    <w:rsid w:val="36B0224C"/>
    <w:rsid w:val="36D85A71"/>
    <w:rsid w:val="36F5193B"/>
    <w:rsid w:val="3920017E"/>
    <w:rsid w:val="3A7A001C"/>
    <w:rsid w:val="3A805C0D"/>
    <w:rsid w:val="3B9563BC"/>
    <w:rsid w:val="3C52783C"/>
    <w:rsid w:val="3C778838"/>
    <w:rsid w:val="3D50E744"/>
    <w:rsid w:val="3DE43008"/>
    <w:rsid w:val="3E515F1C"/>
    <w:rsid w:val="3F344BDF"/>
    <w:rsid w:val="400AB890"/>
    <w:rsid w:val="40DDFD18"/>
    <w:rsid w:val="411E617B"/>
    <w:rsid w:val="413332BF"/>
    <w:rsid w:val="41BD209D"/>
    <w:rsid w:val="41DCD4BF"/>
    <w:rsid w:val="429B4803"/>
    <w:rsid w:val="42C057FF"/>
    <w:rsid w:val="44452C0D"/>
    <w:rsid w:val="4456C989"/>
    <w:rsid w:val="44D045DE"/>
    <w:rsid w:val="45306A02"/>
    <w:rsid w:val="45D2514D"/>
    <w:rsid w:val="460F5AB6"/>
    <w:rsid w:val="46FACB7C"/>
    <w:rsid w:val="4748DBE4"/>
    <w:rsid w:val="47AA919D"/>
    <w:rsid w:val="49CF8890"/>
    <w:rsid w:val="4AB46A94"/>
    <w:rsid w:val="4C2B5FCC"/>
    <w:rsid w:val="4E4EC02B"/>
    <w:rsid w:val="4E567AE0"/>
    <w:rsid w:val="4E7B8ADC"/>
    <w:rsid w:val="4E8BC994"/>
    <w:rsid w:val="4F15B772"/>
    <w:rsid w:val="4F29BF68"/>
    <w:rsid w:val="50AA9767"/>
    <w:rsid w:val="5158CBF3"/>
    <w:rsid w:val="5207007F"/>
    <w:rsid w:val="52997260"/>
    <w:rsid w:val="52B5FE59"/>
    <w:rsid w:val="531AA96A"/>
    <w:rsid w:val="533FB966"/>
    <w:rsid w:val="545B1D06"/>
    <w:rsid w:val="5679EAD9"/>
    <w:rsid w:val="57DED7F4"/>
    <w:rsid w:val="58704DB6"/>
    <w:rsid w:val="58A505ED"/>
    <w:rsid w:val="5A09F308"/>
    <w:rsid w:val="5A1B9084"/>
    <w:rsid w:val="5A8BF360"/>
    <w:rsid w:val="5B3A27EC"/>
    <w:rsid w:val="5B42ABEF"/>
    <w:rsid w:val="5D58F5BF"/>
    <w:rsid w:val="5DDAF617"/>
    <w:rsid w:val="6136460F"/>
    <w:rsid w:val="613E00C4"/>
    <w:rsid w:val="61666BBA"/>
    <w:rsid w:val="617F911A"/>
    <w:rsid w:val="63DECEEF"/>
    <w:rsid w:val="640D2B35"/>
    <w:rsid w:val="64587E15"/>
    <w:rsid w:val="64750A0E"/>
    <w:rsid w:val="65906DAE"/>
    <w:rsid w:val="676289DD"/>
    <w:rsid w:val="6819426C"/>
    <w:rsid w:val="687AC554"/>
    <w:rsid w:val="6940F34D"/>
    <w:rsid w:val="6985EA3C"/>
    <w:rsid w:val="6CEE4524"/>
    <w:rsid w:val="6D9BE43A"/>
    <w:rsid w:val="6E06809B"/>
    <w:rsid w:val="71BD622B"/>
    <w:rsid w:val="72B911A9"/>
    <w:rsid w:val="72BAA33E"/>
    <w:rsid w:val="745E3056"/>
    <w:rsid w:val="75AE4C2D"/>
    <w:rsid w:val="768190B5"/>
    <w:rsid w:val="76CE4259"/>
    <w:rsid w:val="782E9CE8"/>
    <w:rsid w:val="798709F1"/>
    <w:rsid w:val="79C054B4"/>
    <w:rsid w:val="7A8A7424"/>
    <w:rsid w:val="7A935ACC"/>
    <w:rsid w:val="7B4ED8B8"/>
    <w:rsid w:val="7C0BED38"/>
    <w:rsid w:val="7C589EDC"/>
    <w:rsid w:val="7D10E900"/>
    <w:rsid w:val="7DB29D7A"/>
    <w:rsid w:val="7E12C19E"/>
    <w:rsid w:val="7E2ABB0B"/>
    <w:rsid w:val="7EEA8D13"/>
    <w:rsid w:val="7F5AEFEF"/>
    <w:rsid w:val="7F6B2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5AC63C4E-E042-409B-9A76-56DE899D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Footnote Text Char1"/>
    <w:basedOn w:val="Normal"/>
    <w:link w:val="FootnoteTextChar"/>
    <w:uiPriority w:val="99"/>
    <w:qFormat/>
    <w:rsid w:val="00F26141"/>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12,Style 35"/>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6169">
      <w:bodyDiv w:val="1"/>
      <w:marLeft w:val="0"/>
      <w:marRight w:val="0"/>
      <w:marTop w:val="0"/>
      <w:marBottom w:val="0"/>
      <w:divBdr>
        <w:top w:val="none" w:sz="0" w:space="0" w:color="auto"/>
        <w:left w:val="none" w:sz="0" w:space="0" w:color="auto"/>
        <w:bottom w:val="none" w:sz="0" w:space="0" w:color="auto"/>
        <w:right w:val="none" w:sz="0" w:space="0" w:color="auto"/>
      </w:divBdr>
    </w:div>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76110195">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CFPBCDO-2004683907-2136346</_dlc_DocId>
    <_dlc_DocIdUrl xmlns="5e6029f0-4cb2-4578-9dca-18ac3ce3eaca">
      <Url>https://bcfp365.sharepoint.com/sites/cdo/_layouts/15/DocIdRedir.aspx?ID=CFPBCDO-2004683907-2136346</Url>
      <Description>CFPBCDO-2004683907-2136346</Description>
    </_dlc_DocIdUrl>
    <_ip_UnifiedCompliancePolicyUIAction xmlns="http://schemas.microsoft.com/sharepoint/v3" xsi:nil="true"/>
    <_ip_UnifiedCompliancePolicyProperties xmlns="http://schemas.microsoft.com/sharepoint/v3" xsi:nil="true"/>
    <lcf76f155ced4ddcb4097134ff3c332f xmlns="b7b1617e-6a94-47af-ad6f-e20732201e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4" ma:contentTypeDescription="" ma:contentTypeScope="" ma:versionID="88cb6bf59e62d70df74db7a31c0294e2">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5d86e9199b1cea83eee99df699412ef0"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6EC5-F352-4F16-934C-1CF10624062C}">
  <ds:schemaRefs>
    <ds:schemaRef ds:uri="Microsoft.SharePoint.Taxonomy.ContentTypeSync"/>
  </ds:schemaRefs>
</ds:datastoreItem>
</file>

<file path=customXml/itemProps2.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3.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 ds:uri="b7b1617e-6a94-47af-ad6f-e20732201e63"/>
  </ds:schemaRefs>
</ds:datastoreItem>
</file>

<file path=customXml/itemProps4.xml><?xml version="1.0" encoding="utf-8"?>
<ds:datastoreItem xmlns:ds="http://schemas.openxmlformats.org/officeDocument/2006/customXml" ds:itemID="{B9424CA6-C0E2-49A5-9725-ABA4292B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61733-D106-4F65-96FC-2A55AA162618}">
  <ds:schemaRefs>
    <ds:schemaRef ds:uri="http://schemas.microsoft.com/sharepoint/events"/>
  </ds:schemaRefs>
</ds:datastoreItem>
</file>

<file path=customXml/itemProps6.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21458</CharactersWithSpaces>
  <SharedDoc>false</SharedDoc>
  <HLinks>
    <vt:vector size="12" baseType="variant">
      <vt:variant>
        <vt:i4>720910</vt:i4>
      </vt:variant>
      <vt:variant>
        <vt:i4>3</vt:i4>
      </vt:variant>
      <vt:variant>
        <vt:i4>0</vt:i4>
      </vt:variant>
      <vt:variant>
        <vt:i4>5</vt:i4>
      </vt:variant>
      <vt:variant>
        <vt:lpwstr>https://www.reginfo.gov/public/do/PRAMain</vt:lpwstr>
      </vt:variant>
      <vt:variant>
        <vt:lpwstr/>
      </vt: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55</cp:revision>
  <cp:lastPrinted>2017-07-25T07:39:00Z</cp:lastPrinted>
  <dcterms:created xsi:type="dcterms:W3CDTF">2022-08-11T18:28:00Z</dcterms:created>
  <dcterms:modified xsi:type="dcterms:W3CDTF">2022-08-12T14:57:00Z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8b5d6581-411a-4fbc-ab69-c0c706940198</vt:lpwstr>
  </property>
  <property fmtid="{D5CDD505-2E9C-101B-9397-08002B2CF9AE}" pid="5" name="TaxKeyword">
    <vt:lpwstr/>
  </property>
  <property fmtid="{D5CDD505-2E9C-101B-9397-08002B2CF9AE}" pid="6" name="MediaServiceImageTags">
    <vt:lpwstr/>
  </property>
</Properties>
</file>