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5BC1" w:rsidP="00CB1E34" w:rsidRDefault="00F03177" w14:paraId="4F611AFD" w14:textId="2D5FB971">
      <w:pPr>
        <w:spacing w:after="0" w:line="259" w:lineRule="auto"/>
        <w:ind w:left="0" w:firstLine="0"/>
        <w:jc w:val="center"/>
      </w:pPr>
      <w:r>
        <w:rPr>
          <w:b/>
        </w:rPr>
        <w:t>PRIVACY OF CONSUMER FINANCIAL INFORMATION</w:t>
      </w:r>
    </w:p>
    <w:p w:rsidR="00EA5BC1" w:rsidP="00CB1E34" w:rsidRDefault="009346F0" w14:paraId="7040A9CE" w14:textId="335126CB">
      <w:pPr>
        <w:spacing w:after="0" w:line="259" w:lineRule="auto"/>
        <w:jc w:val="center"/>
      </w:pPr>
      <w:r>
        <w:rPr>
          <w:b/>
        </w:rPr>
        <w:t>(REGULATION</w:t>
      </w:r>
      <w:r w:rsidR="002531D7">
        <w:rPr>
          <w:b/>
        </w:rPr>
        <w:t xml:space="preserve"> </w:t>
      </w:r>
      <w:r w:rsidR="00F03177">
        <w:rPr>
          <w:b/>
        </w:rPr>
        <w:t>P</w:t>
      </w:r>
      <w:r>
        <w:rPr>
          <w:b/>
        </w:rPr>
        <w:t>)</w:t>
      </w:r>
    </w:p>
    <w:p w:rsidR="00EA5BC1" w:rsidP="00CB1E34" w:rsidRDefault="009346F0" w14:paraId="7BBF3E44" w14:textId="4820F6C4">
      <w:pPr>
        <w:spacing w:after="0" w:line="259" w:lineRule="auto"/>
        <w:ind w:left="16" w:right="6"/>
        <w:jc w:val="center"/>
        <w:rPr>
          <w:b/>
        </w:rPr>
      </w:pPr>
      <w:r>
        <w:rPr>
          <w:b/>
        </w:rPr>
        <w:t>(OMB CONTROL NUMBER: 3170-001</w:t>
      </w:r>
      <w:r w:rsidR="006925B0">
        <w:rPr>
          <w:b/>
        </w:rPr>
        <w:t>0</w:t>
      </w:r>
      <w:r>
        <w:rPr>
          <w:b/>
        </w:rPr>
        <w:t>)</w:t>
      </w:r>
    </w:p>
    <w:p w:rsidR="00CB1E34" w:rsidP="00F918F7" w:rsidRDefault="00CB1E34" w14:paraId="3DC471B2" w14:textId="77777777">
      <w:pPr>
        <w:spacing w:after="0" w:line="259" w:lineRule="auto"/>
        <w:ind w:left="16" w:right="6"/>
        <w:rPr>
          <w:b/>
        </w:rPr>
      </w:pPr>
    </w:p>
    <w:p w:rsidR="00CB1E34" w:rsidP="00F918F7" w:rsidRDefault="00CB1E34" w14:paraId="2AE73A99" w14:textId="77777777">
      <w:pPr>
        <w:spacing w:after="0" w:line="259" w:lineRule="auto"/>
        <w:ind w:left="16" w:right="6"/>
      </w:pPr>
    </w:p>
    <w:p w:rsidRPr="001761B2" w:rsidR="009346F0" w:rsidP="001761B2" w:rsidRDefault="009346F0" w14:paraId="1DF59BE7" w14:textId="170BCB55">
      <w:pPr>
        <w:pStyle w:val="ListParagraph"/>
        <w:numPr>
          <w:ilvl w:val="0"/>
          <w:numId w:val="5"/>
        </w:numPr>
        <w:rPr>
          <w:b/>
          <w:bCs/>
        </w:rPr>
      </w:pPr>
      <w:r w:rsidRPr="001761B2">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F6D43" w:rsidR="007D5B4B" w:rsidP="001761B2" w:rsidRDefault="007D5B4B" w14:paraId="4084EE85" w14:textId="77777777">
      <w:pPr>
        <w:pStyle w:val="ListParagraph"/>
        <w:ind w:left="370" w:firstLine="0"/>
      </w:pPr>
    </w:p>
    <w:p w:rsidRPr="00EA2129" w:rsidR="00EA2129" w:rsidP="00EA2129" w:rsidRDefault="00EA2129" w14:paraId="3C343CDC" w14:textId="3C733D4A">
      <w:pPr>
        <w:spacing w:after="240" w:line="240" w:lineRule="auto"/>
        <w:ind w:right="10"/>
        <w:rPr>
          <w:rFonts w:eastAsia="Calibri"/>
          <w:szCs w:val="24"/>
        </w:rPr>
      </w:pPr>
      <w:r w:rsidRPr="00EA2129">
        <w:rPr>
          <w:rFonts w:eastAsia="Calibri"/>
          <w:szCs w:val="24"/>
        </w:rPr>
        <w:t xml:space="preserve">Regulation P implements the requirements of </w:t>
      </w:r>
      <w:r w:rsidR="001539B6">
        <w:rPr>
          <w:rFonts w:eastAsia="Calibri"/>
          <w:szCs w:val="24"/>
        </w:rPr>
        <w:t>Gramm</w:t>
      </w:r>
      <w:r w:rsidR="0082160A">
        <w:rPr>
          <w:rFonts w:eastAsia="Calibri"/>
          <w:szCs w:val="24"/>
        </w:rPr>
        <w:t>-Leach-Bliley Act (</w:t>
      </w:r>
      <w:r w:rsidRPr="00EA2129">
        <w:rPr>
          <w:rFonts w:eastAsia="Calibri"/>
          <w:szCs w:val="24"/>
        </w:rPr>
        <w:t>GLBA</w:t>
      </w:r>
      <w:r w:rsidR="0082160A">
        <w:rPr>
          <w:rFonts w:eastAsia="Calibri"/>
          <w:szCs w:val="24"/>
        </w:rPr>
        <w:t>)</w:t>
      </w:r>
      <w:r w:rsidRPr="00EA2129">
        <w:rPr>
          <w:rFonts w:eastAsia="Calibri"/>
          <w:szCs w:val="24"/>
        </w:rPr>
        <w:t xml:space="preserve"> to provide consumers with financial institutions’ privacy policies and practices, as well as describing when the consumer’s information may be shared with nonaffiliated third parties and provides a method for consumers to prevent disclosure of their information to non-affiliated third parties by “opting out” of that disclosure. </w:t>
      </w:r>
      <w:r w:rsidR="003C1058">
        <w:rPr>
          <w:rFonts w:eastAsia="Calibri"/>
          <w:szCs w:val="24"/>
        </w:rPr>
        <w:t xml:space="preserve"> </w:t>
      </w:r>
      <w:r w:rsidRPr="00EA2129">
        <w:rPr>
          <w:rFonts w:eastAsia="Calibri"/>
          <w:szCs w:val="24"/>
        </w:rPr>
        <w:t>Regulation P details the specifics of how GLBA should be implemented, which companies and situations this applies to, and the method of delivering the information to consumers.</w:t>
      </w:r>
    </w:p>
    <w:p w:rsidRPr="0003379C" w:rsidR="00EA5BC1" w:rsidP="00EA2129" w:rsidRDefault="00EA2129" w14:paraId="4B5E9DDE" w14:textId="6DB5D7A2">
      <w:pPr>
        <w:spacing w:after="240" w:line="240" w:lineRule="auto"/>
        <w:ind w:right="10"/>
        <w:rPr>
          <w:rFonts w:eastAsia="Calibri"/>
          <w:szCs w:val="24"/>
        </w:rPr>
      </w:pPr>
      <w:r w:rsidRPr="00EA2129">
        <w:rPr>
          <w:rFonts w:eastAsia="Calibri"/>
          <w:szCs w:val="24"/>
        </w:rPr>
        <w:t>Regulation P includes model forms that can be used to comply with the disclosure requirements of the GLBA and Regulation P, although use of the model forms is not required.</w:t>
      </w:r>
    </w:p>
    <w:p w:rsidRPr="00BF6D43" w:rsidR="009346F0" w:rsidP="009346F0" w:rsidRDefault="009346F0" w14:paraId="731A97BF" w14:textId="77777777">
      <w:r w:rsidRPr="00BF6D43">
        <w:rPr>
          <w:b/>
          <w:bCs/>
        </w:rPr>
        <w:t>2.  Indicate how, by whom, and for what purpose the information is to be used.  Except for a new collection, indicate the actual use the agency has made of the information received from the current collection.</w:t>
      </w:r>
    </w:p>
    <w:p w:rsidR="00EA5BC1" w:rsidRDefault="009346F0" w14:paraId="7BA0EDEF" w14:textId="77777777">
      <w:pPr>
        <w:spacing w:after="0" w:line="259" w:lineRule="auto"/>
        <w:ind w:left="0" w:firstLine="0"/>
      </w:pPr>
      <w:r>
        <w:t xml:space="preserve"> </w:t>
      </w:r>
    </w:p>
    <w:p w:rsidRPr="003758A8" w:rsidR="003758A8" w:rsidP="003758A8" w:rsidRDefault="003758A8" w14:paraId="499C4E8F" w14:textId="2C0301BF">
      <w:pPr>
        <w:spacing w:after="240" w:line="240" w:lineRule="auto"/>
        <w:ind w:right="10"/>
        <w:rPr>
          <w:rFonts w:eastAsia="Calibri"/>
          <w:szCs w:val="24"/>
        </w:rPr>
      </w:pPr>
      <w:r w:rsidRPr="003758A8">
        <w:rPr>
          <w:rFonts w:eastAsia="Calibri"/>
          <w:szCs w:val="24"/>
        </w:rPr>
        <w:t xml:space="preserve">Consumers use the privacy notice to determine whether they want personal information disclosed to third parties that are not affiliated with the institution. </w:t>
      </w:r>
      <w:r w:rsidR="003C1058">
        <w:rPr>
          <w:rFonts w:eastAsia="Calibri"/>
          <w:szCs w:val="24"/>
        </w:rPr>
        <w:t xml:space="preserve"> </w:t>
      </w:r>
      <w:r w:rsidRPr="003758A8">
        <w:rPr>
          <w:rFonts w:eastAsia="Calibri"/>
          <w:szCs w:val="24"/>
        </w:rPr>
        <w:t>Further, consumers use the opt-out notice mechanism to advise the institution of their wishes regarding disclosure of their personal information. Institutions use the opt-out information to determine the wishes of their consumers and to act in accordance with their customers’ instructions.</w:t>
      </w:r>
    </w:p>
    <w:p w:rsidRPr="003758A8" w:rsidR="00EA5BC1" w:rsidP="003758A8" w:rsidRDefault="003758A8" w14:paraId="1E6C911C" w14:textId="17123477">
      <w:pPr>
        <w:spacing w:after="240" w:line="240" w:lineRule="auto"/>
        <w:ind w:right="10"/>
        <w:rPr>
          <w:rFonts w:eastAsia="Calibri"/>
          <w:szCs w:val="24"/>
        </w:rPr>
      </w:pPr>
      <w:r w:rsidRPr="003758A8">
        <w:rPr>
          <w:rFonts w:eastAsia="Calibri"/>
          <w:szCs w:val="24"/>
        </w:rPr>
        <w:t>The Bureau, the Federal Trade Commission (FTC), and the other Prudential Regulators all enforce against the requirements of Regulation P to ensure privacy notices are being mailed out and that consumers’ preferences are being followed with respect to opting out of information- sharing</w:t>
      </w:r>
      <w:r w:rsidRPr="003758A8" w:rsidR="00DE6036">
        <w:rPr>
          <w:rFonts w:eastAsia="Calibri"/>
          <w:szCs w:val="24"/>
        </w:rPr>
        <w:t xml:space="preserve">. </w:t>
      </w:r>
    </w:p>
    <w:p w:rsidRPr="00BF6D43" w:rsidR="009346F0" w:rsidP="009346F0" w:rsidRDefault="009346F0" w14:paraId="0C620920" w14:textId="77777777">
      <w:pPr>
        <w:rPr>
          <w:b/>
          <w:bCs/>
          <w:szCs w:val="24"/>
        </w:rPr>
      </w:pPr>
      <w:r w:rsidRPr="00BF6D43">
        <w:rPr>
          <w:b/>
          <w:bCs/>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46F0" w:rsidRDefault="009346F0" w14:paraId="46BD21B6" w14:textId="77777777">
      <w:pPr>
        <w:ind w:left="-15" w:firstLine="720"/>
      </w:pPr>
    </w:p>
    <w:p w:rsidRPr="00341F3D" w:rsidR="00EA5BC1" w:rsidP="00594B71" w:rsidRDefault="00341F3D" w14:paraId="71AC12A1" w14:textId="1F750502">
      <w:pPr>
        <w:spacing w:after="240" w:line="240" w:lineRule="auto"/>
        <w:ind w:right="10"/>
        <w:rPr>
          <w:szCs w:val="24"/>
        </w:rPr>
      </w:pPr>
      <w:r w:rsidRPr="00341F3D">
        <w:rPr>
          <w:rFonts w:eastAsia="Calibri"/>
          <w:szCs w:val="24"/>
        </w:rPr>
        <w:lastRenderedPageBreak/>
        <w:t>The information collections are disclosures, filings from consumers, and internal institution records. Institutions are not prohibited from using any technology that facilitates consumer understanding and response, and that permits review, as appropriate, by examiners</w:t>
      </w:r>
      <w:r w:rsidRPr="00341F3D" w:rsidR="00594B71">
        <w:rPr>
          <w:rFonts w:eastAsia="Calibri"/>
          <w:szCs w:val="24"/>
        </w:rPr>
        <w:t xml:space="preserve">. </w:t>
      </w:r>
      <w:r w:rsidRPr="00341F3D" w:rsidR="009346F0">
        <w:t xml:space="preserve"> </w:t>
      </w:r>
    </w:p>
    <w:p w:rsidRPr="00BF6D43" w:rsidR="009346F0" w:rsidP="009346F0" w:rsidRDefault="009346F0" w14:paraId="391821B9"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BF6D43">
        <w:rPr>
          <w:b/>
          <w:szCs w:val="24"/>
        </w:rPr>
        <w:t xml:space="preserve">4.  </w:t>
      </w:r>
      <w:r w:rsidRPr="00BF6D43">
        <w:rPr>
          <w:b/>
          <w:bCs/>
          <w:szCs w:val="24"/>
        </w:rPr>
        <w:t>Describe efforts to identify duplication.  Show specifically why any similar information already available cannot be used or modified for use for the purposes described in Item A.2 above.</w:t>
      </w:r>
    </w:p>
    <w:p w:rsidR="00572D4C" w:rsidP="007E2BBE" w:rsidRDefault="00572D4C" w14:paraId="26A54BFB" w14:textId="77777777">
      <w:pPr>
        <w:spacing w:after="0" w:line="259" w:lineRule="auto"/>
        <w:ind w:left="0" w:firstLine="0"/>
      </w:pPr>
    </w:p>
    <w:p w:rsidRPr="00C771A9" w:rsidR="00AF3C57" w:rsidP="00AF3C57" w:rsidRDefault="00C771A9" w14:paraId="20CEDDD0" w14:textId="75E374A9">
      <w:pPr>
        <w:spacing w:after="240" w:line="240" w:lineRule="auto"/>
        <w:ind w:right="10"/>
        <w:rPr>
          <w:rFonts w:eastAsia="Calibri"/>
          <w:szCs w:val="24"/>
        </w:rPr>
      </w:pPr>
      <w:r w:rsidRPr="00C771A9">
        <w:rPr>
          <w:rFonts w:eastAsia="Calibri"/>
          <w:szCs w:val="24"/>
        </w:rPr>
        <w:t>The collections of information are unique and cover the institution’s particular circumstances. No duplication exists with any other federal information collection or program</w:t>
      </w:r>
      <w:r w:rsidRPr="00C771A9" w:rsidR="00AF3C57">
        <w:rPr>
          <w:rFonts w:eastAsia="Calibri"/>
          <w:szCs w:val="24"/>
        </w:rPr>
        <w:t>.</w:t>
      </w:r>
    </w:p>
    <w:p w:rsidRPr="00BF6D43" w:rsidR="009346F0" w:rsidP="009346F0" w:rsidRDefault="009346F0" w14:paraId="4590F458" w14:textId="7018E548">
      <w:pPr>
        <w:pStyle w:val="BodyText"/>
        <w:rPr>
          <w:b/>
        </w:rPr>
      </w:pPr>
      <w:r w:rsidRPr="00BF6D43">
        <w:rPr>
          <w:b/>
        </w:rPr>
        <w:t xml:space="preserve">5.  </w:t>
      </w:r>
      <w:r w:rsidRPr="00BF6D43">
        <w:rPr>
          <w:b/>
          <w:bCs/>
        </w:rPr>
        <w:t>If the collection of information impacts small businesses or other small entities, describe any methods used to minimize burden.</w:t>
      </w:r>
    </w:p>
    <w:p w:rsidR="00B03166" w:rsidP="009346F0" w:rsidRDefault="00B03166" w14:paraId="704B7E60" w14:textId="77777777">
      <w:pPr>
        <w:spacing w:after="0" w:line="259" w:lineRule="auto"/>
        <w:ind w:left="-5"/>
      </w:pPr>
    </w:p>
    <w:p w:rsidRPr="00F272F6" w:rsidR="00EA5BC1" w:rsidP="00ED7C92" w:rsidRDefault="00F272F6" w14:paraId="42F4F2AF" w14:textId="42413DE9">
      <w:pPr>
        <w:spacing w:after="240" w:line="240" w:lineRule="auto"/>
        <w:ind w:right="10"/>
        <w:rPr>
          <w:szCs w:val="24"/>
        </w:rPr>
      </w:pPr>
      <w:r w:rsidRPr="00F272F6">
        <w:rPr>
          <w:szCs w:val="24"/>
        </w:rPr>
        <w:t xml:space="preserve">The information collection requirements of the regulation do not impose any significant burden beyond that required by statute. </w:t>
      </w:r>
      <w:r w:rsidR="00E44DEF">
        <w:rPr>
          <w:szCs w:val="24"/>
        </w:rPr>
        <w:t xml:space="preserve"> Additionally</w:t>
      </w:r>
      <w:r w:rsidRPr="00F272F6">
        <w:rPr>
          <w:szCs w:val="24"/>
        </w:rPr>
        <w:t>, as directed by section 728 of the “Financial Services Regulatory Relief Act of 2006”</w:t>
      </w:r>
      <w:r w:rsidR="00E347EC">
        <w:rPr>
          <w:rStyle w:val="FootnoteReference"/>
          <w:szCs w:val="24"/>
        </w:rPr>
        <w:footnoteReference w:id="2"/>
      </w:r>
      <w:r w:rsidRPr="00F272F6">
        <w:rPr>
          <w:szCs w:val="24"/>
        </w:rPr>
        <w:t xml:space="preserve">, </w:t>
      </w:r>
      <w:r w:rsidR="00AD691C">
        <w:rPr>
          <w:szCs w:val="24"/>
        </w:rPr>
        <w:t>S</w:t>
      </w:r>
      <w:r w:rsidRPr="00F272F6">
        <w:rPr>
          <w:szCs w:val="24"/>
        </w:rPr>
        <w:t xml:space="preserve">ection 1016.2 and Appendix A provide a model form for the disclosures, which may be used at the option of the financial institution. Use of the model form should minimize the burden of this collection. </w:t>
      </w:r>
      <w:r w:rsidR="00AD691C">
        <w:rPr>
          <w:szCs w:val="24"/>
        </w:rPr>
        <w:t xml:space="preserve"> </w:t>
      </w:r>
      <w:r w:rsidRPr="00F272F6">
        <w:rPr>
          <w:szCs w:val="24"/>
        </w:rPr>
        <w:t>Further, in 2014, the Bureau issued a rule Published October 28, 2014</w:t>
      </w:r>
      <w:r w:rsidR="00AD691C">
        <w:rPr>
          <w:rStyle w:val="FootnoteReference"/>
          <w:szCs w:val="24"/>
        </w:rPr>
        <w:footnoteReference w:id="3"/>
      </w:r>
      <w:r w:rsidRPr="00F272F6">
        <w:rPr>
          <w:szCs w:val="24"/>
        </w:rPr>
        <w:t xml:space="preserve">, to allow financial institutions to use an alternative delivery method to provide annual privacy notices through posting the annual notices on their Web sites if they meet certain conditions. </w:t>
      </w:r>
      <w:r w:rsidR="00E44DEF">
        <w:rPr>
          <w:szCs w:val="24"/>
        </w:rPr>
        <w:t xml:space="preserve"> </w:t>
      </w:r>
      <w:r w:rsidRPr="00F272F6">
        <w:rPr>
          <w:szCs w:val="24"/>
        </w:rPr>
        <w:t>Use of the alternative delivery method should also minimize the burden of this collection.</w:t>
      </w:r>
    </w:p>
    <w:p w:rsidRPr="00BF6D43" w:rsidR="009346F0" w:rsidP="009346F0" w:rsidRDefault="009346F0" w14:paraId="2F7D6676" w14:textId="60B37A42">
      <w:pPr>
        <w:rPr>
          <w:b/>
          <w:szCs w:val="24"/>
        </w:rPr>
      </w:pPr>
      <w:r w:rsidRPr="00BF6D43">
        <w:rPr>
          <w:b/>
          <w:szCs w:val="24"/>
        </w:rPr>
        <w:t xml:space="preserve">6.  </w:t>
      </w:r>
      <w:r w:rsidRPr="00BF6D43">
        <w:rPr>
          <w:b/>
          <w:bCs/>
          <w:szCs w:val="24"/>
        </w:rPr>
        <w:t xml:space="preserve">Describe the consequence to federal program or policy activities if the collection is not conducted or is conducted less frequently, as well as any technical or legal obstacles to reducing burden. </w:t>
      </w:r>
    </w:p>
    <w:p w:rsidR="00EA5BC1" w:rsidRDefault="00EA5BC1" w14:paraId="3C16DD70" w14:textId="7B37B0CA">
      <w:pPr>
        <w:spacing w:after="0" w:line="259" w:lineRule="auto"/>
        <w:ind w:left="720" w:firstLine="0"/>
      </w:pPr>
    </w:p>
    <w:p w:rsidRPr="00FF719E" w:rsidR="00EA5BC1" w:rsidP="00FF719E" w:rsidRDefault="00FB7D8F" w14:paraId="4E385E44" w14:textId="1FED6C35">
      <w:pPr>
        <w:spacing w:after="240" w:line="240" w:lineRule="auto"/>
        <w:rPr>
          <w:szCs w:val="24"/>
        </w:rPr>
      </w:pPr>
      <w:r w:rsidRPr="00FB7D8F">
        <w:rPr>
          <w:szCs w:val="24"/>
        </w:rPr>
        <w:t>The information collection requirements closely follow the GLB</w:t>
      </w:r>
      <w:r w:rsidR="00E44DEF">
        <w:rPr>
          <w:szCs w:val="24"/>
        </w:rPr>
        <w:t>A</w:t>
      </w:r>
      <w:r w:rsidRPr="00FB7D8F">
        <w:rPr>
          <w:szCs w:val="24"/>
        </w:rPr>
        <w:t xml:space="preserve"> which requires institutions to provide an annual notice of their privacy policies and practices to their customers and to permit customers to opt-out of the disclosure of their personal information. </w:t>
      </w:r>
      <w:r w:rsidR="005A09CA">
        <w:rPr>
          <w:szCs w:val="24"/>
        </w:rPr>
        <w:t xml:space="preserve"> </w:t>
      </w:r>
      <w:r w:rsidRPr="00FB7D8F">
        <w:rPr>
          <w:szCs w:val="24"/>
        </w:rPr>
        <w:t>There is no flexibility under the GLB</w:t>
      </w:r>
      <w:r w:rsidR="005A09CA">
        <w:rPr>
          <w:szCs w:val="24"/>
        </w:rPr>
        <w:t>A</w:t>
      </w:r>
      <w:r w:rsidRPr="00FB7D8F">
        <w:rPr>
          <w:szCs w:val="24"/>
        </w:rPr>
        <w:t xml:space="preserve"> to collect the information less frequently</w:t>
      </w:r>
      <w:r w:rsidRPr="00750D93" w:rsidR="00FF719E">
        <w:rPr>
          <w:szCs w:val="24"/>
        </w:rPr>
        <w:t>.</w:t>
      </w:r>
      <w:r w:rsidR="009346F0">
        <w:t xml:space="preserve"> </w:t>
      </w:r>
    </w:p>
    <w:p w:rsidRPr="00BF6D43" w:rsidR="009346F0" w:rsidP="009346F0" w:rsidRDefault="009346F0" w14:paraId="2EFEA4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u w:color="000000"/>
        </w:rPr>
        <w:t xml:space="preserve">7.  </w:t>
      </w:r>
      <w:r w:rsidRPr="00BF6D43">
        <w:rPr>
          <w:b/>
          <w:bCs/>
          <w:szCs w:val="24"/>
        </w:rPr>
        <w:t>Explain any special circumstances that would cause an information collection to be conducted in a manner:</w:t>
      </w:r>
    </w:p>
    <w:p w:rsidRPr="00BF6D43" w:rsidR="009346F0" w:rsidP="009346F0" w:rsidRDefault="009346F0" w14:paraId="79F6ABE8" w14:textId="77777777">
      <w:pPr>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b/>
          <w:bCs/>
          <w:szCs w:val="24"/>
        </w:rPr>
      </w:pPr>
      <w:r w:rsidRPr="00BF6D43">
        <w:rPr>
          <w:b/>
          <w:bCs/>
          <w:szCs w:val="24"/>
        </w:rPr>
        <w:t xml:space="preserve">requiring respondents to report information to the agency more often than </w:t>
      </w:r>
      <w:proofErr w:type="gramStart"/>
      <w:r w:rsidRPr="00BF6D43">
        <w:rPr>
          <w:b/>
          <w:bCs/>
          <w:szCs w:val="24"/>
        </w:rPr>
        <w:t>quarterly;</w:t>
      </w:r>
      <w:proofErr w:type="gramEnd"/>
    </w:p>
    <w:p w:rsidRPr="00BF6D43" w:rsidR="009346F0" w:rsidP="009346F0" w:rsidRDefault="009346F0" w14:paraId="072DD9F9" w14:textId="77777777">
      <w:pPr>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b/>
          <w:bCs/>
          <w:szCs w:val="24"/>
        </w:rPr>
      </w:pPr>
      <w:r w:rsidRPr="00BF6D43">
        <w:rPr>
          <w:b/>
          <w:bCs/>
          <w:szCs w:val="24"/>
        </w:rPr>
        <w:t xml:space="preserve">requiring respondents to prepare a written response to a collection of information in fewer than 30 days after receipt of </w:t>
      </w:r>
      <w:proofErr w:type="gramStart"/>
      <w:r w:rsidRPr="00BF6D43">
        <w:rPr>
          <w:b/>
          <w:bCs/>
          <w:szCs w:val="24"/>
        </w:rPr>
        <w:t>it;</w:t>
      </w:r>
      <w:proofErr w:type="gramEnd"/>
    </w:p>
    <w:p w:rsidRPr="00BF6D43" w:rsidR="009346F0" w:rsidP="009346F0" w:rsidRDefault="009346F0" w14:paraId="050FCE26" w14:textId="77777777">
      <w:pPr>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b/>
          <w:bCs/>
          <w:szCs w:val="24"/>
        </w:rPr>
      </w:pPr>
      <w:r w:rsidRPr="00BF6D43">
        <w:rPr>
          <w:b/>
          <w:bCs/>
          <w:szCs w:val="24"/>
        </w:rPr>
        <w:t xml:space="preserve">requiring respondents to submit more than an original and two copies of any </w:t>
      </w:r>
      <w:proofErr w:type="gramStart"/>
      <w:r w:rsidRPr="00BF6D43">
        <w:rPr>
          <w:b/>
          <w:bCs/>
          <w:szCs w:val="24"/>
        </w:rPr>
        <w:t>document;</w:t>
      </w:r>
      <w:proofErr w:type="gramEnd"/>
    </w:p>
    <w:p w:rsidRPr="00BF6D43" w:rsidR="009346F0" w:rsidP="009346F0" w:rsidRDefault="009346F0" w14:paraId="4A642D1E" w14:textId="77777777">
      <w:pPr>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b/>
          <w:bCs/>
          <w:szCs w:val="24"/>
        </w:rPr>
      </w:pPr>
      <w:r w:rsidRPr="00BF6D43">
        <w:rPr>
          <w:b/>
          <w:bCs/>
          <w:szCs w:val="24"/>
        </w:rPr>
        <w:lastRenderedPageBreak/>
        <w:t xml:space="preserve">requiring respondents to retain records, other than health, medical, government contract, grant-in-aid, or tax records for more than three </w:t>
      </w:r>
      <w:proofErr w:type="gramStart"/>
      <w:r w:rsidRPr="00BF6D43">
        <w:rPr>
          <w:b/>
          <w:bCs/>
          <w:szCs w:val="24"/>
        </w:rPr>
        <w:t>years;</w:t>
      </w:r>
      <w:proofErr w:type="gramEnd"/>
    </w:p>
    <w:p w:rsidRPr="00BF6D43" w:rsidR="009346F0" w:rsidP="009346F0" w:rsidRDefault="009346F0" w14:paraId="0023C346"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connection with a statistical survey, that is not designed to produce valid and reliable results that can be generalized to the universe of </w:t>
      </w:r>
      <w:proofErr w:type="gramStart"/>
      <w:r w:rsidRPr="00BF6D43">
        <w:rPr>
          <w:b/>
          <w:bCs/>
        </w:rPr>
        <w:t>study;</w:t>
      </w:r>
      <w:proofErr w:type="gramEnd"/>
    </w:p>
    <w:p w:rsidRPr="00BF6D43" w:rsidR="009346F0" w:rsidP="009346F0" w:rsidRDefault="009346F0" w14:paraId="77071311"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requiring the use of statistical data classification that has not been reviewed and approved by </w:t>
      </w:r>
      <w:proofErr w:type="gramStart"/>
      <w:r w:rsidRPr="00BF6D43">
        <w:rPr>
          <w:b/>
          <w:bCs/>
        </w:rPr>
        <w:t>OMB;</w:t>
      </w:r>
      <w:proofErr w:type="gramEnd"/>
    </w:p>
    <w:p w:rsidRPr="00BF6D43" w:rsidR="009346F0" w:rsidP="009346F0" w:rsidRDefault="009346F0" w14:paraId="65736DAF"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F6D43" w:rsidR="009346F0" w:rsidP="009346F0" w:rsidRDefault="009346F0" w14:paraId="1843BA34"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00EA5BC1" w:rsidRDefault="00EA5BC1" w14:paraId="6385297F" w14:textId="794B1861">
      <w:pPr>
        <w:pStyle w:val="Heading1"/>
        <w:ind w:left="-5"/>
      </w:pPr>
    </w:p>
    <w:p w:rsidR="00EA5BC1" w:rsidRDefault="009346F0" w14:paraId="0695E254" w14:textId="77777777">
      <w:pPr>
        <w:spacing w:after="0" w:line="259" w:lineRule="auto"/>
        <w:ind w:left="0" w:firstLine="0"/>
      </w:pPr>
      <w:r>
        <w:t xml:space="preserve"> </w:t>
      </w:r>
    </w:p>
    <w:p w:rsidR="00EA5BC1" w:rsidP="001761B2" w:rsidRDefault="009346F0" w14:paraId="3F18674A" w14:textId="77777777">
      <w:pPr>
        <w:ind w:left="-15" w:right="82" w:firstLine="0"/>
      </w:pPr>
      <w:r>
        <w:t xml:space="preserve">The collections of information in these rules are consistent with the applicable guidelines contained in 5 CFR 1320.5(d)(2).  </w:t>
      </w:r>
    </w:p>
    <w:p w:rsidR="00EA5BC1" w:rsidRDefault="009346F0" w14:paraId="263F5342" w14:textId="77777777">
      <w:pPr>
        <w:spacing w:after="0" w:line="259" w:lineRule="auto"/>
        <w:ind w:left="0" w:firstLine="0"/>
      </w:pPr>
      <w:r>
        <w:t xml:space="preserve"> </w:t>
      </w:r>
    </w:p>
    <w:p w:rsidRPr="00BF6D43" w:rsidR="009346F0" w:rsidP="009346F0" w:rsidRDefault="009346F0" w14:paraId="215009E0" w14:textId="7E9BC8E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Cs w:val="24"/>
        </w:rPr>
      </w:pPr>
      <w:r w:rsidRPr="00CB1E34">
        <w:rPr>
          <w:b/>
          <w:bCs/>
          <w:u w:color="000000"/>
        </w:rPr>
        <w:t>8</w:t>
      </w:r>
      <w:r w:rsidRPr="00CB1E34">
        <w:rPr>
          <w:b/>
          <w:bCs/>
          <w:szCs w:val="24"/>
        </w:rPr>
        <w:t>.  If</w:t>
      </w:r>
      <w:r w:rsidRPr="00BF6D43">
        <w:rPr>
          <w:b/>
          <w:bCs/>
          <w:szCs w:val="24"/>
        </w:rPr>
        <w:t xml:space="preserve"> applicable, provide a copy and identify the date and page number of </w:t>
      </w:r>
      <w:proofErr w:type="gramStart"/>
      <w:r w:rsidRPr="00BF6D43">
        <w:rPr>
          <w:b/>
          <w:bCs/>
          <w:szCs w:val="24"/>
        </w:rPr>
        <w:t>publication</w:t>
      </w:r>
      <w:proofErr w:type="gramEnd"/>
      <w:r w:rsidRPr="00BF6D43">
        <w:rPr>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F6D43" w:rsidR="009346F0" w:rsidP="009346F0" w:rsidRDefault="009346F0" w14:paraId="1697A76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Cs w:val="24"/>
        </w:rPr>
      </w:pPr>
    </w:p>
    <w:p w:rsidRPr="00BF6D43" w:rsidR="009346F0" w:rsidP="009346F0" w:rsidRDefault="009346F0" w14:paraId="52FCCEE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Cs w:val="24"/>
        </w:rPr>
      </w:pPr>
      <w:r w:rsidRPr="00BF6D43">
        <w:rPr>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F6D43" w:rsidR="009346F0" w:rsidP="009346F0" w:rsidRDefault="009346F0" w14:paraId="479AB3F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Cs w:val="24"/>
        </w:rPr>
      </w:pPr>
    </w:p>
    <w:p w:rsidRPr="00BF6D43" w:rsidR="009346F0" w:rsidP="009346F0" w:rsidRDefault="009346F0" w14:paraId="14F6ACC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BF6D43">
        <w:rPr>
          <w:b/>
          <w:bCs/>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EA5BC1" w:rsidRDefault="00EA5BC1" w14:paraId="033D687D" w14:textId="3CC8B693">
      <w:pPr>
        <w:spacing w:after="5" w:line="259" w:lineRule="auto"/>
        <w:ind w:left="0" w:firstLine="0"/>
      </w:pPr>
    </w:p>
    <w:p w:rsidRPr="00BF6D43" w:rsidR="00133434" w:rsidP="00133434" w:rsidRDefault="00133434" w14:paraId="748BC6B3" w14:textId="3F1EF3CB">
      <w:pPr>
        <w:rPr>
          <w:bCs/>
        </w:rPr>
      </w:pPr>
      <w:r w:rsidRPr="00BC56A2">
        <w:rPr>
          <w:bCs/>
        </w:rPr>
        <w:t>In accordance with 5 CFR §1320.8(d)(1), the Bureau has published a notice</w:t>
      </w:r>
      <w:r w:rsidRPr="00BF6D43">
        <w:rPr>
          <w:bCs/>
        </w:rPr>
        <w:t xml:space="preserve"> in</w:t>
      </w:r>
      <w:r w:rsidRPr="00BC56A2">
        <w:rPr>
          <w:bCs/>
        </w:rPr>
        <w:t xml:space="preserve"> </w:t>
      </w:r>
      <w:r w:rsidRPr="00BC56A2">
        <w:rPr>
          <w:bCs/>
          <w:iCs/>
        </w:rPr>
        <w:t>Federal Register</w:t>
      </w:r>
      <w:r w:rsidRPr="00BC56A2">
        <w:rPr>
          <w:bCs/>
        </w:rPr>
        <w:t xml:space="preserve"> </w:t>
      </w:r>
      <w:r w:rsidRPr="00BF6D43">
        <w:rPr>
          <w:bCs/>
        </w:rPr>
        <w:t>that provides</w:t>
      </w:r>
      <w:r w:rsidRPr="00BC56A2">
        <w:rPr>
          <w:bCs/>
        </w:rPr>
        <w:t xml:space="preserve"> the public 60 </w:t>
      </w:r>
      <w:r w:rsidRPr="00BF6D43">
        <w:rPr>
          <w:bCs/>
        </w:rPr>
        <w:t xml:space="preserve">calendar </w:t>
      </w:r>
      <w:r w:rsidRPr="00BC56A2">
        <w:rPr>
          <w:bCs/>
        </w:rPr>
        <w:t>days to comment on the extension of</w:t>
      </w:r>
      <w:r w:rsidRPr="00BF6D43">
        <w:rPr>
          <w:bCs/>
        </w:rPr>
        <w:t xml:space="preserve"> reporting requirements contained within OMB Control No. 3170-00</w:t>
      </w:r>
      <w:r>
        <w:rPr>
          <w:bCs/>
        </w:rPr>
        <w:t>1</w:t>
      </w:r>
      <w:r w:rsidR="00D8185C">
        <w:rPr>
          <w:bCs/>
        </w:rPr>
        <w:t>3</w:t>
      </w:r>
      <w:r w:rsidRPr="00BF6D43">
        <w:rPr>
          <w:bCs/>
        </w:rPr>
        <w:t>.</w:t>
      </w:r>
      <w:r w:rsidRPr="00BF6D43">
        <w:rPr>
          <w:rStyle w:val="FootnoteReference"/>
          <w:bCs/>
        </w:rPr>
        <w:footnoteReference w:id="4"/>
      </w:r>
      <w:r>
        <w:rPr>
          <w:bCs/>
        </w:rPr>
        <w:t xml:space="preserve"> No comments were received.</w:t>
      </w:r>
    </w:p>
    <w:p w:rsidRPr="00BC56A2" w:rsidR="00133434" w:rsidP="00133434" w:rsidRDefault="00133434" w14:paraId="3152B05F" w14:textId="77777777">
      <w:pPr>
        <w:rPr>
          <w:bCs/>
        </w:rPr>
      </w:pPr>
    </w:p>
    <w:p w:rsidRPr="00BF6D43" w:rsidR="00133434" w:rsidP="00133434" w:rsidRDefault="00133434" w14:paraId="4C45035A" w14:textId="77777777">
      <w:pPr>
        <w:rPr>
          <w:bCs/>
        </w:rPr>
      </w:pPr>
      <w:r w:rsidRPr="00BF6D43">
        <w:rPr>
          <w:bCs/>
        </w:rPr>
        <w:lastRenderedPageBreak/>
        <w:t xml:space="preserve">Also, in accordance with 5 CFR §1320.5(a)(1)(iv), the Bureau has also published a notice in the </w:t>
      </w:r>
      <w:r w:rsidRPr="00BF6D43">
        <w:rPr>
          <w:bCs/>
          <w:iCs/>
        </w:rPr>
        <w:t>Federal Register</w:t>
      </w:r>
      <w:r w:rsidRPr="00BF6D43">
        <w:rPr>
          <w:bCs/>
        </w:rPr>
        <w:t xml:space="preserve"> providing the public 30 days to comment on reporting requirements contained within this information collection request.</w:t>
      </w:r>
      <w:r w:rsidRPr="00BF6D43">
        <w:rPr>
          <w:rStyle w:val="FootnoteReference"/>
          <w:bCs/>
        </w:rPr>
        <w:footnoteReference w:id="5"/>
      </w:r>
    </w:p>
    <w:p w:rsidR="00EA5BC1" w:rsidRDefault="009346F0" w14:paraId="28FA49DA" w14:textId="77777777">
      <w:pPr>
        <w:spacing w:after="0" w:line="259" w:lineRule="auto"/>
        <w:ind w:left="0" w:firstLine="0"/>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p>
    <w:p w:rsidRPr="00BF6D43" w:rsidR="009346F0" w:rsidP="009346F0" w:rsidRDefault="009346F0" w14:paraId="3A1CC76F" w14:textId="77777777">
      <w:pPr>
        <w:autoSpaceDE w:val="0"/>
        <w:autoSpaceDN w:val="0"/>
        <w:adjustRightInd w:val="0"/>
        <w:rPr>
          <w:b/>
          <w:szCs w:val="24"/>
        </w:rPr>
      </w:pPr>
      <w:r>
        <w:rPr>
          <w:b/>
        </w:rPr>
        <w:t>9</w:t>
      </w:r>
      <w:r w:rsidRPr="00BF6D43">
        <w:rPr>
          <w:b/>
          <w:szCs w:val="24"/>
        </w:rPr>
        <w:t xml:space="preserve">.  </w:t>
      </w:r>
      <w:r w:rsidRPr="00BF6D43">
        <w:rPr>
          <w:b/>
          <w:bCs/>
          <w:szCs w:val="24"/>
        </w:rPr>
        <w:t>Explain any decision to provide any payments or gifts to respondents, other than remuneration of contractors or grantees.</w:t>
      </w:r>
    </w:p>
    <w:p w:rsidR="00EA5BC1" w:rsidP="009346F0" w:rsidRDefault="009346F0" w14:paraId="247672B5" w14:textId="7D1BBFAB">
      <w:pPr>
        <w:spacing w:after="0" w:line="259" w:lineRule="auto"/>
        <w:ind w:left="-5"/>
      </w:pPr>
      <w:r>
        <w:t xml:space="preserve"> </w:t>
      </w:r>
    </w:p>
    <w:p w:rsidR="00EA5BC1" w:rsidP="001761B2" w:rsidRDefault="009346F0" w14:paraId="6F1B4ADD" w14:textId="77777777">
      <w:r>
        <w:t xml:space="preserve">No payments or gifts are provided to respondents. </w:t>
      </w:r>
    </w:p>
    <w:p w:rsidR="00EA5BC1" w:rsidRDefault="009346F0" w14:paraId="0513FA92" w14:textId="77777777">
      <w:pPr>
        <w:spacing w:after="0" w:line="259" w:lineRule="auto"/>
        <w:ind w:left="0" w:firstLine="0"/>
      </w:pPr>
      <w:r>
        <w:t xml:space="preserve"> </w:t>
      </w:r>
    </w:p>
    <w:p w:rsidRPr="00BF6D43" w:rsidR="009346F0" w:rsidP="009346F0" w:rsidRDefault="009346F0" w14:paraId="5D88ACA6" w14:textId="77777777">
      <w:pPr>
        <w:rPr>
          <w:b/>
          <w:szCs w:val="24"/>
        </w:rPr>
      </w:pPr>
      <w:r w:rsidRPr="00CB1E34">
        <w:rPr>
          <w:b/>
          <w:bCs/>
          <w:u w:color="000000"/>
        </w:rPr>
        <w:t xml:space="preserve">10. </w:t>
      </w:r>
      <w:r w:rsidRPr="00CB1E34">
        <w:rPr>
          <w:b/>
          <w:bCs/>
          <w:szCs w:val="24"/>
        </w:rPr>
        <w:t>Describe</w:t>
      </w:r>
      <w:r w:rsidRPr="00BF6D43">
        <w:rPr>
          <w:b/>
          <w:bCs/>
          <w:szCs w:val="24"/>
        </w:rPr>
        <w:t xml:space="preserve"> any assurance of confidentiality provided to respondents and the basis for the assurance in statute, regulation, or agency policy.</w:t>
      </w:r>
    </w:p>
    <w:p w:rsidR="00EA5BC1" w:rsidP="001761B2" w:rsidRDefault="009346F0" w14:paraId="5D6D8AA8" w14:textId="28033CDD">
      <w:pPr>
        <w:pStyle w:val="Heading1"/>
        <w:ind w:left="-5"/>
      </w:pPr>
      <w:r>
        <w:rPr>
          <w:u w:val="none"/>
        </w:rPr>
        <w:t xml:space="preserve"> </w:t>
      </w:r>
    </w:p>
    <w:p w:rsidRPr="00750D93" w:rsidR="00C242C0" w:rsidP="00C242C0" w:rsidRDefault="00C242C0" w14:paraId="72F47FB5" w14:textId="606B9CF9">
      <w:pPr>
        <w:spacing w:after="240" w:line="240" w:lineRule="auto"/>
        <w:rPr>
          <w:szCs w:val="24"/>
        </w:rPr>
      </w:pPr>
      <w:r w:rsidRPr="00C242C0">
        <w:rPr>
          <w:szCs w:val="24"/>
        </w:rPr>
        <w:t>Some r</w:t>
      </w:r>
      <w:r w:rsidRPr="00750D93">
        <w:rPr>
          <w:szCs w:val="24"/>
        </w:rPr>
        <w:t xml:space="preserve">ecordkeeping requirements contain private information about credit applicants. </w:t>
      </w:r>
      <w:r w:rsidR="005A09CA">
        <w:rPr>
          <w:szCs w:val="24"/>
        </w:rPr>
        <w:t xml:space="preserve"> </w:t>
      </w:r>
      <w:r w:rsidRPr="00750D93">
        <w:rPr>
          <w:szCs w:val="24"/>
        </w:rPr>
        <w:t xml:space="preserve">Such information is protected by the Right to Financial Privacy Act, 12 U.S.C. 3401 et seq. </w:t>
      </w:r>
      <w:r w:rsidR="005A09CA">
        <w:rPr>
          <w:szCs w:val="24"/>
        </w:rPr>
        <w:t xml:space="preserve"> </w:t>
      </w:r>
      <w:r w:rsidRPr="00750D93">
        <w:rPr>
          <w:szCs w:val="24"/>
        </w:rPr>
        <w:t xml:space="preserve">There is </w:t>
      </w:r>
      <w:r>
        <w:rPr>
          <w:szCs w:val="24"/>
        </w:rPr>
        <w:t>no part Regulation B</w:t>
      </w:r>
      <w:r w:rsidRPr="00750D93">
        <w:rPr>
          <w:szCs w:val="24"/>
        </w:rPr>
        <w:t xml:space="preserve"> that mandates information collection by the Bureau, </w:t>
      </w:r>
      <w:r w:rsidRPr="00750D93">
        <w:rPr>
          <w:rFonts w:eastAsia="Calibri"/>
          <w:szCs w:val="24"/>
        </w:rPr>
        <w:t>and</w:t>
      </w:r>
      <w:r w:rsidRPr="00750D93">
        <w:rPr>
          <w:szCs w:val="24"/>
        </w:rPr>
        <w:t xml:space="preserve"> this information is used exclusively to ensure compliance with ECOA and that creditors are not discriminating against applicants.</w:t>
      </w:r>
    </w:p>
    <w:p w:rsidRPr="00C242C0" w:rsidR="00EA5BC1" w:rsidP="00C242C0" w:rsidRDefault="00C242C0" w14:paraId="0D0483F0" w14:textId="6BCF31B7">
      <w:pPr>
        <w:spacing w:after="240" w:line="240" w:lineRule="auto"/>
        <w:rPr>
          <w:szCs w:val="24"/>
        </w:rPr>
      </w:pPr>
      <w:r w:rsidRPr="00750D93">
        <w:rPr>
          <w:szCs w:val="24"/>
        </w:rPr>
        <w:t xml:space="preserve">To the extent that </w:t>
      </w:r>
      <w:r w:rsidRPr="00750D93">
        <w:rPr>
          <w:rFonts w:eastAsia="Calibri"/>
          <w:szCs w:val="24"/>
        </w:rPr>
        <w:t>information</w:t>
      </w:r>
      <w:r w:rsidRPr="00750D93">
        <w:rPr>
          <w:szCs w:val="24"/>
        </w:rPr>
        <w:t xml:space="preserve"> covered by a recordkeeping requirement is </w:t>
      </w:r>
      <w:r>
        <w:rPr>
          <w:szCs w:val="24"/>
        </w:rPr>
        <w:t>“</w:t>
      </w:r>
      <w:r w:rsidRPr="00750D93">
        <w:rPr>
          <w:szCs w:val="24"/>
        </w:rPr>
        <w:t>confidential information</w:t>
      </w:r>
      <w:r>
        <w:rPr>
          <w:szCs w:val="24"/>
        </w:rPr>
        <w:t>”</w:t>
      </w:r>
      <w:r w:rsidRPr="00750D93">
        <w:rPr>
          <w:szCs w:val="24"/>
        </w:rPr>
        <w:t xml:space="preserve"> pursuant to 12 CFR 1070.2(f), the confidentiality provisions of the Bureau’s rules on Disclosure of Records and Information, 12 CFR Part 1070, would apply</w:t>
      </w:r>
      <w:r w:rsidR="00425468">
        <w:rPr>
          <w:szCs w:val="24"/>
        </w:rPr>
        <w:t>.</w:t>
      </w:r>
    </w:p>
    <w:p w:rsidRPr="00BF6D43" w:rsidR="009346F0" w:rsidP="009346F0" w:rsidRDefault="009346F0" w14:paraId="2032EFA6" w14:textId="77777777">
      <w:r>
        <w:rPr>
          <w:u w:color="000000"/>
        </w:rPr>
        <w:t xml:space="preserve">11. </w:t>
      </w:r>
      <w:r w:rsidRPr="00BF6D43">
        <w:rPr>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5BC1" w:rsidRDefault="00EA5BC1" w14:paraId="01464E08" w14:textId="5D206B20">
      <w:pPr>
        <w:pStyle w:val="Heading1"/>
        <w:ind w:left="-5"/>
      </w:pPr>
    </w:p>
    <w:p w:rsidR="00EA5BC1" w:rsidP="00395380" w:rsidRDefault="006D1A0C" w14:paraId="772710DF" w14:textId="565CE126">
      <w:pPr>
        <w:spacing w:after="0" w:line="259" w:lineRule="auto"/>
        <w:ind w:left="0" w:firstLine="0"/>
      </w:pPr>
      <w:r>
        <w:t>Regulation P requires institutions to ascertain whether consumers want to opt out of</w:t>
      </w:r>
      <w:r>
        <w:rPr>
          <w:spacing w:val="1"/>
        </w:rPr>
        <w:t xml:space="preserve"> </w:t>
      </w:r>
      <w:r>
        <w:t>third-party</w:t>
      </w:r>
      <w:r>
        <w:rPr>
          <w:spacing w:val="-7"/>
        </w:rPr>
        <w:t xml:space="preserve"> </w:t>
      </w:r>
      <w:r>
        <w:t>information</w:t>
      </w:r>
      <w:r>
        <w:rPr>
          <w:spacing w:val="-1"/>
        </w:rPr>
        <w:t xml:space="preserve"> </w:t>
      </w:r>
      <w:r>
        <w:t>sharing,</w:t>
      </w:r>
      <w:r>
        <w:rPr>
          <w:spacing w:val="1"/>
        </w:rPr>
        <w:t xml:space="preserve"> </w:t>
      </w:r>
      <w:r>
        <w:t>which</w:t>
      </w:r>
      <w:r>
        <w:rPr>
          <w:spacing w:val="-1"/>
        </w:rPr>
        <w:t xml:space="preserve"> </w:t>
      </w:r>
      <w:r>
        <w:t>can</w:t>
      </w:r>
      <w:r>
        <w:rPr>
          <w:spacing w:val="-2"/>
        </w:rPr>
        <w:t xml:space="preserve"> </w:t>
      </w:r>
      <w:r>
        <w:t>constitute</w:t>
      </w:r>
      <w:r>
        <w:rPr>
          <w:spacing w:val="-2"/>
        </w:rPr>
        <w:t xml:space="preserve"> </w:t>
      </w:r>
      <w:r>
        <w:t>a</w:t>
      </w:r>
      <w:r>
        <w:rPr>
          <w:spacing w:val="-2"/>
        </w:rPr>
        <w:t xml:space="preserve"> </w:t>
      </w:r>
      <w:r>
        <w:t>collection</w:t>
      </w:r>
      <w:r>
        <w:rPr>
          <w:spacing w:val="-1"/>
        </w:rPr>
        <w:t xml:space="preserve"> </w:t>
      </w:r>
      <w:r>
        <w:t>of</w:t>
      </w:r>
      <w:r>
        <w:rPr>
          <w:spacing w:val="-2"/>
        </w:rPr>
        <w:t xml:space="preserve"> </w:t>
      </w:r>
      <w:r>
        <w:t>sensitive</w:t>
      </w:r>
      <w:r>
        <w:rPr>
          <w:spacing w:val="-3"/>
        </w:rPr>
        <w:t xml:space="preserve"> </w:t>
      </w:r>
      <w:r>
        <w:t>information.</w:t>
      </w:r>
      <w:r>
        <w:rPr>
          <w:spacing w:val="58"/>
        </w:rPr>
        <w:t xml:space="preserve"> </w:t>
      </w:r>
      <w:r>
        <w:t>This</w:t>
      </w:r>
      <w:r>
        <w:rPr>
          <w:spacing w:val="-57"/>
        </w:rPr>
        <w:t xml:space="preserve"> </w:t>
      </w:r>
      <w:r>
        <w:t>requirement is necessary to ensure consumers are given an option about what is done with their</w:t>
      </w:r>
      <w:r>
        <w:rPr>
          <w:spacing w:val="1"/>
        </w:rPr>
        <w:t xml:space="preserve"> </w:t>
      </w:r>
      <w:r>
        <w:t>personal</w:t>
      </w:r>
      <w:r>
        <w:rPr>
          <w:spacing w:val="-1"/>
        </w:rPr>
        <w:t xml:space="preserve"> </w:t>
      </w:r>
      <w:r>
        <w:t>financial information</w:t>
      </w:r>
      <w:r w:rsidR="00425468">
        <w:t xml:space="preserve"> </w:t>
      </w:r>
      <w:r>
        <w:t>and is</w:t>
      </w:r>
      <w:r>
        <w:rPr>
          <w:spacing w:val="-1"/>
        </w:rPr>
        <w:t xml:space="preserve"> </w:t>
      </w:r>
      <w:r>
        <w:t>used for</w:t>
      </w:r>
      <w:r>
        <w:rPr>
          <w:spacing w:val="-2"/>
        </w:rPr>
        <w:t xml:space="preserve"> </w:t>
      </w:r>
      <w:r>
        <w:t>consumers’</w:t>
      </w:r>
      <w:r>
        <w:rPr>
          <w:spacing w:val="-1"/>
        </w:rPr>
        <w:t xml:space="preserve"> </w:t>
      </w:r>
      <w:r>
        <w:t>protection</w:t>
      </w:r>
      <w:r>
        <w:rPr>
          <w:spacing w:val="-1"/>
        </w:rPr>
        <w:t xml:space="preserve"> </w:t>
      </w:r>
      <w:r>
        <w:t>and privacy</w:t>
      </w:r>
      <w:r w:rsidRPr="00750D93" w:rsidR="00395380">
        <w:rPr>
          <w:szCs w:val="24"/>
        </w:rPr>
        <w:t>.</w:t>
      </w:r>
      <w:r w:rsidR="009346F0">
        <w:t xml:space="preserve"> </w:t>
      </w:r>
    </w:p>
    <w:p w:rsidRPr="00395380" w:rsidR="00395380" w:rsidP="00395380" w:rsidRDefault="00395380" w14:paraId="442995E6" w14:textId="77777777">
      <w:pPr>
        <w:spacing w:after="0" w:line="259" w:lineRule="auto"/>
        <w:ind w:left="0" w:firstLine="0"/>
      </w:pPr>
    </w:p>
    <w:p w:rsidRPr="001761B2" w:rsidR="00EA5BC1" w:rsidRDefault="009346F0" w14:paraId="30BF4585" w14:textId="6AF6E479">
      <w:pPr>
        <w:pStyle w:val="Heading1"/>
        <w:ind w:left="-5"/>
        <w:rPr>
          <w:bCs/>
          <w:u w:val="none"/>
        </w:rPr>
      </w:pPr>
      <w:r>
        <w:rPr>
          <w:u w:val="none"/>
        </w:rPr>
        <w:t xml:space="preserve">12.  </w:t>
      </w:r>
      <w:r w:rsidRPr="001761B2">
        <w:rPr>
          <w:bCs/>
          <w:szCs w:val="24"/>
          <w:u w:val="none"/>
        </w:rPr>
        <w:t xml:space="preserve">Provide estimates of the hour burden of the collection of information.  </w:t>
      </w:r>
    </w:p>
    <w:p w:rsidRPr="00542460" w:rsidR="00EA5BC1" w:rsidRDefault="009346F0" w14:paraId="34DABCFC" w14:textId="77777777">
      <w:pPr>
        <w:spacing w:after="0" w:line="259" w:lineRule="auto"/>
        <w:ind w:left="0" w:firstLine="0"/>
        <w:rPr>
          <w:b/>
          <w:bCs/>
        </w:rPr>
      </w:pPr>
      <w:r w:rsidRPr="00542460">
        <w:rPr>
          <w:b/>
          <w:bCs/>
        </w:rPr>
        <w:t xml:space="preserve"> </w:t>
      </w:r>
    </w:p>
    <w:p w:rsidR="00341DB7" w:rsidRDefault="009346F0" w14:paraId="580638CE" w14:textId="77777777">
      <w:pPr>
        <w:spacing w:after="0" w:line="259" w:lineRule="auto"/>
        <w:ind w:left="0" w:firstLine="0"/>
        <w:rPr>
          <w:b/>
        </w:rPr>
      </w:pPr>
      <w:r>
        <w:rPr>
          <w:b/>
        </w:rPr>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5"/>
        <w:gridCol w:w="1336"/>
        <w:gridCol w:w="1166"/>
        <w:gridCol w:w="1221"/>
        <w:gridCol w:w="1042"/>
        <w:gridCol w:w="1082"/>
        <w:gridCol w:w="1104"/>
        <w:gridCol w:w="871"/>
      </w:tblGrid>
      <w:tr w:rsidRPr="001761B2" w:rsidR="006F6EA2" w:rsidTr="0054281A" w14:paraId="1A654C07" w14:textId="77777777">
        <w:tc>
          <w:tcPr>
            <w:tcW w:w="1419" w:type="dxa"/>
            <w:vMerge w:val="restart"/>
            <w:shd w:val="clear" w:color="auto" w:fill="D9D9D9" w:themeFill="background1" w:themeFillShade="D9"/>
          </w:tcPr>
          <w:p w:rsidRPr="001761B2" w:rsidR="006F6EA2" w:rsidP="00177C9F" w:rsidRDefault="006F6EA2" w14:paraId="29CE8276" w14:textId="6E20521A">
            <w:pPr>
              <w:rPr>
                <w:b/>
                <w:bCs/>
                <w:sz w:val="20"/>
                <w:szCs w:val="20"/>
              </w:rPr>
            </w:pPr>
            <w:r w:rsidRPr="001761B2">
              <w:rPr>
                <w:b/>
                <w:bCs/>
                <w:sz w:val="20"/>
                <w:szCs w:val="20"/>
              </w:rPr>
              <w:t>Collection of Information</w:t>
            </w:r>
          </w:p>
        </w:tc>
        <w:tc>
          <w:tcPr>
            <w:tcW w:w="5843" w:type="dxa"/>
            <w:gridSpan w:val="5"/>
            <w:tcBorders>
              <w:bottom w:val="single" w:color="auto" w:sz="4" w:space="0"/>
            </w:tcBorders>
            <w:shd w:val="clear" w:color="auto" w:fill="D9D9D9" w:themeFill="background1" w:themeFillShade="D9"/>
          </w:tcPr>
          <w:p w:rsidRPr="001761B2" w:rsidR="006F6EA2" w:rsidP="006F6EA2" w:rsidRDefault="006F6EA2" w14:paraId="4619888D" w14:textId="3E8F26EC">
            <w:pPr>
              <w:jc w:val="center"/>
              <w:rPr>
                <w:b/>
                <w:bCs/>
                <w:sz w:val="20"/>
                <w:szCs w:val="20"/>
              </w:rPr>
            </w:pPr>
            <w:r>
              <w:rPr>
                <w:b/>
                <w:bCs/>
                <w:sz w:val="20"/>
                <w:szCs w:val="20"/>
              </w:rPr>
              <w:t>All Bureau Respondents (DI and Non-DI)</w:t>
            </w:r>
          </w:p>
        </w:tc>
        <w:tc>
          <w:tcPr>
            <w:tcW w:w="1975" w:type="dxa"/>
            <w:gridSpan w:val="2"/>
            <w:tcBorders>
              <w:bottom w:val="single" w:color="auto" w:sz="4" w:space="0"/>
            </w:tcBorders>
            <w:shd w:val="clear" w:color="auto" w:fill="D9D9D9" w:themeFill="background1" w:themeFillShade="D9"/>
          </w:tcPr>
          <w:p w:rsidR="006F6EA2" w:rsidP="006F6EA2" w:rsidRDefault="006F6EA2" w14:paraId="5BEC7C31" w14:textId="1FF20D11">
            <w:pPr>
              <w:jc w:val="center"/>
              <w:rPr>
                <w:b/>
                <w:bCs/>
                <w:sz w:val="20"/>
                <w:szCs w:val="20"/>
              </w:rPr>
            </w:pPr>
            <w:r>
              <w:rPr>
                <w:b/>
                <w:bCs/>
                <w:sz w:val="20"/>
                <w:szCs w:val="20"/>
              </w:rPr>
              <w:t>CFPB Burden</w:t>
            </w:r>
          </w:p>
        </w:tc>
      </w:tr>
      <w:tr w:rsidRPr="001761B2" w:rsidR="006F6EA2" w:rsidTr="00254E89" w14:paraId="04BB794F" w14:textId="444A0622">
        <w:tc>
          <w:tcPr>
            <w:tcW w:w="1419" w:type="dxa"/>
            <w:vMerge/>
            <w:tcBorders>
              <w:bottom w:val="single" w:color="auto" w:sz="4" w:space="0"/>
            </w:tcBorders>
            <w:shd w:val="clear" w:color="auto" w:fill="D9D9D9" w:themeFill="background1" w:themeFillShade="D9"/>
          </w:tcPr>
          <w:p w:rsidRPr="001761B2" w:rsidR="006F6EA2" w:rsidP="00177C9F" w:rsidRDefault="006F6EA2" w14:paraId="01BE195F" w14:textId="42BC74CC">
            <w:pPr>
              <w:rPr>
                <w:b/>
                <w:bCs/>
                <w:sz w:val="20"/>
                <w:szCs w:val="20"/>
              </w:rPr>
            </w:pPr>
          </w:p>
        </w:tc>
        <w:tc>
          <w:tcPr>
            <w:tcW w:w="1336" w:type="dxa"/>
            <w:tcBorders>
              <w:bottom w:val="single" w:color="auto" w:sz="4" w:space="0"/>
            </w:tcBorders>
            <w:shd w:val="clear" w:color="auto" w:fill="D9D9D9" w:themeFill="background1" w:themeFillShade="D9"/>
          </w:tcPr>
          <w:p w:rsidRPr="001761B2" w:rsidR="006F6EA2" w:rsidP="00177C9F" w:rsidRDefault="006F6EA2" w14:paraId="74DFFF84" w14:textId="46A42123">
            <w:pPr>
              <w:rPr>
                <w:b/>
                <w:bCs/>
                <w:sz w:val="20"/>
                <w:szCs w:val="20"/>
              </w:rPr>
            </w:pPr>
            <w:r w:rsidRPr="001761B2">
              <w:rPr>
                <w:b/>
                <w:bCs/>
                <w:sz w:val="20"/>
                <w:szCs w:val="20"/>
              </w:rPr>
              <w:t>Number of Respon</w:t>
            </w:r>
            <w:r>
              <w:rPr>
                <w:b/>
                <w:bCs/>
                <w:sz w:val="20"/>
                <w:szCs w:val="20"/>
              </w:rPr>
              <w:t>dents</w:t>
            </w:r>
          </w:p>
        </w:tc>
        <w:tc>
          <w:tcPr>
            <w:tcW w:w="1156" w:type="dxa"/>
            <w:tcBorders>
              <w:bottom w:val="single" w:color="auto" w:sz="4" w:space="0"/>
            </w:tcBorders>
            <w:shd w:val="clear" w:color="auto" w:fill="D9D9D9" w:themeFill="background1" w:themeFillShade="D9"/>
          </w:tcPr>
          <w:p w:rsidRPr="001761B2" w:rsidR="006F6EA2" w:rsidP="00177C9F" w:rsidRDefault="006F6EA2" w14:paraId="505A5906" w14:textId="77777777">
            <w:pPr>
              <w:rPr>
                <w:b/>
                <w:bCs/>
                <w:sz w:val="20"/>
                <w:szCs w:val="20"/>
              </w:rPr>
            </w:pPr>
            <w:r w:rsidRPr="001761B2">
              <w:rPr>
                <w:b/>
                <w:bCs/>
                <w:sz w:val="20"/>
                <w:szCs w:val="20"/>
              </w:rPr>
              <w:t>Frequency</w:t>
            </w:r>
          </w:p>
        </w:tc>
        <w:tc>
          <w:tcPr>
            <w:tcW w:w="1223" w:type="dxa"/>
            <w:tcBorders>
              <w:bottom w:val="single" w:color="auto" w:sz="4" w:space="0"/>
            </w:tcBorders>
            <w:shd w:val="clear" w:color="auto" w:fill="D9D9D9" w:themeFill="background1" w:themeFillShade="D9"/>
          </w:tcPr>
          <w:p w:rsidRPr="001761B2" w:rsidR="006F6EA2" w:rsidP="00177C9F" w:rsidRDefault="006F6EA2" w14:paraId="35162581" w14:textId="77777777">
            <w:pPr>
              <w:rPr>
                <w:b/>
                <w:bCs/>
                <w:sz w:val="20"/>
                <w:szCs w:val="20"/>
              </w:rPr>
            </w:pPr>
            <w:r w:rsidRPr="001761B2">
              <w:rPr>
                <w:b/>
                <w:bCs/>
                <w:sz w:val="20"/>
                <w:szCs w:val="20"/>
                <w:lang w:val="x-none"/>
              </w:rPr>
              <w:t>Number of Respon</w:t>
            </w:r>
            <w:r w:rsidRPr="001761B2">
              <w:rPr>
                <w:b/>
                <w:bCs/>
                <w:sz w:val="20"/>
                <w:szCs w:val="20"/>
              </w:rPr>
              <w:t>ses</w:t>
            </w:r>
          </w:p>
        </w:tc>
        <w:tc>
          <w:tcPr>
            <w:tcW w:w="1042" w:type="dxa"/>
            <w:tcBorders>
              <w:bottom w:val="single" w:color="auto" w:sz="4" w:space="0"/>
            </w:tcBorders>
            <w:shd w:val="clear" w:color="auto" w:fill="D9D9D9" w:themeFill="background1" w:themeFillShade="D9"/>
          </w:tcPr>
          <w:p w:rsidRPr="001761B2" w:rsidR="006F6EA2" w:rsidP="00177C9F" w:rsidRDefault="006F6EA2" w14:paraId="2DA9960A" w14:textId="77777777">
            <w:pPr>
              <w:rPr>
                <w:b/>
                <w:bCs/>
                <w:sz w:val="20"/>
                <w:szCs w:val="20"/>
              </w:rPr>
            </w:pPr>
            <w:r w:rsidRPr="001761B2">
              <w:rPr>
                <w:b/>
                <w:bCs/>
                <w:sz w:val="20"/>
                <w:szCs w:val="20"/>
              </w:rPr>
              <w:t>Response Time (Hours)</w:t>
            </w:r>
          </w:p>
        </w:tc>
        <w:tc>
          <w:tcPr>
            <w:tcW w:w="1086" w:type="dxa"/>
            <w:tcBorders>
              <w:bottom w:val="single" w:color="auto" w:sz="4" w:space="0"/>
            </w:tcBorders>
            <w:shd w:val="clear" w:color="auto" w:fill="D9D9D9" w:themeFill="background1" w:themeFillShade="D9"/>
          </w:tcPr>
          <w:p w:rsidRPr="001761B2" w:rsidR="006F6EA2" w:rsidP="00177C9F" w:rsidRDefault="00B2612B" w14:paraId="5DEDBEBE" w14:textId="00284CCC">
            <w:pPr>
              <w:rPr>
                <w:b/>
                <w:bCs/>
                <w:sz w:val="20"/>
                <w:szCs w:val="20"/>
              </w:rPr>
            </w:pPr>
            <w:r>
              <w:rPr>
                <w:b/>
                <w:bCs/>
                <w:sz w:val="20"/>
                <w:szCs w:val="20"/>
              </w:rPr>
              <w:t xml:space="preserve">Annual </w:t>
            </w:r>
            <w:r w:rsidRPr="001761B2" w:rsidR="006F6EA2">
              <w:rPr>
                <w:b/>
                <w:bCs/>
                <w:sz w:val="20"/>
                <w:szCs w:val="20"/>
              </w:rPr>
              <w:t xml:space="preserve">Burden (Hours) </w:t>
            </w:r>
          </w:p>
        </w:tc>
        <w:tc>
          <w:tcPr>
            <w:tcW w:w="1104" w:type="dxa"/>
            <w:tcBorders>
              <w:bottom w:val="single" w:color="auto" w:sz="4" w:space="0"/>
            </w:tcBorders>
            <w:shd w:val="clear" w:color="auto" w:fill="D9D9D9" w:themeFill="background1" w:themeFillShade="D9"/>
          </w:tcPr>
          <w:p w:rsidRPr="001761B2" w:rsidR="006F6EA2" w:rsidP="00177C9F" w:rsidRDefault="006F6EA2" w14:paraId="49FF2506" w14:textId="7782CCA4">
            <w:pPr>
              <w:rPr>
                <w:b/>
                <w:bCs/>
                <w:sz w:val="20"/>
                <w:szCs w:val="20"/>
              </w:rPr>
            </w:pPr>
            <w:r>
              <w:rPr>
                <w:b/>
                <w:bCs/>
                <w:sz w:val="20"/>
                <w:szCs w:val="20"/>
              </w:rPr>
              <w:t>Annual Responses</w:t>
            </w:r>
          </w:p>
        </w:tc>
        <w:tc>
          <w:tcPr>
            <w:tcW w:w="871" w:type="dxa"/>
            <w:tcBorders>
              <w:bottom w:val="single" w:color="auto" w:sz="4" w:space="0"/>
            </w:tcBorders>
            <w:shd w:val="clear" w:color="auto" w:fill="D9D9D9" w:themeFill="background1" w:themeFillShade="D9"/>
          </w:tcPr>
          <w:p w:rsidRPr="001761B2" w:rsidR="006F6EA2" w:rsidP="00177C9F" w:rsidRDefault="006F6EA2" w14:paraId="66DA2D14" w14:textId="2BA10DFE">
            <w:pPr>
              <w:rPr>
                <w:b/>
                <w:bCs/>
                <w:sz w:val="20"/>
                <w:szCs w:val="20"/>
              </w:rPr>
            </w:pPr>
            <w:r>
              <w:rPr>
                <w:b/>
                <w:bCs/>
                <w:sz w:val="20"/>
                <w:szCs w:val="20"/>
              </w:rPr>
              <w:t>Annual Burden Hours</w:t>
            </w:r>
          </w:p>
        </w:tc>
      </w:tr>
      <w:tr w:rsidRPr="001761B2" w:rsidR="00CE4D88" w:rsidTr="00254E89" w14:paraId="689FA589" w14:textId="4D3F076F">
        <w:tc>
          <w:tcPr>
            <w:tcW w:w="1419" w:type="dxa"/>
            <w:tcBorders>
              <w:bottom w:val="single" w:color="auto" w:sz="4" w:space="0"/>
            </w:tcBorders>
            <w:shd w:val="clear" w:color="auto" w:fill="auto"/>
            <w:vAlign w:val="center"/>
          </w:tcPr>
          <w:p w:rsidR="0080259F" w:rsidP="004855CD" w:rsidRDefault="0080259F" w14:paraId="36A1750C" w14:textId="443579C0">
            <w:pPr>
              <w:rPr>
                <w:sz w:val="20"/>
                <w:szCs w:val="20"/>
              </w:rPr>
            </w:pPr>
            <w:r>
              <w:rPr>
                <w:sz w:val="20"/>
                <w:szCs w:val="20"/>
              </w:rPr>
              <w:lastRenderedPageBreak/>
              <w:t>Initial Notice</w:t>
            </w:r>
          </w:p>
          <w:p w:rsidRPr="001761B2" w:rsidR="0080259F" w:rsidP="004855CD" w:rsidRDefault="0080259F" w14:paraId="75D16C18" w14:textId="5A57161A">
            <w:pPr>
              <w:rPr>
                <w:sz w:val="20"/>
                <w:szCs w:val="20"/>
              </w:rPr>
            </w:pPr>
            <w:r>
              <w:rPr>
                <w:sz w:val="20"/>
                <w:szCs w:val="20"/>
              </w:rPr>
              <w:t>12 CFR 1016.4(a)</w:t>
            </w:r>
          </w:p>
        </w:tc>
        <w:tc>
          <w:tcPr>
            <w:tcW w:w="1336" w:type="dxa"/>
            <w:tcBorders>
              <w:bottom w:val="single" w:color="auto" w:sz="4" w:space="0"/>
            </w:tcBorders>
            <w:shd w:val="clear" w:color="auto" w:fill="auto"/>
            <w:vAlign w:val="bottom"/>
          </w:tcPr>
          <w:p w:rsidRPr="001761B2" w:rsidR="0080259F" w:rsidP="00252433" w:rsidRDefault="0080259F" w14:paraId="185BBA35" w14:textId="74BA9F94">
            <w:pPr>
              <w:jc w:val="right"/>
              <w:rPr>
                <w:sz w:val="20"/>
                <w:szCs w:val="20"/>
              </w:rPr>
            </w:pPr>
            <w:r>
              <w:rPr>
                <w:sz w:val="20"/>
                <w:szCs w:val="20"/>
              </w:rPr>
              <w:t>29,544</w:t>
            </w:r>
          </w:p>
        </w:tc>
        <w:tc>
          <w:tcPr>
            <w:tcW w:w="1156" w:type="dxa"/>
            <w:tcBorders>
              <w:bottom w:val="single" w:color="auto" w:sz="4" w:space="0"/>
            </w:tcBorders>
            <w:shd w:val="clear" w:color="auto" w:fill="auto"/>
            <w:vAlign w:val="bottom"/>
          </w:tcPr>
          <w:p w:rsidRPr="001761B2" w:rsidR="0080259F" w:rsidP="00252433" w:rsidRDefault="0080259F" w14:paraId="120353CE" w14:textId="07D683CB">
            <w:pPr>
              <w:jc w:val="right"/>
              <w:rPr>
                <w:sz w:val="20"/>
                <w:szCs w:val="20"/>
              </w:rPr>
            </w:pPr>
            <w:r>
              <w:rPr>
                <w:sz w:val="20"/>
                <w:szCs w:val="20"/>
              </w:rPr>
              <w:t>0.07125</w:t>
            </w:r>
          </w:p>
        </w:tc>
        <w:tc>
          <w:tcPr>
            <w:tcW w:w="1223" w:type="dxa"/>
            <w:tcBorders>
              <w:bottom w:val="single" w:color="auto" w:sz="4" w:space="0"/>
            </w:tcBorders>
            <w:shd w:val="clear" w:color="auto" w:fill="auto"/>
            <w:vAlign w:val="bottom"/>
          </w:tcPr>
          <w:p w:rsidRPr="00E27966" w:rsidR="0080259F" w:rsidP="00252433" w:rsidRDefault="0080259F" w14:paraId="24B2C36E" w14:textId="57152C3B">
            <w:pPr>
              <w:jc w:val="right"/>
              <w:rPr>
                <w:sz w:val="20"/>
                <w:szCs w:val="20"/>
              </w:rPr>
            </w:pPr>
            <w:r>
              <w:rPr>
                <w:sz w:val="20"/>
                <w:szCs w:val="20"/>
              </w:rPr>
              <w:t>2,105</w:t>
            </w:r>
          </w:p>
        </w:tc>
        <w:tc>
          <w:tcPr>
            <w:tcW w:w="1042" w:type="dxa"/>
            <w:tcBorders>
              <w:bottom w:val="single" w:color="auto" w:sz="4" w:space="0"/>
            </w:tcBorders>
            <w:shd w:val="clear" w:color="auto" w:fill="auto"/>
            <w:vAlign w:val="bottom"/>
          </w:tcPr>
          <w:p w:rsidRPr="001761B2" w:rsidR="0080259F" w:rsidP="00252433" w:rsidRDefault="0080259F" w14:paraId="79001246" w14:textId="12CDA83B">
            <w:pPr>
              <w:jc w:val="right"/>
              <w:rPr>
                <w:sz w:val="20"/>
                <w:szCs w:val="20"/>
              </w:rPr>
            </w:pPr>
            <w:r>
              <w:rPr>
                <w:sz w:val="20"/>
                <w:szCs w:val="20"/>
              </w:rPr>
              <w:t>14.5</w:t>
            </w:r>
          </w:p>
        </w:tc>
        <w:tc>
          <w:tcPr>
            <w:tcW w:w="1086" w:type="dxa"/>
            <w:tcBorders>
              <w:bottom w:val="single" w:color="auto" w:sz="4" w:space="0"/>
            </w:tcBorders>
            <w:shd w:val="clear" w:color="auto" w:fill="auto"/>
            <w:vAlign w:val="bottom"/>
          </w:tcPr>
          <w:p w:rsidRPr="001761B2" w:rsidR="0080259F" w:rsidP="00252433" w:rsidRDefault="0080259F" w14:paraId="12C9F3EE" w14:textId="4AA3E7B9">
            <w:pPr>
              <w:jc w:val="right"/>
              <w:rPr>
                <w:sz w:val="20"/>
                <w:szCs w:val="20"/>
              </w:rPr>
            </w:pPr>
            <w:r>
              <w:rPr>
                <w:sz w:val="20"/>
                <w:szCs w:val="20"/>
              </w:rPr>
              <w:t>30,523</w:t>
            </w:r>
          </w:p>
        </w:tc>
        <w:tc>
          <w:tcPr>
            <w:tcW w:w="1104" w:type="dxa"/>
            <w:tcBorders>
              <w:bottom w:val="single" w:color="auto" w:sz="4" w:space="0"/>
            </w:tcBorders>
            <w:vAlign w:val="bottom"/>
          </w:tcPr>
          <w:p w:rsidR="0080259F" w:rsidP="00252433" w:rsidRDefault="00CE4D88" w14:paraId="3FBF108D" w14:textId="7ECDFEFD">
            <w:pPr>
              <w:jc w:val="right"/>
              <w:rPr>
                <w:sz w:val="20"/>
                <w:szCs w:val="20"/>
              </w:rPr>
            </w:pPr>
            <w:r>
              <w:rPr>
                <w:sz w:val="20"/>
                <w:szCs w:val="20"/>
              </w:rPr>
              <w:t>1,055</w:t>
            </w:r>
          </w:p>
        </w:tc>
        <w:tc>
          <w:tcPr>
            <w:tcW w:w="871" w:type="dxa"/>
            <w:tcBorders>
              <w:bottom w:val="single" w:color="auto" w:sz="4" w:space="0"/>
            </w:tcBorders>
            <w:vAlign w:val="bottom"/>
          </w:tcPr>
          <w:p w:rsidR="0080259F" w:rsidP="00252433" w:rsidRDefault="00CE4D88" w14:paraId="060D012C" w14:textId="248097D5">
            <w:pPr>
              <w:jc w:val="right"/>
              <w:rPr>
                <w:sz w:val="20"/>
                <w:szCs w:val="20"/>
              </w:rPr>
            </w:pPr>
            <w:r>
              <w:rPr>
                <w:sz w:val="20"/>
                <w:szCs w:val="20"/>
              </w:rPr>
              <w:t>15,298</w:t>
            </w:r>
          </w:p>
        </w:tc>
      </w:tr>
      <w:tr w:rsidRPr="001761B2" w:rsidR="00CE4D88" w:rsidTr="00254E89" w14:paraId="2D19D967" w14:textId="79CC1F32">
        <w:tc>
          <w:tcPr>
            <w:tcW w:w="1419" w:type="dxa"/>
            <w:vAlign w:val="center"/>
          </w:tcPr>
          <w:p w:rsidR="0080259F" w:rsidP="00F74CC4" w:rsidRDefault="0080259F" w14:paraId="425D3629" w14:textId="5E8D062C">
            <w:pPr>
              <w:ind w:left="0" w:firstLine="0"/>
              <w:rPr>
                <w:bCs/>
                <w:sz w:val="20"/>
                <w:szCs w:val="20"/>
              </w:rPr>
            </w:pPr>
            <w:r>
              <w:rPr>
                <w:bCs/>
                <w:sz w:val="20"/>
                <w:szCs w:val="20"/>
              </w:rPr>
              <w:t>Annual and Revised Notices and Opt-Out Notice</w:t>
            </w:r>
            <w:r w:rsidR="00BF724A">
              <w:rPr>
                <w:bCs/>
                <w:sz w:val="20"/>
                <w:szCs w:val="20"/>
              </w:rPr>
              <w:t>s</w:t>
            </w:r>
          </w:p>
          <w:p w:rsidRPr="001761B2" w:rsidR="0080259F" w:rsidP="00F74CC4" w:rsidRDefault="0080259F" w14:paraId="27298FF6" w14:textId="1CDD7FC6">
            <w:pPr>
              <w:ind w:left="0" w:firstLine="0"/>
              <w:rPr>
                <w:bCs/>
                <w:sz w:val="20"/>
                <w:szCs w:val="20"/>
              </w:rPr>
            </w:pPr>
            <w:r>
              <w:rPr>
                <w:bCs/>
                <w:sz w:val="20"/>
                <w:szCs w:val="20"/>
              </w:rPr>
              <w:t>12 CFR 1016.5(d), 12 CFR 1016.7, and 1016.8</w:t>
            </w:r>
          </w:p>
        </w:tc>
        <w:tc>
          <w:tcPr>
            <w:tcW w:w="1336" w:type="dxa"/>
            <w:vAlign w:val="bottom"/>
          </w:tcPr>
          <w:p w:rsidRPr="001761B2" w:rsidR="0080259F" w:rsidP="00252433" w:rsidRDefault="0080259F" w14:paraId="0084960E" w14:textId="4C4B47DD">
            <w:pPr>
              <w:jc w:val="right"/>
              <w:rPr>
                <w:bCs/>
                <w:sz w:val="20"/>
                <w:szCs w:val="20"/>
              </w:rPr>
            </w:pPr>
            <w:r>
              <w:rPr>
                <w:bCs/>
                <w:sz w:val="20"/>
                <w:szCs w:val="20"/>
              </w:rPr>
              <w:t>29,544</w:t>
            </w:r>
          </w:p>
        </w:tc>
        <w:tc>
          <w:tcPr>
            <w:tcW w:w="1156" w:type="dxa"/>
            <w:vAlign w:val="bottom"/>
          </w:tcPr>
          <w:p w:rsidRPr="001761B2" w:rsidR="0080259F" w:rsidP="00252433" w:rsidRDefault="0080259F" w14:paraId="797D47B6" w14:textId="414E31F8">
            <w:pPr>
              <w:jc w:val="right"/>
              <w:rPr>
                <w:bCs/>
                <w:sz w:val="20"/>
                <w:szCs w:val="20"/>
              </w:rPr>
            </w:pPr>
            <w:r>
              <w:rPr>
                <w:bCs/>
                <w:sz w:val="20"/>
                <w:szCs w:val="20"/>
              </w:rPr>
              <w:t>1</w:t>
            </w:r>
          </w:p>
        </w:tc>
        <w:tc>
          <w:tcPr>
            <w:tcW w:w="1223" w:type="dxa"/>
            <w:vAlign w:val="bottom"/>
          </w:tcPr>
          <w:p w:rsidRPr="001761B2" w:rsidR="0080259F" w:rsidP="00252433" w:rsidRDefault="0080259F" w14:paraId="56350CE6" w14:textId="796EA2D9">
            <w:pPr>
              <w:jc w:val="right"/>
              <w:rPr>
                <w:bCs/>
                <w:sz w:val="20"/>
                <w:szCs w:val="20"/>
              </w:rPr>
            </w:pPr>
            <w:r>
              <w:rPr>
                <w:bCs/>
                <w:sz w:val="20"/>
                <w:szCs w:val="20"/>
              </w:rPr>
              <w:t>29,544</w:t>
            </w:r>
          </w:p>
        </w:tc>
        <w:tc>
          <w:tcPr>
            <w:tcW w:w="1042" w:type="dxa"/>
            <w:vAlign w:val="bottom"/>
          </w:tcPr>
          <w:p w:rsidRPr="001761B2" w:rsidR="0080259F" w:rsidP="00252433" w:rsidRDefault="0080259F" w14:paraId="4C3CBBA1" w14:textId="796A7B30">
            <w:pPr>
              <w:jc w:val="right"/>
              <w:rPr>
                <w:bCs/>
                <w:sz w:val="20"/>
                <w:szCs w:val="20"/>
              </w:rPr>
            </w:pPr>
            <w:r>
              <w:rPr>
                <w:bCs/>
                <w:sz w:val="20"/>
                <w:szCs w:val="20"/>
              </w:rPr>
              <w:t>5.293</w:t>
            </w:r>
          </w:p>
        </w:tc>
        <w:tc>
          <w:tcPr>
            <w:tcW w:w="1086" w:type="dxa"/>
            <w:vAlign w:val="bottom"/>
          </w:tcPr>
          <w:p w:rsidRPr="001761B2" w:rsidR="0080259F" w:rsidP="00252433" w:rsidRDefault="0080259F" w14:paraId="50F6F4CA" w14:textId="041888C9">
            <w:pPr>
              <w:jc w:val="right"/>
              <w:rPr>
                <w:bCs/>
                <w:sz w:val="20"/>
                <w:szCs w:val="20"/>
              </w:rPr>
            </w:pPr>
            <w:r>
              <w:rPr>
                <w:bCs/>
                <w:sz w:val="20"/>
                <w:szCs w:val="20"/>
              </w:rPr>
              <w:t>156,376</w:t>
            </w:r>
          </w:p>
        </w:tc>
        <w:tc>
          <w:tcPr>
            <w:tcW w:w="1104" w:type="dxa"/>
            <w:vAlign w:val="bottom"/>
          </w:tcPr>
          <w:p w:rsidR="0080259F" w:rsidP="00252433" w:rsidRDefault="00CE4D88" w14:paraId="3F60FF0B" w14:textId="37478E90">
            <w:pPr>
              <w:jc w:val="right"/>
              <w:rPr>
                <w:bCs/>
                <w:sz w:val="20"/>
                <w:szCs w:val="20"/>
              </w:rPr>
            </w:pPr>
            <w:r>
              <w:rPr>
                <w:bCs/>
                <w:sz w:val="20"/>
                <w:szCs w:val="20"/>
              </w:rPr>
              <w:t>14,844</w:t>
            </w:r>
          </w:p>
        </w:tc>
        <w:tc>
          <w:tcPr>
            <w:tcW w:w="871" w:type="dxa"/>
            <w:vAlign w:val="bottom"/>
          </w:tcPr>
          <w:p w:rsidR="0080259F" w:rsidP="00252433" w:rsidRDefault="00CE4D88" w14:paraId="26D5C078" w14:textId="37879C0A">
            <w:pPr>
              <w:jc w:val="right"/>
              <w:rPr>
                <w:bCs/>
                <w:sz w:val="20"/>
                <w:szCs w:val="20"/>
              </w:rPr>
            </w:pPr>
            <w:r>
              <w:rPr>
                <w:bCs/>
                <w:sz w:val="20"/>
                <w:szCs w:val="20"/>
              </w:rPr>
              <w:t>104,264</w:t>
            </w:r>
          </w:p>
        </w:tc>
      </w:tr>
      <w:tr w:rsidRPr="001761B2" w:rsidR="00CE4D88" w:rsidTr="00254E89" w14:paraId="07EBB953" w14:textId="26981A0C">
        <w:tc>
          <w:tcPr>
            <w:tcW w:w="1419" w:type="dxa"/>
            <w:vAlign w:val="center"/>
          </w:tcPr>
          <w:p w:rsidR="0080259F" w:rsidP="004855CD" w:rsidRDefault="0080259F" w14:paraId="212917A8" w14:textId="77777777">
            <w:pPr>
              <w:rPr>
                <w:bCs/>
                <w:sz w:val="20"/>
                <w:szCs w:val="20"/>
              </w:rPr>
            </w:pPr>
            <w:r>
              <w:rPr>
                <w:bCs/>
                <w:sz w:val="20"/>
                <w:szCs w:val="20"/>
              </w:rPr>
              <w:t>Consumer Opt-Out Notice</w:t>
            </w:r>
          </w:p>
          <w:p w:rsidRPr="001761B2" w:rsidR="0080259F" w:rsidP="004855CD" w:rsidRDefault="0080259F" w14:paraId="53B60D19" w14:textId="7823AEDF">
            <w:pPr>
              <w:rPr>
                <w:bCs/>
                <w:sz w:val="20"/>
                <w:szCs w:val="20"/>
              </w:rPr>
            </w:pPr>
            <w:r>
              <w:rPr>
                <w:bCs/>
                <w:sz w:val="20"/>
                <w:szCs w:val="20"/>
              </w:rPr>
              <w:t>12 CFR 1016.7</w:t>
            </w:r>
          </w:p>
        </w:tc>
        <w:tc>
          <w:tcPr>
            <w:tcW w:w="1336" w:type="dxa"/>
            <w:vAlign w:val="bottom"/>
          </w:tcPr>
          <w:p w:rsidRPr="001761B2" w:rsidR="0080259F" w:rsidP="00252433" w:rsidRDefault="0080259F" w14:paraId="0A215945" w14:textId="361FAA93">
            <w:pPr>
              <w:jc w:val="right"/>
              <w:rPr>
                <w:bCs/>
                <w:sz w:val="20"/>
                <w:szCs w:val="20"/>
              </w:rPr>
            </w:pPr>
            <w:r>
              <w:rPr>
                <w:bCs/>
                <w:sz w:val="20"/>
                <w:szCs w:val="20"/>
              </w:rPr>
              <w:t>433,216</w:t>
            </w:r>
          </w:p>
        </w:tc>
        <w:tc>
          <w:tcPr>
            <w:tcW w:w="1156" w:type="dxa"/>
            <w:vAlign w:val="bottom"/>
          </w:tcPr>
          <w:p w:rsidRPr="001761B2" w:rsidR="0080259F" w:rsidP="00252433" w:rsidRDefault="0080259F" w14:paraId="3C6A4FBC" w14:textId="565BB7AA">
            <w:pPr>
              <w:jc w:val="right"/>
              <w:rPr>
                <w:bCs/>
                <w:sz w:val="20"/>
                <w:szCs w:val="20"/>
              </w:rPr>
            </w:pPr>
            <w:r>
              <w:rPr>
                <w:bCs/>
                <w:sz w:val="20"/>
                <w:szCs w:val="20"/>
              </w:rPr>
              <w:t>1</w:t>
            </w:r>
          </w:p>
        </w:tc>
        <w:tc>
          <w:tcPr>
            <w:tcW w:w="1223" w:type="dxa"/>
            <w:vAlign w:val="bottom"/>
          </w:tcPr>
          <w:p w:rsidRPr="001761B2" w:rsidR="0080259F" w:rsidP="00252433" w:rsidRDefault="0080259F" w14:paraId="5581A474" w14:textId="6FEFB720">
            <w:pPr>
              <w:jc w:val="right"/>
              <w:rPr>
                <w:bCs/>
                <w:sz w:val="20"/>
                <w:szCs w:val="20"/>
              </w:rPr>
            </w:pPr>
            <w:r>
              <w:rPr>
                <w:bCs/>
                <w:sz w:val="20"/>
                <w:szCs w:val="20"/>
              </w:rPr>
              <w:t>433,216</w:t>
            </w:r>
          </w:p>
        </w:tc>
        <w:tc>
          <w:tcPr>
            <w:tcW w:w="1042" w:type="dxa"/>
            <w:vAlign w:val="bottom"/>
          </w:tcPr>
          <w:p w:rsidRPr="001761B2" w:rsidR="0080259F" w:rsidP="00252433" w:rsidRDefault="0080259F" w14:paraId="698EE914" w14:textId="5BA581F4">
            <w:pPr>
              <w:jc w:val="right"/>
              <w:rPr>
                <w:bCs/>
                <w:sz w:val="20"/>
                <w:szCs w:val="20"/>
              </w:rPr>
            </w:pPr>
            <w:r>
              <w:rPr>
                <w:bCs/>
                <w:sz w:val="20"/>
                <w:szCs w:val="20"/>
              </w:rPr>
              <w:t>0.25</w:t>
            </w:r>
          </w:p>
        </w:tc>
        <w:tc>
          <w:tcPr>
            <w:tcW w:w="1086" w:type="dxa"/>
            <w:vAlign w:val="bottom"/>
          </w:tcPr>
          <w:p w:rsidRPr="001761B2" w:rsidR="0080259F" w:rsidP="00252433" w:rsidRDefault="0080259F" w14:paraId="2A909688" w14:textId="5E33D1F7">
            <w:pPr>
              <w:jc w:val="right"/>
              <w:rPr>
                <w:bCs/>
                <w:sz w:val="20"/>
                <w:szCs w:val="20"/>
              </w:rPr>
            </w:pPr>
            <w:r>
              <w:rPr>
                <w:bCs/>
                <w:sz w:val="20"/>
                <w:szCs w:val="20"/>
              </w:rPr>
              <w:t>108,304</w:t>
            </w:r>
          </w:p>
        </w:tc>
        <w:tc>
          <w:tcPr>
            <w:tcW w:w="1104" w:type="dxa"/>
            <w:vAlign w:val="bottom"/>
          </w:tcPr>
          <w:p w:rsidR="0080259F" w:rsidP="00252433" w:rsidRDefault="00CE4D88" w14:paraId="48DC9341" w14:textId="479ED100">
            <w:pPr>
              <w:jc w:val="right"/>
              <w:rPr>
                <w:bCs/>
                <w:sz w:val="20"/>
                <w:szCs w:val="20"/>
              </w:rPr>
            </w:pPr>
            <w:r>
              <w:rPr>
                <w:bCs/>
                <w:sz w:val="20"/>
                <w:szCs w:val="20"/>
              </w:rPr>
              <w:t>433,216</w:t>
            </w:r>
          </w:p>
        </w:tc>
        <w:tc>
          <w:tcPr>
            <w:tcW w:w="871" w:type="dxa"/>
            <w:vAlign w:val="bottom"/>
          </w:tcPr>
          <w:p w:rsidR="0080259F" w:rsidP="00252433" w:rsidRDefault="00CE4D88" w14:paraId="342BF5F5" w14:textId="1D7866F7">
            <w:pPr>
              <w:jc w:val="right"/>
              <w:rPr>
                <w:bCs/>
                <w:sz w:val="20"/>
                <w:szCs w:val="20"/>
              </w:rPr>
            </w:pPr>
            <w:r>
              <w:rPr>
                <w:bCs/>
                <w:sz w:val="20"/>
                <w:szCs w:val="20"/>
              </w:rPr>
              <w:t>108,304</w:t>
            </w:r>
          </w:p>
        </w:tc>
      </w:tr>
      <w:tr w:rsidRPr="001761B2" w:rsidR="00CE4D88" w:rsidTr="00254E89" w14:paraId="38560CDC" w14:textId="40BF5FEF">
        <w:tc>
          <w:tcPr>
            <w:tcW w:w="1419" w:type="dxa"/>
            <w:vAlign w:val="center"/>
          </w:tcPr>
          <w:p w:rsidR="0080259F" w:rsidP="004855CD" w:rsidRDefault="0080259F" w14:paraId="6EA2E8CF" w14:textId="77777777">
            <w:pPr>
              <w:rPr>
                <w:bCs/>
                <w:sz w:val="20"/>
                <w:szCs w:val="20"/>
              </w:rPr>
            </w:pPr>
            <w:r>
              <w:rPr>
                <w:bCs/>
                <w:sz w:val="20"/>
                <w:szCs w:val="20"/>
              </w:rPr>
              <w:t>Changes to Privacy Policies and Disclosures (Ongoing)</w:t>
            </w:r>
          </w:p>
          <w:p w:rsidR="0080259F" w:rsidP="004855CD" w:rsidRDefault="0080259F" w14:paraId="088B2C19" w14:textId="1CF4CB24">
            <w:pPr>
              <w:rPr>
                <w:bCs/>
                <w:sz w:val="20"/>
                <w:szCs w:val="20"/>
              </w:rPr>
            </w:pPr>
            <w:r>
              <w:rPr>
                <w:bCs/>
                <w:sz w:val="20"/>
                <w:szCs w:val="20"/>
              </w:rPr>
              <w:t>12 CFR 1016.8</w:t>
            </w:r>
          </w:p>
        </w:tc>
        <w:tc>
          <w:tcPr>
            <w:tcW w:w="1336" w:type="dxa"/>
            <w:vAlign w:val="bottom"/>
          </w:tcPr>
          <w:p w:rsidR="0080259F" w:rsidP="00252433" w:rsidRDefault="0080259F" w14:paraId="2A6A2E61" w14:textId="679933E9">
            <w:pPr>
              <w:jc w:val="right"/>
              <w:rPr>
                <w:bCs/>
                <w:sz w:val="20"/>
                <w:szCs w:val="20"/>
              </w:rPr>
            </w:pPr>
            <w:r>
              <w:rPr>
                <w:bCs/>
                <w:sz w:val="20"/>
                <w:szCs w:val="20"/>
              </w:rPr>
              <w:t>29,544</w:t>
            </w:r>
          </w:p>
        </w:tc>
        <w:tc>
          <w:tcPr>
            <w:tcW w:w="1156" w:type="dxa"/>
            <w:vAlign w:val="bottom"/>
          </w:tcPr>
          <w:p w:rsidR="0080259F" w:rsidP="00252433" w:rsidRDefault="0080259F" w14:paraId="46821807" w14:textId="2AE4FBC8">
            <w:pPr>
              <w:jc w:val="right"/>
              <w:rPr>
                <w:bCs/>
                <w:sz w:val="20"/>
                <w:szCs w:val="20"/>
              </w:rPr>
            </w:pPr>
            <w:r>
              <w:rPr>
                <w:bCs/>
                <w:sz w:val="20"/>
                <w:szCs w:val="20"/>
              </w:rPr>
              <w:t>0.0142</w:t>
            </w:r>
          </w:p>
        </w:tc>
        <w:tc>
          <w:tcPr>
            <w:tcW w:w="1223" w:type="dxa"/>
            <w:vAlign w:val="bottom"/>
          </w:tcPr>
          <w:p w:rsidR="0080259F" w:rsidP="00252433" w:rsidRDefault="0080259F" w14:paraId="07E0A7C0" w14:textId="70C495CA">
            <w:pPr>
              <w:jc w:val="right"/>
              <w:rPr>
                <w:bCs/>
                <w:sz w:val="20"/>
                <w:szCs w:val="20"/>
              </w:rPr>
            </w:pPr>
            <w:r>
              <w:rPr>
                <w:bCs/>
                <w:sz w:val="20"/>
                <w:szCs w:val="20"/>
              </w:rPr>
              <w:t>420</w:t>
            </w:r>
          </w:p>
        </w:tc>
        <w:tc>
          <w:tcPr>
            <w:tcW w:w="1042" w:type="dxa"/>
            <w:vAlign w:val="bottom"/>
          </w:tcPr>
          <w:p w:rsidR="0080259F" w:rsidP="00252433" w:rsidRDefault="0080259F" w14:paraId="5090371B" w14:textId="60C44D2B">
            <w:pPr>
              <w:jc w:val="right"/>
              <w:rPr>
                <w:bCs/>
                <w:sz w:val="20"/>
                <w:szCs w:val="20"/>
              </w:rPr>
            </w:pPr>
            <w:r>
              <w:rPr>
                <w:bCs/>
                <w:sz w:val="20"/>
                <w:szCs w:val="20"/>
              </w:rPr>
              <w:t>10</w:t>
            </w:r>
          </w:p>
        </w:tc>
        <w:tc>
          <w:tcPr>
            <w:tcW w:w="1086" w:type="dxa"/>
            <w:vAlign w:val="bottom"/>
          </w:tcPr>
          <w:p w:rsidR="0080259F" w:rsidP="00252433" w:rsidRDefault="0080259F" w14:paraId="479EF627" w14:textId="68576004">
            <w:pPr>
              <w:jc w:val="right"/>
              <w:rPr>
                <w:bCs/>
                <w:sz w:val="20"/>
                <w:szCs w:val="20"/>
              </w:rPr>
            </w:pPr>
            <w:r>
              <w:rPr>
                <w:bCs/>
                <w:sz w:val="20"/>
                <w:szCs w:val="20"/>
              </w:rPr>
              <w:t>4,200</w:t>
            </w:r>
          </w:p>
        </w:tc>
        <w:tc>
          <w:tcPr>
            <w:tcW w:w="1104" w:type="dxa"/>
            <w:vAlign w:val="bottom"/>
          </w:tcPr>
          <w:p w:rsidR="0080259F" w:rsidP="00252433" w:rsidRDefault="00252433" w14:paraId="6119BB92" w14:textId="06024F52">
            <w:pPr>
              <w:jc w:val="right"/>
              <w:rPr>
                <w:bCs/>
                <w:sz w:val="20"/>
                <w:szCs w:val="20"/>
              </w:rPr>
            </w:pPr>
            <w:r>
              <w:rPr>
                <w:bCs/>
                <w:sz w:val="20"/>
                <w:szCs w:val="20"/>
              </w:rPr>
              <w:t>210</w:t>
            </w:r>
          </w:p>
        </w:tc>
        <w:tc>
          <w:tcPr>
            <w:tcW w:w="871" w:type="dxa"/>
            <w:vAlign w:val="bottom"/>
          </w:tcPr>
          <w:p w:rsidR="0080259F" w:rsidP="00252433" w:rsidRDefault="00252433" w14:paraId="08D01DB5" w14:textId="27F02489">
            <w:pPr>
              <w:jc w:val="right"/>
              <w:rPr>
                <w:bCs/>
                <w:sz w:val="20"/>
                <w:szCs w:val="20"/>
              </w:rPr>
            </w:pPr>
            <w:r>
              <w:rPr>
                <w:bCs/>
                <w:sz w:val="20"/>
                <w:szCs w:val="20"/>
              </w:rPr>
              <w:t>2,100</w:t>
            </w:r>
          </w:p>
        </w:tc>
      </w:tr>
      <w:tr w:rsidRPr="001761B2" w:rsidR="00CE4D88" w:rsidTr="00254E89" w14:paraId="1C9D0311" w14:textId="028A34BC">
        <w:tc>
          <w:tcPr>
            <w:tcW w:w="1419" w:type="dxa"/>
            <w:vAlign w:val="center"/>
          </w:tcPr>
          <w:p w:rsidR="0080259F" w:rsidP="004855CD" w:rsidRDefault="0080259F" w14:paraId="6EA34A5A" w14:textId="7815674F">
            <w:pPr>
              <w:rPr>
                <w:bCs/>
                <w:sz w:val="20"/>
                <w:szCs w:val="20"/>
              </w:rPr>
            </w:pPr>
            <w:r>
              <w:rPr>
                <w:bCs/>
                <w:sz w:val="20"/>
                <w:szCs w:val="20"/>
              </w:rPr>
              <w:t>Creating Disclosure Documents</w:t>
            </w:r>
          </w:p>
        </w:tc>
        <w:tc>
          <w:tcPr>
            <w:tcW w:w="1336" w:type="dxa"/>
            <w:vAlign w:val="bottom"/>
          </w:tcPr>
          <w:p w:rsidR="0080259F" w:rsidP="00252433" w:rsidRDefault="0080259F" w14:paraId="0968450D" w14:textId="4E2B3BC1">
            <w:pPr>
              <w:jc w:val="right"/>
              <w:rPr>
                <w:bCs/>
                <w:sz w:val="20"/>
                <w:szCs w:val="20"/>
              </w:rPr>
            </w:pPr>
            <w:r>
              <w:rPr>
                <w:bCs/>
                <w:sz w:val="20"/>
                <w:szCs w:val="20"/>
              </w:rPr>
              <w:t>29,544</w:t>
            </w:r>
          </w:p>
        </w:tc>
        <w:tc>
          <w:tcPr>
            <w:tcW w:w="1156" w:type="dxa"/>
            <w:vAlign w:val="bottom"/>
          </w:tcPr>
          <w:p w:rsidR="0080259F" w:rsidP="00252433" w:rsidRDefault="0080259F" w14:paraId="002DBBFF" w14:textId="0542FB82">
            <w:pPr>
              <w:jc w:val="right"/>
              <w:rPr>
                <w:bCs/>
                <w:sz w:val="20"/>
                <w:szCs w:val="20"/>
              </w:rPr>
            </w:pPr>
            <w:r>
              <w:rPr>
                <w:bCs/>
                <w:sz w:val="20"/>
                <w:szCs w:val="20"/>
              </w:rPr>
              <w:t>0.071080</w:t>
            </w:r>
          </w:p>
        </w:tc>
        <w:tc>
          <w:tcPr>
            <w:tcW w:w="1223" w:type="dxa"/>
            <w:vAlign w:val="bottom"/>
          </w:tcPr>
          <w:p w:rsidR="0080259F" w:rsidP="00252433" w:rsidRDefault="0080259F" w14:paraId="7591E8EB" w14:textId="452A28FD">
            <w:pPr>
              <w:jc w:val="right"/>
              <w:rPr>
                <w:bCs/>
                <w:sz w:val="20"/>
                <w:szCs w:val="20"/>
              </w:rPr>
            </w:pPr>
            <w:r>
              <w:rPr>
                <w:bCs/>
                <w:sz w:val="20"/>
                <w:szCs w:val="20"/>
              </w:rPr>
              <w:t>2,100</w:t>
            </w:r>
          </w:p>
        </w:tc>
        <w:tc>
          <w:tcPr>
            <w:tcW w:w="1042" w:type="dxa"/>
            <w:vAlign w:val="bottom"/>
          </w:tcPr>
          <w:p w:rsidR="0080259F" w:rsidP="00252433" w:rsidRDefault="0080259F" w14:paraId="79A183EB" w14:textId="49732A56">
            <w:pPr>
              <w:jc w:val="right"/>
              <w:rPr>
                <w:bCs/>
                <w:sz w:val="20"/>
                <w:szCs w:val="20"/>
              </w:rPr>
            </w:pPr>
            <w:r>
              <w:rPr>
                <w:bCs/>
                <w:sz w:val="20"/>
                <w:szCs w:val="20"/>
              </w:rPr>
              <w:t>3</w:t>
            </w:r>
          </w:p>
        </w:tc>
        <w:tc>
          <w:tcPr>
            <w:tcW w:w="1086" w:type="dxa"/>
            <w:vAlign w:val="bottom"/>
          </w:tcPr>
          <w:p w:rsidR="0080259F" w:rsidP="00252433" w:rsidRDefault="0080259F" w14:paraId="444EC309" w14:textId="31579E00">
            <w:pPr>
              <w:jc w:val="right"/>
              <w:rPr>
                <w:bCs/>
                <w:sz w:val="20"/>
                <w:szCs w:val="20"/>
              </w:rPr>
            </w:pPr>
            <w:r>
              <w:rPr>
                <w:bCs/>
                <w:sz w:val="20"/>
                <w:szCs w:val="20"/>
              </w:rPr>
              <w:t>6,300</w:t>
            </w:r>
          </w:p>
        </w:tc>
        <w:tc>
          <w:tcPr>
            <w:tcW w:w="1104" w:type="dxa"/>
            <w:vAlign w:val="bottom"/>
          </w:tcPr>
          <w:p w:rsidR="0080259F" w:rsidP="00252433" w:rsidRDefault="00252433" w14:paraId="079B8401" w14:textId="0B4AD608">
            <w:pPr>
              <w:jc w:val="right"/>
              <w:rPr>
                <w:bCs/>
                <w:sz w:val="20"/>
                <w:szCs w:val="20"/>
              </w:rPr>
            </w:pPr>
            <w:r>
              <w:rPr>
                <w:bCs/>
                <w:sz w:val="20"/>
                <w:szCs w:val="20"/>
              </w:rPr>
              <w:t>1,050</w:t>
            </w:r>
          </w:p>
        </w:tc>
        <w:tc>
          <w:tcPr>
            <w:tcW w:w="871" w:type="dxa"/>
            <w:vAlign w:val="bottom"/>
          </w:tcPr>
          <w:p w:rsidR="0080259F" w:rsidP="00252433" w:rsidRDefault="00252433" w14:paraId="0B15CAE5" w14:textId="0EF74277">
            <w:pPr>
              <w:jc w:val="right"/>
              <w:rPr>
                <w:bCs/>
                <w:sz w:val="20"/>
                <w:szCs w:val="20"/>
              </w:rPr>
            </w:pPr>
            <w:r>
              <w:rPr>
                <w:bCs/>
                <w:sz w:val="20"/>
                <w:szCs w:val="20"/>
              </w:rPr>
              <w:t>3,150</w:t>
            </w:r>
          </w:p>
        </w:tc>
      </w:tr>
      <w:tr w:rsidRPr="001761B2" w:rsidR="00CE4D88" w:rsidTr="00254E89" w14:paraId="0E663DBB" w14:textId="6F829E03">
        <w:tc>
          <w:tcPr>
            <w:tcW w:w="1419" w:type="dxa"/>
            <w:vAlign w:val="center"/>
          </w:tcPr>
          <w:p w:rsidR="0080259F" w:rsidP="004855CD" w:rsidRDefault="0080259F" w14:paraId="6C2E5318" w14:textId="670443ED">
            <w:pPr>
              <w:rPr>
                <w:bCs/>
                <w:sz w:val="20"/>
                <w:szCs w:val="20"/>
              </w:rPr>
            </w:pPr>
            <w:r>
              <w:rPr>
                <w:bCs/>
                <w:sz w:val="20"/>
                <w:szCs w:val="20"/>
              </w:rPr>
              <w:t>Reviewing Internal GLBA Policies (Initial)</w:t>
            </w:r>
          </w:p>
        </w:tc>
        <w:tc>
          <w:tcPr>
            <w:tcW w:w="1336" w:type="dxa"/>
            <w:vAlign w:val="bottom"/>
          </w:tcPr>
          <w:p w:rsidR="0080259F" w:rsidP="00252433" w:rsidRDefault="0080259F" w14:paraId="4836C025" w14:textId="5B885197">
            <w:pPr>
              <w:jc w:val="right"/>
              <w:rPr>
                <w:bCs/>
                <w:sz w:val="20"/>
                <w:szCs w:val="20"/>
              </w:rPr>
            </w:pPr>
            <w:r>
              <w:rPr>
                <w:bCs/>
                <w:sz w:val="20"/>
                <w:szCs w:val="20"/>
              </w:rPr>
              <w:t>29,544</w:t>
            </w:r>
          </w:p>
        </w:tc>
        <w:tc>
          <w:tcPr>
            <w:tcW w:w="1156" w:type="dxa"/>
            <w:vAlign w:val="bottom"/>
          </w:tcPr>
          <w:p w:rsidR="0080259F" w:rsidP="00252433" w:rsidRDefault="0080259F" w14:paraId="7776322A" w14:textId="084E1BB4">
            <w:pPr>
              <w:jc w:val="right"/>
              <w:rPr>
                <w:bCs/>
                <w:sz w:val="20"/>
                <w:szCs w:val="20"/>
              </w:rPr>
            </w:pPr>
            <w:r>
              <w:rPr>
                <w:bCs/>
                <w:sz w:val="20"/>
                <w:szCs w:val="20"/>
              </w:rPr>
              <w:t>0.071080</w:t>
            </w:r>
          </w:p>
        </w:tc>
        <w:tc>
          <w:tcPr>
            <w:tcW w:w="1223" w:type="dxa"/>
            <w:vAlign w:val="bottom"/>
          </w:tcPr>
          <w:p w:rsidR="0080259F" w:rsidP="00252433" w:rsidRDefault="0080259F" w14:paraId="0C6F7696" w14:textId="7EF2F130">
            <w:pPr>
              <w:jc w:val="right"/>
              <w:rPr>
                <w:bCs/>
                <w:sz w:val="20"/>
                <w:szCs w:val="20"/>
              </w:rPr>
            </w:pPr>
            <w:r>
              <w:rPr>
                <w:bCs/>
                <w:sz w:val="20"/>
                <w:szCs w:val="20"/>
              </w:rPr>
              <w:t>2,100</w:t>
            </w:r>
          </w:p>
        </w:tc>
        <w:tc>
          <w:tcPr>
            <w:tcW w:w="1042" w:type="dxa"/>
            <w:vAlign w:val="bottom"/>
          </w:tcPr>
          <w:p w:rsidR="0080259F" w:rsidP="00252433" w:rsidRDefault="0080259F" w14:paraId="2B251FC0" w14:textId="06F0AD25">
            <w:pPr>
              <w:jc w:val="right"/>
              <w:rPr>
                <w:bCs/>
                <w:sz w:val="20"/>
                <w:szCs w:val="20"/>
              </w:rPr>
            </w:pPr>
            <w:r>
              <w:rPr>
                <w:bCs/>
                <w:sz w:val="20"/>
                <w:szCs w:val="20"/>
              </w:rPr>
              <w:t>20</w:t>
            </w:r>
          </w:p>
        </w:tc>
        <w:tc>
          <w:tcPr>
            <w:tcW w:w="1086" w:type="dxa"/>
            <w:vAlign w:val="bottom"/>
          </w:tcPr>
          <w:p w:rsidR="0080259F" w:rsidP="00252433" w:rsidRDefault="0080259F" w14:paraId="4A3FD8A0" w14:textId="2A82E06C">
            <w:pPr>
              <w:jc w:val="right"/>
              <w:rPr>
                <w:bCs/>
                <w:sz w:val="20"/>
                <w:szCs w:val="20"/>
              </w:rPr>
            </w:pPr>
            <w:r>
              <w:rPr>
                <w:bCs/>
                <w:sz w:val="20"/>
                <w:szCs w:val="20"/>
              </w:rPr>
              <w:t>42,000</w:t>
            </w:r>
          </w:p>
        </w:tc>
        <w:tc>
          <w:tcPr>
            <w:tcW w:w="1104" w:type="dxa"/>
            <w:vAlign w:val="bottom"/>
          </w:tcPr>
          <w:p w:rsidR="0080259F" w:rsidP="00252433" w:rsidRDefault="00252433" w14:paraId="4173882C" w14:textId="3FB2D37B">
            <w:pPr>
              <w:jc w:val="right"/>
              <w:rPr>
                <w:bCs/>
                <w:sz w:val="20"/>
                <w:szCs w:val="20"/>
              </w:rPr>
            </w:pPr>
            <w:r>
              <w:rPr>
                <w:bCs/>
                <w:sz w:val="20"/>
                <w:szCs w:val="20"/>
              </w:rPr>
              <w:t>1,050</w:t>
            </w:r>
          </w:p>
        </w:tc>
        <w:tc>
          <w:tcPr>
            <w:tcW w:w="871" w:type="dxa"/>
            <w:vAlign w:val="bottom"/>
          </w:tcPr>
          <w:p w:rsidR="0080259F" w:rsidP="00252433" w:rsidRDefault="00252433" w14:paraId="00F4D4CD" w14:textId="62B75144">
            <w:pPr>
              <w:jc w:val="right"/>
              <w:rPr>
                <w:bCs/>
                <w:sz w:val="20"/>
                <w:szCs w:val="20"/>
              </w:rPr>
            </w:pPr>
            <w:r>
              <w:rPr>
                <w:bCs/>
                <w:sz w:val="20"/>
                <w:szCs w:val="20"/>
              </w:rPr>
              <w:t>21,000</w:t>
            </w:r>
          </w:p>
        </w:tc>
      </w:tr>
      <w:tr w:rsidRPr="001761B2" w:rsidR="00CE4D88" w:rsidTr="00254E89" w14:paraId="552F2DE0" w14:textId="69ECBB40">
        <w:tc>
          <w:tcPr>
            <w:tcW w:w="1419" w:type="dxa"/>
            <w:vAlign w:val="center"/>
          </w:tcPr>
          <w:p w:rsidR="0080259F" w:rsidP="004855CD" w:rsidRDefault="0080259F" w14:paraId="47C15C37" w14:textId="4038C881">
            <w:pPr>
              <w:rPr>
                <w:bCs/>
                <w:sz w:val="20"/>
                <w:szCs w:val="20"/>
              </w:rPr>
            </w:pPr>
            <w:r>
              <w:rPr>
                <w:bCs/>
                <w:sz w:val="20"/>
                <w:szCs w:val="20"/>
              </w:rPr>
              <w:t>Reviewing Internal GLBA Policies (Ongoing)</w:t>
            </w:r>
          </w:p>
        </w:tc>
        <w:tc>
          <w:tcPr>
            <w:tcW w:w="1336" w:type="dxa"/>
            <w:vAlign w:val="bottom"/>
          </w:tcPr>
          <w:p w:rsidR="0080259F" w:rsidP="00252433" w:rsidRDefault="0080259F" w14:paraId="5FFB7EA6" w14:textId="17AE0DB6">
            <w:pPr>
              <w:jc w:val="right"/>
              <w:rPr>
                <w:bCs/>
                <w:sz w:val="20"/>
                <w:szCs w:val="20"/>
              </w:rPr>
            </w:pPr>
            <w:r>
              <w:rPr>
                <w:bCs/>
                <w:sz w:val="20"/>
                <w:szCs w:val="20"/>
              </w:rPr>
              <w:t>29,544</w:t>
            </w:r>
          </w:p>
        </w:tc>
        <w:tc>
          <w:tcPr>
            <w:tcW w:w="1156" w:type="dxa"/>
            <w:vAlign w:val="bottom"/>
          </w:tcPr>
          <w:p w:rsidR="0080259F" w:rsidP="00252433" w:rsidRDefault="0080259F" w14:paraId="4E3689E2" w14:textId="75408BCA">
            <w:pPr>
              <w:jc w:val="right"/>
              <w:rPr>
                <w:bCs/>
                <w:sz w:val="20"/>
                <w:szCs w:val="20"/>
              </w:rPr>
            </w:pPr>
            <w:r>
              <w:rPr>
                <w:bCs/>
                <w:sz w:val="20"/>
                <w:szCs w:val="20"/>
              </w:rPr>
              <w:t>0.995</w:t>
            </w:r>
            <w:r w:rsidR="00B85DA8">
              <w:rPr>
                <w:bCs/>
                <w:sz w:val="20"/>
                <w:szCs w:val="20"/>
              </w:rPr>
              <w:t>12591</w:t>
            </w:r>
          </w:p>
        </w:tc>
        <w:tc>
          <w:tcPr>
            <w:tcW w:w="1223" w:type="dxa"/>
            <w:vAlign w:val="bottom"/>
          </w:tcPr>
          <w:p w:rsidR="0080259F" w:rsidP="00252433" w:rsidRDefault="0080259F" w14:paraId="1D548C4E" w14:textId="2DADD826">
            <w:pPr>
              <w:jc w:val="right"/>
              <w:rPr>
                <w:bCs/>
                <w:sz w:val="20"/>
                <w:szCs w:val="20"/>
              </w:rPr>
            </w:pPr>
            <w:r>
              <w:rPr>
                <w:bCs/>
                <w:sz w:val="20"/>
                <w:szCs w:val="20"/>
              </w:rPr>
              <w:t>29,400</w:t>
            </w:r>
          </w:p>
        </w:tc>
        <w:tc>
          <w:tcPr>
            <w:tcW w:w="1042" w:type="dxa"/>
            <w:vAlign w:val="bottom"/>
          </w:tcPr>
          <w:p w:rsidR="0080259F" w:rsidP="00252433" w:rsidRDefault="0080259F" w14:paraId="4F9740B6" w14:textId="0B58D235">
            <w:pPr>
              <w:jc w:val="right"/>
              <w:rPr>
                <w:bCs/>
                <w:sz w:val="20"/>
                <w:szCs w:val="20"/>
              </w:rPr>
            </w:pPr>
            <w:r>
              <w:rPr>
                <w:bCs/>
                <w:sz w:val="20"/>
                <w:szCs w:val="20"/>
              </w:rPr>
              <w:t>4</w:t>
            </w:r>
          </w:p>
        </w:tc>
        <w:tc>
          <w:tcPr>
            <w:tcW w:w="1086" w:type="dxa"/>
            <w:vAlign w:val="bottom"/>
          </w:tcPr>
          <w:p w:rsidR="0080259F" w:rsidP="00252433" w:rsidRDefault="0080259F" w14:paraId="789A5EAE" w14:textId="7F0B3B8B">
            <w:pPr>
              <w:jc w:val="right"/>
              <w:rPr>
                <w:bCs/>
                <w:sz w:val="20"/>
                <w:szCs w:val="20"/>
              </w:rPr>
            </w:pPr>
            <w:r>
              <w:rPr>
                <w:bCs/>
                <w:sz w:val="20"/>
                <w:szCs w:val="20"/>
              </w:rPr>
              <w:t>117,600</w:t>
            </w:r>
          </w:p>
        </w:tc>
        <w:tc>
          <w:tcPr>
            <w:tcW w:w="1104" w:type="dxa"/>
            <w:vAlign w:val="bottom"/>
          </w:tcPr>
          <w:p w:rsidR="0080259F" w:rsidP="00252433" w:rsidRDefault="00252433" w14:paraId="3CE0056C" w14:textId="77F768C5">
            <w:pPr>
              <w:jc w:val="right"/>
              <w:rPr>
                <w:bCs/>
                <w:sz w:val="20"/>
                <w:szCs w:val="20"/>
              </w:rPr>
            </w:pPr>
            <w:r>
              <w:rPr>
                <w:bCs/>
                <w:sz w:val="20"/>
                <w:szCs w:val="20"/>
              </w:rPr>
              <w:t>14,700</w:t>
            </w:r>
          </w:p>
        </w:tc>
        <w:tc>
          <w:tcPr>
            <w:tcW w:w="871" w:type="dxa"/>
            <w:vAlign w:val="bottom"/>
          </w:tcPr>
          <w:p w:rsidR="0080259F" w:rsidP="00252433" w:rsidRDefault="00252433" w14:paraId="39D88435" w14:textId="3620BE71">
            <w:pPr>
              <w:jc w:val="right"/>
              <w:rPr>
                <w:bCs/>
                <w:sz w:val="20"/>
                <w:szCs w:val="20"/>
              </w:rPr>
            </w:pPr>
            <w:r>
              <w:rPr>
                <w:bCs/>
                <w:sz w:val="20"/>
                <w:szCs w:val="20"/>
              </w:rPr>
              <w:t>58,800</w:t>
            </w:r>
          </w:p>
        </w:tc>
      </w:tr>
      <w:tr w:rsidRPr="001761B2" w:rsidR="00CE4D88" w:rsidTr="00254E89" w14:paraId="508E7C70" w14:textId="7F1D15C7">
        <w:tc>
          <w:tcPr>
            <w:tcW w:w="1419" w:type="dxa"/>
          </w:tcPr>
          <w:p w:rsidRPr="001761B2" w:rsidR="0080259F" w:rsidP="00177C9F" w:rsidRDefault="0080259F" w14:paraId="7931576D" w14:textId="77777777">
            <w:pPr>
              <w:rPr>
                <w:b/>
                <w:sz w:val="20"/>
                <w:szCs w:val="20"/>
              </w:rPr>
            </w:pPr>
            <w:r w:rsidRPr="001761B2">
              <w:rPr>
                <w:b/>
                <w:sz w:val="20"/>
                <w:szCs w:val="20"/>
              </w:rPr>
              <w:t>TOTAL</w:t>
            </w:r>
          </w:p>
        </w:tc>
        <w:tc>
          <w:tcPr>
            <w:tcW w:w="1336" w:type="dxa"/>
            <w:vAlign w:val="bottom"/>
          </w:tcPr>
          <w:p w:rsidRPr="001761B2" w:rsidR="0080259F" w:rsidP="00252433" w:rsidRDefault="00692DFB" w14:paraId="74F3EC3A" w14:textId="1BE96FEB">
            <w:pPr>
              <w:ind w:left="0" w:firstLine="0"/>
              <w:jc w:val="right"/>
              <w:rPr>
                <w:bCs/>
                <w:sz w:val="20"/>
                <w:szCs w:val="20"/>
              </w:rPr>
            </w:pPr>
            <w:r>
              <w:rPr>
                <w:bCs/>
                <w:sz w:val="20"/>
                <w:szCs w:val="20"/>
              </w:rPr>
              <w:t>462,760</w:t>
            </w:r>
            <w:r w:rsidR="00136475">
              <w:rPr>
                <w:rStyle w:val="FootnoteReference"/>
                <w:bCs/>
                <w:sz w:val="20"/>
                <w:szCs w:val="20"/>
              </w:rPr>
              <w:footnoteReference w:id="6"/>
            </w:r>
          </w:p>
        </w:tc>
        <w:tc>
          <w:tcPr>
            <w:tcW w:w="1156" w:type="dxa"/>
            <w:shd w:val="clear" w:color="auto" w:fill="D9D9D9" w:themeFill="background1" w:themeFillShade="D9"/>
            <w:vAlign w:val="bottom"/>
          </w:tcPr>
          <w:p w:rsidRPr="001761B2" w:rsidR="0080259F" w:rsidP="00252433" w:rsidRDefault="0080259F" w14:paraId="4CBA622F" w14:textId="77777777">
            <w:pPr>
              <w:jc w:val="right"/>
              <w:rPr>
                <w:bCs/>
                <w:sz w:val="20"/>
                <w:szCs w:val="20"/>
              </w:rPr>
            </w:pPr>
          </w:p>
        </w:tc>
        <w:tc>
          <w:tcPr>
            <w:tcW w:w="1223" w:type="dxa"/>
            <w:vAlign w:val="bottom"/>
          </w:tcPr>
          <w:p w:rsidRPr="001761B2" w:rsidR="0080259F" w:rsidP="00252433" w:rsidRDefault="00692DFB" w14:paraId="25557B52" w14:textId="6EABD955">
            <w:pPr>
              <w:jc w:val="right"/>
              <w:rPr>
                <w:bCs/>
                <w:sz w:val="20"/>
                <w:szCs w:val="20"/>
              </w:rPr>
            </w:pPr>
            <w:r>
              <w:rPr>
                <w:bCs/>
                <w:sz w:val="20"/>
                <w:szCs w:val="20"/>
              </w:rPr>
              <w:t>498,885</w:t>
            </w:r>
          </w:p>
        </w:tc>
        <w:tc>
          <w:tcPr>
            <w:tcW w:w="1042" w:type="dxa"/>
            <w:shd w:val="clear" w:color="auto" w:fill="D9D9D9" w:themeFill="background1" w:themeFillShade="D9"/>
            <w:vAlign w:val="bottom"/>
          </w:tcPr>
          <w:p w:rsidRPr="001761B2" w:rsidR="0080259F" w:rsidP="00252433" w:rsidRDefault="0080259F" w14:paraId="5B68AEE3" w14:textId="77777777">
            <w:pPr>
              <w:jc w:val="right"/>
              <w:rPr>
                <w:bCs/>
                <w:sz w:val="20"/>
                <w:szCs w:val="20"/>
              </w:rPr>
            </w:pPr>
          </w:p>
        </w:tc>
        <w:tc>
          <w:tcPr>
            <w:tcW w:w="1086" w:type="dxa"/>
            <w:vAlign w:val="bottom"/>
          </w:tcPr>
          <w:p w:rsidRPr="001761B2" w:rsidR="0080259F" w:rsidP="00252433" w:rsidRDefault="00692DFB" w14:paraId="5A0A19D9" w14:textId="1BD7EA70">
            <w:pPr>
              <w:jc w:val="right"/>
              <w:rPr>
                <w:bCs/>
                <w:sz w:val="20"/>
                <w:szCs w:val="20"/>
              </w:rPr>
            </w:pPr>
            <w:r>
              <w:rPr>
                <w:bCs/>
                <w:sz w:val="20"/>
                <w:szCs w:val="20"/>
              </w:rPr>
              <w:t>465,298</w:t>
            </w:r>
          </w:p>
        </w:tc>
        <w:tc>
          <w:tcPr>
            <w:tcW w:w="1104" w:type="dxa"/>
            <w:vAlign w:val="bottom"/>
          </w:tcPr>
          <w:p w:rsidRPr="00C51595" w:rsidR="0080259F" w:rsidP="00252433" w:rsidRDefault="00692DFB" w14:paraId="488973B9" w14:textId="3A6677C8">
            <w:pPr>
              <w:jc w:val="right"/>
              <w:rPr>
                <w:b/>
                <w:sz w:val="20"/>
                <w:szCs w:val="20"/>
              </w:rPr>
            </w:pPr>
            <w:r w:rsidRPr="00C51595">
              <w:rPr>
                <w:b/>
                <w:sz w:val="20"/>
                <w:szCs w:val="20"/>
              </w:rPr>
              <w:t>466,</w:t>
            </w:r>
            <w:r w:rsidRPr="00C51595" w:rsidR="00334ED0">
              <w:rPr>
                <w:b/>
                <w:sz w:val="20"/>
                <w:szCs w:val="20"/>
              </w:rPr>
              <w:t>125</w:t>
            </w:r>
          </w:p>
        </w:tc>
        <w:tc>
          <w:tcPr>
            <w:tcW w:w="871" w:type="dxa"/>
            <w:vAlign w:val="bottom"/>
          </w:tcPr>
          <w:p w:rsidRPr="00C51595" w:rsidR="0080259F" w:rsidP="00252433" w:rsidRDefault="00334ED0" w14:paraId="19D98255" w14:textId="1CDB56BF">
            <w:pPr>
              <w:jc w:val="right"/>
              <w:rPr>
                <w:b/>
                <w:sz w:val="20"/>
                <w:szCs w:val="20"/>
              </w:rPr>
            </w:pPr>
            <w:r w:rsidRPr="00C51595">
              <w:rPr>
                <w:b/>
                <w:sz w:val="20"/>
                <w:szCs w:val="20"/>
              </w:rPr>
              <w:t>312,916</w:t>
            </w:r>
          </w:p>
        </w:tc>
      </w:tr>
    </w:tbl>
    <w:p w:rsidR="00EA5BC1" w:rsidRDefault="00EA5BC1" w14:paraId="4690D5D4" w14:textId="1596DF6E">
      <w:pPr>
        <w:spacing w:after="0" w:line="259" w:lineRule="auto"/>
        <w:ind w:left="0" w:firstLine="0"/>
        <w:rPr>
          <w:b/>
        </w:rPr>
      </w:pPr>
    </w:p>
    <w:p w:rsidRPr="007B6994" w:rsidR="007B6994" w:rsidP="007B6994" w:rsidRDefault="007B6994" w14:paraId="0FF32AFB" w14:textId="35E6723B">
      <w:pPr>
        <w:spacing w:after="240" w:line="240" w:lineRule="auto"/>
        <w:rPr>
          <w:szCs w:val="24"/>
        </w:rPr>
      </w:pPr>
      <w:r w:rsidRPr="007B6994">
        <w:rPr>
          <w:szCs w:val="24"/>
        </w:rPr>
        <w:t xml:space="preserve">For Paperwork Reduction Act (PRA) burden calculation purposes, the Bureau assumes all burden for depository institutions with more than $10 billion in assets as well as their affiliates, for which Bureau has primary enforcement authority with respect to regulation P. </w:t>
      </w:r>
      <w:r w:rsidR="0082160A">
        <w:rPr>
          <w:szCs w:val="24"/>
        </w:rPr>
        <w:t xml:space="preserve"> </w:t>
      </w:r>
      <w:r w:rsidR="00E273C7">
        <w:rPr>
          <w:szCs w:val="24"/>
        </w:rPr>
        <w:t>Additionally</w:t>
      </w:r>
      <w:r w:rsidRPr="007B6994">
        <w:rPr>
          <w:szCs w:val="24"/>
        </w:rPr>
        <w:t>, the Bureau and FTC share enforcement authority for those non-depository institutions subject to the Bureau’s regulation P.</w:t>
      </w:r>
    </w:p>
    <w:p w:rsidRPr="007B6994" w:rsidR="007B6994" w:rsidP="007B6994" w:rsidRDefault="007B6994" w14:paraId="7EC4907C" w14:textId="77777777">
      <w:pPr>
        <w:spacing w:after="240" w:line="240" w:lineRule="auto"/>
        <w:rPr>
          <w:szCs w:val="24"/>
        </w:rPr>
      </w:pPr>
    </w:p>
    <w:p w:rsidRPr="007B6994" w:rsidR="007B6994" w:rsidP="00B40B0E" w:rsidRDefault="007B6994" w14:paraId="398F79D0" w14:textId="1B3F5185">
      <w:pPr>
        <w:spacing w:after="240" w:line="240" w:lineRule="auto"/>
        <w:rPr>
          <w:szCs w:val="24"/>
        </w:rPr>
      </w:pPr>
      <w:r w:rsidRPr="007B6994">
        <w:rPr>
          <w:szCs w:val="24"/>
        </w:rPr>
        <w:lastRenderedPageBreak/>
        <w:t>Associated Labor Costs: $13,355,255</w:t>
      </w:r>
    </w:p>
    <w:p w:rsidRPr="002D57F7" w:rsidR="00EA5BC1" w:rsidP="00B40B0E" w:rsidRDefault="007B6994" w14:paraId="657A5884" w14:textId="38BF0786">
      <w:pPr>
        <w:spacing w:after="240" w:line="240" w:lineRule="auto"/>
        <w:rPr>
          <w:szCs w:val="24"/>
        </w:rPr>
      </w:pPr>
      <w:r w:rsidRPr="007B6994">
        <w:rPr>
          <w:szCs w:val="24"/>
        </w:rPr>
        <w:t>The Bureau used an overall hourly average wage of $42.68 for the burden associated with these information collections, which multiplied by the Bureau burden hours amounts to $13,355,255</w:t>
      </w:r>
      <w:r w:rsidR="00E273C7">
        <w:rPr>
          <w:szCs w:val="24"/>
        </w:rPr>
        <w:t xml:space="preserve"> </w:t>
      </w:r>
      <w:r w:rsidRPr="007B6994">
        <w:rPr>
          <w:szCs w:val="24"/>
        </w:rPr>
        <w:t>in labor costs.</w:t>
      </w:r>
      <w:r w:rsidR="00E273C7">
        <w:rPr>
          <w:szCs w:val="24"/>
        </w:rPr>
        <w:t xml:space="preserve"> </w:t>
      </w:r>
      <w:r w:rsidRPr="007B6994">
        <w:rPr>
          <w:szCs w:val="24"/>
        </w:rPr>
        <w:t xml:space="preserve"> Specifically, the Bureau estimates on average each hour requires 20% administration at $19.08/hour, 45% management at $44.71/hour, 20% senior management at $47.59/hour, and 15% legal at $61.54/hour.</w:t>
      </w:r>
      <w:r w:rsidR="005A7EF2">
        <w:rPr>
          <w:rStyle w:val="FootnoteReference"/>
          <w:szCs w:val="24"/>
        </w:rPr>
        <w:footnoteReference w:id="7"/>
      </w:r>
    </w:p>
    <w:p w:rsidRPr="008761CA" w:rsidR="00542460" w:rsidP="00542460" w:rsidRDefault="009346F0" w14:paraId="411154EC" w14:textId="77777777">
      <w:pPr>
        <w:pStyle w:val="CM13"/>
        <w:ind w:right="410"/>
      </w:pPr>
      <w:r w:rsidRPr="00F628D3">
        <w:rPr>
          <w:b/>
          <w:bCs/>
        </w:rPr>
        <w:t xml:space="preserve">13.  </w:t>
      </w:r>
      <w:r w:rsidRPr="00F628D3" w:rsidR="00542460">
        <w:rPr>
          <w:b/>
          <w:bCs/>
          <w:sz w:val="22"/>
          <w:szCs w:val="22"/>
        </w:rPr>
        <w:t>Provide</w:t>
      </w:r>
      <w:r w:rsidRPr="0010787D" w:rsidR="00542460">
        <w:rPr>
          <w:b/>
          <w:sz w:val="22"/>
          <w:szCs w:val="22"/>
        </w:rPr>
        <w:t xml:space="preserve"> an estimate of the total annual cost burden to respondents or record keepers resulting from the collection of information.  (Do not include the cost of any hour burden shown in Items 12 and 14).</w:t>
      </w:r>
    </w:p>
    <w:p w:rsidR="00EA5BC1" w:rsidRDefault="00EA5BC1" w14:paraId="77FBADDB" w14:textId="266FA12F">
      <w:pPr>
        <w:spacing w:after="0" w:line="259" w:lineRule="auto"/>
        <w:ind w:left="0" w:firstLine="0"/>
      </w:pPr>
    </w:p>
    <w:p w:rsidR="00A314BE" w:rsidRDefault="00A314BE" w14:paraId="25D98FF7" w14:textId="77777777">
      <w:pPr>
        <w:spacing w:after="0" w:line="259" w:lineRule="auto"/>
        <w:ind w:left="0" w:firstLine="0"/>
        <w:rPr>
          <w:szCs w:val="24"/>
        </w:rPr>
      </w:pPr>
      <w:r w:rsidRPr="00A314BE">
        <w:rPr>
          <w:szCs w:val="24"/>
        </w:rPr>
        <w:t>There are no additional materials costs for this regulation.</w:t>
      </w:r>
    </w:p>
    <w:p w:rsidR="00EA5BC1" w:rsidRDefault="009346F0" w14:paraId="58CB3F9E" w14:textId="6C62D02F">
      <w:pPr>
        <w:spacing w:after="0" w:line="259" w:lineRule="auto"/>
        <w:ind w:left="0" w:firstLine="0"/>
      </w:pPr>
      <w:r>
        <w:t xml:space="preserve"> </w:t>
      </w:r>
    </w:p>
    <w:p w:rsidRPr="00542460" w:rsidR="00EA5BC1" w:rsidRDefault="009346F0" w14:paraId="085482BE" w14:textId="0B226B02">
      <w:pPr>
        <w:pStyle w:val="Heading1"/>
        <w:ind w:left="-5"/>
        <w:rPr>
          <w:u w:val="none"/>
        </w:rPr>
      </w:pPr>
      <w:r>
        <w:rPr>
          <w:u w:val="none"/>
        </w:rPr>
        <w:t xml:space="preserve">14.  </w:t>
      </w:r>
      <w:r w:rsidRPr="00542460" w:rsidR="00542460">
        <w:rPr>
          <w:u w:val="none"/>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EA5BC1" w:rsidP="00357CE2" w:rsidRDefault="009346F0" w14:paraId="02FF4205" w14:textId="03D146A7">
      <w:pPr>
        <w:spacing w:after="5" w:line="259" w:lineRule="auto"/>
        <w:ind w:left="0" w:firstLine="0"/>
      </w:pPr>
      <w:r w:rsidRPr="00542460">
        <w:t xml:space="preserve"> </w:t>
      </w:r>
      <w:r>
        <w:tab/>
        <w:t xml:space="preserve"> </w:t>
      </w:r>
    </w:p>
    <w:p w:rsidRPr="00C04514" w:rsidR="00EA5BC1" w:rsidP="00C04514" w:rsidRDefault="00851445" w14:paraId="189C95B3" w14:textId="49C29F89">
      <w:pPr>
        <w:spacing w:after="240" w:line="240" w:lineRule="auto"/>
        <w:rPr>
          <w:szCs w:val="24"/>
          <w:u w:val="single"/>
        </w:rPr>
      </w:pPr>
      <w:r>
        <w:t>As the Bureau does not collect any information, there are no additional costs to the</w:t>
      </w:r>
      <w:r>
        <w:rPr>
          <w:spacing w:val="-57"/>
        </w:rPr>
        <w:t xml:space="preserve"> </w:t>
      </w:r>
      <w:r>
        <w:t>Federal</w:t>
      </w:r>
      <w:r>
        <w:rPr>
          <w:spacing w:val="-1"/>
        </w:rPr>
        <w:t xml:space="preserve"> </w:t>
      </w:r>
      <w:r>
        <w:t>Government</w:t>
      </w:r>
      <w:r w:rsidRPr="00BD1D11" w:rsidR="00C04514">
        <w:rPr>
          <w:szCs w:val="24"/>
        </w:rPr>
        <w:t>.</w:t>
      </w:r>
    </w:p>
    <w:p w:rsidRPr="00542460" w:rsidR="00EA5BC1" w:rsidRDefault="009346F0" w14:paraId="4A27C2ED" w14:textId="62F87C53">
      <w:pPr>
        <w:pStyle w:val="Heading1"/>
        <w:ind w:left="-5"/>
        <w:rPr>
          <w:bCs/>
          <w:u w:val="none"/>
        </w:rPr>
      </w:pPr>
      <w:r w:rsidRPr="00542460">
        <w:rPr>
          <w:bCs/>
          <w:u w:val="none"/>
        </w:rPr>
        <w:t xml:space="preserve">15.  </w:t>
      </w:r>
      <w:r w:rsidRPr="00542460" w:rsidR="00542460">
        <w:rPr>
          <w:bCs/>
          <w:szCs w:val="24"/>
          <w:u w:val="none"/>
        </w:rPr>
        <w:t>Explain the reasons for any program changes or adjustments.</w:t>
      </w:r>
    </w:p>
    <w:p w:rsidR="00524EE0" w:rsidRDefault="00524EE0" w14:paraId="28E4B49F" w14:textId="7ECDD47C">
      <w:pPr>
        <w:spacing w:after="0" w:line="259" w:lineRule="auto"/>
        <w:ind w:left="0" w:firstLine="0"/>
        <w:rPr>
          <w:b/>
          <w:bCs/>
        </w:rPr>
      </w:pPr>
    </w:p>
    <w:p w:rsidRPr="00AF23A1" w:rsidR="00524EE0" w:rsidRDefault="00AF23A1" w14:paraId="658AE3CC" w14:textId="28992DC0">
      <w:pPr>
        <w:spacing w:after="0" w:line="259" w:lineRule="auto"/>
        <w:ind w:left="0" w:firstLine="0"/>
      </w:pPr>
      <w:r>
        <w:t xml:space="preserve">The Bureau is making no </w:t>
      </w:r>
      <w:r w:rsidR="00AB7D63">
        <w:t>program changes to this information collection.</w:t>
      </w:r>
    </w:p>
    <w:p w:rsidR="00524EE0" w:rsidRDefault="00524EE0" w14:paraId="1DDAC62E" w14:textId="77777777">
      <w:pPr>
        <w:spacing w:after="0" w:line="259" w:lineRule="auto"/>
        <w:ind w:left="0" w:firstLine="0"/>
        <w:rPr>
          <w:b/>
          <w:bCs/>
        </w:rPr>
      </w:pPr>
    </w:p>
    <w:tbl>
      <w:tblPr>
        <w:tblStyle w:val="TableGrid0"/>
        <w:tblW w:w="0" w:type="auto"/>
        <w:tblLook w:val="04A0" w:firstRow="1" w:lastRow="0" w:firstColumn="1" w:lastColumn="0" w:noHBand="0" w:noVBand="1"/>
      </w:tblPr>
      <w:tblGrid>
        <w:gridCol w:w="1337"/>
        <w:gridCol w:w="1603"/>
        <w:gridCol w:w="1556"/>
        <w:gridCol w:w="1603"/>
        <w:gridCol w:w="1636"/>
        <w:gridCol w:w="1610"/>
      </w:tblGrid>
      <w:tr w:rsidRPr="00524EE0" w:rsidR="00524EE0" w:rsidTr="00177C9F" w14:paraId="5114F72F" w14:textId="77777777">
        <w:tc>
          <w:tcPr>
            <w:tcW w:w="9350" w:type="dxa"/>
            <w:gridSpan w:val="6"/>
            <w:shd w:val="clear" w:color="auto" w:fill="D9D9D9" w:themeFill="background1" w:themeFillShade="D9"/>
          </w:tcPr>
          <w:p w:rsidRPr="00524EE0" w:rsidR="00524EE0" w:rsidP="00177C9F" w:rsidRDefault="00524EE0" w14:paraId="60AC67BF" w14:textId="77777777">
            <w:pPr>
              <w:numPr>
                <w:ilvl w:val="12"/>
                <w:numId w:val="0"/>
              </w:numPr>
              <w:jc w:val="center"/>
              <w:rPr>
                <w:b/>
                <w:bCs/>
                <w:sz w:val="20"/>
              </w:rPr>
            </w:pPr>
            <w:r w:rsidRPr="00524EE0">
              <w:rPr>
                <w:b/>
                <w:bCs/>
                <w:sz w:val="20"/>
              </w:rPr>
              <w:t>ICR Summary of Burden</w:t>
            </w:r>
          </w:p>
        </w:tc>
      </w:tr>
      <w:tr w:rsidRPr="00524EE0" w:rsidR="00524EE0" w:rsidTr="00177C9F" w14:paraId="0892B1B6" w14:textId="77777777">
        <w:tc>
          <w:tcPr>
            <w:tcW w:w="1337" w:type="dxa"/>
            <w:shd w:val="clear" w:color="auto" w:fill="D9D9D9" w:themeFill="background1" w:themeFillShade="D9"/>
            <w:vAlign w:val="center"/>
          </w:tcPr>
          <w:p w:rsidRPr="00524EE0" w:rsidR="00524EE0" w:rsidP="00177C9F" w:rsidRDefault="00524EE0" w14:paraId="2C5B9606" w14:textId="77777777">
            <w:pPr>
              <w:numPr>
                <w:ilvl w:val="12"/>
                <w:numId w:val="0"/>
              </w:numPr>
              <w:rPr>
                <w:b/>
                <w:bCs/>
                <w:sz w:val="20"/>
              </w:rPr>
            </w:pPr>
          </w:p>
        </w:tc>
        <w:tc>
          <w:tcPr>
            <w:tcW w:w="1604" w:type="dxa"/>
            <w:shd w:val="clear" w:color="auto" w:fill="D9D9D9" w:themeFill="background1" w:themeFillShade="D9"/>
            <w:vAlign w:val="center"/>
          </w:tcPr>
          <w:p w:rsidRPr="00524EE0" w:rsidR="00524EE0" w:rsidP="00177C9F" w:rsidRDefault="00524EE0" w14:paraId="509736C0" w14:textId="77777777">
            <w:pPr>
              <w:numPr>
                <w:ilvl w:val="12"/>
                <w:numId w:val="0"/>
              </w:numPr>
              <w:rPr>
                <w:b/>
                <w:bCs/>
                <w:sz w:val="20"/>
              </w:rPr>
            </w:pPr>
            <w:r w:rsidRPr="00524EE0">
              <w:rPr>
                <w:b/>
                <w:bCs/>
                <w:sz w:val="20"/>
              </w:rPr>
              <w:t>Requested</w:t>
            </w:r>
          </w:p>
        </w:tc>
        <w:tc>
          <w:tcPr>
            <w:tcW w:w="1557" w:type="dxa"/>
            <w:shd w:val="clear" w:color="auto" w:fill="D9D9D9" w:themeFill="background1" w:themeFillShade="D9"/>
            <w:vAlign w:val="center"/>
          </w:tcPr>
          <w:p w:rsidRPr="00524EE0" w:rsidR="00524EE0" w:rsidP="00177C9F" w:rsidRDefault="00524EE0" w14:paraId="541C4408" w14:textId="77777777">
            <w:pPr>
              <w:numPr>
                <w:ilvl w:val="12"/>
                <w:numId w:val="0"/>
              </w:numPr>
              <w:rPr>
                <w:b/>
                <w:bCs/>
                <w:sz w:val="20"/>
              </w:rPr>
            </w:pPr>
            <w:r w:rsidRPr="00524EE0">
              <w:rPr>
                <w:b/>
                <w:bCs/>
                <w:sz w:val="20"/>
              </w:rPr>
              <w:t>Program Change Due to New Statute</w:t>
            </w:r>
          </w:p>
        </w:tc>
        <w:tc>
          <w:tcPr>
            <w:tcW w:w="1604" w:type="dxa"/>
            <w:shd w:val="clear" w:color="auto" w:fill="D9D9D9" w:themeFill="background1" w:themeFillShade="D9"/>
            <w:vAlign w:val="center"/>
          </w:tcPr>
          <w:p w:rsidRPr="00524EE0" w:rsidR="00524EE0" w:rsidP="00177C9F" w:rsidRDefault="00524EE0" w14:paraId="5B6AD067" w14:textId="77777777">
            <w:pPr>
              <w:numPr>
                <w:ilvl w:val="12"/>
                <w:numId w:val="0"/>
              </w:numPr>
              <w:rPr>
                <w:b/>
                <w:bCs/>
                <w:sz w:val="20"/>
              </w:rPr>
            </w:pPr>
            <w:r w:rsidRPr="00524EE0">
              <w:rPr>
                <w:b/>
                <w:bCs/>
                <w:sz w:val="20"/>
              </w:rPr>
              <w:t>Program Change Due to Agency Discretion</w:t>
            </w:r>
          </w:p>
        </w:tc>
        <w:tc>
          <w:tcPr>
            <w:tcW w:w="1637" w:type="dxa"/>
            <w:shd w:val="clear" w:color="auto" w:fill="D9D9D9" w:themeFill="background1" w:themeFillShade="D9"/>
            <w:vAlign w:val="center"/>
          </w:tcPr>
          <w:p w:rsidRPr="00524EE0" w:rsidR="00524EE0" w:rsidP="00177C9F" w:rsidRDefault="00524EE0" w14:paraId="2BC9F608" w14:textId="77777777">
            <w:pPr>
              <w:numPr>
                <w:ilvl w:val="12"/>
                <w:numId w:val="0"/>
              </w:numPr>
              <w:rPr>
                <w:b/>
                <w:bCs/>
                <w:sz w:val="20"/>
              </w:rPr>
            </w:pPr>
            <w:r w:rsidRPr="00524EE0">
              <w:rPr>
                <w:b/>
                <w:bCs/>
                <w:sz w:val="20"/>
              </w:rPr>
              <w:t>Change Due to Adjustment in Agency Estimate</w:t>
            </w:r>
          </w:p>
        </w:tc>
        <w:tc>
          <w:tcPr>
            <w:tcW w:w="1611" w:type="dxa"/>
            <w:shd w:val="clear" w:color="auto" w:fill="D9D9D9" w:themeFill="background1" w:themeFillShade="D9"/>
            <w:vAlign w:val="center"/>
          </w:tcPr>
          <w:p w:rsidRPr="00524EE0" w:rsidR="00524EE0" w:rsidP="00177C9F" w:rsidRDefault="00524EE0" w14:paraId="7DF058FC" w14:textId="77777777">
            <w:pPr>
              <w:numPr>
                <w:ilvl w:val="12"/>
                <w:numId w:val="0"/>
              </w:numPr>
              <w:rPr>
                <w:b/>
                <w:bCs/>
                <w:sz w:val="20"/>
              </w:rPr>
            </w:pPr>
            <w:r w:rsidRPr="00524EE0">
              <w:rPr>
                <w:b/>
                <w:bCs/>
                <w:sz w:val="20"/>
              </w:rPr>
              <w:t>Previously Approved</w:t>
            </w:r>
          </w:p>
        </w:tc>
      </w:tr>
      <w:tr w:rsidRPr="00524EE0" w:rsidR="00524EE0" w:rsidTr="00177C9F" w14:paraId="46028ED5" w14:textId="77777777">
        <w:tc>
          <w:tcPr>
            <w:tcW w:w="1337" w:type="dxa"/>
          </w:tcPr>
          <w:p w:rsidRPr="00524EE0" w:rsidR="00524EE0" w:rsidP="00177C9F" w:rsidRDefault="00524EE0" w14:paraId="7EB857D3" w14:textId="77777777">
            <w:pPr>
              <w:numPr>
                <w:ilvl w:val="12"/>
                <w:numId w:val="0"/>
              </w:numPr>
              <w:rPr>
                <w:sz w:val="20"/>
              </w:rPr>
            </w:pPr>
            <w:r w:rsidRPr="00524EE0">
              <w:rPr>
                <w:sz w:val="20"/>
              </w:rPr>
              <w:t>Annual Number of Responses</w:t>
            </w:r>
          </w:p>
        </w:tc>
        <w:tc>
          <w:tcPr>
            <w:tcW w:w="1604" w:type="dxa"/>
          </w:tcPr>
          <w:p w:rsidRPr="00524EE0" w:rsidR="00524EE0" w:rsidP="00177C9F" w:rsidRDefault="00536AAC" w14:paraId="010E2926" w14:textId="55BF3D3E">
            <w:pPr>
              <w:numPr>
                <w:ilvl w:val="12"/>
                <w:numId w:val="0"/>
              </w:numPr>
              <w:rPr>
                <w:sz w:val="20"/>
              </w:rPr>
            </w:pPr>
            <w:r>
              <w:rPr>
                <w:sz w:val="20"/>
              </w:rPr>
              <w:t>466,125</w:t>
            </w:r>
          </w:p>
        </w:tc>
        <w:tc>
          <w:tcPr>
            <w:tcW w:w="1557" w:type="dxa"/>
          </w:tcPr>
          <w:p w:rsidRPr="00524EE0" w:rsidR="00524EE0" w:rsidP="00177C9F" w:rsidRDefault="00524EE0" w14:paraId="174D5513" w14:textId="77777777">
            <w:pPr>
              <w:numPr>
                <w:ilvl w:val="12"/>
                <w:numId w:val="0"/>
              </w:numPr>
              <w:rPr>
                <w:sz w:val="20"/>
              </w:rPr>
            </w:pPr>
            <w:r w:rsidRPr="00524EE0">
              <w:rPr>
                <w:sz w:val="20"/>
              </w:rPr>
              <w:t>0</w:t>
            </w:r>
          </w:p>
        </w:tc>
        <w:tc>
          <w:tcPr>
            <w:tcW w:w="1604" w:type="dxa"/>
          </w:tcPr>
          <w:p w:rsidRPr="00524EE0" w:rsidR="00524EE0" w:rsidP="00177C9F" w:rsidRDefault="00524EE0" w14:paraId="0CC56B36" w14:textId="77777777">
            <w:pPr>
              <w:numPr>
                <w:ilvl w:val="12"/>
                <w:numId w:val="0"/>
              </w:numPr>
              <w:rPr>
                <w:sz w:val="20"/>
              </w:rPr>
            </w:pPr>
            <w:r w:rsidRPr="00524EE0">
              <w:rPr>
                <w:sz w:val="20"/>
              </w:rPr>
              <w:t>0</w:t>
            </w:r>
          </w:p>
        </w:tc>
        <w:tc>
          <w:tcPr>
            <w:tcW w:w="1637" w:type="dxa"/>
          </w:tcPr>
          <w:p w:rsidRPr="00524EE0" w:rsidR="00524EE0" w:rsidP="00177C9F" w:rsidRDefault="00536AAC" w14:paraId="0CAEA32A" w14:textId="44CCD681">
            <w:pPr>
              <w:numPr>
                <w:ilvl w:val="12"/>
                <w:numId w:val="0"/>
              </w:numPr>
              <w:rPr>
                <w:sz w:val="20"/>
              </w:rPr>
            </w:pPr>
            <w:r>
              <w:rPr>
                <w:sz w:val="20"/>
              </w:rPr>
              <w:t>0</w:t>
            </w:r>
          </w:p>
        </w:tc>
        <w:tc>
          <w:tcPr>
            <w:tcW w:w="1611" w:type="dxa"/>
          </w:tcPr>
          <w:p w:rsidRPr="00524EE0" w:rsidR="00524EE0" w:rsidP="00177C9F" w:rsidRDefault="00536AAC" w14:paraId="22B6485B" w14:textId="6CBC8263">
            <w:pPr>
              <w:numPr>
                <w:ilvl w:val="12"/>
                <w:numId w:val="0"/>
              </w:numPr>
              <w:rPr>
                <w:sz w:val="20"/>
              </w:rPr>
            </w:pPr>
            <w:r>
              <w:rPr>
                <w:sz w:val="20"/>
              </w:rPr>
              <w:t>466,125</w:t>
            </w:r>
          </w:p>
        </w:tc>
      </w:tr>
      <w:tr w:rsidRPr="00524EE0" w:rsidR="00524EE0" w:rsidTr="00177C9F" w14:paraId="732387CB" w14:textId="77777777">
        <w:tc>
          <w:tcPr>
            <w:tcW w:w="1337" w:type="dxa"/>
          </w:tcPr>
          <w:p w:rsidRPr="00524EE0" w:rsidR="00524EE0" w:rsidP="00177C9F" w:rsidRDefault="00524EE0" w14:paraId="6B2E5350" w14:textId="77777777">
            <w:pPr>
              <w:numPr>
                <w:ilvl w:val="12"/>
                <w:numId w:val="0"/>
              </w:numPr>
              <w:rPr>
                <w:sz w:val="20"/>
              </w:rPr>
            </w:pPr>
            <w:r w:rsidRPr="00524EE0">
              <w:rPr>
                <w:sz w:val="20"/>
              </w:rPr>
              <w:t>Annual Time Burden (Hours)</w:t>
            </w:r>
          </w:p>
        </w:tc>
        <w:tc>
          <w:tcPr>
            <w:tcW w:w="1604" w:type="dxa"/>
          </w:tcPr>
          <w:p w:rsidRPr="00524EE0" w:rsidR="00524EE0" w:rsidP="00177C9F" w:rsidRDefault="00536AAC" w14:paraId="6B3F029F" w14:textId="265C40CF">
            <w:pPr>
              <w:numPr>
                <w:ilvl w:val="12"/>
                <w:numId w:val="0"/>
              </w:numPr>
              <w:rPr>
                <w:sz w:val="20"/>
              </w:rPr>
            </w:pPr>
            <w:r>
              <w:rPr>
                <w:sz w:val="20"/>
              </w:rPr>
              <w:t>312,916</w:t>
            </w:r>
          </w:p>
        </w:tc>
        <w:tc>
          <w:tcPr>
            <w:tcW w:w="1557" w:type="dxa"/>
          </w:tcPr>
          <w:p w:rsidRPr="00524EE0" w:rsidR="00524EE0" w:rsidP="00177C9F" w:rsidRDefault="00524EE0" w14:paraId="6B547097" w14:textId="77777777">
            <w:pPr>
              <w:numPr>
                <w:ilvl w:val="12"/>
                <w:numId w:val="0"/>
              </w:numPr>
              <w:rPr>
                <w:sz w:val="20"/>
              </w:rPr>
            </w:pPr>
            <w:r w:rsidRPr="00524EE0">
              <w:rPr>
                <w:sz w:val="20"/>
              </w:rPr>
              <w:t>0</w:t>
            </w:r>
          </w:p>
        </w:tc>
        <w:tc>
          <w:tcPr>
            <w:tcW w:w="1604" w:type="dxa"/>
          </w:tcPr>
          <w:p w:rsidRPr="00524EE0" w:rsidR="00524EE0" w:rsidP="00177C9F" w:rsidRDefault="00524EE0" w14:paraId="2170412D" w14:textId="77777777">
            <w:pPr>
              <w:numPr>
                <w:ilvl w:val="12"/>
                <w:numId w:val="0"/>
              </w:numPr>
              <w:rPr>
                <w:sz w:val="20"/>
              </w:rPr>
            </w:pPr>
            <w:r w:rsidRPr="00524EE0">
              <w:rPr>
                <w:sz w:val="20"/>
              </w:rPr>
              <w:t>0</w:t>
            </w:r>
          </w:p>
        </w:tc>
        <w:tc>
          <w:tcPr>
            <w:tcW w:w="1637" w:type="dxa"/>
          </w:tcPr>
          <w:p w:rsidRPr="00524EE0" w:rsidR="00524EE0" w:rsidP="00177C9F" w:rsidRDefault="00536AAC" w14:paraId="6A81199C" w14:textId="72824572">
            <w:pPr>
              <w:numPr>
                <w:ilvl w:val="12"/>
                <w:numId w:val="0"/>
              </w:numPr>
              <w:rPr>
                <w:sz w:val="20"/>
              </w:rPr>
            </w:pPr>
            <w:r>
              <w:rPr>
                <w:sz w:val="20"/>
              </w:rPr>
              <w:t>0</w:t>
            </w:r>
          </w:p>
        </w:tc>
        <w:tc>
          <w:tcPr>
            <w:tcW w:w="1611" w:type="dxa"/>
          </w:tcPr>
          <w:p w:rsidRPr="00524EE0" w:rsidR="00524EE0" w:rsidP="00177C9F" w:rsidRDefault="00536AAC" w14:paraId="75C073B3" w14:textId="234DA80F">
            <w:pPr>
              <w:numPr>
                <w:ilvl w:val="12"/>
                <w:numId w:val="0"/>
              </w:numPr>
              <w:rPr>
                <w:sz w:val="20"/>
              </w:rPr>
            </w:pPr>
            <w:r>
              <w:rPr>
                <w:sz w:val="20"/>
              </w:rPr>
              <w:t>312,916</w:t>
            </w:r>
          </w:p>
        </w:tc>
      </w:tr>
      <w:tr w:rsidRPr="00524EE0" w:rsidR="00524EE0" w:rsidTr="00177C9F" w14:paraId="7B64A0F6" w14:textId="77777777">
        <w:tc>
          <w:tcPr>
            <w:tcW w:w="1337" w:type="dxa"/>
          </w:tcPr>
          <w:p w:rsidRPr="00524EE0" w:rsidR="00524EE0" w:rsidP="00177C9F" w:rsidRDefault="00524EE0" w14:paraId="351D7AFF" w14:textId="77777777">
            <w:pPr>
              <w:numPr>
                <w:ilvl w:val="12"/>
                <w:numId w:val="0"/>
              </w:numPr>
              <w:rPr>
                <w:sz w:val="20"/>
              </w:rPr>
            </w:pPr>
            <w:r w:rsidRPr="00524EE0">
              <w:rPr>
                <w:sz w:val="20"/>
              </w:rPr>
              <w:t>Annual Cost Burden ($)</w:t>
            </w:r>
          </w:p>
        </w:tc>
        <w:tc>
          <w:tcPr>
            <w:tcW w:w="1604" w:type="dxa"/>
          </w:tcPr>
          <w:p w:rsidRPr="00524EE0" w:rsidR="00524EE0" w:rsidP="00177C9F" w:rsidRDefault="0097721A" w14:paraId="4704530A" w14:textId="05F22CB4">
            <w:pPr>
              <w:numPr>
                <w:ilvl w:val="12"/>
                <w:numId w:val="0"/>
              </w:numPr>
              <w:rPr>
                <w:sz w:val="20"/>
              </w:rPr>
            </w:pPr>
            <w:r>
              <w:rPr>
                <w:sz w:val="20"/>
              </w:rPr>
              <w:t>0</w:t>
            </w:r>
          </w:p>
        </w:tc>
        <w:tc>
          <w:tcPr>
            <w:tcW w:w="1557" w:type="dxa"/>
          </w:tcPr>
          <w:p w:rsidRPr="00524EE0" w:rsidR="00524EE0" w:rsidP="00177C9F" w:rsidRDefault="00524EE0" w14:paraId="0BF28EA3" w14:textId="77777777">
            <w:pPr>
              <w:numPr>
                <w:ilvl w:val="12"/>
                <w:numId w:val="0"/>
              </w:numPr>
              <w:rPr>
                <w:sz w:val="20"/>
              </w:rPr>
            </w:pPr>
            <w:r w:rsidRPr="00524EE0">
              <w:rPr>
                <w:sz w:val="20"/>
              </w:rPr>
              <w:t>0</w:t>
            </w:r>
          </w:p>
        </w:tc>
        <w:tc>
          <w:tcPr>
            <w:tcW w:w="1604" w:type="dxa"/>
          </w:tcPr>
          <w:p w:rsidRPr="00524EE0" w:rsidR="00524EE0" w:rsidP="00177C9F" w:rsidRDefault="00524EE0" w14:paraId="7356BB2F" w14:textId="77777777">
            <w:pPr>
              <w:numPr>
                <w:ilvl w:val="12"/>
                <w:numId w:val="0"/>
              </w:numPr>
              <w:rPr>
                <w:sz w:val="20"/>
              </w:rPr>
            </w:pPr>
            <w:r w:rsidRPr="00524EE0">
              <w:rPr>
                <w:sz w:val="20"/>
              </w:rPr>
              <w:t>0</w:t>
            </w:r>
          </w:p>
        </w:tc>
        <w:tc>
          <w:tcPr>
            <w:tcW w:w="1637" w:type="dxa"/>
          </w:tcPr>
          <w:p w:rsidRPr="00524EE0" w:rsidR="00524EE0" w:rsidP="00177C9F" w:rsidRDefault="00236441" w14:paraId="6157EE36" w14:textId="4DD1DF23">
            <w:pPr>
              <w:numPr>
                <w:ilvl w:val="12"/>
                <w:numId w:val="0"/>
              </w:numPr>
              <w:rPr>
                <w:sz w:val="20"/>
              </w:rPr>
            </w:pPr>
            <w:r>
              <w:rPr>
                <w:sz w:val="20"/>
              </w:rPr>
              <w:t>0</w:t>
            </w:r>
          </w:p>
        </w:tc>
        <w:tc>
          <w:tcPr>
            <w:tcW w:w="1611" w:type="dxa"/>
          </w:tcPr>
          <w:p w:rsidRPr="00524EE0" w:rsidR="00524EE0" w:rsidP="00177C9F" w:rsidRDefault="0097721A" w14:paraId="055A7C71" w14:textId="289A3D79">
            <w:pPr>
              <w:numPr>
                <w:ilvl w:val="12"/>
                <w:numId w:val="0"/>
              </w:numPr>
              <w:rPr>
                <w:sz w:val="20"/>
              </w:rPr>
            </w:pPr>
            <w:r>
              <w:rPr>
                <w:sz w:val="20"/>
              </w:rPr>
              <w:t>0</w:t>
            </w:r>
          </w:p>
        </w:tc>
      </w:tr>
    </w:tbl>
    <w:p w:rsidRPr="00542460" w:rsidR="00524EE0" w:rsidRDefault="00524EE0" w14:paraId="096AC8F7" w14:textId="77777777">
      <w:pPr>
        <w:spacing w:after="0" w:line="259" w:lineRule="auto"/>
        <w:ind w:left="0" w:firstLine="0"/>
        <w:rPr>
          <w:b/>
          <w:bCs/>
        </w:rPr>
      </w:pPr>
    </w:p>
    <w:p w:rsidR="00EA5BC1" w:rsidP="00AB7D63" w:rsidRDefault="00EA5BC1" w14:paraId="53E5DB38" w14:textId="56C6F1E1">
      <w:pPr>
        <w:spacing w:after="0" w:line="259" w:lineRule="auto"/>
        <w:ind w:left="0" w:firstLine="0"/>
      </w:pPr>
    </w:p>
    <w:p w:rsidRPr="00542460" w:rsidR="00EA5BC1" w:rsidRDefault="009346F0" w14:paraId="3417C35E" w14:textId="76B27890">
      <w:pPr>
        <w:pStyle w:val="Heading1"/>
        <w:ind w:left="-5"/>
        <w:rPr>
          <w:bCs/>
          <w:u w:val="none"/>
        </w:rPr>
      </w:pPr>
      <w:r>
        <w:rPr>
          <w:u w:val="none"/>
        </w:rPr>
        <w:t xml:space="preserve">16.  </w:t>
      </w:r>
      <w:r w:rsidRPr="00542460" w:rsidR="00542460">
        <w:rPr>
          <w:bCs/>
          <w:szCs w:val="24"/>
          <w:u w:val="none"/>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Pr="00542460" w:rsidR="00EA5BC1" w:rsidRDefault="009346F0" w14:paraId="0EAEC6B1" w14:textId="77777777">
      <w:pPr>
        <w:spacing w:after="0" w:line="259" w:lineRule="auto"/>
        <w:ind w:left="720" w:firstLine="0"/>
        <w:rPr>
          <w:b/>
          <w:bCs/>
        </w:rPr>
      </w:pPr>
      <w:r w:rsidRPr="00542460">
        <w:rPr>
          <w:b/>
          <w:bCs/>
        </w:rPr>
        <w:t xml:space="preserve"> </w:t>
      </w:r>
    </w:p>
    <w:p w:rsidR="00EA5BC1" w:rsidP="001761B2" w:rsidRDefault="009346F0" w14:paraId="62092A19" w14:textId="77777777">
      <w:pPr>
        <w:ind w:left="-15" w:firstLine="0"/>
      </w:pPr>
      <w:r>
        <w:t xml:space="preserve">There are no plans to provide any publications based on the information collection of this regulation. </w:t>
      </w:r>
    </w:p>
    <w:p w:rsidR="00EA5BC1" w:rsidRDefault="009346F0" w14:paraId="14A0EAF5" w14:textId="77777777">
      <w:pPr>
        <w:spacing w:after="0" w:line="259" w:lineRule="auto"/>
        <w:ind w:left="0" w:firstLine="0"/>
      </w:pPr>
      <w:r>
        <w:rPr>
          <w:b/>
        </w:rPr>
        <w:t xml:space="preserve"> </w:t>
      </w:r>
    </w:p>
    <w:p w:rsidR="00542460" w:rsidP="00542460" w:rsidRDefault="009346F0" w14:paraId="320A5049" w14:textId="77777777">
      <w:pPr>
        <w:rPr>
          <w:b/>
          <w:szCs w:val="24"/>
        </w:rPr>
      </w:pPr>
      <w:r w:rsidRPr="00CB1E34">
        <w:rPr>
          <w:b/>
          <w:bCs/>
        </w:rPr>
        <w:t xml:space="preserve">17.  </w:t>
      </w:r>
      <w:r w:rsidRPr="00CB1E34" w:rsidR="00542460">
        <w:rPr>
          <w:b/>
          <w:bCs/>
          <w:szCs w:val="24"/>
        </w:rPr>
        <w:t>If</w:t>
      </w:r>
      <w:r w:rsidRPr="00BF6D43" w:rsidR="00542460">
        <w:rPr>
          <w:b/>
          <w:bCs/>
          <w:szCs w:val="24"/>
        </w:rPr>
        <w:t xml:space="preserve"> seeking approval to not display the expiration date for OMB approval of the information collection, explain the reasons that display would be inappropriate</w:t>
      </w:r>
      <w:r w:rsidRPr="00BF6D43" w:rsidR="00542460">
        <w:rPr>
          <w:b/>
          <w:szCs w:val="24"/>
        </w:rPr>
        <w:t>.</w:t>
      </w:r>
    </w:p>
    <w:p w:rsidRPr="00BF6D43" w:rsidR="00AB7D63" w:rsidP="00542460" w:rsidRDefault="00AB7D63" w14:paraId="79B84D8D" w14:textId="77777777">
      <w:pPr>
        <w:rPr>
          <w:b/>
          <w:szCs w:val="24"/>
        </w:rPr>
      </w:pPr>
    </w:p>
    <w:p w:rsidRPr="00542460" w:rsidR="00EA5BC1" w:rsidP="00542460" w:rsidRDefault="009346F0" w14:paraId="2AA8EDAE" w14:textId="50B6C035">
      <w:pPr>
        <w:pStyle w:val="Heading1"/>
        <w:ind w:left="-5"/>
        <w:rPr>
          <w:b w:val="0"/>
          <w:bCs/>
          <w:u w:val="none"/>
        </w:rPr>
      </w:pPr>
      <w:r w:rsidRPr="00542460">
        <w:rPr>
          <w:b w:val="0"/>
          <w:bCs/>
          <w:u w:val="none"/>
        </w:rPr>
        <w:t xml:space="preserve">The OMB control number and expiration date associated with this Paperwork Reduction Act (PRA) submission will be displayed on the Federal government’s electronic PRA docket at www.reginfo.gov, as well as on the relevant information collection instruments. </w:t>
      </w:r>
    </w:p>
    <w:p w:rsidRPr="00542460" w:rsidR="00EA5BC1" w:rsidRDefault="009346F0" w14:paraId="2DB2E635" w14:textId="77777777">
      <w:pPr>
        <w:spacing w:after="0" w:line="259" w:lineRule="auto"/>
        <w:ind w:left="0" w:firstLine="0"/>
        <w:rPr>
          <w:bCs/>
        </w:rPr>
      </w:pPr>
      <w:r w:rsidRPr="00542460">
        <w:rPr>
          <w:bCs/>
        </w:rPr>
        <w:t xml:space="preserve"> </w:t>
      </w:r>
    </w:p>
    <w:p w:rsidRPr="00BF6D43" w:rsidR="00542460" w:rsidP="00542460" w:rsidRDefault="009346F0" w14:paraId="439AEF6F" w14:textId="77777777">
      <w:pPr>
        <w:rPr>
          <w:b/>
        </w:rPr>
      </w:pPr>
      <w:r w:rsidRPr="00CB1E34">
        <w:rPr>
          <w:b/>
          <w:bCs/>
        </w:rPr>
        <w:t xml:space="preserve">18.  </w:t>
      </w:r>
      <w:r w:rsidRPr="00CB1E34" w:rsidR="00542460">
        <w:rPr>
          <w:b/>
          <w:bCs/>
        </w:rPr>
        <w:t>Explain</w:t>
      </w:r>
      <w:r w:rsidRPr="00BF6D43" w:rsidR="00542460">
        <w:rPr>
          <w:b/>
        </w:rPr>
        <w:t xml:space="preserve"> each exception to the certification statement.</w:t>
      </w:r>
    </w:p>
    <w:p w:rsidRPr="00BF6D43" w:rsidR="00542460" w:rsidP="00542460" w:rsidRDefault="00542460" w14:paraId="29E04174" w14:textId="77777777">
      <w:pPr>
        <w:pStyle w:val="BodyText"/>
      </w:pPr>
    </w:p>
    <w:p w:rsidRPr="00542460" w:rsidR="00EA5BC1" w:rsidP="00542460" w:rsidRDefault="009346F0" w14:paraId="366C5BAE" w14:textId="1B3BC799">
      <w:pPr>
        <w:pStyle w:val="Heading1"/>
        <w:ind w:left="-5"/>
        <w:rPr>
          <w:b w:val="0"/>
          <w:bCs/>
          <w:u w:val="none"/>
        </w:rPr>
      </w:pPr>
      <w:r w:rsidRPr="00542460">
        <w:rPr>
          <w:b w:val="0"/>
          <w:bCs/>
          <w:u w:val="none"/>
        </w:rPr>
        <w:t xml:space="preserve">The Bureau certifies that this collection of information is consistent with the requirements of 5 CFR 1320.9, and the related provisions of 5 CFR 1320.8(b)(3) and is not seeking an exemption to these certification requirements. </w:t>
      </w:r>
    </w:p>
    <w:p w:rsidRPr="00542460" w:rsidR="00EA5BC1" w:rsidRDefault="009346F0" w14:paraId="7605EE7C" w14:textId="77777777">
      <w:pPr>
        <w:spacing w:after="0" w:line="259" w:lineRule="auto"/>
        <w:ind w:left="720" w:firstLine="0"/>
        <w:rPr>
          <w:bCs/>
        </w:rPr>
      </w:pPr>
      <w:r w:rsidRPr="00542460">
        <w:rPr>
          <w:bCs/>
        </w:rPr>
        <w:t xml:space="preserve"> </w:t>
      </w:r>
    </w:p>
    <w:p w:rsidRPr="00542460" w:rsidR="00EA5BC1" w:rsidRDefault="009346F0" w14:paraId="5C9B07CD" w14:textId="77777777">
      <w:pPr>
        <w:spacing w:after="0" w:line="259" w:lineRule="auto"/>
        <w:ind w:left="720" w:firstLine="0"/>
        <w:rPr>
          <w:bCs/>
        </w:rPr>
      </w:pPr>
      <w:r w:rsidRPr="00542460">
        <w:rPr>
          <w:bCs/>
        </w:rPr>
        <w:t xml:space="preserve"> </w:t>
      </w:r>
    </w:p>
    <w:p w:rsidRPr="009948C7" w:rsidR="00EA5BC1" w:rsidP="009948C7" w:rsidRDefault="009346F0" w14:paraId="56FA7B06" w14:textId="1E5D985C">
      <w:pPr>
        <w:spacing w:after="0" w:line="259" w:lineRule="auto"/>
        <w:ind w:left="720" w:firstLine="0"/>
        <w:rPr>
          <w:bCs/>
        </w:rPr>
      </w:pPr>
      <w:r w:rsidRPr="00542460">
        <w:rPr>
          <w:bCs/>
        </w:rPr>
        <w:t xml:space="preserve"> </w:t>
      </w:r>
    </w:p>
    <w:sectPr w:rsidRPr="009948C7" w:rsidR="00EA5BC1">
      <w:headerReference w:type="even" r:id="rId13"/>
      <w:headerReference w:type="default" r:id="rId14"/>
      <w:footerReference w:type="even" r:id="rId15"/>
      <w:footerReference w:type="default" r:id="rId16"/>
      <w:headerReference w:type="first" r:id="rId17"/>
      <w:footerReference w:type="first" r:id="rId18"/>
      <w:pgSz w:w="12240" w:h="15840"/>
      <w:pgMar w:top="1446" w:right="1445" w:bottom="1505" w:left="1440" w:header="77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C39C" w14:textId="77777777" w:rsidR="00BC319C" w:rsidRDefault="00BC319C">
      <w:pPr>
        <w:spacing w:after="0" w:line="240" w:lineRule="auto"/>
      </w:pPr>
      <w:r>
        <w:separator/>
      </w:r>
    </w:p>
  </w:endnote>
  <w:endnote w:type="continuationSeparator" w:id="0">
    <w:p w14:paraId="1EE96B54" w14:textId="77777777" w:rsidR="00BC319C" w:rsidRDefault="00BC319C">
      <w:pPr>
        <w:spacing w:after="0" w:line="240" w:lineRule="auto"/>
      </w:pPr>
      <w:r>
        <w:continuationSeparator/>
      </w:r>
    </w:p>
  </w:endnote>
  <w:endnote w:type="continuationNotice" w:id="1">
    <w:p w14:paraId="26DA97A4" w14:textId="77777777" w:rsidR="00BC319C" w:rsidRDefault="00BC3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659F" w14:textId="77777777" w:rsidR="009346F0" w:rsidRDefault="009346F0">
    <w:pPr>
      <w:spacing w:after="0" w:line="259" w:lineRule="auto"/>
      <w:ind w:left="5" w:firstLine="0"/>
      <w:jc w:val="center"/>
    </w:pPr>
    <w:r>
      <w:fldChar w:fldCharType="begin"/>
    </w:r>
    <w:r>
      <w:instrText xml:space="preserve"> PAGE   \* MERGEFORMAT </w:instrText>
    </w:r>
    <w:r>
      <w:fldChar w:fldCharType="separate"/>
    </w:r>
    <w:r>
      <w:t>1</w:t>
    </w:r>
    <w:r>
      <w:fldChar w:fldCharType="end"/>
    </w:r>
    <w:r>
      <w:t xml:space="preserve"> </w:t>
    </w:r>
  </w:p>
  <w:p w14:paraId="367A553C" w14:textId="77777777" w:rsidR="009346F0" w:rsidRDefault="009346F0">
    <w:pPr>
      <w:spacing w:after="0" w:line="259" w:lineRule="auto"/>
      <w:ind w:left="0" w:firstLine="0"/>
    </w:pPr>
    <w:r>
      <w:t xml:space="preserve"> </w:t>
    </w:r>
  </w:p>
  <w:p w14:paraId="5C05E02D" w14:textId="77777777" w:rsidR="00266739" w:rsidRDefault="002667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D175" w14:textId="77777777" w:rsidR="009346F0" w:rsidRDefault="009346F0">
    <w:pPr>
      <w:spacing w:after="0" w:line="259" w:lineRule="auto"/>
      <w:ind w:left="5" w:firstLine="0"/>
      <w:jc w:val="center"/>
    </w:pPr>
    <w:r>
      <w:fldChar w:fldCharType="begin"/>
    </w:r>
    <w:r>
      <w:instrText xml:space="preserve"> PAGE   \* MERGEFORMAT </w:instrText>
    </w:r>
    <w:r>
      <w:fldChar w:fldCharType="separate"/>
    </w:r>
    <w:r>
      <w:t>1</w:t>
    </w:r>
    <w:r>
      <w:fldChar w:fldCharType="end"/>
    </w:r>
    <w:r>
      <w:t xml:space="preserve"> </w:t>
    </w:r>
  </w:p>
  <w:p w14:paraId="15243B44" w14:textId="77777777" w:rsidR="009346F0" w:rsidRDefault="009346F0">
    <w:pPr>
      <w:spacing w:after="0" w:line="259" w:lineRule="auto"/>
      <w:ind w:left="0" w:firstLine="0"/>
    </w:pPr>
    <w:r>
      <w:t xml:space="preserve"> </w:t>
    </w:r>
  </w:p>
  <w:p w14:paraId="1809609C" w14:textId="77777777" w:rsidR="00266739" w:rsidRDefault="002667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FE8D" w14:textId="77777777" w:rsidR="009346F0" w:rsidRDefault="009346F0">
    <w:pPr>
      <w:spacing w:after="0" w:line="259" w:lineRule="auto"/>
      <w:ind w:left="5" w:firstLine="0"/>
      <w:jc w:val="center"/>
    </w:pPr>
    <w:r>
      <w:fldChar w:fldCharType="begin"/>
    </w:r>
    <w:r>
      <w:instrText xml:space="preserve"> PAGE   \* MERGEFORMAT </w:instrText>
    </w:r>
    <w:r>
      <w:fldChar w:fldCharType="separate"/>
    </w:r>
    <w:r>
      <w:t>1</w:t>
    </w:r>
    <w:r>
      <w:fldChar w:fldCharType="end"/>
    </w:r>
    <w:r>
      <w:t xml:space="preserve"> </w:t>
    </w:r>
  </w:p>
  <w:p w14:paraId="3BD51E72" w14:textId="77777777" w:rsidR="009346F0" w:rsidRDefault="009346F0">
    <w:pPr>
      <w:spacing w:after="0" w:line="259" w:lineRule="auto"/>
      <w:ind w:left="0" w:firstLine="0"/>
    </w:pPr>
    <w:r>
      <w:t xml:space="preserve"> </w:t>
    </w:r>
  </w:p>
  <w:p w14:paraId="6DF39E86" w14:textId="77777777" w:rsidR="00266739" w:rsidRDefault="002667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4793C" w14:textId="77777777" w:rsidR="00BC319C" w:rsidRDefault="00BC319C">
      <w:pPr>
        <w:spacing w:after="0" w:line="288" w:lineRule="auto"/>
        <w:ind w:left="0" w:firstLine="0"/>
      </w:pPr>
      <w:r>
        <w:separator/>
      </w:r>
    </w:p>
  </w:footnote>
  <w:footnote w:type="continuationSeparator" w:id="0">
    <w:p w14:paraId="07492422" w14:textId="77777777" w:rsidR="00BC319C" w:rsidRDefault="00BC319C">
      <w:pPr>
        <w:spacing w:after="0" w:line="288" w:lineRule="auto"/>
        <w:ind w:left="0" w:firstLine="0"/>
      </w:pPr>
      <w:r>
        <w:continuationSeparator/>
      </w:r>
    </w:p>
  </w:footnote>
  <w:footnote w:type="continuationNotice" w:id="1">
    <w:p w14:paraId="269BD2A6" w14:textId="77777777" w:rsidR="00BC319C" w:rsidRDefault="00BC319C">
      <w:pPr>
        <w:spacing w:after="0" w:line="240" w:lineRule="auto"/>
      </w:pPr>
    </w:p>
  </w:footnote>
  <w:footnote w:id="2">
    <w:p w14:paraId="3F1C06AF" w14:textId="7BD8C4D3" w:rsidR="00E347EC" w:rsidRDefault="00E347EC">
      <w:pPr>
        <w:pStyle w:val="FootnoteText"/>
      </w:pPr>
      <w:r>
        <w:rPr>
          <w:rStyle w:val="FootnoteReference"/>
        </w:rPr>
        <w:footnoteRef/>
      </w:r>
      <w:r>
        <w:t xml:space="preserve"> </w:t>
      </w:r>
      <w:r w:rsidRPr="00F272F6">
        <w:rPr>
          <w:szCs w:val="24"/>
        </w:rPr>
        <w:t>Pub. L. No. 109-351</w:t>
      </w:r>
      <w:r>
        <w:rPr>
          <w:szCs w:val="24"/>
        </w:rPr>
        <w:t>.</w:t>
      </w:r>
    </w:p>
  </w:footnote>
  <w:footnote w:id="3">
    <w:p w14:paraId="62A958F3" w14:textId="58FDE2D2" w:rsidR="00AD691C" w:rsidRDefault="00AD691C">
      <w:pPr>
        <w:pStyle w:val="FootnoteText"/>
      </w:pPr>
      <w:r>
        <w:rPr>
          <w:rStyle w:val="FootnoteReference"/>
        </w:rPr>
        <w:footnoteRef/>
      </w:r>
      <w:r>
        <w:t xml:space="preserve"> </w:t>
      </w:r>
      <w:r w:rsidRPr="00F272F6">
        <w:rPr>
          <w:szCs w:val="24"/>
        </w:rPr>
        <w:t>79 FR 64057</w:t>
      </w:r>
      <w:r>
        <w:rPr>
          <w:szCs w:val="24"/>
        </w:rPr>
        <w:t>.</w:t>
      </w:r>
    </w:p>
  </w:footnote>
  <w:footnote w:id="4">
    <w:p w14:paraId="0E9E818B" w14:textId="207C6A47" w:rsidR="00133434" w:rsidRPr="00B452D1" w:rsidRDefault="00133434" w:rsidP="00133434">
      <w:pPr>
        <w:pStyle w:val="FootnoteText"/>
      </w:pPr>
      <w:r w:rsidRPr="00B452D1">
        <w:rPr>
          <w:rStyle w:val="FootnoteReference"/>
        </w:rPr>
        <w:footnoteRef/>
      </w:r>
      <w:r w:rsidRPr="00B452D1">
        <w:t xml:space="preserve"> 87 FR </w:t>
      </w:r>
      <w:r w:rsidR="00A16346">
        <w:t>31</w:t>
      </w:r>
      <w:r w:rsidR="00D8185C">
        <w:t>53</w:t>
      </w:r>
      <w:r w:rsidR="00665884">
        <w:t>5</w:t>
      </w:r>
      <w:r w:rsidRPr="00B452D1">
        <w:t xml:space="preserve"> (published on </w:t>
      </w:r>
      <w:r w:rsidR="00D8185C">
        <w:t>5</w:t>
      </w:r>
      <w:r w:rsidRPr="00B452D1">
        <w:t>/</w:t>
      </w:r>
      <w:r w:rsidR="00D8185C">
        <w:t>24</w:t>
      </w:r>
      <w:r w:rsidRPr="00B452D1">
        <w:t>/2022).</w:t>
      </w:r>
    </w:p>
  </w:footnote>
  <w:footnote w:id="5">
    <w:p w14:paraId="71DC6FE9" w14:textId="790C03AB" w:rsidR="00133434" w:rsidRPr="00B452D1" w:rsidRDefault="00133434" w:rsidP="00133434">
      <w:pPr>
        <w:pStyle w:val="FootnoteText"/>
      </w:pPr>
      <w:r w:rsidRPr="00B452D1">
        <w:rPr>
          <w:rStyle w:val="FootnoteReference"/>
        </w:rPr>
        <w:footnoteRef/>
      </w:r>
      <w:r w:rsidRPr="00B452D1">
        <w:t xml:space="preserve"> 87 FR </w:t>
      </w:r>
      <w:r w:rsidR="0011759B">
        <w:t>498</w:t>
      </w:r>
      <w:r w:rsidR="00FE7B0F">
        <w:t>09</w:t>
      </w:r>
      <w:r w:rsidRPr="00B452D1">
        <w:t xml:space="preserve"> (published on </w:t>
      </w:r>
      <w:r w:rsidR="0011759B">
        <w:t>8/12/2022</w:t>
      </w:r>
      <w:r w:rsidRPr="00B452D1">
        <w:t>).</w:t>
      </w:r>
    </w:p>
  </w:footnote>
  <w:footnote w:id="6">
    <w:p w14:paraId="65773E5F" w14:textId="2879CA7B" w:rsidR="00136475" w:rsidRDefault="00136475">
      <w:pPr>
        <w:pStyle w:val="FootnoteText"/>
      </w:pPr>
      <w:r>
        <w:rPr>
          <w:rStyle w:val="FootnoteReference"/>
        </w:rPr>
        <w:footnoteRef/>
      </w:r>
      <w:r>
        <w:t xml:space="preserve"> </w:t>
      </w:r>
      <w:r w:rsidR="004D5662">
        <w:t>The</w:t>
      </w:r>
      <w:r w:rsidR="004D5662">
        <w:rPr>
          <w:spacing w:val="-1"/>
        </w:rPr>
        <w:t xml:space="preserve"> </w:t>
      </w:r>
      <w:r w:rsidR="004D5662">
        <w:t>total estimated</w:t>
      </w:r>
      <w:r w:rsidR="004D5662">
        <w:rPr>
          <w:spacing w:val="-1"/>
        </w:rPr>
        <w:t xml:space="preserve"> </w:t>
      </w:r>
      <w:r w:rsidR="004D5662">
        <w:t>number of</w:t>
      </w:r>
      <w:r w:rsidR="004D5662">
        <w:rPr>
          <w:spacing w:val="-3"/>
        </w:rPr>
        <w:t xml:space="preserve"> </w:t>
      </w:r>
      <w:r w:rsidR="004D5662">
        <w:t>respondents</w:t>
      </w:r>
      <w:r w:rsidR="004D5662">
        <w:rPr>
          <w:spacing w:val="-1"/>
        </w:rPr>
        <w:t xml:space="preserve"> </w:t>
      </w:r>
      <w:r w:rsidR="004D5662">
        <w:t>is</w:t>
      </w:r>
      <w:r w:rsidR="004D5662">
        <w:rPr>
          <w:spacing w:val="-2"/>
        </w:rPr>
        <w:t xml:space="preserve"> </w:t>
      </w:r>
      <w:r w:rsidR="004D5662">
        <w:t>29,544</w:t>
      </w:r>
      <w:r w:rsidR="004D5662">
        <w:rPr>
          <w:spacing w:val="-4"/>
        </w:rPr>
        <w:t xml:space="preserve"> </w:t>
      </w:r>
      <w:r w:rsidR="004D5662">
        <w:t>institutions</w:t>
      </w:r>
      <w:r w:rsidR="004D5662">
        <w:rPr>
          <w:spacing w:val="-3"/>
        </w:rPr>
        <w:t xml:space="preserve"> </w:t>
      </w:r>
      <w:r w:rsidR="004D5662">
        <w:t>plus</w:t>
      </w:r>
      <w:r w:rsidR="004D5662">
        <w:rPr>
          <w:spacing w:val="-1"/>
        </w:rPr>
        <w:t xml:space="preserve"> </w:t>
      </w:r>
      <w:r w:rsidR="004D5662">
        <w:t>433,216</w:t>
      </w:r>
      <w:r w:rsidR="004D5662">
        <w:rPr>
          <w:spacing w:val="-1"/>
        </w:rPr>
        <w:t xml:space="preserve"> </w:t>
      </w:r>
      <w:r w:rsidR="004D5662">
        <w:t>individuals.</w:t>
      </w:r>
    </w:p>
  </w:footnote>
  <w:footnote w:id="7">
    <w:p w14:paraId="793578C9" w14:textId="7B3A1297" w:rsidR="005A7EF2" w:rsidRDefault="005A7EF2">
      <w:pPr>
        <w:pStyle w:val="FootnoteText"/>
      </w:pPr>
      <w:r>
        <w:rPr>
          <w:rStyle w:val="FootnoteReference"/>
        </w:rPr>
        <w:footnoteRef/>
      </w:r>
      <w:r>
        <w:t xml:space="preserve"> </w:t>
      </w:r>
      <w:r w:rsidRPr="005A7EF2">
        <w:t>See respectively http://www.bls.gov/ooh/office-and-administrative-support/secretaries-and-administrative- assistants.htm, http://www.bls.gov/ooh/business-and-financial/management-analysts.htm, http://www.bls.gov/ooh/management/top-executives.htm, http://www.bls.gov/ooh/legal/lawyers.htm.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1E8A8" w14:textId="77777777" w:rsidR="009346F0" w:rsidRDefault="009346F0">
    <w:pPr>
      <w:spacing w:after="0" w:line="259" w:lineRule="auto"/>
      <w:ind w:left="0" w:right="-3" w:firstLine="0"/>
      <w:jc w:val="right"/>
    </w:pPr>
    <w:r>
      <w:t xml:space="preserve">30-day Federal Register Version (2018 Renewal) </w:t>
    </w:r>
  </w:p>
  <w:p w14:paraId="13876175" w14:textId="77777777" w:rsidR="009346F0" w:rsidRDefault="009346F0">
    <w:pPr>
      <w:spacing w:after="0" w:line="259" w:lineRule="auto"/>
      <w:ind w:left="0" w:firstLine="0"/>
    </w:pPr>
    <w:r>
      <w:t xml:space="preserve"> </w:t>
    </w:r>
  </w:p>
  <w:p w14:paraId="0355C9C5" w14:textId="77777777" w:rsidR="00266739" w:rsidRDefault="002667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87BB" w14:textId="503956F6" w:rsidR="00D10B34" w:rsidRPr="001761B2" w:rsidRDefault="00F03177">
    <w:pPr>
      <w:pStyle w:val="Header"/>
      <w:rPr>
        <w:sz w:val="20"/>
        <w:szCs w:val="20"/>
      </w:rPr>
    </w:pPr>
    <w:r>
      <w:rPr>
        <w:sz w:val="20"/>
        <w:szCs w:val="20"/>
      </w:rPr>
      <w:t>Privacy of Consumer Financial Information</w:t>
    </w:r>
    <w:r w:rsidR="00D10B34" w:rsidRPr="001761B2">
      <w:rPr>
        <w:sz w:val="20"/>
        <w:szCs w:val="20"/>
      </w:rPr>
      <w:t xml:space="preserve"> (Regulations </w:t>
    </w:r>
    <w:r>
      <w:rPr>
        <w:sz w:val="20"/>
        <w:szCs w:val="20"/>
      </w:rPr>
      <w:t>P</w:t>
    </w:r>
    <w:r w:rsidR="00D10B34" w:rsidRPr="001761B2">
      <w:rPr>
        <w:sz w:val="20"/>
        <w:szCs w:val="20"/>
      </w:rPr>
      <w:t>)</w:t>
    </w:r>
  </w:p>
  <w:p w14:paraId="79142DB8" w14:textId="3347415D" w:rsidR="00D10B34" w:rsidRPr="001761B2" w:rsidRDefault="00D10B34">
    <w:pPr>
      <w:pStyle w:val="Header"/>
      <w:rPr>
        <w:sz w:val="20"/>
        <w:szCs w:val="20"/>
      </w:rPr>
    </w:pPr>
    <w:r w:rsidRPr="001761B2">
      <w:rPr>
        <w:sz w:val="20"/>
        <w:szCs w:val="20"/>
      </w:rPr>
      <w:t>OMB Control Number: 3170-001</w:t>
    </w:r>
    <w:r w:rsidR="006925B0">
      <w:rPr>
        <w:sz w:val="20"/>
        <w:szCs w:val="20"/>
      </w:rPr>
      <w:t>0</w:t>
    </w:r>
  </w:p>
  <w:p w14:paraId="0CACB69D" w14:textId="77777777" w:rsidR="00D10B34" w:rsidRPr="001761B2" w:rsidRDefault="00D10B34">
    <w:pPr>
      <w:pStyle w:val="Header"/>
      <w:rPr>
        <w:sz w:val="20"/>
        <w:szCs w:val="20"/>
      </w:rPr>
    </w:pPr>
    <w:r w:rsidRPr="001761B2">
      <w:rPr>
        <w:sz w:val="20"/>
        <w:szCs w:val="20"/>
      </w:rPr>
      <w:t>RIN: N/A</w:t>
    </w:r>
  </w:p>
  <w:p w14:paraId="03711A23" w14:textId="38BB92A8" w:rsidR="009346F0" w:rsidRDefault="00D10B34">
    <w:pPr>
      <w:spacing w:after="0" w:line="259" w:lineRule="auto"/>
      <w:ind w:left="0" w:firstLine="0"/>
    </w:pPr>
    <w:r w:rsidRPr="001761B2">
      <w:rPr>
        <w:sz w:val="20"/>
        <w:szCs w:val="20"/>
      </w:rPr>
      <w:t xml:space="preserve">OMB Expiration Date: </w:t>
    </w:r>
    <w:r w:rsidR="005959AA">
      <w:rPr>
        <w:sz w:val="20"/>
        <w:szCs w:val="20"/>
      </w:rPr>
      <w:t>8</w:t>
    </w:r>
    <w:r w:rsidRPr="001761B2">
      <w:rPr>
        <w:sz w:val="20"/>
        <w:szCs w:val="20"/>
      </w:rPr>
      <w:t>/3</w:t>
    </w:r>
    <w:r w:rsidR="005959AA">
      <w:rPr>
        <w:sz w:val="20"/>
        <w:szCs w:val="20"/>
      </w:rPr>
      <w:t>1</w:t>
    </w:r>
    <w:r w:rsidRPr="001761B2">
      <w:rPr>
        <w:sz w:val="20"/>
        <w:szCs w:val="20"/>
      </w:rPr>
      <w:t>/2022</w:t>
    </w:r>
  </w:p>
  <w:p w14:paraId="4E9FFB73" w14:textId="77777777" w:rsidR="00266739" w:rsidRDefault="002667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F645" w14:textId="77777777" w:rsidR="009346F0" w:rsidRDefault="009346F0">
    <w:pPr>
      <w:spacing w:after="0" w:line="259" w:lineRule="auto"/>
      <w:ind w:left="0" w:right="-3" w:firstLine="0"/>
      <w:jc w:val="right"/>
    </w:pPr>
    <w:r>
      <w:t xml:space="preserve">30-day Federal Register Version (2018 Renewal) </w:t>
    </w:r>
  </w:p>
  <w:p w14:paraId="2F8391FB" w14:textId="77777777" w:rsidR="009346F0" w:rsidRDefault="009346F0">
    <w:pPr>
      <w:spacing w:after="0" w:line="259" w:lineRule="auto"/>
      <w:ind w:left="0" w:firstLine="0"/>
    </w:pPr>
    <w:r>
      <w:t xml:space="preserve"> </w:t>
    </w:r>
  </w:p>
  <w:p w14:paraId="7F642AC5" w14:textId="77777777" w:rsidR="00266739" w:rsidRDefault="002667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C7D32"/>
    <w:multiLevelType w:val="hybridMultilevel"/>
    <w:tmpl w:val="7ABE56EC"/>
    <w:lvl w:ilvl="0" w:tplc="06C27D1E">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50BD8"/>
    <w:multiLevelType w:val="hybridMultilevel"/>
    <w:tmpl w:val="5818201A"/>
    <w:lvl w:ilvl="0" w:tplc="0409000F">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 w15:restartNumberingAfterBreak="0">
    <w:nsid w:val="36493C08"/>
    <w:multiLevelType w:val="hybridMultilevel"/>
    <w:tmpl w:val="8E8E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E942A3"/>
    <w:multiLevelType w:val="hybridMultilevel"/>
    <w:tmpl w:val="7A6274A0"/>
    <w:lvl w:ilvl="0" w:tplc="6CDCBA24">
      <w:start w:val="1"/>
      <w:numFmt w:val="upperLetter"/>
      <w:lvlText w:val="%1."/>
      <w:lvlJc w:val="left"/>
      <w:pPr>
        <w:ind w:left="345" w:hanging="360"/>
      </w:pPr>
      <w:rPr>
        <w:rFonts w:hint="default"/>
        <w:b/>
        <w:u w:val="single"/>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5D0F54E6"/>
    <w:multiLevelType w:val="hybridMultilevel"/>
    <w:tmpl w:val="6E80ADA0"/>
    <w:lvl w:ilvl="0" w:tplc="8424F4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D44C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86F5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4ED3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BEB0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60B4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58AD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C041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B471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BC1"/>
    <w:rsid w:val="0000583B"/>
    <w:rsid w:val="00014429"/>
    <w:rsid w:val="0001445C"/>
    <w:rsid w:val="000216AA"/>
    <w:rsid w:val="000324E9"/>
    <w:rsid w:val="0003379C"/>
    <w:rsid w:val="00087368"/>
    <w:rsid w:val="000B00C8"/>
    <w:rsid w:val="000C6A46"/>
    <w:rsid w:val="000D0FDB"/>
    <w:rsid w:val="000E2858"/>
    <w:rsid w:val="000F3A8C"/>
    <w:rsid w:val="000F3F26"/>
    <w:rsid w:val="00101034"/>
    <w:rsid w:val="001109AD"/>
    <w:rsid w:val="0011759B"/>
    <w:rsid w:val="00133434"/>
    <w:rsid w:val="00136475"/>
    <w:rsid w:val="00151979"/>
    <w:rsid w:val="001539B6"/>
    <w:rsid w:val="00167630"/>
    <w:rsid w:val="00170A26"/>
    <w:rsid w:val="001761B2"/>
    <w:rsid w:val="001C0F50"/>
    <w:rsid w:val="001E2A16"/>
    <w:rsid w:val="00200893"/>
    <w:rsid w:val="00214143"/>
    <w:rsid w:val="00231A35"/>
    <w:rsid w:val="00236441"/>
    <w:rsid w:val="00236796"/>
    <w:rsid w:val="0023786D"/>
    <w:rsid w:val="00252433"/>
    <w:rsid w:val="002531D7"/>
    <w:rsid w:val="0025488E"/>
    <w:rsid w:val="00254E89"/>
    <w:rsid w:val="002615F0"/>
    <w:rsid w:val="00265F61"/>
    <w:rsid w:val="00266739"/>
    <w:rsid w:val="0027101A"/>
    <w:rsid w:val="00283717"/>
    <w:rsid w:val="00283DFE"/>
    <w:rsid w:val="002A7220"/>
    <w:rsid w:val="002B3187"/>
    <w:rsid w:val="002D482E"/>
    <w:rsid w:val="002D57F7"/>
    <w:rsid w:val="002E1E42"/>
    <w:rsid w:val="002F7B7A"/>
    <w:rsid w:val="0032262B"/>
    <w:rsid w:val="00324D42"/>
    <w:rsid w:val="00334ED0"/>
    <w:rsid w:val="00341DB7"/>
    <w:rsid w:val="00341F3D"/>
    <w:rsid w:val="003509B8"/>
    <w:rsid w:val="00357CE2"/>
    <w:rsid w:val="003654CD"/>
    <w:rsid w:val="003758A8"/>
    <w:rsid w:val="0039255D"/>
    <w:rsid w:val="00392993"/>
    <w:rsid w:val="00395380"/>
    <w:rsid w:val="00396D98"/>
    <w:rsid w:val="003A1CDE"/>
    <w:rsid w:val="003C1058"/>
    <w:rsid w:val="003D24A7"/>
    <w:rsid w:val="003D5AA5"/>
    <w:rsid w:val="003E618A"/>
    <w:rsid w:val="00401A2C"/>
    <w:rsid w:val="00421C0D"/>
    <w:rsid w:val="00424EBB"/>
    <w:rsid w:val="00425468"/>
    <w:rsid w:val="00452F38"/>
    <w:rsid w:val="00467F0F"/>
    <w:rsid w:val="00482D53"/>
    <w:rsid w:val="004855CD"/>
    <w:rsid w:val="004856C6"/>
    <w:rsid w:val="004D5662"/>
    <w:rsid w:val="004E4E2A"/>
    <w:rsid w:val="004F1708"/>
    <w:rsid w:val="004F264C"/>
    <w:rsid w:val="004F6E3E"/>
    <w:rsid w:val="00507795"/>
    <w:rsid w:val="005238EB"/>
    <w:rsid w:val="00524EE0"/>
    <w:rsid w:val="00525A0C"/>
    <w:rsid w:val="00533124"/>
    <w:rsid w:val="00536AAC"/>
    <w:rsid w:val="00542460"/>
    <w:rsid w:val="00544C78"/>
    <w:rsid w:val="00555399"/>
    <w:rsid w:val="00564540"/>
    <w:rsid w:val="00572D4C"/>
    <w:rsid w:val="00573CC6"/>
    <w:rsid w:val="00594B71"/>
    <w:rsid w:val="005959AA"/>
    <w:rsid w:val="005A09CA"/>
    <w:rsid w:val="005A7EF2"/>
    <w:rsid w:val="005B5C4C"/>
    <w:rsid w:val="005C2D31"/>
    <w:rsid w:val="005C648C"/>
    <w:rsid w:val="005D1570"/>
    <w:rsid w:val="005D549B"/>
    <w:rsid w:val="005D5508"/>
    <w:rsid w:val="005E44B5"/>
    <w:rsid w:val="005F4774"/>
    <w:rsid w:val="0064505F"/>
    <w:rsid w:val="00647B14"/>
    <w:rsid w:val="00654308"/>
    <w:rsid w:val="006548EA"/>
    <w:rsid w:val="0066115C"/>
    <w:rsid w:val="00665884"/>
    <w:rsid w:val="00666509"/>
    <w:rsid w:val="00675336"/>
    <w:rsid w:val="0068729D"/>
    <w:rsid w:val="006925B0"/>
    <w:rsid w:val="00692DFB"/>
    <w:rsid w:val="006957E2"/>
    <w:rsid w:val="006B16A5"/>
    <w:rsid w:val="006C662F"/>
    <w:rsid w:val="006D1A0C"/>
    <w:rsid w:val="006F6EA2"/>
    <w:rsid w:val="007012D6"/>
    <w:rsid w:val="00702534"/>
    <w:rsid w:val="00703DAE"/>
    <w:rsid w:val="0070645B"/>
    <w:rsid w:val="0074268B"/>
    <w:rsid w:val="00744CD4"/>
    <w:rsid w:val="00745A06"/>
    <w:rsid w:val="0075042D"/>
    <w:rsid w:val="00765AA7"/>
    <w:rsid w:val="00782DCD"/>
    <w:rsid w:val="00790621"/>
    <w:rsid w:val="00795A58"/>
    <w:rsid w:val="007B6994"/>
    <w:rsid w:val="007C3458"/>
    <w:rsid w:val="007D5B4B"/>
    <w:rsid w:val="007E2BBE"/>
    <w:rsid w:val="0080259F"/>
    <w:rsid w:val="0082160A"/>
    <w:rsid w:val="00836ADD"/>
    <w:rsid w:val="00851445"/>
    <w:rsid w:val="00852784"/>
    <w:rsid w:val="0085484A"/>
    <w:rsid w:val="00866CB4"/>
    <w:rsid w:val="008808FF"/>
    <w:rsid w:val="008A3D6B"/>
    <w:rsid w:val="008C01E4"/>
    <w:rsid w:val="008D32F5"/>
    <w:rsid w:val="008D5B48"/>
    <w:rsid w:val="008D60D5"/>
    <w:rsid w:val="0092607B"/>
    <w:rsid w:val="009346F0"/>
    <w:rsid w:val="009379A0"/>
    <w:rsid w:val="00946812"/>
    <w:rsid w:val="00950228"/>
    <w:rsid w:val="00965952"/>
    <w:rsid w:val="009727AA"/>
    <w:rsid w:val="0097721A"/>
    <w:rsid w:val="009815B1"/>
    <w:rsid w:val="00990C6A"/>
    <w:rsid w:val="00992F79"/>
    <w:rsid w:val="009948C7"/>
    <w:rsid w:val="009B5F2B"/>
    <w:rsid w:val="009C0ACE"/>
    <w:rsid w:val="009E02D5"/>
    <w:rsid w:val="009F2E14"/>
    <w:rsid w:val="009F699E"/>
    <w:rsid w:val="00A037D3"/>
    <w:rsid w:val="00A16346"/>
    <w:rsid w:val="00A16EED"/>
    <w:rsid w:val="00A27CEF"/>
    <w:rsid w:val="00A314BE"/>
    <w:rsid w:val="00A357B6"/>
    <w:rsid w:val="00A735CC"/>
    <w:rsid w:val="00AA0531"/>
    <w:rsid w:val="00AA09AB"/>
    <w:rsid w:val="00AB2FD9"/>
    <w:rsid w:val="00AB7D63"/>
    <w:rsid w:val="00AC6CA1"/>
    <w:rsid w:val="00AD691C"/>
    <w:rsid w:val="00AF23A1"/>
    <w:rsid w:val="00AF3C57"/>
    <w:rsid w:val="00AF777C"/>
    <w:rsid w:val="00B02738"/>
    <w:rsid w:val="00B03166"/>
    <w:rsid w:val="00B04077"/>
    <w:rsid w:val="00B148E8"/>
    <w:rsid w:val="00B2612B"/>
    <w:rsid w:val="00B35426"/>
    <w:rsid w:val="00B40B0E"/>
    <w:rsid w:val="00B62430"/>
    <w:rsid w:val="00B74CA3"/>
    <w:rsid w:val="00B7774D"/>
    <w:rsid w:val="00B85835"/>
    <w:rsid w:val="00B85DA8"/>
    <w:rsid w:val="00B86ACA"/>
    <w:rsid w:val="00B91955"/>
    <w:rsid w:val="00B926A1"/>
    <w:rsid w:val="00B9702C"/>
    <w:rsid w:val="00BC2FF3"/>
    <w:rsid w:val="00BC319C"/>
    <w:rsid w:val="00BF6632"/>
    <w:rsid w:val="00BF724A"/>
    <w:rsid w:val="00C04514"/>
    <w:rsid w:val="00C07F33"/>
    <w:rsid w:val="00C215D6"/>
    <w:rsid w:val="00C22F3D"/>
    <w:rsid w:val="00C242C0"/>
    <w:rsid w:val="00C25A64"/>
    <w:rsid w:val="00C51595"/>
    <w:rsid w:val="00C55836"/>
    <w:rsid w:val="00C63B1A"/>
    <w:rsid w:val="00C67EE6"/>
    <w:rsid w:val="00C735A3"/>
    <w:rsid w:val="00C771A9"/>
    <w:rsid w:val="00C84F83"/>
    <w:rsid w:val="00C9220E"/>
    <w:rsid w:val="00CA1A33"/>
    <w:rsid w:val="00CA62E1"/>
    <w:rsid w:val="00CB1E34"/>
    <w:rsid w:val="00CB5AD4"/>
    <w:rsid w:val="00CC777B"/>
    <w:rsid w:val="00CC77A1"/>
    <w:rsid w:val="00CE1039"/>
    <w:rsid w:val="00CE4D88"/>
    <w:rsid w:val="00CF0862"/>
    <w:rsid w:val="00CF2545"/>
    <w:rsid w:val="00D10B34"/>
    <w:rsid w:val="00D40744"/>
    <w:rsid w:val="00D65D61"/>
    <w:rsid w:val="00D71AE8"/>
    <w:rsid w:val="00D8185C"/>
    <w:rsid w:val="00D8194E"/>
    <w:rsid w:val="00D908DF"/>
    <w:rsid w:val="00D94253"/>
    <w:rsid w:val="00DA41BB"/>
    <w:rsid w:val="00DB6F69"/>
    <w:rsid w:val="00DC307B"/>
    <w:rsid w:val="00DC4F28"/>
    <w:rsid w:val="00DC5F66"/>
    <w:rsid w:val="00DE6036"/>
    <w:rsid w:val="00E07859"/>
    <w:rsid w:val="00E273C7"/>
    <w:rsid w:val="00E27966"/>
    <w:rsid w:val="00E347EC"/>
    <w:rsid w:val="00E44DEF"/>
    <w:rsid w:val="00E66130"/>
    <w:rsid w:val="00EA2129"/>
    <w:rsid w:val="00EA5BC1"/>
    <w:rsid w:val="00EC10DF"/>
    <w:rsid w:val="00EC5DE1"/>
    <w:rsid w:val="00EC6D71"/>
    <w:rsid w:val="00ED1146"/>
    <w:rsid w:val="00ED7C92"/>
    <w:rsid w:val="00F03177"/>
    <w:rsid w:val="00F04349"/>
    <w:rsid w:val="00F071F8"/>
    <w:rsid w:val="00F10491"/>
    <w:rsid w:val="00F11534"/>
    <w:rsid w:val="00F16F55"/>
    <w:rsid w:val="00F174D8"/>
    <w:rsid w:val="00F23798"/>
    <w:rsid w:val="00F2402F"/>
    <w:rsid w:val="00F272F6"/>
    <w:rsid w:val="00F35436"/>
    <w:rsid w:val="00F3613D"/>
    <w:rsid w:val="00F52021"/>
    <w:rsid w:val="00F628D3"/>
    <w:rsid w:val="00F74CC4"/>
    <w:rsid w:val="00F770D8"/>
    <w:rsid w:val="00F90DF0"/>
    <w:rsid w:val="00F9118B"/>
    <w:rsid w:val="00F918F7"/>
    <w:rsid w:val="00FA64AE"/>
    <w:rsid w:val="00FB4672"/>
    <w:rsid w:val="00FB7D8F"/>
    <w:rsid w:val="00FC1A90"/>
    <w:rsid w:val="00FD43D8"/>
    <w:rsid w:val="00FE7B0F"/>
    <w:rsid w:val="00FF0F84"/>
    <w:rsid w:val="00FF525D"/>
    <w:rsid w:val="00FF6773"/>
    <w:rsid w:val="00FF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CEBBA"/>
  <w15:docId w15:val="{0F98E811-4CFE-46FD-9C4F-26089E76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8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9346F0"/>
    <w:pPr>
      <w:spacing w:after="0" w:line="240" w:lineRule="auto"/>
      <w:ind w:left="0" w:firstLine="0"/>
    </w:pPr>
    <w:rPr>
      <w:color w:val="auto"/>
      <w:szCs w:val="20"/>
    </w:rPr>
  </w:style>
  <w:style w:type="character" w:customStyle="1" w:styleId="BodyTextChar">
    <w:name w:val="Body Text Char"/>
    <w:basedOn w:val="DefaultParagraphFont"/>
    <w:link w:val="BodyText"/>
    <w:rsid w:val="009346F0"/>
    <w:rPr>
      <w:rFonts w:ascii="Times New Roman" w:eastAsia="Times New Roman" w:hAnsi="Times New Roman" w:cs="Times New Roman"/>
      <w:sz w:val="24"/>
      <w:szCs w:val="20"/>
    </w:rPr>
  </w:style>
  <w:style w:type="paragraph" w:customStyle="1" w:styleId="Level1">
    <w:name w:val="Level 1"/>
    <w:basedOn w:val="Normal"/>
    <w:rsid w:val="009346F0"/>
    <w:pPr>
      <w:widowControl w:val="0"/>
      <w:autoSpaceDE w:val="0"/>
      <w:autoSpaceDN w:val="0"/>
      <w:adjustRightInd w:val="0"/>
      <w:spacing w:after="0" w:line="240" w:lineRule="auto"/>
      <w:ind w:left="360" w:hanging="360"/>
    </w:pPr>
    <w:rPr>
      <w:color w:val="auto"/>
      <w:szCs w:val="24"/>
    </w:rPr>
  </w:style>
  <w:style w:type="paragraph" w:customStyle="1" w:styleId="CM13">
    <w:name w:val="CM13"/>
    <w:basedOn w:val="Normal"/>
    <w:next w:val="Normal"/>
    <w:uiPriority w:val="99"/>
    <w:rsid w:val="00542460"/>
    <w:pPr>
      <w:widowControl w:val="0"/>
      <w:autoSpaceDE w:val="0"/>
      <w:autoSpaceDN w:val="0"/>
      <w:adjustRightInd w:val="0"/>
      <w:spacing w:after="0" w:line="240" w:lineRule="auto"/>
      <w:ind w:left="0" w:firstLine="0"/>
    </w:pPr>
    <w:rPr>
      <w:color w:val="auto"/>
      <w:szCs w:val="24"/>
    </w:rPr>
  </w:style>
  <w:style w:type="paragraph" w:styleId="Header">
    <w:name w:val="header"/>
    <w:basedOn w:val="Normal"/>
    <w:link w:val="HeaderChar"/>
    <w:uiPriority w:val="99"/>
    <w:unhideWhenUsed/>
    <w:rsid w:val="00D71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AE8"/>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D71A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1AE8"/>
    <w:rPr>
      <w:rFonts w:ascii="Times New Roman" w:eastAsia="Times New Roman" w:hAnsi="Times New Roman" w:cs="Times New Roman"/>
      <w:color w:val="000000"/>
      <w:sz w:val="24"/>
    </w:rPr>
  </w:style>
  <w:style w:type="paragraph" w:customStyle="1" w:styleId="CM12">
    <w:name w:val="CM12"/>
    <w:basedOn w:val="Normal"/>
    <w:next w:val="Normal"/>
    <w:uiPriority w:val="99"/>
    <w:rsid w:val="00DC307B"/>
    <w:pPr>
      <w:widowControl w:val="0"/>
      <w:autoSpaceDE w:val="0"/>
      <w:autoSpaceDN w:val="0"/>
      <w:adjustRightInd w:val="0"/>
      <w:spacing w:after="0" w:line="240" w:lineRule="auto"/>
      <w:ind w:left="0" w:firstLine="0"/>
    </w:pPr>
    <w:rPr>
      <w:color w:val="auto"/>
      <w:szCs w:val="24"/>
    </w:rPr>
  </w:style>
  <w:style w:type="paragraph" w:styleId="FootnoteText">
    <w:name w:val="footnote text"/>
    <w:aliases w:val="Footnote Text Char1,Footnote Text Char Char,fn,Footnote Text Char Char Char Char Char Char Char Char Char Char Char Char Char Char Char Char Char,Footnote Text Char1 Char Char,Footnote Text Char Char Char Char,Style 15,Car,ALTS FOOTNOTE,ft"/>
    <w:basedOn w:val="Normal"/>
    <w:link w:val="FootnoteTextChar"/>
    <w:uiPriority w:val="99"/>
    <w:qFormat/>
    <w:rsid w:val="00DC307B"/>
    <w:pPr>
      <w:spacing w:after="0" w:line="240" w:lineRule="auto"/>
      <w:ind w:left="0" w:firstLine="0"/>
    </w:pPr>
    <w:rPr>
      <w:snapToGrid w:val="0"/>
      <w:color w:val="auto"/>
      <w:sz w:val="20"/>
      <w:szCs w:val="20"/>
    </w:rPr>
  </w:style>
  <w:style w:type="character" w:customStyle="1" w:styleId="FootnoteTextChar">
    <w:name w:val="Footnote Text Char"/>
    <w:aliases w:val="Footnote Text Char1 Char,Footnote Text Char Char Char,fn Char,Footnote Text Char Char Char Char Char Char Char Char Char Char Char Char Char Char Char Char Char Char,Footnote Text Char1 Char Char Char,Style 15 Char,Car Char,ft Char"/>
    <w:basedOn w:val="DefaultParagraphFont"/>
    <w:link w:val="FootnoteText"/>
    <w:uiPriority w:val="99"/>
    <w:rsid w:val="00DC307B"/>
    <w:rPr>
      <w:rFonts w:ascii="Times New Roman" w:eastAsia="Times New Roman" w:hAnsi="Times New Roman" w:cs="Times New Roman"/>
      <w:snapToGrid w:val="0"/>
      <w:sz w:val="20"/>
      <w:szCs w:val="20"/>
    </w:rPr>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Style 35"/>
    <w:basedOn w:val="DefaultParagraphFont"/>
    <w:uiPriority w:val="99"/>
    <w:qFormat/>
    <w:rsid w:val="00DC307B"/>
    <w:rPr>
      <w:vertAlign w:val="superscript"/>
    </w:rPr>
  </w:style>
  <w:style w:type="paragraph" w:styleId="ListParagraph">
    <w:name w:val="List Paragraph"/>
    <w:basedOn w:val="Normal"/>
    <w:uiPriority w:val="34"/>
    <w:qFormat/>
    <w:rsid w:val="0070645B"/>
    <w:pPr>
      <w:ind w:left="720"/>
      <w:contextualSpacing/>
    </w:pPr>
  </w:style>
  <w:style w:type="table" w:styleId="TableGrid0">
    <w:name w:val="Table Grid"/>
    <w:basedOn w:val="TableNormal"/>
    <w:rsid w:val="00524E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57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xsi:nil="true"/>
    <_dlc_DocId xmlns="5e6029f0-4cb2-4578-9dca-18ac3ce3eaca">CFPBCDO-2004683907-2132686</_dlc_DocId>
    <_dlc_DocIdUrl xmlns="5e6029f0-4cb2-4578-9dca-18ac3ce3eaca">
      <Url>https://bcfp365.sharepoint.com/sites/cdo/_layouts/15/DocIdRedir.aspx?ID=CFPBCDO-2004683907-2132686</Url>
      <Description>CFPBCDO-2004683907-2132686</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2" ma:contentTypeDescription="" ma:contentTypeScope="" ma:versionID="8aeae12b41523f1b8460c3967fd33b3e">
  <xsd:schema xmlns:xsd="http://www.w3.org/2001/XMLSchema" xmlns:xs="http://www.w3.org/2001/XMLSchema" xmlns:p="http://schemas.microsoft.com/office/2006/metadata/properties" xmlns:ns1="http://schemas.microsoft.com/sharepoint/v3" xmlns:ns2="f6f73781-70c4-4328-acc7-2aa385702a57" xmlns:ns3="5e6029f0-4cb2-4578-9dca-18ac3ce3eaca" xmlns:ns4="b7b1617e-6a94-47af-ad6f-e20732201e63" targetNamespace="http://schemas.microsoft.com/office/2006/metadata/properties" ma:root="true" ma:fieldsID="bcc98502b046bb9c5f5b7263b4c14a79" ns1:_="" ns2:_="" ns3:_="" ns4:_="">
    <xsd:import namespace="http://schemas.microsoft.com/sharepoint/v3"/>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06B6C-B203-4CA1-B9D8-AEDE5A11291B}">
  <ds:schemaRefs>
    <ds:schemaRef ds:uri="Microsoft.SharePoint.Taxonomy.ContentTypeSync"/>
  </ds:schemaRefs>
</ds:datastoreItem>
</file>

<file path=customXml/itemProps2.xml><?xml version="1.0" encoding="utf-8"?>
<ds:datastoreItem xmlns:ds="http://schemas.openxmlformats.org/officeDocument/2006/customXml" ds:itemID="{5285B66F-BD5D-4B82-AFEC-320A699FF3FA}">
  <ds:schemaRefs>
    <ds:schemaRef ds:uri="http://schemas.microsoft.com/office/2006/metadata/properties"/>
    <ds:schemaRef ds:uri="http://schemas.microsoft.com/office/infopath/2007/PartnerControls"/>
    <ds:schemaRef ds:uri="f6f73781-70c4-4328-acc7-2aa385702a57"/>
    <ds:schemaRef ds:uri="5e6029f0-4cb2-4578-9dca-18ac3ce3eaca"/>
    <ds:schemaRef ds:uri="http://schemas.microsoft.com/sharepoint/v3"/>
  </ds:schemaRefs>
</ds:datastoreItem>
</file>

<file path=customXml/itemProps3.xml><?xml version="1.0" encoding="utf-8"?>
<ds:datastoreItem xmlns:ds="http://schemas.openxmlformats.org/officeDocument/2006/customXml" ds:itemID="{3B1F8D7C-A616-4C1A-8EC2-26F7CE47843C}">
  <ds:schemaRefs>
    <ds:schemaRef ds:uri="http://schemas.microsoft.com/sharepoint/events"/>
  </ds:schemaRefs>
</ds:datastoreItem>
</file>

<file path=customXml/itemProps4.xml><?xml version="1.0" encoding="utf-8"?>
<ds:datastoreItem xmlns:ds="http://schemas.openxmlformats.org/officeDocument/2006/customXml" ds:itemID="{E5BC94B6-ED88-45A6-A002-440854381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B973E1-BAAC-43B8-876F-78CE1B467BB0}">
  <ds:schemaRefs>
    <ds:schemaRef ds:uri="http://schemas.microsoft.com/sharepoint/v3/contenttype/forms"/>
  </ds:schemaRefs>
</ds:datastoreItem>
</file>

<file path=customXml/itemProps6.xml><?xml version="1.0" encoding="utf-8"?>
<ds:datastoreItem xmlns:ds="http://schemas.openxmlformats.org/officeDocument/2006/customXml" ds:itemID="{FEFB076E-9340-4DB1-A402-C50A239E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7</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Kulaev, Sergey (CFPB)</dc:creator>
  <cp:keywords/>
  <cp:lastModifiedBy>May, Anthony (CFPB)</cp:lastModifiedBy>
  <cp:revision>59</cp:revision>
  <dcterms:created xsi:type="dcterms:W3CDTF">2022-08-16T13:42:00Z</dcterms:created>
  <dcterms:modified xsi:type="dcterms:W3CDTF">2022-08-18T20:11:00Z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_dlc_DocIdItemGuid">
    <vt:lpwstr>1aa87057-d3f0-4737-aa35-2c59e888e48d</vt:lpwstr>
  </property>
  <property fmtid="{D5CDD505-2E9C-101B-9397-08002B2CF9AE}" pid="4" name="TaxKeyword">
    <vt:lpwstr/>
  </property>
</Properties>
</file>