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D15" w:rsidP="00446D15" w:rsidRDefault="00446D15" w14:paraId="25ECC1BA" w14:textId="77777777">
      <w:pPr>
        <w:spacing w:before="38"/>
        <w:ind w:left="666" w:right="299"/>
        <w:jc w:val="center"/>
        <w:rPr>
          <w:b/>
          <w:sz w:val="24"/>
        </w:rPr>
      </w:pPr>
      <w:bookmarkStart w:name="Supporting_Statement_for_Paperwork_Reduc" w:id="0"/>
      <w:bookmarkStart w:name="_GoBack" w:id="1"/>
      <w:bookmarkEnd w:id="0"/>
      <w:bookmarkEnd w:id="1"/>
      <w:r>
        <w:rPr>
          <w:b/>
          <w:sz w:val="24"/>
        </w:rPr>
        <w:t>Supporting Statement for Paperwork Reduction Act Generic Information Collection</w:t>
      </w:r>
      <w:r>
        <w:rPr>
          <w:b/>
          <w:spacing w:val="-52"/>
          <w:sz w:val="24"/>
        </w:rPr>
        <w:t xml:space="preserve"> </w:t>
      </w:r>
      <w:r>
        <w:rPr>
          <w:b/>
          <w:sz w:val="24"/>
        </w:rPr>
        <w:t>Submissions</w:t>
      </w:r>
      <w:r>
        <w:rPr>
          <w:b/>
          <w:spacing w:val="-1"/>
          <w:sz w:val="24"/>
        </w:rPr>
        <w:t xml:space="preserve"> </w:t>
      </w:r>
      <w:r>
        <w:rPr>
          <w:b/>
          <w:sz w:val="24"/>
        </w:rPr>
        <w:t>for</w:t>
      </w:r>
    </w:p>
    <w:p w:rsidR="00446D15" w:rsidP="00446D15" w:rsidRDefault="00446D15" w14:paraId="06D0CC99" w14:textId="77777777">
      <w:pPr>
        <w:spacing w:before="7"/>
        <w:ind w:left="666" w:right="305"/>
        <w:jc w:val="center"/>
        <w:rPr>
          <w:b/>
          <w:sz w:val="24"/>
        </w:rPr>
      </w:pPr>
      <w:r>
        <w:rPr>
          <w:b/>
          <w:sz w:val="24"/>
        </w:rPr>
        <w:t>“Generic</w:t>
      </w:r>
      <w:r>
        <w:rPr>
          <w:b/>
          <w:spacing w:val="-3"/>
          <w:sz w:val="24"/>
        </w:rPr>
        <w:t xml:space="preserve"> </w:t>
      </w:r>
      <w:r>
        <w:rPr>
          <w:b/>
          <w:sz w:val="24"/>
        </w:rPr>
        <w:t>Clearance</w:t>
      </w:r>
      <w:r>
        <w:rPr>
          <w:b/>
          <w:spacing w:val="-3"/>
          <w:sz w:val="24"/>
        </w:rPr>
        <w:t xml:space="preserve"> </w:t>
      </w:r>
      <w:r>
        <w:rPr>
          <w:b/>
          <w:sz w:val="24"/>
        </w:rPr>
        <w:t>for</w:t>
      </w:r>
      <w:r>
        <w:rPr>
          <w:b/>
          <w:spacing w:val="-4"/>
          <w:sz w:val="24"/>
        </w:rPr>
        <w:t xml:space="preserve"> </w:t>
      </w:r>
      <w:r>
        <w:rPr>
          <w:b/>
          <w:sz w:val="24"/>
        </w:rPr>
        <w:t>Feedback to the SEC’s Office of the Advocate for Small Business Capital Formation”</w:t>
      </w:r>
    </w:p>
    <w:p w:rsidR="00446D15" w:rsidP="00446D15" w:rsidRDefault="00446D15" w14:paraId="1345BCC3" w14:textId="77777777">
      <w:pPr>
        <w:spacing w:before="7"/>
        <w:ind w:left="666" w:right="305"/>
        <w:jc w:val="center"/>
        <w:rPr>
          <w:b/>
          <w:sz w:val="24"/>
        </w:rPr>
      </w:pPr>
    </w:p>
    <w:p w:rsidR="00446D15" w:rsidP="00446D15" w:rsidRDefault="00446D15" w14:paraId="75673AA3" w14:textId="77777777">
      <w:pPr>
        <w:pStyle w:val="ListParagraph"/>
        <w:numPr>
          <w:ilvl w:val="0"/>
          <w:numId w:val="1"/>
        </w:numPr>
        <w:spacing w:before="7"/>
        <w:ind w:right="305"/>
        <w:jc w:val="both"/>
        <w:rPr>
          <w:b/>
          <w:sz w:val="24"/>
        </w:rPr>
      </w:pPr>
      <w:r>
        <w:rPr>
          <w:b/>
          <w:sz w:val="24"/>
        </w:rPr>
        <w:t>JUSTIFICATION</w:t>
      </w:r>
    </w:p>
    <w:p w:rsidR="00446D15" w:rsidP="00446D15" w:rsidRDefault="00446D15" w14:paraId="14416917" w14:textId="77777777">
      <w:pPr>
        <w:pStyle w:val="ListParagraph"/>
        <w:spacing w:before="7"/>
        <w:ind w:left="1026" w:right="305"/>
        <w:jc w:val="both"/>
        <w:rPr>
          <w:b/>
          <w:sz w:val="24"/>
        </w:rPr>
      </w:pPr>
    </w:p>
    <w:p w:rsidR="00446D15" w:rsidP="00446D15" w:rsidRDefault="00446D15" w14:paraId="2C696429" w14:textId="77777777">
      <w:pPr>
        <w:pStyle w:val="ListParagraph"/>
        <w:numPr>
          <w:ilvl w:val="0"/>
          <w:numId w:val="2"/>
        </w:numPr>
        <w:spacing w:before="7"/>
        <w:ind w:right="305"/>
        <w:jc w:val="both"/>
        <w:rPr>
          <w:b/>
          <w:sz w:val="24"/>
        </w:rPr>
      </w:pPr>
      <w:r>
        <w:rPr>
          <w:b/>
          <w:sz w:val="24"/>
        </w:rPr>
        <w:t>Circumstances Making the Collection of Information Necessary</w:t>
      </w:r>
    </w:p>
    <w:p w:rsidR="00446D15" w:rsidP="00446D15" w:rsidRDefault="00446D15" w14:paraId="62343356" w14:textId="77777777">
      <w:pPr>
        <w:spacing w:before="7"/>
        <w:ind w:right="305"/>
        <w:jc w:val="both"/>
        <w:rPr>
          <w:b/>
          <w:sz w:val="24"/>
        </w:rPr>
      </w:pPr>
    </w:p>
    <w:p w:rsidR="00446D15" w:rsidP="00446D15" w:rsidRDefault="005B0347" w14:paraId="07A25E29" w14:textId="122A514F">
      <w:pPr>
        <w:spacing w:before="7"/>
        <w:ind w:left="1026" w:right="305"/>
        <w:jc w:val="both"/>
        <w:rPr>
          <w:sz w:val="24"/>
        </w:rPr>
      </w:pPr>
      <w:r>
        <w:rPr>
          <w:sz w:val="24"/>
        </w:rPr>
        <w:t>Congress</w:t>
      </w:r>
      <w:r w:rsidR="007D1900">
        <w:rPr>
          <w:sz w:val="24"/>
        </w:rPr>
        <w:t xml:space="preserve"> established the </w:t>
      </w:r>
      <w:r w:rsidRPr="00FC20BA" w:rsidR="00446D15">
        <w:rPr>
          <w:sz w:val="24"/>
        </w:rPr>
        <w:t xml:space="preserve">Office of the Advocate for Small Business Capital Formation of </w:t>
      </w:r>
      <w:r w:rsidR="00446D15">
        <w:rPr>
          <w:sz w:val="24"/>
        </w:rPr>
        <w:t xml:space="preserve">the </w:t>
      </w:r>
      <w:r w:rsidRPr="00FC20BA" w:rsidR="00446D15">
        <w:rPr>
          <w:sz w:val="24"/>
        </w:rPr>
        <w:t xml:space="preserve">Securities and Exchange </w:t>
      </w:r>
      <w:r w:rsidR="00446D15">
        <w:rPr>
          <w:sz w:val="24"/>
        </w:rPr>
        <w:t>Commission (“the Office”</w:t>
      </w:r>
      <w:r w:rsidRPr="00FC20BA" w:rsidR="00446D15">
        <w:rPr>
          <w:sz w:val="24"/>
        </w:rPr>
        <w:t xml:space="preserve">) </w:t>
      </w:r>
      <w:r w:rsidR="00446D15">
        <w:rPr>
          <w:sz w:val="24"/>
        </w:rPr>
        <w:t>to advance the interests of small businesses and their investors.</w:t>
      </w:r>
      <w:r w:rsidR="000E4E19">
        <w:rPr>
          <w:rStyle w:val="FootnoteReference"/>
          <w:sz w:val="24"/>
        </w:rPr>
        <w:footnoteReference w:id="2"/>
      </w:r>
      <w:r w:rsidR="00547BB1">
        <w:rPr>
          <w:sz w:val="24"/>
        </w:rPr>
        <w:t xml:space="preserve"> In doing so, Congress </w:t>
      </w:r>
      <w:r w:rsidR="002439E4">
        <w:rPr>
          <w:sz w:val="24"/>
        </w:rPr>
        <w:t>mandated that</w:t>
      </w:r>
      <w:r w:rsidR="00547BB1">
        <w:rPr>
          <w:sz w:val="24"/>
        </w:rPr>
        <w:t xml:space="preserve"> the Office conduct outreach to small businesses and their investors “to solicit views on relevant capital formation issues.”</w:t>
      </w:r>
      <w:r w:rsidR="00547BB1">
        <w:rPr>
          <w:rStyle w:val="FootnoteReference"/>
          <w:sz w:val="24"/>
        </w:rPr>
        <w:footnoteReference w:id="3"/>
      </w:r>
      <w:r w:rsidR="00547BB1">
        <w:rPr>
          <w:sz w:val="24"/>
        </w:rPr>
        <w:t xml:space="preserve"> </w:t>
      </w:r>
      <w:r w:rsidR="00446D15">
        <w:rPr>
          <w:sz w:val="24"/>
        </w:rPr>
        <w:t xml:space="preserve">Congress </w:t>
      </w:r>
      <w:r w:rsidR="002439E4">
        <w:rPr>
          <w:sz w:val="24"/>
        </w:rPr>
        <w:t xml:space="preserve">also </w:t>
      </w:r>
      <w:r w:rsidR="00446D15">
        <w:rPr>
          <w:sz w:val="24"/>
        </w:rPr>
        <w:t xml:space="preserve">directed the Office to identify unique challenges </w:t>
      </w:r>
      <w:r w:rsidR="000D6C56">
        <w:rPr>
          <w:sz w:val="24"/>
        </w:rPr>
        <w:t xml:space="preserve">with securing access to capital </w:t>
      </w:r>
      <w:r w:rsidR="00446D15">
        <w:rPr>
          <w:sz w:val="24"/>
        </w:rPr>
        <w:t>that minority-owned</w:t>
      </w:r>
      <w:r w:rsidR="00983C58">
        <w:rPr>
          <w:sz w:val="24"/>
        </w:rPr>
        <w:t xml:space="preserve">, </w:t>
      </w:r>
      <w:r w:rsidR="00446D15">
        <w:rPr>
          <w:sz w:val="24"/>
        </w:rPr>
        <w:t>women-owned, and natural disaster area small businesses and their investors face.</w:t>
      </w:r>
      <w:r w:rsidR="000869A0">
        <w:rPr>
          <w:rStyle w:val="FootnoteReference"/>
          <w:sz w:val="24"/>
        </w:rPr>
        <w:footnoteReference w:id="4"/>
      </w:r>
      <w:r w:rsidR="00446D15">
        <w:rPr>
          <w:sz w:val="24"/>
        </w:rPr>
        <w:t xml:space="preserve"> To </w:t>
      </w:r>
      <w:r w:rsidR="008703C7">
        <w:rPr>
          <w:sz w:val="24"/>
        </w:rPr>
        <w:t xml:space="preserve">satisfy </w:t>
      </w:r>
      <w:r w:rsidR="00446D15">
        <w:rPr>
          <w:sz w:val="24"/>
        </w:rPr>
        <w:t xml:space="preserve">this </w:t>
      </w:r>
      <w:r w:rsidR="00252AC8">
        <w:rPr>
          <w:sz w:val="24"/>
        </w:rPr>
        <w:t>statutory mandate</w:t>
      </w:r>
      <w:r w:rsidR="00446D15">
        <w:rPr>
          <w:sz w:val="24"/>
        </w:rPr>
        <w:t>, the Office hosts various educational and outreach events with small businesses, their investors, and other market participants</w:t>
      </w:r>
      <w:r w:rsidR="00992AFB">
        <w:rPr>
          <w:sz w:val="24"/>
        </w:rPr>
        <w:t xml:space="preserve"> and</w:t>
      </w:r>
      <w:r w:rsidR="00446D15">
        <w:rPr>
          <w:sz w:val="24"/>
        </w:rPr>
        <w:t xml:space="preserve"> provides educational materials to assist small businesses and their investors.</w:t>
      </w:r>
    </w:p>
    <w:p w:rsidR="00446D15" w:rsidP="00446D15" w:rsidRDefault="00446D15" w14:paraId="7B02FE4B" w14:textId="77777777">
      <w:pPr>
        <w:spacing w:before="7"/>
        <w:ind w:left="1026" w:right="305"/>
        <w:jc w:val="both"/>
        <w:rPr>
          <w:sz w:val="24"/>
        </w:rPr>
      </w:pPr>
    </w:p>
    <w:p w:rsidR="006F6E49" w:rsidP="00446D15" w:rsidRDefault="0002240C" w14:paraId="3BC75184" w14:textId="504EAEB7">
      <w:pPr>
        <w:spacing w:before="7"/>
        <w:ind w:left="1026" w:right="305"/>
        <w:jc w:val="both"/>
        <w:rPr>
          <w:sz w:val="24"/>
        </w:rPr>
      </w:pPr>
      <w:r>
        <w:rPr>
          <w:sz w:val="24"/>
        </w:rPr>
        <w:t>T</w:t>
      </w:r>
      <w:r w:rsidRPr="003132A4" w:rsidR="00446D15">
        <w:rPr>
          <w:sz w:val="24"/>
        </w:rPr>
        <w:t>he Office</w:t>
      </w:r>
      <w:r w:rsidRPr="00141480" w:rsidR="00446D15">
        <w:rPr>
          <w:sz w:val="24"/>
        </w:rPr>
        <w:t xml:space="preserve"> seeks to obtain OMB approval of a generic clearance to collect feedba</w:t>
      </w:r>
      <w:r w:rsidRPr="00933E9E" w:rsidR="00446D15">
        <w:rPr>
          <w:sz w:val="24"/>
        </w:rPr>
        <w:t>ck</w:t>
      </w:r>
      <w:r w:rsidRPr="000E00CC" w:rsidR="006F6E49">
        <w:rPr>
          <w:sz w:val="24"/>
        </w:rPr>
        <w:t xml:space="preserve"> from </w:t>
      </w:r>
      <w:r w:rsidRPr="003132A4" w:rsidR="00446D15">
        <w:rPr>
          <w:sz w:val="24"/>
        </w:rPr>
        <w:t>small businesses an</w:t>
      </w:r>
      <w:r w:rsidRPr="00141480" w:rsidR="00446D15">
        <w:rPr>
          <w:sz w:val="24"/>
        </w:rPr>
        <w:t>d their investors</w:t>
      </w:r>
      <w:r w:rsidR="00616541">
        <w:rPr>
          <w:sz w:val="24"/>
        </w:rPr>
        <w:t xml:space="preserve"> </w:t>
      </w:r>
      <w:r w:rsidRPr="00FC20BA" w:rsidR="00446D15">
        <w:rPr>
          <w:sz w:val="24"/>
        </w:rPr>
        <w:t>to unde</w:t>
      </w:r>
      <w:r w:rsidR="00446D15">
        <w:rPr>
          <w:sz w:val="24"/>
        </w:rPr>
        <w:t xml:space="preserve">rstand </w:t>
      </w:r>
      <w:r w:rsidRPr="00FC20BA" w:rsidR="00616541">
        <w:rPr>
          <w:sz w:val="24"/>
        </w:rPr>
        <w:t xml:space="preserve">better </w:t>
      </w:r>
      <w:r w:rsidR="00446D15">
        <w:rPr>
          <w:sz w:val="24"/>
        </w:rPr>
        <w:t>the population</w:t>
      </w:r>
      <w:r w:rsidRPr="00FC20BA" w:rsidR="00446D15">
        <w:rPr>
          <w:sz w:val="24"/>
        </w:rPr>
        <w:t xml:space="preserve"> that </w:t>
      </w:r>
      <w:r w:rsidR="00616541">
        <w:rPr>
          <w:sz w:val="24"/>
        </w:rPr>
        <w:t>it is</w:t>
      </w:r>
      <w:r w:rsidRPr="00FC20BA" w:rsidR="00446D15">
        <w:rPr>
          <w:sz w:val="24"/>
        </w:rPr>
        <w:t xml:space="preserve"> serving</w:t>
      </w:r>
      <w:r w:rsidR="00446D15">
        <w:rPr>
          <w:sz w:val="24"/>
        </w:rPr>
        <w:t xml:space="preserve"> and their role in the small business ecosystem.</w:t>
      </w:r>
      <w:r w:rsidR="002C1613">
        <w:rPr>
          <w:sz w:val="24"/>
        </w:rPr>
        <w:t xml:space="preserve"> </w:t>
      </w:r>
      <w:r w:rsidR="00616541">
        <w:rPr>
          <w:sz w:val="24"/>
        </w:rPr>
        <w:t>The proposed</w:t>
      </w:r>
      <w:r w:rsidR="00864C1D">
        <w:rPr>
          <w:sz w:val="24"/>
        </w:rPr>
        <w:t xml:space="preserve"> collection of information </w:t>
      </w:r>
      <w:r w:rsidR="007F6938">
        <w:rPr>
          <w:sz w:val="24"/>
        </w:rPr>
        <w:t>will help</w:t>
      </w:r>
      <w:r w:rsidR="00864C1D">
        <w:rPr>
          <w:sz w:val="24"/>
        </w:rPr>
        <w:t xml:space="preserve"> </w:t>
      </w:r>
      <w:r w:rsidR="00567D06">
        <w:rPr>
          <w:sz w:val="24"/>
        </w:rPr>
        <w:t xml:space="preserve">ensure that </w:t>
      </w:r>
      <w:r w:rsidR="00616541">
        <w:rPr>
          <w:sz w:val="24"/>
        </w:rPr>
        <w:t>the Office’s</w:t>
      </w:r>
      <w:r w:rsidRPr="006428EE" w:rsidR="006428EE">
        <w:rPr>
          <w:sz w:val="24"/>
        </w:rPr>
        <w:t xml:space="preserve"> </w:t>
      </w:r>
      <w:r w:rsidR="00983C58">
        <w:rPr>
          <w:sz w:val="24"/>
        </w:rPr>
        <w:t xml:space="preserve">outreach </w:t>
      </w:r>
      <w:r w:rsidR="00506408">
        <w:rPr>
          <w:sz w:val="24"/>
        </w:rPr>
        <w:t>efforts</w:t>
      </w:r>
      <w:r w:rsidR="003466EF">
        <w:rPr>
          <w:sz w:val="24"/>
        </w:rPr>
        <w:t xml:space="preserve"> </w:t>
      </w:r>
      <w:r w:rsidR="003A467D">
        <w:rPr>
          <w:sz w:val="24"/>
        </w:rPr>
        <w:t>and communication materials</w:t>
      </w:r>
      <w:r>
        <w:rPr>
          <w:sz w:val="24"/>
        </w:rPr>
        <w:t xml:space="preserve"> </w:t>
      </w:r>
      <w:r w:rsidR="00E3573B">
        <w:rPr>
          <w:sz w:val="24"/>
        </w:rPr>
        <w:t xml:space="preserve">and other program initiatives </w:t>
      </w:r>
      <w:r w:rsidRPr="006428EE" w:rsidR="006428EE">
        <w:rPr>
          <w:sz w:val="24"/>
        </w:rPr>
        <w:t xml:space="preserve">are effective and responsive to </w:t>
      </w:r>
      <w:r w:rsidR="007C6721">
        <w:rPr>
          <w:sz w:val="24"/>
        </w:rPr>
        <w:t>customer</w:t>
      </w:r>
      <w:r w:rsidRPr="006428EE" w:rsidR="006428EE">
        <w:rPr>
          <w:sz w:val="24"/>
        </w:rPr>
        <w:t xml:space="preserve"> needs</w:t>
      </w:r>
      <w:r>
        <w:rPr>
          <w:sz w:val="24"/>
        </w:rPr>
        <w:t>.</w:t>
      </w:r>
      <w:r w:rsidR="002C1613">
        <w:rPr>
          <w:sz w:val="24"/>
        </w:rPr>
        <w:t xml:space="preserve"> </w:t>
      </w:r>
    </w:p>
    <w:p w:rsidR="006F6E49" w:rsidP="00446D15" w:rsidRDefault="006F6E49" w14:paraId="5D3EF50A" w14:textId="77777777">
      <w:pPr>
        <w:spacing w:before="7"/>
        <w:ind w:left="1026" w:right="305"/>
        <w:jc w:val="both"/>
        <w:rPr>
          <w:sz w:val="24"/>
        </w:rPr>
      </w:pPr>
    </w:p>
    <w:p w:rsidR="00446D15" w:rsidP="00446D15" w:rsidRDefault="00446D15" w14:paraId="2CF9FB20" w14:textId="77777777">
      <w:pPr>
        <w:pStyle w:val="ListParagraph"/>
        <w:numPr>
          <w:ilvl w:val="0"/>
          <w:numId w:val="2"/>
        </w:numPr>
        <w:spacing w:before="7"/>
        <w:ind w:right="305"/>
        <w:jc w:val="both"/>
        <w:rPr>
          <w:b/>
          <w:sz w:val="24"/>
        </w:rPr>
      </w:pPr>
      <w:r w:rsidRPr="0089590C">
        <w:rPr>
          <w:b/>
          <w:sz w:val="24"/>
        </w:rPr>
        <w:t>Information Collection Purpose and Use</w:t>
      </w:r>
    </w:p>
    <w:p w:rsidR="00446D15" w:rsidP="00446D15" w:rsidRDefault="00446D15" w14:paraId="0D23C5C8" w14:textId="77777777">
      <w:pPr>
        <w:spacing w:before="7"/>
        <w:ind w:right="305"/>
        <w:jc w:val="both"/>
        <w:rPr>
          <w:sz w:val="24"/>
        </w:rPr>
      </w:pPr>
    </w:p>
    <w:p w:rsidR="00310D32" w:rsidP="00446D15" w:rsidRDefault="00310D32" w14:paraId="534E7070" w14:textId="34D59309">
      <w:pPr>
        <w:spacing w:before="7"/>
        <w:ind w:left="1026" w:right="305"/>
        <w:jc w:val="both"/>
        <w:rPr>
          <w:sz w:val="24"/>
        </w:rPr>
      </w:pPr>
      <w:r>
        <w:rPr>
          <w:sz w:val="24"/>
        </w:rPr>
        <w:t xml:space="preserve">The Office intends to collect feedback by means of </w:t>
      </w:r>
      <w:r w:rsidR="00302651">
        <w:rPr>
          <w:sz w:val="24"/>
        </w:rPr>
        <w:t>brief</w:t>
      </w:r>
      <w:r w:rsidR="00616541">
        <w:rPr>
          <w:sz w:val="24"/>
        </w:rPr>
        <w:t xml:space="preserve"> </w:t>
      </w:r>
      <w:r>
        <w:rPr>
          <w:sz w:val="24"/>
        </w:rPr>
        <w:t>questionnaires or live audience polling</w:t>
      </w:r>
      <w:r w:rsidR="00302651">
        <w:rPr>
          <w:sz w:val="24"/>
        </w:rPr>
        <w:t xml:space="preserve"> or similar mechanisms</w:t>
      </w:r>
      <w:r w:rsidR="000927C1">
        <w:rPr>
          <w:sz w:val="24"/>
        </w:rPr>
        <w:t xml:space="preserve">. </w:t>
      </w:r>
      <w:r>
        <w:rPr>
          <w:sz w:val="24"/>
        </w:rPr>
        <w:t xml:space="preserve">These information collections will be low burden </w:t>
      </w:r>
      <w:r w:rsidR="000927C1">
        <w:rPr>
          <w:sz w:val="24"/>
        </w:rPr>
        <w:t>and entirely voluntary.</w:t>
      </w:r>
      <w:r>
        <w:rPr>
          <w:sz w:val="24"/>
        </w:rPr>
        <w:t xml:space="preserve"> Further</w:t>
      </w:r>
      <w:r w:rsidRPr="007572BB">
        <w:rPr>
          <w:sz w:val="24"/>
        </w:rPr>
        <w:t xml:space="preserve"> details </w:t>
      </w:r>
      <w:r w:rsidR="00194BE8">
        <w:rPr>
          <w:sz w:val="24"/>
        </w:rPr>
        <w:t>about</w:t>
      </w:r>
      <w:r>
        <w:rPr>
          <w:sz w:val="24"/>
        </w:rPr>
        <w:t xml:space="preserve"> </w:t>
      </w:r>
      <w:r w:rsidRPr="007572BB">
        <w:rPr>
          <w:sz w:val="24"/>
        </w:rPr>
        <w:t xml:space="preserve">the </w:t>
      </w:r>
      <w:r>
        <w:rPr>
          <w:sz w:val="24"/>
        </w:rPr>
        <w:t xml:space="preserve">proposed </w:t>
      </w:r>
      <w:r w:rsidRPr="007572BB">
        <w:rPr>
          <w:sz w:val="24"/>
        </w:rPr>
        <w:t xml:space="preserve">collections are </w:t>
      </w:r>
      <w:r>
        <w:rPr>
          <w:sz w:val="24"/>
        </w:rPr>
        <w:t>included</w:t>
      </w:r>
      <w:r w:rsidRPr="007572BB">
        <w:rPr>
          <w:sz w:val="24"/>
        </w:rPr>
        <w:t xml:space="preserve"> below.</w:t>
      </w:r>
    </w:p>
    <w:p w:rsidR="00310D32" w:rsidP="00446D15" w:rsidRDefault="00310D32" w14:paraId="3EC6393B" w14:textId="77777777">
      <w:pPr>
        <w:spacing w:before="7"/>
        <w:ind w:left="1026" w:right="305"/>
        <w:jc w:val="both"/>
        <w:rPr>
          <w:sz w:val="24"/>
        </w:rPr>
      </w:pPr>
    </w:p>
    <w:p w:rsidR="00446D15" w:rsidP="00616541" w:rsidRDefault="00446D15" w14:paraId="244BC087" w14:textId="06BE7ADF">
      <w:pPr>
        <w:spacing w:before="7"/>
        <w:ind w:left="1026" w:right="305"/>
        <w:jc w:val="both"/>
        <w:rPr>
          <w:sz w:val="24"/>
        </w:rPr>
      </w:pPr>
      <w:r>
        <w:rPr>
          <w:sz w:val="24"/>
        </w:rPr>
        <w:t xml:space="preserve">Collecting feedback </w:t>
      </w:r>
      <w:r w:rsidR="00CC146C">
        <w:rPr>
          <w:sz w:val="24"/>
        </w:rPr>
        <w:t>will allow</w:t>
      </w:r>
      <w:r>
        <w:rPr>
          <w:sz w:val="24"/>
        </w:rPr>
        <w:t xml:space="preserve"> the Office to</w:t>
      </w:r>
      <w:r w:rsidR="00E63CCC">
        <w:rPr>
          <w:sz w:val="24"/>
        </w:rPr>
        <w:t xml:space="preserve"> tailor </w:t>
      </w:r>
      <w:r w:rsidR="00616541">
        <w:rPr>
          <w:sz w:val="24"/>
        </w:rPr>
        <w:t>its</w:t>
      </w:r>
      <w:r w:rsidR="00E63CCC">
        <w:rPr>
          <w:sz w:val="24"/>
        </w:rPr>
        <w:t xml:space="preserve"> outreach </w:t>
      </w:r>
      <w:r w:rsidR="00CE2397">
        <w:rPr>
          <w:sz w:val="24"/>
        </w:rPr>
        <w:t>efforts</w:t>
      </w:r>
      <w:r w:rsidR="00171453">
        <w:rPr>
          <w:sz w:val="24"/>
        </w:rPr>
        <w:t xml:space="preserve"> and communication materials</w:t>
      </w:r>
      <w:r w:rsidR="00E63CCC">
        <w:rPr>
          <w:sz w:val="24"/>
        </w:rPr>
        <w:t xml:space="preserve"> </w:t>
      </w:r>
      <w:r w:rsidR="007C6721">
        <w:rPr>
          <w:sz w:val="24"/>
        </w:rPr>
        <w:t>to</w:t>
      </w:r>
      <w:r w:rsidR="00616541">
        <w:rPr>
          <w:sz w:val="24"/>
        </w:rPr>
        <w:t xml:space="preserve"> serve its</w:t>
      </w:r>
      <w:r w:rsidR="00E63CCC">
        <w:rPr>
          <w:sz w:val="24"/>
        </w:rPr>
        <w:t xml:space="preserve"> customers</w:t>
      </w:r>
      <w:r w:rsidR="003029C9">
        <w:rPr>
          <w:sz w:val="24"/>
        </w:rPr>
        <w:t xml:space="preserve"> more effectively</w:t>
      </w:r>
      <w:r w:rsidR="000927C1">
        <w:rPr>
          <w:sz w:val="24"/>
        </w:rPr>
        <w:t>.</w:t>
      </w:r>
      <w:r w:rsidR="00616541">
        <w:rPr>
          <w:sz w:val="24"/>
        </w:rPr>
        <w:t xml:space="preserve"> Collecting feedback</w:t>
      </w:r>
      <w:r>
        <w:rPr>
          <w:sz w:val="24"/>
        </w:rPr>
        <w:t xml:space="preserve"> </w:t>
      </w:r>
      <w:r w:rsidR="00310D32">
        <w:rPr>
          <w:sz w:val="24"/>
        </w:rPr>
        <w:t xml:space="preserve">also </w:t>
      </w:r>
      <w:r w:rsidR="00E63CCC">
        <w:rPr>
          <w:sz w:val="24"/>
        </w:rPr>
        <w:t xml:space="preserve">will </w:t>
      </w:r>
      <w:r>
        <w:rPr>
          <w:sz w:val="24"/>
        </w:rPr>
        <w:t xml:space="preserve">allow the Office to understand </w:t>
      </w:r>
      <w:r w:rsidR="003029C9">
        <w:rPr>
          <w:sz w:val="24"/>
        </w:rPr>
        <w:t xml:space="preserve">better </w:t>
      </w:r>
      <w:r w:rsidR="00616541">
        <w:rPr>
          <w:sz w:val="24"/>
        </w:rPr>
        <w:t>its</w:t>
      </w:r>
      <w:r>
        <w:rPr>
          <w:sz w:val="24"/>
        </w:rPr>
        <w:t xml:space="preserve"> target audience and improve </w:t>
      </w:r>
      <w:r w:rsidR="00616541">
        <w:rPr>
          <w:sz w:val="24"/>
        </w:rPr>
        <w:t>outreach</w:t>
      </w:r>
      <w:r>
        <w:rPr>
          <w:sz w:val="24"/>
        </w:rPr>
        <w:t xml:space="preserve"> </w:t>
      </w:r>
      <w:r w:rsidR="002C1613">
        <w:rPr>
          <w:sz w:val="24"/>
        </w:rPr>
        <w:t xml:space="preserve">events and </w:t>
      </w:r>
      <w:r>
        <w:rPr>
          <w:sz w:val="24"/>
        </w:rPr>
        <w:t xml:space="preserve">educational materials by optimizing their content and delivery, while strategizing how best to deploy </w:t>
      </w:r>
      <w:r w:rsidR="00616541">
        <w:rPr>
          <w:sz w:val="24"/>
        </w:rPr>
        <w:t>the Office’s</w:t>
      </w:r>
      <w:r>
        <w:rPr>
          <w:sz w:val="24"/>
        </w:rPr>
        <w:t xml:space="preserve"> resources to address </w:t>
      </w:r>
      <w:r>
        <w:rPr>
          <w:sz w:val="24"/>
        </w:rPr>
        <w:lastRenderedPageBreak/>
        <w:t xml:space="preserve">issues and challenges </w:t>
      </w:r>
      <w:r w:rsidR="00102C9B">
        <w:rPr>
          <w:sz w:val="24"/>
        </w:rPr>
        <w:t>faced by its customers</w:t>
      </w:r>
      <w:r>
        <w:rPr>
          <w:sz w:val="24"/>
        </w:rPr>
        <w:t xml:space="preserve">.  </w:t>
      </w:r>
    </w:p>
    <w:p w:rsidR="00182544" w:rsidP="00446D15" w:rsidRDefault="00182544" w14:paraId="0D55281B" w14:textId="064BD085">
      <w:pPr>
        <w:spacing w:before="7"/>
        <w:ind w:left="1026" w:right="305"/>
        <w:jc w:val="both"/>
        <w:rPr>
          <w:sz w:val="24"/>
        </w:rPr>
      </w:pPr>
    </w:p>
    <w:p w:rsidRPr="000B4078" w:rsidR="00446D15" w:rsidP="00446D15" w:rsidRDefault="00D87F5B" w14:paraId="0925D184" w14:textId="5E6B2C57">
      <w:pPr>
        <w:spacing w:before="7"/>
        <w:ind w:left="306" w:right="305" w:firstLine="720"/>
        <w:jc w:val="both"/>
        <w:rPr>
          <w:b/>
          <w:i/>
          <w:sz w:val="24"/>
        </w:rPr>
      </w:pPr>
      <w:r w:rsidRPr="007572BB">
        <w:rPr>
          <w:b/>
          <w:sz w:val="24"/>
        </w:rPr>
        <w:tab/>
      </w:r>
      <w:r w:rsidRPr="007572BB">
        <w:rPr>
          <w:b/>
          <w:sz w:val="24"/>
        </w:rPr>
        <w:tab/>
        <w:t xml:space="preserve">i. </w:t>
      </w:r>
      <w:r w:rsidRPr="007572BB">
        <w:rPr>
          <w:b/>
          <w:sz w:val="24"/>
        </w:rPr>
        <w:tab/>
      </w:r>
      <w:r w:rsidRPr="000B4078" w:rsidR="00446D15">
        <w:rPr>
          <w:b/>
          <w:i/>
          <w:sz w:val="24"/>
        </w:rPr>
        <w:t xml:space="preserve">Types of Questions Asked in Questionnaires </w:t>
      </w:r>
    </w:p>
    <w:p w:rsidR="00446D15" w:rsidP="00446D15" w:rsidRDefault="00446D15" w14:paraId="0AE35999" w14:textId="77777777">
      <w:pPr>
        <w:spacing w:before="7"/>
        <w:ind w:left="1026" w:right="305"/>
        <w:jc w:val="both"/>
        <w:rPr>
          <w:sz w:val="24"/>
        </w:rPr>
      </w:pPr>
    </w:p>
    <w:p w:rsidR="00446D15" w:rsidP="00446D15" w:rsidRDefault="00446D15" w14:paraId="4EF0EF3D" w14:textId="593C2677">
      <w:pPr>
        <w:spacing w:before="7"/>
        <w:ind w:left="1026" w:right="305"/>
        <w:jc w:val="both"/>
        <w:rPr>
          <w:sz w:val="24"/>
        </w:rPr>
      </w:pPr>
      <w:r>
        <w:rPr>
          <w:sz w:val="24"/>
        </w:rPr>
        <w:t xml:space="preserve">The questionnaires </w:t>
      </w:r>
      <w:r w:rsidR="00754509">
        <w:rPr>
          <w:sz w:val="24"/>
        </w:rPr>
        <w:t>generally will</w:t>
      </w:r>
      <w:r>
        <w:rPr>
          <w:sz w:val="24"/>
        </w:rPr>
        <w:t xml:space="preserve"> seek four categories of information: (i) demographic information</w:t>
      </w:r>
      <w:r w:rsidR="0033541F">
        <w:rPr>
          <w:sz w:val="24"/>
        </w:rPr>
        <w:t xml:space="preserve"> </w:t>
      </w:r>
      <w:r w:rsidR="00194BE8">
        <w:rPr>
          <w:sz w:val="24"/>
        </w:rPr>
        <w:t>about</w:t>
      </w:r>
      <w:r w:rsidR="0033541F">
        <w:rPr>
          <w:sz w:val="24"/>
        </w:rPr>
        <w:t xml:space="preserve"> </w:t>
      </w:r>
      <w:r w:rsidR="003029C9">
        <w:rPr>
          <w:sz w:val="24"/>
        </w:rPr>
        <w:t>program participants</w:t>
      </w:r>
      <w:r>
        <w:rPr>
          <w:sz w:val="24"/>
        </w:rPr>
        <w:t xml:space="preserve">, (ii) feedback on the Office’s outreach and educational materials, (iii) capital formation-related questions, and </w:t>
      </w:r>
      <w:proofErr w:type="gramStart"/>
      <w:r>
        <w:rPr>
          <w:sz w:val="24"/>
        </w:rPr>
        <w:t>(iv)</w:t>
      </w:r>
      <w:r w:rsidR="001A7D6A">
        <w:rPr>
          <w:sz w:val="24"/>
        </w:rPr>
        <w:t xml:space="preserve"> </w:t>
      </w:r>
      <w:r>
        <w:rPr>
          <w:sz w:val="24"/>
        </w:rPr>
        <w:t>issues</w:t>
      </w:r>
      <w:proofErr w:type="gramEnd"/>
      <w:r>
        <w:rPr>
          <w:sz w:val="24"/>
        </w:rPr>
        <w:t xml:space="preserve"> and challenges </w:t>
      </w:r>
      <w:r w:rsidR="003029C9">
        <w:rPr>
          <w:sz w:val="24"/>
        </w:rPr>
        <w:t xml:space="preserve">faced by </w:t>
      </w:r>
      <w:r>
        <w:rPr>
          <w:sz w:val="24"/>
        </w:rPr>
        <w:t xml:space="preserve">small businesses and their investors. </w:t>
      </w:r>
    </w:p>
    <w:p w:rsidR="00446D15" w:rsidP="00446D15" w:rsidRDefault="00446D15" w14:paraId="0C16DAE5" w14:textId="77777777">
      <w:pPr>
        <w:spacing w:before="7"/>
        <w:ind w:left="1026" w:right="305"/>
        <w:jc w:val="both"/>
        <w:rPr>
          <w:sz w:val="24"/>
        </w:rPr>
      </w:pPr>
    </w:p>
    <w:p w:rsidR="00446D15" w:rsidP="00446D15" w:rsidRDefault="00446D15" w14:paraId="63D82D99" w14:textId="27A1E083">
      <w:pPr>
        <w:spacing w:before="7"/>
        <w:ind w:left="1026" w:right="305"/>
        <w:jc w:val="both"/>
        <w:rPr>
          <w:sz w:val="24"/>
        </w:rPr>
      </w:pPr>
      <w:r>
        <w:rPr>
          <w:sz w:val="24"/>
        </w:rPr>
        <w:t xml:space="preserve">To understand </w:t>
      </w:r>
      <w:r w:rsidR="003029C9">
        <w:rPr>
          <w:sz w:val="24"/>
        </w:rPr>
        <w:t xml:space="preserve">better </w:t>
      </w:r>
      <w:r>
        <w:rPr>
          <w:sz w:val="24"/>
        </w:rPr>
        <w:t xml:space="preserve">the audience </w:t>
      </w:r>
      <w:r w:rsidR="003029C9">
        <w:rPr>
          <w:sz w:val="24"/>
        </w:rPr>
        <w:t>engaged by its</w:t>
      </w:r>
      <w:r w:rsidR="004E5782">
        <w:rPr>
          <w:sz w:val="24"/>
        </w:rPr>
        <w:t xml:space="preserve"> outreach efforts</w:t>
      </w:r>
      <w:r>
        <w:rPr>
          <w:sz w:val="24"/>
        </w:rPr>
        <w:t xml:space="preserve">, the Office may </w:t>
      </w:r>
      <w:r w:rsidR="004E5782">
        <w:rPr>
          <w:sz w:val="24"/>
        </w:rPr>
        <w:t xml:space="preserve">request </w:t>
      </w:r>
      <w:r>
        <w:rPr>
          <w:sz w:val="24"/>
        </w:rPr>
        <w:t xml:space="preserve">demographic information </w:t>
      </w:r>
      <w:r w:rsidR="009E45AD">
        <w:rPr>
          <w:sz w:val="24"/>
        </w:rPr>
        <w:t xml:space="preserve">about </w:t>
      </w:r>
      <w:r w:rsidR="00C24415">
        <w:rPr>
          <w:sz w:val="24"/>
        </w:rPr>
        <w:t>participants</w:t>
      </w:r>
      <w:r>
        <w:rPr>
          <w:sz w:val="24"/>
        </w:rPr>
        <w:t xml:space="preserve">. </w:t>
      </w:r>
      <w:r w:rsidR="008141E1">
        <w:rPr>
          <w:sz w:val="24"/>
        </w:rPr>
        <w:t>For example</w:t>
      </w:r>
      <w:r>
        <w:rPr>
          <w:sz w:val="24"/>
        </w:rPr>
        <w:t xml:space="preserve">, the Office may ask for their geographic location, their professional role in the capital markets (e.g., entrepreneur, investor, government, </w:t>
      </w:r>
      <w:r w:rsidR="00161370">
        <w:rPr>
          <w:sz w:val="24"/>
        </w:rPr>
        <w:t xml:space="preserve">or </w:t>
      </w:r>
      <w:r>
        <w:rPr>
          <w:sz w:val="24"/>
        </w:rPr>
        <w:t xml:space="preserve">academia), and </w:t>
      </w:r>
      <w:r w:rsidR="008141E1">
        <w:rPr>
          <w:sz w:val="24"/>
        </w:rPr>
        <w:t xml:space="preserve">their </w:t>
      </w:r>
      <w:r w:rsidR="004E5782">
        <w:rPr>
          <w:sz w:val="24"/>
        </w:rPr>
        <w:t>identification, if applicable,</w:t>
      </w:r>
      <w:r>
        <w:rPr>
          <w:sz w:val="24"/>
        </w:rPr>
        <w:t xml:space="preserve"> </w:t>
      </w:r>
      <w:r w:rsidR="004E5782">
        <w:rPr>
          <w:sz w:val="24"/>
        </w:rPr>
        <w:t>as a</w:t>
      </w:r>
      <w:r>
        <w:rPr>
          <w:sz w:val="24"/>
        </w:rPr>
        <w:t xml:space="preserve"> women-owned</w:t>
      </w:r>
      <w:r w:rsidR="00EF30C2">
        <w:rPr>
          <w:sz w:val="24"/>
        </w:rPr>
        <w:t>,</w:t>
      </w:r>
      <w:r w:rsidR="00F00D5E">
        <w:rPr>
          <w:sz w:val="24"/>
        </w:rPr>
        <w:t xml:space="preserve"> </w:t>
      </w:r>
      <w:r>
        <w:rPr>
          <w:sz w:val="24"/>
        </w:rPr>
        <w:t xml:space="preserve">minority-owned, rural, </w:t>
      </w:r>
      <w:r w:rsidR="00EF30C2">
        <w:rPr>
          <w:sz w:val="24"/>
        </w:rPr>
        <w:t xml:space="preserve">and/or </w:t>
      </w:r>
      <w:r>
        <w:rPr>
          <w:sz w:val="24"/>
        </w:rPr>
        <w:t xml:space="preserve">natural disaster area small business or </w:t>
      </w:r>
      <w:r w:rsidR="004E5782">
        <w:rPr>
          <w:sz w:val="24"/>
        </w:rPr>
        <w:t>investor.</w:t>
      </w:r>
      <w:r>
        <w:rPr>
          <w:sz w:val="24"/>
        </w:rPr>
        <w:t xml:space="preserve">  </w:t>
      </w:r>
    </w:p>
    <w:p w:rsidR="00446D15" w:rsidP="00446D15" w:rsidRDefault="00446D15" w14:paraId="775A3F70" w14:textId="77777777">
      <w:pPr>
        <w:spacing w:before="7"/>
        <w:ind w:left="1026" w:right="305"/>
        <w:jc w:val="both"/>
        <w:rPr>
          <w:sz w:val="24"/>
        </w:rPr>
      </w:pPr>
    </w:p>
    <w:p w:rsidR="00446D15" w:rsidP="00446D15" w:rsidRDefault="00446D15" w14:paraId="5C40AB5D" w14:textId="2FF28AA9">
      <w:pPr>
        <w:spacing w:before="7"/>
        <w:ind w:left="1026" w:right="305"/>
        <w:jc w:val="both"/>
        <w:rPr>
          <w:sz w:val="24"/>
        </w:rPr>
      </w:pPr>
      <w:r>
        <w:rPr>
          <w:sz w:val="24"/>
        </w:rPr>
        <w:t xml:space="preserve">The questionnaires may also request feedback on educational or informational resources that would be most helpful for the audience or input on existing educational resources that the Office provides. </w:t>
      </w:r>
    </w:p>
    <w:p w:rsidR="00446D15" w:rsidP="00446D15" w:rsidRDefault="00446D15" w14:paraId="37FAFC68" w14:textId="77777777">
      <w:pPr>
        <w:spacing w:before="7"/>
        <w:ind w:left="1026" w:right="305"/>
        <w:jc w:val="both"/>
        <w:rPr>
          <w:sz w:val="24"/>
        </w:rPr>
      </w:pPr>
    </w:p>
    <w:p w:rsidR="00446D15" w:rsidP="00446D15" w:rsidRDefault="00446D15" w14:paraId="32B1F1A8" w14:textId="26C62B2C">
      <w:pPr>
        <w:spacing w:before="7"/>
        <w:ind w:left="1026" w:right="305"/>
        <w:jc w:val="both"/>
        <w:rPr>
          <w:sz w:val="24"/>
        </w:rPr>
      </w:pPr>
      <w:r>
        <w:rPr>
          <w:sz w:val="24"/>
        </w:rPr>
        <w:t xml:space="preserve">The questionnaires may ask </w:t>
      </w:r>
      <w:r w:rsidR="004E5782">
        <w:rPr>
          <w:sz w:val="24"/>
        </w:rPr>
        <w:t xml:space="preserve">questions </w:t>
      </w:r>
      <w:r w:rsidR="00EF30C2">
        <w:rPr>
          <w:sz w:val="24"/>
        </w:rPr>
        <w:t xml:space="preserve">related to </w:t>
      </w:r>
      <w:r w:rsidR="004E5782">
        <w:rPr>
          <w:sz w:val="24"/>
        </w:rPr>
        <w:t xml:space="preserve">capital formation that are relevant to </w:t>
      </w:r>
      <w:r w:rsidR="001A7D6A">
        <w:rPr>
          <w:sz w:val="24"/>
        </w:rPr>
        <w:t xml:space="preserve">understanding </w:t>
      </w:r>
      <w:r w:rsidR="00C24415">
        <w:rPr>
          <w:sz w:val="24"/>
        </w:rPr>
        <w:t>the Office’s</w:t>
      </w:r>
      <w:r w:rsidR="001A7D6A">
        <w:rPr>
          <w:sz w:val="24"/>
        </w:rPr>
        <w:t xml:space="preserve"> customers and their needs</w:t>
      </w:r>
      <w:r w:rsidR="004E5782">
        <w:rPr>
          <w:sz w:val="24"/>
        </w:rPr>
        <w:t>, such as</w:t>
      </w:r>
      <w:r w:rsidR="001A7D6A">
        <w:rPr>
          <w:sz w:val="24"/>
        </w:rPr>
        <w:t xml:space="preserve"> where they are in</w:t>
      </w:r>
      <w:r w:rsidR="004E5782">
        <w:rPr>
          <w:sz w:val="24"/>
        </w:rPr>
        <w:t xml:space="preserve"> </w:t>
      </w:r>
      <w:r>
        <w:rPr>
          <w:sz w:val="24"/>
        </w:rPr>
        <w:t xml:space="preserve">the capital formation life cycle, (e.g., </w:t>
      </w:r>
      <w:r w:rsidR="004E5782">
        <w:rPr>
          <w:sz w:val="24"/>
        </w:rPr>
        <w:t xml:space="preserve">whether the business is </w:t>
      </w:r>
      <w:r>
        <w:rPr>
          <w:sz w:val="24"/>
        </w:rPr>
        <w:t>small and emerging, mature and later-sta</w:t>
      </w:r>
      <w:r w:rsidR="00AC2339">
        <w:rPr>
          <w:sz w:val="24"/>
        </w:rPr>
        <w:t>ge</w:t>
      </w:r>
      <w:r w:rsidR="004E5782">
        <w:rPr>
          <w:sz w:val="24"/>
        </w:rPr>
        <w:t>,</w:t>
      </w:r>
      <w:r w:rsidR="00AC2339">
        <w:rPr>
          <w:sz w:val="24"/>
        </w:rPr>
        <w:t xml:space="preserve"> or</w:t>
      </w:r>
      <w:r w:rsidR="004E5782">
        <w:rPr>
          <w:sz w:val="24"/>
        </w:rPr>
        <w:t xml:space="preserve"> a</w:t>
      </w:r>
      <w:r w:rsidR="00AC2339">
        <w:rPr>
          <w:sz w:val="24"/>
        </w:rPr>
        <w:t xml:space="preserve"> smaller public company)</w:t>
      </w:r>
      <w:r w:rsidR="004E5782">
        <w:rPr>
          <w:sz w:val="24"/>
        </w:rPr>
        <w:t xml:space="preserve"> and</w:t>
      </w:r>
      <w:r w:rsidR="00D87F5B">
        <w:rPr>
          <w:sz w:val="24"/>
        </w:rPr>
        <w:t xml:space="preserve"> </w:t>
      </w:r>
      <w:r>
        <w:rPr>
          <w:sz w:val="24"/>
        </w:rPr>
        <w:t>the types of offerings or methods that the small businesses have used in the past</w:t>
      </w:r>
      <w:r w:rsidR="00507D45">
        <w:rPr>
          <w:sz w:val="24"/>
        </w:rPr>
        <w:t xml:space="preserve"> to raise capital</w:t>
      </w:r>
      <w:r>
        <w:rPr>
          <w:sz w:val="24"/>
        </w:rPr>
        <w:t xml:space="preserve"> (e.g., exempt vs. registered offerings or angel investors vs. venture capital investors).</w:t>
      </w:r>
    </w:p>
    <w:p w:rsidR="00446D15" w:rsidP="00446D15" w:rsidRDefault="00446D15" w14:paraId="6F9085A2" w14:textId="77777777">
      <w:pPr>
        <w:spacing w:before="7"/>
        <w:ind w:left="1026" w:right="305"/>
        <w:jc w:val="both"/>
        <w:rPr>
          <w:sz w:val="24"/>
        </w:rPr>
      </w:pPr>
    </w:p>
    <w:p w:rsidR="00446D15" w:rsidP="00446D15" w:rsidRDefault="00446D15" w14:paraId="16637C42" w14:textId="10C48EFC">
      <w:pPr>
        <w:spacing w:before="7"/>
        <w:ind w:left="1026" w:right="305"/>
        <w:jc w:val="both"/>
        <w:rPr>
          <w:sz w:val="24"/>
        </w:rPr>
      </w:pPr>
      <w:r>
        <w:rPr>
          <w:sz w:val="24"/>
        </w:rPr>
        <w:t xml:space="preserve">Finally, </w:t>
      </w:r>
      <w:r w:rsidR="001A7D6A">
        <w:rPr>
          <w:sz w:val="24"/>
        </w:rPr>
        <w:t xml:space="preserve">to help improve the Office’s program </w:t>
      </w:r>
      <w:r w:rsidR="00A7787F">
        <w:rPr>
          <w:sz w:val="24"/>
        </w:rPr>
        <w:t>initiatives</w:t>
      </w:r>
      <w:r w:rsidR="001A7D6A">
        <w:rPr>
          <w:sz w:val="24"/>
        </w:rPr>
        <w:t xml:space="preserve">, </w:t>
      </w:r>
      <w:r>
        <w:rPr>
          <w:sz w:val="24"/>
        </w:rPr>
        <w:t xml:space="preserve">the questionnaires may request feedback on challenges and issues </w:t>
      </w:r>
      <w:r w:rsidR="00F901BC">
        <w:rPr>
          <w:sz w:val="24"/>
        </w:rPr>
        <w:t xml:space="preserve">faced by </w:t>
      </w:r>
      <w:r>
        <w:rPr>
          <w:sz w:val="24"/>
        </w:rPr>
        <w:t>small businesses and their investors.</w:t>
      </w:r>
      <w:r w:rsidR="000927C1">
        <w:rPr>
          <w:sz w:val="24"/>
        </w:rPr>
        <w:t xml:space="preserve"> </w:t>
      </w:r>
      <w:r w:rsidR="00C24415">
        <w:rPr>
          <w:sz w:val="24"/>
        </w:rPr>
        <w:t>This could</w:t>
      </w:r>
      <w:r w:rsidDel="00960DBA">
        <w:rPr>
          <w:sz w:val="24"/>
        </w:rPr>
        <w:t xml:space="preserve"> </w:t>
      </w:r>
      <w:r>
        <w:rPr>
          <w:sz w:val="24"/>
        </w:rPr>
        <w:t>include open-ended or multiple</w:t>
      </w:r>
      <w:r w:rsidR="00F901BC">
        <w:rPr>
          <w:sz w:val="24"/>
        </w:rPr>
        <w:t>-</w:t>
      </w:r>
      <w:r>
        <w:rPr>
          <w:sz w:val="24"/>
        </w:rPr>
        <w:t xml:space="preserve">choice questions. For example, the questionnaires may ask </w:t>
      </w:r>
      <w:r w:rsidR="001A7D6A">
        <w:rPr>
          <w:sz w:val="24"/>
        </w:rPr>
        <w:t>respondents</w:t>
      </w:r>
      <w:r w:rsidR="001B0FB3">
        <w:rPr>
          <w:sz w:val="24"/>
        </w:rPr>
        <w:t xml:space="preserve"> </w:t>
      </w:r>
      <w:r>
        <w:rPr>
          <w:sz w:val="24"/>
        </w:rPr>
        <w:t xml:space="preserve">to rank the most significant barriers for entrepreneurs to access capital or greatest challenges for emerging and regional fund managers. They may also ask about challenges in light of economic and social changes, such as the impact of COVID-19 on small businesses.  </w:t>
      </w:r>
      <w:r w:rsidR="00F009B2">
        <w:rPr>
          <w:sz w:val="24"/>
        </w:rPr>
        <w:t xml:space="preserve">Examples of open-ended questions may include asking for general feedback on improving the Office’s programs and events or asking for topics of interest to be covered during the event. </w:t>
      </w:r>
      <w:r w:rsidR="001A7D6A">
        <w:rPr>
          <w:sz w:val="24"/>
        </w:rPr>
        <w:t xml:space="preserve">This feedback will assist the </w:t>
      </w:r>
      <w:r w:rsidR="00061FEA">
        <w:rPr>
          <w:sz w:val="24"/>
        </w:rPr>
        <w:t>O</w:t>
      </w:r>
      <w:r w:rsidR="001A7D6A">
        <w:rPr>
          <w:sz w:val="24"/>
        </w:rPr>
        <w:t>ffice in tailoring its educational and outreach efforts to meet its customers’ needs</w:t>
      </w:r>
      <w:r w:rsidRPr="00C24415" w:rsidR="00C24415">
        <w:rPr>
          <w:sz w:val="24"/>
        </w:rPr>
        <w:t xml:space="preserve"> </w:t>
      </w:r>
      <w:r w:rsidR="00C24415">
        <w:rPr>
          <w:sz w:val="24"/>
        </w:rPr>
        <w:t>more effectively.</w:t>
      </w:r>
    </w:p>
    <w:p w:rsidRPr="00657B36" w:rsidR="00446D15" w:rsidP="00446D15" w:rsidRDefault="00446D15" w14:paraId="01A2B2BE" w14:textId="77777777">
      <w:pPr>
        <w:spacing w:before="7"/>
        <w:ind w:left="1026" w:right="305"/>
        <w:jc w:val="both"/>
        <w:rPr>
          <w:sz w:val="24"/>
        </w:rPr>
      </w:pPr>
    </w:p>
    <w:p w:rsidRPr="00C3343E" w:rsidR="00446D15" w:rsidP="00446D15" w:rsidRDefault="00D87F5B" w14:paraId="59AFD06E" w14:textId="7DA38CF6">
      <w:pPr>
        <w:spacing w:before="7"/>
        <w:ind w:left="306" w:right="305" w:firstLine="720"/>
        <w:jc w:val="both"/>
        <w:rPr>
          <w:b/>
          <w:i/>
          <w:sz w:val="24"/>
        </w:rPr>
      </w:pPr>
      <w:r>
        <w:rPr>
          <w:b/>
          <w:i/>
          <w:sz w:val="24"/>
        </w:rPr>
        <w:tab/>
      </w:r>
      <w:r>
        <w:rPr>
          <w:b/>
          <w:i/>
          <w:sz w:val="24"/>
        </w:rPr>
        <w:tab/>
      </w:r>
      <w:proofErr w:type="gramStart"/>
      <w:r>
        <w:rPr>
          <w:b/>
          <w:sz w:val="24"/>
        </w:rPr>
        <w:t>ii</w:t>
      </w:r>
      <w:proofErr w:type="gramEnd"/>
      <w:r>
        <w:rPr>
          <w:b/>
          <w:sz w:val="24"/>
        </w:rPr>
        <w:t>.</w:t>
      </w:r>
      <w:r>
        <w:rPr>
          <w:b/>
          <w:sz w:val="24"/>
        </w:rPr>
        <w:tab/>
      </w:r>
      <w:r w:rsidRPr="00C3343E" w:rsidR="00446D15">
        <w:rPr>
          <w:b/>
          <w:i/>
          <w:sz w:val="24"/>
        </w:rPr>
        <w:t xml:space="preserve">Circumstances When Questionnaires </w:t>
      </w:r>
      <w:r w:rsidR="00310D32">
        <w:rPr>
          <w:b/>
          <w:i/>
          <w:sz w:val="24"/>
        </w:rPr>
        <w:t>will be</w:t>
      </w:r>
      <w:r w:rsidRPr="00C3343E" w:rsidR="00446D15">
        <w:rPr>
          <w:b/>
          <w:i/>
          <w:sz w:val="24"/>
        </w:rPr>
        <w:t xml:space="preserve"> Employed </w:t>
      </w:r>
    </w:p>
    <w:p w:rsidR="00446D15" w:rsidP="00446D15" w:rsidRDefault="00446D15" w14:paraId="48DBE8A6" w14:textId="77777777">
      <w:pPr>
        <w:spacing w:before="7"/>
        <w:ind w:left="1026" w:right="305"/>
        <w:jc w:val="both"/>
        <w:rPr>
          <w:sz w:val="24"/>
        </w:rPr>
      </w:pPr>
    </w:p>
    <w:p w:rsidR="00446D15" w:rsidP="00446D15" w:rsidRDefault="00446D15" w14:paraId="377901B2" w14:textId="3CA92C21">
      <w:pPr>
        <w:spacing w:before="7"/>
        <w:ind w:left="1026" w:right="305"/>
        <w:jc w:val="both"/>
        <w:rPr>
          <w:sz w:val="24"/>
        </w:rPr>
      </w:pPr>
      <w:r>
        <w:rPr>
          <w:sz w:val="24"/>
        </w:rPr>
        <w:t xml:space="preserve">The Office may employ questionnaires in connection with educational and outreach events </w:t>
      </w:r>
      <w:r w:rsidR="001A7D6A">
        <w:rPr>
          <w:sz w:val="24"/>
        </w:rPr>
        <w:t xml:space="preserve">that occur </w:t>
      </w:r>
      <w:r>
        <w:rPr>
          <w:sz w:val="24"/>
        </w:rPr>
        <w:t>throughout the year.</w:t>
      </w:r>
      <w:r w:rsidR="00F901BC">
        <w:rPr>
          <w:sz w:val="24"/>
        </w:rPr>
        <w:t xml:space="preserve"> </w:t>
      </w:r>
      <w:r>
        <w:rPr>
          <w:sz w:val="24"/>
        </w:rPr>
        <w:t xml:space="preserve">Many of </w:t>
      </w:r>
      <w:r w:rsidR="00182544">
        <w:rPr>
          <w:sz w:val="24"/>
        </w:rPr>
        <w:t>these</w:t>
      </w:r>
      <w:r>
        <w:rPr>
          <w:sz w:val="24"/>
        </w:rPr>
        <w:t xml:space="preserve"> events focus on </w:t>
      </w:r>
      <w:r>
        <w:rPr>
          <w:sz w:val="24"/>
        </w:rPr>
        <w:lastRenderedPageBreak/>
        <w:t xml:space="preserve">specific topics, but the Office tries to reach a wide range of </w:t>
      </w:r>
      <w:r w:rsidR="00F901BC">
        <w:rPr>
          <w:sz w:val="24"/>
        </w:rPr>
        <w:t>customers</w:t>
      </w:r>
      <w:r>
        <w:rPr>
          <w:sz w:val="24"/>
        </w:rPr>
        <w:t xml:space="preserve">, from early-stage start-ups raising initial capital, to later-stage private companies whose founders and investors are seeking liquidity, all the way to smaller public companies.  </w:t>
      </w:r>
    </w:p>
    <w:p w:rsidR="00302651" w:rsidP="00446D15" w:rsidRDefault="00302651" w14:paraId="087960DB" w14:textId="77777777">
      <w:pPr>
        <w:spacing w:before="7"/>
        <w:ind w:left="1026" w:right="305"/>
        <w:jc w:val="both"/>
        <w:rPr>
          <w:sz w:val="24"/>
        </w:rPr>
      </w:pPr>
    </w:p>
    <w:p w:rsidR="00446D15" w:rsidP="00446D15" w:rsidRDefault="00446D15" w14:paraId="4156E5D7" w14:textId="77254F5A">
      <w:pPr>
        <w:spacing w:before="7"/>
        <w:ind w:left="1026" w:right="305"/>
        <w:jc w:val="both"/>
        <w:rPr>
          <w:sz w:val="24"/>
        </w:rPr>
      </w:pPr>
      <w:r>
        <w:rPr>
          <w:sz w:val="24"/>
        </w:rPr>
        <w:t xml:space="preserve">Feedback from </w:t>
      </w:r>
      <w:r w:rsidR="00F901BC">
        <w:rPr>
          <w:sz w:val="24"/>
        </w:rPr>
        <w:t>participants</w:t>
      </w:r>
      <w:r>
        <w:rPr>
          <w:sz w:val="24"/>
        </w:rPr>
        <w:t xml:space="preserve"> allows the Office to assess whether the relevant event is reaching the targeted audiences and helps </w:t>
      </w:r>
      <w:r w:rsidR="00DA4595">
        <w:rPr>
          <w:sz w:val="24"/>
        </w:rPr>
        <w:t xml:space="preserve">the Office </w:t>
      </w:r>
      <w:r>
        <w:rPr>
          <w:sz w:val="24"/>
        </w:rPr>
        <w:t xml:space="preserve">identify </w:t>
      </w:r>
      <w:r w:rsidR="00F901BC">
        <w:rPr>
          <w:sz w:val="24"/>
        </w:rPr>
        <w:t xml:space="preserve">the </w:t>
      </w:r>
      <w:r>
        <w:rPr>
          <w:sz w:val="24"/>
        </w:rPr>
        <w:t>unique issues and challenges of small businesses and their investors</w:t>
      </w:r>
      <w:r w:rsidR="00F901BC">
        <w:rPr>
          <w:sz w:val="24"/>
        </w:rPr>
        <w:t>, consistent with the Office’s</w:t>
      </w:r>
      <w:r>
        <w:rPr>
          <w:sz w:val="24"/>
        </w:rPr>
        <w:t xml:space="preserve"> statutory mandate.</w:t>
      </w:r>
    </w:p>
    <w:p w:rsidR="00446D15" w:rsidP="00446D15" w:rsidRDefault="00446D15" w14:paraId="3DBC4B90" w14:textId="77777777">
      <w:pPr>
        <w:spacing w:before="7"/>
        <w:ind w:left="1026" w:right="305"/>
        <w:jc w:val="both"/>
        <w:rPr>
          <w:sz w:val="24"/>
        </w:rPr>
      </w:pPr>
    </w:p>
    <w:p w:rsidRPr="00C3343E" w:rsidR="00446D15" w:rsidP="00446D15" w:rsidRDefault="00D87F5B" w14:paraId="7BABA0B6" w14:textId="4C0ADD7F">
      <w:pPr>
        <w:spacing w:before="7"/>
        <w:ind w:left="306" w:right="305" w:firstLine="720"/>
        <w:jc w:val="both"/>
        <w:rPr>
          <w:b/>
          <w:i/>
          <w:sz w:val="24"/>
        </w:rPr>
      </w:pPr>
      <w:r>
        <w:rPr>
          <w:b/>
          <w:i/>
          <w:sz w:val="24"/>
        </w:rPr>
        <w:tab/>
      </w:r>
      <w:r>
        <w:rPr>
          <w:b/>
          <w:i/>
          <w:sz w:val="24"/>
        </w:rPr>
        <w:tab/>
      </w:r>
      <w:r>
        <w:rPr>
          <w:b/>
          <w:sz w:val="24"/>
        </w:rPr>
        <w:t>iii.</w:t>
      </w:r>
      <w:r>
        <w:rPr>
          <w:b/>
          <w:sz w:val="24"/>
        </w:rPr>
        <w:tab/>
      </w:r>
      <w:r w:rsidRPr="00C3343E" w:rsidR="00446D15">
        <w:rPr>
          <w:b/>
          <w:i/>
          <w:sz w:val="24"/>
        </w:rPr>
        <w:t>Anticipated Respondents of Questionnaires (Annual Estimate)</w:t>
      </w:r>
    </w:p>
    <w:p w:rsidR="00446D15" w:rsidP="00446D15" w:rsidRDefault="00446D15" w14:paraId="02415850" w14:textId="77777777">
      <w:pPr>
        <w:spacing w:before="7"/>
        <w:ind w:left="1026" w:right="305"/>
        <w:jc w:val="both"/>
        <w:rPr>
          <w:sz w:val="24"/>
        </w:rPr>
      </w:pPr>
    </w:p>
    <w:p w:rsidR="00446D15" w:rsidP="00446D15" w:rsidRDefault="00F901BC" w14:paraId="1FE5A1A6" w14:textId="0154535A">
      <w:pPr>
        <w:spacing w:before="7"/>
        <w:ind w:left="1026" w:right="305"/>
        <w:jc w:val="both"/>
        <w:rPr>
          <w:sz w:val="24"/>
        </w:rPr>
      </w:pPr>
      <w:r>
        <w:rPr>
          <w:sz w:val="24"/>
        </w:rPr>
        <w:t>The Office</w:t>
      </w:r>
      <w:r w:rsidR="00446D15">
        <w:rPr>
          <w:sz w:val="24"/>
        </w:rPr>
        <w:t xml:space="preserve"> anticipate</w:t>
      </w:r>
      <w:r>
        <w:rPr>
          <w:sz w:val="24"/>
        </w:rPr>
        <w:t>s</w:t>
      </w:r>
      <w:r w:rsidR="00446D15">
        <w:rPr>
          <w:sz w:val="24"/>
        </w:rPr>
        <w:t xml:space="preserve"> that </w:t>
      </w:r>
      <w:r w:rsidR="00B042F8">
        <w:rPr>
          <w:sz w:val="24"/>
        </w:rPr>
        <w:t>up to</w:t>
      </w:r>
      <w:r w:rsidR="00446D15">
        <w:rPr>
          <w:sz w:val="24"/>
        </w:rPr>
        <w:t xml:space="preserve"> approximately 6,200 people </w:t>
      </w:r>
      <w:r w:rsidR="00B042F8">
        <w:rPr>
          <w:sz w:val="24"/>
        </w:rPr>
        <w:t xml:space="preserve">may </w:t>
      </w:r>
      <w:r w:rsidR="00446D15">
        <w:rPr>
          <w:sz w:val="24"/>
        </w:rPr>
        <w:t xml:space="preserve">respond to </w:t>
      </w:r>
      <w:r>
        <w:rPr>
          <w:sz w:val="24"/>
        </w:rPr>
        <w:t xml:space="preserve">the </w:t>
      </w:r>
      <w:r w:rsidR="00446D15">
        <w:rPr>
          <w:sz w:val="24"/>
        </w:rPr>
        <w:t>questionnaires</w:t>
      </w:r>
      <w:r w:rsidR="00EE23D9">
        <w:rPr>
          <w:sz w:val="24"/>
        </w:rPr>
        <w:t xml:space="preserve"> on an annual basis</w:t>
      </w:r>
      <w:r w:rsidR="00446D15">
        <w:rPr>
          <w:sz w:val="24"/>
        </w:rPr>
        <w:t xml:space="preserve">. This estimate </w:t>
      </w:r>
      <w:r w:rsidR="00EE23D9">
        <w:rPr>
          <w:sz w:val="24"/>
        </w:rPr>
        <w:t xml:space="preserve">is </w:t>
      </w:r>
      <w:r w:rsidR="00446D15">
        <w:rPr>
          <w:sz w:val="24"/>
        </w:rPr>
        <w:t xml:space="preserve">based on the number of </w:t>
      </w:r>
      <w:r w:rsidR="00B042F8">
        <w:rPr>
          <w:sz w:val="24"/>
        </w:rPr>
        <w:t>participants in</w:t>
      </w:r>
      <w:r w:rsidR="00446D15">
        <w:rPr>
          <w:sz w:val="24"/>
        </w:rPr>
        <w:t xml:space="preserve"> </w:t>
      </w:r>
      <w:r w:rsidR="00EE23D9">
        <w:rPr>
          <w:sz w:val="24"/>
        </w:rPr>
        <w:t xml:space="preserve">the Office’s </w:t>
      </w:r>
      <w:r w:rsidR="00446D15">
        <w:rPr>
          <w:sz w:val="24"/>
        </w:rPr>
        <w:t xml:space="preserve">educational and outreach events from June 30, 2020 to June 30, 2021.  </w:t>
      </w:r>
    </w:p>
    <w:p w:rsidRPr="00771181" w:rsidR="00446D15" w:rsidP="00446D15" w:rsidRDefault="00446D15" w14:paraId="477713B4" w14:textId="77777777">
      <w:pPr>
        <w:spacing w:before="7"/>
        <w:ind w:left="1026" w:right="305"/>
        <w:jc w:val="both"/>
        <w:rPr>
          <w:sz w:val="24"/>
        </w:rPr>
      </w:pPr>
    </w:p>
    <w:p w:rsidRPr="00C3343E" w:rsidR="00446D15" w:rsidP="00446D15" w:rsidRDefault="00D87F5B" w14:paraId="3E3BCC4A" w14:textId="58FD1A63">
      <w:pPr>
        <w:spacing w:before="7"/>
        <w:ind w:left="306" w:right="305" w:firstLine="720"/>
        <w:jc w:val="both"/>
        <w:rPr>
          <w:b/>
          <w:i/>
          <w:sz w:val="24"/>
        </w:rPr>
      </w:pPr>
      <w:r>
        <w:rPr>
          <w:b/>
          <w:sz w:val="24"/>
        </w:rPr>
        <w:tab/>
      </w:r>
      <w:r>
        <w:rPr>
          <w:b/>
          <w:sz w:val="24"/>
        </w:rPr>
        <w:tab/>
        <w:t>iv.</w:t>
      </w:r>
      <w:r>
        <w:rPr>
          <w:b/>
          <w:sz w:val="24"/>
        </w:rPr>
        <w:tab/>
      </w:r>
      <w:r w:rsidRPr="00C3343E" w:rsidR="00446D15">
        <w:rPr>
          <w:b/>
          <w:i/>
          <w:sz w:val="24"/>
        </w:rPr>
        <w:t xml:space="preserve">Use of Collected Feedback </w:t>
      </w:r>
      <w:r w:rsidR="00B042F8">
        <w:rPr>
          <w:b/>
          <w:i/>
          <w:sz w:val="24"/>
        </w:rPr>
        <w:t>from</w:t>
      </w:r>
      <w:r w:rsidRPr="00C3343E" w:rsidR="00446D15">
        <w:rPr>
          <w:b/>
          <w:i/>
          <w:sz w:val="24"/>
        </w:rPr>
        <w:t xml:space="preserve"> Questionnaires </w:t>
      </w:r>
    </w:p>
    <w:p w:rsidR="00446D15" w:rsidP="00446D15" w:rsidRDefault="00446D15" w14:paraId="1718FBF1" w14:textId="77777777">
      <w:pPr>
        <w:spacing w:before="7"/>
        <w:ind w:left="1026" w:right="305"/>
        <w:jc w:val="both"/>
        <w:rPr>
          <w:sz w:val="24"/>
        </w:rPr>
      </w:pPr>
    </w:p>
    <w:p w:rsidR="00446D15" w:rsidP="00446D15" w:rsidRDefault="00F901BC" w14:paraId="348603D9" w14:textId="1A86B4EA">
      <w:pPr>
        <w:spacing w:before="7"/>
        <w:ind w:left="1026" w:right="305"/>
        <w:jc w:val="both"/>
        <w:rPr>
          <w:sz w:val="24"/>
        </w:rPr>
      </w:pPr>
      <w:r>
        <w:rPr>
          <w:sz w:val="24"/>
        </w:rPr>
        <w:t>The Office</w:t>
      </w:r>
      <w:r w:rsidR="00B042F8">
        <w:rPr>
          <w:sz w:val="24"/>
        </w:rPr>
        <w:t xml:space="preserve"> may use t</w:t>
      </w:r>
      <w:r w:rsidRPr="000E00CC" w:rsidR="00446D15">
        <w:rPr>
          <w:sz w:val="24"/>
        </w:rPr>
        <w:t xml:space="preserve">he collected feedback from questionnaires both internally and externally. Internally, the Office may use the collected feedback to enhance </w:t>
      </w:r>
      <w:r>
        <w:rPr>
          <w:sz w:val="24"/>
        </w:rPr>
        <w:t>its</w:t>
      </w:r>
      <w:r w:rsidRPr="000E00CC" w:rsidR="0048522E">
        <w:rPr>
          <w:sz w:val="24"/>
        </w:rPr>
        <w:t xml:space="preserve"> </w:t>
      </w:r>
      <w:r w:rsidRPr="000E00CC" w:rsidR="00446D15">
        <w:rPr>
          <w:sz w:val="24"/>
        </w:rPr>
        <w:t>outreach, educational and informational materials,</w:t>
      </w:r>
      <w:r w:rsidR="00B042F8">
        <w:rPr>
          <w:sz w:val="24"/>
        </w:rPr>
        <w:t xml:space="preserve"> </w:t>
      </w:r>
      <w:r w:rsidRPr="000E00CC" w:rsidR="0048522E">
        <w:rPr>
          <w:sz w:val="24"/>
        </w:rPr>
        <w:t xml:space="preserve">such as by </w:t>
      </w:r>
      <w:r w:rsidRPr="000E00CC" w:rsidR="00446D15">
        <w:rPr>
          <w:sz w:val="24"/>
        </w:rPr>
        <w:t>identify</w:t>
      </w:r>
      <w:r w:rsidRPr="000E00CC" w:rsidR="0048522E">
        <w:rPr>
          <w:sz w:val="24"/>
        </w:rPr>
        <w:t>ing</w:t>
      </w:r>
      <w:r w:rsidRPr="000E00CC" w:rsidR="00446D15">
        <w:rPr>
          <w:sz w:val="24"/>
        </w:rPr>
        <w:t xml:space="preserve"> issues and challenges </w:t>
      </w:r>
      <w:r>
        <w:rPr>
          <w:sz w:val="24"/>
        </w:rPr>
        <w:t>faced by</w:t>
      </w:r>
      <w:r w:rsidRPr="000E00CC" w:rsidR="00446D15">
        <w:rPr>
          <w:sz w:val="24"/>
        </w:rPr>
        <w:t xml:space="preserve"> small businesses and their investors</w:t>
      </w:r>
      <w:r w:rsidR="00446D15">
        <w:rPr>
          <w:sz w:val="24"/>
        </w:rPr>
        <w:t>.</w:t>
      </w:r>
      <w:r w:rsidRPr="000E00CC" w:rsidR="00446D15">
        <w:rPr>
          <w:sz w:val="24"/>
        </w:rPr>
        <w:t xml:space="preserve"> </w:t>
      </w:r>
      <w:r w:rsidR="00EA74D9">
        <w:rPr>
          <w:sz w:val="24"/>
        </w:rPr>
        <w:t xml:space="preserve"> </w:t>
      </w:r>
      <w:r w:rsidRPr="000E00CC" w:rsidR="00446D15">
        <w:rPr>
          <w:sz w:val="24"/>
        </w:rPr>
        <w:t>Externally, the Office may use the collected feedback to facilitate ongoing and collaborative communications</w:t>
      </w:r>
      <w:r>
        <w:rPr>
          <w:sz w:val="24"/>
        </w:rPr>
        <w:t xml:space="preserve"> with customers</w:t>
      </w:r>
      <w:r w:rsidR="00EA74D9">
        <w:rPr>
          <w:sz w:val="24"/>
        </w:rPr>
        <w:t xml:space="preserve"> and to </w:t>
      </w:r>
      <w:r w:rsidR="00575D40">
        <w:rPr>
          <w:sz w:val="24"/>
        </w:rPr>
        <w:t>demonstrate</w:t>
      </w:r>
      <w:r w:rsidR="00BE4178">
        <w:rPr>
          <w:sz w:val="24"/>
        </w:rPr>
        <w:t xml:space="preserve"> its</w:t>
      </w:r>
      <w:r w:rsidR="00EA74D9">
        <w:rPr>
          <w:sz w:val="24"/>
        </w:rPr>
        <w:t xml:space="preserve"> outreach efforts</w:t>
      </w:r>
      <w:r w:rsidR="000927C1">
        <w:rPr>
          <w:sz w:val="24"/>
        </w:rPr>
        <w:t>.</w:t>
      </w:r>
      <w:r>
        <w:rPr>
          <w:sz w:val="24"/>
        </w:rPr>
        <w:t xml:space="preserve"> For example, the </w:t>
      </w:r>
      <w:r w:rsidRPr="000E00CC" w:rsidR="000B6802">
        <w:rPr>
          <w:sz w:val="24"/>
        </w:rPr>
        <w:t xml:space="preserve">results </w:t>
      </w:r>
      <w:r w:rsidR="00EA74D9">
        <w:rPr>
          <w:sz w:val="24"/>
        </w:rPr>
        <w:t xml:space="preserve">may be included </w:t>
      </w:r>
      <w:r>
        <w:rPr>
          <w:sz w:val="24"/>
        </w:rPr>
        <w:t>as context for</w:t>
      </w:r>
      <w:r w:rsidRPr="000E00CC" w:rsidR="000B6802">
        <w:rPr>
          <w:sz w:val="24"/>
        </w:rPr>
        <w:t xml:space="preserve"> educational materials</w:t>
      </w:r>
      <w:r w:rsidR="00B042F8">
        <w:rPr>
          <w:sz w:val="24"/>
        </w:rPr>
        <w:t xml:space="preserve"> or </w:t>
      </w:r>
      <w:r w:rsidR="00A00E82">
        <w:rPr>
          <w:sz w:val="24"/>
        </w:rPr>
        <w:t>referenced</w:t>
      </w:r>
      <w:r w:rsidR="00BE4178">
        <w:rPr>
          <w:sz w:val="24"/>
        </w:rPr>
        <w:t xml:space="preserve"> in</w:t>
      </w:r>
      <w:r w:rsidR="00EA74D9">
        <w:rPr>
          <w:sz w:val="24"/>
        </w:rPr>
        <w:t xml:space="preserve"> publications</w:t>
      </w:r>
      <w:r w:rsidR="00DC59FF">
        <w:rPr>
          <w:sz w:val="24"/>
        </w:rPr>
        <w:t xml:space="preserve"> </w:t>
      </w:r>
      <w:r w:rsidR="004B6E5F">
        <w:rPr>
          <w:sz w:val="24"/>
        </w:rPr>
        <w:t>(such as annual reports) documenting</w:t>
      </w:r>
      <w:r w:rsidR="00DC59FF">
        <w:rPr>
          <w:sz w:val="24"/>
        </w:rPr>
        <w:t xml:space="preserve"> the Office’s engagement </w:t>
      </w:r>
      <w:r w:rsidR="00EA74D9">
        <w:rPr>
          <w:sz w:val="24"/>
        </w:rPr>
        <w:t>initiatives</w:t>
      </w:r>
      <w:r w:rsidR="000927C1">
        <w:rPr>
          <w:sz w:val="24"/>
        </w:rPr>
        <w:t>.</w:t>
      </w:r>
      <w:r w:rsidR="00DC59FF">
        <w:rPr>
          <w:sz w:val="24"/>
        </w:rPr>
        <w:t xml:space="preserve"> </w:t>
      </w:r>
      <w:r w:rsidRPr="000E00CC" w:rsidR="00446D15">
        <w:rPr>
          <w:sz w:val="24"/>
        </w:rPr>
        <w:t xml:space="preserve">When sharing externally, the Office may </w:t>
      </w:r>
      <w:r>
        <w:rPr>
          <w:sz w:val="24"/>
        </w:rPr>
        <w:t>include</w:t>
      </w:r>
      <w:r w:rsidRPr="000E00CC" w:rsidR="00446D15">
        <w:rPr>
          <w:sz w:val="24"/>
        </w:rPr>
        <w:t xml:space="preserve"> both qualitative and quantitative results</w:t>
      </w:r>
      <w:r w:rsidR="00EE5449">
        <w:rPr>
          <w:sz w:val="24"/>
        </w:rPr>
        <w:t>.  Any</w:t>
      </w:r>
      <w:r w:rsidRPr="000E00CC" w:rsidR="00446D15">
        <w:rPr>
          <w:sz w:val="24"/>
        </w:rPr>
        <w:t xml:space="preserve"> results shared </w:t>
      </w:r>
      <w:r w:rsidR="004019FD">
        <w:rPr>
          <w:sz w:val="24"/>
        </w:rPr>
        <w:t>will</w:t>
      </w:r>
      <w:r w:rsidRPr="000E00CC" w:rsidR="00446D15">
        <w:rPr>
          <w:sz w:val="24"/>
        </w:rPr>
        <w:t xml:space="preserve"> be aggregated a</w:t>
      </w:r>
      <w:r w:rsidR="00DC59FF">
        <w:rPr>
          <w:sz w:val="24"/>
        </w:rPr>
        <w:t>nd anonymized</w:t>
      </w:r>
      <w:r w:rsidR="00EE5449">
        <w:rPr>
          <w:sz w:val="24"/>
        </w:rPr>
        <w:t xml:space="preserve"> and </w:t>
      </w:r>
      <w:r w:rsidR="00EA74D9">
        <w:rPr>
          <w:sz w:val="24"/>
        </w:rPr>
        <w:t xml:space="preserve">the relevant publication </w:t>
      </w:r>
      <w:r w:rsidR="00EE5449">
        <w:rPr>
          <w:sz w:val="24"/>
        </w:rPr>
        <w:t xml:space="preserve">would </w:t>
      </w:r>
      <w:r>
        <w:rPr>
          <w:sz w:val="24"/>
        </w:rPr>
        <w:t>make clear that the result</w:t>
      </w:r>
      <w:r w:rsidR="004019FD">
        <w:rPr>
          <w:sz w:val="24"/>
        </w:rPr>
        <w:t>s</w:t>
      </w:r>
      <w:r w:rsidR="00FC4CAE">
        <w:rPr>
          <w:sz w:val="24"/>
        </w:rPr>
        <w:t xml:space="preserve"> reflect the views of program participants and</w:t>
      </w:r>
      <w:r w:rsidR="004019FD">
        <w:rPr>
          <w:sz w:val="24"/>
        </w:rPr>
        <w:t xml:space="preserve"> are</w:t>
      </w:r>
      <w:r>
        <w:rPr>
          <w:sz w:val="24"/>
        </w:rPr>
        <w:t xml:space="preserve"> </w:t>
      </w:r>
      <w:r w:rsidR="004019FD">
        <w:rPr>
          <w:sz w:val="24"/>
        </w:rPr>
        <w:t xml:space="preserve">not generalizable to the broader population of small </w:t>
      </w:r>
      <w:r w:rsidR="00FC4CAE">
        <w:rPr>
          <w:sz w:val="24"/>
        </w:rPr>
        <w:t>businesses and their investors</w:t>
      </w:r>
      <w:r w:rsidR="000927C1">
        <w:rPr>
          <w:sz w:val="24"/>
        </w:rPr>
        <w:t>.</w:t>
      </w:r>
      <w:r w:rsidR="00836FF7">
        <w:rPr>
          <w:sz w:val="24"/>
        </w:rPr>
        <w:t xml:space="preserve"> </w:t>
      </w:r>
      <w:r w:rsidR="00DC59FF">
        <w:rPr>
          <w:sz w:val="24"/>
        </w:rPr>
        <w:t xml:space="preserve">Importantly, feedback collected from questionnaires will not be used </w:t>
      </w:r>
      <w:r w:rsidR="00AB5623">
        <w:rPr>
          <w:sz w:val="24"/>
        </w:rPr>
        <w:t>for the purpose of substantially informing influential polic</w:t>
      </w:r>
      <w:r w:rsidR="00A44F5A">
        <w:rPr>
          <w:sz w:val="24"/>
        </w:rPr>
        <w:t>y decisions or recommendations.</w:t>
      </w:r>
    </w:p>
    <w:p w:rsidR="00446D15" w:rsidP="00446D15" w:rsidRDefault="00446D15" w14:paraId="144E779F" w14:textId="7972D5DF">
      <w:pPr>
        <w:spacing w:before="7"/>
        <w:ind w:left="1026" w:right="305"/>
        <w:jc w:val="both"/>
        <w:rPr>
          <w:sz w:val="24"/>
        </w:rPr>
      </w:pPr>
    </w:p>
    <w:p w:rsidR="00D87F5B" w:rsidP="00446D15" w:rsidRDefault="00D87F5B" w14:paraId="4583B2BD" w14:textId="0A171D63">
      <w:pPr>
        <w:spacing w:before="7"/>
        <w:ind w:left="1026" w:right="305"/>
        <w:jc w:val="both"/>
        <w:rPr>
          <w:sz w:val="24"/>
        </w:rPr>
      </w:pPr>
      <w:r>
        <w:rPr>
          <w:sz w:val="24"/>
        </w:rPr>
        <w:tab/>
      </w:r>
      <w:r>
        <w:rPr>
          <w:b/>
          <w:sz w:val="24"/>
        </w:rPr>
        <w:t>b.</w:t>
      </w:r>
      <w:r>
        <w:rPr>
          <w:b/>
          <w:sz w:val="24"/>
        </w:rPr>
        <w:tab/>
        <w:t>Internal Procedures to Ensure Compliance</w:t>
      </w:r>
    </w:p>
    <w:p w:rsidR="00D87F5B" w:rsidP="00446D15" w:rsidRDefault="00D87F5B" w14:paraId="6EF18CAC" w14:textId="77777777">
      <w:pPr>
        <w:spacing w:before="7"/>
        <w:ind w:left="1026" w:right="305"/>
        <w:jc w:val="both"/>
        <w:rPr>
          <w:sz w:val="24"/>
        </w:rPr>
      </w:pPr>
    </w:p>
    <w:p w:rsidR="00404146" w:rsidP="00446D15" w:rsidRDefault="00D87F5B" w14:paraId="2436B3FB" w14:textId="0D0172A1">
      <w:pPr>
        <w:spacing w:before="7"/>
        <w:ind w:left="1026" w:right="305"/>
        <w:jc w:val="both"/>
        <w:rPr>
          <w:sz w:val="24"/>
        </w:rPr>
      </w:pPr>
      <w:r>
        <w:rPr>
          <w:sz w:val="24"/>
        </w:rPr>
        <w:t>The Office will employ the following internal procedures to ensure that the specific collections comply with the PRA, applicable regulations, and the terms of the generic clearance.</w:t>
      </w:r>
    </w:p>
    <w:p w:rsidR="00D87F5B" w:rsidP="00446D15" w:rsidRDefault="00D87F5B" w14:paraId="2953F29D" w14:textId="5F0B1253">
      <w:pPr>
        <w:spacing w:before="7"/>
        <w:ind w:left="1026" w:right="305"/>
        <w:jc w:val="both"/>
        <w:rPr>
          <w:sz w:val="24"/>
        </w:rPr>
      </w:pPr>
    </w:p>
    <w:p w:rsidRPr="007572BB" w:rsidR="00B6234E" w:rsidP="007572BB" w:rsidRDefault="00A83100" w14:paraId="449E8029" w14:textId="64F6E51C">
      <w:pPr>
        <w:pStyle w:val="BodyText"/>
        <w:ind w:left="1026" w:right="138"/>
        <w:rPr>
          <w:sz w:val="24"/>
          <w:szCs w:val="24"/>
        </w:rPr>
      </w:pPr>
      <w:r>
        <w:rPr>
          <w:sz w:val="24"/>
          <w:szCs w:val="24"/>
        </w:rPr>
        <w:t>T</w:t>
      </w:r>
      <w:r w:rsidRPr="007572BB" w:rsidR="00B6234E">
        <w:rPr>
          <w:sz w:val="24"/>
          <w:szCs w:val="24"/>
        </w:rPr>
        <w:t>he Office will only submit a collection for approval under this generic clearance if it meets the following conditions:</w:t>
      </w:r>
    </w:p>
    <w:p w:rsidRPr="007572BB" w:rsidR="00B6234E" w:rsidP="007572BB" w:rsidRDefault="00B6234E" w14:paraId="0AF89443" w14:textId="1F730D5B">
      <w:pPr>
        <w:pStyle w:val="BodyText"/>
        <w:ind w:left="1026" w:right="138"/>
        <w:rPr>
          <w:sz w:val="24"/>
          <w:szCs w:val="24"/>
        </w:rPr>
      </w:pPr>
    </w:p>
    <w:p w:rsidRPr="00610908" w:rsidR="00B6234E" w:rsidP="007572BB" w:rsidRDefault="00A83100" w14:paraId="127BE2FD" w14:textId="123A1D45">
      <w:pPr>
        <w:pStyle w:val="BodyText"/>
        <w:numPr>
          <w:ilvl w:val="0"/>
          <w:numId w:val="5"/>
        </w:numPr>
        <w:ind w:right="138"/>
        <w:rPr>
          <w:sz w:val="24"/>
          <w:szCs w:val="24"/>
        </w:rPr>
      </w:pPr>
      <w:r w:rsidRPr="00610908">
        <w:rPr>
          <w:sz w:val="24"/>
          <w:szCs w:val="24"/>
        </w:rPr>
        <w:t xml:space="preserve">Information gathered will be used </w:t>
      </w:r>
      <w:r w:rsidRPr="007572BB" w:rsidR="00610908">
        <w:rPr>
          <w:sz w:val="24"/>
          <w:szCs w:val="24"/>
        </w:rPr>
        <w:t>consistent with Section A.2.a.iv. of this supporting statement;</w:t>
      </w:r>
    </w:p>
    <w:p w:rsidRPr="000B4078" w:rsidR="00A83100" w:rsidP="000B4078" w:rsidRDefault="00A83100" w14:paraId="053A8411" w14:textId="0F256B65">
      <w:pPr>
        <w:pStyle w:val="BodyText"/>
        <w:numPr>
          <w:ilvl w:val="0"/>
          <w:numId w:val="5"/>
        </w:numPr>
        <w:ind w:right="138"/>
        <w:rPr>
          <w:sz w:val="24"/>
          <w:szCs w:val="24"/>
        </w:rPr>
      </w:pPr>
      <w:r w:rsidRPr="000B4078">
        <w:rPr>
          <w:sz w:val="24"/>
          <w:szCs w:val="24"/>
        </w:rPr>
        <w:t>Information gathered will not be used for the purpose of substantially informing influential</w:t>
      </w:r>
      <w:r>
        <w:rPr>
          <w:sz w:val="24"/>
          <w:szCs w:val="24"/>
        </w:rPr>
        <w:t xml:space="preserve"> </w:t>
      </w:r>
      <w:r w:rsidRPr="000B4078">
        <w:rPr>
          <w:sz w:val="24"/>
          <w:szCs w:val="24"/>
        </w:rPr>
        <w:t>policy decisions;</w:t>
      </w:r>
      <w:r w:rsidRPr="007A2B2C" w:rsidR="007A2B2C">
        <w:rPr>
          <w:rFonts w:eastAsia="Times New Roman" w:cs="Times New Roman"/>
          <w:vertAlign w:val="superscript"/>
        </w:rPr>
        <w:t xml:space="preserve"> </w:t>
      </w:r>
      <w:r w:rsidRPr="007A2B2C" w:rsidR="007A2B2C">
        <w:rPr>
          <w:rFonts w:eastAsia="Times New Roman" w:cs="Times New Roman"/>
          <w:vertAlign w:val="superscript"/>
        </w:rPr>
        <w:footnoteReference w:id="5"/>
      </w:r>
    </w:p>
    <w:p w:rsidRPr="00610908" w:rsidR="00A83100" w:rsidP="000B4078" w:rsidRDefault="00A83100" w14:paraId="55B939B9" w14:textId="2A7C804F">
      <w:pPr>
        <w:pStyle w:val="BodyText"/>
        <w:numPr>
          <w:ilvl w:val="0"/>
          <w:numId w:val="5"/>
        </w:numPr>
        <w:ind w:right="138"/>
        <w:rPr>
          <w:sz w:val="24"/>
          <w:szCs w:val="24"/>
        </w:rPr>
      </w:pPr>
      <w:r w:rsidRPr="000E00CC">
        <w:rPr>
          <w:sz w:val="24"/>
          <w:szCs w:val="24"/>
        </w:rPr>
        <w:t xml:space="preserve">Information gathered will yield </w:t>
      </w:r>
      <w:r w:rsidRPr="001D22E7" w:rsidR="003132A4">
        <w:rPr>
          <w:sz w:val="24"/>
          <w:szCs w:val="24"/>
        </w:rPr>
        <w:t xml:space="preserve">quantitative and </w:t>
      </w:r>
      <w:r w:rsidRPr="000E00CC">
        <w:rPr>
          <w:sz w:val="24"/>
          <w:szCs w:val="24"/>
        </w:rPr>
        <w:t>qualitative information</w:t>
      </w:r>
      <w:r w:rsidRPr="00610908">
        <w:rPr>
          <w:sz w:val="24"/>
          <w:szCs w:val="24"/>
        </w:rPr>
        <w:t xml:space="preserve">; the collections will not be designed or expected to yield statistically reliable results or used as though the results are generalizable to </w:t>
      </w:r>
      <w:r w:rsidRPr="00FF198C">
        <w:rPr>
          <w:sz w:val="24"/>
          <w:szCs w:val="24"/>
        </w:rPr>
        <w:t>the population of study;</w:t>
      </w:r>
    </w:p>
    <w:p w:rsidRPr="00A83100" w:rsidR="00A83100" w:rsidP="00A83100" w:rsidRDefault="00A83100" w14:paraId="3DE842F4" w14:textId="797E5424">
      <w:pPr>
        <w:pStyle w:val="BodyText"/>
        <w:numPr>
          <w:ilvl w:val="0"/>
          <w:numId w:val="5"/>
        </w:numPr>
        <w:ind w:right="138"/>
        <w:rPr>
          <w:sz w:val="24"/>
          <w:szCs w:val="24"/>
        </w:rPr>
      </w:pPr>
      <w:r w:rsidRPr="00A83100">
        <w:rPr>
          <w:sz w:val="24"/>
          <w:szCs w:val="24"/>
        </w:rPr>
        <w:t>The collections are voluntary;</w:t>
      </w:r>
    </w:p>
    <w:p w:rsidRPr="000B4078" w:rsidR="00A83100" w:rsidP="000B4078" w:rsidRDefault="00A83100" w14:paraId="159EB60D" w14:textId="5FA0E4D9">
      <w:pPr>
        <w:pStyle w:val="BodyText"/>
        <w:numPr>
          <w:ilvl w:val="0"/>
          <w:numId w:val="5"/>
        </w:numPr>
        <w:ind w:right="138"/>
        <w:rPr>
          <w:sz w:val="24"/>
          <w:szCs w:val="24"/>
        </w:rPr>
      </w:pPr>
      <w:r w:rsidRPr="000B4078">
        <w:rPr>
          <w:sz w:val="24"/>
          <w:szCs w:val="24"/>
        </w:rPr>
        <w:t>The collections are low-burden for respondents (based on consideration of total burden hours, total number of respondents, or burden-hours per respondent) and are low-cost for both the</w:t>
      </w:r>
      <w:r>
        <w:rPr>
          <w:sz w:val="24"/>
          <w:szCs w:val="24"/>
        </w:rPr>
        <w:t xml:space="preserve"> </w:t>
      </w:r>
      <w:r w:rsidRPr="000B4078">
        <w:rPr>
          <w:sz w:val="24"/>
          <w:szCs w:val="24"/>
        </w:rPr>
        <w:t>respondents and the Federal Government;</w:t>
      </w:r>
    </w:p>
    <w:p w:rsidRPr="000B4078" w:rsidR="00A83100" w:rsidP="000B4078" w:rsidRDefault="00A83100" w14:paraId="0B4DB27B" w14:textId="5BB02164">
      <w:pPr>
        <w:pStyle w:val="BodyText"/>
        <w:numPr>
          <w:ilvl w:val="0"/>
          <w:numId w:val="5"/>
        </w:numPr>
        <w:ind w:right="138"/>
        <w:rPr>
          <w:sz w:val="24"/>
          <w:szCs w:val="24"/>
        </w:rPr>
      </w:pPr>
      <w:r w:rsidRPr="000B4078">
        <w:rPr>
          <w:sz w:val="24"/>
          <w:szCs w:val="24"/>
        </w:rPr>
        <w:t>The collections are non-controversial and do not raise issues of concern to other Federal</w:t>
      </w:r>
      <w:r>
        <w:rPr>
          <w:sz w:val="24"/>
          <w:szCs w:val="24"/>
        </w:rPr>
        <w:t xml:space="preserve"> </w:t>
      </w:r>
      <w:r w:rsidRPr="000B4078">
        <w:rPr>
          <w:sz w:val="24"/>
          <w:szCs w:val="24"/>
        </w:rPr>
        <w:t>agencies;</w:t>
      </w:r>
    </w:p>
    <w:p w:rsidRPr="000B4078" w:rsidR="00A83100" w:rsidP="000B4078" w:rsidRDefault="00A83100" w14:paraId="1E0FDB9F" w14:textId="5CEB165B">
      <w:pPr>
        <w:pStyle w:val="BodyText"/>
        <w:numPr>
          <w:ilvl w:val="0"/>
          <w:numId w:val="5"/>
        </w:numPr>
        <w:ind w:right="138"/>
        <w:rPr>
          <w:sz w:val="24"/>
          <w:szCs w:val="24"/>
        </w:rPr>
      </w:pPr>
      <w:r w:rsidRPr="000B4078">
        <w:rPr>
          <w:sz w:val="24"/>
          <w:szCs w:val="24"/>
        </w:rPr>
        <w:t xml:space="preserve">Any collection is targeted to the solicitation of </w:t>
      </w:r>
      <w:r w:rsidR="004019FD">
        <w:rPr>
          <w:sz w:val="24"/>
          <w:szCs w:val="24"/>
        </w:rPr>
        <w:t>feedback</w:t>
      </w:r>
      <w:r w:rsidRPr="000B4078">
        <w:rPr>
          <w:sz w:val="24"/>
          <w:szCs w:val="24"/>
        </w:rPr>
        <w:t xml:space="preserve"> from respondents who have experience</w:t>
      </w:r>
      <w:r>
        <w:rPr>
          <w:sz w:val="24"/>
          <w:szCs w:val="24"/>
        </w:rPr>
        <w:t xml:space="preserve"> </w:t>
      </w:r>
      <w:r w:rsidRPr="000B4078">
        <w:rPr>
          <w:sz w:val="24"/>
          <w:szCs w:val="24"/>
        </w:rPr>
        <w:t xml:space="preserve">with the </w:t>
      </w:r>
      <w:r w:rsidR="004019FD">
        <w:rPr>
          <w:sz w:val="24"/>
          <w:szCs w:val="24"/>
        </w:rPr>
        <w:t xml:space="preserve">Office’s </w:t>
      </w:r>
      <w:r w:rsidRPr="000B4078">
        <w:rPr>
          <w:sz w:val="24"/>
          <w:szCs w:val="24"/>
        </w:rPr>
        <w:t>program</w:t>
      </w:r>
      <w:r w:rsidR="004019FD">
        <w:rPr>
          <w:sz w:val="24"/>
          <w:szCs w:val="24"/>
        </w:rPr>
        <w:t>s</w:t>
      </w:r>
      <w:r w:rsidRPr="000B4078">
        <w:rPr>
          <w:sz w:val="24"/>
          <w:szCs w:val="24"/>
        </w:rPr>
        <w:t xml:space="preserve"> or may have experience with </w:t>
      </w:r>
      <w:r w:rsidR="004019FD">
        <w:rPr>
          <w:sz w:val="24"/>
          <w:szCs w:val="24"/>
        </w:rPr>
        <w:t>those</w:t>
      </w:r>
      <w:r w:rsidRPr="000B4078">
        <w:rPr>
          <w:sz w:val="24"/>
          <w:szCs w:val="24"/>
        </w:rPr>
        <w:t xml:space="preserve"> program</w:t>
      </w:r>
      <w:r w:rsidR="004019FD">
        <w:rPr>
          <w:sz w:val="24"/>
          <w:szCs w:val="24"/>
        </w:rPr>
        <w:t>s</w:t>
      </w:r>
      <w:r w:rsidRPr="000B4078">
        <w:rPr>
          <w:sz w:val="24"/>
          <w:szCs w:val="24"/>
        </w:rPr>
        <w:t xml:space="preserve"> in the near future; and</w:t>
      </w:r>
    </w:p>
    <w:p w:rsidRPr="00610908" w:rsidR="00A83100" w:rsidP="007572BB" w:rsidRDefault="00655D82" w14:paraId="26E2E651" w14:textId="6FAE985B">
      <w:pPr>
        <w:pStyle w:val="BodyText"/>
        <w:numPr>
          <w:ilvl w:val="0"/>
          <w:numId w:val="5"/>
        </w:numPr>
        <w:ind w:right="138"/>
        <w:rPr>
          <w:sz w:val="24"/>
          <w:szCs w:val="24"/>
        </w:rPr>
      </w:pPr>
      <w:r>
        <w:rPr>
          <w:sz w:val="24"/>
          <w:szCs w:val="24"/>
        </w:rPr>
        <w:t>Email addresses will be</w:t>
      </w:r>
      <w:r w:rsidRPr="00610908" w:rsidR="00A83100">
        <w:rPr>
          <w:sz w:val="24"/>
          <w:szCs w:val="24"/>
        </w:rPr>
        <w:t xml:space="preserve"> collected </w:t>
      </w:r>
      <w:r>
        <w:rPr>
          <w:sz w:val="24"/>
          <w:szCs w:val="24"/>
        </w:rPr>
        <w:t>solely for purposes of providing access to a specific event and communicating with participants regarding that event</w:t>
      </w:r>
      <w:r w:rsidRPr="00610908" w:rsidR="00A83100">
        <w:rPr>
          <w:sz w:val="24"/>
          <w:szCs w:val="24"/>
        </w:rPr>
        <w:t>.</w:t>
      </w:r>
    </w:p>
    <w:p w:rsidR="00A83100" w:rsidP="000B4078" w:rsidRDefault="00A83100" w14:paraId="4889CEB2" w14:textId="0A68FC95">
      <w:pPr>
        <w:pStyle w:val="BodyText"/>
        <w:ind w:right="138"/>
        <w:rPr>
          <w:sz w:val="24"/>
          <w:szCs w:val="24"/>
        </w:rPr>
      </w:pPr>
    </w:p>
    <w:p w:rsidR="000B4078" w:rsidP="007572BB" w:rsidRDefault="000B4078" w14:paraId="78AE89A3" w14:textId="35635444">
      <w:pPr>
        <w:pStyle w:val="BodyText"/>
        <w:ind w:left="1022"/>
        <w:rPr>
          <w:sz w:val="24"/>
          <w:szCs w:val="24"/>
        </w:rPr>
      </w:pPr>
      <w:r>
        <w:rPr>
          <w:sz w:val="24"/>
          <w:szCs w:val="24"/>
        </w:rPr>
        <w:t>If these conditions are not satisfied, the Office will submit an information collection request to OMB for approval through the normal PRA process.</w:t>
      </w:r>
    </w:p>
    <w:p w:rsidR="000B4078" w:rsidP="007572BB" w:rsidRDefault="000B4078" w14:paraId="3EA4894C" w14:textId="04CD2CCB">
      <w:pPr>
        <w:pStyle w:val="BodyText"/>
        <w:ind w:left="1022"/>
        <w:rPr>
          <w:sz w:val="24"/>
          <w:szCs w:val="24"/>
        </w:rPr>
      </w:pPr>
    </w:p>
    <w:p w:rsidR="00FC06C0" w:rsidP="007572BB" w:rsidRDefault="000B4078" w14:paraId="0CCD7FD0" w14:textId="49C9BBB6">
      <w:pPr>
        <w:pStyle w:val="BodyText"/>
        <w:ind w:left="1022"/>
        <w:rPr>
          <w:sz w:val="24"/>
          <w:szCs w:val="24"/>
        </w:rPr>
      </w:pPr>
      <w:r w:rsidRPr="000B4078">
        <w:rPr>
          <w:sz w:val="24"/>
          <w:szCs w:val="24"/>
        </w:rPr>
        <w:t xml:space="preserve">To obtain approval for a collection that meets the conditions of this generic clearance, </w:t>
      </w:r>
      <w:r w:rsidR="00FC06C0">
        <w:rPr>
          <w:sz w:val="24"/>
          <w:szCs w:val="24"/>
        </w:rPr>
        <w:t>the Office will submit a</w:t>
      </w:r>
      <w:r w:rsidRPr="000B4078">
        <w:rPr>
          <w:sz w:val="24"/>
          <w:szCs w:val="24"/>
        </w:rPr>
        <w:t xml:space="preserve"> standardized</w:t>
      </w:r>
      <w:r>
        <w:rPr>
          <w:sz w:val="24"/>
          <w:szCs w:val="24"/>
        </w:rPr>
        <w:t xml:space="preserve"> </w:t>
      </w:r>
      <w:r w:rsidRPr="000B4078">
        <w:rPr>
          <w:sz w:val="24"/>
          <w:szCs w:val="24"/>
        </w:rPr>
        <w:t xml:space="preserve">form to OMB with supporting documentation (e.g., a copy </w:t>
      </w:r>
      <w:r>
        <w:rPr>
          <w:sz w:val="24"/>
          <w:szCs w:val="24"/>
        </w:rPr>
        <w:t>of the questionnaire</w:t>
      </w:r>
      <w:r w:rsidR="001111B3">
        <w:rPr>
          <w:sz w:val="24"/>
          <w:szCs w:val="24"/>
        </w:rPr>
        <w:t xml:space="preserve"> or polling questions</w:t>
      </w:r>
      <w:r w:rsidR="0032140B">
        <w:rPr>
          <w:sz w:val="24"/>
          <w:szCs w:val="24"/>
        </w:rPr>
        <w:t xml:space="preserve">) and </w:t>
      </w:r>
      <w:r w:rsidR="0093472C">
        <w:rPr>
          <w:sz w:val="24"/>
          <w:szCs w:val="24"/>
        </w:rPr>
        <w:t xml:space="preserve">communicate </w:t>
      </w:r>
      <w:r w:rsidR="0032140B">
        <w:rPr>
          <w:sz w:val="24"/>
          <w:szCs w:val="24"/>
        </w:rPr>
        <w:t>any particular timing constraints.</w:t>
      </w:r>
      <w:r w:rsidR="00FC06C0">
        <w:rPr>
          <w:sz w:val="24"/>
          <w:szCs w:val="24"/>
        </w:rPr>
        <w:t xml:space="preserve"> </w:t>
      </w:r>
      <w:r w:rsidR="0032140B">
        <w:rPr>
          <w:sz w:val="24"/>
          <w:szCs w:val="24"/>
        </w:rPr>
        <w:t xml:space="preserve">The Office understands that </w:t>
      </w:r>
      <w:r w:rsidR="00FC06C0">
        <w:rPr>
          <w:sz w:val="24"/>
          <w:szCs w:val="24"/>
        </w:rPr>
        <w:t xml:space="preserve">OMB will do its best to meet </w:t>
      </w:r>
      <w:r w:rsidR="00C07651">
        <w:rPr>
          <w:sz w:val="24"/>
          <w:szCs w:val="24"/>
        </w:rPr>
        <w:t>the Office’s</w:t>
      </w:r>
      <w:r w:rsidR="0032140B">
        <w:rPr>
          <w:sz w:val="24"/>
          <w:szCs w:val="24"/>
        </w:rPr>
        <w:t xml:space="preserve"> timing constraints and </w:t>
      </w:r>
      <w:r w:rsidR="00FC06C0">
        <w:rPr>
          <w:sz w:val="24"/>
          <w:szCs w:val="24"/>
        </w:rPr>
        <w:t xml:space="preserve">generally </w:t>
      </w:r>
      <w:r w:rsidR="0032140B">
        <w:rPr>
          <w:sz w:val="24"/>
          <w:szCs w:val="24"/>
        </w:rPr>
        <w:t xml:space="preserve">will respond </w:t>
      </w:r>
      <w:r w:rsidR="0093472C">
        <w:rPr>
          <w:sz w:val="24"/>
          <w:szCs w:val="24"/>
        </w:rPr>
        <w:t>within 14 days</w:t>
      </w:r>
      <w:r w:rsidR="00FC06C0">
        <w:rPr>
          <w:sz w:val="24"/>
          <w:szCs w:val="24"/>
        </w:rPr>
        <w:t xml:space="preserve"> </w:t>
      </w:r>
      <w:r w:rsidR="0093472C">
        <w:rPr>
          <w:sz w:val="24"/>
          <w:szCs w:val="24"/>
        </w:rPr>
        <w:t>but</w:t>
      </w:r>
      <w:r w:rsidR="00FC06C0">
        <w:rPr>
          <w:sz w:val="24"/>
          <w:szCs w:val="24"/>
        </w:rPr>
        <w:t xml:space="preserve"> that some flexibility may be necessary on both sides.</w:t>
      </w:r>
    </w:p>
    <w:p w:rsidRPr="000C3B59" w:rsidR="00A83100" w:rsidP="000B4078" w:rsidRDefault="00A83100" w14:paraId="0810E507" w14:textId="68B3902D">
      <w:pPr>
        <w:pStyle w:val="BodyText"/>
        <w:ind w:right="138"/>
        <w:rPr>
          <w:sz w:val="24"/>
        </w:rPr>
      </w:pPr>
    </w:p>
    <w:p w:rsidR="00446D15" w:rsidP="00446D15" w:rsidRDefault="00446D15" w14:paraId="6A280D3B" w14:textId="77777777">
      <w:pPr>
        <w:pStyle w:val="Heading1"/>
        <w:numPr>
          <w:ilvl w:val="0"/>
          <w:numId w:val="3"/>
        </w:numPr>
        <w:tabs>
          <w:tab w:val="left" w:pos="1180"/>
        </w:tabs>
      </w:pPr>
      <w:r>
        <w:t>Consideration</w:t>
      </w:r>
      <w:r>
        <w:rPr>
          <w:spacing w:val="-6"/>
        </w:rPr>
        <w:t xml:space="preserve"> </w:t>
      </w:r>
      <w:r>
        <w:t>Given</w:t>
      </w:r>
      <w:r>
        <w:rPr>
          <w:spacing w:val="-6"/>
        </w:rPr>
        <w:t xml:space="preserve"> </w:t>
      </w:r>
      <w:r>
        <w:t>to</w:t>
      </w:r>
      <w:r>
        <w:rPr>
          <w:spacing w:val="-4"/>
        </w:rPr>
        <w:t xml:space="preserve"> </w:t>
      </w:r>
      <w:r>
        <w:t>Information</w:t>
      </w:r>
      <w:r>
        <w:rPr>
          <w:spacing w:val="-7"/>
        </w:rPr>
        <w:t xml:space="preserve"> </w:t>
      </w:r>
      <w:r>
        <w:t>Technology</w:t>
      </w:r>
    </w:p>
    <w:p w:rsidR="00446D15" w:rsidP="00446D15" w:rsidRDefault="00446D15" w14:paraId="1D9073B7" w14:textId="77777777">
      <w:pPr>
        <w:pStyle w:val="Heading1"/>
        <w:tabs>
          <w:tab w:val="left" w:pos="1180"/>
        </w:tabs>
        <w:ind w:left="1386" w:firstLine="0"/>
      </w:pPr>
    </w:p>
    <w:p w:rsidRPr="00446D15" w:rsidR="00446D15" w:rsidP="00446D15" w:rsidRDefault="00F47385" w14:paraId="49B400CE" w14:textId="52C6B4F9">
      <w:pPr>
        <w:pStyle w:val="BodyText"/>
        <w:spacing w:before="10"/>
        <w:ind w:left="1026"/>
        <w:rPr>
          <w:sz w:val="24"/>
        </w:rPr>
      </w:pPr>
      <w:r>
        <w:rPr>
          <w:sz w:val="24"/>
        </w:rPr>
        <w:t>If appropriate, t</w:t>
      </w:r>
      <w:r w:rsidRPr="00446D15" w:rsidR="00446D15">
        <w:rPr>
          <w:sz w:val="24"/>
        </w:rPr>
        <w:t xml:space="preserve">he Office will collect information electronically and/or use online collaboration tools to reduce burden. </w:t>
      </w:r>
    </w:p>
    <w:p w:rsidR="00446D15" w:rsidP="00446D15" w:rsidRDefault="00446D15" w14:paraId="198FCA10" w14:textId="77777777">
      <w:pPr>
        <w:pStyle w:val="BodyText"/>
        <w:ind w:left="460" w:right="160"/>
      </w:pPr>
      <w:r>
        <w:rPr>
          <w:spacing w:val="-5"/>
        </w:rPr>
        <w:t xml:space="preserve"> </w:t>
      </w:r>
    </w:p>
    <w:p w:rsidR="00446D15" w:rsidP="00AC2339" w:rsidRDefault="00446D15" w14:paraId="4CB5B685" w14:textId="77777777">
      <w:pPr>
        <w:pStyle w:val="Heading1"/>
        <w:numPr>
          <w:ilvl w:val="0"/>
          <w:numId w:val="3"/>
        </w:numPr>
        <w:tabs>
          <w:tab w:val="left" w:pos="1180"/>
        </w:tabs>
      </w:pPr>
      <w:bookmarkStart w:name="4._Duplication" w:id="2"/>
      <w:bookmarkEnd w:id="2"/>
      <w:r>
        <w:t>Duplication</w:t>
      </w:r>
    </w:p>
    <w:p w:rsidR="00446D15" w:rsidP="00446D15" w:rsidRDefault="00446D15" w14:paraId="7227DC69" w14:textId="77777777">
      <w:pPr>
        <w:pStyle w:val="Heading1"/>
        <w:tabs>
          <w:tab w:val="left" w:pos="1235"/>
          <w:tab w:val="left" w:pos="1236"/>
        </w:tabs>
        <w:spacing w:before="38"/>
        <w:ind w:left="1235" w:firstLine="0"/>
      </w:pPr>
    </w:p>
    <w:p w:rsidRPr="00446D15" w:rsidR="00446D15" w:rsidP="00AC2339" w:rsidRDefault="00446D15" w14:paraId="7E3FAF03" w14:textId="474B0F35">
      <w:pPr>
        <w:pStyle w:val="BodyText"/>
        <w:spacing w:before="10"/>
        <w:ind w:left="1026"/>
        <w:rPr>
          <w:sz w:val="24"/>
        </w:rPr>
      </w:pPr>
      <w:r w:rsidRPr="00446D15">
        <w:rPr>
          <w:sz w:val="24"/>
        </w:rPr>
        <w:t xml:space="preserve">No similar data are gathered or maintained by the </w:t>
      </w:r>
      <w:r w:rsidR="0024522D">
        <w:rPr>
          <w:sz w:val="24"/>
        </w:rPr>
        <w:t>Office</w:t>
      </w:r>
      <w:r w:rsidRPr="00446D15" w:rsidR="0024522D">
        <w:rPr>
          <w:sz w:val="24"/>
        </w:rPr>
        <w:t xml:space="preserve"> </w:t>
      </w:r>
      <w:r w:rsidRPr="00446D15">
        <w:rPr>
          <w:sz w:val="24"/>
        </w:rPr>
        <w:t xml:space="preserve">or are available from other </w:t>
      </w:r>
      <w:r w:rsidRPr="00446D15">
        <w:rPr>
          <w:sz w:val="24"/>
        </w:rPr>
        <w:lastRenderedPageBreak/>
        <w:t xml:space="preserve">sources known to the Office. </w:t>
      </w:r>
    </w:p>
    <w:p w:rsidR="00446D15" w:rsidP="00446D15" w:rsidRDefault="00446D15" w14:paraId="6C2A047E" w14:textId="77777777">
      <w:pPr>
        <w:pStyle w:val="BodyText"/>
        <w:spacing w:before="3"/>
      </w:pPr>
    </w:p>
    <w:p w:rsidR="00446D15" w:rsidP="00AC2339" w:rsidRDefault="00446D15" w14:paraId="22FB4019" w14:textId="77777777">
      <w:pPr>
        <w:pStyle w:val="Heading1"/>
        <w:numPr>
          <w:ilvl w:val="0"/>
          <w:numId w:val="3"/>
        </w:numPr>
        <w:tabs>
          <w:tab w:val="left" w:pos="1180"/>
        </w:tabs>
      </w:pPr>
      <w:bookmarkStart w:name="5._Reducing_the_Burden_on_Small_Entities" w:id="3"/>
      <w:bookmarkEnd w:id="3"/>
      <w:r>
        <w:t>Reducing</w:t>
      </w:r>
      <w:r w:rsidRPr="00AC2339">
        <w:t xml:space="preserve"> </w:t>
      </w:r>
      <w:r>
        <w:t>the</w:t>
      </w:r>
      <w:r w:rsidRPr="00AC2339">
        <w:t xml:space="preserve"> </w:t>
      </w:r>
      <w:r>
        <w:t>Burden</w:t>
      </w:r>
      <w:r w:rsidRPr="00AC2339">
        <w:t xml:space="preserve"> </w:t>
      </w:r>
      <w:r>
        <w:t>on</w:t>
      </w:r>
      <w:r w:rsidRPr="00AC2339">
        <w:t xml:space="preserve"> </w:t>
      </w:r>
      <w:r>
        <w:t>Small</w:t>
      </w:r>
      <w:r w:rsidRPr="00AC2339">
        <w:t xml:space="preserve"> </w:t>
      </w:r>
      <w:r>
        <w:t>Entities</w:t>
      </w:r>
    </w:p>
    <w:p w:rsidR="00446D15" w:rsidP="00446D15" w:rsidRDefault="00446D15" w14:paraId="1BD6CF55" w14:textId="77777777">
      <w:pPr>
        <w:pStyle w:val="BodyText"/>
        <w:spacing w:before="10"/>
        <w:ind w:left="819"/>
        <w:rPr>
          <w:sz w:val="24"/>
        </w:rPr>
      </w:pPr>
    </w:p>
    <w:p w:rsidRPr="00446D15" w:rsidR="00446D15" w:rsidP="00AC2339" w:rsidRDefault="00446D15" w14:paraId="1ADCB7F6" w14:textId="1CB95D15">
      <w:pPr>
        <w:pStyle w:val="BodyText"/>
        <w:spacing w:before="10"/>
        <w:ind w:left="1026"/>
        <w:rPr>
          <w:sz w:val="24"/>
        </w:rPr>
      </w:pPr>
      <w:r w:rsidRPr="00446D15">
        <w:rPr>
          <w:sz w:val="24"/>
        </w:rPr>
        <w:t>The collection</w:t>
      </w:r>
      <w:r w:rsidR="00775DC0">
        <w:rPr>
          <w:sz w:val="24"/>
        </w:rPr>
        <w:t>s</w:t>
      </w:r>
      <w:r w:rsidRPr="00446D15">
        <w:rPr>
          <w:sz w:val="24"/>
        </w:rPr>
        <w:t xml:space="preserve"> </w:t>
      </w:r>
      <w:r w:rsidR="00775DC0">
        <w:rPr>
          <w:sz w:val="24"/>
        </w:rPr>
        <w:t>will</w:t>
      </w:r>
      <w:r w:rsidRPr="00446D15">
        <w:rPr>
          <w:sz w:val="24"/>
        </w:rPr>
        <w:t xml:space="preserve"> target small businesses and their investors. The Office will minimize </w:t>
      </w:r>
      <w:r w:rsidR="004019FD">
        <w:rPr>
          <w:sz w:val="24"/>
        </w:rPr>
        <w:t>any</w:t>
      </w:r>
      <w:r w:rsidRPr="00446D15">
        <w:rPr>
          <w:sz w:val="24"/>
        </w:rPr>
        <w:t xml:space="preserve"> burden </w:t>
      </w:r>
      <w:r w:rsidR="004019FD">
        <w:rPr>
          <w:sz w:val="24"/>
        </w:rPr>
        <w:t>associated with the collections</w:t>
      </w:r>
      <w:r w:rsidRPr="00446D15">
        <w:rPr>
          <w:sz w:val="24"/>
        </w:rPr>
        <w:t xml:space="preserve"> by asking for readily available information and using short, easy</w:t>
      </w:r>
      <w:r w:rsidR="00775DC0">
        <w:rPr>
          <w:sz w:val="24"/>
        </w:rPr>
        <w:t>-</w:t>
      </w:r>
      <w:r w:rsidRPr="00446D15">
        <w:rPr>
          <w:sz w:val="24"/>
        </w:rPr>
        <w:t>to</w:t>
      </w:r>
      <w:r w:rsidR="00775DC0">
        <w:rPr>
          <w:sz w:val="24"/>
        </w:rPr>
        <w:t>-</w:t>
      </w:r>
      <w:r w:rsidRPr="00446D15">
        <w:rPr>
          <w:sz w:val="24"/>
        </w:rPr>
        <w:t xml:space="preserve">complete information collection instruments. </w:t>
      </w:r>
    </w:p>
    <w:p w:rsidR="00446D15" w:rsidP="00446D15" w:rsidRDefault="00446D15" w14:paraId="208A282B" w14:textId="77777777">
      <w:pPr>
        <w:pStyle w:val="BodyText"/>
        <w:rPr>
          <w:sz w:val="24"/>
        </w:rPr>
      </w:pPr>
    </w:p>
    <w:p w:rsidR="00446D15" w:rsidP="00AC2339" w:rsidRDefault="00446D15" w14:paraId="6F33BE41" w14:textId="77777777">
      <w:pPr>
        <w:pStyle w:val="Heading1"/>
        <w:numPr>
          <w:ilvl w:val="0"/>
          <w:numId w:val="3"/>
        </w:numPr>
        <w:tabs>
          <w:tab w:val="left" w:pos="1180"/>
        </w:tabs>
      </w:pPr>
      <w:bookmarkStart w:name="6._Consequences_of_Not_Conducting_Collec" w:id="4"/>
      <w:bookmarkEnd w:id="4"/>
      <w:r>
        <w:t>Consequences</w:t>
      </w:r>
      <w:r w:rsidRPr="00EA1B70">
        <w:t xml:space="preserve"> </w:t>
      </w:r>
      <w:r>
        <w:t>of</w:t>
      </w:r>
      <w:r w:rsidRPr="00EA1B70">
        <w:t xml:space="preserve"> </w:t>
      </w:r>
      <w:r>
        <w:t>Not</w:t>
      </w:r>
      <w:r w:rsidRPr="00EA1B70">
        <w:t xml:space="preserve"> </w:t>
      </w:r>
      <w:r>
        <w:t>Conducting</w:t>
      </w:r>
      <w:r w:rsidRPr="00EA1B70">
        <w:t xml:space="preserve"> </w:t>
      </w:r>
      <w:r>
        <w:t>Collection</w:t>
      </w:r>
    </w:p>
    <w:p w:rsidR="00446D15" w:rsidP="00446D15" w:rsidRDefault="00446D15" w14:paraId="2F16AC24" w14:textId="77777777">
      <w:pPr>
        <w:pStyle w:val="Heading1"/>
        <w:tabs>
          <w:tab w:val="left" w:pos="1180"/>
        </w:tabs>
        <w:ind w:left="1386" w:firstLine="0"/>
      </w:pPr>
    </w:p>
    <w:p w:rsidRPr="00446D15" w:rsidR="00446D15" w:rsidP="00AC2339" w:rsidRDefault="00446D15" w14:paraId="13D6A38B" w14:textId="24E91BEB">
      <w:pPr>
        <w:pStyle w:val="BodyText"/>
        <w:spacing w:before="10"/>
        <w:ind w:left="1026"/>
        <w:rPr>
          <w:sz w:val="24"/>
        </w:rPr>
      </w:pPr>
      <w:r w:rsidRPr="00446D15">
        <w:rPr>
          <w:sz w:val="24"/>
        </w:rPr>
        <w:t xml:space="preserve">Without these types of feedback, the Office will not have information to </w:t>
      </w:r>
      <w:r w:rsidR="004019FD">
        <w:rPr>
          <w:sz w:val="24"/>
        </w:rPr>
        <w:t>tailor</w:t>
      </w:r>
      <w:r w:rsidRPr="00446D15">
        <w:rPr>
          <w:sz w:val="24"/>
        </w:rPr>
        <w:t xml:space="preserve"> its </w:t>
      </w:r>
      <w:r w:rsidR="004019FD">
        <w:rPr>
          <w:sz w:val="24"/>
        </w:rPr>
        <w:t>outreach and educational programs</w:t>
      </w:r>
      <w:r w:rsidRPr="00446D15">
        <w:rPr>
          <w:sz w:val="24"/>
        </w:rPr>
        <w:t xml:space="preserve"> to meet customer needs.</w:t>
      </w:r>
    </w:p>
    <w:p w:rsidR="00446D15" w:rsidP="00446D15" w:rsidRDefault="00446D15" w14:paraId="2C4CC365" w14:textId="77777777">
      <w:pPr>
        <w:pStyle w:val="BodyText"/>
        <w:spacing w:before="3"/>
      </w:pPr>
    </w:p>
    <w:p w:rsidRPr="00446D15" w:rsidR="00446D15" w:rsidP="00AC2339" w:rsidRDefault="00446D15" w14:paraId="17F0C080" w14:textId="77777777">
      <w:pPr>
        <w:pStyle w:val="Heading1"/>
        <w:numPr>
          <w:ilvl w:val="0"/>
          <w:numId w:val="3"/>
        </w:numPr>
        <w:tabs>
          <w:tab w:val="left" w:pos="1180"/>
        </w:tabs>
      </w:pPr>
      <w:bookmarkStart w:name="7._Special_Circumstances" w:id="5"/>
      <w:bookmarkEnd w:id="5"/>
      <w:r>
        <w:t>Special</w:t>
      </w:r>
      <w:r w:rsidRPr="00EA1B70">
        <w:t xml:space="preserve"> </w:t>
      </w:r>
      <w:r>
        <w:t>Circumstances</w:t>
      </w:r>
    </w:p>
    <w:p w:rsidR="00446D15" w:rsidP="00446D15" w:rsidRDefault="00446D15" w14:paraId="0A15BAEE" w14:textId="77777777">
      <w:pPr>
        <w:pStyle w:val="BodyText"/>
        <w:spacing w:before="10"/>
        <w:rPr>
          <w:b/>
          <w:sz w:val="21"/>
        </w:rPr>
      </w:pPr>
    </w:p>
    <w:p w:rsidRPr="00446D15" w:rsidR="00446D15" w:rsidP="00AC2339" w:rsidRDefault="00446D15" w14:paraId="7EB0FA6C" w14:textId="77CB148D">
      <w:pPr>
        <w:pStyle w:val="BodyText"/>
        <w:spacing w:before="10"/>
        <w:ind w:left="1026"/>
        <w:rPr>
          <w:sz w:val="24"/>
        </w:rPr>
      </w:pPr>
      <w:r w:rsidRPr="00446D15">
        <w:rPr>
          <w:sz w:val="24"/>
        </w:rPr>
        <w:t xml:space="preserve">There are no special circumstances. </w:t>
      </w:r>
      <w:r w:rsidRPr="00AA7745">
        <w:rPr>
          <w:sz w:val="24"/>
        </w:rPr>
        <w:t>The information collected will be voluntary and will not be used for statistical purposes.</w:t>
      </w:r>
    </w:p>
    <w:p w:rsidR="00446D15" w:rsidP="00446D15" w:rsidRDefault="00446D15" w14:paraId="668409C0" w14:textId="77777777">
      <w:pPr>
        <w:pStyle w:val="BodyText"/>
        <w:spacing w:before="5"/>
      </w:pPr>
    </w:p>
    <w:p w:rsidR="00446D15" w:rsidP="00AC2339" w:rsidRDefault="00446D15" w14:paraId="72770927" w14:textId="77777777">
      <w:pPr>
        <w:pStyle w:val="Heading1"/>
        <w:numPr>
          <w:ilvl w:val="0"/>
          <w:numId w:val="3"/>
        </w:numPr>
        <w:tabs>
          <w:tab w:val="left" w:pos="1180"/>
        </w:tabs>
      </w:pPr>
      <w:bookmarkStart w:name="8._Consultations_with_Persons_Outside_th" w:id="6"/>
      <w:bookmarkEnd w:id="6"/>
      <w:r>
        <w:t>Consultations</w:t>
      </w:r>
      <w:r w:rsidRPr="00EA1B70">
        <w:t xml:space="preserve"> </w:t>
      </w:r>
      <w:r>
        <w:t>with</w:t>
      </w:r>
      <w:r w:rsidRPr="00EA1B70">
        <w:t xml:space="preserve"> </w:t>
      </w:r>
      <w:r>
        <w:t>Persons</w:t>
      </w:r>
      <w:r w:rsidRPr="00EA1B70">
        <w:t xml:space="preserve"> </w:t>
      </w:r>
      <w:proofErr w:type="gramStart"/>
      <w:r>
        <w:t>Outside</w:t>
      </w:r>
      <w:proofErr w:type="gramEnd"/>
      <w:r w:rsidRPr="00EA1B70">
        <w:t xml:space="preserve"> </w:t>
      </w:r>
      <w:r>
        <w:t>the</w:t>
      </w:r>
      <w:r w:rsidRPr="00EA1B70">
        <w:t xml:space="preserve"> </w:t>
      </w:r>
      <w:r>
        <w:t>Agency</w:t>
      </w:r>
    </w:p>
    <w:p w:rsidR="00446D15" w:rsidP="00446D15" w:rsidRDefault="00446D15" w14:paraId="5BA7076A" w14:textId="77777777">
      <w:pPr>
        <w:pStyle w:val="BodyText"/>
        <w:spacing w:before="8"/>
        <w:rPr>
          <w:b/>
          <w:sz w:val="21"/>
        </w:rPr>
      </w:pPr>
    </w:p>
    <w:p w:rsidRPr="00446D15" w:rsidR="00446D15" w:rsidP="00AC2339" w:rsidRDefault="00446D15" w14:paraId="31D45D3A" w14:textId="741F0604">
      <w:pPr>
        <w:pStyle w:val="BodyText"/>
        <w:ind w:left="1026" w:right="160"/>
        <w:rPr>
          <w:sz w:val="24"/>
        </w:rPr>
      </w:pPr>
      <w:r w:rsidRPr="00446D15">
        <w:rPr>
          <w:sz w:val="24"/>
        </w:rPr>
        <w:t xml:space="preserve">In accordance with 5 CFR </w:t>
      </w:r>
      <w:r w:rsidR="008A58E3">
        <w:rPr>
          <w:sz w:val="24"/>
        </w:rPr>
        <w:t>§</w:t>
      </w:r>
      <w:r w:rsidRPr="00446D15">
        <w:rPr>
          <w:sz w:val="24"/>
        </w:rPr>
        <w:t>1320.8(d), a 60-day notice for public comment will be published in the Federal Register.</w:t>
      </w:r>
    </w:p>
    <w:p w:rsidR="00446D15" w:rsidP="00446D15" w:rsidRDefault="00446D15" w14:paraId="3B094D3E" w14:textId="77777777">
      <w:pPr>
        <w:pStyle w:val="BodyText"/>
        <w:spacing w:before="1"/>
      </w:pPr>
    </w:p>
    <w:p w:rsidR="00446D15" w:rsidP="00AC2339" w:rsidRDefault="00446D15" w14:paraId="6EE50ED3" w14:textId="77777777">
      <w:pPr>
        <w:pStyle w:val="Heading1"/>
        <w:numPr>
          <w:ilvl w:val="0"/>
          <w:numId w:val="3"/>
        </w:numPr>
        <w:tabs>
          <w:tab w:val="left" w:pos="1180"/>
        </w:tabs>
      </w:pPr>
      <w:bookmarkStart w:name="9._Payment_or_Gift" w:id="7"/>
      <w:bookmarkEnd w:id="7"/>
      <w:r>
        <w:t>Payment</w:t>
      </w:r>
      <w:r w:rsidRPr="00EA1B70">
        <w:t xml:space="preserve"> </w:t>
      </w:r>
      <w:r>
        <w:t>or</w:t>
      </w:r>
      <w:r w:rsidRPr="00EA1B70">
        <w:t xml:space="preserve"> </w:t>
      </w:r>
      <w:r>
        <w:t>Gift</w:t>
      </w:r>
    </w:p>
    <w:p w:rsidR="00446D15" w:rsidP="00446D15" w:rsidRDefault="00446D15" w14:paraId="6476A38B" w14:textId="77777777">
      <w:pPr>
        <w:pStyle w:val="BodyText"/>
        <w:spacing w:before="8"/>
        <w:rPr>
          <w:b/>
          <w:sz w:val="21"/>
        </w:rPr>
      </w:pPr>
    </w:p>
    <w:p w:rsidRPr="00446D15" w:rsidR="00446D15" w:rsidP="00AC2339" w:rsidRDefault="00446D15" w14:paraId="366D051B" w14:textId="77777777">
      <w:pPr>
        <w:pStyle w:val="BodyText"/>
        <w:spacing w:before="8"/>
        <w:ind w:left="1026"/>
        <w:rPr>
          <w:sz w:val="24"/>
        </w:rPr>
      </w:pPr>
      <w:r w:rsidRPr="00446D15">
        <w:rPr>
          <w:sz w:val="24"/>
        </w:rPr>
        <w:t>The Office will not provide payment or other forms of remuneration to respondents of its various forms of collecting feedback.</w:t>
      </w:r>
    </w:p>
    <w:p w:rsidR="00446D15" w:rsidP="00446D15" w:rsidRDefault="00446D15" w14:paraId="0F69AF15" w14:textId="77777777">
      <w:pPr>
        <w:pStyle w:val="BodyText"/>
        <w:spacing w:before="3"/>
      </w:pPr>
    </w:p>
    <w:p w:rsidR="00446D15" w:rsidP="00AC2339" w:rsidRDefault="00446D15" w14:paraId="646E7D09" w14:textId="77777777">
      <w:pPr>
        <w:pStyle w:val="Heading1"/>
        <w:numPr>
          <w:ilvl w:val="0"/>
          <w:numId w:val="3"/>
        </w:numPr>
        <w:tabs>
          <w:tab w:val="left" w:pos="1180"/>
        </w:tabs>
      </w:pPr>
      <w:bookmarkStart w:name="10._Confidentiality" w:id="8"/>
      <w:bookmarkEnd w:id="8"/>
      <w:r>
        <w:t>Confidentiality</w:t>
      </w:r>
    </w:p>
    <w:p w:rsidR="00446D15" w:rsidP="00446D15" w:rsidRDefault="00446D15" w14:paraId="7DBFBC40" w14:textId="77777777">
      <w:pPr>
        <w:pStyle w:val="BodyText"/>
        <w:spacing w:before="10"/>
        <w:rPr>
          <w:b/>
          <w:sz w:val="21"/>
        </w:rPr>
      </w:pPr>
    </w:p>
    <w:p w:rsidRPr="00446D15" w:rsidR="00446D15" w:rsidP="00AC2339" w:rsidRDefault="00446D15" w14:paraId="3FA5D85D" w14:textId="77777777">
      <w:pPr>
        <w:pStyle w:val="BodyText"/>
        <w:spacing w:before="8"/>
        <w:ind w:left="1026"/>
        <w:rPr>
          <w:sz w:val="24"/>
        </w:rPr>
      </w:pPr>
      <w:r w:rsidRPr="00446D15">
        <w:rPr>
          <w:sz w:val="24"/>
        </w:rPr>
        <w:t>If a confidentiality pledge is deemed useful and feasible, the Office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Office includes a pledge of confidentiality, it will include a citation for the statute or regulation supporting the pledge.</w:t>
      </w:r>
    </w:p>
    <w:p w:rsidR="00446D15" w:rsidP="00446D15" w:rsidRDefault="00446D15" w14:paraId="586A3E07" w14:textId="77777777">
      <w:pPr>
        <w:pStyle w:val="BodyText"/>
        <w:spacing w:before="10"/>
        <w:rPr>
          <w:sz w:val="24"/>
        </w:rPr>
      </w:pPr>
    </w:p>
    <w:p w:rsidR="00446D15" w:rsidP="00AC2339" w:rsidRDefault="00446D15" w14:paraId="7EDA6F00" w14:textId="77777777">
      <w:pPr>
        <w:pStyle w:val="Heading1"/>
        <w:numPr>
          <w:ilvl w:val="0"/>
          <w:numId w:val="3"/>
        </w:numPr>
        <w:tabs>
          <w:tab w:val="left" w:pos="1180"/>
        </w:tabs>
      </w:pPr>
      <w:bookmarkStart w:name="11._Sensitive_Nature" w:id="9"/>
      <w:bookmarkEnd w:id="9"/>
      <w:r>
        <w:t>Sensitive</w:t>
      </w:r>
      <w:r w:rsidRPr="00EA1B70">
        <w:t xml:space="preserve"> </w:t>
      </w:r>
      <w:r>
        <w:t>Nature</w:t>
      </w:r>
    </w:p>
    <w:p w:rsidRPr="00CC16AA" w:rsidR="00446D15" w:rsidP="00446D15" w:rsidRDefault="00446D15" w14:paraId="1CE158C0" w14:textId="77777777">
      <w:pPr>
        <w:pStyle w:val="BodyText"/>
        <w:spacing w:before="9"/>
        <w:rPr>
          <w:sz w:val="23"/>
        </w:rPr>
      </w:pPr>
    </w:p>
    <w:p w:rsidRPr="00EA1B70" w:rsidR="00446D15" w:rsidP="00AC2339" w:rsidRDefault="00446D15" w14:paraId="0C167A12" w14:textId="77777777">
      <w:pPr>
        <w:pStyle w:val="BodyText"/>
        <w:spacing w:before="8"/>
        <w:ind w:left="720" w:firstLine="306"/>
        <w:rPr>
          <w:sz w:val="24"/>
        </w:rPr>
      </w:pPr>
      <w:r w:rsidRPr="00446D15">
        <w:rPr>
          <w:sz w:val="24"/>
        </w:rPr>
        <w:t>No questions will be asked that are of a personal or sensitive nature.</w:t>
      </w:r>
    </w:p>
    <w:p w:rsidR="00446D15" w:rsidP="00446D15" w:rsidRDefault="00446D15" w14:paraId="5555C07B" w14:textId="77777777">
      <w:pPr>
        <w:pStyle w:val="BodyText"/>
        <w:spacing w:before="5"/>
        <w:rPr>
          <w:sz w:val="21"/>
        </w:rPr>
      </w:pPr>
    </w:p>
    <w:p w:rsidR="00446D15" w:rsidP="00AC2339" w:rsidRDefault="00446D15" w14:paraId="55C61483" w14:textId="77777777">
      <w:pPr>
        <w:pStyle w:val="Heading1"/>
        <w:numPr>
          <w:ilvl w:val="0"/>
          <w:numId w:val="3"/>
        </w:numPr>
        <w:tabs>
          <w:tab w:val="left" w:pos="1180"/>
        </w:tabs>
      </w:pPr>
      <w:bookmarkStart w:name="12._Burden_of_Information_Collection" w:id="10"/>
      <w:bookmarkEnd w:id="10"/>
      <w:r>
        <w:t>Burden</w:t>
      </w:r>
      <w:r w:rsidRPr="00EA1B70">
        <w:t xml:space="preserve"> </w:t>
      </w:r>
      <w:r>
        <w:t>of</w:t>
      </w:r>
      <w:r w:rsidRPr="00EA1B70">
        <w:t xml:space="preserve"> </w:t>
      </w:r>
      <w:r>
        <w:t>Information</w:t>
      </w:r>
      <w:r w:rsidRPr="00EA1B70">
        <w:t xml:space="preserve"> </w:t>
      </w:r>
      <w:r>
        <w:t>Collection</w:t>
      </w:r>
    </w:p>
    <w:p w:rsidRPr="00EA1B70" w:rsidR="00446D15" w:rsidP="00446D15" w:rsidRDefault="00446D15" w14:paraId="2B0DB9A9" w14:textId="77777777">
      <w:pPr>
        <w:pStyle w:val="BodyText"/>
        <w:spacing w:before="9"/>
        <w:rPr>
          <w:sz w:val="24"/>
        </w:rPr>
      </w:pPr>
    </w:p>
    <w:p w:rsidRPr="00247E80" w:rsidR="00446D15" w:rsidP="00AC2339" w:rsidRDefault="00446D15" w14:paraId="48985A97" w14:textId="68D3AD05">
      <w:pPr>
        <w:pStyle w:val="BodyText"/>
        <w:ind w:left="1026" w:right="138"/>
        <w:rPr>
          <w:sz w:val="24"/>
        </w:rPr>
      </w:pPr>
      <w:r w:rsidRPr="00247E80">
        <w:rPr>
          <w:sz w:val="24"/>
        </w:rPr>
        <w:lastRenderedPageBreak/>
        <w:t xml:space="preserve">A variety of instruments and platforms will be used to collect information from respondents. The annual time burden requested </w:t>
      </w:r>
      <w:r w:rsidR="008A58E3">
        <w:rPr>
          <w:sz w:val="24"/>
        </w:rPr>
        <w:t>is</w:t>
      </w:r>
      <w:r w:rsidRPr="00247E80" w:rsidR="008A58E3">
        <w:rPr>
          <w:sz w:val="24"/>
        </w:rPr>
        <w:t xml:space="preserve"> </w:t>
      </w:r>
      <w:r w:rsidRPr="00247E80">
        <w:rPr>
          <w:sz w:val="24"/>
        </w:rPr>
        <w:t xml:space="preserve">based on the number of collections we expect to conduct over the requested period for this clearance. </w:t>
      </w:r>
    </w:p>
    <w:p w:rsidR="00446D15" w:rsidP="00446D15" w:rsidRDefault="00446D15" w14:paraId="17D836AA" w14:textId="77777777">
      <w:pPr>
        <w:pStyle w:val="BodyText"/>
        <w:ind w:left="982" w:right="138"/>
      </w:pPr>
    </w:p>
    <w:tbl>
      <w:tblPr>
        <w:tblStyle w:val="TableGrid"/>
        <w:tblpPr w:leftFromText="180" w:rightFromText="180" w:vertAnchor="text" w:horzAnchor="margin" w:tblpXSpec="right" w:tblpY="50"/>
        <w:tblW w:w="0" w:type="auto"/>
        <w:tblLook w:val="04A0" w:firstRow="1" w:lastRow="0" w:firstColumn="1" w:lastColumn="0" w:noHBand="0" w:noVBand="1"/>
      </w:tblPr>
      <w:tblGrid>
        <w:gridCol w:w="1682"/>
        <w:gridCol w:w="1641"/>
        <w:gridCol w:w="1596"/>
        <w:gridCol w:w="1580"/>
        <w:gridCol w:w="1869"/>
      </w:tblGrid>
      <w:tr w:rsidR="00AC2339" w:rsidTr="00AC2339" w14:paraId="31FD7469" w14:textId="77777777">
        <w:tc>
          <w:tcPr>
            <w:tcW w:w="8368" w:type="dxa"/>
            <w:gridSpan w:val="5"/>
          </w:tcPr>
          <w:p w:rsidR="00AC2339" w:rsidP="00AC2339" w:rsidRDefault="00AC2339" w14:paraId="0E000646" w14:textId="77777777">
            <w:pPr>
              <w:pStyle w:val="BodyText"/>
              <w:ind w:right="138"/>
              <w:jc w:val="center"/>
            </w:pPr>
            <w:r>
              <w:t>Estimated Annual Reporting Burden</w:t>
            </w:r>
          </w:p>
        </w:tc>
      </w:tr>
      <w:tr w:rsidR="00AC2339" w:rsidTr="00AC2339" w14:paraId="1579393C" w14:textId="77777777">
        <w:tc>
          <w:tcPr>
            <w:tcW w:w="1682" w:type="dxa"/>
          </w:tcPr>
          <w:p w:rsidR="00AC2339" w:rsidP="00AC2339" w:rsidRDefault="00AC2339" w14:paraId="6367B6D6" w14:textId="77777777">
            <w:pPr>
              <w:pStyle w:val="BodyText"/>
              <w:ind w:right="138"/>
              <w:jc w:val="center"/>
            </w:pPr>
            <w:r>
              <w:t>Type of Collection</w:t>
            </w:r>
          </w:p>
        </w:tc>
        <w:tc>
          <w:tcPr>
            <w:tcW w:w="1641" w:type="dxa"/>
          </w:tcPr>
          <w:p w:rsidR="00AC2339" w:rsidP="00AC2339" w:rsidRDefault="00AC2339" w14:paraId="1CDE0FA7" w14:textId="77777777">
            <w:pPr>
              <w:pStyle w:val="BodyText"/>
              <w:ind w:right="138"/>
              <w:jc w:val="center"/>
            </w:pPr>
            <w:r>
              <w:t>No. of Respondents</w:t>
            </w:r>
          </w:p>
        </w:tc>
        <w:tc>
          <w:tcPr>
            <w:tcW w:w="1596" w:type="dxa"/>
          </w:tcPr>
          <w:p w:rsidR="00AC2339" w:rsidP="00AC2339" w:rsidRDefault="00AC2339" w14:paraId="0E0B4054" w14:textId="77777777">
            <w:pPr>
              <w:pStyle w:val="BodyText"/>
              <w:ind w:right="138"/>
              <w:jc w:val="center"/>
            </w:pPr>
            <w:r>
              <w:t>Annual Frequency per Response</w:t>
            </w:r>
          </w:p>
        </w:tc>
        <w:tc>
          <w:tcPr>
            <w:tcW w:w="1580" w:type="dxa"/>
          </w:tcPr>
          <w:p w:rsidR="00AC2339" w:rsidP="00AC2339" w:rsidRDefault="00AC2339" w14:paraId="60AF9501" w14:textId="77777777">
            <w:pPr>
              <w:pStyle w:val="BodyText"/>
              <w:ind w:right="138"/>
              <w:jc w:val="center"/>
            </w:pPr>
            <w:r>
              <w:t>Time per Response</w:t>
            </w:r>
          </w:p>
        </w:tc>
        <w:tc>
          <w:tcPr>
            <w:tcW w:w="1869" w:type="dxa"/>
          </w:tcPr>
          <w:p w:rsidR="00AC2339" w:rsidP="00AC2339" w:rsidRDefault="00AC2339" w14:paraId="4AF433EF" w14:textId="77777777">
            <w:pPr>
              <w:pStyle w:val="BodyText"/>
              <w:ind w:right="138"/>
              <w:jc w:val="center"/>
            </w:pPr>
            <w:r>
              <w:t>Total</w:t>
            </w:r>
          </w:p>
        </w:tc>
      </w:tr>
      <w:tr w:rsidR="00AC2339" w:rsidTr="00AC2339" w14:paraId="1184D174" w14:textId="77777777">
        <w:tc>
          <w:tcPr>
            <w:tcW w:w="1682" w:type="dxa"/>
          </w:tcPr>
          <w:p w:rsidR="00AC2339" w:rsidP="00AC2339" w:rsidRDefault="00AC2339" w14:paraId="66956B5E" w14:textId="77777777">
            <w:pPr>
              <w:pStyle w:val="BodyText"/>
              <w:ind w:right="138"/>
            </w:pPr>
            <w:r>
              <w:t>Online Form, Email Survey, Registration Questionnaire, Post-Event Survey, etc.</w:t>
            </w:r>
          </w:p>
        </w:tc>
        <w:tc>
          <w:tcPr>
            <w:tcW w:w="1641" w:type="dxa"/>
          </w:tcPr>
          <w:p w:rsidR="00AC2339" w:rsidP="00AC2339" w:rsidRDefault="00AC2339" w14:paraId="0D44D450" w14:textId="77777777">
            <w:pPr>
              <w:pStyle w:val="BodyText"/>
              <w:ind w:right="138"/>
            </w:pPr>
            <w:r>
              <w:t>6,200</w:t>
            </w:r>
          </w:p>
        </w:tc>
        <w:tc>
          <w:tcPr>
            <w:tcW w:w="1596" w:type="dxa"/>
          </w:tcPr>
          <w:p w:rsidR="00AC2339" w:rsidP="00AC2339" w:rsidRDefault="00AC2339" w14:paraId="2491A867" w14:textId="77777777">
            <w:pPr>
              <w:pStyle w:val="BodyText"/>
              <w:ind w:right="138"/>
            </w:pPr>
            <w:r>
              <w:t>1</w:t>
            </w:r>
          </w:p>
        </w:tc>
        <w:tc>
          <w:tcPr>
            <w:tcW w:w="1580" w:type="dxa"/>
          </w:tcPr>
          <w:p w:rsidR="00AC2339" w:rsidP="00AC2339" w:rsidRDefault="00AC2339" w14:paraId="02F638C2" w14:textId="77777777">
            <w:pPr>
              <w:pStyle w:val="BodyText"/>
              <w:ind w:right="138"/>
            </w:pPr>
            <w:r>
              <w:t>5 Minutes</w:t>
            </w:r>
          </w:p>
        </w:tc>
        <w:tc>
          <w:tcPr>
            <w:tcW w:w="1869" w:type="dxa"/>
          </w:tcPr>
          <w:p w:rsidR="00AC2339" w:rsidP="00AC2339" w:rsidRDefault="00AC2339" w14:paraId="3AEC2CF0" w14:textId="77777777">
            <w:pPr>
              <w:pStyle w:val="BodyText"/>
              <w:ind w:right="138"/>
            </w:pPr>
            <w:r>
              <w:t>517 Hours</w:t>
            </w:r>
          </w:p>
        </w:tc>
      </w:tr>
    </w:tbl>
    <w:p w:rsidR="00446D15" w:rsidP="00446D15" w:rsidRDefault="00446D15" w14:paraId="5CB5C922" w14:textId="77777777">
      <w:pPr>
        <w:pStyle w:val="BodyText"/>
        <w:ind w:left="982" w:right="138"/>
      </w:pPr>
    </w:p>
    <w:p w:rsidR="00EA1B70" w:rsidP="00EA1B70" w:rsidRDefault="00EA1B70" w14:paraId="08A23D42" w14:textId="77777777">
      <w:pPr>
        <w:pStyle w:val="Heading1"/>
        <w:tabs>
          <w:tab w:val="left" w:pos="1236"/>
        </w:tabs>
        <w:ind w:left="1235" w:firstLine="0"/>
      </w:pPr>
      <w:bookmarkStart w:name="13._Costs_to_Respondents" w:id="11"/>
      <w:bookmarkEnd w:id="11"/>
    </w:p>
    <w:p w:rsidR="00446D15" w:rsidP="00AC2339" w:rsidRDefault="00446D15" w14:paraId="5314C399" w14:textId="77777777">
      <w:pPr>
        <w:pStyle w:val="Heading1"/>
        <w:numPr>
          <w:ilvl w:val="0"/>
          <w:numId w:val="3"/>
        </w:numPr>
        <w:tabs>
          <w:tab w:val="left" w:pos="1180"/>
        </w:tabs>
      </w:pPr>
      <w:r>
        <w:t>Costs</w:t>
      </w:r>
      <w:r w:rsidRPr="00EA1B70">
        <w:t xml:space="preserve"> </w:t>
      </w:r>
      <w:r>
        <w:t>to</w:t>
      </w:r>
      <w:r w:rsidRPr="00EA1B70">
        <w:t xml:space="preserve"> </w:t>
      </w:r>
      <w:r>
        <w:t>Respondents</w:t>
      </w:r>
    </w:p>
    <w:p w:rsidR="00EA1B70" w:rsidP="00446D15" w:rsidRDefault="00EA1B70" w14:paraId="5EA0AE61" w14:textId="77777777">
      <w:pPr>
        <w:pStyle w:val="BodyText"/>
        <w:ind w:left="460"/>
      </w:pPr>
    </w:p>
    <w:p w:rsidRPr="00EA1B70" w:rsidR="00446D15" w:rsidP="00AC2339" w:rsidRDefault="00446D15" w14:paraId="554EAB5C" w14:textId="77777777">
      <w:pPr>
        <w:pStyle w:val="BodyText"/>
        <w:ind w:left="766" w:firstLine="260"/>
        <w:rPr>
          <w:sz w:val="24"/>
        </w:rPr>
      </w:pPr>
      <w:r w:rsidRPr="00EA1B70">
        <w:rPr>
          <w:sz w:val="24"/>
        </w:rPr>
        <w:t>No costs are anticipated.</w:t>
      </w:r>
    </w:p>
    <w:p w:rsidR="00446D15" w:rsidP="00446D15" w:rsidRDefault="00446D15" w14:paraId="4610C662" w14:textId="77777777">
      <w:pPr>
        <w:pStyle w:val="BodyText"/>
        <w:spacing w:before="3"/>
      </w:pPr>
    </w:p>
    <w:p w:rsidR="00446D15" w:rsidP="00AC2339" w:rsidRDefault="00446D15" w14:paraId="0C976EE7" w14:textId="77777777">
      <w:pPr>
        <w:pStyle w:val="Heading1"/>
        <w:numPr>
          <w:ilvl w:val="0"/>
          <w:numId w:val="3"/>
        </w:numPr>
        <w:tabs>
          <w:tab w:val="left" w:pos="1180"/>
        </w:tabs>
      </w:pPr>
      <w:bookmarkStart w:name="14._Costs_to_Federal_Government" w:id="12"/>
      <w:bookmarkEnd w:id="12"/>
      <w:r>
        <w:t>Costs</w:t>
      </w:r>
      <w:r w:rsidRPr="00EA1B70">
        <w:t xml:space="preserve"> </w:t>
      </w:r>
      <w:r>
        <w:t>to</w:t>
      </w:r>
      <w:r w:rsidRPr="00EA1B70">
        <w:t xml:space="preserve"> </w:t>
      </w:r>
      <w:r>
        <w:t>Federal</w:t>
      </w:r>
      <w:r w:rsidRPr="00EA1B70">
        <w:t xml:space="preserve"> </w:t>
      </w:r>
      <w:r>
        <w:t>Government</w:t>
      </w:r>
    </w:p>
    <w:p w:rsidR="00446D15" w:rsidP="00446D15" w:rsidRDefault="00446D15" w14:paraId="28864A78" w14:textId="77777777">
      <w:pPr>
        <w:pStyle w:val="BodyText"/>
        <w:spacing w:before="1"/>
        <w:rPr>
          <w:b/>
        </w:rPr>
      </w:pPr>
    </w:p>
    <w:p w:rsidRPr="00EA1B70" w:rsidR="00446D15" w:rsidP="00AC2339" w:rsidRDefault="00446D15" w14:paraId="42E39A10" w14:textId="77777777">
      <w:pPr>
        <w:pStyle w:val="BodyText"/>
        <w:ind w:left="1026"/>
        <w:rPr>
          <w:sz w:val="24"/>
        </w:rPr>
      </w:pPr>
      <w:r w:rsidRPr="00EA1B70">
        <w:rPr>
          <w:sz w:val="24"/>
        </w:rPr>
        <w:t>The anticipated cost to the Federal Government is approximately $43,000 annually. These costs are comprised of contractor unit cost per survey response ($6.92)</w:t>
      </w:r>
      <w:r w:rsidR="00EA1B70">
        <w:rPr>
          <w:sz w:val="24"/>
        </w:rPr>
        <w:t>.</w:t>
      </w:r>
    </w:p>
    <w:p w:rsidR="00446D15" w:rsidP="00446D15" w:rsidRDefault="00446D15" w14:paraId="309A21B1" w14:textId="77777777">
      <w:pPr>
        <w:pStyle w:val="BodyText"/>
        <w:spacing w:before="3"/>
      </w:pPr>
    </w:p>
    <w:p w:rsidR="00446D15" w:rsidP="00AC2339" w:rsidRDefault="00446D15" w14:paraId="240B60E3" w14:textId="77777777">
      <w:pPr>
        <w:pStyle w:val="Heading1"/>
        <w:numPr>
          <w:ilvl w:val="0"/>
          <w:numId w:val="3"/>
        </w:numPr>
        <w:tabs>
          <w:tab w:val="left" w:pos="1180"/>
        </w:tabs>
      </w:pPr>
      <w:bookmarkStart w:name="15._Reason_for_Change" w:id="13"/>
      <w:bookmarkEnd w:id="13"/>
      <w:r>
        <w:t>Reason</w:t>
      </w:r>
      <w:r w:rsidRPr="00EA1B70">
        <w:t xml:space="preserve"> </w:t>
      </w:r>
      <w:r>
        <w:t>for</w:t>
      </w:r>
      <w:r w:rsidRPr="00EA1B70">
        <w:t xml:space="preserve"> </w:t>
      </w:r>
      <w:r>
        <w:t>Change</w:t>
      </w:r>
    </w:p>
    <w:p w:rsidR="00446D15" w:rsidP="00446D15" w:rsidRDefault="00446D15" w14:paraId="6390B948" w14:textId="77777777">
      <w:pPr>
        <w:pStyle w:val="BodyText"/>
        <w:spacing w:before="10"/>
        <w:rPr>
          <w:b/>
          <w:sz w:val="21"/>
        </w:rPr>
      </w:pPr>
    </w:p>
    <w:p w:rsidRPr="00EA1B70" w:rsidR="00446D15" w:rsidP="00AC2339" w:rsidRDefault="00446D15" w14:paraId="4220F0AC" w14:textId="7A4FEE5A">
      <w:pPr>
        <w:pStyle w:val="BodyText"/>
        <w:ind w:left="766" w:firstLine="260"/>
        <w:rPr>
          <w:sz w:val="24"/>
        </w:rPr>
      </w:pPr>
      <w:r w:rsidRPr="00EA1B70">
        <w:rPr>
          <w:sz w:val="24"/>
        </w:rPr>
        <w:t xml:space="preserve">Not applicable. </w:t>
      </w:r>
      <w:r w:rsidR="007F4153">
        <w:rPr>
          <w:sz w:val="24"/>
        </w:rPr>
        <w:t>This is a new collection.</w:t>
      </w:r>
    </w:p>
    <w:p w:rsidR="00446D15" w:rsidP="00AC2339" w:rsidRDefault="00446D15" w14:paraId="04BDD772" w14:textId="3FBF2D22">
      <w:pPr>
        <w:pStyle w:val="Heading1"/>
        <w:tabs>
          <w:tab w:val="left" w:pos="1180"/>
        </w:tabs>
        <w:ind w:left="1386" w:firstLine="0"/>
      </w:pPr>
    </w:p>
    <w:p w:rsidR="00446D15" w:rsidP="00AC2339" w:rsidRDefault="00446D15" w14:paraId="01FEE58B" w14:textId="77777777">
      <w:pPr>
        <w:pStyle w:val="Heading1"/>
        <w:numPr>
          <w:ilvl w:val="0"/>
          <w:numId w:val="3"/>
        </w:numPr>
        <w:tabs>
          <w:tab w:val="left" w:pos="1180"/>
        </w:tabs>
      </w:pPr>
      <w:bookmarkStart w:name="16._Information_Collection_Planned_for_S" w:id="14"/>
      <w:bookmarkEnd w:id="14"/>
      <w:r>
        <w:t>Information</w:t>
      </w:r>
      <w:r w:rsidRPr="00EA1B70">
        <w:t xml:space="preserve"> </w:t>
      </w:r>
      <w:r>
        <w:t>Collection</w:t>
      </w:r>
      <w:r w:rsidRPr="00EA1B70">
        <w:t xml:space="preserve"> </w:t>
      </w:r>
      <w:r>
        <w:t>Planned</w:t>
      </w:r>
      <w:r w:rsidRPr="00EA1B70">
        <w:t xml:space="preserve"> </w:t>
      </w:r>
      <w:r>
        <w:t>for</w:t>
      </w:r>
      <w:r w:rsidRPr="00EA1B70">
        <w:t xml:space="preserve"> </w:t>
      </w:r>
      <w:r>
        <w:t>Statistical</w:t>
      </w:r>
      <w:r w:rsidRPr="00EA1B70">
        <w:t xml:space="preserve"> </w:t>
      </w:r>
      <w:r>
        <w:t>Purposes</w:t>
      </w:r>
    </w:p>
    <w:p w:rsidR="00446D15" w:rsidP="00446D15" w:rsidRDefault="00446D15" w14:paraId="2AB8B0A8" w14:textId="77777777">
      <w:pPr>
        <w:pStyle w:val="BodyText"/>
        <w:spacing w:before="9"/>
        <w:rPr>
          <w:b/>
          <w:sz w:val="21"/>
        </w:rPr>
      </w:pPr>
    </w:p>
    <w:p w:rsidRPr="00EA1B70" w:rsidR="00446D15" w:rsidP="00AC2339" w:rsidRDefault="00446D15" w14:paraId="0A5DE87D" w14:textId="2A683A3B">
      <w:pPr>
        <w:pStyle w:val="BodyText"/>
        <w:ind w:left="1026"/>
        <w:rPr>
          <w:sz w:val="24"/>
        </w:rPr>
      </w:pPr>
      <w:r w:rsidRPr="00C71320">
        <w:rPr>
          <w:sz w:val="24"/>
        </w:rPr>
        <w:t>Feedback collected under this clearance provides useful information, and</w:t>
      </w:r>
      <w:r w:rsidRPr="00C71320" w:rsidR="00B6234E">
        <w:rPr>
          <w:sz w:val="24"/>
        </w:rPr>
        <w:t>,</w:t>
      </w:r>
      <w:r w:rsidRPr="00C71320">
        <w:rPr>
          <w:sz w:val="24"/>
        </w:rPr>
        <w:t xml:space="preserve"> for details on how the Office may </w:t>
      </w:r>
      <w:r w:rsidR="004019FD">
        <w:rPr>
          <w:sz w:val="24"/>
        </w:rPr>
        <w:t>make use of</w:t>
      </w:r>
      <w:r w:rsidRPr="00C71320" w:rsidR="00C71320">
        <w:rPr>
          <w:sz w:val="24"/>
        </w:rPr>
        <w:t xml:space="preserve"> the</w:t>
      </w:r>
      <w:r w:rsidRPr="00C71320">
        <w:rPr>
          <w:sz w:val="24"/>
        </w:rPr>
        <w:t xml:space="preserve"> feedback, please see </w:t>
      </w:r>
      <w:r w:rsidRPr="00C71320" w:rsidR="00FA7137">
        <w:rPr>
          <w:sz w:val="24"/>
        </w:rPr>
        <w:t>Section A.2</w:t>
      </w:r>
      <w:r w:rsidRPr="00C71320" w:rsidR="00A9051C">
        <w:rPr>
          <w:sz w:val="24"/>
        </w:rPr>
        <w:t>.a.iv</w:t>
      </w:r>
      <w:r w:rsidRPr="00C71320">
        <w:rPr>
          <w:sz w:val="24"/>
        </w:rPr>
        <w:t xml:space="preserve"> above. While the collected feedback</w:t>
      </w:r>
      <w:r w:rsidRPr="00C71320" w:rsidR="00C71320">
        <w:rPr>
          <w:sz w:val="24"/>
        </w:rPr>
        <w:t xml:space="preserve"> will include qualitative and quantitative information</w:t>
      </w:r>
      <w:r w:rsidRPr="00C71320">
        <w:rPr>
          <w:sz w:val="24"/>
        </w:rPr>
        <w:t xml:space="preserve">, </w:t>
      </w:r>
      <w:r w:rsidRPr="00C71320" w:rsidR="00C71320">
        <w:rPr>
          <w:sz w:val="24"/>
        </w:rPr>
        <w:t>this information</w:t>
      </w:r>
      <w:r w:rsidRPr="00C71320">
        <w:rPr>
          <w:sz w:val="24"/>
        </w:rPr>
        <w:t xml:space="preserve"> will not be generalizable to</w:t>
      </w:r>
      <w:r w:rsidRPr="00C71320" w:rsidR="00CC46A2">
        <w:rPr>
          <w:sz w:val="24"/>
        </w:rPr>
        <w:t xml:space="preserve"> the</w:t>
      </w:r>
      <w:r w:rsidRPr="00C71320">
        <w:rPr>
          <w:sz w:val="24"/>
        </w:rPr>
        <w:t xml:space="preserve"> overall population because </w:t>
      </w:r>
      <w:r w:rsidRPr="00C71320" w:rsidR="00C71320">
        <w:rPr>
          <w:sz w:val="24"/>
        </w:rPr>
        <w:t xml:space="preserve">it </w:t>
      </w:r>
      <w:r w:rsidRPr="00C71320">
        <w:rPr>
          <w:sz w:val="24"/>
        </w:rPr>
        <w:t>will be specific to respondents</w:t>
      </w:r>
      <w:r w:rsidRPr="0081136B">
        <w:rPr>
          <w:sz w:val="24"/>
        </w:rPr>
        <w:t xml:space="preserve"> to </w:t>
      </w:r>
      <w:r w:rsidR="0081136B">
        <w:rPr>
          <w:sz w:val="24"/>
        </w:rPr>
        <w:t>the collections,</w:t>
      </w:r>
      <w:r w:rsidRPr="0081136B" w:rsidR="0081136B">
        <w:rPr>
          <w:sz w:val="24"/>
        </w:rPr>
        <w:t xml:space="preserve"> </w:t>
      </w:r>
      <w:r w:rsidRPr="0081136B">
        <w:rPr>
          <w:sz w:val="24"/>
        </w:rPr>
        <w:t xml:space="preserve">and no complex analytical techniques will be used. </w:t>
      </w:r>
    </w:p>
    <w:p w:rsidRPr="00EA1B70" w:rsidR="00446D15" w:rsidP="00EA1B70" w:rsidRDefault="00446D15" w14:paraId="4FACCA84" w14:textId="77777777">
      <w:pPr>
        <w:pStyle w:val="BodyText"/>
        <w:ind w:left="460" w:firstLine="260"/>
        <w:rPr>
          <w:sz w:val="24"/>
        </w:rPr>
      </w:pPr>
    </w:p>
    <w:p w:rsidRPr="00EA1B70" w:rsidR="00446D15" w:rsidP="00AC2339" w:rsidRDefault="00446D15" w14:paraId="32E21241" w14:textId="58CFCCDC">
      <w:pPr>
        <w:pStyle w:val="BodyText"/>
        <w:ind w:left="1026"/>
        <w:rPr>
          <w:sz w:val="24"/>
        </w:rPr>
      </w:pPr>
      <w:r w:rsidRPr="00EA1B70">
        <w:rPr>
          <w:sz w:val="24"/>
        </w:rPr>
        <w:t>Finally, the Commission may receive requests to release the information (e.g., congressional inquiry</w:t>
      </w:r>
      <w:r w:rsidR="00EF5557">
        <w:rPr>
          <w:sz w:val="24"/>
        </w:rPr>
        <w:t xml:space="preserve"> and</w:t>
      </w:r>
      <w:r w:rsidR="008B6267">
        <w:rPr>
          <w:sz w:val="24"/>
        </w:rPr>
        <w:t xml:space="preserve"> </w:t>
      </w:r>
      <w:r w:rsidRPr="00EA1B70">
        <w:rPr>
          <w:sz w:val="24"/>
        </w:rPr>
        <w:t xml:space="preserve">Freedom of Information Act requests). The Commission will disseminate the </w:t>
      </w:r>
      <w:r w:rsidR="004019FD">
        <w:rPr>
          <w:sz w:val="24"/>
        </w:rPr>
        <w:t>information</w:t>
      </w:r>
      <w:r w:rsidRPr="00EA1B70">
        <w:rPr>
          <w:sz w:val="24"/>
        </w:rPr>
        <w:t xml:space="preserve"> when appropriate, strictly following the Commission’s "Guidelines for Ensuring the Quality of Information Disseminated to the Public," and will include specific discussion of the limitation of the </w:t>
      </w:r>
      <w:r w:rsidR="004019FD">
        <w:rPr>
          <w:sz w:val="24"/>
        </w:rPr>
        <w:t>information</w:t>
      </w:r>
      <w:r w:rsidRPr="00EA1B70">
        <w:rPr>
          <w:sz w:val="24"/>
        </w:rPr>
        <w:t xml:space="preserve"> discussed above.</w:t>
      </w:r>
    </w:p>
    <w:p w:rsidR="00446D15" w:rsidP="00446D15" w:rsidRDefault="00446D15" w14:paraId="25E31B76" w14:textId="77777777">
      <w:pPr>
        <w:pStyle w:val="BodyText"/>
        <w:spacing w:before="2"/>
        <w:rPr>
          <w:sz w:val="24"/>
        </w:rPr>
      </w:pPr>
    </w:p>
    <w:p w:rsidR="00446D15" w:rsidP="00AC2339" w:rsidRDefault="00446D15" w14:paraId="14A13B29" w14:textId="77777777">
      <w:pPr>
        <w:pStyle w:val="Heading1"/>
        <w:numPr>
          <w:ilvl w:val="0"/>
          <w:numId w:val="3"/>
        </w:numPr>
        <w:tabs>
          <w:tab w:val="left" w:pos="1180"/>
        </w:tabs>
      </w:pPr>
      <w:bookmarkStart w:name="17._Approval_to_Omit_OMB_Expiration_Date" w:id="15"/>
      <w:bookmarkEnd w:id="15"/>
      <w:r>
        <w:lastRenderedPageBreak/>
        <w:t>Approval</w:t>
      </w:r>
      <w:r w:rsidRPr="00EA1B70">
        <w:t xml:space="preserve"> </w:t>
      </w:r>
      <w:r>
        <w:t>to</w:t>
      </w:r>
      <w:r w:rsidRPr="00EA1B70">
        <w:t xml:space="preserve"> </w:t>
      </w:r>
      <w:r>
        <w:t>Omit</w:t>
      </w:r>
      <w:r w:rsidRPr="00EA1B70">
        <w:t xml:space="preserve"> </w:t>
      </w:r>
      <w:r>
        <w:t>OMB</w:t>
      </w:r>
      <w:r w:rsidRPr="00EA1B70">
        <w:t xml:space="preserve"> </w:t>
      </w:r>
      <w:r>
        <w:t>Expiration</w:t>
      </w:r>
      <w:r w:rsidRPr="00EA1B70">
        <w:t xml:space="preserve"> </w:t>
      </w:r>
      <w:r>
        <w:t>Date</w:t>
      </w:r>
    </w:p>
    <w:p w:rsidR="00446D15" w:rsidP="00446D15" w:rsidRDefault="00446D15" w14:paraId="08675DB4" w14:textId="77777777">
      <w:pPr>
        <w:pStyle w:val="BodyText"/>
        <w:spacing w:before="10"/>
        <w:rPr>
          <w:b/>
          <w:sz w:val="21"/>
        </w:rPr>
      </w:pPr>
    </w:p>
    <w:p w:rsidR="00446D15" w:rsidP="00AC2339" w:rsidRDefault="00446D15" w14:paraId="008272A6" w14:textId="3D7ED495">
      <w:pPr>
        <w:pStyle w:val="BodyText"/>
        <w:ind w:left="766" w:firstLine="260"/>
        <w:rPr>
          <w:sz w:val="24"/>
        </w:rPr>
      </w:pPr>
      <w:r w:rsidRPr="00EA1B70">
        <w:rPr>
          <w:sz w:val="24"/>
        </w:rPr>
        <w:t>The Office is seeking approval to omit the expiration date.</w:t>
      </w:r>
      <w:r w:rsidR="00BE7435">
        <w:rPr>
          <w:sz w:val="24"/>
        </w:rPr>
        <w:t xml:space="preserve"> </w:t>
      </w:r>
      <w:r w:rsidR="006C1622">
        <w:rPr>
          <w:sz w:val="24"/>
        </w:rPr>
        <w:t>The Office</w:t>
      </w:r>
      <w:r w:rsidR="00BE7435">
        <w:rPr>
          <w:sz w:val="24"/>
        </w:rPr>
        <w:t xml:space="preserve"> believe</w:t>
      </w:r>
      <w:r w:rsidR="006C1622">
        <w:rPr>
          <w:sz w:val="24"/>
        </w:rPr>
        <w:t>s</w:t>
      </w:r>
      <w:r w:rsidR="00BE7435">
        <w:rPr>
          <w:sz w:val="24"/>
        </w:rPr>
        <w:t xml:space="preserve"> that the public interest will be better served by not including an expiration date for the </w:t>
      </w:r>
      <w:r w:rsidR="006C1622">
        <w:rPr>
          <w:sz w:val="24"/>
        </w:rPr>
        <w:t>collection</w:t>
      </w:r>
      <w:r w:rsidR="00EC664B">
        <w:rPr>
          <w:sz w:val="24"/>
        </w:rPr>
        <w:t>s</w:t>
      </w:r>
      <w:r w:rsidR="006C1622">
        <w:rPr>
          <w:sz w:val="24"/>
        </w:rPr>
        <w:t xml:space="preserve"> because the Office uses electronic means to collect the information that does not allow for inclusion of the expiration date (e.g., </w:t>
      </w:r>
      <w:r w:rsidR="002207EF">
        <w:rPr>
          <w:sz w:val="24"/>
        </w:rPr>
        <w:t xml:space="preserve">third </w:t>
      </w:r>
      <w:r w:rsidR="006C1622">
        <w:rPr>
          <w:sz w:val="24"/>
        </w:rPr>
        <w:t>party software for questionnaires). Including the expiration date would increase the costs of the collection due to the resources and time needed to create a new form.</w:t>
      </w:r>
    </w:p>
    <w:p w:rsidR="006C1622" w:rsidP="00AC2339" w:rsidRDefault="006C1622" w14:paraId="103E85A1" w14:textId="152E7242">
      <w:pPr>
        <w:pStyle w:val="BodyText"/>
        <w:ind w:left="766" w:firstLine="260"/>
        <w:rPr>
          <w:sz w:val="24"/>
        </w:rPr>
      </w:pPr>
    </w:p>
    <w:p w:rsidR="00446D15" w:rsidP="00AC2339" w:rsidRDefault="00446D15" w14:paraId="2774FCE2" w14:textId="77777777">
      <w:pPr>
        <w:pStyle w:val="Heading1"/>
        <w:tabs>
          <w:tab w:val="left" w:pos="1180"/>
        </w:tabs>
        <w:ind w:left="1386" w:firstLine="0"/>
      </w:pPr>
    </w:p>
    <w:p w:rsidR="00446D15" w:rsidP="00AC2339" w:rsidRDefault="00446D15" w14:paraId="4E1634E1" w14:textId="77777777">
      <w:pPr>
        <w:pStyle w:val="Heading1"/>
        <w:numPr>
          <w:ilvl w:val="0"/>
          <w:numId w:val="3"/>
        </w:numPr>
        <w:tabs>
          <w:tab w:val="left" w:pos="1180"/>
        </w:tabs>
      </w:pPr>
      <w:bookmarkStart w:name="18._Exceptions_to_Certification" w:id="16"/>
      <w:bookmarkEnd w:id="16"/>
      <w:r>
        <w:t>Exceptions</w:t>
      </w:r>
      <w:r w:rsidRPr="00EA1B70">
        <w:t xml:space="preserve"> </w:t>
      </w:r>
      <w:r>
        <w:t>to</w:t>
      </w:r>
      <w:r w:rsidRPr="00EA1B70">
        <w:t xml:space="preserve"> </w:t>
      </w:r>
      <w:r>
        <w:t>Certification</w:t>
      </w:r>
    </w:p>
    <w:p w:rsidRPr="00EA1B70" w:rsidR="00446D15" w:rsidP="00EA1B70" w:rsidRDefault="00446D15" w14:paraId="44F78BB8" w14:textId="77777777">
      <w:pPr>
        <w:pStyle w:val="BodyText"/>
        <w:spacing w:before="9"/>
        <w:ind w:left="460"/>
        <w:rPr>
          <w:sz w:val="24"/>
        </w:rPr>
      </w:pPr>
    </w:p>
    <w:p w:rsidRPr="00EA1B70" w:rsidR="00446D15" w:rsidP="00AC2339" w:rsidRDefault="00446D15" w14:paraId="67B7EA42" w14:textId="12D8C648">
      <w:pPr>
        <w:pStyle w:val="BodyText"/>
        <w:ind w:left="920" w:firstLine="106"/>
        <w:rPr>
          <w:sz w:val="24"/>
        </w:rPr>
      </w:pPr>
      <w:r w:rsidRPr="00EA1B70">
        <w:rPr>
          <w:sz w:val="24"/>
        </w:rPr>
        <w:t xml:space="preserve">These activities comply with the requirements in 5 CFR </w:t>
      </w:r>
      <w:r w:rsidR="00EF5557">
        <w:rPr>
          <w:sz w:val="24"/>
        </w:rPr>
        <w:t>§</w:t>
      </w:r>
      <w:r w:rsidRPr="00EA1B70">
        <w:rPr>
          <w:sz w:val="24"/>
        </w:rPr>
        <w:t>1320.9.</w:t>
      </w:r>
    </w:p>
    <w:p w:rsidR="00E10A20" w:rsidRDefault="00E10A20" w14:paraId="15A2CCB5" w14:textId="0E480581"/>
    <w:p w:rsidR="000C2495" w:rsidP="000C2495" w:rsidRDefault="000C2495" w14:paraId="197C15FE" w14:textId="07D360CA">
      <w:pPr>
        <w:pStyle w:val="ListParagraph"/>
        <w:numPr>
          <w:ilvl w:val="0"/>
          <w:numId w:val="1"/>
        </w:numPr>
        <w:spacing w:before="7"/>
        <w:ind w:right="305"/>
        <w:jc w:val="both"/>
        <w:rPr>
          <w:b/>
          <w:sz w:val="24"/>
        </w:rPr>
      </w:pPr>
      <w:r w:rsidRPr="000C2495">
        <w:rPr>
          <w:b/>
          <w:sz w:val="24"/>
        </w:rPr>
        <w:t>Statistical Methods</w:t>
      </w:r>
    </w:p>
    <w:p w:rsidR="000C2495" w:rsidP="000C2495" w:rsidRDefault="000C2495" w14:paraId="5334CB85" w14:textId="220D713E">
      <w:pPr>
        <w:spacing w:before="7"/>
        <w:ind w:right="305"/>
        <w:jc w:val="both"/>
        <w:rPr>
          <w:b/>
          <w:sz w:val="24"/>
        </w:rPr>
      </w:pPr>
    </w:p>
    <w:p w:rsidRPr="000C2495" w:rsidR="000C2495" w:rsidP="000C2495" w:rsidRDefault="000C2495" w14:paraId="78BE176F" w14:textId="276E0516">
      <w:pPr>
        <w:pStyle w:val="BodyText"/>
        <w:ind w:left="920" w:firstLine="106"/>
        <w:rPr>
          <w:sz w:val="24"/>
        </w:rPr>
      </w:pPr>
      <w:r w:rsidRPr="00C50AFA">
        <w:rPr>
          <w:sz w:val="24"/>
        </w:rPr>
        <w:t xml:space="preserve">The </w:t>
      </w:r>
      <w:r w:rsidR="00FE75F1">
        <w:rPr>
          <w:sz w:val="24"/>
        </w:rPr>
        <w:t>collections</w:t>
      </w:r>
      <w:r w:rsidRPr="00C50AFA" w:rsidR="00FE75F1">
        <w:rPr>
          <w:sz w:val="24"/>
        </w:rPr>
        <w:t xml:space="preserve"> </w:t>
      </w:r>
      <w:r w:rsidRPr="00C50AFA">
        <w:rPr>
          <w:sz w:val="24"/>
        </w:rPr>
        <w:t xml:space="preserve">do not employ statistical methods. </w:t>
      </w:r>
    </w:p>
    <w:sectPr w:rsidRPr="000C2495" w:rsidR="000C249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402FF8" w16cid:durableId="2635CFB1"/>
  <w16cid:commentId w16cid:paraId="426F8E53" w16cid:durableId="2635D050"/>
  <w16cid:commentId w16cid:paraId="18B6AEBC" w16cid:durableId="2630D9A0"/>
  <w16cid:commentId w16cid:paraId="149189CD" w16cid:durableId="2630DA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1688B" w14:textId="77777777" w:rsidR="006D3597" w:rsidRDefault="006D3597" w:rsidP="000869A0">
      <w:r>
        <w:separator/>
      </w:r>
    </w:p>
  </w:endnote>
  <w:endnote w:type="continuationSeparator" w:id="0">
    <w:p w14:paraId="5FCB0712" w14:textId="77777777" w:rsidR="006D3597" w:rsidRDefault="006D3597" w:rsidP="000869A0">
      <w:r>
        <w:continuationSeparator/>
      </w:r>
    </w:p>
  </w:endnote>
  <w:endnote w:type="continuationNotice" w:id="1">
    <w:p w14:paraId="1566F005" w14:textId="77777777" w:rsidR="006D3597" w:rsidRDefault="006D3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A8069" w14:textId="77777777" w:rsidR="006D3597" w:rsidRDefault="006D3597" w:rsidP="000869A0">
      <w:r>
        <w:separator/>
      </w:r>
    </w:p>
  </w:footnote>
  <w:footnote w:type="continuationSeparator" w:id="0">
    <w:p w14:paraId="4A50AF70" w14:textId="77777777" w:rsidR="006D3597" w:rsidRDefault="006D3597" w:rsidP="000869A0">
      <w:r>
        <w:continuationSeparator/>
      </w:r>
    </w:p>
  </w:footnote>
  <w:footnote w:type="continuationNotice" w:id="1">
    <w:p w14:paraId="561E71FB" w14:textId="77777777" w:rsidR="006D3597" w:rsidRDefault="006D3597"/>
  </w:footnote>
  <w:footnote w:id="2">
    <w:p w14:paraId="65F0DBA4" w14:textId="12DAC1BD" w:rsidR="000E4E19" w:rsidRPr="000E4E19" w:rsidRDefault="000E4E19">
      <w:pPr>
        <w:pStyle w:val="FootnoteText"/>
      </w:pPr>
      <w:r>
        <w:rPr>
          <w:rStyle w:val="FootnoteReference"/>
        </w:rPr>
        <w:footnoteRef/>
      </w:r>
      <w:r>
        <w:t xml:space="preserve"> </w:t>
      </w:r>
      <w:r w:rsidRPr="000E4E19">
        <w:rPr>
          <w:i/>
        </w:rPr>
        <w:t>See</w:t>
      </w:r>
      <w:r w:rsidRPr="000E4E19">
        <w:t xml:space="preserve"> SEC Small Business Advocate Act of 2016.</w:t>
      </w:r>
    </w:p>
  </w:footnote>
  <w:footnote w:id="3">
    <w:p w14:paraId="75A0B294" w14:textId="7A62CB84" w:rsidR="001111B3" w:rsidRPr="00321B9D" w:rsidRDefault="001111B3">
      <w:pPr>
        <w:pStyle w:val="FootnoteText"/>
        <w:rPr>
          <w:lang w:val="es-419"/>
        </w:rPr>
      </w:pPr>
      <w:r>
        <w:rPr>
          <w:rStyle w:val="FootnoteReference"/>
        </w:rPr>
        <w:footnoteRef/>
      </w:r>
      <w:r w:rsidRPr="00321B9D">
        <w:rPr>
          <w:lang w:val="es-419"/>
        </w:rPr>
        <w:t xml:space="preserve"> 15 U.S.C. § 78d(j)(4)(E).</w:t>
      </w:r>
    </w:p>
  </w:footnote>
  <w:footnote w:id="4">
    <w:p w14:paraId="1FADA841" w14:textId="6C75CC44" w:rsidR="001111B3" w:rsidRPr="00321B9D" w:rsidRDefault="001111B3">
      <w:pPr>
        <w:pStyle w:val="FootnoteText"/>
        <w:rPr>
          <w:lang w:val="es-419"/>
        </w:rPr>
      </w:pPr>
      <w:r>
        <w:rPr>
          <w:rStyle w:val="FootnoteReference"/>
        </w:rPr>
        <w:footnoteRef/>
      </w:r>
      <w:r w:rsidRPr="00321B9D">
        <w:rPr>
          <w:lang w:val="es-419"/>
        </w:rPr>
        <w:t xml:space="preserve"> 15 U.S.C. § 78d(j)(4)(C).</w:t>
      </w:r>
    </w:p>
  </w:footnote>
  <w:footnote w:id="5">
    <w:p w14:paraId="5CC8156B" w14:textId="77777777" w:rsidR="001111B3" w:rsidRDefault="001111B3" w:rsidP="007A2B2C">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DA5"/>
    <w:multiLevelType w:val="hybridMultilevel"/>
    <w:tmpl w:val="3650F9E0"/>
    <w:lvl w:ilvl="0" w:tplc="04090001">
      <w:start w:val="1"/>
      <w:numFmt w:val="bullet"/>
      <w:lvlText w:val=""/>
      <w:lvlJc w:val="left"/>
      <w:pPr>
        <w:ind w:left="1746" w:hanging="360"/>
      </w:pPr>
      <w:rPr>
        <w:rFonts w:ascii="Symbol" w:hAnsi="Symbol" w:hint="default"/>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1" w15:restartNumberingAfterBreak="0">
    <w:nsid w:val="10F94C81"/>
    <w:multiLevelType w:val="hybridMultilevel"/>
    <w:tmpl w:val="9FE47BC0"/>
    <w:lvl w:ilvl="0" w:tplc="FFE69F8E">
      <w:start w:val="1"/>
      <w:numFmt w:val="decimal"/>
      <w:lvlText w:val="%1."/>
      <w:lvlJc w:val="left"/>
      <w:pPr>
        <w:ind w:left="1386" w:hanging="360"/>
      </w:pPr>
      <w:rPr>
        <w:rFonts w:hint="default"/>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2" w15:restartNumberingAfterBreak="0">
    <w:nsid w:val="14082CB8"/>
    <w:multiLevelType w:val="hybridMultilevel"/>
    <w:tmpl w:val="EFCA96BA"/>
    <w:lvl w:ilvl="0" w:tplc="31CCBFBA">
      <w:start w:val="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225B6"/>
    <w:multiLevelType w:val="hybridMultilevel"/>
    <w:tmpl w:val="9C945DC0"/>
    <w:lvl w:ilvl="0" w:tplc="1CF40ACC">
      <w:start w:val="1"/>
      <w:numFmt w:val="bullet"/>
      <w:lvlText w:val=""/>
      <w:lvlJc w:val="left"/>
      <w:pPr>
        <w:ind w:left="1386" w:hanging="360"/>
      </w:pPr>
      <w:rPr>
        <w:rFonts w:ascii="Symbol" w:eastAsia="Calibri" w:hAnsi="Symbol" w:cs="Calibri"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4" w15:restartNumberingAfterBreak="0">
    <w:nsid w:val="3CC87F92"/>
    <w:multiLevelType w:val="hybridMultilevel"/>
    <w:tmpl w:val="A776FD54"/>
    <w:lvl w:ilvl="0" w:tplc="80F8173A">
      <w:start w:val="3"/>
      <w:numFmt w:val="decimal"/>
      <w:lvlText w:val="%1."/>
      <w:lvlJc w:val="left"/>
      <w:pPr>
        <w:ind w:left="1386" w:hanging="360"/>
      </w:pPr>
      <w:rPr>
        <w:rFonts w:ascii="Calibri" w:eastAsia="Calibri" w:hAnsi="Calibri" w:cs="Calibri" w:hint="default"/>
        <w:b/>
        <w:bCs/>
        <w:i w:val="0"/>
        <w:iCs w:val="0"/>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B856B7"/>
    <w:multiLevelType w:val="hybridMultilevel"/>
    <w:tmpl w:val="3C8E85D4"/>
    <w:lvl w:ilvl="0" w:tplc="8434463A">
      <w:start w:val="1"/>
      <w:numFmt w:val="upperLetter"/>
      <w:lvlText w:val="%1."/>
      <w:lvlJc w:val="left"/>
      <w:pPr>
        <w:ind w:left="1026" w:hanging="360"/>
      </w:pPr>
      <w:rPr>
        <w:rFonts w:hint="default"/>
      </w:rPr>
    </w:lvl>
    <w:lvl w:ilvl="1" w:tplc="7E308378">
      <w:start w:val="1"/>
      <w:numFmt w:val="lowerLetter"/>
      <w:lvlText w:val="%2."/>
      <w:lvlJc w:val="left"/>
      <w:pPr>
        <w:ind w:left="1746" w:hanging="360"/>
      </w:pPr>
      <w:rPr>
        <w:rFonts w:hint="default"/>
      </w:r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6" w15:restartNumberingAfterBreak="0">
    <w:nsid w:val="623965FA"/>
    <w:multiLevelType w:val="hybridMultilevel"/>
    <w:tmpl w:val="0944D362"/>
    <w:lvl w:ilvl="0" w:tplc="1CF40ACC">
      <w:start w:val="1"/>
      <w:numFmt w:val="bullet"/>
      <w:lvlText w:val=""/>
      <w:lvlJc w:val="left"/>
      <w:pPr>
        <w:ind w:left="2412" w:hanging="360"/>
      </w:pPr>
      <w:rPr>
        <w:rFonts w:ascii="Symbol" w:eastAsia="Calibri" w:hAnsi="Symbol" w:cs="Calibri" w:hint="default"/>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7" w15:restartNumberingAfterBreak="0">
    <w:nsid w:val="6E9C13A5"/>
    <w:multiLevelType w:val="hybridMultilevel"/>
    <w:tmpl w:val="A7F87D86"/>
    <w:lvl w:ilvl="0" w:tplc="04090001">
      <w:start w:val="1"/>
      <w:numFmt w:val="bullet"/>
      <w:lvlText w:val=""/>
      <w:lvlJc w:val="left"/>
      <w:pPr>
        <w:ind w:left="1746" w:hanging="360"/>
      </w:pPr>
      <w:rPr>
        <w:rFonts w:ascii="Symbol" w:hAnsi="Symbol" w:hint="default"/>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num w:numId="1">
    <w:abstractNumId w:val="5"/>
  </w:num>
  <w:num w:numId="2">
    <w:abstractNumId w:val="1"/>
  </w:num>
  <w:num w:numId="3">
    <w:abstractNumId w:val="4"/>
  </w:num>
  <w:num w:numId="4">
    <w:abstractNumId w:val="7"/>
  </w:num>
  <w:num w:numId="5">
    <w:abstractNumId w:val="0"/>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419"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es-419" w:vendorID="64" w:dllVersion="131078"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D15"/>
    <w:rsid w:val="000078C0"/>
    <w:rsid w:val="00016025"/>
    <w:rsid w:val="0002141B"/>
    <w:rsid w:val="0002240C"/>
    <w:rsid w:val="000365CA"/>
    <w:rsid w:val="00053DA2"/>
    <w:rsid w:val="00060EA7"/>
    <w:rsid w:val="00061FEA"/>
    <w:rsid w:val="00071BCE"/>
    <w:rsid w:val="00081CAF"/>
    <w:rsid w:val="0008536D"/>
    <w:rsid w:val="000869A0"/>
    <w:rsid w:val="000927C1"/>
    <w:rsid w:val="0009591C"/>
    <w:rsid w:val="000B0AD1"/>
    <w:rsid w:val="000B4078"/>
    <w:rsid w:val="000B6802"/>
    <w:rsid w:val="000C075B"/>
    <w:rsid w:val="000C2495"/>
    <w:rsid w:val="000C3B59"/>
    <w:rsid w:val="000D5B0F"/>
    <w:rsid w:val="000D6C56"/>
    <w:rsid w:val="000E00CC"/>
    <w:rsid w:val="000E4E19"/>
    <w:rsid w:val="00102C9B"/>
    <w:rsid w:val="001111B3"/>
    <w:rsid w:val="00123DAC"/>
    <w:rsid w:val="0013791B"/>
    <w:rsid w:val="00141480"/>
    <w:rsid w:val="001440BA"/>
    <w:rsid w:val="00161370"/>
    <w:rsid w:val="00171453"/>
    <w:rsid w:val="00182544"/>
    <w:rsid w:val="00194BE8"/>
    <w:rsid w:val="001A29B4"/>
    <w:rsid w:val="001A3E4E"/>
    <w:rsid w:val="001A7D6A"/>
    <w:rsid w:val="001B024E"/>
    <w:rsid w:val="001B0FB3"/>
    <w:rsid w:val="001C053C"/>
    <w:rsid w:val="001D094C"/>
    <w:rsid w:val="001D22E7"/>
    <w:rsid w:val="00205AAF"/>
    <w:rsid w:val="00210DB9"/>
    <w:rsid w:val="00220463"/>
    <w:rsid w:val="002207EF"/>
    <w:rsid w:val="002439E4"/>
    <w:rsid w:val="0024522D"/>
    <w:rsid w:val="0025142D"/>
    <w:rsid w:val="00252AC8"/>
    <w:rsid w:val="002554F8"/>
    <w:rsid w:val="00263A44"/>
    <w:rsid w:val="00286910"/>
    <w:rsid w:val="00292DEC"/>
    <w:rsid w:val="0029653D"/>
    <w:rsid w:val="002A1FFF"/>
    <w:rsid w:val="002A2AFF"/>
    <w:rsid w:val="002B7C0D"/>
    <w:rsid w:val="002C1613"/>
    <w:rsid w:val="002D61F9"/>
    <w:rsid w:val="002E6C62"/>
    <w:rsid w:val="002F35F0"/>
    <w:rsid w:val="00302651"/>
    <w:rsid w:val="003029C9"/>
    <w:rsid w:val="00310D32"/>
    <w:rsid w:val="00312060"/>
    <w:rsid w:val="003132A4"/>
    <w:rsid w:val="0032140B"/>
    <w:rsid w:val="00321B9D"/>
    <w:rsid w:val="00322552"/>
    <w:rsid w:val="0033541F"/>
    <w:rsid w:val="00337D72"/>
    <w:rsid w:val="003466EF"/>
    <w:rsid w:val="00383381"/>
    <w:rsid w:val="00384008"/>
    <w:rsid w:val="003A2B55"/>
    <w:rsid w:val="003A467D"/>
    <w:rsid w:val="003B0F72"/>
    <w:rsid w:val="003B4435"/>
    <w:rsid w:val="003C6942"/>
    <w:rsid w:val="003F340C"/>
    <w:rsid w:val="004019FD"/>
    <w:rsid w:val="00401BC2"/>
    <w:rsid w:val="00404146"/>
    <w:rsid w:val="00414E4F"/>
    <w:rsid w:val="004359D8"/>
    <w:rsid w:val="00437E59"/>
    <w:rsid w:val="0044663A"/>
    <w:rsid w:val="00446D15"/>
    <w:rsid w:val="00470663"/>
    <w:rsid w:val="004712C4"/>
    <w:rsid w:val="00484A19"/>
    <w:rsid w:val="0048522E"/>
    <w:rsid w:val="0049521C"/>
    <w:rsid w:val="004A5740"/>
    <w:rsid w:val="004B6E5F"/>
    <w:rsid w:val="004D06CF"/>
    <w:rsid w:val="004D3E8A"/>
    <w:rsid w:val="004E5782"/>
    <w:rsid w:val="004F27AE"/>
    <w:rsid w:val="00506408"/>
    <w:rsid w:val="00507D45"/>
    <w:rsid w:val="00522369"/>
    <w:rsid w:val="005372A2"/>
    <w:rsid w:val="00541F3F"/>
    <w:rsid w:val="0054219F"/>
    <w:rsid w:val="00547BB1"/>
    <w:rsid w:val="00563E07"/>
    <w:rsid w:val="005676B4"/>
    <w:rsid w:val="00567D06"/>
    <w:rsid w:val="00575D40"/>
    <w:rsid w:val="00585E09"/>
    <w:rsid w:val="0058784B"/>
    <w:rsid w:val="005B0347"/>
    <w:rsid w:val="005C6381"/>
    <w:rsid w:val="005D77A5"/>
    <w:rsid w:val="005D78F9"/>
    <w:rsid w:val="005D7EC7"/>
    <w:rsid w:val="005E1743"/>
    <w:rsid w:val="006057C1"/>
    <w:rsid w:val="00607C4D"/>
    <w:rsid w:val="00610908"/>
    <w:rsid w:val="00616541"/>
    <w:rsid w:val="006428EE"/>
    <w:rsid w:val="00643C75"/>
    <w:rsid w:val="00655D82"/>
    <w:rsid w:val="00661213"/>
    <w:rsid w:val="00664297"/>
    <w:rsid w:val="006A0774"/>
    <w:rsid w:val="006A3F23"/>
    <w:rsid w:val="006B4BB3"/>
    <w:rsid w:val="006B56D1"/>
    <w:rsid w:val="006C1622"/>
    <w:rsid w:val="006C560B"/>
    <w:rsid w:val="006C6102"/>
    <w:rsid w:val="006D3597"/>
    <w:rsid w:val="006E008E"/>
    <w:rsid w:val="006E1FC9"/>
    <w:rsid w:val="006E580E"/>
    <w:rsid w:val="006F6E49"/>
    <w:rsid w:val="00702E2B"/>
    <w:rsid w:val="0073553C"/>
    <w:rsid w:val="007438F2"/>
    <w:rsid w:val="00746174"/>
    <w:rsid w:val="00754509"/>
    <w:rsid w:val="00755215"/>
    <w:rsid w:val="007572BB"/>
    <w:rsid w:val="00766179"/>
    <w:rsid w:val="00773003"/>
    <w:rsid w:val="00774424"/>
    <w:rsid w:val="00775DC0"/>
    <w:rsid w:val="00785923"/>
    <w:rsid w:val="007866A9"/>
    <w:rsid w:val="007A240B"/>
    <w:rsid w:val="007A2B2C"/>
    <w:rsid w:val="007A52AF"/>
    <w:rsid w:val="007A57D5"/>
    <w:rsid w:val="007C6721"/>
    <w:rsid w:val="007C79D6"/>
    <w:rsid w:val="007D0DDC"/>
    <w:rsid w:val="007D1900"/>
    <w:rsid w:val="007E4242"/>
    <w:rsid w:val="007F4153"/>
    <w:rsid w:val="007F47E7"/>
    <w:rsid w:val="007F6938"/>
    <w:rsid w:val="0081136B"/>
    <w:rsid w:val="008141E1"/>
    <w:rsid w:val="00824891"/>
    <w:rsid w:val="00833171"/>
    <w:rsid w:val="00836FF7"/>
    <w:rsid w:val="00842B7F"/>
    <w:rsid w:val="00844163"/>
    <w:rsid w:val="00855141"/>
    <w:rsid w:val="008575BA"/>
    <w:rsid w:val="00864C1D"/>
    <w:rsid w:val="008703C7"/>
    <w:rsid w:val="00872CBF"/>
    <w:rsid w:val="008831BE"/>
    <w:rsid w:val="00892EA5"/>
    <w:rsid w:val="008A220D"/>
    <w:rsid w:val="008A3AA3"/>
    <w:rsid w:val="008A58E3"/>
    <w:rsid w:val="008B1D2D"/>
    <w:rsid w:val="008B2F96"/>
    <w:rsid w:val="008B5A8C"/>
    <w:rsid w:val="008B6267"/>
    <w:rsid w:val="008C3312"/>
    <w:rsid w:val="008E75CE"/>
    <w:rsid w:val="009226BF"/>
    <w:rsid w:val="00922A26"/>
    <w:rsid w:val="00933175"/>
    <w:rsid w:val="00933E9E"/>
    <w:rsid w:val="0093472C"/>
    <w:rsid w:val="00950B7D"/>
    <w:rsid w:val="0095783D"/>
    <w:rsid w:val="009618A9"/>
    <w:rsid w:val="00966DDD"/>
    <w:rsid w:val="00972103"/>
    <w:rsid w:val="00983C58"/>
    <w:rsid w:val="00984D80"/>
    <w:rsid w:val="00992AFB"/>
    <w:rsid w:val="009B1589"/>
    <w:rsid w:val="009B6454"/>
    <w:rsid w:val="009D080E"/>
    <w:rsid w:val="009D2711"/>
    <w:rsid w:val="009E45AD"/>
    <w:rsid w:val="009E544E"/>
    <w:rsid w:val="009F016C"/>
    <w:rsid w:val="009F43F5"/>
    <w:rsid w:val="00A00E82"/>
    <w:rsid w:val="00A06878"/>
    <w:rsid w:val="00A17980"/>
    <w:rsid w:val="00A25F10"/>
    <w:rsid w:val="00A44F5A"/>
    <w:rsid w:val="00A547A3"/>
    <w:rsid w:val="00A56039"/>
    <w:rsid w:val="00A7787F"/>
    <w:rsid w:val="00A83100"/>
    <w:rsid w:val="00A9051C"/>
    <w:rsid w:val="00A96B32"/>
    <w:rsid w:val="00AA3BC0"/>
    <w:rsid w:val="00AA4A10"/>
    <w:rsid w:val="00AA6E28"/>
    <w:rsid w:val="00AA7745"/>
    <w:rsid w:val="00AB0D78"/>
    <w:rsid w:val="00AB5623"/>
    <w:rsid w:val="00AB74D0"/>
    <w:rsid w:val="00AC2339"/>
    <w:rsid w:val="00AE3C75"/>
    <w:rsid w:val="00AF3E2E"/>
    <w:rsid w:val="00B042F8"/>
    <w:rsid w:val="00B07791"/>
    <w:rsid w:val="00B119D3"/>
    <w:rsid w:val="00B11C07"/>
    <w:rsid w:val="00B17C54"/>
    <w:rsid w:val="00B61B4D"/>
    <w:rsid w:val="00B6234E"/>
    <w:rsid w:val="00B71D39"/>
    <w:rsid w:val="00B7251D"/>
    <w:rsid w:val="00B82E92"/>
    <w:rsid w:val="00B8565E"/>
    <w:rsid w:val="00B93665"/>
    <w:rsid w:val="00B96D89"/>
    <w:rsid w:val="00BB4D89"/>
    <w:rsid w:val="00BC09E7"/>
    <w:rsid w:val="00BE4178"/>
    <w:rsid w:val="00BE7435"/>
    <w:rsid w:val="00BF09FA"/>
    <w:rsid w:val="00C054DF"/>
    <w:rsid w:val="00C07651"/>
    <w:rsid w:val="00C17BB7"/>
    <w:rsid w:val="00C24415"/>
    <w:rsid w:val="00C36C50"/>
    <w:rsid w:val="00C50AFA"/>
    <w:rsid w:val="00C63233"/>
    <w:rsid w:val="00C64114"/>
    <w:rsid w:val="00C7052D"/>
    <w:rsid w:val="00C71320"/>
    <w:rsid w:val="00C91292"/>
    <w:rsid w:val="00C952D6"/>
    <w:rsid w:val="00C96053"/>
    <w:rsid w:val="00CA7456"/>
    <w:rsid w:val="00CC146C"/>
    <w:rsid w:val="00CC380B"/>
    <w:rsid w:val="00CC46A2"/>
    <w:rsid w:val="00CE2397"/>
    <w:rsid w:val="00D57F2B"/>
    <w:rsid w:val="00D705A3"/>
    <w:rsid w:val="00D87EF0"/>
    <w:rsid w:val="00D87F5B"/>
    <w:rsid w:val="00D9262A"/>
    <w:rsid w:val="00DA4595"/>
    <w:rsid w:val="00DA4FBE"/>
    <w:rsid w:val="00DC0D7A"/>
    <w:rsid w:val="00DC1063"/>
    <w:rsid w:val="00DC59FF"/>
    <w:rsid w:val="00DC7A28"/>
    <w:rsid w:val="00DD6E61"/>
    <w:rsid w:val="00DE25B5"/>
    <w:rsid w:val="00E10A20"/>
    <w:rsid w:val="00E24F90"/>
    <w:rsid w:val="00E3573B"/>
    <w:rsid w:val="00E63CCC"/>
    <w:rsid w:val="00E801D9"/>
    <w:rsid w:val="00E828D6"/>
    <w:rsid w:val="00EA1B70"/>
    <w:rsid w:val="00EA74D9"/>
    <w:rsid w:val="00EB21DA"/>
    <w:rsid w:val="00EC04CA"/>
    <w:rsid w:val="00EC664B"/>
    <w:rsid w:val="00EE0402"/>
    <w:rsid w:val="00EE23D9"/>
    <w:rsid w:val="00EE5449"/>
    <w:rsid w:val="00EE6861"/>
    <w:rsid w:val="00EF30C2"/>
    <w:rsid w:val="00EF5557"/>
    <w:rsid w:val="00F009B2"/>
    <w:rsid w:val="00F00D5E"/>
    <w:rsid w:val="00F242A0"/>
    <w:rsid w:val="00F43F49"/>
    <w:rsid w:val="00F47385"/>
    <w:rsid w:val="00F54E5C"/>
    <w:rsid w:val="00F558CD"/>
    <w:rsid w:val="00F76152"/>
    <w:rsid w:val="00F82FC9"/>
    <w:rsid w:val="00F864DD"/>
    <w:rsid w:val="00F901BC"/>
    <w:rsid w:val="00F915C4"/>
    <w:rsid w:val="00FA2E88"/>
    <w:rsid w:val="00FA4393"/>
    <w:rsid w:val="00FA7137"/>
    <w:rsid w:val="00FC06C0"/>
    <w:rsid w:val="00FC4CAE"/>
    <w:rsid w:val="00FD19E1"/>
    <w:rsid w:val="00FD399B"/>
    <w:rsid w:val="00FE75F1"/>
    <w:rsid w:val="00FF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93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46D15"/>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446D15"/>
    <w:pPr>
      <w:ind w:left="11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46D15"/>
    <w:rPr>
      <w:rFonts w:ascii="Calibri" w:eastAsia="Calibri" w:hAnsi="Calibri" w:cs="Calibri"/>
      <w:b/>
      <w:bCs/>
      <w:sz w:val="24"/>
      <w:szCs w:val="24"/>
    </w:rPr>
  </w:style>
  <w:style w:type="paragraph" w:styleId="ListParagraph">
    <w:name w:val="List Paragraph"/>
    <w:basedOn w:val="Normal"/>
    <w:uiPriority w:val="34"/>
    <w:qFormat/>
    <w:rsid w:val="00446D15"/>
    <w:pPr>
      <w:ind w:left="720"/>
      <w:contextualSpacing/>
    </w:pPr>
  </w:style>
  <w:style w:type="character" w:styleId="CommentReference">
    <w:name w:val="annotation reference"/>
    <w:basedOn w:val="DefaultParagraphFont"/>
    <w:uiPriority w:val="99"/>
    <w:semiHidden/>
    <w:unhideWhenUsed/>
    <w:rsid w:val="00446D15"/>
    <w:rPr>
      <w:sz w:val="16"/>
      <w:szCs w:val="16"/>
    </w:rPr>
  </w:style>
  <w:style w:type="paragraph" w:styleId="CommentText">
    <w:name w:val="annotation text"/>
    <w:basedOn w:val="Normal"/>
    <w:link w:val="CommentTextChar"/>
    <w:uiPriority w:val="99"/>
    <w:unhideWhenUsed/>
    <w:rsid w:val="00446D15"/>
    <w:rPr>
      <w:sz w:val="20"/>
      <w:szCs w:val="20"/>
    </w:rPr>
  </w:style>
  <w:style w:type="character" w:customStyle="1" w:styleId="CommentTextChar">
    <w:name w:val="Comment Text Char"/>
    <w:basedOn w:val="DefaultParagraphFont"/>
    <w:link w:val="CommentText"/>
    <w:uiPriority w:val="99"/>
    <w:rsid w:val="00446D15"/>
    <w:rPr>
      <w:rFonts w:ascii="Calibri" w:eastAsia="Calibri" w:hAnsi="Calibri" w:cs="Calibri"/>
      <w:sz w:val="20"/>
      <w:szCs w:val="20"/>
    </w:rPr>
  </w:style>
  <w:style w:type="paragraph" w:styleId="BodyText">
    <w:name w:val="Body Text"/>
    <w:basedOn w:val="Normal"/>
    <w:link w:val="BodyTextChar"/>
    <w:uiPriority w:val="1"/>
    <w:qFormat/>
    <w:rsid w:val="00446D15"/>
  </w:style>
  <w:style w:type="character" w:customStyle="1" w:styleId="BodyTextChar">
    <w:name w:val="Body Text Char"/>
    <w:basedOn w:val="DefaultParagraphFont"/>
    <w:link w:val="BodyText"/>
    <w:uiPriority w:val="1"/>
    <w:rsid w:val="00446D15"/>
    <w:rPr>
      <w:rFonts w:ascii="Calibri" w:eastAsia="Calibri" w:hAnsi="Calibri" w:cs="Calibri"/>
    </w:rPr>
  </w:style>
  <w:style w:type="table" w:styleId="TableGrid">
    <w:name w:val="Table Grid"/>
    <w:basedOn w:val="TableNormal"/>
    <w:uiPriority w:val="39"/>
    <w:rsid w:val="00446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D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15"/>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EA1B70"/>
    <w:rPr>
      <w:b/>
      <w:bCs/>
    </w:rPr>
  </w:style>
  <w:style w:type="character" w:customStyle="1" w:styleId="CommentSubjectChar">
    <w:name w:val="Comment Subject Char"/>
    <w:basedOn w:val="CommentTextChar"/>
    <w:link w:val="CommentSubject"/>
    <w:uiPriority w:val="99"/>
    <w:semiHidden/>
    <w:rsid w:val="00EA1B70"/>
    <w:rPr>
      <w:rFonts w:ascii="Calibri" w:eastAsia="Calibri" w:hAnsi="Calibri" w:cs="Calibri"/>
      <w:b/>
      <w:bCs/>
      <w:sz w:val="20"/>
      <w:szCs w:val="20"/>
    </w:rPr>
  </w:style>
  <w:style w:type="character" w:styleId="Hyperlink">
    <w:name w:val="Hyperlink"/>
    <w:basedOn w:val="DefaultParagraphFont"/>
    <w:uiPriority w:val="99"/>
    <w:unhideWhenUsed/>
    <w:rsid w:val="00A25F10"/>
    <w:rPr>
      <w:color w:val="0563C1" w:themeColor="hyperlink"/>
      <w:u w:val="single"/>
    </w:rPr>
  </w:style>
  <w:style w:type="paragraph" w:styleId="FootnoteText">
    <w:name w:val="footnote text"/>
    <w:basedOn w:val="Normal"/>
    <w:link w:val="FootnoteTextChar"/>
    <w:uiPriority w:val="99"/>
    <w:semiHidden/>
    <w:unhideWhenUsed/>
    <w:rsid w:val="000869A0"/>
    <w:rPr>
      <w:sz w:val="20"/>
      <w:szCs w:val="20"/>
    </w:rPr>
  </w:style>
  <w:style w:type="character" w:customStyle="1" w:styleId="FootnoteTextChar">
    <w:name w:val="Footnote Text Char"/>
    <w:basedOn w:val="DefaultParagraphFont"/>
    <w:link w:val="FootnoteText"/>
    <w:uiPriority w:val="99"/>
    <w:semiHidden/>
    <w:rsid w:val="000869A0"/>
    <w:rPr>
      <w:rFonts w:ascii="Calibri" w:eastAsia="Calibri" w:hAnsi="Calibri" w:cs="Calibri"/>
      <w:sz w:val="20"/>
      <w:szCs w:val="20"/>
    </w:rPr>
  </w:style>
  <w:style w:type="character" w:styleId="FootnoteReference">
    <w:name w:val="footnote reference"/>
    <w:basedOn w:val="DefaultParagraphFont"/>
    <w:uiPriority w:val="99"/>
    <w:semiHidden/>
    <w:unhideWhenUsed/>
    <w:rsid w:val="000869A0"/>
    <w:rPr>
      <w:vertAlign w:val="superscript"/>
    </w:rPr>
  </w:style>
  <w:style w:type="paragraph" w:styleId="Revision">
    <w:name w:val="Revision"/>
    <w:hidden/>
    <w:uiPriority w:val="99"/>
    <w:semiHidden/>
    <w:rsid w:val="00016025"/>
    <w:pPr>
      <w:spacing w:after="0" w:line="240" w:lineRule="auto"/>
    </w:pPr>
    <w:rPr>
      <w:rFonts w:ascii="Calibri" w:eastAsia="Calibri" w:hAnsi="Calibri" w:cs="Calibri"/>
    </w:rPr>
  </w:style>
  <w:style w:type="character" w:styleId="FollowedHyperlink">
    <w:name w:val="FollowedHyperlink"/>
    <w:basedOn w:val="DefaultParagraphFont"/>
    <w:uiPriority w:val="99"/>
    <w:semiHidden/>
    <w:unhideWhenUsed/>
    <w:rsid w:val="00071BCE"/>
    <w:rPr>
      <w:color w:val="954F72" w:themeColor="followedHyperlink"/>
      <w:u w:val="single"/>
    </w:rPr>
  </w:style>
  <w:style w:type="paragraph" w:styleId="Header">
    <w:name w:val="header"/>
    <w:basedOn w:val="Normal"/>
    <w:link w:val="HeaderChar"/>
    <w:uiPriority w:val="99"/>
    <w:unhideWhenUsed/>
    <w:rsid w:val="00102C9B"/>
    <w:pPr>
      <w:tabs>
        <w:tab w:val="center" w:pos="4680"/>
        <w:tab w:val="right" w:pos="9360"/>
      </w:tabs>
    </w:pPr>
  </w:style>
  <w:style w:type="character" w:customStyle="1" w:styleId="HeaderChar">
    <w:name w:val="Header Char"/>
    <w:basedOn w:val="DefaultParagraphFont"/>
    <w:link w:val="Header"/>
    <w:uiPriority w:val="99"/>
    <w:rsid w:val="00102C9B"/>
    <w:rPr>
      <w:rFonts w:ascii="Calibri" w:eastAsia="Calibri" w:hAnsi="Calibri" w:cs="Calibri"/>
    </w:rPr>
  </w:style>
  <w:style w:type="paragraph" w:styleId="Footer">
    <w:name w:val="footer"/>
    <w:basedOn w:val="Normal"/>
    <w:link w:val="FooterChar"/>
    <w:uiPriority w:val="99"/>
    <w:unhideWhenUsed/>
    <w:rsid w:val="00102C9B"/>
    <w:pPr>
      <w:tabs>
        <w:tab w:val="center" w:pos="4680"/>
        <w:tab w:val="right" w:pos="9360"/>
      </w:tabs>
    </w:pPr>
  </w:style>
  <w:style w:type="character" w:customStyle="1" w:styleId="FooterChar">
    <w:name w:val="Footer Char"/>
    <w:basedOn w:val="DefaultParagraphFont"/>
    <w:link w:val="Footer"/>
    <w:uiPriority w:val="99"/>
    <w:rsid w:val="00102C9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504543">
      <w:bodyDiv w:val="1"/>
      <w:marLeft w:val="0"/>
      <w:marRight w:val="0"/>
      <w:marTop w:val="0"/>
      <w:marBottom w:val="0"/>
      <w:divBdr>
        <w:top w:val="none" w:sz="0" w:space="0" w:color="auto"/>
        <w:left w:val="none" w:sz="0" w:space="0" w:color="auto"/>
        <w:bottom w:val="none" w:sz="0" w:space="0" w:color="auto"/>
        <w:right w:val="none" w:sz="0" w:space="0" w:color="auto"/>
      </w:divBdr>
    </w:div>
    <w:div w:id="184054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83401348775541A3720A1D67919308" ma:contentTypeVersion="2" ma:contentTypeDescription="Create a new document." ma:contentTypeScope="" ma:versionID="38154a335cc94b9bdba7584f35f70ee3">
  <xsd:schema xmlns:xsd="http://www.w3.org/2001/XMLSchema" xmlns:xs="http://www.w3.org/2001/XMLSchema" xmlns:p="http://schemas.microsoft.com/office/2006/metadata/properties" xmlns:ns1="http://schemas.microsoft.com/sharepoint/v3" targetNamespace="http://schemas.microsoft.com/office/2006/metadata/properties" ma:root="true" ma:fieldsID="7e0313e8f534e7cfdea454e34b92b3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EA13E-289C-4F6A-B2A7-F2B82D6558D8}">
  <ds:schemaRefs>
    <ds:schemaRef ds:uri="http://schemas.microsoft.com/sharepoint/v3/contenttype/forms"/>
  </ds:schemaRefs>
</ds:datastoreItem>
</file>

<file path=customXml/itemProps2.xml><?xml version="1.0" encoding="utf-8"?>
<ds:datastoreItem xmlns:ds="http://schemas.openxmlformats.org/officeDocument/2006/customXml" ds:itemID="{04F0CE5E-FC92-4ED3-817E-2B0E448B1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D090C-C1EF-43C4-9C7F-7726B4CC849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5C8F51C-1F0E-4A30-BEF2-4F2B771A0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1988</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2022-06-04T00:02:00Z</dcterms:created>
  <dcterms:modified xsi:type="dcterms:W3CDTF">2022-06-04T00:02:00Z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0x0101006683401348775541A3720A1D67919308</vt:lpwstr>
  </property>
  <property fmtid="{D5CDD505-2E9C-101B-9397-08002B2CF9AE}" pid="3" name="_dlc_DocIdItemGuid">
    <vt:lpwstr>fe3669b5-db87-4b18-a931-3c1bf7369577</vt:lpwstr>
  </property>
  <property fmtid="{D5CDD505-2E9C-101B-9397-08002B2CF9AE}" pid="4" name="_dlc_DocId">
    <vt:lpwstr>KKE47E4U7XZ3-2108-12918</vt:lpwstr>
  </property>
  <property fmtid="{D5CDD505-2E9C-101B-9397-08002B2CF9AE}" pid="5" name="_dlc_DocIdUrl">
    <vt:lpwstr>https://sharepointapps/sites/oit_pra/pra/_layouts/DocIdRedir.aspx?ID=KKE47E4U7XZ3-2108-12918, KKE47E4U7XZ3-2108-12918</vt:lpwstr>
  </property>
</Properties>
</file>