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52F7" w:rsidRDefault="00CD56EB" w14:paraId="00000001" w14:textId="77777777">
      <w:pPr>
        <w:rPr>
          <w:rFonts w:ascii="Courier New" w:hAnsi="Courier New" w:eastAsia="Courier New" w:cs="Courier New"/>
          <w:b/>
          <w:sz w:val="24"/>
          <w:szCs w:val="24"/>
          <w:u w:val="single"/>
        </w:rPr>
      </w:pPr>
    </w:p>
    <w:p w:rsidR="002B52F7" w:rsidRDefault="00603DF8" w14:paraId="00000002"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002B52F7" w:rsidRDefault="00603DF8" w14:paraId="00000003"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FOR PAPERWORK REDUCTION ACT SUBMISSION</w:t>
      </w:r>
    </w:p>
    <w:p w:rsidR="002B52F7" w:rsidRDefault="00603DF8" w14:paraId="00000004" w14:textId="77777777">
      <w:pPr>
        <w:spacing w:line="240" w:lineRule="auto"/>
        <w:jc w:val="center"/>
        <w:rPr>
          <w:rFonts w:ascii="Courier New" w:hAnsi="Courier New" w:eastAsia="Courier New" w:cs="Courier New"/>
          <w:b/>
          <w:color w:val="222222"/>
          <w:sz w:val="24"/>
          <w:szCs w:val="24"/>
        </w:rPr>
      </w:pPr>
      <w:r>
        <w:rPr>
          <w:rFonts w:ascii="Courier New" w:hAnsi="Courier New" w:eastAsia="Courier New" w:cs="Courier New"/>
          <w:b/>
          <w:sz w:val="24"/>
          <w:szCs w:val="24"/>
        </w:rPr>
        <w:t>OMB CONTROL NO. 9000</w:t>
      </w:r>
      <w:r>
        <w:rPr>
          <w:rFonts w:ascii="Courier New" w:hAnsi="Courier New" w:eastAsia="Courier New" w:cs="Courier New"/>
          <w:b/>
          <w:color w:val="222222"/>
          <w:sz w:val="24"/>
          <w:szCs w:val="24"/>
        </w:rPr>
        <w:t>-0184</w:t>
      </w:r>
    </w:p>
    <w:p w:rsidR="002B52F7" w:rsidRDefault="00603DF8" w14:paraId="00000005" w14:textId="77777777">
      <w:pPr>
        <w:spacing w:line="240" w:lineRule="auto"/>
        <w:jc w:val="center"/>
        <w:rPr>
          <w:rFonts w:ascii="Courier New" w:hAnsi="Courier New" w:eastAsia="Courier New" w:cs="Courier New"/>
          <w:b/>
          <w:color w:val="222222"/>
          <w:sz w:val="24"/>
          <w:szCs w:val="24"/>
        </w:rPr>
      </w:pPr>
      <w:r>
        <w:rPr>
          <w:rFonts w:ascii="Courier New" w:hAnsi="Courier New" w:eastAsia="Courier New" w:cs="Courier New"/>
          <w:b/>
          <w:color w:val="222222"/>
          <w:sz w:val="24"/>
          <w:szCs w:val="24"/>
        </w:rPr>
        <w:t>Contractors Performing Private Security Functions Outside the United States</w:t>
      </w:r>
    </w:p>
    <w:p w:rsidR="002B52F7" w:rsidRDefault="00CD56EB" w14:paraId="00000006" w14:textId="77777777">
      <w:pPr>
        <w:rPr>
          <w:rFonts w:ascii="Courier New" w:hAnsi="Courier New" w:eastAsia="Courier New" w:cs="Courier New"/>
          <w:b/>
          <w:sz w:val="24"/>
          <w:szCs w:val="24"/>
          <w:u w:val="single"/>
        </w:rPr>
      </w:pPr>
    </w:p>
    <w:p w:rsidR="002B52F7" w:rsidRDefault="00603DF8" w14:paraId="00000007" w14:textId="77777777">
      <w:pPr>
        <w:rPr>
          <w:rFonts w:ascii="Courier New" w:hAnsi="Courier New" w:eastAsia="Courier New" w:cs="Courier New"/>
          <w:sz w:val="24"/>
          <w:szCs w:val="24"/>
        </w:rPr>
      </w:pPr>
      <w:r>
        <w:rPr>
          <w:rFonts w:ascii="Courier New" w:hAnsi="Courier New" w:eastAsia="Courier New" w:cs="Courier New"/>
          <w:b/>
          <w:sz w:val="24"/>
          <w:szCs w:val="24"/>
        </w:rPr>
        <w:t>FAR section affected: 52.225-26</w:t>
      </w:r>
    </w:p>
    <w:p w:rsidR="002B52F7" w:rsidRDefault="00CD56EB" w14:paraId="00000008" w14:textId="77777777">
      <w:pPr>
        <w:rPr>
          <w:rFonts w:ascii="Courier New" w:hAnsi="Courier New" w:eastAsia="Courier New" w:cs="Courier New"/>
          <w:b/>
          <w:sz w:val="24"/>
          <w:szCs w:val="24"/>
        </w:rPr>
      </w:pPr>
    </w:p>
    <w:p w:rsidR="002B52F7" w:rsidRDefault="00603DF8" w14:paraId="00000009" w14:textId="77777777">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2B52F7" w:rsidRDefault="00CD56EB" w14:paraId="0000000A" w14:textId="77777777">
      <w:pPr>
        <w:rPr>
          <w:rFonts w:ascii="Courier New" w:hAnsi="Courier New" w:eastAsia="Courier New" w:cs="Courier New"/>
          <w:b/>
          <w:sz w:val="24"/>
          <w:szCs w:val="24"/>
        </w:rPr>
      </w:pPr>
    </w:p>
    <w:p w:rsidRPr="0035384B" w:rsidR="002B52F7" w:rsidP="0035384B" w:rsidRDefault="00603DF8" w14:paraId="0000000B" w14:textId="4FDDFD6C">
      <w:pPr>
        <w:rPr>
          <w:rFonts w:ascii="Courier New" w:hAnsi="Courier New" w:eastAsia="Courier New" w:cs="Courier New"/>
          <w:sz w:val="24"/>
          <w:szCs w:val="24"/>
        </w:rPr>
      </w:pPr>
      <w:r w:rsidRPr="0035384B">
        <w:rPr>
          <w:rFonts w:ascii="Courier New" w:hAnsi="Courier New" w:eastAsia="Courier New" w:cs="Courier New"/>
          <w:b/>
          <w:sz w:val="24"/>
          <w:szCs w:val="24"/>
        </w:rPr>
        <w:t>1.</w:t>
      </w:r>
      <w:r>
        <w:rPr>
          <w:rFonts w:ascii="Courier New" w:hAnsi="Courier New" w:eastAsia="Courier New" w:cs="Courier New"/>
          <w:b/>
          <w:sz w:val="24"/>
          <w:szCs w:val="24"/>
        </w:rPr>
        <w:t xml:space="preserve">  </w:t>
      </w:r>
      <w:r w:rsidRPr="0035384B">
        <w:rPr>
          <w:rFonts w:ascii="Courier New" w:hAnsi="Courier New" w:eastAsia="Courier New" w:cs="Courier New"/>
          <w:b/>
          <w:sz w:val="24"/>
          <w:szCs w:val="24"/>
        </w:rPr>
        <w:t>Administrative requirements</w:t>
      </w:r>
      <w:r w:rsidRPr="0035384B">
        <w:rPr>
          <w:rFonts w:ascii="Courier New" w:hAnsi="Courier New" w:eastAsia="Courier New" w:cs="Courier New"/>
          <w:sz w:val="24"/>
          <w:szCs w:val="24"/>
        </w:rPr>
        <w:t xml:space="preserve">. </w:t>
      </w:r>
    </w:p>
    <w:p w:rsidRPr="0035384B" w:rsidR="0035384B" w:rsidP="0035384B" w:rsidRDefault="00CD56EB" w14:paraId="57B48017" w14:textId="77777777"/>
    <w:p w:rsidR="002B52F7" w:rsidRDefault="00603DF8" w14:paraId="0000000C" w14:textId="77777777">
      <w:pPr>
        <w:rPr>
          <w:rFonts w:ascii="Courier New" w:hAnsi="Courier New" w:eastAsia="Courier New" w:cs="Courier New"/>
          <w:sz w:val="24"/>
          <w:szCs w:val="24"/>
        </w:rPr>
      </w:pPr>
      <w:r>
        <w:rPr>
          <w:rFonts w:ascii="Courier New" w:hAnsi="Courier New" w:eastAsia="Courier New" w:cs="Courier New"/>
          <w:sz w:val="24"/>
          <w:szCs w:val="24"/>
        </w:rPr>
        <w:tab/>
        <w:t xml:space="preserve">This justification supports an extension of the expiration date of OMB Control No. 9000-0184. This clearance covers the information that </w:t>
      </w:r>
      <w:r>
        <w:rPr>
          <w:rFonts w:ascii="Courier New" w:hAnsi="Courier New" w:eastAsia="Courier New" w:cs="Courier New"/>
          <w:color w:val="222222"/>
          <w:sz w:val="24"/>
          <w:szCs w:val="24"/>
        </w:rPr>
        <w:t>contractors</w:t>
      </w:r>
      <w:r>
        <w:rPr>
          <w:rFonts w:ascii="Courier New" w:hAnsi="Courier New" w:eastAsia="Courier New" w:cs="Courier New"/>
          <w:sz w:val="24"/>
          <w:szCs w:val="24"/>
        </w:rPr>
        <w:t xml:space="preserve"> must submit to comply with Federal Acquisition Regulation (FAR) clause 52.225-26, Contractors Performing Private Security Functions Outside the United States. When contract performance is required outside the United States in an area of combat operations or significant military operations, this clause requires contractors to ensure employees performing private security functions under the contract comply with 32 CFR part 159, and any orders, directives, or instructions that are identified in the contract for:</w:t>
      </w:r>
    </w:p>
    <w:p w:rsidR="002B52F7" w:rsidRDefault="00CD56EB" w14:paraId="0000000D" w14:textId="77777777">
      <w:pPr>
        <w:rPr>
          <w:rFonts w:ascii="Courier New" w:hAnsi="Courier New" w:eastAsia="Courier New" w:cs="Courier New"/>
          <w:sz w:val="24"/>
          <w:szCs w:val="24"/>
        </w:rPr>
      </w:pPr>
    </w:p>
    <w:p w:rsidR="002B52F7" w:rsidRDefault="00603DF8" w14:paraId="0000000E" w14:textId="77777777">
      <w:pPr>
        <w:numPr>
          <w:ilvl w:val="0"/>
          <w:numId w:val="2"/>
        </w:numPr>
        <w:rPr>
          <w:rFonts w:ascii="Courier New" w:hAnsi="Courier New" w:eastAsia="Courier New" w:cs="Courier New"/>
          <w:sz w:val="24"/>
          <w:szCs w:val="24"/>
        </w:rPr>
      </w:pPr>
      <w:r>
        <w:rPr>
          <w:rFonts w:ascii="Courier New" w:hAnsi="Courier New" w:eastAsia="Courier New" w:cs="Courier New"/>
          <w:sz w:val="24"/>
          <w:szCs w:val="24"/>
        </w:rPr>
        <w:t xml:space="preserve">Registering, processing, accounting for, managing, overseeing, and keeping appropriate records of personnel performing private security functions; </w:t>
      </w:r>
    </w:p>
    <w:p w:rsidR="002B52F7" w:rsidRDefault="00603DF8" w14:paraId="0000000F" w14:textId="77777777">
      <w:pPr>
        <w:numPr>
          <w:ilvl w:val="0"/>
          <w:numId w:val="2"/>
        </w:numPr>
        <w:rPr>
          <w:rFonts w:ascii="Courier New" w:hAnsi="Courier New" w:eastAsia="Courier New" w:cs="Courier New"/>
          <w:sz w:val="24"/>
          <w:szCs w:val="24"/>
        </w:rPr>
      </w:pPr>
      <w:r>
        <w:rPr>
          <w:rFonts w:ascii="Courier New" w:hAnsi="Courier New" w:eastAsia="Courier New" w:cs="Courier New"/>
          <w:sz w:val="24"/>
          <w:szCs w:val="24"/>
        </w:rPr>
        <w:t xml:space="preserve">Requesting authorization of and accounting for weapons to be carried by or available to personnel performing private security functions; </w:t>
      </w:r>
    </w:p>
    <w:p w:rsidR="002B52F7" w:rsidRDefault="00603DF8" w14:paraId="00000010" w14:textId="77777777">
      <w:pPr>
        <w:numPr>
          <w:ilvl w:val="0"/>
          <w:numId w:val="2"/>
        </w:numPr>
        <w:rPr>
          <w:rFonts w:ascii="Courier New" w:hAnsi="Courier New" w:eastAsia="Courier New" w:cs="Courier New"/>
          <w:sz w:val="24"/>
          <w:szCs w:val="24"/>
        </w:rPr>
      </w:pPr>
      <w:r>
        <w:rPr>
          <w:rFonts w:ascii="Courier New" w:hAnsi="Courier New" w:eastAsia="Courier New" w:cs="Courier New"/>
          <w:sz w:val="24"/>
          <w:szCs w:val="24"/>
        </w:rPr>
        <w:t xml:space="preserve">Registering and identifying armored vehicles, helicopters, and other military vehicles operated by employees performing private security functions; and </w:t>
      </w:r>
    </w:p>
    <w:p w:rsidR="002B52F7" w:rsidRDefault="00603DF8" w14:paraId="00000011" w14:textId="77777777">
      <w:pPr>
        <w:numPr>
          <w:ilvl w:val="0"/>
          <w:numId w:val="2"/>
        </w:numPr>
        <w:rPr>
          <w:rFonts w:ascii="Courier New" w:hAnsi="Courier New" w:eastAsia="Courier New" w:cs="Courier New"/>
          <w:sz w:val="24"/>
          <w:szCs w:val="24"/>
        </w:rPr>
      </w:pPr>
      <w:r>
        <w:rPr>
          <w:rFonts w:ascii="Courier New" w:hAnsi="Courier New" w:eastAsia="Courier New" w:cs="Courier New"/>
          <w:sz w:val="24"/>
          <w:szCs w:val="24"/>
        </w:rPr>
        <w:t>Reporting incidents in which personnel performing private security functions: discharge a weapon; are attacked, killed, or injured; kill or injure a person or destroy property as a result of conduct by contractor personnel; have a weapon discharged against them or believe a weapon was so discharged; or employ active, non-lethal countermeasures in response to a perceived immediate threat.</w:t>
      </w:r>
    </w:p>
    <w:p w:rsidR="002B52F7" w:rsidRDefault="00CD56EB" w14:paraId="00000012" w14:textId="77777777">
      <w:pPr>
        <w:rPr>
          <w:rFonts w:ascii="Courier New" w:hAnsi="Courier New" w:eastAsia="Courier New" w:cs="Courier New"/>
          <w:color w:val="FF0000"/>
          <w:sz w:val="24"/>
          <w:szCs w:val="24"/>
          <w:highlight w:val="white"/>
        </w:rPr>
      </w:pPr>
    </w:p>
    <w:p w:rsidR="002B52F7" w:rsidRDefault="00603DF8" w14:paraId="00000013" w14:textId="77777777">
      <w:pPr>
        <w:rPr>
          <w:rFonts w:ascii="Courier New" w:hAnsi="Courier New" w:eastAsia="Courier New" w:cs="Courier New"/>
          <w:sz w:val="24"/>
          <w:szCs w:val="24"/>
        </w:rPr>
      </w:pPr>
      <w:r>
        <w:rPr>
          <w:rFonts w:ascii="Courier New" w:hAnsi="Courier New" w:eastAsia="Courier New" w:cs="Courier New"/>
          <w:b/>
          <w:sz w:val="24"/>
          <w:szCs w:val="24"/>
        </w:rPr>
        <w:t>2.</w:t>
      </w:r>
      <w:r>
        <w:rPr>
          <w:rFonts w:ascii="Courier New" w:hAnsi="Courier New" w:eastAsia="Courier New" w:cs="Courier New"/>
          <w:sz w:val="24"/>
          <w:szCs w:val="24"/>
        </w:rPr>
        <w:t xml:space="preserve">  </w:t>
      </w:r>
      <w:r>
        <w:rPr>
          <w:rFonts w:ascii="Courier New" w:hAnsi="Courier New" w:eastAsia="Courier New" w:cs="Courier New"/>
          <w:b/>
          <w:sz w:val="24"/>
          <w:szCs w:val="24"/>
        </w:rPr>
        <w:t>Uses of information.</w:t>
      </w:r>
      <w:r>
        <w:rPr>
          <w:rFonts w:ascii="Courier New" w:hAnsi="Courier New" w:eastAsia="Courier New" w:cs="Courier New"/>
          <w:sz w:val="24"/>
          <w:szCs w:val="24"/>
        </w:rPr>
        <w:t xml:space="preserve"> The Government uses the information provided to ensure accountability, visibility, force protection, medical support, personnel recovery, and other related support can be accurately forecasted and provided to deployed contractors, as required.</w:t>
      </w:r>
    </w:p>
    <w:p w:rsidR="002B52F7" w:rsidRDefault="00CD56EB" w14:paraId="00000014" w14:textId="77777777">
      <w:pPr>
        <w:rPr>
          <w:rFonts w:ascii="Courier New" w:hAnsi="Courier New" w:eastAsia="Courier New" w:cs="Courier New"/>
          <w:color w:val="0000FF"/>
          <w:sz w:val="24"/>
          <w:szCs w:val="24"/>
        </w:rPr>
      </w:pPr>
    </w:p>
    <w:p w:rsidR="002B52F7" w:rsidRDefault="00603DF8" w14:paraId="00000015" w14:textId="77777777">
      <w:pPr>
        <w:rPr>
          <w:rFonts w:ascii="Courier New" w:hAnsi="Courier New" w:eastAsia="Courier New" w:cs="Courier New"/>
          <w:sz w:val="24"/>
          <w:szCs w:val="24"/>
        </w:rPr>
      </w:pPr>
      <w:r>
        <w:rPr>
          <w:rFonts w:ascii="Courier New" w:hAnsi="Courier New" w:eastAsia="Courier New" w:cs="Courier New"/>
          <w:b/>
          <w:sz w:val="24"/>
          <w:szCs w:val="24"/>
        </w:rPr>
        <w:t>3.</w:t>
      </w:r>
      <w:r>
        <w:rPr>
          <w:rFonts w:ascii="Courier New" w:hAnsi="Courier New" w:eastAsia="Courier New" w:cs="Courier New"/>
          <w:sz w:val="24"/>
          <w:szCs w:val="24"/>
        </w:rPr>
        <w:t xml:space="preserve">  </w:t>
      </w:r>
      <w:r>
        <w:rPr>
          <w:rFonts w:ascii="Courier New" w:hAnsi="Courier New" w:eastAsia="Courier New" w:cs="Courier New"/>
          <w:b/>
          <w:sz w:val="24"/>
          <w:szCs w:val="24"/>
        </w:rPr>
        <w:t>Consideration of information technology</w:t>
      </w:r>
      <w:r>
        <w:rPr>
          <w:rFonts w:ascii="Courier New" w:hAnsi="Courier New" w:eastAsia="Courier New" w:cs="Courier New"/>
          <w:sz w:val="24"/>
          <w:szCs w:val="24"/>
        </w:rPr>
        <w:t>. Federal agencies use information technology to the maximum extent practicable. Where both the Government agency and contractors are capable of electronic interchange, the contractors may submit this information collection requirement electronically.</w:t>
      </w:r>
    </w:p>
    <w:p w:rsidR="002B52F7" w:rsidRDefault="00603DF8" w14:paraId="00000016"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r>
        <w:rPr>
          <w:rFonts w:ascii="Courier New" w:hAnsi="Courier New" w:eastAsia="Courier New" w:cs="Courier New"/>
          <w:color w:val="FF0000"/>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These requirements are issued under the FAR, which has been developed to standardize Federal procurement practices and eliminate unnecessary duplication.  The Defense Federal Acquisition Regulation Supplement (DFARS) clause 252.225-7040, Contractor Personnel Supporting U.S. Armed Forces Deployed Outside the United States, collects this information from the Department of Defense (DoD) contractors (see OMB Control Number 0704-0460, Synchronized Predeployment and Operational Tracker Enterprise Suite (SPOT-ES) System). This clearance does not duplicate the requirements of the DFARS clause, as this clearance only applies to applicable contractors of non-DoD agencies.</w:t>
      </w:r>
      <w:r>
        <w:rPr>
          <w:rFonts w:ascii="Courier New" w:hAnsi="Courier New" w:eastAsia="Courier New" w:cs="Courier New"/>
          <w:color w:val="FF0000"/>
          <w:sz w:val="24"/>
          <w:szCs w:val="24"/>
        </w:rPr>
        <w:br/>
      </w:r>
    </w:p>
    <w:p w:rsidR="002B52F7" w:rsidRDefault="00603DF8" w14:paraId="00000017" w14:textId="77777777">
      <w:pPr>
        <w:rPr>
          <w:rFonts w:ascii="Courier New" w:hAnsi="Courier New" w:eastAsia="Courier New" w:cs="Courier New"/>
          <w:sz w:val="24"/>
          <w:szCs w:val="24"/>
        </w:rPr>
      </w:pP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If the collection of information impacts small businesses, describe methods used to minimize burden.  </w:t>
      </w:r>
      <w:r>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002B52F7" w:rsidRDefault="00CD56EB" w14:paraId="00000018" w14:textId="77777777">
      <w:pPr>
        <w:rPr>
          <w:rFonts w:ascii="Courier New" w:hAnsi="Courier New" w:eastAsia="Courier New" w:cs="Courier New"/>
          <w:sz w:val="24"/>
          <w:szCs w:val="24"/>
        </w:rPr>
      </w:pPr>
    </w:p>
    <w:p w:rsidR="002B52F7" w:rsidRDefault="00603DF8" w14:paraId="00000019" w14:textId="77777777">
      <w:pPr>
        <w:rPr>
          <w:rFonts w:ascii="Courier New" w:hAnsi="Courier New" w:eastAsia="Courier New" w:cs="Courier New"/>
          <w:color w:val="222222"/>
          <w:sz w:val="24"/>
          <w:szCs w:val="24"/>
        </w:rPr>
      </w:pPr>
      <w:r>
        <w:rPr>
          <w:rFonts w:ascii="Courier New" w:hAnsi="Courier New" w:eastAsia="Courier New" w:cs="Courier New"/>
          <w:b/>
          <w:sz w:val="24"/>
          <w:szCs w:val="24"/>
        </w:rPr>
        <w:t>6.</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Describe consequence to Federal program or policy activities if the collection is not conducted or is conducted less frequently. </w:t>
      </w:r>
      <w:r>
        <w:rPr>
          <w:rFonts w:ascii="Courier New" w:hAnsi="Courier New" w:eastAsia="Courier New" w:cs="Courier New"/>
          <w:color w:val="222222"/>
          <w:sz w:val="24"/>
          <w:szCs w:val="24"/>
        </w:rPr>
        <w:t xml:space="preserve"> Collection of information on a basis other than contract-by-contract is not practical. If this data is not collected and updated, as necessary, there is a risk that contractor personnel will be without the ability to obtain life support or personnel recovery services when placed in harm’s way. Also, the collection of information is required to comply with section 862 of the National Defense Authorization Act (NDAA) for Fiscal Year (FY) 2008, as amended by section 853 of </w:t>
      </w:r>
      <w:r>
        <w:rPr>
          <w:rFonts w:ascii="Courier New" w:hAnsi="Courier New" w:eastAsia="Courier New" w:cs="Courier New"/>
          <w:color w:val="222222"/>
          <w:sz w:val="24"/>
          <w:szCs w:val="24"/>
        </w:rPr>
        <w:lastRenderedPageBreak/>
        <w:t>the NDAA for FY 2009, and sections 831 and 832 of the NDAA for FY 2011.</w:t>
      </w:r>
    </w:p>
    <w:p w:rsidR="002B52F7" w:rsidRDefault="00CD56EB" w14:paraId="0000001A" w14:textId="77777777">
      <w:pPr>
        <w:rPr>
          <w:rFonts w:ascii="Courier New" w:hAnsi="Courier New" w:eastAsia="Courier New" w:cs="Courier New"/>
          <w:sz w:val="24"/>
          <w:szCs w:val="24"/>
        </w:rPr>
      </w:pPr>
    </w:p>
    <w:p w:rsidR="002B52F7" w:rsidRDefault="00603DF8" w14:paraId="0000001B" w14:textId="7777777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Collection is consistent with guidelines in 5 CFR 1320.5(d)(2). </w:t>
      </w:r>
    </w:p>
    <w:p w:rsidR="002B52F7" w:rsidRDefault="00CD56EB" w14:paraId="0000001C" w14:textId="77777777">
      <w:pPr>
        <w:rPr>
          <w:rFonts w:ascii="Courier New" w:hAnsi="Courier New" w:eastAsia="Courier New" w:cs="Courier New"/>
          <w:sz w:val="24"/>
          <w:szCs w:val="24"/>
        </w:rPr>
      </w:pPr>
    </w:p>
    <w:p w:rsidR="002B52F7" w:rsidRDefault="00603DF8" w14:paraId="0000001D"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consult with persons outside the agency</w:t>
      </w:r>
      <w:r>
        <w:rPr>
          <w:rFonts w:ascii="Courier New" w:hAnsi="Courier New" w:eastAsia="Courier New" w:cs="Courier New"/>
          <w:sz w:val="24"/>
          <w:szCs w:val="24"/>
        </w:rPr>
        <w:t xml:space="preserve">.  </w:t>
      </w:r>
    </w:p>
    <w:p w:rsidR="002B52F7" w:rsidRDefault="00603DF8" w14:paraId="0000001E" w14:textId="26BEC884">
      <w:pPr>
        <w:numPr>
          <w:ilvl w:val="0"/>
          <w:numId w:val="1"/>
        </w:numPr>
        <w:rPr>
          <w:rFonts w:ascii="Courier New" w:hAnsi="Courier New" w:eastAsia="Courier New" w:cs="Courier New"/>
          <w:sz w:val="24"/>
          <w:szCs w:val="24"/>
        </w:rPr>
      </w:pPr>
      <w:r>
        <w:rPr>
          <w:rFonts w:ascii="Courier New" w:hAnsi="Courier New" w:eastAsia="Courier New" w:cs="Courier New"/>
          <w:sz w:val="24"/>
          <w:szCs w:val="24"/>
        </w:rPr>
        <w:t xml:space="preserve">A 60-day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 </w:t>
      </w:r>
      <w:r>
        <w:rPr>
          <w:rFonts w:ascii="Courier New" w:hAnsi="Courier New" w:eastAsia="Courier New" w:cs="Courier New"/>
          <w:color w:val="222222"/>
          <w:sz w:val="24"/>
          <w:szCs w:val="24"/>
        </w:rPr>
        <w:t>87 FR 29315, on May 13, 2022. No comments were received.</w:t>
      </w:r>
    </w:p>
    <w:p w:rsidR="002B52F7" w:rsidRDefault="00603DF8" w14:paraId="0000001F" w14:textId="012071F2">
      <w:pPr>
        <w:numPr>
          <w:ilvl w:val="0"/>
          <w:numId w:val="1"/>
        </w:numPr>
        <w:rPr>
          <w:rFonts w:ascii="Courier New" w:hAnsi="Courier New" w:eastAsia="Courier New" w:cs="Courier New"/>
          <w:color w:val="222222"/>
          <w:sz w:val="24"/>
          <w:szCs w:val="24"/>
        </w:rPr>
      </w:pPr>
      <w:r>
        <w:rPr>
          <w:rFonts w:ascii="Courier New" w:hAnsi="Courier New" w:eastAsia="Courier New" w:cs="Courier New"/>
          <w:color w:val="222222"/>
          <w:sz w:val="24"/>
          <w:szCs w:val="24"/>
        </w:rPr>
        <w:t xml:space="preserve">A 30-day notice was published in the </w:t>
      </w:r>
      <w:r>
        <w:rPr>
          <w:rFonts w:ascii="Courier New" w:hAnsi="Courier New" w:eastAsia="Courier New" w:cs="Courier New"/>
          <w:i/>
          <w:color w:val="222222"/>
          <w:sz w:val="24"/>
          <w:szCs w:val="24"/>
        </w:rPr>
        <w:t>Federal Register</w:t>
      </w:r>
      <w:r>
        <w:rPr>
          <w:rFonts w:ascii="Courier New" w:hAnsi="Courier New" w:eastAsia="Courier New" w:cs="Courier New"/>
          <w:color w:val="222222"/>
          <w:sz w:val="24"/>
          <w:szCs w:val="24"/>
        </w:rPr>
        <w:t xml:space="preserve"> at 87 FR </w:t>
      </w:r>
      <w:r w:rsidR="00CD56EB">
        <w:rPr>
          <w:rFonts w:ascii="Courier New" w:hAnsi="Courier New" w:eastAsia="Courier New" w:cs="Courier New"/>
          <w:color w:val="222222"/>
          <w:sz w:val="24"/>
          <w:szCs w:val="24"/>
        </w:rPr>
        <w:t>46960</w:t>
      </w:r>
      <w:r>
        <w:rPr>
          <w:rFonts w:ascii="Courier New" w:hAnsi="Courier New" w:eastAsia="Courier New" w:cs="Courier New"/>
          <w:color w:val="222222"/>
          <w:sz w:val="24"/>
          <w:szCs w:val="24"/>
        </w:rPr>
        <w:t xml:space="preserve">, on </w:t>
      </w:r>
      <w:r w:rsidR="00CD56EB">
        <w:rPr>
          <w:rFonts w:ascii="Courier New" w:hAnsi="Courier New" w:eastAsia="Courier New" w:cs="Courier New"/>
          <w:color w:val="222222"/>
          <w:sz w:val="24"/>
          <w:szCs w:val="24"/>
        </w:rPr>
        <w:t>August 1, 2022</w:t>
      </w:r>
      <w:r>
        <w:rPr>
          <w:rFonts w:ascii="Courier New" w:hAnsi="Courier New" w:eastAsia="Courier New" w:cs="Courier New"/>
          <w:color w:val="222222"/>
          <w:sz w:val="24"/>
          <w:szCs w:val="24"/>
        </w:rPr>
        <w:t>.</w:t>
      </w:r>
    </w:p>
    <w:p w:rsidR="002B52F7" w:rsidRDefault="00CD56EB" w14:paraId="00000020" w14:textId="77777777">
      <w:pPr>
        <w:rPr>
          <w:rFonts w:ascii="Courier New" w:hAnsi="Courier New" w:eastAsia="Courier New" w:cs="Courier New"/>
          <w:sz w:val="24"/>
          <w:szCs w:val="24"/>
        </w:rPr>
      </w:pPr>
    </w:p>
    <w:p w:rsidR="002B52F7" w:rsidRDefault="00603DF8" w14:paraId="00000021"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2B52F7" w:rsidRDefault="00603DF8" w14:paraId="00000022"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p>
    <w:p w:rsidR="002B52F7" w:rsidRDefault="00603DF8" w14:paraId="00000023" w14:textId="77777777">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2B52F7" w:rsidRDefault="00603DF8" w14:paraId="00000024"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B52F7" w:rsidRDefault="00603DF8" w14:paraId="00000025"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Pr>
          <w:rFonts w:ascii="Courier New" w:hAnsi="Courier New" w:eastAsia="Courier New" w:cs="Courier New"/>
          <w:sz w:val="24"/>
          <w:szCs w:val="24"/>
        </w:rPr>
        <w:t xml:space="preserve">  No sensitive questions are involved.</w:t>
      </w:r>
    </w:p>
    <w:p w:rsidR="002B52F7" w:rsidRDefault="00CD56EB" w14:paraId="00000026" w14:textId="77777777">
      <w:pPr>
        <w:rPr>
          <w:rFonts w:ascii="Courier New" w:hAnsi="Courier New" w:eastAsia="Courier New" w:cs="Courier New"/>
          <w:sz w:val="24"/>
          <w:szCs w:val="24"/>
        </w:rPr>
      </w:pPr>
    </w:p>
    <w:p w:rsidR="002B52F7" w:rsidRDefault="00603DF8" w14:paraId="00000027" w14:textId="77777777">
      <w:pPr>
        <w:rPr>
          <w:rFonts w:ascii="Courier New" w:hAnsi="Courier New" w:eastAsia="Courier New" w:cs="Courier New"/>
          <w:sz w:val="24"/>
          <w:szCs w:val="24"/>
          <w:highlight w:val="yellow"/>
        </w:rPr>
      </w:pPr>
      <w:r>
        <w:rPr>
          <w:rFonts w:ascii="Courier New" w:hAnsi="Courier New" w:eastAsia="Courier New" w:cs="Courier New"/>
          <w:b/>
          <w:sz w:val="24"/>
          <w:szCs w:val="24"/>
        </w:rPr>
        <w:t>12 &amp; 13.</w:t>
      </w:r>
      <w:r>
        <w:rPr>
          <w:rFonts w:ascii="Courier New" w:hAnsi="Courier New" w:eastAsia="Courier New" w:cs="Courier New"/>
          <w:sz w:val="24"/>
          <w:szCs w:val="24"/>
        </w:rPr>
        <w:t xml:space="preserve">  </w:t>
      </w:r>
      <w:r>
        <w:rPr>
          <w:rFonts w:ascii="Courier New" w:hAnsi="Courier New" w:eastAsia="Courier New" w:cs="Courier New"/>
          <w:b/>
          <w:sz w:val="24"/>
          <w:szCs w:val="24"/>
        </w:rPr>
        <w:t>Estimated total annual public hour and cost burden</w:t>
      </w:r>
      <w:r>
        <w:rPr>
          <w:rFonts w:ascii="Courier New" w:hAnsi="Courier New" w:eastAsia="Courier New" w:cs="Courier New"/>
          <w:sz w:val="24"/>
          <w:szCs w:val="24"/>
        </w:rPr>
        <w:t xml:space="preserve">.  </w:t>
      </w:r>
    </w:p>
    <w:p w:rsidR="002B52F7" w:rsidRDefault="00CD56EB" w14:paraId="00000028" w14:textId="77777777">
      <w:pPr>
        <w:ind w:right="-40"/>
        <w:rPr>
          <w:rFonts w:ascii="Courier New" w:hAnsi="Courier New" w:eastAsia="Courier New" w:cs="Courier New"/>
          <w:color w:val="222222"/>
          <w:sz w:val="24"/>
          <w:szCs w:val="24"/>
        </w:rPr>
      </w:pPr>
    </w:p>
    <w:p w:rsidR="002B52F7" w:rsidRDefault="00603DF8" w14:paraId="00000029" w14:textId="4462BE4D">
      <w:pPr>
        <w:ind w:right="-40"/>
        <w:rPr>
          <w:rFonts w:ascii="Courier New" w:hAnsi="Courier New" w:eastAsia="Courier New" w:cs="Courier New"/>
          <w:color w:val="222222"/>
          <w:sz w:val="24"/>
          <w:szCs w:val="24"/>
        </w:rPr>
      </w:pPr>
      <w:r>
        <w:rPr>
          <w:rFonts w:ascii="Courier New" w:hAnsi="Courier New" w:eastAsia="Courier New" w:cs="Courier New"/>
          <w:color w:val="222222"/>
          <w:sz w:val="24"/>
          <w:szCs w:val="24"/>
        </w:rPr>
        <w:tab/>
        <w:t>This estimate is based on Federal Procurement Data System (FPDS) data on the number of service contracts and orders performed in combat zones</w:t>
      </w:r>
      <w:r>
        <w:rPr>
          <w:rFonts w:ascii="Courier New" w:hAnsi="Courier New" w:eastAsia="Courier New" w:cs="Courier New"/>
          <w:color w:val="222222"/>
          <w:sz w:val="24"/>
          <w:szCs w:val="24"/>
          <w:vertAlign w:val="superscript"/>
        </w:rPr>
        <w:footnoteReference w:id="1"/>
      </w:r>
      <w:r>
        <w:rPr>
          <w:rFonts w:ascii="Courier New" w:hAnsi="Courier New" w:eastAsia="Courier New" w:cs="Courier New"/>
          <w:color w:val="222222"/>
          <w:sz w:val="24"/>
          <w:szCs w:val="24"/>
        </w:rPr>
        <w:t xml:space="preserve"> awarded annually by non-DoD agencies. According to FPDS data for fiscal years 2019 through 2021, non-DoD agencies award approximately 552 service contracts and orders to be performed in combat zones annually. Of these contracts, the Government estimates that 5%, or 28 contracts, may require </w:t>
      </w:r>
      <w:r>
        <w:rPr>
          <w:rFonts w:ascii="Courier New" w:hAnsi="Courier New" w:eastAsia="Courier New" w:cs="Courier New"/>
          <w:sz w:val="24"/>
          <w:szCs w:val="24"/>
        </w:rPr>
        <w:t>contractor employees to perform private security functions</w:t>
      </w:r>
      <w:r>
        <w:rPr>
          <w:rFonts w:ascii="Courier New" w:hAnsi="Courier New" w:eastAsia="Courier New" w:cs="Courier New"/>
          <w:color w:val="222222"/>
          <w:sz w:val="24"/>
          <w:szCs w:val="24"/>
        </w:rPr>
        <w:t xml:space="preserve">.  For each of the 28 contracts, it is estimated a contractor will provide approximately 5 responses to the Government over the life of the contract and that it will take 0.5 hour to prepare and submit a response. </w:t>
      </w:r>
    </w:p>
    <w:p w:rsidR="002B52F7" w:rsidRDefault="00CD56EB" w14:paraId="0000002A" w14:textId="77777777">
      <w:pPr>
        <w:spacing w:line="240" w:lineRule="auto"/>
        <w:rPr>
          <w:rFonts w:ascii="Courier New" w:hAnsi="Courier New" w:eastAsia="Courier New" w:cs="Courier New"/>
          <w:sz w:val="24"/>
          <w:szCs w:val="24"/>
        </w:rPr>
      </w:pPr>
    </w:p>
    <w:p w:rsidR="002B52F7" w:rsidRDefault="00603DF8" w14:paraId="0000002B"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number of respondents/yr...................    28</w:t>
      </w:r>
    </w:p>
    <w:p w:rsidR="002B52F7" w:rsidRDefault="00603DF8" w14:paraId="0000002C" w14:textId="77777777">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lastRenderedPageBreak/>
        <w:t xml:space="preserve">Responses per respondent..............................  </w:t>
      </w:r>
      <w:r>
        <w:rPr>
          <w:rFonts w:ascii="Courier New" w:hAnsi="Courier New" w:eastAsia="Courier New" w:cs="Courier New"/>
          <w:sz w:val="24"/>
          <w:szCs w:val="24"/>
          <w:u w:val="single"/>
        </w:rPr>
        <w:t>x 5</w:t>
      </w:r>
    </w:p>
    <w:p w:rsidR="002B52F7" w:rsidRDefault="00603DF8" w14:paraId="0000002D"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   140</w:t>
      </w:r>
    </w:p>
    <w:p w:rsidR="002B52F7" w:rsidRDefault="00603DF8" w14:paraId="0000002E"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Estimated hrs/response................................</w:t>
      </w:r>
      <w:r>
        <w:rPr>
          <w:rFonts w:ascii="Courier New" w:hAnsi="Courier New" w:eastAsia="Courier New" w:cs="Courier New"/>
          <w:sz w:val="24"/>
          <w:szCs w:val="24"/>
          <w:u w:val="single"/>
        </w:rPr>
        <w:t>x 0.5</w:t>
      </w:r>
    </w:p>
    <w:p w:rsidR="002B52F7" w:rsidRDefault="00603DF8" w14:paraId="0000002F"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annual burden hours........................    70</w:t>
      </w:r>
    </w:p>
    <w:p w:rsidR="002B52F7" w:rsidRDefault="00603DF8" w14:paraId="00000030"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vertAlign w:val="superscript"/>
        </w:rPr>
        <w:footnoteReference w:id="2"/>
      </w:r>
      <w:r>
        <w:rPr>
          <w:rFonts w:ascii="Courier New" w:hAnsi="Courier New" w:eastAsia="Courier New" w:cs="Courier New"/>
          <w:sz w:val="24"/>
          <w:szCs w:val="24"/>
        </w:rPr>
        <w:t xml:space="preserve">......................................... </w:t>
      </w:r>
      <w:r>
        <w:rPr>
          <w:rFonts w:ascii="Courier New" w:hAnsi="Courier New" w:eastAsia="Courier New" w:cs="Courier New"/>
          <w:sz w:val="24"/>
          <w:szCs w:val="24"/>
          <w:u w:val="single"/>
        </w:rPr>
        <w:t>x $59</w:t>
      </w:r>
    </w:p>
    <w:p w:rsidR="002B52F7" w:rsidRDefault="00603DF8" w14:paraId="00000031"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annual cost to the public............... $  4,130</w:t>
      </w:r>
    </w:p>
    <w:p w:rsidR="002B52F7" w:rsidRDefault="00CD56EB" w14:paraId="00000032" w14:textId="77777777">
      <w:pPr>
        <w:rPr>
          <w:rFonts w:ascii="Courier New" w:hAnsi="Courier New" w:eastAsia="Courier New" w:cs="Courier New"/>
          <w:color w:val="FF0000"/>
          <w:sz w:val="24"/>
          <w:szCs w:val="24"/>
        </w:rPr>
      </w:pPr>
    </w:p>
    <w:p w:rsidR="002B52F7" w:rsidRDefault="00603DF8" w14:paraId="00000033" w14:textId="77777777">
      <w:pPr>
        <w:rPr>
          <w:rFonts w:ascii="Courier New" w:hAnsi="Courier New" w:eastAsia="Courier New" w:cs="Courier New"/>
          <w:sz w:val="24"/>
          <w:szCs w:val="24"/>
        </w:rPr>
      </w:pPr>
      <w:r>
        <w:rPr>
          <w:rFonts w:ascii="Courier New" w:hAnsi="Courier New" w:eastAsia="Courier New" w:cs="Courier New"/>
          <w:b/>
          <w:sz w:val="24"/>
          <w:szCs w:val="24"/>
        </w:rPr>
        <w:t>14.  Estimated cost to the Government.</w:t>
      </w:r>
      <w:r>
        <w:rPr>
          <w:rFonts w:ascii="Courier New" w:hAnsi="Courier New" w:eastAsia="Courier New" w:cs="Courier New"/>
          <w:sz w:val="24"/>
          <w:szCs w:val="24"/>
        </w:rPr>
        <w:t xml:space="preserve"> </w:t>
      </w:r>
    </w:p>
    <w:p w:rsidR="002B52F7" w:rsidRDefault="00603DF8" w14:paraId="00000034" w14:textId="77777777">
      <w:pPr>
        <w:spacing w:before="240" w:after="240"/>
        <w:rPr>
          <w:rFonts w:ascii="Courier New" w:hAnsi="Courier New" w:eastAsia="Courier New" w:cs="Courier New"/>
          <w:color w:val="0000FF"/>
          <w:sz w:val="24"/>
          <w:szCs w:val="24"/>
        </w:rPr>
      </w:pPr>
      <w:r>
        <w:rPr>
          <w:rFonts w:ascii="Courier New" w:hAnsi="Courier New" w:eastAsia="Courier New" w:cs="Courier New"/>
          <w:color w:val="222222"/>
          <w:sz w:val="24"/>
          <w:szCs w:val="24"/>
        </w:rPr>
        <w:t>The Government estimates that it will take approximately 0.5 hour for a Government employee to review and coordinate, as necessary, a response received under FAR clause 52.225-26.</w:t>
      </w:r>
    </w:p>
    <w:p w:rsidR="002B52F7" w:rsidRDefault="00603DF8" w14:paraId="00000035" w14:textId="77777777">
      <w:pPr>
        <w:ind w:right="-40"/>
        <w:rPr>
          <w:rFonts w:ascii="Courier New" w:hAnsi="Courier New" w:eastAsia="Courier New" w:cs="Courier New"/>
          <w:sz w:val="24"/>
          <w:szCs w:val="24"/>
        </w:rPr>
      </w:pPr>
      <w:r>
        <w:rPr>
          <w:rFonts w:ascii="Courier New" w:hAnsi="Courier New" w:eastAsia="Courier New" w:cs="Courier New"/>
          <w:sz w:val="24"/>
          <w:szCs w:val="24"/>
        </w:rPr>
        <w:t>Total annual responses...............................    140</w:t>
      </w:r>
    </w:p>
    <w:p w:rsidR="002B52F7" w:rsidRDefault="00603DF8" w14:paraId="00000036" w14:textId="77777777">
      <w:pPr>
        <w:ind w:right="-40"/>
        <w:rPr>
          <w:rFonts w:ascii="Courier New" w:hAnsi="Courier New" w:eastAsia="Courier New" w:cs="Courier New"/>
          <w:sz w:val="24"/>
          <w:szCs w:val="24"/>
          <w:u w:val="single"/>
        </w:rPr>
      </w:pPr>
      <w:r>
        <w:rPr>
          <w:rFonts w:ascii="Courier New" w:hAnsi="Courier New" w:eastAsia="Courier New" w:cs="Courier New"/>
          <w:sz w:val="24"/>
          <w:szCs w:val="24"/>
        </w:rPr>
        <w:t xml:space="preserve">Review time per response (hours).....................  </w:t>
      </w:r>
      <w:r>
        <w:rPr>
          <w:rFonts w:ascii="Courier New" w:hAnsi="Courier New" w:eastAsia="Courier New" w:cs="Courier New"/>
          <w:sz w:val="24"/>
          <w:szCs w:val="24"/>
          <w:u w:val="single"/>
        </w:rPr>
        <w:t>x 0.5</w:t>
      </w:r>
    </w:p>
    <w:p w:rsidR="002B52F7" w:rsidRDefault="00603DF8" w14:paraId="00000037" w14:textId="77777777">
      <w:pPr>
        <w:ind w:right="-40"/>
        <w:rPr>
          <w:rFonts w:ascii="Courier New" w:hAnsi="Courier New" w:eastAsia="Courier New" w:cs="Courier New"/>
          <w:sz w:val="24"/>
          <w:szCs w:val="24"/>
        </w:rPr>
      </w:pPr>
      <w:r>
        <w:rPr>
          <w:rFonts w:ascii="Courier New" w:hAnsi="Courier New" w:eastAsia="Courier New" w:cs="Courier New"/>
          <w:sz w:val="24"/>
          <w:szCs w:val="24"/>
        </w:rPr>
        <w:t>Review time per year (hours).........................     70</w:t>
      </w:r>
    </w:p>
    <w:p w:rsidR="002B52F7" w:rsidRDefault="00603DF8" w14:paraId="00000038" w14:textId="77777777">
      <w:pPr>
        <w:ind w:right="-40"/>
        <w:rPr>
          <w:rFonts w:ascii="Courier New" w:hAnsi="Courier New" w:eastAsia="Courier New" w:cs="Courier New"/>
          <w:sz w:val="24"/>
          <w:szCs w:val="24"/>
          <w:u w:val="single"/>
        </w:rPr>
      </w:pPr>
      <w:r>
        <w:rPr>
          <w:rFonts w:ascii="Courier New" w:hAnsi="Courier New" w:eastAsia="Courier New" w:cs="Courier New"/>
          <w:sz w:val="24"/>
          <w:szCs w:val="24"/>
        </w:rPr>
        <w:t xml:space="preserve">Hourly rate*.........................................  </w:t>
      </w:r>
      <w:r>
        <w:rPr>
          <w:rFonts w:ascii="Courier New" w:hAnsi="Courier New" w:eastAsia="Courier New" w:cs="Courier New"/>
          <w:sz w:val="24"/>
          <w:szCs w:val="24"/>
          <w:u w:val="single"/>
        </w:rPr>
        <w:t>x $59</w:t>
      </w:r>
    </w:p>
    <w:p w:rsidR="002B52F7" w:rsidRDefault="00603DF8" w14:paraId="00000039" w14:textId="77777777">
      <w:pPr>
        <w:ind w:right="-40"/>
        <w:rPr>
          <w:rFonts w:ascii="Courier New" w:hAnsi="Courier New" w:eastAsia="Courier New" w:cs="Courier New"/>
          <w:sz w:val="24"/>
          <w:szCs w:val="24"/>
        </w:rPr>
      </w:pPr>
      <w:r>
        <w:rPr>
          <w:rFonts w:ascii="Courier New" w:hAnsi="Courier New" w:eastAsia="Courier New" w:cs="Courier New"/>
          <w:sz w:val="24"/>
          <w:szCs w:val="24"/>
        </w:rPr>
        <w:t>Estimated annual cost to the Government.............$  4,130</w:t>
      </w:r>
    </w:p>
    <w:p w:rsidR="002B52F7" w:rsidRDefault="00CD56EB" w14:paraId="0000003A" w14:textId="77777777">
      <w:pPr>
        <w:ind w:right="-40"/>
        <w:rPr>
          <w:rFonts w:ascii="Courier New" w:hAnsi="Courier New" w:eastAsia="Courier New" w:cs="Courier New"/>
          <w:color w:val="0000FF"/>
          <w:sz w:val="24"/>
          <w:szCs w:val="24"/>
        </w:rPr>
      </w:pPr>
    </w:p>
    <w:p w:rsidR="002B52F7" w:rsidRDefault="00603DF8" w14:paraId="0000003B" w14:textId="77777777">
      <w:pPr>
        <w:ind w:right="-40"/>
        <w:rPr>
          <w:rFonts w:ascii="Courier New" w:hAnsi="Courier New" w:eastAsia="Courier New" w:cs="Courier New"/>
          <w:sz w:val="24"/>
          <w:szCs w:val="24"/>
        </w:rPr>
      </w:pPr>
      <w:r>
        <w:rPr>
          <w:rFonts w:ascii="Courier New" w:hAnsi="Courier New" w:eastAsia="Courier New" w:cs="Courier New"/>
          <w:b/>
          <w:sz w:val="24"/>
          <w:szCs w:val="24"/>
        </w:rPr>
        <w:t>15.</w:t>
      </w:r>
      <w:r>
        <w:rPr>
          <w:rFonts w:ascii="Courier New" w:hAnsi="Courier New" w:eastAsia="Courier New" w:cs="Courier New"/>
          <w:sz w:val="24"/>
          <w:szCs w:val="24"/>
        </w:rPr>
        <w:t xml:space="preserve">  </w:t>
      </w:r>
      <w:r>
        <w:rPr>
          <w:rFonts w:ascii="Courier New" w:hAnsi="Courier New" w:eastAsia="Courier New" w:cs="Courier New"/>
          <w:b/>
          <w:sz w:val="24"/>
          <w:szCs w:val="24"/>
        </w:rPr>
        <w:t>Explain reasons for program changes or adjustments reported in Item A.13 or A.14</w:t>
      </w:r>
      <w:r>
        <w:rPr>
          <w:rFonts w:ascii="Courier New" w:hAnsi="Courier New" w:eastAsia="Courier New" w:cs="Courier New"/>
          <w:sz w:val="24"/>
          <w:szCs w:val="24"/>
        </w:rPr>
        <w:t xml:space="preserve">.  </w:t>
      </w:r>
    </w:p>
    <w:p w:rsidR="002B52F7" w:rsidRDefault="00CD56EB" w14:paraId="0000003C" w14:textId="77777777">
      <w:pPr>
        <w:ind w:right="-40"/>
        <w:rPr>
          <w:rFonts w:ascii="Courier New" w:hAnsi="Courier New" w:eastAsia="Courier New" w:cs="Courier New"/>
          <w:color w:val="0000FF"/>
          <w:sz w:val="24"/>
          <w:szCs w:val="24"/>
        </w:rPr>
      </w:pPr>
    </w:p>
    <w:p w:rsidR="002B52F7" w:rsidRDefault="00603DF8" w14:paraId="0000003D" w14:textId="77777777">
      <w:pPr>
        <w:ind w:right="-40" w:firstLine="720"/>
        <w:rPr>
          <w:rFonts w:ascii="Courier New" w:hAnsi="Courier New" w:eastAsia="Courier New" w:cs="Courier New"/>
          <w:color w:val="222222"/>
          <w:sz w:val="24"/>
          <w:szCs w:val="24"/>
          <w:highlight w:val="white"/>
        </w:rPr>
      </w:pPr>
      <w:r>
        <w:rPr>
          <w:rFonts w:ascii="Courier New" w:hAnsi="Courier New" w:eastAsia="Courier New" w:cs="Courier New"/>
          <w:sz w:val="24"/>
          <w:szCs w:val="24"/>
        </w:rPr>
        <w:t>There are no program changes. The FAR requirements remain the same.</w:t>
      </w:r>
    </w:p>
    <w:p w:rsidR="002B52F7" w:rsidRDefault="00CD56EB" w14:paraId="0000003E" w14:textId="77777777">
      <w:pPr>
        <w:ind w:right="-40" w:firstLine="720"/>
        <w:rPr>
          <w:rFonts w:ascii="Courier New" w:hAnsi="Courier New" w:eastAsia="Courier New" w:cs="Courier New"/>
          <w:color w:val="0000FF"/>
          <w:sz w:val="24"/>
          <w:szCs w:val="24"/>
          <w:highlight w:val="white"/>
        </w:rPr>
      </w:pPr>
    </w:p>
    <w:p w:rsidR="002B52F7" w:rsidRDefault="00603DF8" w14:paraId="0000003F" w14:textId="77777777">
      <w:pPr>
        <w:ind w:right="-40" w:firstLine="720"/>
        <w:rPr>
          <w:rFonts w:ascii="Courier New" w:hAnsi="Courier New" w:eastAsia="Courier New" w:cs="Courier New"/>
          <w:color w:val="0000FF"/>
          <w:sz w:val="24"/>
          <w:szCs w:val="24"/>
        </w:rPr>
      </w:pPr>
      <w:r>
        <w:rPr>
          <w:rFonts w:ascii="Courier New" w:hAnsi="Courier New" w:eastAsia="Courier New" w:cs="Courier New"/>
          <w:color w:val="222222"/>
          <w:sz w:val="24"/>
          <w:szCs w:val="24"/>
        </w:rPr>
        <w:t>The increase in respondents from 16 to 28, total annual responses from 80 to 140, and the total estimated cost to the public and to the Government is due to: the use of current FPDS data, t</w:t>
      </w:r>
      <w:r>
        <w:rPr>
          <w:rFonts w:ascii="Courier New" w:hAnsi="Courier New" w:eastAsia="Courier New" w:cs="Courier New"/>
          <w:sz w:val="24"/>
          <w:szCs w:val="24"/>
        </w:rPr>
        <w:t xml:space="preserve">he use of calendar year 2022 OPM GS wage rates, and a change in the methodology used to calculate the estimate. It is unclear in the summary statement for previous information collection what criteria were used to search FPDS.  As a result, this request establishes a reasonable methodology, as described in paragraphs 12 and 13, to estimate burden for this information collection.   </w:t>
      </w:r>
    </w:p>
    <w:p w:rsidR="002B52F7" w:rsidRDefault="00CD56EB" w14:paraId="00000040" w14:textId="77777777">
      <w:pPr>
        <w:rPr>
          <w:rFonts w:ascii="Courier New" w:hAnsi="Courier New" w:eastAsia="Courier New" w:cs="Courier New"/>
          <w:sz w:val="24"/>
          <w:szCs w:val="24"/>
        </w:rPr>
      </w:pPr>
    </w:p>
    <w:p w:rsidR="002B52F7" w:rsidRDefault="00603DF8" w14:paraId="00000041"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2B52F7" w:rsidRDefault="00603DF8" w14:paraId="00000042" w14:textId="77777777">
      <w:pPr>
        <w:rPr>
          <w:rFonts w:ascii="Courier New" w:hAnsi="Courier New" w:eastAsia="Courier New" w:cs="Courier New"/>
          <w:sz w:val="24"/>
          <w:szCs w:val="24"/>
        </w:rPr>
      </w:pPr>
      <w:r>
        <w:rPr>
          <w:rFonts w:ascii="Courier New" w:hAnsi="Courier New" w:eastAsia="Courier New" w:cs="Courier New"/>
          <w:sz w:val="24"/>
          <w:szCs w:val="24"/>
        </w:rPr>
        <w:lastRenderedPageBreak/>
        <w:t xml:space="preserve"> </w:t>
      </w:r>
    </w:p>
    <w:p w:rsidR="002B52F7" w:rsidRDefault="00603DF8" w14:paraId="00000043"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2B52F7" w:rsidRDefault="00603DF8" w14:paraId="00000044"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2B52F7" w:rsidRDefault="00603DF8" w14:paraId="00000045"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2B52F7" w:rsidRDefault="00603DF8" w14:paraId="00000046"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B52F7" w:rsidRDefault="00603DF8" w14:paraId="00000047"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002B52F7" w:rsidRDefault="00603DF8" w14:paraId="00000048" w14:textId="77777777">
      <w:pPr>
        <w:rPr>
          <w:rFonts w:ascii="Courier New" w:hAnsi="Courier New" w:eastAsia="Courier New" w:cs="Courier New"/>
          <w:b/>
          <w:sz w:val="24"/>
          <w:szCs w:val="24"/>
        </w:rPr>
      </w:pPr>
      <w:r>
        <w:rPr>
          <w:rFonts w:ascii="Courier New" w:hAnsi="Courier New" w:eastAsia="Courier New" w:cs="Courier New"/>
          <w:sz w:val="24"/>
          <w:szCs w:val="24"/>
        </w:rPr>
        <w:t>Statistical methods are not used in this information collection.</w:t>
      </w:r>
    </w:p>
    <w:sectPr w:rsidR="002B52F7">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25BCC" w14:textId="77777777" w:rsidR="001963DA" w:rsidRDefault="00603DF8">
      <w:pPr>
        <w:spacing w:line="240" w:lineRule="auto"/>
      </w:pPr>
      <w:r>
        <w:separator/>
      </w:r>
    </w:p>
  </w:endnote>
  <w:endnote w:type="continuationSeparator" w:id="0">
    <w:p w14:paraId="6FDE1C27" w14:textId="77777777" w:rsidR="001963DA" w:rsidRDefault="00603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69ABF6A0" w:rsidR="002B52F7" w:rsidRDefault="00603DF8">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4A" w14:textId="77777777" w:rsidR="002B52F7" w:rsidRDefault="00CD56EB">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0FA47" w14:textId="77777777" w:rsidR="001963DA" w:rsidRDefault="00603DF8">
      <w:pPr>
        <w:spacing w:line="240" w:lineRule="auto"/>
      </w:pPr>
      <w:r>
        <w:separator/>
      </w:r>
    </w:p>
  </w:footnote>
  <w:footnote w:type="continuationSeparator" w:id="0">
    <w:p w14:paraId="002443F9" w14:textId="77777777" w:rsidR="001963DA" w:rsidRDefault="00603DF8">
      <w:pPr>
        <w:spacing w:line="240" w:lineRule="auto"/>
      </w:pPr>
      <w:r>
        <w:continuationSeparator/>
      </w:r>
    </w:p>
  </w:footnote>
  <w:footnote w:id="1">
    <w:p w14:paraId="0000004B" w14:textId="77777777" w:rsidR="002B52F7" w:rsidRDefault="00603DF8">
      <w:pPr>
        <w:spacing w:line="240" w:lineRule="auto"/>
        <w:rPr>
          <w:sz w:val="16"/>
          <w:szCs w:val="16"/>
        </w:rPr>
      </w:pPr>
      <w:r>
        <w:rPr>
          <w:vertAlign w:val="superscript"/>
        </w:rPr>
        <w:footnoteRef/>
      </w:r>
      <w:r>
        <w:rPr>
          <w:sz w:val="20"/>
          <w:szCs w:val="20"/>
        </w:rPr>
        <w:t xml:space="preserve"> </w:t>
      </w:r>
      <w:hyperlink r:id="rId1">
        <w:r>
          <w:rPr>
            <w:rFonts w:ascii="Courier New" w:eastAsia="Courier New" w:hAnsi="Courier New" w:cs="Courier New"/>
            <w:color w:val="1155CC"/>
            <w:sz w:val="20"/>
            <w:szCs w:val="20"/>
            <w:u w:val="single"/>
          </w:rPr>
          <w:t>https://www.dfas.mil/militarymembers/payentitlements/Pay-Tables/CZ1/</w:t>
        </w:r>
      </w:hyperlink>
    </w:p>
  </w:footnote>
  <w:footnote w:id="2">
    <w:p w14:paraId="0000004C" w14:textId="77777777" w:rsidR="002B52F7" w:rsidRDefault="00603DF8">
      <w:pPr>
        <w:spacing w:line="240" w:lineRule="auto"/>
        <w:rPr>
          <w:sz w:val="16"/>
          <w:szCs w:val="16"/>
        </w:rPr>
      </w:pPr>
      <w:r>
        <w:rPr>
          <w:vertAlign w:val="superscript"/>
        </w:rPr>
        <w:footnoteRef/>
      </w:r>
      <w:r>
        <w:rPr>
          <w:sz w:val="20"/>
          <w:szCs w:val="20"/>
        </w:rPr>
        <w:t xml:space="preserve"> </w:t>
      </w:r>
      <w:r>
        <w:rPr>
          <w:rFonts w:ascii="Courier New" w:eastAsia="Courier New" w:hAnsi="Courier New" w:cs="Courier New"/>
          <w:sz w:val="20"/>
          <w:szCs w:val="20"/>
        </w:rPr>
        <w:t>The hourly rate of $59 is based on the Office of Personnel Management (OPM) 202</w:t>
      </w:r>
      <w:r>
        <w:rPr>
          <w:rFonts w:ascii="Courier New" w:eastAsia="Courier New" w:hAnsi="Courier New" w:cs="Courier New"/>
          <w:color w:val="222222"/>
          <w:sz w:val="20"/>
          <w:szCs w:val="20"/>
        </w:rPr>
        <w:t>2</w:t>
      </w:r>
      <w:r>
        <w:rPr>
          <w:rFonts w:ascii="Courier New" w:eastAsia="Courier New" w:hAnsi="Courier New" w:cs="Courier New"/>
          <w:sz w:val="20"/>
          <w:szCs w:val="20"/>
        </w:rPr>
        <w:t xml:space="preserve"> General Schedule (GS) </w:t>
      </w:r>
      <w:r>
        <w:rPr>
          <w:rFonts w:ascii="Courier New" w:eastAsia="Courier New" w:hAnsi="Courier New" w:cs="Courier New"/>
          <w:color w:val="222222"/>
          <w:sz w:val="20"/>
          <w:szCs w:val="20"/>
        </w:rPr>
        <w:t>12/</w:t>
      </w:r>
      <w:r>
        <w:rPr>
          <w:rFonts w:ascii="Courier New" w:eastAsia="Courier New" w:hAnsi="Courier New" w:cs="Courier New"/>
          <w:sz w:val="20"/>
          <w:szCs w:val="20"/>
        </w:rPr>
        <w:t>step 5 salary for the rest of the United States ($</w:t>
      </w:r>
      <w:r>
        <w:rPr>
          <w:rFonts w:ascii="Courier New" w:eastAsia="Courier New" w:hAnsi="Courier New" w:cs="Courier New"/>
          <w:color w:val="222222"/>
          <w:sz w:val="20"/>
          <w:szCs w:val="20"/>
        </w:rPr>
        <w:t>43.10</w:t>
      </w:r>
      <w:r>
        <w:rPr>
          <w:rFonts w:ascii="Courier New" w:eastAsia="Courier New" w:hAnsi="Courier New" w:cs="Courier New"/>
          <w:sz w:val="20"/>
          <w:szCs w:val="20"/>
        </w:rPr>
        <w:t xml:space="preserve"> per hour) plus a 36.25 percent </w:t>
      </w:r>
      <w:r>
        <w:rPr>
          <w:rFonts w:ascii="Courier New" w:eastAsia="Courier New" w:hAnsi="Courier New" w:cs="Courier New"/>
          <w:color w:val="222222"/>
          <w:sz w:val="20"/>
          <w:szCs w:val="20"/>
          <w:highlight w:val="white"/>
        </w:rPr>
        <w:t xml:space="preserve">overhead and benefits </w:t>
      </w:r>
      <w:r>
        <w:rPr>
          <w:rFonts w:ascii="Courier New" w:eastAsia="Courier New" w:hAnsi="Courier New" w:cs="Courier New"/>
          <w:sz w:val="20"/>
          <w:szCs w:val="20"/>
        </w:rPr>
        <w:t>factor, rounded to the nearest whole dollar.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84E70"/>
    <w:multiLevelType w:val="hybridMultilevel"/>
    <w:tmpl w:val="C97E5D28"/>
    <w:lvl w:ilvl="0" w:tplc="5A54C4AA">
      <w:start w:val="1"/>
      <w:numFmt w:val="decimal"/>
      <w:lvlText w:val="%1."/>
      <w:lvlJc w:val="left"/>
      <w:pPr>
        <w:ind w:left="720" w:hanging="360"/>
      </w:pPr>
    </w:lvl>
    <w:lvl w:ilvl="1" w:tplc="3872F4E8">
      <w:start w:val="1"/>
      <w:numFmt w:val="decimal"/>
      <w:lvlText w:val="%2."/>
      <w:lvlJc w:val="left"/>
      <w:pPr>
        <w:ind w:left="1440" w:hanging="1080"/>
      </w:pPr>
    </w:lvl>
    <w:lvl w:ilvl="2" w:tplc="F8F2077E">
      <w:start w:val="1"/>
      <w:numFmt w:val="decimal"/>
      <w:lvlText w:val="%3."/>
      <w:lvlJc w:val="left"/>
      <w:pPr>
        <w:ind w:left="2160" w:hanging="1980"/>
      </w:pPr>
    </w:lvl>
    <w:lvl w:ilvl="3" w:tplc="DB143BD4">
      <w:start w:val="1"/>
      <w:numFmt w:val="decimal"/>
      <w:lvlText w:val="%4."/>
      <w:lvlJc w:val="left"/>
      <w:pPr>
        <w:ind w:left="2880" w:hanging="2520"/>
      </w:pPr>
    </w:lvl>
    <w:lvl w:ilvl="4" w:tplc="994EED2A">
      <w:start w:val="1"/>
      <w:numFmt w:val="decimal"/>
      <w:lvlText w:val="%5."/>
      <w:lvlJc w:val="left"/>
      <w:pPr>
        <w:ind w:left="3600" w:hanging="3240"/>
      </w:pPr>
    </w:lvl>
    <w:lvl w:ilvl="5" w:tplc="EA5A0B10">
      <w:start w:val="1"/>
      <w:numFmt w:val="decimal"/>
      <w:lvlText w:val="%6."/>
      <w:lvlJc w:val="left"/>
      <w:pPr>
        <w:ind w:left="4320" w:hanging="4140"/>
      </w:pPr>
    </w:lvl>
    <w:lvl w:ilvl="6" w:tplc="E4485C3A">
      <w:start w:val="1"/>
      <w:numFmt w:val="decimal"/>
      <w:lvlText w:val="%7."/>
      <w:lvlJc w:val="left"/>
      <w:pPr>
        <w:ind w:left="5040" w:hanging="4680"/>
      </w:pPr>
    </w:lvl>
    <w:lvl w:ilvl="7" w:tplc="7828143C">
      <w:start w:val="1"/>
      <w:numFmt w:val="decimal"/>
      <w:lvlText w:val="%8."/>
      <w:lvlJc w:val="left"/>
      <w:pPr>
        <w:ind w:left="5760" w:hanging="5400"/>
      </w:pPr>
    </w:lvl>
    <w:lvl w:ilvl="8" w:tplc="A9047882">
      <w:start w:val="1"/>
      <w:numFmt w:val="decimal"/>
      <w:lvlText w:val="%9."/>
      <w:lvlJc w:val="left"/>
      <w:pPr>
        <w:ind w:left="6480" w:hanging="6300"/>
      </w:pPr>
    </w:lvl>
  </w:abstractNum>
  <w:abstractNum w:abstractNumId="1" w15:restartNumberingAfterBreak="0">
    <w:nsid w:val="374E5F2E"/>
    <w:multiLevelType w:val="hybridMultilevel"/>
    <w:tmpl w:val="838C3242"/>
    <w:lvl w:ilvl="0" w:tplc="4A9EFF2A">
      <w:start w:val="1"/>
      <w:numFmt w:val="bullet"/>
      <w:lvlText w:val="●"/>
      <w:lvlJc w:val="left"/>
      <w:pPr>
        <w:ind w:left="720" w:hanging="360"/>
      </w:pPr>
      <w:rPr>
        <w:u w:val="none"/>
      </w:rPr>
    </w:lvl>
    <w:lvl w:ilvl="1" w:tplc="9D9CDE34">
      <w:start w:val="1"/>
      <w:numFmt w:val="bullet"/>
      <w:lvlText w:val="○"/>
      <w:lvlJc w:val="left"/>
      <w:pPr>
        <w:ind w:left="1440" w:hanging="360"/>
      </w:pPr>
      <w:rPr>
        <w:u w:val="none"/>
      </w:rPr>
    </w:lvl>
    <w:lvl w:ilvl="2" w:tplc="EB0260BA">
      <w:start w:val="1"/>
      <w:numFmt w:val="bullet"/>
      <w:lvlText w:val="■"/>
      <w:lvlJc w:val="left"/>
      <w:pPr>
        <w:ind w:left="2160" w:hanging="360"/>
      </w:pPr>
      <w:rPr>
        <w:u w:val="none"/>
      </w:rPr>
    </w:lvl>
    <w:lvl w:ilvl="3" w:tplc="384E5352">
      <w:start w:val="1"/>
      <w:numFmt w:val="bullet"/>
      <w:lvlText w:val="●"/>
      <w:lvlJc w:val="left"/>
      <w:pPr>
        <w:ind w:left="2880" w:hanging="360"/>
      </w:pPr>
      <w:rPr>
        <w:u w:val="none"/>
      </w:rPr>
    </w:lvl>
    <w:lvl w:ilvl="4" w:tplc="FD7E839C">
      <w:start w:val="1"/>
      <w:numFmt w:val="bullet"/>
      <w:lvlText w:val="○"/>
      <w:lvlJc w:val="left"/>
      <w:pPr>
        <w:ind w:left="3600" w:hanging="360"/>
      </w:pPr>
      <w:rPr>
        <w:u w:val="none"/>
      </w:rPr>
    </w:lvl>
    <w:lvl w:ilvl="5" w:tplc="685E568A">
      <w:start w:val="1"/>
      <w:numFmt w:val="bullet"/>
      <w:lvlText w:val="■"/>
      <w:lvlJc w:val="left"/>
      <w:pPr>
        <w:ind w:left="4320" w:hanging="360"/>
      </w:pPr>
      <w:rPr>
        <w:u w:val="none"/>
      </w:rPr>
    </w:lvl>
    <w:lvl w:ilvl="6" w:tplc="549E907A">
      <w:start w:val="1"/>
      <w:numFmt w:val="bullet"/>
      <w:lvlText w:val="●"/>
      <w:lvlJc w:val="left"/>
      <w:pPr>
        <w:ind w:left="5040" w:hanging="360"/>
      </w:pPr>
      <w:rPr>
        <w:u w:val="none"/>
      </w:rPr>
    </w:lvl>
    <w:lvl w:ilvl="7" w:tplc="1AEC4C86">
      <w:start w:val="1"/>
      <w:numFmt w:val="bullet"/>
      <w:lvlText w:val="○"/>
      <w:lvlJc w:val="left"/>
      <w:pPr>
        <w:ind w:left="5760" w:hanging="360"/>
      </w:pPr>
      <w:rPr>
        <w:u w:val="none"/>
      </w:rPr>
    </w:lvl>
    <w:lvl w:ilvl="8" w:tplc="395E2D50">
      <w:start w:val="1"/>
      <w:numFmt w:val="bullet"/>
      <w:lvlText w:val="■"/>
      <w:lvlJc w:val="left"/>
      <w:pPr>
        <w:ind w:left="6480" w:hanging="360"/>
      </w:pPr>
      <w:rPr>
        <w:u w:val="none"/>
      </w:rPr>
    </w:lvl>
  </w:abstractNum>
  <w:abstractNum w:abstractNumId="2" w15:restartNumberingAfterBreak="0">
    <w:nsid w:val="7980024F"/>
    <w:multiLevelType w:val="hybridMultilevel"/>
    <w:tmpl w:val="6B6EDE4E"/>
    <w:lvl w:ilvl="0" w:tplc="499E8F78">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BD0C34"/>
    <w:multiLevelType w:val="hybridMultilevel"/>
    <w:tmpl w:val="AAACF51A"/>
    <w:lvl w:ilvl="0" w:tplc="45FE9F52">
      <w:start w:val="1"/>
      <w:numFmt w:val="upperLetter"/>
      <w:lvlText w:val="%1."/>
      <w:lvlJc w:val="left"/>
      <w:pPr>
        <w:ind w:left="720" w:hanging="360"/>
      </w:pPr>
      <w:rPr>
        <w:u w:val="none"/>
      </w:rPr>
    </w:lvl>
    <w:lvl w:ilvl="1" w:tplc="B0A8890A">
      <w:start w:val="1"/>
      <w:numFmt w:val="lowerLetter"/>
      <w:lvlText w:val="%2."/>
      <w:lvlJc w:val="left"/>
      <w:pPr>
        <w:ind w:left="1440" w:hanging="360"/>
      </w:pPr>
      <w:rPr>
        <w:u w:val="none"/>
      </w:rPr>
    </w:lvl>
    <w:lvl w:ilvl="2" w:tplc="CA9681BC">
      <w:start w:val="1"/>
      <w:numFmt w:val="lowerRoman"/>
      <w:lvlText w:val="%3."/>
      <w:lvlJc w:val="right"/>
      <w:pPr>
        <w:ind w:left="2160" w:hanging="360"/>
      </w:pPr>
      <w:rPr>
        <w:u w:val="none"/>
      </w:rPr>
    </w:lvl>
    <w:lvl w:ilvl="3" w:tplc="A628D28E">
      <w:start w:val="1"/>
      <w:numFmt w:val="decimal"/>
      <w:lvlText w:val="%4."/>
      <w:lvlJc w:val="left"/>
      <w:pPr>
        <w:ind w:left="2880" w:hanging="360"/>
      </w:pPr>
      <w:rPr>
        <w:u w:val="none"/>
      </w:rPr>
    </w:lvl>
    <w:lvl w:ilvl="4" w:tplc="21B8D1DE">
      <w:start w:val="1"/>
      <w:numFmt w:val="lowerLetter"/>
      <w:lvlText w:val="%5."/>
      <w:lvlJc w:val="left"/>
      <w:pPr>
        <w:ind w:left="3600" w:hanging="360"/>
      </w:pPr>
      <w:rPr>
        <w:u w:val="none"/>
      </w:rPr>
    </w:lvl>
    <w:lvl w:ilvl="5" w:tplc="BC1ABBA8">
      <w:start w:val="1"/>
      <w:numFmt w:val="lowerRoman"/>
      <w:lvlText w:val="%6."/>
      <w:lvlJc w:val="right"/>
      <w:pPr>
        <w:ind w:left="4320" w:hanging="360"/>
      </w:pPr>
      <w:rPr>
        <w:u w:val="none"/>
      </w:rPr>
    </w:lvl>
    <w:lvl w:ilvl="6" w:tplc="A0B6D804">
      <w:start w:val="1"/>
      <w:numFmt w:val="decimal"/>
      <w:lvlText w:val="%7."/>
      <w:lvlJc w:val="left"/>
      <w:pPr>
        <w:ind w:left="5040" w:hanging="360"/>
      </w:pPr>
      <w:rPr>
        <w:u w:val="none"/>
      </w:rPr>
    </w:lvl>
    <w:lvl w:ilvl="7" w:tplc="D4125AA0">
      <w:start w:val="1"/>
      <w:numFmt w:val="lowerLetter"/>
      <w:lvlText w:val="%8."/>
      <w:lvlJc w:val="left"/>
      <w:pPr>
        <w:ind w:left="5760" w:hanging="360"/>
      </w:pPr>
      <w:rPr>
        <w:u w:val="none"/>
      </w:rPr>
    </w:lvl>
    <w:lvl w:ilvl="8" w:tplc="1CAE8766">
      <w:start w:val="1"/>
      <w:numFmt w:val="lowerRoman"/>
      <w:lvlText w:val="%9."/>
      <w:lvlJc w:val="right"/>
      <w:pPr>
        <w:ind w:left="6480" w:hanging="360"/>
      </w:pPr>
      <w:rPr>
        <w:u w:val="none"/>
      </w:rPr>
    </w:lvl>
  </w:abstractNum>
  <w:num w:numId="1" w16cid:durableId="345792962">
    <w:abstractNumId w:val="3"/>
  </w:num>
  <w:num w:numId="2" w16cid:durableId="586614115">
    <w:abstractNumId w:val="1"/>
  </w:num>
  <w:num w:numId="3" w16cid:durableId="2097751052">
    <w:abstractNumId w:val="2"/>
  </w:num>
  <w:num w:numId="4" w16cid:durableId="6541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F8"/>
    <w:rsid w:val="00603DF8"/>
    <w:rsid w:val="00CD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95E7"/>
  <w15:docId w15:val="{9CDF1404-16FE-4EBA-AA44-CFDA9611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53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fas.mil/militarymembers/payentitlements/Pay-Tables/C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5</cp:revision>
  <dcterms:created xsi:type="dcterms:W3CDTF">2022-04-18T14:00:00Z</dcterms:created>
  <dcterms:modified xsi:type="dcterms:W3CDTF">2022-08-01T13:19:00Z</dcterms:modified>
</cp:coreProperties>
</file>