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4BFE" w:rsidRPr="00EE377E" w:rsidP="00AC4BFE">
      <w:pPr>
        <w:rPr>
          <w:rFonts w:ascii="Arial" w:hAnsi="Arial" w:cs="Arial"/>
          <w:b/>
          <w:sz w:val="28"/>
          <w:szCs w:val="28"/>
        </w:rPr>
      </w:pPr>
      <w:bookmarkStart w:id="0" w:name="_GoBack"/>
      <w:bookmarkEnd w:id="0"/>
      <w:r w:rsidRPr="00EE377E">
        <w:rPr>
          <w:rFonts w:ascii="Arial" w:hAnsi="Arial" w:cs="Arial"/>
          <w:b/>
          <w:sz w:val="28"/>
          <w:szCs w:val="28"/>
        </w:rPr>
        <w:t xml:space="preserve">TITLE 7 &gt; CHAPTER </w:t>
      </w:r>
      <w:r>
        <w:rPr>
          <w:rFonts w:ascii="Arial" w:hAnsi="Arial" w:cs="Arial"/>
          <w:b/>
          <w:sz w:val="28"/>
          <w:szCs w:val="28"/>
        </w:rPr>
        <w:t>55</w:t>
      </w:r>
      <w:r w:rsidRPr="00EE377E">
        <w:rPr>
          <w:rFonts w:ascii="Arial" w:hAnsi="Arial" w:cs="Arial"/>
          <w:b/>
          <w:sz w:val="28"/>
          <w:szCs w:val="28"/>
        </w:rPr>
        <w:t xml:space="preserve"> &gt; SEC. </w:t>
      </w:r>
      <w:r>
        <w:rPr>
          <w:rFonts w:ascii="Arial" w:hAnsi="Arial" w:cs="Arial"/>
          <w:b/>
          <w:sz w:val="28"/>
          <w:szCs w:val="28"/>
        </w:rPr>
        <w:t>2204</w:t>
      </w:r>
      <w:r w:rsidR="00E06D8A">
        <w:rPr>
          <w:rFonts w:ascii="Arial" w:hAnsi="Arial" w:cs="Arial"/>
          <w:b/>
          <w:sz w:val="28"/>
          <w:szCs w:val="28"/>
        </w:rPr>
        <w:t>(</w:t>
      </w:r>
      <w:r>
        <w:rPr>
          <w:rFonts w:ascii="Arial" w:hAnsi="Arial" w:cs="Arial"/>
          <w:b/>
          <w:sz w:val="28"/>
          <w:szCs w:val="28"/>
        </w:rPr>
        <w:t>g</w:t>
      </w:r>
      <w:r w:rsidR="00E06D8A">
        <w:rPr>
          <w:rFonts w:ascii="Arial" w:hAnsi="Arial" w:cs="Arial"/>
          <w:b/>
          <w:sz w:val="28"/>
          <w:szCs w:val="28"/>
        </w:rPr>
        <w:t>)</w:t>
      </w:r>
      <w:r w:rsidRPr="00EE377E">
        <w:rPr>
          <w:rFonts w:ascii="Arial" w:hAnsi="Arial" w:cs="Arial"/>
          <w:b/>
          <w:sz w:val="28"/>
          <w:szCs w:val="28"/>
        </w:rPr>
        <w:t xml:space="preserve"> </w:t>
      </w:r>
      <w:r w:rsidR="00DE01EC">
        <w:rPr>
          <w:rFonts w:ascii="Arial" w:hAnsi="Arial" w:cs="Arial"/>
          <w:b/>
          <w:sz w:val="28"/>
          <w:szCs w:val="28"/>
        </w:rPr>
        <w:t>(Public Law 105-113)</w:t>
      </w:r>
      <w:r w:rsidRPr="00EE377E">
        <w:rPr>
          <w:rFonts w:ascii="Arial" w:hAnsi="Arial" w:cs="Arial"/>
          <w:b/>
          <w:sz w:val="28"/>
          <w:szCs w:val="28"/>
        </w:rPr>
        <w:t xml:space="preserve">     </w:t>
      </w:r>
    </w:p>
    <w:p w:rsidR="00AC4BFE" w:rsidRPr="00AC4BFE" w:rsidP="00AC4BFE">
      <w:pPr>
        <w:pStyle w:val="Heading2"/>
        <w:shd w:val="clear" w:color="auto" w:fill="FFFFFF"/>
        <w:rPr>
          <w:rFonts w:ascii="Verdana" w:hAnsi="Verdana"/>
          <w:color w:val="auto"/>
          <w:sz w:val="28"/>
          <w:szCs w:val="28"/>
        </w:rPr>
      </w:pPr>
      <w:r>
        <w:rPr>
          <w:rFonts w:ascii="Verdana" w:hAnsi="Verdana"/>
          <w:sz w:val="28"/>
          <w:szCs w:val="28"/>
        </w:rPr>
        <w:t xml:space="preserve">§ 2204g. Authority of Secretary of Agriculture to conduct </w:t>
      </w:r>
      <w:r w:rsidRPr="00AC4BFE">
        <w:rPr>
          <w:rStyle w:val="highlight"/>
          <w:rFonts w:ascii="Verdana" w:hAnsi="Verdana"/>
          <w:b w:val="0"/>
          <w:color w:val="auto"/>
          <w:sz w:val="28"/>
          <w:szCs w:val="28"/>
        </w:rPr>
        <w:t>census</w:t>
      </w:r>
      <w:r w:rsidRPr="00AC4BFE">
        <w:rPr>
          <w:rFonts w:ascii="Verdana" w:hAnsi="Verdana"/>
          <w:b/>
          <w:color w:val="auto"/>
          <w:sz w:val="28"/>
          <w:szCs w:val="28"/>
        </w:rPr>
        <w:t xml:space="preserve"> </w:t>
      </w:r>
      <w:r w:rsidRPr="00AC4BFE">
        <w:rPr>
          <w:rFonts w:ascii="Verdana" w:hAnsi="Verdana"/>
          <w:color w:val="auto"/>
          <w:sz w:val="28"/>
          <w:szCs w:val="28"/>
        </w:rPr>
        <w:t>of agriculture</w:t>
      </w:r>
    </w:p>
    <w:p w:rsidR="00AC4BFE" w:rsidRPr="00AC4BFE" w:rsidP="00AC4BFE">
      <w:pPr>
        <w:shd w:val="clear" w:color="auto" w:fill="FFFFFF"/>
        <w:rPr>
          <w:rFonts w:ascii="Verdana" w:hAnsi="Verdana"/>
          <w:sz w:val="20"/>
          <w:szCs w:val="20"/>
        </w:rPr>
      </w:pPr>
      <w:bookmarkStart w:id="1" w:name="a"/>
      <w:bookmarkEnd w:id="1"/>
      <w:r w:rsidRPr="00AC4BFE">
        <w:rPr>
          <w:rStyle w:val="enumbell"/>
          <w:rFonts w:ascii="Verdana" w:hAnsi="Verdana"/>
          <w:sz w:val="20"/>
          <w:szCs w:val="20"/>
        </w:rPr>
        <w:t xml:space="preserve"> (a)</w:t>
      </w:r>
      <w:r w:rsidRPr="00AC4BFE">
        <w:rPr>
          <w:rFonts w:ascii="Verdana" w:hAnsi="Verdana"/>
          <w:sz w:val="20"/>
          <w:szCs w:val="20"/>
        </w:rPr>
        <w:t xml:space="preserve"> </w:t>
      </w:r>
      <w:r w:rsidRPr="00AC4BFE">
        <w:rPr>
          <w:rStyle w:val="highlight"/>
          <w:rFonts w:ascii="Verdana" w:hAnsi="Verdana"/>
          <w:color w:val="auto"/>
          <w:sz w:val="20"/>
          <w:szCs w:val="20"/>
        </w:rPr>
        <w:t>Census</w:t>
      </w:r>
      <w:r w:rsidRPr="00AC4BFE">
        <w:rPr>
          <w:rFonts w:ascii="Verdana" w:hAnsi="Verdana"/>
          <w:b/>
          <w:bCs/>
          <w:sz w:val="20"/>
          <w:szCs w:val="20"/>
        </w:rPr>
        <w:t xml:space="preserve"> of agriculture required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In 1998 and every fifth year thereafter, the Secretary of Agriculture shall take a </w:t>
      </w:r>
      <w:r w:rsidRPr="00AC4BFE">
        <w:rPr>
          <w:rStyle w:val="highlight"/>
          <w:rFonts w:ascii="Verdana" w:hAnsi="Verdana"/>
          <w:color w:val="auto"/>
          <w:sz w:val="20"/>
          <w:szCs w:val="20"/>
        </w:rPr>
        <w:t>census</w:t>
      </w:r>
      <w:r w:rsidRPr="00AC4BFE">
        <w:rPr>
          <w:rFonts w:ascii="Verdana" w:hAnsi="Verdana"/>
          <w:sz w:val="20"/>
          <w:szCs w:val="20"/>
        </w:rPr>
        <w:t xml:space="preserve"> of agriculture. </w:t>
      </w:r>
    </w:p>
    <w:p w:rsidR="00AC4BFE" w:rsidP="00AC4BFE">
      <w:pPr>
        <w:shd w:val="clear" w:color="auto" w:fill="FFFFFF"/>
        <w:rPr>
          <w:rStyle w:val="enumbell"/>
          <w:rFonts w:ascii="Verdana" w:hAnsi="Verdana"/>
          <w:sz w:val="20"/>
          <w:szCs w:val="20"/>
        </w:rPr>
      </w:pPr>
      <w:bookmarkStart w:id="2" w:name="b"/>
      <w:bookmarkEnd w:id="2"/>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(b)</w:t>
      </w:r>
      <w:r w:rsidRPr="00AC4BFE">
        <w:rPr>
          <w:rFonts w:ascii="Verdana" w:hAnsi="Verdana"/>
          <w:sz w:val="20"/>
          <w:szCs w:val="20"/>
        </w:rPr>
        <w:t xml:space="preserve"> </w:t>
      </w:r>
      <w:r w:rsidRPr="00AC4BFE">
        <w:rPr>
          <w:rFonts w:ascii="Verdana" w:hAnsi="Verdana"/>
          <w:b/>
          <w:bCs/>
          <w:sz w:val="20"/>
          <w:szCs w:val="20"/>
        </w:rPr>
        <w:t xml:space="preserve">Methods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In connection with the </w:t>
      </w:r>
      <w:r w:rsidRPr="00AC4BFE">
        <w:rPr>
          <w:rStyle w:val="highlight"/>
          <w:rFonts w:ascii="Verdana" w:hAnsi="Verdana"/>
          <w:color w:val="auto"/>
          <w:sz w:val="20"/>
          <w:szCs w:val="20"/>
        </w:rPr>
        <w:t>census</w:t>
      </w:r>
      <w:r w:rsidRPr="00AC4BFE">
        <w:rPr>
          <w:rFonts w:ascii="Verdana" w:hAnsi="Verdana"/>
          <w:sz w:val="20"/>
          <w:szCs w:val="20"/>
        </w:rPr>
        <w:t xml:space="preserve">, the Secretary may conduct any survey or other information collection, and employ any sampling or other statistical method, that the Secretary determines is appropriate. </w:t>
      </w:r>
    </w:p>
    <w:p w:rsidR="00AC4BFE" w:rsidP="00AC4BFE">
      <w:pPr>
        <w:shd w:val="clear" w:color="auto" w:fill="FFFFFF"/>
        <w:rPr>
          <w:rStyle w:val="enumbell"/>
          <w:rFonts w:ascii="Verdana" w:hAnsi="Verdana"/>
          <w:sz w:val="20"/>
          <w:szCs w:val="20"/>
        </w:rPr>
      </w:pPr>
      <w:bookmarkStart w:id="3" w:name="c"/>
      <w:bookmarkEnd w:id="3"/>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(c)</w:t>
      </w:r>
      <w:r w:rsidRPr="00AC4BFE">
        <w:rPr>
          <w:rFonts w:ascii="Verdana" w:hAnsi="Verdana"/>
          <w:sz w:val="20"/>
          <w:szCs w:val="20"/>
        </w:rPr>
        <w:t xml:space="preserve"> </w:t>
      </w:r>
      <w:r w:rsidRPr="00AC4BFE">
        <w:rPr>
          <w:rFonts w:ascii="Verdana" w:hAnsi="Verdana"/>
          <w:b/>
          <w:bCs/>
          <w:sz w:val="20"/>
          <w:szCs w:val="20"/>
        </w:rPr>
        <w:t xml:space="preserve">Year of information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The information collected in each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shall relate to the year immediately preceding the year in which the </w:t>
      </w:r>
      <w:r w:rsidRPr="00AC4BFE">
        <w:rPr>
          <w:rStyle w:val="highlight"/>
          <w:rFonts w:ascii="Verdana" w:hAnsi="Verdana"/>
          <w:color w:val="auto"/>
          <w:sz w:val="20"/>
          <w:szCs w:val="20"/>
        </w:rPr>
        <w:t>census</w:t>
      </w:r>
      <w:r w:rsidRPr="00AC4BFE">
        <w:rPr>
          <w:rFonts w:ascii="Verdana" w:hAnsi="Verdana"/>
          <w:sz w:val="20"/>
          <w:szCs w:val="20"/>
        </w:rPr>
        <w:t xml:space="preserve"> is taken. </w:t>
      </w:r>
    </w:p>
    <w:p w:rsidR="00AC4BFE" w:rsidP="00AC4BFE">
      <w:pPr>
        <w:shd w:val="clear" w:color="auto" w:fill="FFFFFF"/>
        <w:rPr>
          <w:rStyle w:val="enumbell"/>
          <w:rFonts w:ascii="Verdana" w:hAnsi="Verdana"/>
          <w:sz w:val="20"/>
          <w:szCs w:val="20"/>
        </w:rPr>
      </w:pPr>
      <w:bookmarkStart w:id="4" w:name="d"/>
      <w:bookmarkEnd w:id="4"/>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(d)</w:t>
      </w:r>
      <w:r w:rsidRPr="00AC4BFE">
        <w:rPr>
          <w:rFonts w:ascii="Verdana" w:hAnsi="Verdana"/>
          <w:sz w:val="20"/>
          <w:szCs w:val="20"/>
        </w:rPr>
        <w:t xml:space="preserve"> </w:t>
      </w:r>
      <w:r w:rsidRPr="00AC4BFE">
        <w:rPr>
          <w:rFonts w:ascii="Verdana" w:hAnsi="Verdana"/>
          <w:b/>
          <w:bCs/>
          <w:sz w:val="20"/>
          <w:szCs w:val="20"/>
        </w:rPr>
        <w:t xml:space="preserve">Enforcement </w:t>
      </w:r>
    </w:p>
    <w:p w:rsidR="00AC4BFE" w:rsidP="00AC4BFE">
      <w:pPr>
        <w:shd w:val="clear" w:color="auto" w:fill="FFFFFF"/>
        <w:rPr>
          <w:rStyle w:val="enumbell"/>
          <w:rFonts w:ascii="Verdana" w:hAnsi="Verdana"/>
          <w:sz w:val="20"/>
          <w:szCs w:val="20"/>
        </w:rPr>
      </w:pPr>
      <w:bookmarkStart w:id="5" w:name="d_1"/>
      <w:bookmarkEnd w:id="5"/>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Fraud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A person over 18 years of age who willfully gives an answer that is false to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$500. </w:t>
      </w:r>
    </w:p>
    <w:p w:rsidR="00AC4BFE" w:rsidP="00AC4BFE">
      <w:pPr>
        <w:shd w:val="clear" w:color="auto" w:fill="FFFFFF"/>
        <w:rPr>
          <w:rStyle w:val="enumbell"/>
          <w:rFonts w:ascii="Verdana" w:hAnsi="Verdana"/>
          <w:sz w:val="20"/>
          <w:szCs w:val="20"/>
        </w:rPr>
      </w:pPr>
      <w:bookmarkStart w:id="6" w:name="d_2"/>
      <w:bookmarkEnd w:id="6"/>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Refusal or neglect to answer questions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A person over 18 years of age who refuses or willfully neglects to answer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$100. </w:t>
      </w:r>
    </w:p>
    <w:p w:rsidR="00AC4BFE" w:rsidP="00AC4BFE">
      <w:pPr>
        <w:shd w:val="clear" w:color="auto" w:fill="FFFFFF"/>
        <w:rPr>
          <w:rStyle w:val="enumbell"/>
          <w:rFonts w:ascii="Verdana" w:hAnsi="Verdana"/>
          <w:sz w:val="20"/>
          <w:szCs w:val="20"/>
        </w:rPr>
      </w:pPr>
      <w:bookmarkStart w:id="7" w:name="d_3"/>
      <w:bookmarkEnd w:id="7"/>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Social Security number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The failure or refusal of a person to disclose the person’s Social Security number in response to a request made in connection with any </w:t>
      </w:r>
      <w:r w:rsidRPr="00AC4BFE">
        <w:rPr>
          <w:rStyle w:val="highlight"/>
          <w:rFonts w:ascii="Verdana" w:hAnsi="Verdana"/>
          <w:color w:val="auto"/>
          <w:sz w:val="20"/>
          <w:szCs w:val="20"/>
        </w:rPr>
        <w:t>census</w:t>
      </w:r>
      <w:r w:rsidRPr="00AC4BFE">
        <w:rPr>
          <w:rFonts w:ascii="Verdana" w:hAnsi="Verdana"/>
          <w:sz w:val="20"/>
          <w:szCs w:val="20"/>
        </w:rPr>
        <w:t xml:space="preserve"> or other activity under this section shall not be a violation under this subsection. </w:t>
      </w:r>
    </w:p>
    <w:p w:rsidR="00AC4BFE" w:rsidP="00AC4BFE">
      <w:pPr>
        <w:shd w:val="clear" w:color="auto" w:fill="FFFFFF"/>
        <w:rPr>
          <w:rStyle w:val="enumbell"/>
          <w:rFonts w:ascii="Verdana" w:hAnsi="Verdana"/>
          <w:sz w:val="20"/>
          <w:szCs w:val="20"/>
        </w:rPr>
      </w:pPr>
      <w:bookmarkStart w:id="8" w:name="d_4"/>
      <w:bookmarkEnd w:id="8"/>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(4)</w:t>
      </w:r>
      <w:r w:rsidRPr="00AC4BFE">
        <w:rPr>
          <w:rFonts w:ascii="Verdana" w:hAnsi="Verdana"/>
          <w:sz w:val="20"/>
          <w:szCs w:val="20"/>
        </w:rPr>
        <w:t xml:space="preserve"> </w:t>
      </w:r>
      <w:r w:rsidRPr="00AC4BFE">
        <w:rPr>
          <w:rFonts w:ascii="Verdana" w:hAnsi="Verdana"/>
          <w:b/>
          <w:bCs/>
          <w:sz w:val="20"/>
          <w:szCs w:val="20"/>
        </w:rPr>
        <w:t xml:space="preserve">Religious information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Notwithstanding any other provision of this section, no person shall be compelled to disclose information relative to the religious beliefs of the person or to membership of the person in a religious body. </w:t>
      </w:r>
    </w:p>
    <w:p w:rsidR="00AC4BFE" w:rsidP="00AC4BFE">
      <w:pPr>
        <w:shd w:val="clear" w:color="auto" w:fill="FFFFFF"/>
        <w:rPr>
          <w:rStyle w:val="enumbell"/>
          <w:rFonts w:ascii="Verdana" w:hAnsi="Verdana"/>
          <w:sz w:val="20"/>
          <w:szCs w:val="20"/>
        </w:rPr>
      </w:pPr>
      <w:bookmarkStart w:id="9" w:name="e"/>
      <w:bookmarkEnd w:id="9"/>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(e)</w:t>
      </w:r>
      <w:r w:rsidRPr="00AC4BFE">
        <w:rPr>
          <w:rFonts w:ascii="Verdana" w:hAnsi="Verdana"/>
          <w:sz w:val="20"/>
          <w:szCs w:val="20"/>
        </w:rPr>
        <w:t xml:space="preserve"> </w:t>
      </w:r>
      <w:r w:rsidRPr="00AC4BFE">
        <w:rPr>
          <w:rFonts w:ascii="Verdana" w:hAnsi="Verdana"/>
          <w:b/>
          <w:bCs/>
          <w:sz w:val="20"/>
          <w:szCs w:val="20"/>
        </w:rPr>
        <w:t xml:space="preserve">Geographic coverage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include— </w:t>
      </w:r>
    </w:p>
    <w:p w:rsidR="00AC4BFE" w:rsidP="00AC4BFE">
      <w:pPr>
        <w:shd w:val="clear" w:color="auto" w:fill="FFFFFF"/>
        <w:rPr>
          <w:rStyle w:val="enumbell"/>
          <w:rFonts w:ascii="Verdana" w:hAnsi="Verdana"/>
          <w:sz w:val="20"/>
          <w:szCs w:val="20"/>
        </w:rPr>
      </w:pPr>
      <w:bookmarkStart w:id="10" w:name="e_1"/>
      <w:bookmarkEnd w:id="10"/>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each of the several States of the </w:t>
      </w:r>
      <w:smartTag w:uri="urn:schemas-microsoft-com:office:smarttags" w:element="place">
        <w:smartTag w:uri="urn:schemas-microsoft-com:office:smarttags" w:element="country-region">
          <w:r w:rsidRPr="00AC4BFE">
            <w:rPr>
              <w:rStyle w:val="ptext-2"/>
              <w:rFonts w:ascii="Verdana" w:hAnsi="Verdana"/>
              <w:sz w:val="20"/>
              <w:szCs w:val="20"/>
            </w:rPr>
            <w:t>United States</w:t>
          </w:r>
        </w:smartTag>
      </w:smartTag>
      <w:r w:rsidRPr="00AC4BFE">
        <w:rPr>
          <w:rStyle w:val="ptext-2"/>
          <w:rFonts w:ascii="Verdana" w:hAnsi="Verdana"/>
          <w:sz w:val="20"/>
          <w:szCs w:val="20"/>
        </w:rPr>
        <w:t xml:space="preserve">; </w:t>
      </w:r>
    </w:p>
    <w:p w:rsidR="00AC4BFE" w:rsidP="00AC4BFE">
      <w:pPr>
        <w:shd w:val="clear" w:color="auto" w:fill="FFFFFF"/>
        <w:rPr>
          <w:rStyle w:val="enumbell"/>
          <w:rFonts w:ascii="Verdana" w:hAnsi="Verdana"/>
          <w:sz w:val="20"/>
          <w:szCs w:val="20"/>
        </w:rPr>
      </w:pPr>
      <w:bookmarkStart w:id="11" w:name="e_2"/>
      <w:bookmarkEnd w:id="11"/>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as determined appropriate by the Secretary, the District of Columbia, the Commonwealth of Puerto Rico, the Commonwealth of the Northern Mariana Islands, the United States Virgin Islands, and Guam; and </w:t>
      </w:r>
    </w:p>
    <w:p w:rsidR="00AC4BFE" w:rsidP="00AC4BFE">
      <w:pPr>
        <w:shd w:val="clear" w:color="auto" w:fill="FFFFFF"/>
        <w:rPr>
          <w:rStyle w:val="enumbell"/>
          <w:rFonts w:ascii="Verdana" w:hAnsi="Verdana"/>
          <w:sz w:val="20"/>
          <w:szCs w:val="20"/>
        </w:rPr>
      </w:pPr>
      <w:bookmarkStart w:id="12" w:name="e_3"/>
      <w:bookmarkEnd w:id="12"/>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Style w:val="ptext-2"/>
          <w:rFonts w:ascii="Verdana" w:hAnsi="Verdana"/>
          <w:sz w:val="20"/>
          <w:szCs w:val="20"/>
        </w:rPr>
        <w:t xml:space="preserve">with the concurrence of the Secretary and the Secretary of State, any other possession or area over which the United States exercises jurisdiction, control, or sovereignty. </w:t>
      </w:r>
    </w:p>
    <w:p w:rsidR="00AC4BFE" w:rsidP="00AC4BFE">
      <w:pPr>
        <w:shd w:val="clear" w:color="auto" w:fill="FFFFFF"/>
        <w:rPr>
          <w:rStyle w:val="enumbell"/>
          <w:rFonts w:ascii="Verdana" w:hAnsi="Verdana"/>
          <w:sz w:val="20"/>
          <w:szCs w:val="20"/>
        </w:rPr>
      </w:pPr>
      <w:bookmarkStart w:id="13" w:name="f"/>
      <w:bookmarkEnd w:id="13"/>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(f)</w:t>
      </w:r>
      <w:r w:rsidRPr="00AC4BFE">
        <w:rPr>
          <w:rFonts w:ascii="Verdana" w:hAnsi="Verdana"/>
          <w:sz w:val="20"/>
          <w:szCs w:val="20"/>
        </w:rPr>
        <w:t xml:space="preserve"> </w:t>
      </w:r>
      <w:r w:rsidRPr="00AC4BFE">
        <w:rPr>
          <w:rFonts w:ascii="Verdana" w:hAnsi="Verdana"/>
          <w:b/>
          <w:bCs/>
          <w:sz w:val="20"/>
          <w:szCs w:val="20"/>
        </w:rPr>
        <w:t xml:space="preserve">Cooperation with Secretary of Commerce </w:t>
      </w:r>
    </w:p>
    <w:p w:rsidR="00AC4BFE" w:rsidP="00AC4BFE">
      <w:pPr>
        <w:shd w:val="clear" w:color="auto" w:fill="FFFFFF"/>
        <w:rPr>
          <w:rStyle w:val="enumbell"/>
          <w:rFonts w:ascii="Verdana" w:hAnsi="Verdana"/>
          <w:sz w:val="20"/>
          <w:szCs w:val="20"/>
        </w:rPr>
      </w:pPr>
      <w:bookmarkStart w:id="14" w:name="f_1"/>
      <w:bookmarkEnd w:id="14"/>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Information provided to Secretary of Agriculture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On a written request by the Secretary of Agriculture, the Secretary of Commerce may provide to the Secretary of Agriculture any information collected under title 13 that the Secretary of Agriculture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this section. </w:t>
      </w:r>
    </w:p>
    <w:p w:rsidR="00AC4BFE" w:rsidP="00AC4BFE">
      <w:pPr>
        <w:shd w:val="clear" w:color="auto" w:fill="FFFFFF"/>
        <w:rPr>
          <w:rStyle w:val="enumbell"/>
          <w:rFonts w:ascii="Verdana" w:hAnsi="Verdana"/>
          <w:sz w:val="20"/>
          <w:szCs w:val="20"/>
        </w:rPr>
      </w:pPr>
      <w:bookmarkStart w:id="15" w:name="f_2"/>
      <w:bookmarkEnd w:id="15"/>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Information provided to Secretary of Commerce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On a written request by the Secretary of Commerce, the Secretary of Agriculture may provide to the Secretary of Commerce any information collected in a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that the Secretary of Commerce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title 13. </w:t>
      </w:r>
    </w:p>
    <w:p w:rsidR="00AC4BFE" w:rsidP="00AC4BFE">
      <w:pPr>
        <w:shd w:val="clear" w:color="auto" w:fill="FFFFFF"/>
        <w:rPr>
          <w:rStyle w:val="enumbell"/>
          <w:rFonts w:ascii="Verdana" w:hAnsi="Verdana"/>
          <w:sz w:val="20"/>
          <w:szCs w:val="20"/>
        </w:rPr>
      </w:pPr>
      <w:bookmarkStart w:id="16" w:name="f_3"/>
      <w:bookmarkEnd w:id="16"/>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Confidentiality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Information obtained under this subsection may not be used for any purpose other than the statistical purposes for which the information is supplied. For purposes of sections </w:t>
      </w:r>
      <w:hyperlink r:id="rId4" w:history="1">
        <w:r w:rsidRPr="00AC4BFE">
          <w:rPr>
            <w:rStyle w:val="Hyperlink"/>
            <w:rFonts w:ascii="Verdana" w:hAnsi="Verdana"/>
            <w:color w:val="auto"/>
            <w:sz w:val="20"/>
            <w:szCs w:val="20"/>
          </w:rPr>
          <w:t>9</w:t>
        </w:r>
      </w:hyperlink>
      <w:r w:rsidRPr="00AC4BFE">
        <w:rPr>
          <w:rFonts w:ascii="Verdana" w:hAnsi="Verdana"/>
          <w:sz w:val="20"/>
          <w:szCs w:val="20"/>
        </w:rPr>
        <w:t xml:space="preserve"> and </w:t>
      </w:r>
      <w:hyperlink r:id="rId5" w:history="1">
        <w:r w:rsidRPr="00AC4BFE">
          <w:rPr>
            <w:rStyle w:val="Hyperlink"/>
            <w:rFonts w:ascii="Verdana" w:hAnsi="Verdana"/>
            <w:color w:val="auto"/>
            <w:sz w:val="20"/>
            <w:szCs w:val="20"/>
          </w:rPr>
          <w:t>214</w:t>
        </w:r>
      </w:hyperlink>
      <w:r w:rsidRPr="00AC4BFE">
        <w:rPr>
          <w:rFonts w:ascii="Verdana" w:hAnsi="Verdana"/>
          <w:sz w:val="20"/>
          <w:szCs w:val="20"/>
        </w:rPr>
        <w:t xml:space="preserve"> of title </w:t>
      </w:r>
      <w:hyperlink r:id="rId6" w:history="1">
        <w:r w:rsidRPr="00AC4BFE">
          <w:rPr>
            <w:rStyle w:val="Hyperlink"/>
            <w:rFonts w:ascii="Verdana" w:hAnsi="Verdana"/>
            <w:color w:val="auto"/>
            <w:sz w:val="20"/>
            <w:szCs w:val="20"/>
          </w:rPr>
          <w:t>13</w:t>
        </w:r>
      </w:hyperlink>
      <w:r w:rsidRPr="00AC4BFE">
        <w:rPr>
          <w:rFonts w:ascii="Verdana" w:hAnsi="Verdana"/>
          <w:sz w:val="20"/>
          <w:szCs w:val="20"/>
        </w:rPr>
        <w:t xml:space="preserve">, any information provided under paragraph (2) shall be considered information furnished under the provisions of title 13. </w:t>
      </w:r>
    </w:p>
    <w:p w:rsidR="00AC4BFE" w:rsidP="00AC4BFE">
      <w:pPr>
        <w:shd w:val="clear" w:color="auto" w:fill="FFFFFF"/>
        <w:rPr>
          <w:rStyle w:val="enumbell"/>
          <w:rFonts w:ascii="Verdana" w:hAnsi="Verdana"/>
          <w:sz w:val="20"/>
          <w:szCs w:val="20"/>
        </w:rPr>
      </w:pPr>
      <w:bookmarkStart w:id="17" w:name="g"/>
      <w:bookmarkEnd w:id="17"/>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(g)</w:t>
      </w:r>
      <w:r w:rsidRPr="00AC4BFE">
        <w:rPr>
          <w:rFonts w:ascii="Verdana" w:hAnsi="Verdana"/>
          <w:sz w:val="20"/>
          <w:szCs w:val="20"/>
        </w:rPr>
        <w:t xml:space="preserve"> </w:t>
      </w:r>
      <w:r w:rsidRPr="00AC4BFE">
        <w:rPr>
          <w:rFonts w:ascii="Verdana" w:hAnsi="Verdana"/>
          <w:b/>
          <w:bCs/>
          <w:sz w:val="20"/>
          <w:szCs w:val="20"/>
        </w:rPr>
        <w:t xml:space="preserve">Regulations </w:t>
      </w:r>
    </w:p>
    <w:p w:rsidR="00AC4BFE" w:rsidRPr="00AC4BFE" w:rsidP="00AC4BFE">
      <w:pPr>
        <w:shd w:val="clear" w:color="auto" w:fill="FFFFFF"/>
        <w:rPr>
          <w:rFonts w:ascii="Verdana" w:hAnsi="Verdana"/>
          <w:sz w:val="20"/>
          <w:szCs w:val="20"/>
        </w:rPr>
      </w:pPr>
      <w:r w:rsidRPr="00AC4BFE">
        <w:rPr>
          <w:rFonts w:ascii="Verdana" w:hAnsi="Verdana"/>
          <w:sz w:val="20"/>
          <w:szCs w:val="20"/>
        </w:rPr>
        <w:t xml:space="preserve">A regulation necessary to carry out this section may be promulgated by— </w:t>
      </w:r>
    </w:p>
    <w:p w:rsidR="00AC4BFE" w:rsidP="00AC4BFE">
      <w:pPr>
        <w:shd w:val="clear" w:color="auto" w:fill="FFFFFF"/>
        <w:rPr>
          <w:rStyle w:val="enumbell"/>
          <w:rFonts w:ascii="Verdana" w:hAnsi="Verdana"/>
          <w:sz w:val="20"/>
          <w:szCs w:val="20"/>
        </w:rPr>
      </w:pPr>
      <w:bookmarkStart w:id="18" w:name="g_1"/>
      <w:bookmarkEnd w:id="18"/>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the Secretary of Agriculture, to the extent that a matter under the jurisdiction of the Secretary is involved; and </w:t>
      </w:r>
    </w:p>
    <w:p w:rsidR="00AC4BFE" w:rsidP="00AC4BFE">
      <w:pPr>
        <w:shd w:val="clear" w:color="auto" w:fill="FFFFFF"/>
        <w:rPr>
          <w:rStyle w:val="enumbell"/>
          <w:rFonts w:ascii="Verdana" w:hAnsi="Verdana"/>
          <w:sz w:val="20"/>
          <w:szCs w:val="20"/>
        </w:rPr>
      </w:pPr>
      <w:bookmarkStart w:id="19" w:name="g_2"/>
      <w:bookmarkEnd w:id="19"/>
    </w:p>
    <w:p w:rsidR="00AC4BFE" w:rsidRPr="00AC4BFE" w:rsidP="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the Secretary of Commerce, to the extent that a matter under the jurisdiction of the Secretary of Commerce is involved. </w:t>
      </w:r>
      <w:r w:rsidR="000B7242">
        <w:rPr>
          <w:rStyle w:val="ptext-2"/>
          <w:rFonts w:ascii="Verdana" w:hAnsi="Verdana"/>
          <w:sz w:val="20"/>
          <w:szCs w:val="20"/>
        </w:rPr>
        <w:t xml:space="preserve"> </w:t>
      </w:r>
    </w:p>
    <w:p w:rsidR="00AC4BFE" w:rsidRPr="00AC4BFE" w:rsidP="00AC4BFE">
      <w:pPr>
        <w:rPr>
          <w:rFonts w:ascii="Arial" w:hAnsi="Arial" w:cs="Arial"/>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E"/>
    <w:rsid w:val="0008442F"/>
    <w:rsid w:val="000B7242"/>
    <w:rsid w:val="006832BA"/>
    <w:rsid w:val="00835740"/>
    <w:rsid w:val="00AC4BFE"/>
    <w:rsid w:val="00B36304"/>
    <w:rsid w:val="00DE01EC"/>
    <w:rsid w:val="00E06D8A"/>
    <w:rsid w:val="00E6483F"/>
    <w:rsid w:val="00E73BBD"/>
    <w:rsid w:val="00EE3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4623F96-DA47-422B-985A-847281B3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C4BFE"/>
    <w:rPr>
      <w:strike w:val="0"/>
      <w:dstrike w:val="0"/>
      <w:color w:val="000080"/>
      <w:u w:val="none"/>
      <w:effect w:val="none"/>
    </w:rPr>
  </w:style>
  <w:style w:type="character" w:customStyle="1" w:styleId="highlight">
    <w:name w:val="highlight"/>
    <w:rsid w:val="00AC4BFE"/>
    <w:rPr>
      <w:b/>
      <w:bCs/>
      <w:color w:val="FF0000"/>
    </w:rPr>
  </w:style>
  <w:style w:type="character" w:customStyle="1" w:styleId="ptext-2">
    <w:name w:val="ptext-2"/>
    <w:rsid w:val="00AC4BFE"/>
    <w:rPr>
      <w:b w:val="0"/>
      <w:bCs w:val="0"/>
    </w:rPr>
  </w:style>
  <w:style w:type="character" w:customStyle="1" w:styleId="enumbell">
    <w:name w:val="enumbell"/>
    <w:rsid w:val="00AC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13/usc_sec_13_00000009----000-.html" TargetMode="External" /><Relationship Id="rId5" Type="http://schemas.openxmlformats.org/officeDocument/2006/relationships/hyperlink" Target="http://www.law.cornell.edu/uscode/html/uscode13/usc_sec_13_00000214----000-.html" TargetMode="External" /><Relationship Id="rId6" Type="http://schemas.openxmlformats.org/officeDocument/2006/relationships/hyperlink" Target="http://www.law.cornell.edu/uscode/html/uscode13/usc_sup_01_13.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94746A95</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creator>hancda</dc:creator>
  <cp:lastModifiedBy>Hancock, David - REE-NASS, Washington, DC</cp:lastModifiedBy>
  <cp:revision>2</cp:revision>
  <dcterms:created xsi:type="dcterms:W3CDTF">2020-04-28T18:40:00Z</dcterms:created>
  <dcterms:modified xsi:type="dcterms:W3CDTF">2020-04-28T18:40:00Z</dcterms:modified>
</cp:coreProperties>
</file>