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460570" w:rsidRPr="00460570" w:rsidRDefault="00460570" w:rsidP="00460570">
      <w:pPr>
        <w:rPr>
          <w:b/>
        </w:rPr>
      </w:pPr>
      <w:r w:rsidRPr="00460570">
        <w:rPr>
          <w:b/>
        </w:rPr>
        <w:t>Financial Information</w:t>
      </w:r>
    </w:p>
    <w:p w:rsidR="00460570" w:rsidRDefault="00460570" w:rsidP="00460570">
      <w:r>
        <w:t>This part of the application helps RBS to ensure that an applicant has the financial stability to remain in operation and supplement the grant funds as necessary to accomplish the grant purposes.</w:t>
      </w:r>
    </w:p>
    <w:p w:rsidR="00460570" w:rsidRDefault="00460570" w:rsidP="003032B0"/>
    <w:sectPr w:rsidR="0046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3032B0"/>
    <w:rsid w:val="00380A83"/>
    <w:rsid w:val="00460570"/>
    <w:rsid w:val="008247A9"/>
    <w:rsid w:val="00DA3B7B"/>
    <w:rsid w:val="00E60527"/>
    <w:rsid w:val="00EB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2019-02-25T13:59:00Z</dcterms:created>
  <dcterms:modified xsi:type="dcterms:W3CDTF">2019-02-25T13:59:00Z</dcterms:modified>
</cp:coreProperties>
</file>