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7E22" w:rsidR="001C0ADC" w:rsidRDefault="001C0ADC" w14:paraId="2BCB7089" w14:textId="77777777">
      <w:pPr>
        <w:jc w:val="center"/>
        <w:rPr>
          <w:rFonts w:ascii="Times New Roman" w:hAnsi="Times New Roman"/>
          <w:szCs w:val="24"/>
        </w:rPr>
      </w:pPr>
      <w:r w:rsidRPr="00917E22">
        <w:rPr>
          <w:rFonts w:ascii="Times New Roman" w:hAnsi="Times New Roman"/>
          <w:szCs w:val="24"/>
        </w:rPr>
        <w:t>Department of Commerce</w:t>
      </w:r>
    </w:p>
    <w:p w:rsidRPr="00917E22" w:rsidR="001C0ADC" w:rsidRDefault="0016662A" w14:paraId="36A9065F" w14:textId="77777777">
      <w:pPr>
        <w:jc w:val="center"/>
        <w:rPr>
          <w:rFonts w:ascii="Times New Roman" w:hAnsi="Times New Roman"/>
          <w:szCs w:val="24"/>
        </w:rPr>
      </w:pPr>
      <w:r w:rsidRPr="00917E22">
        <w:rPr>
          <w:rFonts w:ascii="Times New Roman" w:hAnsi="Times New Roman"/>
          <w:szCs w:val="24"/>
        </w:rPr>
        <w:t>United States</w:t>
      </w:r>
      <w:r w:rsidRPr="00917E22" w:rsidR="001C0ADC">
        <w:rPr>
          <w:rFonts w:ascii="Times New Roman" w:hAnsi="Times New Roman"/>
          <w:szCs w:val="24"/>
        </w:rPr>
        <w:t xml:space="preserve"> Census Bureau</w:t>
      </w:r>
    </w:p>
    <w:p w:rsidRPr="00917E22" w:rsidR="0016662A" w:rsidRDefault="0016662A" w14:paraId="0D6632BF" w14:textId="77777777">
      <w:pPr>
        <w:jc w:val="center"/>
        <w:rPr>
          <w:rFonts w:ascii="Times New Roman" w:hAnsi="Times New Roman"/>
          <w:szCs w:val="24"/>
        </w:rPr>
      </w:pPr>
      <w:r w:rsidRPr="00917E22">
        <w:rPr>
          <w:rFonts w:ascii="Times New Roman" w:hAnsi="Times New Roman"/>
          <w:szCs w:val="24"/>
        </w:rPr>
        <w:t>OMB Information Collection Request</w:t>
      </w:r>
    </w:p>
    <w:p w:rsidRPr="00917E22" w:rsidR="0016662A" w:rsidP="0016662A" w:rsidRDefault="001C0ADC" w14:paraId="24B580C3" w14:textId="25E17A95">
      <w:pPr>
        <w:jc w:val="center"/>
        <w:rPr>
          <w:rFonts w:ascii="Times New Roman" w:hAnsi="Times New Roman"/>
          <w:szCs w:val="24"/>
        </w:rPr>
      </w:pPr>
      <w:r w:rsidRPr="00917E22">
        <w:rPr>
          <w:rFonts w:ascii="Times New Roman" w:hAnsi="Times New Roman"/>
          <w:szCs w:val="24"/>
        </w:rPr>
        <w:t>20</w:t>
      </w:r>
      <w:r w:rsidRPr="00917E22" w:rsidR="007E0BB8">
        <w:rPr>
          <w:rFonts w:ascii="Times New Roman" w:hAnsi="Times New Roman"/>
          <w:szCs w:val="24"/>
        </w:rPr>
        <w:t>22</w:t>
      </w:r>
      <w:r w:rsidRPr="00917E22">
        <w:rPr>
          <w:rFonts w:ascii="Times New Roman" w:hAnsi="Times New Roman"/>
          <w:szCs w:val="24"/>
        </w:rPr>
        <w:t xml:space="preserve"> Economic Census</w:t>
      </w:r>
    </w:p>
    <w:p w:rsidRPr="00917E22" w:rsidR="001C0ADC" w:rsidRDefault="001C0ADC" w14:paraId="6219753B" w14:textId="4CADC0F0">
      <w:pPr>
        <w:jc w:val="center"/>
        <w:rPr>
          <w:rFonts w:ascii="Times New Roman" w:hAnsi="Times New Roman"/>
          <w:szCs w:val="24"/>
        </w:rPr>
      </w:pPr>
      <w:r w:rsidRPr="00917E22">
        <w:rPr>
          <w:rFonts w:ascii="Times New Roman" w:hAnsi="Times New Roman"/>
          <w:szCs w:val="24"/>
        </w:rPr>
        <w:t>OMB Control Number 0607-</w:t>
      </w:r>
      <w:r w:rsidR="00DD0AEA">
        <w:rPr>
          <w:rFonts w:ascii="Times New Roman" w:hAnsi="Times New Roman"/>
          <w:szCs w:val="24"/>
        </w:rPr>
        <w:t>0998</w:t>
      </w:r>
    </w:p>
    <w:p w:rsidRPr="00917E22" w:rsidR="00CA73D8" w:rsidRDefault="00CA73D8" w14:paraId="05B341B6" w14:textId="77777777">
      <w:pPr>
        <w:rPr>
          <w:rFonts w:ascii="Times New Roman" w:hAnsi="Times New Roman"/>
          <w:szCs w:val="24"/>
        </w:rPr>
      </w:pPr>
    </w:p>
    <w:p w:rsidRPr="00917E22" w:rsidR="00CA73D8" w:rsidRDefault="00CA73D8" w14:paraId="48EC9E76" w14:textId="77777777">
      <w:pPr>
        <w:rPr>
          <w:rFonts w:ascii="Times New Roman" w:hAnsi="Times New Roman"/>
          <w:szCs w:val="24"/>
        </w:rPr>
      </w:pPr>
    </w:p>
    <w:p w:rsidRPr="00917E22" w:rsidR="00CA73D8" w:rsidRDefault="00CA73D8" w14:paraId="3887E950" w14:textId="77777777">
      <w:pPr>
        <w:rPr>
          <w:rFonts w:ascii="Times New Roman" w:hAnsi="Times New Roman"/>
          <w:szCs w:val="24"/>
        </w:rPr>
      </w:pPr>
      <w:r w:rsidRPr="00917E22">
        <w:rPr>
          <w:rFonts w:ascii="Times New Roman" w:hAnsi="Times New Roman"/>
          <w:szCs w:val="24"/>
        </w:rPr>
        <w:t>Part B.  Collections of Information Employing Statistical Methods</w:t>
      </w:r>
    </w:p>
    <w:p w:rsidRPr="00917E22" w:rsidR="00064DC1" w:rsidP="00B43287" w:rsidRDefault="00064DC1" w14:paraId="510E70BD" w14:textId="77777777">
      <w:pPr>
        <w:tabs>
          <w:tab w:val="left" w:pos="-1440"/>
        </w:tabs>
        <w:rPr>
          <w:rFonts w:ascii="Times New Roman" w:hAnsi="Times New Roman"/>
          <w:szCs w:val="24"/>
        </w:rPr>
      </w:pPr>
    </w:p>
    <w:p w:rsidRPr="00917E22" w:rsidR="00CA73D8" w:rsidP="00891FB7" w:rsidRDefault="00914CFF" w14:paraId="3207D1DC" w14:textId="77777777">
      <w:pPr>
        <w:tabs>
          <w:tab w:val="left" w:pos="-1440"/>
        </w:tabs>
        <w:ind w:left="360" w:hanging="360"/>
        <w:rPr>
          <w:rFonts w:ascii="Times New Roman" w:hAnsi="Times New Roman"/>
          <w:szCs w:val="24"/>
        </w:rPr>
      </w:pPr>
      <w:r w:rsidRPr="00917E22">
        <w:rPr>
          <w:rFonts w:ascii="Times New Roman" w:hAnsi="Times New Roman"/>
          <w:szCs w:val="24"/>
        </w:rPr>
        <w:t>1</w:t>
      </w:r>
      <w:r w:rsidRPr="00917E22" w:rsidR="00CA73D8">
        <w:rPr>
          <w:rFonts w:ascii="Times New Roman" w:hAnsi="Times New Roman"/>
          <w:szCs w:val="24"/>
        </w:rPr>
        <w:t>.</w:t>
      </w:r>
      <w:r w:rsidRPr="00917E22" w:rsidR="00CA73D8">
        <w:rPr>
          <w:rFonts w:ascii="Times New Roman" w:hAnsi="Times New Roman"/>
          <w:szCs w:val="24"/>
        </w:rPr>
        <w:tab/>
      </w:r>
      <w:r w:rsidRPr="00917E22" w:rsidR="000E79B3">
        <w:rPr>
          <w:rFonts w:ascii="Times New Roman" w:hAnsi="Times New Roman"/>
          <w:b/>
          <w:szCs w:val="24"/>
        </w:rPr>
        <w:t>Universe and Respondent Selection</w:t>
      </w:r>
      <w:r w:rsidRPr="00917E22" w:rsidR="00CA73D8">
        <w:rPr>
          <w:rFonts w:ascii="Times New Roman" w:hAnsi="Times New Roman"/>
          <w:szCs w:val="24"/>
        </w:rPr>
        <w:t xml:space="preserve"> </w:t>
      </w:r>
    </w:p>
    <w:p w:rsidRPr="00917E22" w:rsidR="00CA73D8" w:rsidRDefault="00CA73D8" w14:paraId="710ABE89" w14:textId="77777777">
      <w:pPr>
        <w:rPr>
          <w:rFonts w:ascii="Times New Roman" w:hAnsi="Times New Roman"/>
          <w:szCs w:val="24"/>
        </w:rPr>
      </w:pPr>
    </w:p>
    <w:p w:rsidRPr="00917E22" w:rsidR="00214719" w:rsidP="0067795B" w:rsidRDefault="00CA73D8" w14:paraId="5DC40D61" w14:textId="7B589879">
      <w:pPr>
        <w:ind w:left="360"/>
        <w:rPr>
          <w:rFonts w:ascii="Times New Roman" w:hAnsi="Times New Roman"/>
        </w:rPr>
      </w:pPr>
      <w:r w:rsidRPr="00917E22">
        <w:rPr>
          <w:rFonts w:ascii="Times New Roman" w:hAnsi="Times New Roman"/>
        </w:rPr>
        <w:t xml:space="preserve">The </w:t>
      </w:r>
      <w:r w:rsidRPr="00917E22" w:rsidR="007E0BB8">
        <w:rPr>
          <w:rFonts w:ascii="Times New Roman" w:hAnsi="Times New Roman"/>
        </w:rPr>
        <w:t xml:space="preserve">2022 </w:t>
      </w:r>
      <w:r w:rsidRPr="00917E22">
        <w:rPr>
          <w:rFonts w:ascii="Times New Roman" w:hAnsi="Times New Roman"/>
        </w:rPr>
        <w:t xml:space="preserve">Economic Census </w:t>
      </w:r>
      <w:r w:rsidRPr="00917E22" w:rsidR="009A7157">
        <w:rPr>
          <w:rFonts w:ascii="Times New Roman" w:hAnsi="Times New Roman"/>
        </w:rPr>
        <w:t xml:space="preserve">covers </w:t>
      </w:r>
      <w:r w:rsidRPr="00917E22" w:rsidR="007E0BB8">
        <w:rPr>
          <w:rFonts w:ascii="Times New Roman" w:hAnsi="Times New Roman"/>
        </w:rPr>
        <w:t xml:space="preserve">19 </w:t>
      </w:r>
      <w:r w:rsidRPr="00917E22" w:rsidR="007D1106">
        <w:rPr>
          <w:rFonts w:ascii="Times New Roman" w:hAnsi="Times New Roman"/>
        </w:rPr>
        <w:t>North American Industry Classification System (</w:t>
      </w:r>
      <w:r w:rsidRPr="00917E22" w:rsidR="00214719">
        <w:rPr>
          <w:rFonts w:ascii="Times New Roman" w:hAnsi="Times New Roman"/>
        </w:rPr>
        <w:t>NAICS</w:t>
      </w:r>
      <w:r w:rsidRPr="00917E22" w:rsidR="007D1106">
        <w:rPr>
          <w:rFonts w:ascii="Times New Roman" w:hAnsi="Times New Roman"/>
        </w:rPr>
        <w:t>)</w:t>
      </w:r>
      <w:r w:rsidRPr="00917E22" w:rsidR="00214719">
        <w:rPr>
          <w:rFonts w:ascii="Times New Roman" w:hAnsi="Times New Roman"/>
        </w:rPr>
        <w:t xml:space="preserve"> sectors and is a complete enumeration of </w:t>
      </w:r>
      <w:r w:rsidRPr="00917E22" w:rsidR="001537DB">
        <w:rPr>
          <w:rFonts w:ascii="Times New Roman" w:hAnsi="Times New Roman"/>
        </w:rPr>
        <w:t xml:space="preserve">business </w:t>
      </w:r>
      <w:r w:rsidRPr="00917E22" w:rsidR="00214719">
        <w:rPr>
          <w:rFonts w:ascii="Times New Roman" w:hAnsi="Times New Roman"/>
        </w:rPr>
        <w:t xml:space="preserve">establishments </w:t>
      </w:r>
      <w:r w:rsidRPr="00917E22" w:rsidR="005F24C4">
        <w:rPr>
          <w:rFonts w:ascii="Times New Roman" w:hAnsi="Times New Roman"/>
        </w:rPr>
        <w:t xml:space="preserve">located in </w:t>
      </w:r>
      <w:r w:rsidRPr="00040213" w:rsidR="003F457B">
        <w:rPr>
          <w:rFonts w:ascii="Times New Roman" w:hAnsi="Times New Roman"/>
        </w:rPr>
        <w:t xml:space="preserve">the United States </w:t>
      </w:r>
      <w:r w:rsidR="003F457B">
        <w:rPr>
          <w:rFonts w:ascii="Times New Roman" w:hAnsi="Times New Roman"/>
        </w:rPr>
        <w:t xml:space="preserve">and associated </w:t>
      </w:r>
      <w:r w:rsidRPr="00A2093A" w:rsidR="003F457B">
        <w:rPr>
          <w:rFonts w:ascii="Times New Roman" w:hAnsi="Times New Roman"/>
        </w:rPr>
        <w:t>offshore areas</w:t>
      </w:r>
      <w:r w:rsidRPr="00A2093A" w:rsidR="00EF5BBC">
        <w:rPr>
          <w:rFonts w:ascii="Times New Roman" w:hAnsi="Times New Roman"/>
        </w:rPr>
        <w:t xml:space="preserve"> (referred to as Stateside) as well as </w:t>
      </w:r>
      <w:bookmarkStart w:name="_Hlk94546373" w:id="0"/>
      <w:r w:rsidRPr="00A2093A" w:rsidR="00EF5BBC">
        <w:rPr>
          <w:rFonts w:ascii="Times New Roman" w:hAnsi="Times New Roman"/>
        </w:rPr>
        <w:t>Puerto Rico, Guam, the Commonwealth of the Northern Mariana Islands, the U.S. Virgin Islands, and American Samoa</w:t>
      </w:r>
      <w:bookmarkEnd w:id="0"/>
      <w:r w:rsidRPr="00A2093A" w:rsidR="00EF5BBC">
        <w:rPr>
          <w:rFonts w:ascii="Times New Roman" w:hAnsi="Times New Roman"/>
        </w:rPr>
        <w:t xml:space="preserve"> (referred to as </w:t>
      </w:r>
      <w:r w:rsidR="00D65903">
        <w:rPr>
          <w:rFonts w:ascii="Times New Roman" w:hAnsi="Times New Roman"/>
        </w:rPr>
        <w:t>i</w:t>
      </w:r>
      <w:r w:rsidRPr="00A2093A" w:rsidR="00EF5BBC">
        <w:rPr>
          <w:rFonts w:ascii="Times New Roman" w:hAnsi="Times New Roman"/>
        </w:rPr>
        <w:t xml:space="preserve">sland </w:t>
      </w:r>
      <w:r w:rsidR="00D65903">
        <w:rPr>
          <w:rFonts w:ascii="Times New Roman" w:hAnsi="Times New Roman"/>
        </w:rPr>
        <w:t>a</w:t>
      </w:r>
      <w:r w:rsidRPr="00A2093A" w:rsidR="00EF5BBC">
        <w:rPr>
          <w:rFonts w:ascii="Times New Roman" w:hAnsi="Times New Roman"/>
        </w:rPr>
        <w:t>reas)</w:t>
      </w:r>
      <w:r w:rsidRPr="00917E22" w:rsidR="00214719">
        <w:rPr>
          <w:rFonts w:ascii="Times New Roman" w:hAnsi="Times New Roman"/>
        </w:rPr>
        <w:t xml:space="preserve"> with one or more paid or leased employee</w:t>
      </w:r>
      <w:r w:rsidR="00FF6780">
        <w:rPr>
          <w:rFonts w:ascii="Times New Roman" w:hAnsi="Times New Roman"/>
        </w:rPr>
        <w:t>s</w:t>
      </w:r>
      <w:r w:rsidRPr="00917E22" w:rsidR="00214719">
        <w:rPr>
          <w:rFonts w:ascii="Times New Roman" w:hAnsi="Times New Roman"/>
        </w:rPr>
        <w:t xml:space="preserve"> </w:t>
      </w:r>
      <w:r w:rsidRPr="00917E22" w:rsidR="009A7157">
        <w:rPr>
          <w:rFonts w:ascii="Times New Roman" w:hAnsi="Times New Roman"/>
        </w:rPr>
        <w:t>(based on</w:t>
      </w:r>
      <w:r w:rsidRPr="00917E22" w:rsidR="00214719">
        <w:rPr>
          <w:rFonts w:ascii="Times New Roman" w:hAnsi="Times New Roman"/>
        </w:rPr>
        <w:t xml:space="preserve"> </w:t>
      </w:r>
      <w:r w:rsidR="00A05409">
        <w:rPr>
          <w:rFonts w:ascii="Times New Roman" w:hAnsi="Times New Roman"/>
        </w:rPr>
        <w:t>Internal Revenue Service (</w:t>
      </w:r>
      <w:r w:rsidRPr="00917E22" w:rsidR="00214719">
        <w:rPr>
          <w:rFonts w:ascii="Times New Roman" w:hAnsi="Times New Roman"/>
        </w:rPr>
        <w:t>IRS</w:t>
      </w:r>
      <w:r w:rsidR="00A05409">
        <w:rPr>
          <w:rFonts w:ascii="Times New Roman" w:hAnsi="Times New Roman"/>
        </w:rPr>
        <w:t>)</w:t>
      </w:r>
      <w:r w:rsidRPr="00917E22" w:rsidR="00214719">
        <w:rPr>
          <w:rFonts w:ascii="Times New Roman" w:hAnsi="Times New Roman"/>
        </w:rPr>
        <w:t xml:space="preserve"> Form 941</w:t>
      </w:r>
      <w:r w:rsidRPr="00917E22" w:rsidR="009A7157">
        <w:rPr>
          <w:rFonts w:ascii="Times New Roman" w:hAnsi="Times New Roman"/>
        </w:rPr>
        <w:t xml:space="preserve"> data)</w:t>
      </w:r>
      <w:r w:rsidRPr="00917E22" w:rsidR="00214719">
        <w:rPr>
          <w:rFonts w:ascii="Times New Roman" w:hAnsi="Times New Roman"/>
        </w:rPr>
        <w:t xml:space="preserve">. Data are either collected </w:t>
      </w:r>
      <w:r w:rsidRPr="00917E22" w:rsidR="009A7157">
        <w:rPr>
          <w:rFonts w:ascii="Times New Roman" w:hAnsi="Times New Roman"/>
        </w:rPr>
        <w:t xml:space="preserve">directly </w:t>
      </w:r>
      <w:r w:rsidRPr="00917E22" w:rsidR="00214719">
        <w:rPr>
          <w:rFonts w:ascii="Times New Roman" w:hAnsi="Times New Roman"/>
        </w:rPr>
        <w:t xml:space="preserve">from the establishments or </w:t>
      </w:r>
      <w:r w:rsidRPr="00917E22" w:rsidR="001C57B6">
        <w:rPr>
          <w:rFonts w:ascii="Times New Roman" w:hAnsi="Times New Roman"/>
        </w:rPr>
        <w:t>obtained</w:t>
      </w:r>
      <w:r w:rsidRPr="00917E22" w:rsidR="00214719">
        <w:rPr>
          <w:rFonts w:ascii="Times New Roman" w:hAnsi="Times New Roman"/>
        </w:rPr>
        <w:t xml:space="preserve"> </w:t>
      </w:r>
      <w:r w:rsidRPr="00917E22" w:rsidR="00B51802">
        <w:rPr>
          <w:rFonts w:ascii="Times New Roman" w:hAnsi="Times New Roman"/>
        </w:rPr>
        <w:t>from</w:t>
      </w:r>
      <w:r w:rsidRPr="00917E22" w:rsidR="00214719">
        <w:rPr>
          <w:rFonts w:ascii="Times New Roman" w:hAnsi="Times New Roman"/>
        </w:rPr>
        <w:t xml:space="preserve"> administrative information reported to other federal agencies.</w:t>
      </w:r>
      <w:r w:rsidRPr="00917E22" w:rsidR="00261593">
        <w:rPr>
          <w:rFonts w:ascii="Times New Roman" w:hAnsi="Times New Roman"/>
        </w:rPr>
        <w:t xml:space="preserve"> T</w:t>
      </w:r>
      <w:r w:rsidRPr="00917E22" w:rsidR="00191B57">
        <w:rPr>
          <w:rFonts w:ascii="Times New Roman" w:hAnsi="Times New Roman"/>
        </w:rPr>
        <w:t>able</w:t>
      </w:r>
      <w:r w:rsidRPr="00917E22" w:rsidR="00DF7C8F">
        <w:rPr>
          <w:rFonts w:ascii="Times New Roman" w:hAnsi="Times New Roman"/>
        </w:rPr>
        <w:t>s</w:t>
      </w:r>
      <w:r w:rsidRPr="00917E22" w:rsidR="00191B57">
        <w:rPr>
          <w:rFonts w:ascii="Times New Roman" w:hAnsi="Times New Roman"/>
        </w:rPr>
        <w:t xml:space="preserve"> 1</w:t>
      </w:r>
      <w:r w:rsidRPr="00917E22" w:rsidR="00DF7C8F">
        <w:rPr>
          <w:rFonts w:ascii="Times New Roman" w:hAnsi="Times New Roman"/>
        </w:rPr>
        <w:t xml:space="preserve">A </w:t>
      </w:r>
      <w:bookmarkStart w:name="_Hlk90298027" w:id="1"/>
      <w:r w:rsidRPr="00917E22" w:rsidR="00DF7C8F">
        <w:rPr>
          <w:rFonts w:ascii="Times New Roman" w:hAnsi="Times New Roman"/>
        </w:rPr>
        <w:t>and 1B</w:t>
      </w:r>
      <w:r w:rsidRPr="00917E22" w:rsidR="00261593">
        <w:rPr>
          <w:rFonts w:ascii="Times New Roman" w:hAnsi="Times New Roman"/>
        </w:rPr>
        <w:t xml:space="preserve"> below show the sectors</w:t>
      </w:r>
      <w:r w:rsidRPr="00917E22" w:rsidR="00FD1228">
        <w:rPr>
          <w:rFonts w:ascii="Times New Roman" w:hAnsi="Times New Roman"/>
        </w:rPr>
        <w:t>/areas</w:t>
      </w:r>
      <w:r w:rsidRPr="00917E22" w:rsidR="00261593">
        <w:rPr>
          <w:rFonts w:ascii="Times New Roman" w:hAnsi="Times New Roman"/>
        </w:rPr>
        <w:t xml:space="preserve"> covered</w:t>
      </w:r>
      <w:bookmarkEnd w:id="1"/>
      <w:r w:rsidRPr="00917E22" w:rsidR="00261593">
        <w:rPr>
          <w:rFonts w:ascii="Times New Roman" w:hAnsi="Times New Roman"/>
        </w:rPr>
        <w:t xml:space="preserve">, the size of the establishment universe as tabulated in the </w:t>
      </w:r>
      <w:r w:rsidRPr="00917E22" w:rsidR="00EF5BBC">
        <w:rPr>
          <w:rFonts w:ascii="Times New Roman" w:hAnsi="Times New Roman"/>
        </w:rPr>
        <w:t xml:space="preserve">2017 </w:t>
      </w:r>
      <w:r w:rsidRPr="00917E22" w:rsidR="00261593">
        <w:rPr>
          <w:rFonts w:ascii="Times New Roman" w:hAnsi="Times New Roman"/>
        </w:rPr>
        <w:t>Economic Census</w:t>
      </w:r>
      <w:r w:rsidRPr="00917E22" w:rsidR="00B51802">
        <w:rPr>
          <w:rFonts w:ascii="Times New Roman" w:hAnsi="Times New Roman"/>
        </w:rPr>
        <w:t>,</w:t>
      </w:r>
      <w:r w:rsidRPr="00917E22" w:rsidR="00261593">
        <w:rPr>
          <w:rFonts w:ascii="Times New Roman" w:hAnsi="Times New Roman"/>
        </w:rPr>
        <w:t xml:space="preserve"> and the </w:t>
      </w:r>
      <w:r w:rsidRPr="00917E22" w:rsidR="00BA0F7C">
        <w:rPr>
          <w:rFonts w:ascii="Times New Roman" w:hAnsi="Times New Roman"/>
        </w:rPr>
        <w:t>estimated universe</w:t>
      </w:r>
      <w:r w:rsidRPr="00917E22" w:rsidR="00261593">
        <w:rPr>
          <w:rFonts w:ascii="Times New Roman" w:hAnsi="Times New Roman"/>
        </w:rPr>
        <w:t xml:space="preserve"> size for </w:t>
      </w:r>
      <w:r w:rsidRPr="00917E22" w:rsidR="00EF5BBC">
        <w:rPr>
          <w:rFonts w:ascii="Times New Roman" w:hAnsi="Times New Roman"/>
        </w:rPr>
        <w:t>2022</w:t>
      </w:r>
      <w:r w:rsidRPr="00917E22" w:rsidR="00DF7C8F">
        <w:rPr>
          <w:rFonts w:ascii="Times New Roman" w:hAnsi="Times New Roman"/>
        </w:rPr>
        <w:t xml:space="preserve"> for both the Stateside and Island Areas components</w:t>
      </w:r>
      <w:r w:rsidRPr="00917E22" w:rsidR="00261593">
        <w:rPr>
          <w:rFonts w:ascii="Times New Roman" w:hAnsi="Times New Roman"/>
        </w:rPr>
        <w:t>.</w:t>
      </w:r>
    </w:p>
    <w:p w:rsidRPr="00917E22" w:rsidR="00261593" w:rsidRDefault="00261593" w14:paraId="45423CAC" w14:textId="77777777">
      <w:pPr>
        <w:ind w:left="720"/>
        <w:rPr>
          <w:rFonts w:ascii="Times New Roman" w:hAnsi="Times New Roman"/>
          <w:sz w:val="20"/>
        </w:rPr>
      </w:pPr>
    </w:p>
    <w:p w:rsidRPr="00917E22" w:rsidR="006E2684" w:rsidP="0051692D" w:rsidRDefault="00640158" w14:paraId="191E64AF" w14:textId="470B3F33">
      <w:pPr>
        <w:ind w:left="360"/>
        <w:rPr>
          <w:rFonts w:ascii="Times New Roman" w:hAnsi="Times New Roman"/>
          <w:b/>
          <w:sz w:val="22"/>
          <w:szCs w:val="22"/>
        </w:rPr>
      </w:pPr>
      <w:r>
        <w:rPr>
          <w:rFonts w:ascii="Times New Roman" w:hAnsi="Times New Roman"/>
          <w:b/>
          <w:sz w:val="22"/>
          <w:szCs w:val="22"/>
        </w:rPr>
        <w:t xml:space="preserve">   </w:t>
      </w:r>
      <w:r w:rsidRPr="00917E22" w:rsidR="006E2684">
        <w:rPr>
          <w:rFonts w:ascii="Times New Roman" w:hAnsi="Times New Roman"/>
          <w:b/>
          <w:sz w:val="22"/>
          <w:szCs w:val="22"/>
        </w:rPr>
        <w:t>Table 1</w:t>
      </w:r>
      <w:r w:rsidRPr="00917E22" w:rsidR="00CD13A5">
        <w:rPr>
          <w:rFonts w:ascii="Times New Roman" w:hAnsi="Times New Roman"/>
          <w:b/>
          <w:sz w:val="22"/>
          <w:szCs w:val="22"/>
        </w:rPr>
        <w:t>A</w:t>
      </w:r>
      <w:r w:rsidRPr="00917E22" w:rsidR="006E2684">
        <w:rPr>
          <w:rFonts w:ascii="Times New Roman" w:hAnsi="Times New Roman"/>
          <w:b/>
          <w:sz w:val="22"/>
          <w:szCs w:val="22"/>
        </w:rPr>
        <w:t>: Economic Census</w:t>
      </w:r>
      <w:r w:rsidRPr="00917E22" w:rsidR="00750432">
        <w:rPr>
          <w:rFonts w:ascii="Times New Roman" w:hAnsi="Times New Roman"/>
          <w:b/>
          <w:sz w:val="22"/>
          <w:szCs w:val="22"/>
        </w:rPr>
        <w:t xml:space="preserve"> Stateside</w:t>
      </w:r>
      <w:r w:rsidRPr="00917E22" w:rsidR="006E2684">
        <w:rPr>
          <w:rFonts w:ascii="Times New Roman" w:hAnsi="Times New Roman"/>
          <w:b/>
          <w:sz w:val="22"/>
          <w:szCs w:val="22"/>
        </w:rPr>
        <w:t xml:space="preserve"> Universe Sizes (201</w:t>
      </w:r>
      <w:r w:rsidRPr="00917E22" w:rsidR="00205AB9">
        <w:rPr>
          <w:rFonts w:ascii="Times New Roman" w:hAnsi="Times New Roman"/>
          <w:b/>
          <w:sz w:val="22"/>
          <w:szCs w:val="22"/>
        </w:rPr>
        <w:t>7</w:t>
      </w:r>
      <w:r w:rsidRPr="00917E22" w:rsidR="006E2684">
        <w:rPr>
          <w:rFonts w:ascii="Times New Roman" w:hAnsi="Times New Roman"/>
          <w:b/>
          <w:sz w:val="22"/>
          <w:szCs w:val="22"/>
        </w:rPr>
        <w:t xml:space="preserve"> Actual &amp; 20</w:t>
      </w:r>
      <w:r w:rsidRPr="00917E22" w:rsidR="00205AB9">
        <w:rPr>
          <w:rFonts w:ascii="Times New Roman" w:hAnsi="Times New Roman"/>
          <w:b/>
          <w:sz w:val="22"/>
          <w:szCs w:val="22"/>
        </w:rPr>
        <w:t>22</w:t>
      </w:r>
      <w:r w:rsidRPr="00917E22" w:rsidR="006E2684">
        <w:rPr>
          <w:rFonts w:ascii="Times New Roman" w:hAnsi="Times New Roman"/>
          <w:b/>
          <w:sz w:val="22"/>
          <w:szCs w:val="22"/>
        </w:rPr>
        <w:t xml:space="preserve"> Estimated)</w:t>
      </w:r>
    </w:p>
    <w:tbl>
      <w:tblPr>
        <w:tblStyle w:val="TableGrid"/>
        <w:tblW w:w="8527" w:type="dxa"/>
        <w:tblInd w:w="468" w:type="dxa"/>
        <w:shd w:val="clear" w:color="auto" w:fill="F2F2F2" w:themeFill="background1" w:themeFillShade="F2"/>
        <w:tblLayout w:type="fixed"/>
        <w:tblLook w:val="04A0" w:firstRow="1" w:lastRow="0" w:firstColumn="1" w:lastColumn="0" w:noHBand="0" w:noVBand="1"/>
      </w:tblPr>
      <w:tblGrid>
        <w:gridCol w:w="1055"/>
        <w:gridCol w:w="3980"/>
        <w:gridCol w:w="1782"/>
        <w:gridCol w:w="1710"/>
      </w:tblGrid>
      <w:tr w:rsidRPr="00917E22" w:rsidR="00750432" w:rsidTr="002D6DDB" w14:paraId="5D744355" w14:textId="77777777">
        <w:trPr>
          <w:trHeight w:val="236"/>
        </w:trPr>
        <w:tc>
          <w:tcPr>
            <w:tcW w:w="1055" w:type="dxa"/>
            <w:vMerge w:val="restart"/>
            <w:shd w:val="clear" w:color="auto" w:fill="F2F2F2" w:themeFill="background1" w:themeFillShade="F2"/>
            <w:vAlign w:val="center"/>
          </w:tcPr>
          <w:p w:rsidRPr="00917E22" w:rsidR="00750432" w:rsidP="00CB0CFE" w:rsidRDefault="00750432" w14:paraId="7991636F" w14:textId="77777777">
            <w:pPr>
              <w:tabs>
                <w:tab w:val="left" w:pos="1080"/>
              </w:tabs>
              <w:rPr>
                <w:rFonts w:ascii="Times New Roman" w:hAnsi="Times New Roman"/>
                <w:b/>
                <w:sz w:val="20"/>
              </w:rPr>
            </w:pPr>
            <w:r w:rsidRPr="00917E22">
              <w:rPr>
                <w:rFonts w:ascii="Times New Roman" w:hAnsi="Times New Roman"/>
                <w:b/>
                <w:sz w:val="20"/>
              </w:rPr>
              <w:t>Sector</w:t>
            </w:r>
          </w:p>
        </w:tc>
        <w:tc>
          <w:tcPr>
            <w:tcW w:w="3980" w:type="dxa"/>
            <w:vMerge w:val="restart"/>
            <w:shd w:val="clear" w:color="auto" w:fill="F2F2F2" w:themeFill="background1" w:themeFillShade="F2"/>
            <w:vAlign w:val="center"/>
          </w:tcPr>
          <w:p w:rsidRPr="00917E22" w:rsidR="00750432" w:rsidP="00CB0CFE" w:rsidRDefault="00750432" w14:paraId="59A09661" w14:textId="77777777">
            <w:pPr>
              <w:tabs>
                <w:tab w:val="left" w:pos="1080"/>
              </w:tabs>
              <w:rPr>
                <w:rFonts w:ascii="Times New Roman" w:hAnsi="Times New Roman"/>
                <w:b/>
                <w:sz w:val="20"/>
              </w:rPr>
            </w:pPr>
            <w:r w:rsidRPr="00917E22">
              <w:rPr>
                <w:rFonts w:ascii="Times New Roman" w:hAnsi="Times New Roman"/>
                <w:b/>
                <w:sz w:val="20"/>
              </w:rPr>
              <w:t>North American Industry Classification System (NAICS) Description 2017</w:t>
            </w:r>
          </w:p>
        </w:tc>
        <w:tc>
          <w:tcPr>
            <w:tcW w:w="3492" w:type="dxa"/>
            <w:gridSpan w:val="2"/>
            <w:tcBorders>
              <w:bottom w:val="single" w:color="auto" w:sz="4" w:space="0"/>
            </w:tcBorders>
            <w:shd w:val="clear" w:color="auto" w:fill="F2F2F2" w:themeFill="background1" w:themeFillShade="F2"/>
          </w:tcPr>
          <w:p w:rsidRPr="00917E22" w:rsidR="00750432" w:rsidP="00CB0CFE" w:rsidRDefault="00750432" w14:paraId="00B5E73A" w14:textId="77777777">
            <w:pPr>
              <w:tabs>
                <w:tab w:val="left" w:pos="1080"/>
              </w:tabs>
              <w:ind w:left="720" w:hanging="360"/>
              <w:rPr>
                <w:rFonts w:ascii="Times New Roman" w:hAnsi="Times New Roman"/>
                <w:b/>
                <w:sz w:val="20"/>
              </w:rPr>
            </w:pPr>
            <w:r w:rsidRPr="00917E22">
              <w:rPr>
                <w:rFonts w:ascii="Times New Roman" w:hAnsi="Times New Roman"/>
                <w:b/>
                <w:sz w:val="20"/>
              </w:rPr>
              <w:t xml:space="preserve">           Establishment Counts</w:t>
            </w:r>
          </w:p>
        </w:tc>
      </w:tr>
      <w:tr w:rsidRPr="00917E22" w:rsidR="00750432" w:rsidTr="002C683D" w14:paraId="2503BEFB" w14:textId="77777777">
        <w:trPr>
          <w:trHeight w:val="484"/>
        </w:trPr>
        <w:tc>
          <w:tcPr>
            <w:tcW w:w="1055" w:type="dxa"/>
            <w:vMerge/>
            <w:tcBorders>
              <w:bottom w:val="double" w:color="auto" w:sz="4" w:space="0"/>
            </w:tcBorders>
            <w:shd w:val="clear" w:color="auto" w:fill="F2F2F2" w:themeFill="background1" w:themeFillShade="F2"/>
          </w:tcPr>
          <w:p w:rsidRPr="00917E22" w:rsidR="00750432" w:rsidP="00CB0CFE" w:rsidRDefault="00750432" w14:paraId="5047F49D" w14:textId="77777777">
            <w:pPr>
              <w:tabs>
                <w:tab w:val="left" w:pos="1080"/>
              </w:tabs>
              <w:ind w:left="720" w:hanging="360"/>
              <w:rPr>
                <w:rFonts w:ascii="Times New Roman" w:hAnsi="Times New Roman"/>
                <w:b/>
                <w:sz w:val="20"/>
              </w:rPr>
            </w:pPr>
          </w:p>
        </w:tc>
        <w:tc>
          <w:tcPr>
            <w:tcW w:w="3980" w:type="dxa"/>
            <w:vMerge/>
            <w:tcBorders>
              <w:bottom w:val="double" w:color="auto" w:sz="4" w:space="0"/>
            </w:tcBorders>
            <w:shd w:val="clear" w:color="auto" w:fill="F2F2F2" w:themeFill="background1" w:themeFillShade="F2"/>
          </w:tcPr>
          <w:p w:rsidRPr="00917E22" w:rsidR="00750432" w:rsidP="00CB0CFE" w:rsidRDefault="00750432" w14:paraId="737FFD14" w14:textId="77777777">
            <w:pPr>
              <w:tabs>
                <w:tab w:val="left" w:pos="1080"/>
              </w:tabs>
              <w:ind w:left="720" w:hanging="360"/>
              <w:rPr>
                <w:rFonts w:ascii="Times New Roman" w:hAnsi="Times New Roman"/>
                <w:b/>
                <w:sz w:val="20"/>
              </w:rPr>
            </w:pPr>
          </w:p>
        </w:tc>
        <w:tc>
          <w:tcPr>
            <w:tcW w:w="1782" w:type="dxa"/>
            <w:tcBorders>
              <w:top w:val="single" w:color="auto" w:sz="4" w:space="0"/>
              <w:bottom w:val="double" w:color="auto" w:sz="4" w:space="0"/>
            </w:tcBorders>
            <w:shd w:val="clear" w:color="auto" w:fill="F2F2F2" w:themeFill="background1" w:themeFillShade="F2"/>
          </w:tcPr>
          <w:p w:rsidRPr="00917E22" w:rsidR="00750432" w:rsidP="006744AF" w:rsidRDefault="00750432" w14:paraId="101CE480" w14:textId="77777777">
            <w:pPr>
              <w:tabs>
                <w:tab w:val="left" w:pos="1080"/>
              </w:tabs>
              <w:ind w:left="720" w:hanging="360"/>
              <w:jc w:val="right"/>
              <w:rPr>
                <w:rFonts w:ascii="Times New Roman" w:hAnsi="Times New Roman"/>
                <w:b/>
                <w:sz w:val="20"/>
              </w:rPr>
            </w:pPr>
            <w:r w:rsidRPr="00917E22">
              <w:rPr>
                <w:rFonts w:ascii="Times New Roman" w:hAnsi="Times New Roman"/>
                <w:b/>
                <w:sz w:val="20"/>
              </w:rPr>
              <w:t>2017 Economic Census</w:t>
            </w:r>
          </w:p>
        </w:tc>
        <w:tc>
          <w:tcPr>
            <w:tcW w:w="1710" w:type="dxa"/>
            <w:tcBorders>
              <w:top w:val="single" w:color="auto" w:sz="4" w:space="0"/>
              <w:bottom w:val="double" w:color="auto" w:sz="4" w:space="0"/>
            </w:tcBorders>
            <w:shd w:val="clear" w:color="auto" w:fill="F2F2F2" w:themeFill="background1" w:themeFillShade="F2"/>
          </w:tcPr>
          <w:p w:rsidRPr="00917E22" w:rsidR="00750432" w:rsidP="006744AF" w:rsidRDefault="00750432" w14:paraId="3F76BC45" w14:textId="26DB772F">
            <w:pPr>
              <w:tabs>
                <w:tab w:val="left" w:pos="1080"/>
              </w:tabs>
              <w:ind w:left="720" w:hanging="360"/>
              <w:jc w:val="right"/>
              <w:rPr>
                <w:rFonts w:ascii="Times New Roman" w:hAnsi="Times New Roman"/>
                <w:b/>
                <w:sz w:val="20"/>
              </w:rPr>
            </w:pPr>
            <w:r w:rsidRPr="00917E22">
              <w:rPr>
                <w:rFonts w:ascii="Times New Roman" w:hAnsi="Times New Roman"/>
                <w:b/>
                <w:sz w:val="20"/>
              </w:rPr>
              <w:t>Estimated</w:t>
            </w:r>
          </w:p>
          <w:p w:rsidRPr="00917E22" w:rsidR="00750432" w:rsidP="006744AF" w:rsidRDefault="00750432" w14:paraId="49217EA1" w14:textId="77777777">
            <w:pPr>
              <w:tabs>
                <w:tab w:val="left" w:pos="1080"/>
              </w:tabs>
              <w:ind w:left="720" w:hanging="360"/>
              <w:jc w:val="right"/>
              <w:rPr>
                <w:rFonts w:ascii="Times New Roman" w:hAnsi="Times New Roman"/>
                <w:b/>
                <w:sz w:val="20"/>
              </w:rPr>
            </w:pPr>
            <w:r w:rsidRPr="00917E22">
              <w:rPr>
                <w:rFonts w:ascii="Times New Roman" w:hAnsi="Times New Roman"/>
                <w:b/>
                <w:sz w:val="20"/>
              </w:rPr>
              <w:t>2022 Universe</w:t>
            </w:r>
          </w:p>
        </w:tc>
      </w:tr>
      <w:tr w:rsidRPr="00917E22" w:rsidR="00750432" w:rsidTr="00DE3A49" w14:paraId="58F9FE74" w14:textId="77777777">
        <w:trPr>
          <w:trHeight w:val="224"/>
        </w:trPr>
        <w:tc>
          <w:tcPr>
            <w:tcW w:w="1055" w:type="dxa"/>
            <w:tcBorders>
              <w:top w:val="double" w:color="auto" w:sz="4" w:space="0"/>
              <w:bottom w:val="single" w:color="auto" w:sz="4" w:space="0"/>
            </w:tcBorders>
            <w:shd w:val="clear" w:color="auto" w:fill="FFFFFF" w:themeFill="background1"/>
          </w:tcPr>
          <w:p w:rsidRPr="00917E22" w:rsidR="00750432" w:rsidP="00CB0CFE" w:rsidRDefault="00750432" w14:paraId="1BC26A85" w14:textId="77777777">
            <w:pPr>
              <w:tabs>
                <w:tab w:val="left" w:pos="1080"/>
              </w:tabs>
              <w:rPr>
                <w:rFonts w:ascii="Times New Roman" w:hAnsi="Times New Roman"/>
                <w:sz w:val="20"/>
              </w:rPr>
            </w:pPr>
            <w:r w:rsidRPr="00917E22">
              <w:rPr>
                <w:rFonts w:ascii="Times New Roman" w:hAnsi="Times New Roman"/>
                <w:sz w:val="20"/>
              </w:rPr>
              <w:t>NA</w:t>
            </w:r>
          </w:p>
        </w:tc>
        <w:tc>
          <w:tcPr>
            <w:tcW w:w="3980" w:type="dxa"/>
            <w:tcBorders>
              <w:top w:val="double" w:color="auto" w:sz="4" w:space="0"/>
              <w:bottom w:val="single" w:color="auto" w:sz="4" w:space="0"/>
            </w:tcBorders>
            <w:shd w:val="clear" w:color="auto" w:fill="FFFFFF" w:themeFill="background1"/>
          </w:tcPr>
          <w:p w:rsidRPr="00917E22" w:rsidR="00750432" w:rsidP="00CB0CFE" w:rsidRDefault="00750432" w14:paraId="0C7D20CC" w14:textId="4D823C0E">
            <w:pPr>
              <w:tabs>
                <w:tab w:val="left" w:pos="1080"/>
              </w:tabs>
              <w:rPr>
                <w:rFonts w:ascii="Times New Roman" w:hAnsi="Times New Roman"/>
                <w:sz w:val="20"/>
              </w:rPr>
            </w:pPr>
            <w:r w:rsidRPr="00917E22">
              <w:rPr>
                <w:rFonts w:ascii="Times New Roman" w:hAnsi="Times New Roman"/>
                <w:sz w:val="20"/>
              </w:rPr>
              <w:t xml:space="preserve">Unclassified </w:t>
            </w:r>
            <w:r w:rsidRPr="00917E22">
              <w:rPr>
                <w:rFonts w:ascii="Times New Roman" w:hAnsi="Times New Roman"/>
                <w:sz w:val="20"/>
                <w:vertAlign w:val="superscript"/>
              </w:rPr>
              <w:t>(</w:t>
            </w:r>
            <w:r w:rsidR="00645DCD">
              <w:rPr>
                <w:rFonts w:ascii="Times New Roman" w:hAnsi="Times New Roman"/>
                <w:sz w:val="20"/>
                <w:vertAlign w:val="superscript"/>
              </w:rPr>
              <w:t>1</w:t>
            </w:r>
            <w:r w:rsidRPr="00917E22">
              <w:rPr>
                <w:rFonts w:ascii="Times New Roman" w:hAnsi="Times New Roman"/>
                <w:sz w:val="20"/>
                <w:vertAlign w:val="superscript"/>
              </w:rPr>
              <w:t xml:space="preserve">) </w:t>
            </w:r>
          </w:p>
        </w:tc>
        <w:tc>
          <w:tcPr>
            <w:tcW w:w="1782" w:type="dxa"/>
            <w:tcBorders>
              <w:top w:val="double" w:color="auto" w:sz="4" w:space="0"/>
              <w:bottom w:val="single" w:color="auto" w:sz="4" w:space="0"/>
            </w:tcBorders>
            <w:shd w:val="clear" w:color="auto" w:fill="FFFFFF" w:themeFill="background1"/>
          </w:tcPr>
          <w:p w:rsidRPr="00917E22" w:rsidR="00750432" w:rsidP="00CE32F1" w:rsidRDefault="00750432" w14:paraId="375FF998" w14:textId="77777777">
            <w:pPr>
              <w:tabs>
                <w:tab w:val="left" w:pos="1080"/>
              </w:tabs>
              <w:ind w:left="720" w:hanging="360"/>
              <w:jc w:val="right"/>
              <w:rPr>
                <w:rFonts w:ascii="Times New Roman" w:hAnsi="Times New Roman"/>
                <w:sz w:val="20"/>
              </w:rPr>
            </w:pPr>
            <w:r w:rsidRPr="00917E22">
              <w:rPr>
                <w:rFonts w:ascii="Times New Roman" w:hAnsi="Times New Roman"/>
                <w:sz w:val="20"/>
              </w:rPr>
              <w:t xml:space="preserve">                        -</w:t>
            </w:r>
          </w:p>
        </w:tc>
        <w:tc>
          <w:tcPr>
            <w:tcW w:w="1710" w:type="dxa"/>
            <w:tcBorders>
              <w:top w:val="double" w:color="auto" w:sz="4" w:space="0"/>
              <w:bottom w:val="single" w:color="auto" w:sz="4" w:space="0"/>
            </w:tcBorders>
            <w:shd w:val="clear" w:color="auto" w:fill="FFFFFF" w:themeFill="background1"/>
            <w:vAlign w:val="bottom"/>
          </w:tcPr>
          <w:p w:rsidRPr="00917E22" w:rsidR="00750432" w:rsidP="00CE32F1" w:rsidRDefault="00750432" w14:paraId="77F6FAA2" w14:textId="77777777">
            <w:pPr>
              <w:tabs>
                <w:tab w:val="left" w:pos="1080"/>
              </w:tabs>
              <w:ind w:left="720" w:hanging="360"/>
              <w:jc w:val="right"/>
              <w:rPr>
                <w:rFonts w:ascii="Times New Roman" w:hAnsi="Times New Roman"/>
                <w:sz w:val="20"/>
              </w:rPr>
            </w:pPr>
            <w:r w:rsidRPr="00917E22">
              <w:rPr>
                <w:rFonts w:ascii="Times New Roman" w:hAnsi="Times New Roman"/>
                <w:sz w:val="20"/>
              </w:rPr>
              <w:t xml:space="preserve">                 27,500</w:t>
            </w:r>
          </w:p>
        </w:tc>
      </w:tr>
      <w:tr w:rsidRPr="00917E22" w:rsidR="00750432" w:rsidTr="00DE3A49" w14:paraId="1700A72F" w14:textId="77777777">
        <w:trPr>
          <w:trHeight w:val="236"/>
        </w:trPr>
        <w:tc>
          <w:tcPr>
            <w:tcW w:w="1055" w:type="dxa"/>
            <w:tcBorders>
              <w:top w:val="single" w:color="auto" w:sz="4" w:space="0"/>
            </w:tcBorders>
            <w:shd w:val="clear" w:color="auto" w:fill="FFFFFF" w:themeFill="background1"/>
          </w:tcPr>
          <w:p w:rsidRPr="00917E22" w:rsidR="00750432" w:rsidP="00CB0CFE" w:rsidRDefault="00750432" w14:paraId="09A38DAC" w14:textId="77777777">
            <w:pPr>
              <w:tabs>
                <w:tab w:val="left" w:pos="1080"/>
              </w:tabs>
              <w:rPr>
                <w:rFonts w:ascii="Times New Roman" w:hAnsi="Times New Roman"/>
                <w:sz w:val="20"/>
              </w:rPr>
            </w:pPr>
            <w:r w:rsidRPr="00917E22">
              <w:rPr>
                <w:rFonts w:ascii="Times New Roman" w:hAnsi="Times New Roman"/>
                <w:sz w:val="20"/>
              </w:rPr>
              <w:t>11</w:t>
            </w:r>
          </w:p>
        </w:tc>
        <w:tc>
          <w:tcPr>
            <w:tcW w:w="3980" w:type="dxa"/>
            <w:tcBorders>
              <w:top w:val="single" w:color="auto" w:sz="4" w:space="0"/>
            </w:tcBorders>
            <w:shd w:val="clear" w:color="auto" w:fill="FFFFFF" w:themeFill="background1"/>
          </w:tcPr>
          <w:p w:rsidRPr="0090614D" w:rsidR="00750432" w:rsidP="00CB0CFE" w:rsidRDefault="00750432" w14:paraId="627EB7AE" w14:textId="6B73AEA6">
            <w:pPr>
              <w:tabs>
                <w:tab w:val="left" w:pos="1080"/>
              </w:tabs>
              <w:rPr>
                <w:rFonts w:ascii="Times New Roman" w:hAnsi="Times New Roman"/>
                <w:sz w:val="20"/>
                <w:vertAlign w:val="superscript"/>
              </w:rPr>
            </w:pPr>
            <w:r w:rsidRPr="00917E22">
              <w:rPr>
                <w:rFonts w:ascii="Times New Roman" w:hAnsi="Times New Roman"/>
                <w:sz w:val="20"/>
              </w:rPr>
              <w:t>Agriculture, Forestry, Fishing and Hunting</w:t>
            </w:r>
            <w:r w:rsidR="0090614D">
              <w:rPr>
                <w:rFonts w:ascii="Times New Roman" w:hAnsi="Times New Roman"/>
                <w:sz w:val="20"/>
              </w:rPr>
              <w:t xml:space="preserve"> </w:t>
            </w:r>
            <w:r w:rsidR="0090614D">
              <w:rPr>
                <w:rFonts w:ascii="Times New Roman" w:hAnsi="Times New Roman"/>
                <w:sz w:val="20"/>
                <w:vertAlign w:val="superscript"/>
              </w:rPr>
              <w:t>(</w:t>
            </w:r>
            <w:r w:rsidR="00645DCD">
              <w:rPr>
                <w:rFonts w:ascii="Times New Roman" w:hAnsi="Times New Roman"/>
                <w:sz w:val="20"/>
                <w:vertAlign w:val="superscript"/>
              </w:rPr>
              <w:t>2</w:t>
            </w:r>
            <w:r w:rsidR="0090614D">
              <w:rPr>
                <w:rFonts w:ascii="Times New Roman" w:hAnsi="Times New Roman"/>
                <w:sz w:val="20"/>
                <w:vertAlign w:val="superscript"/>
              </w:rPr>
              <w:t>)</w:t>
            </w:r>
          </w:p>
        </w:tc>
        <w:tc>
          <w:tcPr>
            <w:tcW w:w="1782" w:type="dxa"/>
            <w:tcBorders>
              <w:top w:val="single" w:color="auto" w:sz="4" w:space="0"/>
            </w:tcBorders>
            <w:shd w:val="clear" w:color="auto" w:fill="FFFFFF" w:themeFill="background1"/>
          </w:tcPr>
          <w:p w:rsidRPr="00917E22" w:rsidR="00750432" w:rsidP="00CB0CFE" w:rsidRDefault="00750432" w14:paraId="325970E5" w14:textId="2AB41596">
            <w:pPr>
              <w:tabs>
                <w:tab w:val="left" w:pos="1080"/>
              </w:tabs>
              <w:ind w:left="720" w:hanging="360"/>
              <w:jc w:val="right"/>
              <w:rPr>
                <w:rFonts w:ascii="Times New Roman" w:hAnsi="Times New Roman"/>
                <w:sz w:val="20"/>
              </w:rPr>
            </w:pPr>
            <w:r w:rsidRPr="00917E22">
              <w:rPr>
                <w:rFonts w:ascii="Times New Roman" w:hAnsi="Times New Roman"/>
                <w:sz w:val="20"/>
              </w:rPr>
              <w:t>N/A</w:t>
            </w:r>
          </w:p>
        </w:tc>
        <w:tc>
          <w:tcPr>
            <w:tcW w:w="1710" w:type="dxa"/>
            <w:tcBorders>
              <w:top w:val="single" w:color="auto" w:sz="4" w:space="0"/>
            </w:tcBorders>
            <w:shd w:val="clear" w:color="auto" w:fill="FFFFFF" w:themeFill="background1"/>
            <w:vAlign w:val="bottom"/>
          </w:tcPr>
          <w:p w:rsidRPr="00917E22" w:rsidR="00750432" w:rsidP="00CB0CFE" w:rsidRDefault="00750432" w14:paraId="2C4CBD23" w14:textId="77777777">
            <w:pPr>
              <w:tabs>
                <w:tab w:val="left" w:pos="1080"/>
              </w:tabs>
              <w:ind w:left="720" w:hanging="360"/>
              <w:jc w:val="right"/>
              <w:rPr>
                <w:rFonts w:ascii="Times New Roman" w:hAnsi="Times New Roman"/>
                <w:sz w:val="20"/>
              </w:rPr>
            </w:pPr>
            <w:r w:rsidRPr="00917E22">
              <w:rPr>
                <w:rFonts w:ascii="Times New Roman" w:hAnsi="Times New Roman"/>
                <w:sz w:val="20"/>
              </w:rPr>
              <w:t>23,000</w:t>
            </w:r>
          </w:p>
        </w:tc>
      </w:tr>
      <w:tr w:rsidRPr="00917E22" w:rsidR="00750432" w:rsidTr="00DE3A49" w14:paraId="471B8564" w14:textId="77777777">
        <w:trPr>
          <w:trHeight w:val="236"/>
        </w:trPr>
        <w:tc>
          <w:tcPr>
            <w:tcW w:w="1055" w:type="dxa"/>
            <w:tcBorders>
              <w:top w:val="single" w:color="auto" w:sz="4" w:space="0"/>
            </w:tcBorders>
            <w:shd w:val="clear" w:color="auto" w:fill="FFFFFF" w:themeFill="background1"/>
          </w:tcPr>
          <w:p w:rsidRPr="00917E22" w:rsidR="00750432" w:rsidP="00CB0CFE" w:rsidRDefault="00750432" w14:paraId="0F1A63C9" w14:textId="77777777">
            <w:pPr>
              <w:tabs>
                <w:tab w:val="left" w:pos="1080"/>
              </w:tabs>
              <w:rPr>
                <w:rFonts w:ascii="Times New Roman" w:hAnsi="Times New Roman"/>
                <w:sz w:val="20"/>
              </w:rPr>
            </w:pPr>
            <w:r w:rsidRPr="00917E22">
              <w:rPr>
                <w:rFonts w:ascii="Times New Roman" w:hAnsi="Times New Roman"/>
                <w:sz w:val="20"/>
              </w:rPr>
              <w:t>21</w:t>
            </w:r>
          </w:p>
        </w:tc>
        <w:tc>
          <w:tcPr>
            <w:tcW w:w="3980" w:type="dxa"/>
            <w:tcBorders>
              <w:top w:val="single" w:color="auto" w:sz="4" w:space="0"/>
            </w:tcBorders>
            <w:shd w:val="clear" w:color="auto" w:fill="FFFFFF" w:themeFill="background1"/>
          </w:tcPr>
          <w:p w:rsidRPr="00917E22" w:rsidR="00750432" w:rsidP="00CB0CFE" w:rsidRDefault="00750432" w14:paraId="0272C1DB" w14:textId="77777777">
            <w:pPr>
              <w:tabs>
                <w:tab w:val="left" w:pos="1080"/>
              </w:tabs>
              <w:rPr>
                <w:rFonts w:ascii="Times New Roman" w:hAnsi="Times New Roman"/>
                <w:sz w:val="20"/>
              </w:rPr>
            </w:pPr>
            <w:r w:rsidRPr="00917E22">
              <w:rPr>
                <w:rFonts w:ascii="Times New Roman" w:hAnsi="Times New Roman"/>
                <w:sz w:val="20"/>
              </w:rPr>
              <w:t>Mining</w:t>
            </w:r>
          </w:p>
        </w:tc>
        <w:tc>
          <w:tcPr>
            <w:tcW w:w="1782" w:type="dxa"/>
            <w:tcBorders>
              <w:top w:val="single" w:color="auto" w:sz="4" w:space="0"/>
            </w:tcBorders>
            <w:shd w:val="clear" w:color="auto" w:fill="FFFFFF" w:themeFill="background1"/>
          </w:tcPr>
          <w:p w:rsidRPr="00917E22" w:rsidR="00750432" w:rsidP="00CB0CFE" w:rsidRDefault="00750432" w14:paraId="0783AC01" w14:textId="77777777">
            <w:pPr>
              <w:tabs>
                <w:tab w:val="left" w:pos="1080"/>
              </w:tabs>
              <w:ind w:left="720" w:hanging="360"/>
              <w:jc w:val="right"/>
              <w:rPr>
                <w:rFonts w:ascii="Times New Roman" w:hAnsi="Times New Roman"/>
                <w:sz w:val="20"/>
              </w:rPr>
            </w:pPr>
            <w:r w:rsidRPr="00917E22">
              <w:rPr>
                <w:rFonts w:ascii="Times New Roman" w:hAnsi="Times New Roman"/>
                <w:sz w:val="20"/>
              </w:rPr>
              <w:t>25,273</w:t>
            </w:r>
          </w:p>
        </w:tc>
        <w:tc>
          <w:tcPr>
            <w:tcW w:w="1710" w:type="dxa"/>
            <w:tcBorders>
              <w:top w:val="single" w:color="auto" w:sz="4" w:space="0"/>
            </w:tcBorders>
            <w:shd w:val="clear" w:color="auto" w:fill="FFFFFF" w:themeFill="background1"/>
            <w:vAlign w:val="bottom"/>
          </w:tcPr>
          <w:p w:rsidRPr="00917E22" w:rsidR="00750432" w:rsidP="00CB0CFE" w:rsidRDefault="00750432" w14:paraId="616A53BE" w14:textId="77777777">
            <w:pPr>
              <w:tabs>
                <w:tab w:val="left" w:pos="1080"/>
              </w:tabs>
              <w:ind w:left="720" w:hanging="360"/>
              <w:jc w:val="right"/>
              <w:rPr>
                <w:rFonts w:ascii="Times New Roman" w:hAnsi="Times New Roman"/>
                <w:sz w:val="20"/>
              </w:rPr>
            </w:pPr>
            <w:r w:rsidRPr="00917E22">
              <w:rPr>
                <w:rFonts w:ascii="Times New Roman" w:hAnsi="Times New Roman"/>
                <w:sz w:val="20"/>
              </w:rPr>
              <w:t>27,000</w:t>
            </w:r>
          </w:p>
        </w:tc>
      </w:tr>
      <w:tr w:rsidRPr="00917E22" w:rsidR="00750432" w:rsidTr="00DE3A49" w14:paraId="1280F8D0" w14:textId="77777777">
        <w:trPr>
          <w:trHeight w:val="236"/>
        </w:trPr>
        <w:tc>
          <w:tcPr>
            <w:tcW w:w="1055" w:type="dxa"/>
            <w:shd w:val="clear" w:color="auto" w:fill="FFFFFF" w:themeFill="background1"/>
          </w:tcPr>
          <w:p w:rsidRPr="00917E22" w:rsidR="00750432" w:rsidP="00CB0CFE" w:rsidRDefault="00750432" w14:paraId="05D93508" w14:textId="77777777">
            <w:pPr>
              <w:tabs>
                <w:tab w:val="left" w:pos="1080"/>
              </w:tabs>
              <w:rPr>
                <w:rFonts w:ascii="Times New Roman" w:hAnsi="Times New Roman"/>
                <w:sz w:val="20"/>
              </w:rPr>
            </w:pPr>
            <w:r w:rsidRPr="00917E22">
              <w:rPr>
                <w:rFonts w:ascii="Times New Roman" w:hAnsi="Times New Roman"/>
                <w:sz w:val="20"/>
              </w:rPr>
              <w:t>22</w:t>
            </w:r>
          </w:p>
        </w:tc>
        <w:tc>
          <w:tcPr>
            <w:tcW w:w="3980" w:type="dxa"/>
            <w:shd w:val="clear" w:color="auto" w:fill="FFFFFF" w:themeFill="background1"/>
          </w:tcPr>
          <w:p w:rsidRPr="00917E22" w:rsidR="00750432" w:rsidP="00CB0CFE" w:rsidRDefault="00750432" w14:paraId="78D4365D" w14:textId="77777777">
            <w:pPr>
              <w:tabs>
                <w:tab w:val="left" w:pos="1080"/>
              </w:tabs>
              <w:rPr>
                <w:rFonts w:ascii="Times New Roman" w:hAnsi="Times New Roman"/>
                <w:sz w:val="20"/>
              </w:rPr>
            </w:pPr>
            <w:r w:rsidRPr="00917E22">
              <w:rPr>
                <w:rFonts w:ascii="Times New Roman" w:hAnsi="Times New Roman"/>
                <w:sz w:val="20"/>
              </w:rPr>
              <w:t>Utilities</w:t>
            </w:r>
          </w:p>
        </w:tc>
        <w:tc>
          <w:tcPr>
            <w:tcW w:w="1782" w:type="dxa"/>
            <w:shd w:val="clear" w:color="auto" w:fill="FFFFFF" w:themeFill="background1"/>
          </w:tcPr>
          <w:p w:rsidRPr="00917E22" w:rsidR="00750432" w:rsidP="00CB0CFE" w:rsidRDefault="00750432" w14:paraId="0036926A" w14:textId="77777777">
            <w:pPr>
              <w:tabs>
                <w:tab w:val="left" w:pos="1080"/>
              </w:tabs>
              <w:ind w:left="720" w:hanging="360"/>
              <w:jc w:val="right"/>
              <w:rPr>
                <w:rFonts w:ascii="Times New Roman" w:hAnsi="Times New Roman"/>
                <w:sz w:val="20"/>
              </w:rPr>
            </w:pPr>
            <w:r w:rsidRPr="00917E22">
              <w:rPr>
                <w:rFonts w:ascii="Times New Roman" w:hAnsi="Times New Roman"/>
                <w:sz w:val="20"/>
              </w:rPr>
              <w:t>18,913</w:t>
            </w:r>
          </w:p>
        </w:tc>
        <w:tc>
          <w:tcPr>
            <w:tcW w:w="1710" w:type="dxa"/>
            <w:shd w:val="clear" w:color="auto" w:fill="FFFFFF" w:themeFill="background1"/>
            <w:vAlign w:val="bottom"/>
          </w:tcPr>
          <w:p w:rsidRPr="00917E22" w:rsidR="00750432" w:rsidP="00CB0CFE" w:rsidRDefault="00750432" w14:paraId="489B8D1A" w14:textId="77777777">
            <w:pPr>
              <w:tabs>
                <w:tab w:val="left" w:pos="1080"/>
              </w:tabs>
              <w:ind w:left="720" w:hanging="360"/>
              <w:jc w:val="right"/>
              <w:rPr>
                <w:rFonts w:ascii="Times New Roman" w:hAnsi="Times New Roman"/>
                <w:sz w:val="20"/>
              </w:rPr>
            </w:pPr>
            <w:r w:rsidRPr="00917E22">
              <w:rPr>
                <w:rFonts w:ascii="Times New Roman" w:hAnsi="Times New Roman"/>
                <w:sz w:val="20"/>
              </w:rPr>
              <w:t>20,500</w:t>
            </w:r>
          </w:p>
        </w:tc>
      </w:tr>
      <w:tr w:rsidRPr="00917E22" w:rsidR="00750432" w:rsidTr="00DE3A49" w14:paraId="7322C7C7" w14:textId="77777777">
        <w:trPr>
          <w:trHeight w:val="236"/>
        </w:trPr>
        <w:tc>
          <w:tcPr>
            <w:tcW w:w="1055" w:type="dxa"/>
            <w:shd w:val="clear" w:color="auto" w:fill="FFFFFF" w:themeFill="background1"/>
          </w:tcPr>
          <w:p w:rsidRPr="00917E22" w:rsidR="00750432" w:rsidP="00CB0CFE" w:rsidRDefault="00750432" w14:paraId="78D607AB" w14:textId="77777777">
            <w:pPr>
              <w:tabs>
                <w:tab w:val="left" w:pos="1080"/>
              </w:tabs>
              <w:rPr>
                <w:rFonts w:ascii="Times New Roman" w:hAnsi="Times New Roman"/>
                <w:sz w:val="20"/>
              </w:rPr>
            </w:pPr>
            <w:r w:rsidRPr="00917E22">
              <w:rPr>
                <w:rFonts w:ascii="Times New Roman" w:hAnsi="Times New Roman"/>
                <w:sz w:val="20"/>
              </w:rPr>
              <w:t>23</w:t>
            </w:r>
          </w:p>
        </w:tc>
        <w:tc>
          <w:tcPr>
            <w:tcW w:w="3980" w:type="dxa"/>
            <w:shd w:val="clear" w:color="auto" w:fill="FFFFFF" w:themeFill="background1"/>
          </w:tcPr>
          <w:p w:rsidRPr="00917E22" w:rsidR="00750432" w:rsidP="00CB0CFE" w:rsidRDefault="00750432" w14:paraId="45F12F98" w14:textId="27DFB59D">
            <w:pPr>
              <w:tabs>
                <w:tab w:val="left" w:pos="1080"/>
              </w:tabs>
              <w:rPr>
                <w:rFonts w:ascii="Times New Roman" w:hAnsi="Times New Roman"/>
                <w:sz w:val="20"/>
              </w:rPr>
            </w:pPr>
            <w:r w:rsidRPr="00917E22">
              <w:rPr>
                <w:rFonts w:ascii="Times New Roman" w:hAnsi="Times New Roman"/>
                <w:sz w:val="20"/>
              </w:rPr>
              <w:t xml:space="preserve">Construction </w:t>
            </w:r>
          </w:p>
        </w:tc>
        <w:tc>
          <w:tcPr>
            <w:tcW w:w="1782" w:type="dxa"/>
            <w:shd w:val="clear" w:color="auto" w:fill="FFFFFF" w:themeFill="background1"/>
          </w:tcPr>
          <w:p w:rsidRPr="00917E22" w:rsidR="00750432" w:rsidP="00CB0CFE" w:rsidRDefault="00750432" w14:paraId="50BBB974" w14:textId="77777777">
            <w:pPr>
              <w:tabs>
                <w:tab w:val="left" w:pos="1080"/>
              </w:tabs>
              <w:ind w:left="720" w:hanging="360"/>
              <w:jc w:val="right"/>
              <w:rPr>
                <w:rFonts w:ascii="Times New Roman" w:hAnsi="Times New Roman"/>
                <w:sz w:val="20"/>
              </w:rPr>
            </w:pPr>
            <w:r w:rsidRPr="00917E22">
              <w:rPr>
                <w:rFonts w:ascii="Times New Roman" w:hAnsi="Times New Roman"/>
                <w:sz w:val="20"/>
              </w:rPr>
              <w:t>715,364</w:t>
            </w:r>
          </w:p>
        </w:tc>
        <w:tc>
          <w:tcPr>
            <w:tcW w:w="1710" w:type="dxa"/>
            <w:shd w:val="clear" w:color="auto" w:fill="FFFFFF" w:themeFill="background1"/>
            <w:vAlign w:val="bottom"/>
          </w:tcPr>
          <w:p w:rsidRPr="00917E22" w:rsidR="00750432" w:rsidP="00CB0CFE" w:rsidRDefault="00750432" w14:paraId="4CC66BCF" w14:textId="77777777">
            <w:pPr>
              <w:tabs>
                <w:tab w:val="left" w:pos="1080"/>
              </w:tabs>
              <w:ind w:left="720" w:hanging="360"/>
              <w:jc w:val="right"/>
              <w:rPr>
                <w:rFonts w:ascii="Times New Roman" w:hAnsi="Times New Roman"/>
                <w:sz w:val="20"/>
              </w:rPr>
            </w:pPr>
            <w:r w:rsidRPr="00917E22">
              <w:rPr>
                <w:rFonts w:ascii="Times New Roman" w:hAnsi="Times New Roman"/>
                <w:sz w:val="20"/>
              </w:rPr>
              <w:t>821,000</w:t>
            </w:r>
          </w:p>
        </w:tc>
      </w:tr>
      <w:tr w:rsidRPr="00917E22" w:rsidR="00750432" w:rsidTr="00DE3A49" w14:paraId="70CF3619" w14:textId="77777777">
        <w:trPr>
          <w:trHeight w:val="224"/>
        </w:trPr>
        <w:tc>
          <w:tcPr>
            <w:tcW w:w="1055" w:type="dxa"/>
            <w:shd w:val="clear" w:color="auto" w:fill="FFFFFF" w:themeFill="background1"/>
          </w:tcPr>
          <w:p w:rsidRPr="00917E22" w:rsidR="00750432" w:rsidP="00CB0CFE" w:rsidRDefault="00750432" w14:paraId="1857067F" w14:textId="77777777">
            <w:pPr>
              <w:tabs>
                <w:tab w:val="left" w:pos="1080"/>
              </w:tabs>
              <w:rPr>
                <w:rFonts w:ascii="Times New Roman" w:hAnsi="Times New Roman"/>
                <w:sz w:val="20"/>
              </w:rPr>
            </w:pPr>
            <w:r w:rsidRPr="00917E22">
              <w:rPr>
                <w:rFonts w:ascii="Times New Roman" w:hAnsi="Times New Roman"/>
                <w:sz w:val="20"/>
              </w:rPr>
              <w:t>31-33</w:t>
            </w:r>
          </w:p>
        </w:tc>
        <w:tc>
          <w:tcPr>
            <w:tcW w:w="3980" w:type="dxa"/>
            <w:shd w:val="clear" w:color="auto" w:fill="FFFFFF" w:themeFill="background1"/>
          </w:tcPr>
          <w:p w:rsidRPr="00917E22" w:rsidR="00750432" w:rsidP="00CB0CFE" w:rsidRDefault="00750432" w14:paraId="5DA0EA83" w14:textId="77777777">
            <w:pPr>
              <w:tabs>
                <w:tab w:val="left" w:pos="1080"/>
              </w:tabs>
              <w:rPr>
                <w:rFonts w:ascii="Times New Roman" w:hAnsi="Times New Roman"/>
                <w:sz w:val="20"/>
              </w:rPr>
            </w:pPr>
            <w:r w:rsidRPr="00917E22">
              <w:rPr>
                <w:rFonts w:ascii="Times New Roman" w:hAnsi="Times New Roman"/>
                <w:sz w:val="20"/>
              </w:rPr>
              <w:t>Manufacturing</w:t>
            </w:r>
          </w:p>
        </w:tc>
        <w:tc>
          <w:tcPr>
            <w:tcW w:w="1782" w:type="dxa"/>
            <w:shd w:val="clear" w:color="auto" w:fill="FFFFFF" w:themeFill="background1"/>
          </w:tcPr>
          <w:p w:rsidRPr="00917E22" w:rsidR="00750432" w:rsidP="00CB0CFE" w:rsidRDefault="00750432" w14:paraId="01517C29" w14:textId="77777777">
            <w:pPr>
              <w:tabs>
                <w:tab w:val="left" w:pos="1080"/>
              </w:tabs>
              <w:ind w:left="720" w:hanging="360"/>
              <w:jc w:val="right"/>
              <w:rPr>
                <w:rFonts w:ascii="Times New Roman" w:hAnsi="Times New Roman"/>
                <w:sz w:val="20"/>
              </w:rPr>
            </w:pPr>
            <w:r w:rsidRPr="00917E22">
              <w:rPr>
                <w:rFonts w:ascii="Times New Roman" w:hAnsi="Times New Roman"/>
                <w:sz w:val="20"/>
              </w:rPr>
              <w:t>291,586</w:t>
            </w:r>
          </w:p>
        </w:tc>
        <w:tc>
          <w:tcPr>
            <w:tcW w:w="1710" w:type="dxa"/>
            <w:shd w:val="clear" w:color="auto" w:fill="FFFFFF" w:themeFill="background1"/>
            <w:vAlign w:val="bottom"/>
          </w:tcPr>
          <w:p w:rsidRPr="00917E22" w:rsidR="00750432" w:rsidP="00CB0CFE" w:rsidRDefault="00750432" w14:paraId="2E14D8D5" w14:textId="77777777">
            <w:pPr>
              <w:tabs>
                <w:tab w:val="left" w:pos="1080"/>
              </w:tabs>
              <w:ind w:left="720" w:hanging="360"/>
              <w:jc w:val="right"/>
              <w:rPr>
                <w:rFonts w:ascii="Times New Roman" w:hAnsi="Times New Roman"/>
                <w:sz w:val="20"/>
              </w:rPr>
            </w:pPr>
            <w:r w:rsidRPr="00917E22">
              <w:rPr>
                <w:rFonts w:ascii="Times New Roman" w:hAnsi="Times New Roman"/>
                <w:sz w:val="20"/>
              </w:rPr>
              <w:t>317,000</w:t>
            </w:r>
          </w:p>
        </w:tc>
      </w:tr>
      <w:tr w:rsidRPr="00917E22" w:rsidR="00750432" w:rsidTr="00DE3A49" w14:paraId="32AD8942" w14:textId="77777777">
        <w:trPr>
          <w:trHeight w:val="236"/>
        </w:trPr>
        <w:tc>
          <w:tcPr>
            <w:tcW w:w="1055" w:type="dxa"/>
            <w:shd w:val="clear" w:color="auto" w:fill="FFFFFF" w:themeFill="background1"/>
          </w:tcPr>
          <w:p w:rsidRPr="00917E22" w:rsidR="00750432" w:rsidP="00CB0CFE" w:rsidRDefault="00750432" w14:paraId="585B56CD" w14:textId="77777777">
            <w:pPr>
              <w:tabs>
                <w:tab w:val="left" w:pos="1080"/>
              </w:tabs>
              <w:rPr>
                <w:rFonts w:ascii="Times New Roman" w:hAnsi="Times New Roman"/>
                <w:sz w:val="20"/>
              </w:rPr>
            </w:pPr>
            <w:r w:rsidRPr="00917E22">
              <w:rPr>
                <w:rFonts w:ascii="Times New Roman" w:hAnsi="Times New Roman"/>
                <w:sz w:val="20"/>
              </w:rPr>
              <w:t>42</w:t>
            </w:r>
          </w:p>
        </w:tc>
        <w:tc>
          <w:tcPr>
            <w:tcW w:w="3980" w:type="dxa"/>
            <w:shd w:val="clear" w:color="auto" w:fill="FFFFFF" w:themeFill="background1"/>
          </w:tcPr>
          <w:p w:rsidRPr="00917E22" w:rsidR="00750432" w:rsidP="00CB0CFE" w:rsidRDefault="00750432" w14:paraId="431DE67E" w14:textId="77777777">
            <w:pPr>
              <w:tabs>
                <w:tab w:val="left" w:pos="1080"/>
              </w:tabs>
              <w:rPr>
                <w:rFonts w:ascii="Times New Roman" w:hAnsi="Times New Roman"/>
                <w:sz w:val="20"/>
              </w:rPr>
            </w:pPr>
            <w:r w:rsidRPr="00917E22">
              <w:rPr>
                <w:rFonts w:ascii="Times New Roman" w:hAnsi="Times New Roman"/>
                <w:sz w:val="20"/>
              </w:rPr>
              <w:t>Wholesale Trade</w:t>
            </w:r>
          </w:p>
        </w:tc>
        <w:tc>
          <w:tcPr>
            <w:tcW w:w="1782" w:type="dxa"/>
            <w:shd w:val="clear" w:color="auto" w:fill="FFFFFF" w:themeFill="background1"/>
          </w:tcPr>
          <w:p w:rsidRPr="00917E22" w:rsidR="00750432" w:rsidP="00CB0CFE" w:rsidRDefault="00750432" w14:paraId="6D203874" w14:textId="77777777">
            <w:pPr>
              <w:tabs>
                <w:tab w:val="left" w:pos="1080"/>
              </w:tabs>
              <w:ind w:left="720" w:hanging="360"/>
              <w:jc w:val="right"/>
              <w:rPr>
                <w:rFonts w:ascii="Times New Roman" w:hAnsi="Times New Roman"/>
                <w:sz w:val="20"/>
              </w:rPr>
            </w:pPr>
            <w:r w:rsidRPr="00917E22">
              <w:rPr>
                <w:rFonts w:ascii="Times New Roman" w:hAnsi="Times New Roman"/>
                <w:sz w:val="20"/>
              </w:rPr>
              <w:t>408,333</w:t>
            </w:r>
          </w:p>
        </w:tc>
        <w:tc>
          <w:tcPr>
            <w:tcW w:w="1710" w:type="dxa"/>
            <w:shd w:val="clear" w:color="auto" w:fill="FFFFFF" w:themeFill="background1"/>
            <w:vAlign w:val="bottom"/>
          </w:tcPr>
          <w:p w:rsidRPr="00917E22" w:rsidR="00750432" w:rsidP="00CB0CFE" w:rsidRDefault="00750432" w14:paraId="08229B54" w14:textId="77777777">
            <w:pPr>
              <w:tabs>
                <w:tab w:val="left" w:pos="1080"/>
              </w:tabs>
              <w:ind w:left="720" w:hanging="360"/>
              <w:jc w:val="right"/>
              <w:rPr>
                <w:rFonts w:ascii="Times New Roman" w:hAnsi="Times New Roman"/>
                <w:sz w:val="20"/>
              </w:rPr>
            </w:pPr>
            <w:r w:rsidRPr="00917E22">
              <w:rPr>
                <w:rFonts w:ascii="Times New Roman" w:hAnsi="Times New Roman"/>
                <w:sz w:val="20"/>
              </w:rPr>
              <w:t>395,000</w:t>
            </w:r>
          </w:p>
        </w:tc>
      </w:tr>
      <w:tr w:rsidRPr="00917E22" w:rsidR="00750432" w:rsidTr="00DE3A49" w14:paraId="5B33FD8A" w14:textId="77777777">
        <w:trPr>
          <w:trHeight w:val="236"/>
        </w:trPr>
        <w:tc>
          <w:tcPr>
            <w:tcW w:w="1055" w:type="dxa"/>
            <w:shd w:val="clear" w:color="auto" w:fill="FFFFFF" w:themeFill="background1"/>
          </w:tcPr>
          <w:p w:rsidRPr="00917E22" w:rsidR="00750432" w:rsidP="00CB0CFE" w:rsidRDefault="00750432" w14:paraId="4677751B" w14:textId="77777777">
            <w:pPr>
              <w:tabs>
                <w:tab w:val="left" w:pos="1080"/>
              </w:tabs>
              <w:rPr>
                <w:rFonts w:ascii="Times New Roman" w:hAnsi="Times New Roman"/>
                <w:sz w:val="20"/>
              </w:rPr>
            </w:pPr>
            <w:r w:rsidRPr="00917E22">
              <w:rPr>
                <w:rFonts w:ascii="Times New Roman" w:hAnsi="Times New Roman"/>
                <w:sz w:val="20"/>
              </w:rPr>
              <w:t>44-45</w:t>
            </w:r>
          </w:p>
        </w:tc>
        <w:tc>
          <w:tcPr>
            <w:tcW w:w="3980" w:type="dxa"/>
            <w:shd w:val="clear" w:color="auto" w:fill="FFFFFF" w:themeFill="background1"/>
          </w:tcPr>
          <w:p w:rsidRPr="00917E22" w:rsidR="00750432" w:rsidP="00CB0CFE" w:rsidRDefault="00750432" w14:paraId="6FD45543" w14:textId="77777777">
            <w:pPr>
              <w:tabs>
                <w:tab w:val="left" w:pos="1080"/>
              </w:tabs>
              <w:rPr>
                <w:rFonts w:ascii="Times New Roman" w:hAnsi="Times New Roman"/>
                <w:sz w:val="20"/>
              </w:rPr>
            </w:pPr>
            <w:r w:rsidRPr="00917E22">
              <w:rPr>
                <w:rFonts w:ascii="Times New Roman" w:hAnsi="Times New Roman"/>
                <w:sz w:val="20"/>
              </w:rPr>
              <w:t>Retail Trade</w:t>
            </w:r>
          </w:p>
        </w:tc>
        <w:tc>
          <w:tcPr>
            <w:tcW w:w="1782" w:type="dxa"/>
            <w:shd w:val="clear" w:color="auto" w:fill="FFFFFF" w:themeFill="background1"/>
          </w:tcPr>
          <w:p w:rsidRPr="00917E22" w:rsidR="00750432" w:rsidP="00CB0CFE" w:rsidRDefault="00750432" w14:paraId="3FD7DDFB" w14:textId="77777777">
            <w:pPr>
              <w:tabs>
                <w:tab w:val="left" w:pos="1080"/>
              </w:tabs>
              <w:ind w:left="720" w:hanging="360"/>
              <w:jc w:val="right"/>
              <w:rPr>
                <w:rFonts w:ascii="Times New Roman" w:hAnsi="Times New Roman"/>
                <w:sz w:val="20"/>
              </w:rPr>
            </w:pPr>
            <w:r w:rsidRPr="00917E22">
              <w:rPr>
                <w:rFonts w:ascii="Times New Roman" w:hAnsi="Times New Roman"/>
                <w:sz w:val="20"/>
              </w:rPr>
              <w:t>1,064,087</w:t>
            </w:r>
          </w:p>
        </w:tc>
        <w:tc>
          <w:tcPr>
            <w:tcW w:w="1710" w:type="dxa"/>
            <w:shd w:val="clear" w:color="auto" w:fill="FFFFFF" w:themeFill="background1"/>
            <w:vAlign w:val="bottom"/>
          </w:tcPr>
          <w:p w:rsidRPr="00917E22" w:rsidR="00750432" w:rsidP="00CB0CFE" w:rsidRDefault="00750432" w14:paraId="576BBCBA" w14:textId="77777777">
            <w:pPr>
              <w:tabs>
                <w:tab w:val="left" w:pos="1080"/>
              </w:tabs>
              <w:ind w:left="720" w:hanging="360"/>
              <w:jc w:val="right"/>
              <w:rPr>
                <w:rFonts w:ascii="Times New Roman" w:hAnsi="Times New Roman"/>
                <w:sz w:val="20"/>
              </w:rPr>
            </w:pPr>
            <w:r w:rsidRPr="00917E22">
              <w:rPr>
                <w:rFonts w:ascii="Times New Roman" w:hAnsi="Times New Roman"/>
                <w:sz w:val="20"/>
              </w:rPr>
              <w:t>1,069,000</w:t>
            </w:r>
          </w:p>
        </w:tc>
      </w:tr>
      <w:tr w:rsidRPr="00917E22" w:rsidR="00750432" w:rsidTr="00DE3A49" w14:paraId="24EAA20A" w14:textId="77777777">
        <w:trPr>
          <w:trHeight w:val="236"/>
        </w:trPr>
        <w:tc>
          <w:tcPr>
            <w:tcW w:w="1055" w:type="dxa"/>
            <w:shd w:val="clear" w:color="auto" w:fill="FFFFFF" w:themeFill="background1"/>
          </w:tcPr>
          <w:p w:rsidRPr="00917E22" w:rsidR="00750432" w:rsidP="00CB0CFE" w:rsidRDefault="00750432" w14:paraId="74928C65" w14:textId="77777777">
            <w:pPr>
              <w:tabs>
                <w:tab w:val="left" w:pos="1080"/>
              </w:tabs>
              <w:rPr>
                <w:rFonts w:ascii="Times New Roman" w:hAnsi="Times New Roman"/>
                <w:sz w:val="20"/>
              </w:rPr>
            </w:pPr>
            <w:r w:rsidRPr="00917E22">
              <w:rPr>
                <w:rFonts w:ascii="Times New Roman" w:hAnsi="Times New Roman"/>
                <w:sz w:val="20"/>
              </w:rPr>
              <w:t>48-49</w:t>
            </w:r>
          </w:p>
        </w:tc>
        <w:tc>
          <w:tcPr>
            <w:tcW w:w="3980" w:type="dxa"/>
            <w:shd w:val="clear" w:color="auto" w:fill="FFFFFF" w:themeFill="background1"/>
          </w:tcPr>
          <w:p w:rsidRPr="00917E22" w:rsidR="00750432" w:rsidP="00CB0CFE" w:rsidRDefault="00750432" w14:paraId="3520E2CC" w14:textId="2C8960B4">
            <w:pPr>
              <w:tabs>
                <w:tab w:val="left" w:pos="1080"/>
              </w:tabs>
              <w:rPr>
                <w:rFonts w:ascii="Times New Roman" w:hAnsi="Times New Roman"/>
                <w:sz w:val="20"/>
              </w:rPr>
            </w:pPr>
            <w:r w:rsidRPr="00917E22">
              <w:rPr>
                <w:rFonts w:ascii="Times New Roman" w:hAnsi="Times New Roman"/>
                <w:sz w:val="20"/>
              </w:rPr>
              <w:t xml:space="preserve">Transportation and Warehousing </w:t>
            </w:r>
            <w:r w:rsidRPr="00917E22">
              <w:rPr>
                <w:rFonts w:ascii="Times New Roman" w:hAnsi="Times New Roman"/>
                <w:sz w:val="20"/>
                <w:vertAlign w:val="superscript"/>
              </w:rPr>
              <w:t>(</w:t>
            </w:r>
            <w:r w:rsidR="00645DCD">
              <w:rPr>
                <w:rFonts w:ascii="Times New Roman" w:hAnsi="Times New Roman"/>
                <w:sz w:val="20"/>
                <w:vertAlign w:val="superscript"/>
              </w:rPr>
              <w:t>2</w:t>
            </w:r>
            <w:r w:rsidRPr="00917E22">
              <w:rPr>
                <w:rFonts w:ascii="Times New Roman" w:hAnsi="Times New Roman"/>
                <w:sz w:val="20"/>
                <w:vertAlign w:val="superscript"/>
              </w:rPr>
              <w:t>)</w:t>
            </w:r>
          </w:p>
        </w:tc>
        <w:tc>
          <w:tcPr>
            <w:tcW w:w="1782" w:type="dxa"/>
            <w:shd w:val="clear" w:color="auto" w:fill="FFFFFF" w:themeFill="background1"/>
          </w:tcPr>
          <w:p w:rsidRPr="00917E22" w:rsidR="00750432" w:rsidP="00CB0CFE" w:rsidRDefault="00750432" w14:paraId="49A9795C" w14:textId="77777777">
            <w:pPr>
              <w:tabs>
                <w:tab w:val="left" w:pos="1080"/>
              </w:tabs>
              <w:ind w:left="720" w:hanging="360"/>
              <w:jc w:val="right"/>
              <w:rPr>
                <w:rFonts w:ascii="Times New Roman" w:hAnsi="Times New Roman"/>
                <w:sz w:val="20"/>
              </w:rPr>
            </w:pPr>
            <w:r w:rsidRPr="00917E22">
              <w:rPr>
                <w:rFonts w:ascii="Times New Roman" w:hAnsi="Times New Roman"/>
                <w:sz w:val="20"/>
              </w:rPr>
              <w:t>237,095</w:t>
            </w:r>
          </w:p>
        </w:tc>
        <w:tc>
          <w:tcPr>
            <w:tcW w:w="1710" w:type="dxa"/>
            <w:shd w:val="clear" w:color="auto" w:fill="FFFFFF" w:themeFill="background1"/>
            <w:vAlign w:val="bottom"/>
          </w:tcPr>
          <w:p w:rsidRPr="00917E22" w:rsidR="00750432" w:rsidP="00CB0CFE" w:rsidRDefault="00750432" w14:paraId="05A1A2AE" w14:textId="77777777">
            <w:pPr>
              <w:tabs>
                <w:tab w:val="left" w:pos="1080"/>
              </w:tabs>
              <w:ind w:left="720" w:hanging="360"/>
              <w:jc w:val="right"/>
              <w:rPr>
                <w:rFonts w:ascii="Times New Roman" w:hAnsi="Times New Roman"/>
                <w:sz w:val="20"/>
              </w:rPr>
            </w:pPr>
            <w:r w:rsidRPr="00917E22">
              <w:rPr>
                <w:rFonts w:ascii="Times New Roman" w:hAnsi="Times New Roman"/>
                <w:sz w:val="20"/>
              </w:rPr>
              <w:t>272,000</w:t>
            </w:r>
          </w:p>
        </w:tc>
      </w:tr>
      <w:tr w:rsidRPr="00917E22" w:rsidR="00750432" w:rsidTr="00DE3A49" w14:paraId="5764AC42" w14:textId="77777777">
        <w:trPr>
          <w:trHeight w:val="236"/>
        </w:trPr>
        <w:tc>
          <w:tcPr>
            <w:tcW w:w="1055" w:type="dxa"/>
            <w:shd w:val="clear" w:color="auto" w:fill="FFFFFF" w:themeFill="background1"/>
          </w:tcPr>
          <w:p w:rsidRPr="00917E22" w:rsidR="00750432" w:rsidP="00CB0CFE" w:rsidRDefault="00750432" w14:paraId="58570F48" w14:textId="77777777">
            <w:pPr>
              <w:tabs>
                <w:tab w:val="left" w:pos="1080"/>
              </w:tabs>
              <w:rPr>
                <w:rFonts w:ascii="Times New Roman" w:hAnsi="Times New Roman"/>
                <w:sz w:val="20"/>
              </w:rPr>
            </w:pPr>
            <w:r w:rsidRPr="00917E22">
              <w:rPr>
                <w:rFonts w:ascii="Times New Roman" w:hAnsi="Times New Roman"/>
                <w:sz w:val="20"/>
              </w:rPr>
              <w:t>51</w:t>
            </w:r>
          </w:p>
        </w:tc>
        <w:tc>
          <w:tcPr>
            <w:tcW w:w="3980" w:type="dxa"/>
            <w:shd w:val="clear" w:color="auto" w:fill="FFFFFF" w:themeFill="background1"/>
          </w:tcPr>
          <w:p w:rsidRPr="00917E22" w:rsidR="00750432" w:rsidP="00CB0CFE" w:rsidRDefault="00750432" w14:paraId="1EF21918" w14:textId="77777777">
            <w:pPr>
              <w:tabs>
                <w:tab w:val="left" w:pos="1080"/>
              </w:tabs>
              <w:rPr>
                <w:rFonts w:ascii="Times New Roman" w:hAnsi="Times New Roman"/>
                <w:sz w:val="20"/>
              </w:rPr>
            </w:pPr>
            <w:r w:rsidRPr="00917E22">
              <w:rPr>
                <w:rFonts w:ascii="Times New Roman" w:hAnsi="Times New Roman"/>
                <w:sz w:val="20"/>
              </w:rPr>
              <w:t>Information</w:t>
            </w:r>
          </w:p>
        </w:tc>
        <w:tc>
          <w:tcPr>
            <w:tcW w:w="1782" w:type="dxa"/>
            <w:shd w:val="clear" w:color="auto" w:fill="FFFFFF" w:themeFill="background1"/>
          </w:tcPr>
          <w:p w:rsidRPr="00917E22" w:rsidR="00750432" w:rsidP="00CB0CFE" w:rsidRDefault="00750432" w14:paraId="48B982B0" w14:textId="77777777">
            <w:pPr>
              <w:tabs>
                <w:tab w:val="left" w:pos="1080"/>
              </w:tabs>
              <w:ind w:left="720" w:hanging="360"/>
              <w:jc w:val="right"/>
              <w:rPr>
                <w:rFonts w:ascii="Times New Roman" w:hAnsi="Times New Roman"/>
                <w:sz w:val="20"/>
              </w:rPr>
            </w:pPr>
            <w:r w:rsidRPr="00917E22">
              <w:rPr>
                <w:rFonts w:ascii="Times New Roman" w:hAnsi="Times New Roman"/>
                <w:sz w:val="20"/>
              </w:rPr>
              <w:t>153,928</w:t>
            </w:r>
          </w:p>
        </w:tc>
        <w:tc>
          <w:tcPr>
            <w:tcW w:w="1710" w:type="dxa"/>
            <w:shd w:val="clear" w:color="auto" w:fill="FFFFFF" w:themeFill="background1"/>
            <w:vAlign w:val="bottom"/>
          </w:tcPr>
          <w:p w:rsidRPr="00917E22" w:rsidR="00750432" w:rsidP="00CB0CFE" w:rsidRDefault="00750432" w14:paraId="0FD77308" w14:textId="77777777">
            <w:pPr>
              <w:tabs>
                <w:tab w:val="left" w:pos="1080"/>
              </w:tabs>
              <w:ind w:left="720" w:hanging="360"/>
              <w:jc w:val="right"/>
              <w:rPr>
                <w:rFonts w:ascii="Times New Roman" w:hAnsi="Times New Roman"/>
                <w:sz w:val="20"/>
              </w:rPr>
            </w:pPr>
            <w:r w:rsidRPr="00917E22">
              <w:rPr>
                <w:rFonts w:ascii="Times New Roman" w:hAnsi="Times New Roman"/>
                <w:sz w:val="20"/>
              </w:rPr>
              <w:t>164,794</w:t>
            </w:r>
          </w:p>
        </w:tc>
      </w:tr>
      <w:tr w:rsidRPr="00917E22" w:rsidR="00750432" w:rsidTr="00DE3A49" w14:paraId="31828523" w14:textId="77777777">
        <w:trPr>
          <w:trHeight w:val="236"/>
        </w:trPr>
        <w:tc>
          <w:tcPr>
            <w:tcW w:w="1055" w:type="dxa"/>
            <w:shd w:val="clear" w:color="auto" w:fill="FFFFFF" w:themeFill="background1"/>
          </w:tcPr>
          <w:p w:rsidRPr="00917E22" w:rsidR="00750432" w:rsidP="00CB0CFE" w:rsidRDefault="00750432" w14:paraId="4C313C36" w14:textId="77777777">
            <w:pPr>
              <w:tabs>
                <w:tab w:val="left" w:pos="1080"/>
              </w:tabs>
              <w:rPr>
                <w:rFonts w:ascii="Times New Roman" w:hAnsi="Times New Roman"/>
                <w:sz w:val="20"/>
              </w:rPr>
            </w:pPr>
            <w:r w:rsidRPr="00917E22">
              <w:rPr>
                <w:rFonts w:ascii="Times New Roman" w:hAnsi="Times New Roman"/>
                <w:sz w:val="20"/>
              </w:rPr>
              <w:t>52</w:t>
            </w:r>
          </w:p>
        </w:tc>
        <w:tc>
          <w:tcPr>
            <w:tcW w:w="3980" w:type="dxa"/>
            <w:shd w:val="clear" w:color="auto" w:fill="FFFFFF" w:themeFill="background1"/>
          </w:tcPr>
          <w:p w:rsidRPr="00917E22" w:rsidR="00750432" w:rsidP="00CB0CFE" w:rsidRDefault="00750432" w14:paraId="17DFD476" w14:textId="77777777">
            <w:pPr>
              <w:tabs>
                <w:tab w:val="left" w:pos="1080"/>
              </w:tabs>
              <w:rPr>
                <w:rFonts w:ascii="Times New Roman" w:hAnsi="Times New Roman"/>
                <w:sz w:val="20"/>
              </w:rPr>
            </w:pPr>
            <w:r w:rsidRPr="00917E22">
              <w:rPr>
                <w:rFonts w:ascii="Times New Roman" w:hAnsi="Times New Roman"/>
                <w:sz w:val="20"/>
              </w:rPr>
              <w:t>Finance and Insurance</w:t>
            </w:r>
          </w:p>
        </w:tc>
        <w:tc>
          <w:tcPr>
            <w:tcW w:w="1782" w:type="dxa"/>
            <w:shd w:val="clear" w:color="auto" w:fill="FFFFFF" w:themeFill="background1"/>
          </w:tcPr>
          <w:p w:rsidRPr="00917E22" w:rsidR="00750432" w:rsidP="00CB0CFE" w:rsidRDefault="00750432" w14:paraId="00E67B7A" w14:textId="77777777">
            <w:pPr>
              <w:tabs>
                <w:tab w:val="left" w:pos="1080"/>
              </w:tabs>
              <w:ind w:left="720" w:hanging="360"/>
              <w:jc w:val="right"/>
              <w:rPr>
                <w:rFonts w:ascii="Times New Roman" w:hAnsi="Times New Roman"/>
                <w:sz w:val="20"/>
              </w:rPr>
            </w:pPr>
            <w:r w:rsidRPr="00917E22">
              <w:rPr>
                <w:rFonts w:ascii="Times New Roman" w:hAnsi="Times New Roman"/>
                <w:sz w:val="20"/>
              </w:rPr>
              <w:t>475,780</w:t>
            </w:r>
          </w:p>
        </w:tc>
        <w:tc>
          <w:tcPr>
            <w:tcW w:w="1710" w:type="dxa"/>
            <w:shd w:val="clear" w:color="auto" w:fill="FFFFFF" w:themeFill="background1"/>
            <w:vAlign w:val="bottom"/>
          </w:tcPr>
          <w:p w:rsidRPr="00917E22" w:rsidR="00750432" w:rsidP="00CB0CFE" w:rsidRDefault="00750432" w14:paraId="251BAB2C" w14:textId="77777777">
            <w:pPr>
              <w:tabs>
                <w:tab w:val="left" w:pos="1080"/>
              </w:tabs>
              <w:ind w:left="720" w:hanging="360"/>
              <w:jc w:val="right"/>
              <w:rPr>
                <w:rFonts w:ascii="Times New Roman" w:hAnsi="Times New Roman"/>
                <w:sz w:val="20"/>
              </w:rPr>
            </w:pPr>
            <w:r w:rsidRPr="00917E22">
              <w:rPr>
                <w:rFonts w:ascii="Times New Roman" w:hAnsi="Times New Roman"/>
                <w:sz w:val="20"/>
              </w:rPr>
              <w:t>496,000</w:t>
            </w:r>
          </w:p>
        </w:tc>
      </w:tr>
      <w:tr w:rsidRPr="00917E22" w:rsidR="00750432" w:rsidTr="00DE3A49" w14:paraId="188AF8EB" w14:textId="77777777">
        <w:trPr>
          <w:trHeight w:val="224"/>
        </w:trPr>
        <w:tc>
          <w:tcPr>
            <w:tcW w:w="1055" w:type="dxa"/>
            <w:shd w:val="clear" w:color="auto" w:fill="FFFFFF" w:themeFill="background1"/>
          </w:tcPr>
          <w:p w:rsidRPr="00917E22" w:rsidR="00750432" w:rsidP="00CB0CFE" w:rsidRDefault="00750432" w14:paraId="773A5FFF" w14:textId="77777777">
            <w:pPr>
              <w:tabs>
                <w:tab w:val="left" w:pos="1080"/>
              </w:tabs>
              <w:rPr>
                <w:rFonts w:ascii="Times New Roman" w:hAnsi="Times New Roman"/>
                <w:sz w:val="20"/>
              </w:rPr>
            </w:pPr>
            <w:r w:rsidRPr="00917E22">
              <w:rPr>
                <w:rFonts w:ascii="Times New Roman" w:hAnsi="Times New Roman"/>
                <w:sz w:val="20"/>
              </w:rPr>
              <w:t>53</w:t>
            </w:r>
          </w:p>
        </w:tc>
        <w:tc>
          <w:tcPr>
            <w:tcW w:w="3980" w:type="dxa"/>
            <w:shd w:val="clear" w:color="auto" w:fill="FFFFFF" w:themeFill="background1"/>
          </w:tcPr>
          <w:p w:rsidRPr="00917E22" w:rsidR="00750432" w:rsidP="00CB0CFE" w:rsidRDefault="00750432" w14:paraId="1581BEC0" w14:textId="611B03F7">
            <w:pPr>
              <w:tabs>
                <w:tab w:val="left" w:pos="1080"/>
              </w:tabs>
              <w:rPr>
                <w:rFonts w:ascii="Times New Roman" w:hAnsi="Times New Roman"/>
                <w:sz w:val="20"/>
              </w:rPr>
            </w:pPr>
            <w:r w:rsidRPr="00917E22">
              <w:rPr>
                <w:rFonts w:ascii="Times New Roman" w:hAnsi="Times New Roman"/>
                <w:sz w:val="20"/>
              </w:rPr>
              <w:t xml:space="preserve">Real Estate and Rental and Leasing </w:t>
            </w:r>
            <w:r w:rsidRPr="00917E22">
              <w:rPr>
                <w:rFonts w:ascii="Times New Roman" w:hAnsi="Times New Roman"/>
                <w:sz w:val="20"/>
                <w:vertAlign w:val="superscript"/>
              </w:rPr>
              <w:t>(</w:t>
            </w:r>
            <w:r w:rsidR="00645DCD">
              <w:rPr>
                <w:rFonts w:ascii="Times New Roman" w:hAnsi="Times New Roman"/>
                <w:sz w:val="20"/>
                <w:vertAlign w:val="superscript"/>
              </w:rPr>
              <w:t>2</w:t>
            </w:r>
            <w:r w:rsidRPr="00917E22">
              <w:rPr>
                <w:rFonts w:ascii="Times New Roman" w:hAnsi="Times New Roman"/>
                <w:sz w:val="20"/>
                <w:vertAlign w:val="superscript"/>
              </w:rPr>
              <w:t>)</w:t>
            </w:r>
          </w:p>
        </w:tc>
        <w:tc>
          <w:tcPr>
            <w:tcW w:w="1782" w:type="dxa"/>
            <w:shd w:val="clear" w:color="auto" w:fill="FFFFFF" w:themeFill="background1"/>
          </w:tcPr>
          <w:p w:rsidRPr="00917E22" w:rsidR="00750432" w:rsidP="00CB0CFE" w:rsidRDefault="00750432" w14:paraId="2D7F866C" w14:textId="77777777">
            <w:pPr>
              <w:tabs>
                <w:tab w:val="left" w:pos="1080"/>
              </w:tabs>
              <w:ind w:left="720" w:hanging="360"/>
              <w:jc w:val="right"/>
              <w:rPr>
                <w:rFonts w:ascii="Times New Roman" w:hAnsi="Times New Roman"/>
                <w:sz w:val="20"/>
              </w:rPr>
            </w:pPr>
            <w:r w:rsidRPr="00917E22">
              <w:rPr>
                <w:rFonts w:ascii="Times New Roman" w:hAnsi="Times New Roman"/>
                <w:sz w:val="20"/>
              </w:rPr>
              <w:t>410,820</w:t>
            </w:r>
          </w:p>
        </w:tc>
        <w:tc>
          <w:tcPr>
            <w:tcW w:w="1710" w:type="dxa"/>
            <w:shd w:val="clear" w:color="auto" w:fill="FFFFFF" w:themeFill="background1"/>
            <w:vAlign w:val="bottom"/>
          </w:tcPr>
          <w:p w:rsidRPr="00917E22" w:rsidR="00750432" w:rsidP="00CB0CFE" w:rsidRDefault="00750432" w14:paraId="10549955" w14:textId="77777777">
            <w:pPr>
              <w:tabs>
                <w:tab w:val="left" w:pos="1080"/>
              </w:tabs>
              <w:ind w:left="720" w:hanging="360"/>
              <w:jc w:val="right"/>
              <w:rPr>
                <w:rFonts w:ascii="Times New Roman" w:hAnsi="Times New Roman"/>
                <w:sz w:val="20"/>
              </w:rPr>
            </w:pPr>
            <w:r w:rsidRPr="00917E22">
              <w:rPr>
                <w:rFonts w:ascii="Times New Roman" w:hAnsi="Times New Roman"/>
                <w:sz w:val="20"/>
              </w:rPr>
              <w:t>462,000</w:t>
            </w:r>
          </w:p>
        </w:tc>
      </w:tr>
      <w:tr w:rsidRPr="00917E22" w:rsidR="00750432" w:rsidTr="00DE3A49" w14:paraId="7A8972C8" w14:textId="77777777">
        <w:trPr>
          <w:trHeight w:val="236"/>
        </w:trPr>
        <w:tc>
          <w:tcPr>
            <w:tcW w:w="1055" w:type="dxa"/>
            <w:shd w:val="clear" w:color="auto" w:fill="FFFFFF" w:themeFill="background1"/>
          </w:tcPr>
          <w:p w:rsidRPr="00917E22" w:rsidR="00750432" w:rsidP="00CB0CFE" w:rsidRDefault="00750432" w14:paraId="267C1B33" w14:textId="77777777">
            <w:pPr>
              <w:tabs>
                <w:tab w:val="left" w:pos="1080"/>
              </w:tabs>
              <w:rPr>
                <w:rFonts w:ascii="Times New Roman" w:hAnsi="Times New Roman"/>
                <w:sz w:val="20"/>
              </w:rPr>
            </w:pPr>
            <w:r w:rsidRPr="00917E22">
              <w:rPr>
                <w:rFonts w:ascii="Times New Roman" w:hAnsi="Times New Roman"/>
                <w:sz w:val="20"/>
              </w:rPr>
              <w:t>54</w:t>
            </w:r>
          </w:p>
        </w:tc>
        <w:tc>
          <w:tcPr>
            <w:tcW w:w="3980" w:type="dxa"/>
            <w:shd w:val="clear" w:color="auto" w:fill="FFFFFF" w:themeFill="background1"/>
          </w:tcPr>
          <w:p w:rsidRPr="00917E22" w:rsidR="00750432" w:rsidP="00CB0CFE" w:rsidRDefault="00750432" w14:paraId="022C467A" w14:textId="77777777">
            <w:pPr>
              <w:tabs>
                <w:tab w:val="left" w:pos="1080"/>
              </w:tabs>
              <w:rPr>
                <w:rFonts w:ascii="Times New Roman" w:hAnsi="Times New Roman"/>
                <w:sz w:val="20"/>
              </w:rPr>
            </w:pPr>
            <w:r w:rsidRPr="00917E22">
              <w:rPr>
                <w:rFonts w:ascii="Times New Roman" w:hAnsi="Times New Roman"/>
                <w:sz w:val="20"/>
              </w:rPr>
              <w:t>Professional, Scientific and Technical Services</w:t>
            </w:r>
          </w:p>
        </w:tc>
        <w:tc>
          <w:tcPr>
            <w:tcW w:w="1782" w:type="dxa"/>
            <w:shd w:val="clear" w:color="auto" w:fill="FFFFFF" w:themeFill="background1"/>
          </w:tcPr>
          <w:p w:rsidRPr="00917E22" w:rsidR="00750432" w:rsidP="00CB0CFE" w:rsidRDefault="00750432" w14:paraId="77986CB7" w14:textId="77777777">
            <w:pPr>
              <w:tabs>
                <w:tab w:val="left" w:pos="1080"/>
              </w:tabs>
              <w:ind w:left="720" w:hanging="360"/>
              <w:jc w:val="right"/>
              <w:rPr>
                <w:rFonts w:ascii="Times New Roman" w:hAnsi="Times New Roman"/>
                <w:sz w:val="20"/>
              </w:rPr>
            </w:pPr>
            <w:r w:rsidRPr="00917E22">
              <w:rPr>
                <w:rFonts w:ascii="Times New Roman" w:hAnsi="Times New Roman"/>
                <w:sz w:val="20"/>
              </w:rPr>
              <w:t>913,624</w:t>
            </w:r>
          </w:p>
        </w:tc>
        <w:tc>
          <w:tcPr>
            <w:tcW w:w="1710" w:type="dxa"/>
            <w:shd w:val="clear" w:color="auto" w:fill="FFFFFF" w:themeFill="background1"/>
            <w:vAlign w:val="bottom"/>
          </w:tcPr>
          <w:p w:rsidRPr="00917E22" w:rsidR="00750432" w:rsidP="00CB0CFE" w:rsidRDefault="00750432" w14:paraId="2D8FA3BE" w14:textId="77777777">
            <w:pPr>
              <w:tabs>
                <w:tab w:val="left" w:pos="1080"/>
              </w:tabs>
              <w:ind w:left="720" w:hanging="360"/>
              <w:jc w:val="right"/>
              <w:rPr>
                <w:rFonts w:ascii="Times New Roman" w:hAnsi="Times New Roman"/>
                <w:sz w:val="20"/>
              </w:rPr>
            </w:pPr>
            <w:r w:rsidRPr="00917E22">
              <w:rPr>
                <w:rFonts w:ascii="Times New Roman" w:hAnsi="Times New Roman"/>
                <w:sz w:val="20"/>
              </w:rPr>
              <w:t>1,002,000</w:t>
            </w:r>
          </w:p>
        </w:tc>
      </w:tr>
      <w:tr w:rsidRPr="00917E22" w:rsidR="00750432" w:rsidTr="00DE3A49" w14:paraId="0CB503D4" w14:textId="77777777">
        <w:trPr>
          <w:trHeight w:val="236"/>
        </w:trPr>
        <w:tc>
          <w:tcPr>
            <w:tcW w:w="1055" w:type="dxa"/>
            <w:shd w:val="clear" w:color="auto" w:fill="FFFFFF" w:themeFill="background1"/>
          </w:tcPr>
          <w:p w:rsidRPr="00917E22" w:rsidR="00750432" w:rsidP="00CB0CFE" w:rsidRDefault="00750432" w14:paraId="06055CCB" w14:textId="77777777">
            <w:pPr>
              <w:tabs>
                <w:tab w:val="left" w:pos="1080"/>
              </w:tabs>
              <w:rPr>
                <w:rFonts w:ascii="Times New Roman" w:hAnsi="Times New Roman"/>
                <w:sz w:val="20"/>
              </w:rPr>
            </w:pPr>
            <w:r w:rsidRPr="00917E22">
              <w:rPr>
                <w:rFonts w:ascii="Times New Roman" w:hAnsi="Times New Roman"/>
                <w:sz w:val="20"/>
              </w:rPr>
              <w:t>55</w:t>
            </w:r>
          </w:p>
        </w:tc>
        <w:tc>
          <w:tcPr>
            <w:tcW w:w="3980" w:type="dxa"/>
            <w:shd w:val="clear" w:color="auto" w:fill="FFFFFF" w:themeFill="background1"/>
          </w:tcPr>
          <w:p w:rsidRPr="00917E22" w:rsidR="00750432" w:rsidP="00CB0CFE" w:rsidRDefault="00750432" w14:paraId="16C58E39" w14:textId="77777777">
            <w:pPr>
              <w:tabs>
                <w:tab w:val="left" w:pos="1080"/>
              </w:tabs>
              <w:rPr>
                <w:rFonts w:ascii="Times New Roman" w:hAnsi="Times New Roman"/>
                <w:sz w:val="20"/>
              </w:rPr>
            </w:pPr>
            <w:r w:rsidRPr="00917E22">
              <w:rPr>
                <w:rFonts w:ascii="Times New Roman" w:hAnsi="Times New Roman"/>
                <w:sz w:val="20"/>
              </w:rPr>
              <w:t>Management of Companies and Enterprises</w:t>
            </w:r>
          </w:p>
        </w:tc>
        <w:tc>
          <w:tcPr>
            <w:tcW w:w="1782" w:type="dxa"/>
            <w:shd w:val="clear" w:color="auto" w:fill="FFFFFF" w:themeFill="background1"/>
          </w:tcPr>
          <w:p w:rsidRPr="00917E22" w:rsidR="00750432" w:rsidP="00CB0CFE" w:rsidRDefault="00750432" w14:paraId="33EDD635" w14:textId="77777777">
            <w:pPr>
              <w:tabs>
                <w:tab w:val="left" w:pos="1080"/>
              </w:tabs>
              <w:ind w:left="720" w:hanging="360"/>
              <w:jc w:val="right"/>
              <w:rPr>
                <w:rFonts w:ascii="Times New Roman" w:hAnsi="Times New Roman"/>
                <w:sz w:val="20"/>
              </w:rPr>
            </w:pPr>
            <w:r w:rsidRPr="00917E22">
              <w:rPr>
                <w:rFonts w:ascii="Times New Roman" w:hAnsi="Times New Roman"/>
                <w:sz w:val="20"/>
              </w:rPr>
              <w:t>59,224</w:t>
            </w:r>
          </w:p>
        </w:tc>
        <w:tc>
          <w:tcPr>
            <w:tcW w:w="1710" w:type="dxa"/>
            <w:shd w:val="clear" w:color="auto" w:fill="FFFFFF" w:themeFill="background1"/>
            <w:vAlign w:val="bottom"/>
          </w:tcPr>
          <w:p w:rsidRPr="00917E22" w:rsidR="00750432" w:rsidP="00CB0CFE" w:rsidRDefault="00750432" w14:paraId="463F7D41" w14:textId="77777777">
            <w:pPr>
              <w:tabs>
                <w:tab w:val="left" w:pos="1080"/>
              </w:tabs>
              <w:ind w:left="720" w:hanging="360"/>
              <w:jc w:val="right"/>
              <w:rPr>
                <w:rFonts w:ascii="Times New Roman" w:hAnsi="Times New Roman"/>
                <w:sz w:val="20"/>
              </w:rPr>
            </w:pPr>
            <w:r w:rsidRPr="00917E22">
              <w:rPr>
                <w:rFonts w:ascii="Times New Roman" w:hAnsi="Times New Roman"/>
                <w:sz w:val="20"/>
              </w:rPr>
              <w:t>69,500</w:t>
            </w:r>
          </w:p>
        </w:tc>
      </w:tr>
      <w:tr w:rsidRPr="00917E22" w:rsidR="00750432" w:rsidTr="00DE3A49" w14:paraId="42FAB8AA" w14:textId="77777777">
        <w:trPr>
          <w:trHeight w:val="473"/>
        </w:trPr>
        <w:tc>
          <w:tcPr>
            <w:tcW w:w="1055" w:type="dxa"/>
            <w:shd w:val="clear" w:color="auto" w:fill="FFFFFF" w:themeFill="background1"/>
          </w:tcPr>
          <w:p w:rsidRPr="00917E22" w:rsidR="00750432" w:rsidP="00CB0CFE" w:rsidRDefault="00750432" w14:paraId="17608DFF" w14:textId="77777777">
            <w:pPr>
              <w:tabs>
                <w:tab w:val="left" w:pos="1080"/>
              </w:tabs>
              <w:rPr>
                <w:rFonts w:ascii="Times New Roman" w:hAnsi="Times New Roman"/>
                <w:sz w:val="20"/>
              </w:rPr>
            </w:pPr>
          </w:p>
          <w:p w:rsidRPr="00917E22" w:rsidR="00750432" w:rsidP="00CB0CFE" w:rsidRDefault="00750432" w14:paraId="6E342908" w14:textId="77777777">
            <w:pPr>
              <w:tabs>
                <w:tab w:val="left" w:pos="1080"/>
              </w:tabs>
              <w:rPr>
                <w:rFonts w:ascii="Times New Roman" w:hAnsi="Times New Roman"/>
                <w:sz w:val="20"/>
              </w:rPr>
            </w:pPr>
            <w:r w:rsidRPr="00917E22">
              <w:rPr>
                <w:rFonts w:ascii="Times New Roman" w:hAnsi="Times New Roman"/>
                <w:sz w:val="20"/>
              </w:rPr>
              <w:t>56</w:t>
            </w:r>
          </w:p>
        </w:tc>
        <w:tc>
          <w:tcPr>
            <w:tcW w:w="3980" w:type="dxa"/>
            <w:shd w:val="clear" w:color="auto" w:fill="FFFFFF" w:themeFill="background1"/>
          </w:tcPr>
          <w:p w:rsidRPr="00917E22" w:rsidR="00750432" w:rsidP="00CB0CFE" w:rsidRDefault="00750432" w14:paraId="6216F6FD" w14:textId="77777777">
            <w:pPr>
              <w:tabs>
                <w:tab w:val="left" w:pos="1080"/>
              </w:tabs>
              <w:rPr>
                <w:rFonts w:ascii="Times New Roman" w:hAnsi="Times New Roman"/>
                <w:sz w:val="20"/>
              </w:rPr>
            </w:pPr>
            <w:r w:rsidRPr="00917E22">
              <w:rPr>
                <w:rFonts w:ascii="Times New Roman" w:hAnsi="Times New Roman"/>
                <w:sz w:val="20"/>
              </w:rPr>
              <w:t>Administrative &amp; Support and Waste Management &amp; Remediation</w:t>
            </w:r>
          </w:p>
        </w:tc>
        <w:tc>
          <w:tcPr>
            <w:tcW w:w="1782" w:type="dxa"/>
            <w:shd w:val="clear" w:color="auto" w:fill="FFFFFF" w:themeFill="background1"/>
          </w:tcPr>
          <w:p w:rsidRPr="00917E22" w:rsidR="00750432" w:rsidP="00CB0CFE" w:rsidRDefault="00750432" w14:paraId="260E3515" w14:textId="77777777">
            <w:pPr>
              <w:tabs>
                <w:tab w:val="left" w:pos="1080"/>
              </w:tabs>
              <w:ind w:left="720" w:hanging="360"/>
              <w:jc w:val="right"/>
              <w:rPr>
                <w:rFonts w:ascii="Times New Roman" w:hAnsi="Times New Roman"/>
                <w:sz w:val="20"/>
              </w:rPr>
            </w:pPr>
          </w:p>
          <w:p w:rsidRPr="00917E22" w:rsidR="00750432" w:rsidP="00CB0CFE" w:rsidRDefault="00750432" w14:paraId="0A17330F" w14:textId="77777777">
            <w:pPr>
              <w:tabs>
                <w:tab w:val="left" w:pos="1080"/>
              </w:tabs>
              <w:ind w:left="720" w:hanging="360"/>
              <w:jc w:val="right"/>
              <w:rPr>
                <w:rFonts w:ascii="Times New Roman" w:hAnsi="Times New Roman"/>
                <w:sz w:val="20"/>
              </w:rPr>
            </w:pPr>
            <w:r w:rsidRPr="00917E22">
              <w:rPr>
                <w:rFonts w:ascii="Times New Roman" w:hAnsi="Times New Roman"/>
                <w:sz w:val="20"/>
              </w:rPr>
              <w:t>417,259</w:t>
            </w:r>
          </w:p>
        </w:tc>
        <w:tc>
          <w:tcPr>
            <w:tcW w:w="1710" w:type="dxa"/>
            <w:shd w:val="clear" w:color="auto" w:fill="FFFFFF" w:themeFill="background1"/>
            <w:vAlign w:val="bottom"/>
          </w:tcPr>
          <w:p w:rsidRPr="00917E22" w:rsidR="00750432" w:rsidP="00CB0CFE" w:rsidRDefault="00750432" w14:paraId="370E846A" w14:textId="77777777">
            <w:pPr>
              <w:tabs>
                <w:tab w:val="left" w:pos="1080"/>
              </w:tabs>
              <w:ind w:left="720" w:hanging="360"/>
              <w:jc w:val="right"/>
              <w:rPr>
                <w:rFonts w:ascii="Times New Roman" w:hAnsi="Times New Roman"/>
                <w:sz w:val="20"/>
              </w:rPr>
            </w:pPr>
            <w:r w:rsidRPr="00917E22">
              <w:rPr>
                <w:rFonts w:ascii="Times New Roman" w:hAnsi="Times New Roman"/>
                <w:sz w:val="20"/>
              </w:rPr>
              <w:t>444,000</w:t>
            </w:r>
          </w:p>
        </w:tc>
      </w:tr>
      <w:tr w:rsidRPr="00917E22" w:rsidR="00750432" w:rsidTr="00DE3A49" w14:paraId="52C7962A" w14:textId="77777777">
        <w:trPr>
          <w:trHeight w:val="236"/>
        </w:trPr>
        <w:tc>
          <w:tcPr>
            <w:tcW w:w="1055" w:type="dxa"/>
            <w:shd w:val="clear" w:color="auto" w:fill="FFFFFF" w:themeFill="background1"/>
          </w:tcPr>
          <w:p w:rsidRPr="00917E22" w:rsidR="00750432" w:rsidP="00CB0CFE" w:rsidRDefault="00750432" w14:paraId="278B29A7" w14:textId="77777777">
            <w:pPr>
              <w:tabs>
                <w:tab w:val="left" w:pos="1080"/>
              </w:tabs>
              <w:rPr>
                <w:rFonts w:ascii="Times New Roman" w:hAnsi="Times New Roman"/>
                <w:sz w:val="20"/>
              </w:rPr>
            </w:pPr>
            <w:r w:rsidRPr="00917E22">
              <w:rPr>
                <w:rFonts w:ascii="Times New Roman" w:hAnsi="Times New Roman"/>
                <w:sz w:val="20"/>
              </w:rPr>
              <w:t>61</w:t>
            </w:r>
          </w:p>
        </w:tc>
        <w:tc>
          <w:tcPr>
            <w:tcW w:w="3980" w:type="dxa"/>
            <w:shd w:val="clear" w:color="auto" w:fill="FFFFFF" w:themeFill="background1"/>
          </w:tcPr>
          <w:p w:rsidRPr="00917E22" w:rsidR="00750432" w:rsidP="00CB0CFE" w:rsidRDefault="00750432" w14:paraId="20C9A19E" w14:textId="4FD93271">
            <w:pPr>
              <w:tabs>
                <w:tab w:val="left" w:pos="1080"/>
              </w:tabs>
              <w:rPr>
                <w:rFonts w:ascii="Times New Roman" w:hAnsi="Times New Roman"/>
                <w:sz w:val="20"/>
              </w:rPr>
            </w:pPr>
            <w:r w:rsidRPr="00917E22">
              <w:rPr>
                <w:rFonts w:ascii="Times New Roman" w:hAnsi="Times New Roman"/>
                <w:sz w:val="20"/>
              </w:rPr>
              <w:t xml:space="preserve">Education Services </w:t>
            </w:r>
            <w:r w:rsidRPr="00917E22">
              <w:rPr>
                <w:rFonts w:ascii="Times New Roman" w:hAnsi="Times New Roman"/>
                <w:sz w:val="20"/>
                <w:vertAlign w:val="superscript"/>
              </w:rPr>
              <w:t>(</w:t>
            </w:r>
            <w:r w:rsidR="00645DCD">
              <w:rPr>
                <w:rFonts w:ascii="Times New Roman" w:hAnsi="Times New Roman"/>
                <w:sz w:val="20"/>
                <w:vertAlign w:val="superscript"/>
              </w:rPr>
              <w:t>2</w:t>
            </w:r>
            <w:r w:rsidRPr="00917E22">
              <w:rPr>
                <w:rFonts w:ascii="Times New Roman" w:hAnsi="Times New Roman"/>
                <w:sz w:val="20"/>
                <w:vertAlign w:val="superscript"/>
              </w:rPr>
              <w:t>)</w:t>
            </w:r>
          </w:p>
        </w:tc>
        <w:tc>
          <w:tcPr>
            <w:tcW w:w="1782" w:type="dxa"/>
            <w:shd w:val="clear" w:color="auto" w:fill="FFFFFF" w:themeFill="background1"/>
          </w:tcPr>
          <w:p w:rsidRPr="00917E22" w:rsidR="00750432" w:rsidP="00CB0CFE" w:rsidRDefault="00750432" w14:paraId="7249FBD8" w14:textId="77777777">
            <w:pPr>
              <w:tabs>
                <w:tab w:val="left" w:pos="1080"/>
              </w:tabs>
              <w:ind w:left="720" w:hanging="360"/>
              <w:jc w:val="right"/>
              <w:rPr>
                <w:rFonts w:ascii="Times New Roman" w:hAnsi="Times New Roman"/>
                <w:sz w:val="20"/>
              </w:rPr>
            </w:pPr>
            <w:r w:rsidRPr="00917E22">
              <w:rPr>
                <w:rFonts w:ascii="Times New Roman" w:hAnsi="Times New Roman"/>
                <w:sz w:val="20"/>
              </w:rPr>
              <w:t>77,334</w:t>
            </w:r>
          </w:p>
        </w:tc>
        <w:tc>
          <w:tcPr>
            <w:tcW w:w="1710" w:type="dxa"/>
            <w:shd w:val="clear" w:color="auto" w:fill="FFFFFF" w:themeFill="background1"/>
            <w:vAlign w:val="bottom"/>
          </w:tcPr>
          <w:p w:rsidRPr="00917E22" w:rsidR="00750432" w:rsidP="00CB0CFE" w:rsidRDefault="00750432" w14:paraId="1B4F7852" w14:textId="77777777">
            <w:pPr>
              <w:tabs>
                <w:tab w:val="left" w:pos="1080"/>
              </w:tabs>
              <w:ind w:left="720" w:hanging="360"/>
              <w:jc w:val="right"/>
              <w:rPr>
                <w:rFonts w:ascii="Times New Roman" w:hAnsi="Times New Roman"/>
                <w:sz w:val="20"/>
              </w:rPr>
            </w:pPr>
            <w:r w:rsidRPr="00917E22">
              <w:rPr>
                <w:rFonts w:ascii="Times New Roman" w:hAnsi="Times New Roman"/>
                <w:sz w:val="20"/>
              </w:rPr>
              <w:t>88,000</w:t>
            </w:r>
          </w:p>
        </w:tc>
      </w:tr>
      <w:tr w:rsidRPr="00917E22" w:rsidR="00750432" w:rsidTr="00DE3A49" w14:paraId="2EC237D6" w14:textId="77777777">
        <w:trPr>
          <w:trHeight w:val="224"/>
        </w:trPr>
        <w:tc>
          <w:tcPr>
            <w:tcW w:w="1055" w:type="dxa"/>
            <w:shd w:val="clear" w:color="auto" w:fill="FFFFFF" w:themeFill="background1"/>
          </w:tcPr>
          <w:p w:rsidRPr="00917E22" w:rsidR="00750432" w:rsidP="00CB0CFE" w:rsidRDefault="00750432" w14:paraId="4DD8A1D3" w14:textId="77777777">
            <w:pPr>
              <w:tabs>
                <w:tab w:val="left" w:pos="1080"/>
              </w:tabs>
              <w:rPr>
                <w:rFonts w:ascii="Times New Roman" w:hAnsi="Times New Roman"/>
                <w:sz w:val="20"/>
              </w:rPr>
            </w:pPr>
            <w:r w:rsidRPr="00917E22">
              <w:rPr>
                <w:rFonts w:ascii="Times New Roman" w:hAnsi="Times New Roman"/>
                <w:sz w:val="20"/>
              </w:rPr>
              <w:t>62</w:t>
            </w:r>
          </w:p>
        </w:tc>
        <w:tc>
          <w:tcPr>
            <w:tcW w:w="3980" w:type="dxa"/>
            <w:shd w:val="clear" w:color="auto" w:fill="FFFFFF" w:themeFill="background1"/>
          </w:tcPr>
          <w:p w:rsidRPr="00917E22" w:rsidR="00750432" w:rsidP="00CB0CFE" w:rsidRDefault="00750432" w14:paraId="0AC4E9F5" w14:textId="77777777">
            <w:pPr>
              <w:tabs>
                <w:tab w:val="left" w:pos="1080"/>
              </w:tabs>
              <w:rPr>
                <w:rFonts w:ascii="Times New Roman" w:hAnsi="Times New Roman"/>
                <w:sz w:val="20"/>
              </w:rPr>
            </w:pPr>
            <w:r w:rsidRPr="00917E22">
              <w:rPr>
                <w:rFonts w:ascii="Times New Roman" w:hAnsi="Times New Roman"/>
                <w:sz w:val="20"/>
              </w:rPr>
              <w:t>Health Care and Social Assistance</w:t>
            </w:r>
          </w:p>
        </w:tc>
        <w:tc>
          <w:tcPr>
            <w:tcW w:w="1782" w:type="dxa"/>
            <w:shd w:val="clear" w:color="auto" w:fill="FFFFFF" w:themeFill="background1"/>
          </w:tcPr>
          <w:p w:rsidRPr="00917E22" w:rsidR="00750432" w:rsidP="00CB0CFE" w:rsidRDefault="00750432" w14:paraId="3F50085D" w14:textId="77777777">
            <w:pPr>
              <w:tabs>
                <w:tab w:val="left" w:pos="1080"/>
              </w:tabs>
              <w:ind w:left="720" w:hanging="360"/>
              <w:jc w:val="right"/>
              <w:rPr>
                <w:rFonts w:ascii="Times New Roman" w:hAnsi="Times New Roman"/>
                <w:sz w:val="20"/>
              </w:rPr>
            </w:pPr>
            <w:r w:rsidRPr="00917E22">
              <w:rPr>
                <w:rFonts w:ascii="Times New Roman" w:hAnsi="Times New Roman"/>
                <w:sz w:val="20"/>
              </w:rPr>
              <w:t>892,245</w:t>
            </w:r>
          </w:p>
        </w:tc>
        <w:tc>
          <w:tcPr>
            <w:tcW w:w="1710" w:type="dxa"/>
            <w:shd w:val="clear" w:color="auto" w:fill="FFFFFF" w:themeFill="background1"/>
            <w:vAlign w:val="bottom"/>
          </w:tcPr>
          <w:p w:rsidRPr="00917E22" w:rsidR="00750432" w:rsidP="00CB0CFE" w:rsidRDefault="00750432" w14:paraId="7C5D9FA3" w14:textId="77777777">
            <w:pPr>
              <w:tabs>
                <w:tab w:val="left" w:pos="1080"/>
              </w:tabs>
              <w:ind w:left="720" w:hanging="360"/>
              <w:jc w:val="right"/>
              <w:rPr>
                <w:rFonts w:ascii="Times New Roman" w:hAnsi="Times New Roman"/>
                <w:sz w:val="20"/>
              </w:rPr>
            </w:pPr>
            <w:r w:rsidRPr="00917E22">
              <w:rPr>
                <w:rFonts w:ascii="Times New Roman" w:hAnsi="Times New Roman"/>
                <w:sz w:val="20"/>
              </w:rPr>
              <w:t>967,000</w:t>
            </w:r>
          </w:p>
        </w:tc>
      </w:tr>
      <w:tr w:rsidRPr="00917E22" w:rsidR="00750432" w:rsidTr="00DE3A49" w14:paraId="3FC5BE52" w14:textId="77777777">
        <w:trPr>
          <w:trHeight w:val="236"/>
        </w:trPr>
        <w:tc>
          <w:tcPr>
            <w:tcW w:w="1055" w:type="dxa"/>
            <w:shd w:val="clear" w:color="auto" w:fill="FFFFFF" w:themeFill="background1"/>
          </w:tcPr>
          <w:p w:rsidRPr="00917E22" w:rsidR="00750432" w:rsidP="00CB0CFE" w:rsidRDefault="00750432" w14:paraId="6BE4DDE3" w14:textId="77777777">
            <w:pPr>
              <w:tabs>
                <w:tab w:val="left" w:pos="1080"/>
              </w:tabs>
              <w:rPr>
                <w:rFonts w:ascii="Times New Roman" w:hAnsi="Times New Roman"/>
                <w:sz w:val="20"/>
              </w:rPr>
            </w:pPr>
            <w:r w:rsidRPr="00917E22">
              <w:rPr>
                <w:rFonts w:ascii="Times New Roman" w:hAnsi="Times New Roman"/>
                <w:sz w:val="20"/>
              </w:rPr>
              <w:lastRenderedPageBreak/>
              <w:t>71</w:t>
            </w:r>
          </w:p>
        </w:tc>
        <w:tc>
          <w:tcPr>
            <w:tcW w:w="3980" w:type="dxa"/>
            <w:shd w:val="clear" w:color="auto" w:fill="FFFFFF" w:themeFill="background1"/>
          </w:tcPr>
          <w:p w:rsidRPr="00917E22" w:rsidR="00750432" w:rsidP="00CB0CFE" w:rsidRDefault="00750432" w14:paraId="462142CD" w14:textId="77777777">
            <w:pPr>
              <w:tabs>
                <w:tab w:val="left" w:pos="1080"/>
              </w:tabs>
              <w:rPr>
                <w:rFonts w:ascii="Times New Roman" w:hAnsi="Times New Roman"/>
                <w:sz w:val="20"/>
              </w:rPr>
            </w:pPr>
            <w:r w:rsidRPr="00917E22">
              <w:rPr>
                <w:rFonts w:ascii="Times New Roman" w:hAnsi="Times New Roman"/>
                <w:sz w:val="20"/>
              </w:rPr>
              <w:t>Arts, Entertainment, and Recreation</w:t>
            </w:r>
          </w:p>
        </w:tc>
        <w:tc>
          <w:tcPr>
            <w:tcW w:w="1782" w:type="dxa"/>
            <w:shd w:val="clear" w:color="auto" w:fill="FFFFFF" w:themeFill="background1"/>
          </w:tcPr>
          <w:p w:rsidRPr="00917E22" w:rsidR="00750432" w:rsidP="00CB0CFE" w:rsidRDefault="00750432" w14:paraId="050C9DB3" w14:textId="77777777">
            <w:pPr>
              <w:tabs>
                <w:tab w:val="left" w:pos="1080"/>
              </w:tabs>
              <w:ind w:left="720" w:hanging="360"/>
              <w:jc w:val="right"/>
              <w:rPr>
                <w:rFonts w:ascii="Times New Roman" w:hAnsi="Times New Roman"/>
                <w:sz w:val="20"/>
              </w:rPr>
            </w:pPr>
            <w:r w:rsidRPr="00917E22">
              <w:rPr>
                <w:rFonts w:ascii="Times New Roman" w:hAnsi="Times New Roman"/>
                <w:sz w:val="20"/>
              </w:rPr>
              <w:t>142,938</w:t>
            </w:r>
          </w:p>
        </w:tc>
        <w:tc>
          <w:tcPr>
            <w:tcW w:w="1710" w:type="dxa"/>
            <w:shd w:val="clear" w:color="auto" w:fill="FFFFFF" w:themeFill="background1"/>
            <w:vAlign w:val="bottom"/>
          </w:tcPr>
          <w:p w:rsidRPr="00917E22" w:rsidR="00750432" w:rsidP="00CB0CFE" w:rsidRDefault="00750432" w14:paraId="500A8CBB" w14:textId="77777777">
            <w:pPr>
              <w:tabs>
                <w:tab w:val="left" w:pos="1080"/>
              </w:tabs>
              <w:ind w:left="720" w:hanging="360"/>
              <w:jc w:val="right"/>
              <w:rPr>
                <w:rFonts w:ascii="Times New Roman" w:hAnsi="Times New Roman"/>
                <w:sz w:val="20"/>
              </w:rPr>
            </w:pPr>
            <w:r w:rsidRPr="00917E22">
              <w:rPr>
                <w:rFonts w:ascii="Times New Roman" w:hAnsi="Times New Roman"/>
                <w:sz w:val="20"/>
              </w:rPr>
              <w:t>157,000</w:t>
            </w:r>
          </w:p>
        </w:tc>
      </w:tr>
      <w:tr w:rsidRPr="00917E22" w:rsidR="00750432" w:rsidTr="00DE3A49" w14:paraId="217ED5DF" w14:textId="77777777">
        <w:trPr>
          <w:trHeight w:val="236"/>
        </w:trPr>
        <w:tc>
          <w:tcPr>
            <w:tcW w:w="1055" w:type="dxa"/>
            <w:shd w:val="clear" w:color="auto" w:fill="FFFFFF" w:themeFill="background1"/>
          </w:tcPr>
          <w:p w:rsidRPr="00917E22" w:rsidR="00750432" w:rsidP="00CB0CFE" w:rsidRDefault="00750432" w14:paraId="20232835" w14:textId="77777777">
            <w:pPr>
              <w:tabs>
                <w:tab w:val="left" w:pos="1080"/>
              </w:tabs>
              <w:rPr>
                <w:rFonts w:ascii="Times New Roman" w:hAnsi="Times New Roman"/>
                <w:sz w:val="20"/>
              </w:rPr>
            </w:pPr>
            <w:r w:rsidRPr="00917E22">
              <w:rPr>
                <w:rFonts w:ascii="Times New Roman" w:hAnsi="Times New Roman"/>
                <w:sz w:val="20"/>
              </w:rPr>
              <w:t>72</w:t>
            </w:r>
          </w:p>
        </w:tc>
        <w:tc>
          <w:tcPr>
            <w:tcW w:w="3980" w:type="dxa"/>
            <w:shd w:val="clear" w:color="auto" w:fill="FFFFFF" w:themeFill="background1"/>
          </w:tcPr>
          <w:p w:rsidRPr="00917E22" w:rsidR="00750432" w:rsidP="00CB0CFE" w:rsidRDefault="00750432" w14:paraId="7FCA399D" w14:textId="77777777">
            <w:pPr>
              <w:tabs>
                <w:tab w:val="left" w:pos="1080"/>
              </w:tabs>
              <w:rPr>
                <w:rFonts w:ascii="Times New Roman" w:hAnsi="Times New Roman"/>
                <w:sz w:val="20"/>
              </w:rPr>
            </w:pPr>
            <w:r w:rsidRPr="00917E22">
              <w:rPr>
                <w:rFonts w:ascii="Times New Roman" w:hAnsi="Times New Roman"/>
                <w:sz w:val="20"/>
              </w:rPr>
              <w:t>Accommodation and Food Services</w:t>
            </w:r>
          </w:p>
        </w:tc>
        <w:tc>
          <w:tcPr>
            <w:tcW w:w="1782" w:type="dxa"/>
            <w:shd w:val="clear" w:color="auto" w:fill="FFFFFF" w:themeFill="background1"/>
          </w:tcPr>
          <w:p w:rsidRPr="00917E22" w:rsidR="00750432" w:rsidP="00CB0CFE" w:rsidRDefault="00750432" w14:paraId="0C113D5D" w14:textId="77777777">
            <w:pPr>
              <w:tabs>
                <w:tab w:val="left" w:pos="1080"/>
              </w:tabs>
              <w:ind w:left="720" w:hanging="360"/>
              <w:jc w:val="right"/>
              <w:rPr>
                <w:rFonts w:ascii="Times New Roman" w:hAnsi="Times New Roman"/>
                <w:sz w:val="20"/>
              </w:rPr>
            </w:pPr>
            <w:r w:rsidRPr="00917E22">
              <w:rPr>
                <w:rFonts w:ascii="Times New Roman" w:hAnsi="Times New Roman"/>
                <w:sz w:val="20"/>
              </w:rPr>
              <w:t>726,081</w:t>
            </w:r>
          </w:p>
        </w:tc>
        <w:tc>
          <w:tcPr>
            <w:tcW w:w="1710" w:type="dxa"/>
            <w:shd w:val="clear" w:color="auto" w:fill="FFFFFF" w:themeFill="background1"/>
            <w:vAlign w:val="bottom"/>
          </w:tcPr>
          <w:p w:rsidRPr="00917E22" w:rsidR="00750432" w:rsidP="00CB0CFE" w:rsidRDefault="00750432" w14:paraId="0C6BE00C" w14:textId="77777777">
            <w:pPr>
              <w:tabs>
                <w:tab w:val="left" w:pos="1080"/>
              </w:tabs>
              <w:ind w:left="720" w:hanging="360"/>
              <w:jc w:val="right"/>
              <w:rPr>
                <w:rFonts w:ascii="Times New Roman" w:hAnsi="Times New Roman"/>
                <w:sz w:val="20"/>
              </w:rPr>
            </w:pPr>
            <w:r w:rsidRPr="00917E22">
              <w:rPr>
                <w:rFonts w:ascii="Times New Roman" w:hAnsi="Times New Roman"/>
                <w:sz w:val="20"/>
              </w:rPr>
              <w:t>797,000</w:t>
            </w:r>
          </w:p>
        </w:tc>
      </w:tr>
      <w:tr w:rsidRPr="00917E22" w:rsidR="00750432" w:rsidTr="00DE3A49" w14:paraId="688593B7" w14:textId="77777777">
        <w:trPr>
          <w:trHeight w:val="236"/>
        </w:trPr>
        <w:tc>
          <w:tcPr>
            <w:tcW w:w="1055" w:type="dxa"/>
            <w:tcBorders>
              <w:bottom w:val="single" w:color="auto" w:sz="12" w:space="0"/>
            </w:tcBorders>
            <w:shd w:val="clear" w:color="auto" w:fill="FFFFFF" w:themeFill="background1"/>
          </w:tcPr>
          <w:p w:rsidRPr="00917E22" w:rsidR="00750432" w:rsidP="00CB0CFE" w:rsidRDefault="00750432" w14:paraId="19DF979E" w14:textId="77777777">
            <w:pPr>
              <w:tabs>
                <w:tab w:val="left" w:pos="1080"/>
              </w:tabs>
              <w:rPr>
                <w:rFonts w:ascii="Times New Roman" w:hAnsi="Times New Roman"/>
                <w:sz w:val="20"/>
              </w:rPr>
            </w:pPr>
            <w:r w:rsidRPr="00917E22">
              <w:rPr>
                <w:rFonts w:ascii="Times New Roman" w:hAnsi="Times New Roman"/>
                <w:sz w:val="20"/>
              </w:rPr>
              <w:t>81</w:t>
            </w:r>
          </w:p>
        </w:tc>
        <w:tc>
          <w:tcPr>
            <w:tcW w:w="3980" w:type="dxa"/>
            <w:tcBorders>
              <w:bottom w:val="single" w:color="auto" w:sz="12" w:space="0"/>
            </w:tcBorders>
            <w:shd w:val="clear" w:color="auto" w:fill="FFFFFF" w:themeFill="background1"/>
          </w:tcPr>
          <w:p w:rsidRPr="00917E22" w:rsidR="00750432" w:rsidP="00CB0CFE" w:rsidRDefault="00750432" w14:paraId="31C84671" w14:textId="3CAF6925">
            <w:pPr>
              <w:tabs>
                <w:tab w:val="left" w:pos="1080"/>
              </w:tabs>
              <w:rPr>
                <w:rFonts w:ascii="Times New Roman" w:hAnsi="Times New Roman"/>
                <w:sz w:val="19"/>
                <w:szCs w:val="19"/>
              </w:rPr>
            </w:pPr>
            <w:r w:rsidRPr="00917E22">
              <w:rPr>
                <w:rFonts w:ascii="Times New Roman" w:hAnsi="Times New Roman"/>
                <w:sz w:val="19"/>
                <w:szCs w:val="19"/>
              </w:rPr>
              <w:t xml:space="preserve">Other Services (except Public Administration) </w:t>
            </w:r>
            <w:r w:rsidRPr="00917E22">
              <w:rPr>
                <w:rFonts w:ascii="Times New Roman" w:hAnsi="Times New Roman"/>
                <w:sz w:val="19"/>
                <w:szCs w:val="19"/>
                <w:vertAlign w:val="superscript"/>
              </w:rPr>
              <w:t>(</w:t>
            </w:r>
            <w:r w:rsidR="00645DCD">
              <w:rPr>
                <w:rFonts w:ascii="Times New Roman" w:hAnsi="Times New Roman"/>
                <w:sz w:val="19"/>
                <w:szCs w:val="19"/>
                <w:vertAlign w:val="superscript"/>
              </w:rPr>
              <w:t>2</w:t>
            </w:r>
            <w:r w:rsidRPr="00917E22">
              <w:rPr>
                <w:rFonts w:ascii="Times New Roman" w:hAnsi="Times New Roman"/>
                <w:sz w:val="19"/>
                <w:szCs w:val="19"/>
                <w:vertAlign w:val="superscript"/>
              </w:rPr>
              <w:t>)</w:t>
            </w:r>
          </w:p>
        </w:tc>
        <w:tc>
          <w:tcPr>
            <w:tcW w:w="1782" w:type="dxa"/>
            <w:tcBorders>
              <w:bottom w:val="single" w:color="auto" w:sz="12" w:space="0"/>
            </w:tcBorders>
            <w:shd w:val="clear" w:color="auto" w:fill="FFFFFF" w:themeFill="background1"/>
          </w:tcPr>
          <w:p w:rsidRPr="00917E22" w:rsidR="00750432" w:rsidP="00CB0CFE" w:rsidRDefault="00750432" w14:paraId="6B431FCF" w14:textId="77777777">
            <w:pPr>
              <w:tabs>
                <w:tab w:val="left" w:pos="1080"/>
              </w:tabs>
              <w:ind w:left="720" w:hanging="360"/>
              <w:jc w:val="right"/>
              <w:rPr>
                <w:rFonts w:ascii="Times New Roman" w:hAnsi="Times New Roman"/>
                <w:sz w:val="20"/>
              </w:rPr>
            </w:pPr>
            <w:r w:rsidRPr="00917E22">
              <w:rPr>
                <w:rFonts w:ascii="Times New Roman" w:hAnsi="Times New Roman"/>
                <w:sz w:val="20"/>
              </w:rPr>
              <w:t>560,845</w:t>
            </w:r>
          </w:p>
        </w:tc>
        <w:tc>
          <w:tcPr>
            <w:tcW w:w="1710" w:type="dxa"/>
            <w:tcBorders>
              <w:bottom w:val="single" w:color="auto" w:sz="12" w:space="0"/>
            </w:tcBorders>
            <w:shd w:val="clear" w:color="auto" w:fill="FFFFFF" w:themeFill="background1"/>
            <w:vAlign w:val="bottom"/>
          </w:tcPr>
          <w:p w:rsidRPr="00917E22" w:rsidR="00750432" w:rsidP="00CB0CFE" w:rsidRDefault="00750432" w14:paraId="09284256" w14:textId="77777777">
            <w:pPr>
              <w:tabs>
                <w:tab w:val="left" w:pos="1080"/>
              </w:tabs>
              <w:ind w:left="720" w:hanging="360"/>
              <w:jc w:val="right"/>
              <w:rPr>
                <w:rFonts w:ascii="Times New Roman" w:hAnsi="Times New Roman"/>
                <w:sz w:val="20"/>
              </w:rPr>
            </w:pPr>
            <w:r w:rsidRPr="00917E22">
              <w:rPr>
                <w:rFonts w:ascii="Times New Roman" w:hAnsi="Times New Roman"/>
                <w:sz w:val="20"/>
              </w:rPr>
              <w:t>598,000</w:t>
            </w:r>
          </w:p>
        </w:tc>
      </w:tr>
      <w:tr w:rsidRPr="00917E22" w:rsidR="00750432" w:rsidTr="00DE3A49" w14:paraId="6EBB23AD" w14:textId="77777777">
        <w:trPr>
          <w:trHeight w:val="224"/>
        </w:trPr>
        <w:tc>
          <w:tcPr>
            <w:tcW w:w="5035" w:type="dxa"/>
            <w:gridSpan w:val="2"/>
            <w:tcBorders>
              <w:top w:val="single" w:color="auto" w:sz="12" w:space="0"/>
            </w:tcBorders>
            <w:shd w:val="clear" w:color="auto" w:fill="FFFFFF" w:themeFill="background1"/>
          </w:tcPr>
          <w:p w:rsidRPr="00917E22" w:rsidR="00750432" w:rsidP="00CB0CFE" w:rsidRDefault="00750432" w14:paraId="6780AF57" w14:textId="767BD6B2">
            <w:pPr>
              <w:tabs>
                <w:tab w:val="left" w:pos="1080"/>
              </w:tabs>
              <w:rPr>
                <w:rFonts w:ascii="Times New Roman" w:hAnsi="Times New Roman"/>
                <w:sz w:val="20"/>
              </w:rPr>
            </w:pPr>
            <w:r w:rsidRPr="00917E22">
              <w:rPr>
                <w:rFonts w:ascii="Times New Roman" w:hAnsi="Times New Roman"/>
                <w:sz w:val="20"/>
              </w:rPr>
              <w:t>Totals</w:t>
            </w:r>
          </w:p>
        </w:tc>
        <w:tc>
          <w:tcPr>
            <w:tcW w:w="1782" w:type="dxa"/>
            <w:tcBorders>
              <w:top w:val="single" w:color="auto" w:sz="12" w:space="0"/>
            </w:tcBorders>
            <w:shd w:val="clear" w:color="auto" w:fill="FFFFFF" w:themeFill="background1"/>
          </w:tcPr>
          <w:p w:rsidRPr="00917E22" w:rsidR="00750432" w:rsidP="00CB0CFE" w:rsidRDefault="00750432" w14:paraId="4ED390F8" w14:textId="77777777">
            <w:pPr>
              <w:tabs>
                <w:tab w:val="left" w:pos="1080"/>
              </w:tabs>
              <w:ind w:left="720" w:hanging="360"/>
              <w:jc w:val="right"/>
              <w:rPr>
                <w:rFonts w:ascii="Times New Roman" w:hAnsi="Times New Roman"/>
                <w:sz w:val="20"/>
              </w:rPr>
            </w:pPr>
            <w:r w:rsidRPr="00917E22">
              <w:rPr>
                <w:rFonts w:ascii="Times New Roman" w:hAnsi="Times New Roman"/>
                <w:sz w:val="20"/>
              </w:rPr>
              <w:t>7,590,729</w:t>
            </w:r>
          </w:p>
        </w:tc>
        <w:tc>
          <w:tcPr>
            <w:tcW w:w="1710" w:type="dxa"/>
            <w:tcBorders>
              <w:top w:val="single" w:color="auto" w:sz="12" w:space="0"/>
            </w:tcBorders>
            <w:shd w:val="clear" w:color="auto" w:fill="FFFFFF" w:themeFill="background1"/>
          </w:tcPr>
          <w:p w:rsidRPr="00917E22" w:rsidR="00750432" w:rsidP="00CB0CFE" w:rsidRDefault="00750432" w14:paraId="256D574E" w14:textId="77777777">
            <w:pPr>
              <w:tabs>
                <w:tab w:val="left" w:pos="1080"/>
              </w:tabs>
              <w:ind w:left="720" w:hanging="360"/>
              <w:jc w:val="right"/>
              <w:rPr>
                <w:rFonts w:ascii="Times New Roman" w:hAnsi="Times New Roman"/>
                <w:sz w:val="20"/>
              </w:rPr>
            </w:pPr>
            <w:r w:rsidRPr="00917E22">
              <w:rPr>
                <w:rFonts w:ascii="Times New Roman" w:hAnsi="Times New Roman"/>
                <w:sz w:val="20"/>
              </w:rPr>
              <w:t>8,218,000</w:t>
            </w:r>
          </w:p>
        </w:tc>
      </w:tr>
    </w:tbl>
    <w:p w:rsidR="00E6221C" w:rsidP="00645DCD" w:rsidRDefault="00640158" w14:paraId="28A892C3" w14:textId="20C28E26">
      <w:pPr>
        <w:tabs>
          <w:tab w:val="left" w:pos="1080"/>
        </w:tabs>
        <w:ind w:left="720" w:hanging="360"/>
        <w:rPr>
          <w:rFonts w:ascii="Times New Roman" w:hAnsi="Times New Roman"/>
          <w:sz w:val="20"/>
        </w:rPr>
      </w:pPr>
      <w:r>
        <w:rPr>
          <w:rFonts w:ascii="Times New Roman" w:hAnsi="Times New Roman"/>
          <w:sz w:val="20"/>
        </w:rPr>
        <w:tab/>
      </w:r>
      <w:r w:rsidRPr="00917E22" w:rsidR="00C303E1">
        <w:rPr>
          <w:rFonts w:ascii="Times New Roman" w:hAnsi="Times New Roman"/>
          <w:sz w:val="20"/>
        </w:rPr>
        <w:t>Notes:</w:t>
      </w:r>
      <w:r w:rsidR="00645DCD">
        <w:rPr>
          <w:rFonts w:ascii="Times New Roman" w:hAnsi="Times New Roman"/>
          <w:sz w:val="20"/>
        </w:rPr>
        <w:tab/>
      </w:r>
      <w:r w:rsidRPr="00917E22" w:rsidR="00E6221C">
        <w:rPr>
          <w:rFonts w:ascii="Times New Roman" w:hAnsi="Times New Roman"/>
          <w:sz w:val="20"/>
        </w:rPr>
        <w:t>(</w:t>
      </w:r>
      <w:r w:rsidR="00645DCD">
        <w:rPr>
          <w:rFonts w:ascii="Times New Roman" w:hAnsi="Times New Roman"/>
          <w:sz w:val="20"/>
        </w:rPr>
        <w:t>1</w:t>
      </w:r>
      <w:r w:rsidRPr="00917E22" w:rsidR="00E6221C">
        <w:rPr>
          <w:rFonts w:ascii="Times New Roman" w:hAnsi="Times New Roman"/>
          <w:sz w:val="20"/>
        </w:rPr>
        <w:t>) Insufficient administrative information to assign to a sector.</w:t>
      </w:r>
    </w:p>
    <w:p w:rsidRPr="00917E22" w:rsidR="00645DCD" w:rsidP="00E6221C" w:rsidRDefault="00645DCD" w14:paraId="135848C7" w14:textId="62D410DC">
      <w:pPr>
        <w:tabs>
          <w:tab w:val="left" w:pos="1080"/>
        </w:tabs>
        <w:ind w:left="720" w:hanging="90"/>
        <w:rPr>
          <w:rFonts w:ascii="Times New Roman" w:hAnsi="Times New Roman"/>
          <w:sz w:val="20"/>
        </w:rPr>
      </w:pPr>
      <w:r>
        <w:rPr>
          <w:rFonts w:ascii="Times New Roman" w:hAnsi="Times New Roman"/>
          <w:sz w:val="20"/>
        </w:rPr>
        <w:tab/>
      </w:r>
      <w:r>
        <w:rPr>
          <w:rFonts w:ascii="Times New Roman" w:hAnsi="Times New Roman"/>
          <w:sz w:val="20"/>
        </w:rPr>
        <w:tab/>
      </w:r>
      <w:r w:rsidR="00640158">
        <w:rPr>
          <w:rFonts w:ascii="Times New Roman" w:hAnsi="Times New Roman"/>
          <w:sz w:val="20"/>
        </w:rPr>
        <w:tab/>
      </w:r>
      <w:r w:rsidRPr="00917E22">
        <w:rPr>
          <w:rFonts w:ascii="Times New Roman" w:hAnsi="Times New Roman"/>
          <w:sz w:val="20"/>
        </w:rPr>
        <w:t>(</w:t>
      </w:r>
      <w:r>
        <w:rPr>
          <w:rFonts w:ascii="Times New Roman" w:hAnsi="Times New Roman"/>
          <w:sz w:val="20"/>
        </w:rPr>
        <w:t>2</w:t>
      </w:r>
      <w:r w:rsidRPr="00917E22">
        <w:rPr>
          <w:rFonts w:ascii="Times New Roman" w:hAnsi="Times New Roman"/>
          <w:sz w:val="20"/>
        </w:rPr>
        <w:t>) Some specific industries in these sectors are out-of-scope.</w:t>
      </w:r>
    </w:p>
    <w:p w:rsidRPr="00917E22" w:rsidR="00142775" w:rsidP="00E6221C" w:rsidRDefault="00142775" w14:paraId="66130FA4" w14:textId="545A0AD8">
      <w:pPr>
        <w:tabs>
          <w:tab w:val="left" w:pos="1080"/>
        </w:tabs>
        <w:ind w:left="720" w:hanging="90"/>
        <w:rPr>
          <w:rFonts w:ascii="Times New Roman" w:hAnsi="Times New Roman"/>
          <w:sz w:val="20"/>
        </w:rPr>
      </w:pPr>
      <w:r w:rsidRPr="00917E22">
        <w:rPr>
          <w:rFonts w:ascii="Times New Roman" w:hAnsi="Times New Roman"/>
          <w:sz w:val="20"/>
        </w:rPr>
        <w:tab/>
      </w:r>
      <w:r w:rsidRPr="00917E22">
        <w:rPr>
          <w:rFonts w:ascii="Times New Roman" w:hAnsi="Times New Roman"/>
          <w:sz w:val="20"/>
        </w:rPr>
        <w:tab/>
      </w:r>
    </w:p>
    <w:p w:rsidR="00C3533C" w:rsidP="00FF2B0C" w:rsidRDefault="00C3533C" w14:paraId="0F7A898F" w14:textId="2990F245">
      <w:pPr>
        <w:rPr>
          <w:rFonts w:ascii="Times New Roman" w:hAnsi="Times New Roman"/>
        </w:rPr>
      </w:pPr>
    </w:p>
    <w:tbl>
      <w:tblPr>
        <w:tblW w:w="8884" w:type="dxa"/>
        <w:tblInd w:w="477" w:type="dxa"/>
        <w:tblLook w:val="04A0" w:firstRow="1" w:lastRow="0" w:firstColumn="1" w:lastColumn="0" w:noHBand="0" w:noVBand="1"/>
      </w:tblPr>
      <w:tblGrid>
        <w:gridCol w:w="4668"/>
        <w:gridCol w:w="1979"/>
        <w:gridCol w:w="1982"/>
        <w:gridCol w:w="255"/>
      </w:tblGrid>
      <w:tr w:rsidRPr="00114568" w:rsidR="00114568" w:rsidTr="0012398D" w14:paraId="24A77910" w14:textId="77777777">
        <w:trPr>
          <w:gridAfter w:val="1"/>
          <w:wAfter w:w="255" w:type="dxa"/>
          <w:trHeight w:val="214"/>
        </w:trPr>
        <w:tc>
          <w:tcPr>
            <w:tcW w:w="8629" w:type="dxa"/>
            <w:gridSpan w:val="3"/>
            <w:tcBorders>
              <w:top w:val="nil"/>
              <w:left w:val="nil"/>
              <w:bottom w:val="nil"/>
              <w:right w:val="nil"/>
            </w:tcBorders>
            <w:shd w:val="clear" w:color="auto" w:fill="auto"/>
            <w:noWrap/>
            <w:vAlign w:val="center"/>
            <w:hideMark/>
          </w:tcPr>
          <w:p w:rsidRPr="00114568" w:rsidR="00114568" w:rsidP="007F1906" w:rsidRDefault="00114568" w14:paraId="5AF92FB1" w14:textId="77777777">
            <w:pPr>
              <w:widowControl/>
              <w:rPr>
                <w:rFonts w:ascii="Times New Roman" w:hAnsi="Times New Roman"/>
                <w:b/>
                <w:bCs/>
                <w:snapToGrid/>
                <w:color w:val="000000"/>
                <w:sz w:val="22"/>
                <w:szCs w:val="22"/>
              </w:rPr>
            </w:pPr>
            <w:bookmarkStart w:name="OLE_LINK2" w:id="2"/>
            <w:r w:rsidRPr="00114568">
              <w:rPr>
                <w:rFonts w:ascii="Times New Roman" w:hAnsi="Times New Roman"/>
                <w:b/>
                <w:bCs/>
                <w:snapToGrid/>
                <w:color w:val="000000"/>
                <w:sz w:val="22"/>
                <w:szCs w:val="22"/>
              </w:rPr>
              <w:t>Table 1B: Economic Census Island Areas Universe Sizes (2017 Actual &amp; 2022 Estimated)</w:t>
            </w:r>
          </w:p>
        </w:tc>
      </w:tr>
      <w:tr w:rsidRPr="00114568" w:rsidR="00A65FD8" w:rsidTr="00F700C8" w14:paraId="7A9F5B52" w14:textId="77777777">
        <w:trPr>
          <w:gridAfter w:val="1"/>
          <w:wAfter w:w="255" w:type="dxa"/>
          <w:trHeight w:val="584"/>
        </w:trPr>
        <w:tc>
          <w:tcPr>
            <w:tcW w:w="4668" w:type="dxa"/>
            <w:vMerge w:val="restart"/>
            <w:tcBorders>
              <w:top w:val="single" w:color="auto" w:sz="8" w:space="0"/>
              <w:left w:val="single" w:color="auto" w:sz="4" w:space="0"/>
              <w:bottom w:val="double" w:color="000000" w:sz="6" w:space="0"/>
              <w:right w:val="single" w:color="auto" w:sz="8" w:space="0"/>
            </w:tcBorders>
            <w:shd w:val="clear" w:color="000000" w:fill="F2F2F2"/>
            <w:vAlign w:val="center"/>
            <w:hideMark/>
          </w:tcPr>
          <w:p w:rsidRPr="00114568" w:rsidR="00114568" w:rsidP="00114568" w:rsidRDefault="00114568" w14:paraId="47DC1388" w14:textId="77777777">
            <w:pPr>
              <w:widowControl/>
              <w:rPr>
                <w:rFonts w:ascii="Times New Roman" w:hAnsi="Times New Roman"/>
                <w:b/>
                <w:bCs/>
                <w:snapToGrid/>
                <w:color w:val="000000"/>
                <w:sz w:val="20"/>
              </w:rPr>
            </w:pPr>
            <w:r w:rsidRPr="00114568">
              <w:rPr>
                <w:rFonts w:ascii="Times New Roman" w:hAnsi="Times New Roman"/>
                <w:b/>
                <w:bCs/>
                <w:snapToGrid/>
                <w:color w:val="000000"/>
                <w:sz w:val="20"/>
              </w:rPr>
              <w:t>Area</w:t>
            </w:r>
          </w:p>
        </w:tc>
        <w:tc>
          <w:tcPr>
            <w:tcW w:w="3961" w:type="dxa"/>
            <w:gridSpan w:val="2"/>
            <w:tcBorders>
              <w:top w:val="single" w:color="auto" w:sz="8" w:space="0"/>
              <w:left w:val="nil"/>
              <w:bottom w:val="single" w:color="auto" w:sz="8" w:space="0"/>
              <w:right w:val="single" w:color="auto" w:sz="4" w:space="0"/>
            </w:tcBorders>
            <w:shd w:val="clear" w:color="000000" w:fill="F2F2F2"/>
            <w:vAlign w:val="center"/>
            <w:hideMark/>
          </w:tcPr>
          <w:p w:rsidRPr="00114568" w:rsidR="00114568" w:rsidP="00114568" w:rsidRDefault="00114568" w14:paraId="60E63580" w14:textId="77777777">
            <w:pPr>
              <w:widowControl/>
              <w:jc w:val="center"/>
              <w:rPr>
                <w:rFonts w:ascii="Times New Roman" w:hAnsi="Times New Roman"/>
                <w:b/>
                <w:bCs/>
                <w:snapToGrid/>
                <w:color w:val="000000"/>
                <w:sz w:val="20"/>
              </w:rPr>
            </w:pPr>
            <w:r w:rsidRPr="00114568">
              <w:rPr>
                <w:rFonts w:ascii="Times New Roman" w:hAnsi="Times New Roman"/>
                <w:b/>
                <w:bCs/>
                <w:snapToGrid/>
                <w:color w:val="000000"/>
                <w:sz w:val="20"/>
              </w:rPr>
              <w:t>Establishment Counts</w:t>
            </w:r>
          </w:p>
        </w:tc>
      </w:tr>
      <w:tr w:rsidRPr="00114568" w:rsidR="00A65FD8" w:rsidTr="00F700C8" w14:paraId="6497EC11" w14:textId="77777777">
        <w:trPr>
          <w:gridAfter w:val="1"/>
          <w:wAfter w:w="255" w:type="dxa"/>
          <w:trHeight w:val="272"/>
        </w:trPr>
        <w:tc>
          <w:tcPr>
            <w:tcW w:w="4668" w:type="dxa"/>
            <w:vMerge/>
            <w:tcBorders>
              <w:top w:val="single" w:color="auto" w:sz="8" w:space="0"/>
              <w:left w:val="single" w:color="auto" w:sz="4" w:space="0"/>
              <w:bottom w:val="double" w:color="000000" w:sz="6" w:space="0"/>
              <w:right w:val="single" w:color="auto" w:sz="8" w:space="0"/>
            </w:tcBorders>
            <w:vAlign w:val="center"/>
            <w:hideMark/>
          </w:tcPr>
          <w:p w:rsidRPr="00114568" w:rsidR="00114568" w:rsidP="00114568" w:rsidRDefault="00114568" w14:paraId="4E7F413D" w14:textId="77777777">
            <w:pPr>
              <w:widowControl/>
              <w:rPr>
                <w:rFonts w:ascii="Times New Roman" w:hAnsi="Times New Roman"/>
                <w:b/>
                <w:bCs/>
                <w:snapToGrid/>
                <w:color w:val="000000"/>
                <w:sz w:val="20"/>
              </w:rPr>
            </w:pPr>
          </w:p>
        </w:tc>
        <w:tc>
          <w:tcPr>
            <w:tcW w:w="1979"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114568" w:rsidR="00114568" w:rsidP="00114568" w:rsidRDefault="00114568" w14:paraId="02F6A318" w14:textId="77777777">
            <w:pPr>
              <w:widowControl/>
              <w:jc w:val="center"/>
              <w:rPr>
                <w:rFonts w:ascii="Times New Roman" w:hAnsi="Times New Roman"/>
                <w:b/>
                <w:bCs/>
                <w:snapToGrid/>
                <w:color w:val="000000"/>
                <w:sz w:val="20"/>
              </w:rPr>
            </w:pPr>
            <w:r w:rsidRPr="00114568">
              <w:rPr>
                <w:rFonts w:ascii="Times New Roman" w:hAnsi="Times New Roman"/>
                <w:b/>
                <w:bCs/>
                <w:snapToGrid/>
                <w:color w:val="000000"/>
                <w:sz w:val="20"/>
              </w:rPr>
              <w:t>2017 Economic Census</w:t>
            </w:r>
          </w:p>
        </w:tc>
        <w:tc>
          <w:tcPr>
            <w:tcW w:w="1982" w:type="dxa"/>
            <w:vMerge w:val="restart"/>
            <w:tcBorders>
              <w:top w:val="nil"/>
              <w:left w:val="single" w:color="auto" w:sz="8" w:space="0"/>
              <w:bottom w:val="double" w:color="000000" w:sz="6" w:space="0"/>
              <w:right w:val="single" w:color="auto" w:sz="4" w:space="0"/>
            </w:tcBorders>
            <w:shd w:val="clear" w:color="000000" w:fill="F2F2F2"/>
            <w:vAlign w:val="center"/>
            <w:hideMark/>
          </w:tcPr>
          <w:p w:rsidRPr="00114568" w:rsidR="00114568" w:rsidP="00114568" w:rsidRDefault="00114568" w14:paraId="4ADB92B4" w14:textId="77777777">
            <w:pPr>
              <w:widowControl/>
              <w:jc w:val="center"/>
              <w:rPr>
                <w:rFonts w:ascii="Times New Roman" w:hAnsi="Times New Roman"/>
                <w:b/>
                <w:bCs/>
                <w:snapToGrid/>
                <w:color w:val="000000"/>
                <w:sz w:val="20"/>
              </w:rPr>
            </w:pPr>
            <w:r w:rsidRPr="00114568">
              <w:rPr>
                <w:rFonts w:ascii="Times New Roman" w:hAnsi="Times New Roman"/>
                <w:b/>
                <w:bCs/>
                <w:snapToGrid/>
                <w:color w:val="000000"/>
                <w:sz w:val="20"/>
              </w:rPr>
              <w:t xml:space="preserve">   Estimated </w:t>
            </w:r>
            <w:r w:rsidRPr="00114568">
              <w:rPr>
                <w:rFonts w:ascii="Times New Roman" w:hAnsi="Times New Roman"/>
                <w:b/>
                <w:bCs/>
                <w:snapToGrid/>
                <w:color w:val="000000"/>
                <w:sz w:val="20"/>
              </w:rPr>
              <w:br/>
              <w:t>2022 Universe</w:t>
            </w:r>
          </w:p>
        </w:tc>
      </w:tr>
      <w:tr w:rsidRPr="00114568" w:rsidR="00A65FD8" w:rsidTr="00F700C8" w14:paraId="4F81FE41" w14:textId="77777777">
        <w:trPr>
          <w:trHeight w:val="214"/>
        </w:trPr>
        <w:tc>
          <w:tcPr>
            <w:tcW w:w="4668" w:type="dxa"/>
            <w:vMerge/>
            <w:tcBorders>
              <w:top w:val="single" w:color="auto" w:sz="8" w:space="0"/>
              <w:left w:val="single" w:color="auto" w:sz="4" w:space="0"/>
              <w:bottom w:val="single" w:color="auto" w:sz="4" w:space="0"/>
              <w:right w:val="single" w:color="auto" w:sz="8" w:space="0"/>
            </w:tcBorders>
            <w:vAlign w:val="center"/>
            <w:hideMark/>
          </w:tcPr>
          <w:p w:rsidRPr="00114568" w:rsidR="00114568" w:rsidP="00114568" w:rsidRDefault="00114568" w14:paraId="33482F81" w14:textId="77777777">
            <w:pPr>
              <w:widowControl/>
              <w:rPr>
                <w:rFonts w:ascii="Times New Roman" w:hAnsi="Times New Roman"/>
                <w:b/>
                <w:bCs/>
                <w:snapToGrid/>
                <w:color w:val="000000"/>
                <w:sz w:val="20"/>
              </w:rPr>
            </w:pPr>
          </w:p>
        </w:tc>
        <w:tc>
          <w:tcPr>
            <w:tcW w:w="1979" w:type="dxa"/>
            <w:vMerge/>
            <w:tcBorders>
              <w:top w:val="nil"/>
              <w:left w:val="single" w:color="auto" w:sz="8" w:space="0"/>
              <w:bottom w:val="single" w:color="auto" w:sz="4" w:space="0"/>
              <w:right w:val="single" w:color="auto" w:sz="8" w:space="0"/>
            </w:tcBorders>
            <w:vAlign w:val="center"/>
            <w:hideMark/>
          </w:tcPr>
          <w:p w:rsidRPr="00114568" w:rsidR="00114568" w:rsidP="00114568" w:rsidRDefault="00114568" w14:paraId="73532DD8" w14:textId="77777777">
            <w:pPr>
              <w:widowControl/>
              <w:rPr>
                <w:rFonts w:ascii="Times New Roman" w:hAnsi="Times New Roman"/>
                <w:b/>
                <w:bCs/>
                <w:snapToGrid/>
                <w:color w:val="000000"/>
                <w:sz w:val="20"/>
              </w:rPr>
            </w:pPr>
          </w:p>
        </w:tc>
        <w:tc>
          <w:tcPr>
            <w:tcW w:w="1982" w:type="dxa"/>
            <w:vMerge/>
            <w:tcBorders>
              <w:top w:val="nil"/>
              <w:left w:val="single" w:color="auto" w:sz="8" w:space="0"/>
              <w:bottom w:val="single" w:color="auto" w:sz="4" w:space="0"/>
              <w:right w:val="single" w:color="auto" w:sz="4" w:space="0"/>
            </w:tcBorders>
            <w:vAlign w:val="center"/>
            <w:hideMark/>
          </w:tcPr>
          <w:p w:rsidRPr="00114568" w:rsidR="00114568" w:rsidP="00114568" w:rsidRDefault="00114568" w14:paraId="5912AA55" w14:textId="77777777">
            <w:pPr>
              <w:widowControl/>
              <w:rPr>
                <w:rFonts w:ascii="Times New Roman" w:hAnsi="Times New Roman"/>
                <w:b/>
                <w:bCs/>
                <w:snapToGrid/>
                <w:color w:val="000000"/>
                <w:sz w:val="20"/>
              </w:rPr>
            </w:pPr>
          </w:p>
        </w:tc>
        <w:tc>
          <w:tcPr>
            <w:tcW w:w="255" w:type="dxa"/>
            <w:tcBorders>
              <w:top w:val="nil"/>
              <w:left w:val="single" w:color="auto" w:sz="4" w:space="0"/>
              <w:bottom w:val="nil"/>
              <w:right w:val="nil"/>
            </w:tcBorders>
            <w:shd w:val="clear" w:color="auto" w:fill="auto"/>
            <w:noWrap/>
            <w:vAlign w:val="bottom"/>
            <w:hideMark/>
          </w:tcPr>
          <w:p w:rsidRPr="00114568" w:rsidR="00114568" w:rsidP="00114568" w:rsidRDefault="00114568" w14:paraId="3C1D6A40" w14:textId="77777777">
            <w:pPr>
              <w:widowControl/>
              <w:jc w:val="center"/>
              <w:rPr>
                <w:rFonts w:ascii="Times New Roman" w:hAnsi="Times New Roman"/>
                <w:b/>
                <w:bCs/>
                <w:snapToGrid/>
                <w:color w:val="000000"/>
                <w:sz w:val="20"/>
              </w:rPr>
            </w:pPr>
          </w:p>
        </w:tc>
      </w:tr>
      <w:tr w:rsidRPr="00114568" w:rsidR="00A65FD8" w:rsidTr="00F700C8" w14:paraId="1B55D65C" w14:textId="77777777">
        <w:trPr>
          <w:trHeight w:val="223"/>
        </w:trPr>
        <w:tc>
          <w:tcPr>
            <w:tcW w:w="4668" w:type="dxa"/>
            <w:tcBorders>
              <w:top w:val="single" w:color="auto" w:sz="4" w:space="0"/>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4903D7C2" w14:textId="77777777">
            <w:pPr>
              <w:widowControl/>
              <w:rPr>
                <w:rFonts w:ascii="Times New Roman" w:hAnsi="Times New Roman"/>
                <w:snapToGrid/>
                <w:color w:val="000000"/>
                <w:sz w:val="20"/>
              </w:rPr>
            </w:pPr>
            <w:r w:rsidRPr="00114568">
              <w:rPr>
                <w:rFonts w:ascii="Times New Roman" w:hAnsi="Times New Roman"/>
                <w:snapToGrid/>
                <w:color w:val="000000"/>
                <w:sz w:val="20"/>
              </w:rPr>
              <w:t>Puerto Rico</w:t>
            </w:r>
          </w:p>
        </w:tc>
        <w:tc>
          <w:tcPr>
            <w:tcW w:w="1979" w:type="dxa"/>
            <w:tcBorders>
              <w:top w:val="single" w:color="auto" w:sz="4" w:space="0"/>
              <w:left w:val="nil"/>
              <w:bottom w:val="single" w:color="auto" w:sz="8" w:space="0"/>
              <w:right w:val="single" w:color="auto" w:sz="8" w:space="0"/>
            </w:tcBorders>
            <w:shd w:val="clear" w:color="000000" w:fill="FFFFFF"/>
            <w:vAlign w:val="center"/>
            <w:hideMark/>
          </w:tcPr>
          <w:p w:rsidRPr="00114568" w:rsidR="00114568" w:rsidP="00114568" w:rsidRDefault="00114568" w14:paraId="337906A4"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42,559</w:t>
            </w:r>
          </w:p>
        </w:tc>
        <w:tc>
          <w:tcPr>
            <w:tcW w:w="1982" w:type="dxa"/>
            <w:tcBorders>
              <w:top w:val="single" w:color="auto" w:sz="4" w:space="0"/>
              <w:left w:val="nil"/>
              <w:bottom w:val="single" w:color="auto" w:sz="8" w:space="0"/>
              <w:right w:val="single" w:color="auto" w:sz="4" w:space="0"/>
            </w:tcBorders>
            <w:shd w:val="clear" w:color="000000" w:fill="FFFFFF"/>
            <w:vAlign w:val="center"/>
            <w:hideMark/>
          </w:tcPr>
          <w:p w:rsidRPr="00114568" w:rsidR="00114568" w:rsidP="00114568" w:rsidRDefault="00114568" w14:paraId="4500A143"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47,300</w:t>
            </w:r>
          </w:p>
        </w:tc>
        <w:tc>
          <w:tcPr>
            <w:tcW w:w="255" w:type="dxa"/>
            <w:tcBorders>
              <w:left w:val="single" w:color="auto" w:sz="4" w:space="0"/>
            </w:tcBorders>
            <w:vAlign w:val="center"/>
            <w:hideMark/>
          </w:tcPr>
          <w:p w:rsidRPr="00114568" w:rsidR="00114568" w:rsidP="00114568" w:rsidRDefault="00114568" w14:paraId="44375F75" w14:textId="77777777">
            <w:pPr>
              <w:widowControl/>
              <w:rPr>
                <w:rFonts w:ascii="Times New Roman" w:hAnsi="Times New Roman"/>
                <w:snapToGrid/>
                <w:sz w:val="20"/>
              </w:rPr>
            </w:pPr>
          </w:p>
        </w:tc>
      </w:tr>
      <w:tr w:rsidRPr="00114568" w:rsidR="00A65FD8" w:rsidTr="00F700C8" w14:paraId="6A39A22F" w14:textId="77777777">
        <w:trPr>
          <w:trHeight w:val="214"/>
        </w:trPr>
        <w:tc>
          <w:tcPr>
            <w:tcW w:w="4668" w:type="dxa"/>
            <w:tcBorders>
              <w:top w:val="nil"/>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470D4C81" w14:textId="77777777">
            <w:pPr>
              <w:widowControl/>
              <w:rPr>
                <w:rFonts w:ascii="Times New Roman" w:hAnsi="Times New Roman"/>
                <w:snapToGrid/>
                <w:color w:val="000000"/>
                <w:sz w:val="20"/>
              </w:rPr>
            </w:pPr>
            <w:r w:rsidRPr="00114568">
              <w:rPr>
                <w:rFonts w:ascii="Times New Roman" w:hAnsi="Times New Roman"/>
                <w:snapToGrid/>
                <w:color w:val="000000"/>
                <w:sz w:val="20"/>
              </w:rPr>
              <w:t>Guam</w:t>
            </w:r>
          </w:p>
        </w:tc>
        <w:tc>
          <w:tcPr>
            <w:tcW w:w="1979" w:type="dxa"/>
            <w:tcBorders>
              <w:top w:val="nil"/>
              <w:left w:val="nil"/>
              <w:bottom w:val="single" w:color="auto" w:sz="8" w:space="0"/>
              <w:right w:val="single" w:color="auto" w:sz="8" w:space="0"/>
            </w:tcBorders>
            <w:shd w:val="clear" w:color="000000" w:fill="FFFFFF"/>
            <w:vAlign w:val="center"/>
            <w:hideMark/>
          </w:tcPr>
          <w:p w:rsidRPr="00114568" w:rsidR="00114568" w:rsidP="00114568" w:rsidRDefault="00114568" w14:paraId="643CDCD5"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3,508</w:t>
            </w:r>
          </w:p>
        </w:tc>
        <w:tc>
          <w:tcPr>
            <w:tcW w:w="1982" w:type="dxa"/>
            <w:tcBorders>
              <w:top w:val="nil"/>
              <w:left w:val="nil"/>
              <w:bottom w:val="single" w:color="auto" w:sz="8" w:space="0"/>
              <w:right w:val="single" w:color="auto" w:sz="4" w:space="0"/>
            </w:tcBorders>
            <w:shd w:val="clear" w:color="000000" w:fill="FFFFFF"/>
            <w:vAlign w:val="center"/>
            <w:hideMark/>
          </w:tcPr>
          <w:p w:rsidRPr="00114568" w:rsidR="00114568" w:rsidP="00114568" w:rsidRDefault="00114568" w14:paraId="0DF0CDC5"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3,550</w:t>
            </w:r>
          </w:p>
        </w:tc>
        <w:tc>
          <w:tcPr>
            <w:tcW w:w="255" w:type="dxa"/>
            <w:tcBorders>
              <w:left w:val="single" w:color="auto" w:sz="4" w:space="0"/>
            </w:tcBorders>
            <w:vAlign w:val="center"/>
            <w:hideMark/>
          </w:tcPr>
          <w:p w:rsidRPr="00114568" w:rsidR="00114568" w:rsidP="00114568" w:rsidRDefault="00114568" w14:paraId="6A12B1BD" w14:textId="77777777">
            <w:pPr>
              <w:widowControl/>
              <w:rPr>
                <w:rFonts w:ascii="Times New Roman" w:hAnsi="Times New Roman"/>
                <w:snapToGrid/>
                <w:sz w:val="20"/>
              </w:rPr>
            </w:pPr>
          </w:p>
        </w:tc>
      </w:tr>
      <w:tr w:rsidRPr="00114568" w:rsidR="00A65FD8" w:rsidTr="00F700C8" w14:paraId="0FB35ADB" w14:textId="77777777">
        <w:trPr>
          <w:trHeight w:val="214"/>
        </w:trPr>
        <w:tc>
          <w:tcPr>
            <w:tcW w:w="4668" w:type="dxa"/>
            <w:tcBorders>
              <w:top w:val="nil"/>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400FCEF3" w14:textId="77777777">
            <w:pPr>
              <w:widowControl/>
              <w:rPr>
                <w:rFonts w:ascii="Times New Roman" w:hAnsi="Times New Roman"/>
                <w:snapToGrid/>
                <w:color w:val="000000"/>
                <w:sz w:val="20"/>
              </w:rPr>
            </w:pPr>
            <w:r w:rsidRPr="00114568">
              <w:rPr>
                <w:rFonts w:ascii="Times New Roman" w:hAnsi="Times New Roman"/>
                <w:snapToGrid/>
                <w:color w:val="000000"/>
                <w:sz w:val="20"/>
              </w:rPr>
              <w:t>Commonwealth of the Northern Mariana Islands</w:t>
            </w:r>
          </w:p>
        </w:tc>
        <w:tc>
          <w:tcPr>
            <w:tcW w:w="1979" w:type="dxa"/>
            <w:tcBorders>
              <w:top w:val="nil"/>
              <w:left w:val="nil"/>
              <w:bottom w:val="single" w:color="auto" w:sz="8" w:space="0"/>
              <w:right w:val="single" w:color="auto" w:sz="8" w:space="0"/>
            </w:tcBorders>
            <w:shd w:val="clear" w:color="000000" w:fill="FFFFFF"/>
            <w:vAlign w:val="center"/>
            <w:hideMark/>
          </w:tcPr>
          <w:p w:rsidRPr="00114568" w:rsidR="00114568" w:rsidP="00114568" w:rsidRDefault="00114568" w14:paraId="39830D01"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1,742</w:t>
            </w:r>
          </w:p>
        </w:tc>
        <w:tc>
          <w:tcPr>
            <w:tcW w:w="1982" w:type="dxa"/>
            <w:tcBorders>
              <w:top w:val="nil"/>
              <w:left w:val="nil"/>
              <w:bottom w:val="single" w:color="auto" w:sz="8" w:space="0"/>
              <w:right w:val="single" w:color="auto" w:sz="4" w:space="0"/>
            </w:tcBorders>
            <w:shd w:val="clear" w:color="000000" w:fill="FFFFFF"/>
            <w:vAlign w:val="center"/>
            <w:hideMark/>
          </w:tcPr>
          <w:p w:rsidRPr="00114568" w:rsidR="00114568" w:rsidP="00114568" w:rsidRDefault="00114568" w14:paraId="7396B933"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1,800</w:t>
            </w:r>
          </w:p>
        </w:tc>
        <w:tc>
          <w:tcPr>
            <w:tcW w:w="255" w:type="dxa"/>
            <w:tcBorders>
              <w:left w:val="single" w:color="auto" w:sz="4" w:space="0"/>
            </w:tcBorders>
            <w:vAlign w:val="center"/>
            <w:hideMark/>
          </w:tcPr>
          <w:p w:rsidRPr="00114568" w:rsidR="00114568" w:rsidP="00114568" w:rsidRDefault="00114568" w14:paraId="784BD18F" w14:textId="77777777">
            <w:pPr>
              <w:widowControl/>
              <w:rPr>
                <w:rFonts w:ascii="Times New Roman" w:hAnsi="Times New Roman"/>
                <w:snapToGrid/>
                <w:sz w:val="20"/>
              </w:rPr>
            </w:pPr>
          </w:p>
        </w:tc>
      </w:tr>
      <w:tr w:rsidRPr="00114568" w:rsidR="00A65FD8" w:rsidTr="00F700C8" w14:paraId="3A6E9BA3" w14:textId="77777777">
        <w:trPr>
          <w:trHeight w:val="214"/>
        </w:trPr>
        <w:tc>
          <w:tcPr>
            <w:tcW w:w="4668" w:type="dxa"/>
            <w:tcBorders>
              <w:top w:val="nil"/>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6EB1396E" w14:textId="77777777">
            <w:pPr>
              <w:widowControl/>
              <w:rPr>
                <w:rFonts w:ascii="Times New Roman" w:hAnsi="Times New Roman"/>
                <w:snapToGrid/>
                <w:color w:val="000000"/>
                <w:sz w:val="20"/>
              </w:rPr>
            </w:pPr>
            <w:r w:rsidRPr="00114568">
              <w:rPr>
                <w:rFonts w:ascii="Times New Roman" w:hAnsi="Times New Roman"/>
                <w:snapToGrid/>
                <w:color w:val="000000"/>
                <w:sz w:val="20"/>
              </w:rPr>
              <w:t>U.S. Virgin Islands</w:t>
            </w:r>
          </w:p>
        </w:tc>
        <w:tc>
          <w:tcPr>
            <w:tcW w:w="1979" w:type="dxa"/>
            <w:tcBorders>
              <w:top w:val="nil"/>
              <w:left w:val="nil"/>
              <w:bottom w:val="single" w:color="auto" w:sz="8" w:space="0"/>
              <w:right w:val="single" w:color="auto" w:sz="8" w:space="0"/>
            </w:tcBorders>
            <w:shd w:val="clear" w:color="000000" w:fill="FFFFFF"/>
            <w:vAlign w:val="center"/>
            <w:hideMark/>
          </w:tcPr>
          <w:p w:rsidRPr="00114568" w:rsidR="00114568" w:rsidP="00114568" w:rsidRDefault="00114568" w14:paraId="1FF521CE"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2,419</w:t>
            </w:r>
          </w:p>
        </w:tc>
        <w:tc>
          <w:tcPr>
            <w:tcW w:w="1982" w:type="dxa"/>
            <w:tcBorders>
              <w:top w:val="nil"/>
              <w:left w:val="nil"/>
              <w:bottom w:val="single" w:color="auto" w:sz="8" w:space="0"/>
              <w:right w:val="single" w:color="auto" w:sz="4" w:space="0"/>
            </w:tcBorders>
            <w:shd w:val="clear" w:color="000000" w:fill="FFFFFF"/>
            <w:vAlign w:val="center"/>
            <w:hideMark/>
          </w:tcPr>
          <w:p w:rsidRPr="00114568" w:rsidR="00114568" w:rsidP="00114568" w:rsidRDefault="00114568" w14:paraId="1A1EA498"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2,450</w:t>
            </w:r>
          </w:p>
        </w:tc>
        <w:tc>
          <w:tcPr>
            <w:tcW w:w="255" w:type="dxa"/>
            <w:tcBorders>
              <w:left w:val="single" w:color="auto" w:sz="4" w:space="0"/>
            </w:tcBorders>
            <w:vAlign w:val="center"/>
            <w:hideMark/>
          </w:tcPr>
          <w:p w:rsidRPr="00114568" w:rsidR="00114568" w:rsidP="00114568" w:rsidRDefault="00114568" w14:paraId="249D1D02" w14:textId="77777777">
            <w:pPr>
              <w:widowControl/>
              <w:rPr>
                <w:rFonts w:ascii="Times New Roman" w:hAnsi="Times New Roman"/>
                <w:snapToGrid/>
                <w:sz w:val="20"/>
              </w:rPr>
            </w:pPr>
          </w:p>
        </w:tc>
      </w:tr>
      <w:tr w:rsidRPr="00114568" w:rsidR="00A65FD8" w:rsidTr="00F700C8" w14:paraId="2A0F7522" w14:textId="77777777">
        <w:trPr>
          <w:trHeight w:val="214"/>
        </w:trPr>
        <w:tc>
          <w:tcPr>
            <w:tcW w:w="4668" w:type="dxa"/>
            <w:tcBorders>
              <w:top w:val="nil"/>
              <w:left w:val="single" w:color="auto" w:sz="4" w:space="0"/>
              <w:bottom w:val="single" w:color="auto" w:sz="8" w:space="0"/>
              <w:right w:val="single" w:color="auto" w:sz="8" w:space="0"/>
            </w:tcBorders>
            <w:shd w:val="clear" w:color="000000" w:fill="FFFFFF"/>
            <w:vAlign w:val="center"/>
            <w:hideMark/>
          </w:tcPr>
          <w:p w:rsidRPr="00114568" w:rsidR="00114568" w:rsidP="00114568" w:rsidRDefault="00114568" w14:paraId="405581C0" w14:textId="77777777">
            <w:pPr>
              <w:widowControl/>
              <w:rPr>
                <w:rFonts w:ascii="Times New Roman" w:hAnsi="Times New Roman"/>
                <w:snapToGrid/>
                <w:color w:val="000000"/>
                <w:sz w:val="20"/>
              </w:rPr>
            </w:pPr>
            <w:r w:rsidRPr="00114568">
              <w:rPr>
                <w:rFonts w:ascii="Times New Roman" w:hAnsi="Times New Roman"/>
                <w:snapToGrid/>
                <w:color w:val="000000"/>
                <w:sz w:val="20"/>
              </w:rPr>
              <w:t>American Samoa</w:t>
            </w:r>
          </w:p>
        </w:tc>
        <w:tc>
          <w:tcPr>
            <w:tcW w:w="1979" w:type="dxa"/>
            <w:tcBorders>
              <w:top w:val="nil"/>
              <w:left w:val="nil"/>
              <w:bottom w:val="single" w:color="auto" w:sz="12" w:space="0"/>
              <w:right w:val="single" w:color="auto" w:sz="8" w:space="0"/>
            </w:tcBorders>
            <w:shd w:val="clear" w:color="000000" w:fill="FFFFFF"/>
            <w:vAlign w:val="center"/>
            <w:hideMark/>
          </w:tcPr>
          <w:p w:rsidRPr="00114568" w:rsidR="00114568" w:rsidP="00114568" w:rsidRDefault="00114568" w14:paraId="2B5F6BCF"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511</w:t>
            </w:r>
          </w:p>
        </w:tc>
        <w:tc>
          <w:tcPr>
            <w:tcW w:w="1982" w:type="dxa"/>
            <w:tcBorders>
              <w:top w:val="nil"/>
              <w:left w:val="nil"/>
              <w:bottom w:val="single" w:color="auto" w:sz="12" w:space="0"/>
              <w:right w:val="single" w:color="auto" w:sz="4" w:space="0"/>
            </w:tcBorders>
            <w:shd w:val="clear" w:color="000000" w:fill="FFFFFF"/>
            <w:vAlign w:val="center"/>
            <w:hideMark/>
          </w:tcPr>
          <w:p w:rsidRPr="00114568" w:rsidR="00114568" w:rsidP="00114568" w:rsidRDefault="00114568" w14:paraId="06B79B80"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540</w:t>
            </w:r>
          </w:p>
        </w:tc>
        <w:tc>
          <w:tcPr>
            <w:tcW w:w="255" w:type="dxa"/>
            <w:tcBorders>
              <w:left w:val="single" w:color="auto" w:sz="4" w:space="0"/>
            </w:tcBorders>
            <w:vAlign w:val="center"/>
            <w:hideMark/>
          </w:tcPr>
          <w:p w:rsidRPr="00114568" w:rsidR="00114568" w:rsidP="00114568" w:rsidRDefault="00114568" w14:paraId="4CD532EC" w14:textId="77777777">
            <w:pPr>
              <w:widowControl/>
              <w:rPr>
                <w:rFonts w:ascii="Times New Roman" w:hAnsi="Times New Roman"/>
                <w:snapToGrid/>
                <w:sz w:val="20"/>
              </w:rPr>
            </w:pPr>
          </w:p>
        </w:tc>
      </w:tr>
      <w:tr w:rsidRPr="00114568" w:rsidR="00A65FD8" w:rsidTr="00F700C8" w14:paraId="0E6D74AE" w14:textId="77777777">
        <w:trPr>
          <w:trHeight w:val="223"/>
        </w:trPr>
        <w:tc>
          <w:tcPr>
            <w:tcW w:w="4668" w:type="dxa"/>
            <w:tcBorders>
              <w:top w:val="single" w:color="auto" w:sz="12" w:space="0"/>
              <w:left w:val="single" w:color="auto" w:sz="4" w:space="0"/>
              <w:bottom w:val="single" w:color="auto" w:sz="4" w:space="0"/>
              <w:right w:val="single" w:color="auto" w:sz="8" w:space="0"/>
            </w:tcBorders>
            <w:shd w:val="clear" w:color="000000" w:fill="FFFFFF"/>
            <w:vAlign w:val="center"/>
            <w:hideMark/>
          </w:tcPr>
          <w:p w:rsidRPr="00114568" w:rsidR="00114568" w:rsidP="00114568" w:rsidRDefault="00114568" w14:paraId="2E0D5452" w14:textId="77777777">
            <w:pPr>
              <w:widowControl/>
              <w:rPr>
                <w:rFonts w:ascii="Times New Roman" w:hAnsi="Times New Roman"/>
                <w:snapToGrid/>
                <w:color w:val="000000"/>
                <w:sz w:val="20"/>
              </w:rPr>
            </w:pPr>
            <w:r w:rsidRPr="00114568">
              <w:rPr>
                <w:rFonts w:ascii="Times New Roman" w:hAnsi="Times New Roman"/>
                <w:snapToGrid/>
                <w:color w:val="000000"/>
                <w:sz w:val="20"/>
              </w:rPr>
              <w:t>Totals</w:t>
            </w:r>
          </w:p>
        </w:tc>
        <w:tc>
          <w:tcPr>
            <w:tcW w:w="1979" w:type="dxa"/>
            <w:tcBorders>
              <w:top w:val="single" w:color="auto" w:sz="12" w:space="0"/>
              <w:left w:val="nil"/>
              <w:bottom w:val="single" w:color="auto" w:sz="4" w:space="0"/>
              <w:right w:val="single" w:color="auto" w:sz="8" w:space="0"/>
            </w:tcBorders>
            <w:shd w:val="clear" w:color="000000" w:fill="FFFFFF"/>
            <w:vAlign w:val="center"/>
            <w:hideMark/>
          </w:tcPr>
          <w:p w:rsidRPr="00114568" w:rsidR="00114568" w:rsidP="00114568" w:rsidRDefault="00114568" w14:paraId="5068A5C1"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50,739</w:t>
            </w:r>
          </w:p>
        </w:tc>
        <w:tc>
          <w:tcPr>
            <w:tcW w:w="1982" w:type="dxa"/>
            <w:tcBorders>
              <w:top w:val="single" w:color="auto" w:sz="12" w:space="0"/>
              <w:left w:val="nil"/>
              <w:bottom w:val="single" w:color="auto" w:sz="4" w:space="0"/>
              <w:right w:val="single" w:color="auto" w:sz="4" w:space="0"/>
            </w:tcBorders>
            <w:shd w:val="clear" w:color="000000" w:fill="FFFFFF"/>
            <w:vAlign w:val="center"/>
            <w:hideMark/>
          </w:tcPr>
          <w:p w:rsidRPr="00114568" w:rsidR="00114568" w:rsidP="00114568" w:rsidRDefault="00114568" w14:paraId="59ABC064" w14:textId="77777777">
            <w:pPr>
              <w:widowControl/>
              <w:jc w:val="right"/>
              <w:rPr>
                <w:rFonts w:ascii="Times New Roman" w:hAnsi="Times New Roman"/>
                <w:snapToGrid/>
                <w:color w:val="000000"/>
                <w:sz w:val="20"/>
              </w:rPr>
            </w:pPr>
            <w:r w:rsidRPr="00114568">
              <w:rPr>
                <w:rFonts w:ascii="Times New Roman" w:hAnsi="Times New Roman"/>
                <w:snapToGrid/>
                <w:color w:val="000000"/>
                <w:sz w:val="20"/>
              </w:rPr>
              <w:t>55,640</w:t>
            </w:r>
          </w:p>
        </w:tc>
        <w:tc>
          <w:tcPr>
            <w:tcW w:w="255" w:type="dxa"/>
            <w:tcBorders>
              <w:left w:val="single" w:color="auto" w:sz="4" w:space="0"/>
            </w:tcBorders>
            <w:vAlign w:val="center"/>
            <w:hideMark/>
          </w:tcPr>
          <w:p w:rsidRPr="00114568" w:rsidR="00114568" w:rsidP="00114568" w:rsidRDefault="00114568" w14:paraId="2D00B005" w14:textId="77777777">
            <w:pPr>
              <w:widowControl/>
              <w:rPr>
                <w:rFonts w:ascii="Times New Roman" w:hAnsi="Times New Roman"/>
                <w:snapToGrid/>
                <w:sz w:val="20"/>
              </w:rPr>
            </w:pPr>
          </w:p>
        </w:tc>
      </w:tr>
      <w:bookmarkEnd w:id="2"/>
    </w:tbl>
    <w:p w:rsidRPr="00917E22" w:rsidR="00114568" w:rsidP="00FF2B0C" w:rsidRDefault="00114568" w14:paraId="38AB02EE" w14:textId="77777777">
      <w:pPr>
        <w:rPr>
          <w:rFonts w:ascii="Times New Roman" w:hAnsi="Times New Roman"/>
        </w:rPr>
      </w:pPr>
    </w:p>
    <w:p w:rsidRPr="00917E22" w:rsidR="00CA73D8" w:rsidP="0067795B" w:rsidRDefault="00CA73D8" w14:paraId="6EF88E83" w14:textId="3184FB93">
      <w:pPr>
        <w:ind w:left="360"/>
        <w:rPr>
          <w:rFonts w:ascii="Times New Roman" w:hAnsi="Times New Roman"/>
        </w:rPr>
      </w:pPr>
      <w:r w:rsidRPr="00917E22">
        <w:rPr>
          <w:rFonts w:ascii="Times New Roman" w:hAnsi="Times New Roman"/>
        </w:rPr>
        <w:t xml:space="preserve">The U.S. Census Bureau’s Business Register provides the universe of establishments. </w:t>
      </w:r>
      <w:r w:rsidRPr="00917E22" w:rsidR="00AE507B">
        <w:rPr>
          <w:rFonts w:ascii="Times New Roman" w:hAnsi="Times New Roman"/>
        </w:rPr>
        <w:t>As indicated above, w</w:t>
      </w:r>
      <w:r w:rsidRPr="00917E22">
        <w:rPr>
          <w:rFonts w:ascii="Times New Roman" w:hAnsi="Times New Roman"/>
        </w:rPr>
        <w:t xml:space="preserve">e estimate the size of the universe </w:t>
      </w:r>
      <w:r w:rsidR="00640158">
        <w:rPr>
          <w:rFonts w:ascii="Times New Roman" w:hAnsi="Times New Roman"/>
        </w:rPr>
        <w:t>to</w:t>
      </w:r>
      <w:r w:rsidRPr="00917E22" w:rsidR="00640158">
        <w:rPr>
          <w:rFonts w:ascii="Times New Roman" w:hAnsi="Times New Roman"/>
        </w:rPr>
        <w:t xml:space="preserve"> </w:t>
      </w:r>
      <w:r w:rsidRPr="00917E22">
        <w:rPr>
          <w:rFonts w:ascii="Times New Roman" w:hAnsi="Times New Roman"/>
        </w:rPr>
        <w:t xml:space="preserve">be approximately </w:t>
      </w:r>
      <w:r w:rsidRPr="00917E22" w:rsidR="009C3E59">
        <w:rPr>
          <w:rFonts w:ascii="Times New Roman" w:hAnsi="Times New Roman"/>
        </w:rPr>
        <w:t>8.3 million</w:t>
      </w:r>
      <w:r w:rsidRPr="00917E22" w:rsidR="00BE26D8">
        <w:rPr>
          <w:rFonts w:ascii="Times New Roman" w:hAnsi="Times New Roman"/>
        </w:rPr>
        <w:t xml:space="preserve"> </w:t>
      </w:r>
      <w:r w:rsidRPr="00917E22">
        <w:rPr>
          <w:rFonts w:ascii="Times New Roman" w:hAnsi="Times New Roman"/>
        </w:rPr>
        <w:t xml:space="preserve">establishments in </w:t>
      </w:r>
      <w:r w:rsidRPr="00917E22" w:rsidR="001E2494">
        <w:rPr>
          <w:rFonts w:ascii="Times New Roman" w:hAnsi="Times New Roman"/>
        </w:rPr>
        <w:t>2022</w:t>
      </w:r>
      <w:r w:rsidRPr="00917E22" w:rsidR="00AE507B">
        <w:rPr>
          <w:rFonts w:ascii="Times New Roman" w:hAnsi="Times New Roman"/>
        </w:rPr>
        <w:t>.</w:t>
      </w:r>
      <w:r w:rsidRPr="00917E22" w:rsidR="00D108E9">
        <w:rPr>
          <w:rFonts w:ascii="Times New Roman" w:hAnsi="Times New Roman"/>
        </w:rPr>
        <w:t xml:space="preserve"> While all of these establishments will be </w:t>
      </w:r>
      <w:r w:rsidRPr="00917E22" w:rsidR="00D25BF8">
        <w:rPr>
          <w:rFonts w:ascii="Times New Roman" w:hAnsi="Times New Roman"/>
        </w:rPr>
        <w:t xml:space="preserve">used </w:t>
      </w:r>
      <w:r w:rsidRPr="00917E22" w:rsidR="00D108E9">
        <w:rPr>
          <w:rFonts w:ascii="Times New Roman" w:hAnsi="Times New Roman"/>
        </w:rPr>
        <w:t xml:space="preserve">to produce </w:t>
      </w:r>
      <w:r w:rsidRPr="00917E22" w:rsidR="003F1074">
        <w:rPr>
          <w:rFonts w:ascii="Times New Roman" w:hAnsi="Times New Roman"/>
        </w:rPr>
        <w:t xml:space="preserve">certain </w:t>
      </w:r>
      <w:r w:rsidRPr="00917E22" w:rsidR="00D108E9">
        <w:rPr>
          <w:rFonts w:ascii="Times New Roman" w:hAnsi="Times New Roman"/>
        </w:rPr>
        <w:t xml:space="preserve">basic </w:t>
      </w:r>
      <w:r w:rsidRPr="00917E22" w:rsidR="00C55034">
        <w:rPr>
          <w:rFonts w:ascii="Times New Roman" w:hAnsi="Times New Roman"/>
        </w:rPr>
        <w:t>statistics</w:t>
      </w:r>
      <w:r w:rsidRPr="00917E22" w:rsidR="00D108E9">
        <w:rPr>
          <w:rFonts w:ascii="Times New Roman" w:hAnsi="Times New Roman"/>
        </w:rPr>
        <w:t xml:space="preserve"> (such as </w:t>
      </w:r>
      <w:r w:rsidRPr="00917E22" w:rsidR="00307718">
        <w:rPr>
          <w:rFonts w:ascii="Times New Roman" w:hAnsi="Times New Roman"/>
        </w:rPr>
        <w:t>value of shipments/</w:t>
      </w:r>
      <w:r w:rsidRPr="00917E22" w:rsidR="00D108E9">
        <w:rPr>
          <w:rFonts w:ascii="Times New Roman" w:hAnsi="Times New Roman"/>
        </w:rPr>
        <w:t>receipts</w:t>
      </w:r>
      <w:r w:rsidRPr="00917E22" w:rsidR="00307718">
        <w:rPr>
          <w:rFonts w:ascii="Times New Roman" w:hAnsi="Times New Roman"/>
        </w:rPr>
        <w:t>/revenue/sales</w:t>
      </w:r>
      <w:r w:rsidRPr="00917E22" w:rsidR="00D108E9">
        <w:rPr>
          <w:rFonts w:ascii="Times New Roman" w:hAnsi="Times New Roman"/>
        </w:rPr>
        <w:t xml:space="preserve"> or payroll</w:t>
      </w:r>
      <w:r w:rsidRPr="00917E22" w:rsidR="00C55034">
        <w:rPr>
          <w:rFonts w:ascii="Times New Roman" w:hAnsi="Times New Roman"/>
        </w:rPr>
        <w:t xml:space="preserve"> estimates</w:t>
      </w:r>
      <w:r w:rsidRPr="00917E22" w:rsidR="00D108E9">
        <w:rPr>
          <w:rFonts w:ascii="Times New Roman" w:hAnsi="Times New Roman"/>
        </w:rPr>
        <w:t xml:space="preserve">), other </w:t>
      </w:r>
      <w:r w:rsidRPr="00917E22" w:rsidR="003F1074">
        <w:rPr>
          <w:rFonts w:ascii="Times New Roman" w:hAnsi="Times New Roman"/>
        </w:rPr>
        <w:t xml:space="preserve">industry-specific </w:t>
      </w:r>
      <w:r w:rsidRPr="00917E22" w:rsidR="00D108E9">
        <w:rPr>
          <w:rFonts w:ascii="Times New Roman" w:hAnsi="Times New Roman"/>
        </w:rPr>
        <w:t xml:space="preserve">estimates (such as product lines, class of customer, etc.) will be based on the responses of a sample of these establishments.  </w:t>
      </w:r>
    </w:p>
    <w:p w:rsidRPr="00917E22" w:rsidR="00AF4077" w:rsidRDefault="00AF4077" w14:paraId="508037B7" w14:textId="77777777">
      <w:pPr>
        <w:pStyle w:val="BodyTextIndent"/>
        <w:rPr>
          <w:rFonts w:ascii="Times New Roman" w:hAnsi="Times New Roman"/>
          <w:sz w:val="24"/>
          <w:szCs w:val="24"/>
        </w:rPr>
      </w:pPr>
    </w:p>
    <w:p w:rsidRPr="00917E22" w:rsidR="00CA73D8" w:rsidP="00891FB7" w:rsidRDefault="00CA73D8" w14:paraId="61E658B2" w14:textId="77777777">
      <w:pPr>
        <w:spacing w:after="240"/>
        <w:ind w:left="720" w:hanging="360"/>
        <w:rPr>
          <w:rFonts w:ascii="Times New Roman" w:hAnsi="Times New Roman"/>
          <w:szCs w:val="24"/>
        </w:rPr>
      </w:pPr>
      <w:r w:rsidRPr="00917E22">
        <w:rPr>
          <w:rFonts w:ascii="Times New Roman" w:hAnsi="Times New Roman"/>
          <w:szCs w:val="24"/>
        </w:rPr>
        <w:t xml:space="preserve">a. </w:t>
      </w:r>
      <w:r w:rsidRPr="00917E22" w:rsidR="00891FB7">
        <w:rPr>
          <w:rFonts w:ascii="Times New Roman" w:hAnsi="Times New Roman"/>
          <w:szCs w:val="24"/>
        </w:rPr>
        <w:tab/>
      </w:r>
      <w:r w:rsidRPr="00917E22" w:rsidR="00C55034">
        <w:rPr>
          <w:rFonts w:ascii="Times New Roman" w:hAnsi="Times New Roman"/>
          <w:szCs w:val="24"/>
        </w:rPr>
        <w:t>Sample</w:t>
      </w:r>
      <w:r w:rsidRPr="00917E22" w:rsidR="00AF4077">
        <w:rPr>
          <w:rFonts w:ascii="Times New Roman" w:hAnsi="Times New Roman"/>
          <w:szCs w:val="24"/>
        </w:rPr>
        <w:t xml:space="preserve"> Component  </w:t>
      </w:r>
    </w:p>
    <w:p w:rsidRPr="00917E22" w:rsidR="00C71AC4" w:rsidP="00AC1D3A" w:rsidRDefault="00C71AC4" w14:paraId="5CE5901C" w14:textId="68BDDD8D">
      <w:pPr>
        <w:pStyle w:val="ListParagraph"/>
        <w:rPr>
          <w:rFonts w:ascii="Times New Roman" w:hAnsi="Times New Roman"/>
        </w:rPr>
      </w:pPr>
      <w:r w:rsidRPr="00917E22">
        <w:rPr>
          <w:rFonts w:ascii="Times New Roman" w:hAnsi="Times New Roman"/>
        </w:rPr>
        <w:t>The sample component of the 20</w:t>
      </w:r>
      <w:r w:rsidRPr="00917E22" w:rsidR="009C3E59">
        <w:rPr>
          <w:rFonts w:ascii="Times New Roman" w:hAnsi="Times New Roman"/>
        </w:rPr>
        <w:t>22</w:t>
      </w:r>
      <w:r w:rsidRPr="00917E22">
        <w:rPr>
          <w:rFonts w:ascii="Times New Roman" w:hAnsi="Times New Roman"/>
        </w:rPr>
        <w:t xml:space="preserve"> Economic Census </w:t>
      </w:r>
      <w:r w:rsidRPr="00917E22" w:rsidR="00671239">
        <w:rPr>
          <w:rFonts w:ascii="Times New Roman" w:hAnsi="Times New Roman"/>
        </w:rPr>
        <w:t xml:space="preserve">will </w:t>
      </w:r>
      <w:r w:rsidRPr="00917E22">
        <w:rPr>
          <w:rFonts w:ascii="Times New Roman" w:hAnsi="Times New Roman"/>
        </w:rPr>
        <w:t>consist of three parts:</w:t>
      </w:r>
    </w:p>
    <w:p w:rsidRPr="00917E22" w:rsidR="00AC1D3A" w:rsidP="00AC1D3A" w:rsidRDefault="00AC1D3A" w14:paraId="6DD66E24" w14:textId="77777777">
      <w:pPr>
        <w:pStyle w:val="ListParagraph"/>
        <w:rPr>
          <w:rFonts w:ascii="Times New Roman" w:hAnsi="Times New Roman"/>
        </w:rPr>
      </w:pPr>
    </w:p>
    <w:p w:rsidRPr="00917E22" w:rsidR="00C71AC4" w:rsidP="00891FB7" w:rsidRDefault="00C71AC4" w14:paraId="564C5177" w14:textId="77777777">
      <w:pPr>
        <w:pStyle w:val="ListParagraph"/>
        <w:numPr>
          <w:ilvl w:val="0"/>
          <w:numId w:val="16"/>
        </w:numPr>
        <w:ind w:left="1080"/>
        <w:rPr>
          <w:rFonts w:ascii="Times New Roman" w:hAnsi="Times New Roman"/>
          <w:szCs w:val="24"/>
        </w:rPr>
      </w:pPr>
      <w:r w:rsidRPr="00917E22">
        <w:rPr>
          <w:rFonts w:ascii="Times New Roman" w:hAnsi="Times New Roman"/>
          <w:szCs w:val="24"/>
        </w:rPr>
        <w:t>all active operating establishments of multi-establishment firms,</w:t>
      </w:r>
    </w:p>
    <w:p w:rsidRPr="00917E22" w:rsidR="00C71AC4" w:rsidP="00891FB7" w:rsidRDefault="00C71AC4" w14:paraId="48DE1BC5" w14:textId="77777777">
      <w:pPr>
        <w:pStyle w:val="ListParagraph"/>
        <w:numPr>
          <w:ilvl w:val="0"/>
          <w:numId w:val="16"/>
        </w:numPr>
        <w:ind w:left="1080"/>
        <w:rPr>
          <w:rFonts w:ascii="Times New Roman" w:hAnsi="Times New Roman"/>
          <w:szCs w:val="24"/>
        </w:rPr>
      </w:pPr>
      <w:r w:rsidRPr="00917E22">
        <w:rPr>
          <w:rFonts w:ascii="Times New Roman" w:hAnsi="Times New Roman"/>
          <w:szCs w:val="24"/>
        </w:rPr>
        <w:t xml:space="preserve">all </w:t>
      </w:r>
      <w:r w:rsidRPr="00917E22" w:rsidR="00671239">
        <w:rPr>
          <w:rFonts w:ascii="Times New Roman" w:hAnsi="Times New Roman"/>
          <w:szCs w:val="24"/>
        </w:rPr>
        <w:t>(</w:t>
      </w:r>
      <w:r w:rsidRPr="00917E22" w:rsidR="001552F9">
        <w:rPr>
          <w:rFonts w:ascii="Times New Roman" w:hAnsi="Times New Roman"/>
          <w:szCs w:val="24"/>
        </w:rPr>
        <w:t>“</w:t>
      </w:r>
      <w:r w:rsidRPr="00917E22">
        <w:rPr>
          <w:rFonts w:ascii="Times New Roman" w:hAnsi="Times New Roman"/>
          <w:szCs w:val="24"/>
        </w:rPr>
        <w:t>large</w:t>
      </w:r>
      <w:r w:rsidRPr="00917E22" w:rsidR="001552F9">
        <w:rPr>
          <w:rFonts w:ascii="Times New Roman" w:hAnsi="Times New Roman"/>
          <w:szCs w:val="24"/>
        </w:rPr>
        <w:t>”</w:t>
      </w:r>
      <w:r w:rsidRPr="00917E22" w:rsidR="00671239">
        <w:rPr>
          <w:rFonts w:ascii="Times New Roman" w:hAnsi="Times New Roman"/>
          <w:szCs w:val="24"/>
        </w:rPr>
        <w:t>)</w:t>
      </w:r>
      <w:r w:rsidRPr="00917E22">
        <w:rPr>
          <w:rFonts w:ascii="Times New Roman" w:hAnsi="Times New Roman"/>
          <w:szCs w:val="24"/>
        </w:rPr>
        <w:t xml:space="preserve"> single-establishment firms whose </w:t>
      </w:r>
      <w:r w:rsidRPr="00917E22" w:rsidR="00191B57">
        <w:rPr>
          <w:rFonts w:ascii="Times New Roman" w:hAnsi="Times New Roman"/>
          <w:szCs w:val="24"/>
        </w:rPr>
        <w:t>annual</w:t>
      </w:r>
      <w:r w:rsidRPr="00917E22" w:rsidR="005B68D6">
        <w:rPr>
          <w:rFonts w:ascii="Times New Roman" w:hAnsi="Times New Roman"/>
          <w:szCs w:val="24"/>
        </w:rPr>
        <w:t>ized</w:t>
      </w:r>
      <w:r w:rsidRPr="00917E22" w:rsidR="00191B57">
        <w:rPr>
          <w:rFonts w:ascii="Times New Roman" w:hAnsi="Times New Roman"/>
          <w:szCs w:val="24"/>
        </w:rPr>
        <w:t xml:space="preserve"> </w:t>
      </w:r>
      <w:r w:rsidRPr="00917E22">
        <w:rPr>
          <w:rFonts w:ascii="Times New Roman" w:hAnsi="Times New Roman"/>
          <w:szCs w:val="24"/>
        </w:rPr>
        <w:t xml:space="preserve">payroll is above an industry-specific </w:t>
      </w:r>
      <w:r w:rsidRPr="00917E22" w:rsidR="001537DB">
        <w:rPr>
          <w:rFonts w:ascii="Times New Roman" w:hAnsi="Times New Roman"/>
          <w:szCs w:val="24"/>
        </w:rPr>
        <w:t xml:space="preserve">payroll </w:t>
      </w:r>
      <w:r w:rsidRPr="00917E22" w:rsidR="00191B57">
        <w:rPr>
          <w:rFonts w:ascii="Times New Roman" w:hAnsi="Times New Roman"/>
          <w:szCs w:val="24"/>
        </w:rPr>
        <w:t>cutoff, and</w:t>
      </w:r>
    </w:p>
    <w:p w:rsidRPr="00917E22" w:rsidR="00C71AC4" w:rsidP="00891FB7" w:rsidRDefault="00C71AC4" w14:paraId="0BDC30BB" w14:textId="77777777">
      <w:pPr>
        <w:pStyle w:val="ListParagraph"/>
        <w:numPr>
          <w:ilvl w:val="0"/>
          <w:numId w:val="16"/>
        </w:numPr>
        <w:ind w:left="1080"/>
        <w:rPr>
          <w:rFonts w:ascii="Times New Roman" w:hAnsi="Times New Roman"/>
          <w:szCs w:val="24"/>
        </w:rPr>
      </w:pPr>
      <w:r w:rsidRPr="00917E22">
        <w:rPr>
          <w:rFonts w:ascii="Times New Roman" w:hAnsi="Times New Roman"/>
          <w:szCs w:val="24"/>
        </w:rPr>
        <w:t xml:space="preserve">a </w:t>
      </w:r>
      <w:r w:rsidRPr="00917E22" w:rsidR="00191B57">
        <w:rPr>
          <w:rFonts w:ascii="Times New Roman" w:hAnsi="Times New Roman"/>
          <w:szCs w:val="24"/>
        </w:rPr>
        <w:t xml:space="preserve">stratified </w:t>
      </w:r>
      <w:r w:rsidRPr="00917E22">
        <w:rPr>
          <w:rFonts w:ascii="Times New Roman" w:hAnsi="Times New Roman"/>
          <w:szCs w:val="24"/>
        </w:rPr>
        <w:t xml:space="preserve">sample </w:t>
      </w:r>
      <w:r w:rsidRPr="00917E22" w:rsidR="00191B57">
        <w:rPr>
          <w:rFonts w:ascii="Times New Roman" w:hAnsi="Times New Roman"/>
          <w:szCs w:val="24"/>
        </w:rPr>
        <w:t>selected from</w:t>
      </w:r>
      <w:r w:rsidRPr="00917E22">
        <w:rPr>
          <w:rFonts w:ascii="Times New Roman" w:hAnsi="Times New Roman"/>
          <w:szCs w:val="24"/>
        </w:rPr>
        <w:t xml:space="preserve"> the remaining (</w:t>
      </w:r>
      <w:r w:rsidRPr="00917E22" w:rsidR="001552F9">
        <w:rPr>
          <w:rFonts w:ascii="Times New Roman" w:hAnsi="Times New Roman"/>
          <w:szCs w:val="24"/>
        </w:rPr>
        <w:t>“</w:t>
      </w:r>
      <w:r w:rsidRPr="00917E22">
        <w:rPr>
          <w:rFonts w:ascii="Times New Roman" w:hAnsi="Times New Roman"/>
          <w:szCs w:val="24"/>
        </w:rPr>
        <w:t>small</w:t>
      </w:r>
      <w:r w:rsidRPr="00917E22" w:rsidR="001552F9">
        <w:rPr>
          <w:rFonts w:ascii="Times New Roman" w:hAnsi="Times New Roman"/>
          <w:szCs w:val="24"/>
        </w:rPr>
        <w:t>”</w:t>
      </w:r>
      <w:r w:rsidRPr="00917E22">
        <w:rPr>
          <w:rFonts w:ascii="Times New Roman" w:hAnsi="Times New Roman"/>
          <w:szCs w:val="24"/>
        </w:rPr>
        <w:t>) single-establishment firms</w:t>
      </w:r>
      <w:r w:rsidRPr="00917E22" w:rsidR="00E6221C">
        <w:rPr>
          <w:rFonts w:ascii="Times New Roman" w:hAnsi="Times New Roman"/>
          <w:szCs w:val="24"/>
        </w:rPr>
        <w:t>.</w:t>
      </w:r>
    </w:p>
    <w:p w:rsidRPr="00917E22" w:rsidR="00E6221C" w:rsidP="00E6221C" w:rsidRDefault="00E6221C" w14:paraId="19463972" w14:textId="77777777">
      <w:pPr>
        <w:pStyle w:val="ListParagraph"/>
        <w:ind w:left="1080"/>
        <w:rPr>
          <w:rFonts w:ascii="Times New Roman" w:hAnsi="Times New Roman"/>
          <w:szCs w:val="24"/>
        </w:rPr>
      </w:pPr>
    </w:p>
    <w:p w:rsidRPr="00917E22" w:rsidR="00015D05" w:rsidP="00AC1D3A" w:rsidRDefault="00015D05" w14:paraId="36169724" w14:textId="3100D86B">
      <w:pPr>
        <w:pStyle w:val="ListParagraph"/>
        <w:rPr>
          <w:rFonts w:ascii="Times New Roman" w:hAnsi="Times New Roman"/>
        </w:rPr>
      </w:pPr>
      <w:r w:rsidRPr="00917E22">
        <w:rPr>
          <w:rFonts w:ascii="Times New Roman" w:hAnsi="Times New Roman"/>
        </w:rPr>
        <w:t xml:space="preserve">The “Sample Component” columns of Table 2 indicate the expected size of </w:t>
      </w:r>
      <w:r w:rsidRPr="00917E22" w:rsidR="00931428">
        <w:rPr>
          <w:rFonts w:ascii="Times New Roman" w:hAnsi="Times New Roman"/>
        </w:rPr>
        <w:t>each of these three components by sector</w:t>
      </w:r>
      <w:r w:rsidRPr="00917E22" w:rsidR="00D647AB">
        <w:rPr>
          <w:rFonts w:ascii="Times New Roman" w:hAnsi="Times New Roman"/>
        </w:rPr>
        <w:t xml:space="preserve"> for the Stateside component</w:t>
      </w:r>
      <w:r w:rsidRPr="00917E22" w:rsidR="00931428">
        <w:rPr>
          <w:rFonts w:ascii="Times New Roman" w:hAnsi="Times New Roman"/>
        </w:rPr>
        <w:t xml:space="preserve">. </w:t>
      </w:r>
      <w:r w:rsidRPr="00917E22">
        <w:rPr>
          <w:rFonts w:ascii="Times New Roman" w:hAnsi="Times New Roman"/>
        </w:rPr>
        <w:t xml:space="preserve">Paragraph B.2.a, below, </w:t>
      </w:r>
      <w:r w:rsidRPr="00917E22" w:rsidR="00125F42">
        <w:rPr>
          <w:rFonts w:ascii="Times New Roman" w:hAnsi="Times New Roman"/>
        </w:rPr>
        <w:t>describes</w:t>
      </w:r>
      <w:r w:rsidRPr="00917E22">
        <w:rPr>
          <w:rFonts w:ascii="Times New Roman" w:hAnsi="Times New Roman"/>
        </w:rPr>
        <w:t xml:space="preserve"> the selection procedures in more detail.</w:t>
      </w:r>
      <w:r w:rsidRPr="00917E22" w:rsidR="00C82CA8">
        <w:rPr>
          <w:rFonts w:ascii="Times New Roman" w:hAnsi="Times New Roman"/>
        </w:rPr>
        <w:t xml:space="preserve"> Attachment B shows expected counts at the 6-digit NAICS level</w:t>
      </w:r>
      <w:r w:rsidRPr="00917E22" w:rsidR="00D647AB">
        <w:rPr>
          <w:rFonts w:ascii="Times New Roman" w:hAnsi="Times New Roman"/>
        </w:rPr>
        <w:t xml:space="preserve"> for the Stateside component</w:t>
      </w:r>
      <w:r w:rsidR="004F6482">
        <w:rPr>
          <w:rFonts w:ascii="Times New Roman" w:hAnsi="Times New Roman"/>
        </w:rPr>
        <w:t xml:space="preserve">. </w:t>
      </w:r>
      <w:r w:rsidRPr="00917E22" w:rsidR="004F6482">
        <w:rPr>
          <w:rFonts w:ascii="Times New Roman" w:hAnsi="Times New Roman"/>
          <w:szCs w:val="24"/>
        </w:rPr>
        <w:t>For the Island Areas component, all single-establishment firms with payroll will be included in the Economic Census</w:t>
      </w:r>
      <w:r w:rsidR="004C32EA">
        <w:rPr>
          <w:rFonts w:ascii="Times New Roman" w:hAnsi="Times New Roman"/>
          <w:szCs w:val="24"/>
        </w:rPr>
        <w:t>.</w:t>
      </w:r>
      <w:r w:rsidR="00955C2B">
        <w:rPr>
          <w:rFonts w:ascii="Times New Roman" w:hAnsi="Times New Roman"/>
          <w:szCs w:val="24"/>
        </w:rPr>
        <w:t xml:space="preserve"> </w:t>
      </w:r>
      <w:r w:rsidR="004C32EA">
        <w:rPr>
          <w:rFonts w:ascii="Times New Roman" w:hAnsi="Times New Roman"/>
          <w:szCs w:val="24"/>
        </w:rPr>
        <w:t xml:space="preserve">In other words, </w:t>
      </w:r>
      <w:r w:rsidRPr="0027415D" w:rsidR="00474F00">
        <w:rPr>
          <w:rFonts w:ascii="Times New Roman" w:hAnsi="Times New Roman"/>
        </w:rPr>
        <w:t>the sample is the same as the universe</w:t>
      </w:r>
      <w:r w:rsidRPr="00474F00" w:rsidR="00474F00">
        <w:rPr>
          <w:rFonts w:ascii="Times New Roman" w:hAnsi="Times New Roman"/>
          <w:szCs w:val="24"/>
        </w:rPr>
        <w:t>.</w:t>
      </w:r>
    </w:p>
    <w:p w:rsidR="00015D05" w:rsidP="00DE3A49" w:rsidRDefault="00015D05" w14:paraId="1BB119EB" w14:textId="7FEBD317">
      <w:pPr>
        <w:rPr>
          <w:rFonts w:ascii="Times New Roman" w:hAnsi="Times New Roman"/>
          <w:szCs w:val="24"/>
        </w:rPr>
      </w:pPr>
    </w:p>
    <w:p w:rsidR="00A27CBD" w:rsidP="00891FB7" w:rsidRDefault="00A27CBD" w14:paraId="020CCC93" w14:textId="77777777">
      <w:pPr>
        <w:ind w:left="720"/>
        <w:rPr>
          <w:rFonts w:ascii="Times New Roman" w:hAnsi="Times New Roman"/>
          <w:b/>
          <w:sz w:val="22"/>
          <w:szCs w:val="22"/>
        </w:rPr>
      </w:pPr>
    </w:p>
    <w:p w:rsidRPr="00917E22" w:rsidR="00931428" w:rsidP="0051692D" w:rsidRDefault="0051692D" w14:paraId="743C1E0A" w14:textId="09022324">
      <w:pPr>
        <w:ind w:left="720"/>
        <w:rPr>
          <w:rFonts w:ascii="Times New Roman" w:hAnsi="Times New Roman"/>
          <w:b/>
          <w:sz w:val="22"/>
          <w:szCs w:val="22"/>
        </w:rPr>
      </w:pPr>
      <w:r>
        <w:rPr>
          <w:rFonts w:ascii="Times New Roman" w:hAnsi="Times New Roman"/>
          <w:b/>
          <w:sz w:val="22"/>
          <w:szCs w:val="22"/>
        </w:rPr>
        <w:lastRenderedPageBreak/>
        <w:t xml:space="preserve">   </w:t>
      </w:r>
      <w:r w:rsidRPr="00917E22" w:rsidR="00931428">
        <w:rPr>
          <w:rFonts w:ascii="Times New Roman" w:hAnsi="Times New Roman"/>
          <w:b/>
          <w:sz w:val="22"/>
          <w:szCs w:val="22"/>
        </w:rPr>
        <w:t xml:space="preserve">Table </w:t>
      </w:r>
      <w:r w:rsidRPr="00917E22" w:rsidR="001552F9">
        <w:rPr>
          <w:rFonts w:ascii="Times New Roman" w:hAnsi="Times New Roman"/>
          <w:b/>
          <w:sz w:val="22"/>
          <w:szCs w:val="22"/>
        </w:rPr>
        <w:t>2</w:t>
      </w:r>
      <w:r w:rsidRPr="00917E22" w:rsidR="00931428">
        <w:rPr>
          <w:rFonts w:ascii="Times New Roman" w:hAnsi="Times New Roman"/>
          <w:b/>
          <w:sz w:val="22"/>
          <w:szCs w:val="22"/>
        </w:rPr>
        <w:t xml:space="preserve">: </w:t>
      </w:r>
      <w:r w:rsidRPr="00917E22" w:rsidR="007E0BD6">
        <w:rPr>
          <w:rFonts w:ascii="Times New Roman" w:hAnsi="Times New Roman"/>
          <w:b/>
          <w:sz w:val="22"/>
          <w:szCs w:val="22"/>
        </w:rPr>
        <w:t>20</w:t>
      </w:r>
      <w:r w:rsidRPr="00917E22" w:rsidR="0079208D">
        <w:rPr>
          <w:rFonts w:ascii="Times New Roman" w:hAnsi="Times New Roman"/>
          <w:b/>
          <w:sz w:val="22"/>
          <w:szCs w:val="22"/>
        </w:rPr>
        <w:t>22</w:t>
      </w:r>
      <w:r w:rsidRPr="00917E22" w:rsidR="007E0BD6">
        <w:rPr>
          <w:rFonts w:ascii="Times New Roman" w:hAnsi="Times New Roman"/>
          <w:b/>
          <w:sz w:val="22"/>
          <w:szCs w:val="22"/>
        </w:rPr>
        <w:t xml:space="preserve"> </w:t>
      </w:r>
      <w:r w:rsidRPr="00917E22" w:rsidR="00931428">
        <w:rPr>
          <w:rFonts w:ascii="Times New Roman" w:hAnsi="Times New Roman"/>
          <w:b/>
          <w:sz w:val="22"/>
          <w:szCs w:val="22"/>
        </w:rPr>
        <w:t>Economic Census</w:t>
      </w:r>
      <w:r w:rsidRPr="00917E22" w:rsidR="00750432">
        <w:rPr>
          <w:rFonts w:ascii="Times New Roman" w:hAnsi="Times New Roman"/>
          <w:b/>
          <w:sz w:val="22"/>
          <w:szCs w:val="22"/>
        </w:rPr>
        <w:t xml:space="preserve"> Stateside</w:t>
      </w:r>
      <w:r w:rsidRPr="00917E22" w:rsidR="00931428">
        <w:rPr>
          <w:rFonts w:ascii="Times New Roman" w:hAnsi="Times New Roman"/>
          <w:b/>
          <w:sz w:val="22"/>
          <w:szCs w:val="22"/>
        </w:rPr>
        <w:t xml:space="preserve"> </w:t>
      </w:r>
      <w:r w:rsidRPr="00917E22" w:rsidR="007E0BD6">
        <w:rPr>
          <w:rFonts w:ascii="Times New Roman" w:hAnsi="Times New Roman"/>
          <w:b/>
          <w:sz w:val="22"/>
          <w:szCs w:val="22"/>
        </w:rPr>
        <w:t>Estimated Sample Sizes</w:t>
      </w:r>
    </w:p>
    <w:tbl>
      <w:tblPr>
        <w:tblStyle w:val="TableGrid"/>
        <w:tblW w:w="8416" w:type="dxa"/>
        <w:tblInd w:w="828" w:type="dxa"/>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865"/>
        <w:gridCol w:w="1975"/>
        <w:gridCol w:w="1202"/>
        <w:gridCol w:w="1203"/>
        <w:gridCol w:w="1288"/>
        <w:gridCol w:w="1030"/>
        <w:gridCol w:w="853"/>
      </w:tblGrid>
      <w:tr w:rsidRPr="0077661A" w:rsidR="00750432" w:rsidTr="002D6DDB" w14:paraId="36B132BB" w14:textId="77777777">
        <w:trPr>
          <w:trHeight w:val="255"/>
        </w:trPr>
        <w:tc>
          <w:tcPr>
            <w:tcW w:w="865" w:type="dxa"/>
            <w:vMerge w:val="restart"/>
            <w:shd w:val="clear" w:color="auto" w:fill="F2F2F2" w:themeFill="background1" w:themeFillShade="F2"/>
            <w:vAlign w:val="center"/>
          </w:tcPr>
          <w:p w:rsidRPr="00DB54E1" w:rsidR="00750432" w:rsidP="00CB0CFE" w:rsidRDefault="00750432" w14:paraId="1D7083D0" w14:textId="77777777">
            <w:pPr>
              <w:jc w:val="center"/>
              <w:rPr>
                <w:rFonts w:ascii="Times New Roman" w:hAnsi="Times New Roman"/>
                <w:b/>
                <w:sz w:val="19"/>
                <w:szCs w:val="19"/>
              </w:rPr>
            </w:pPr>
            <w:r w:rsidRPr="00DB54E1">
              <w:rPr>
                <w:rFonts w:ascii="Times New Roman" w:hAnsi="Times New Roman"/>
                <w:b/>
                <w:sz w:val="19"/>
                <w:szCs w:val="19"/>
              </w:rPr>
              <w:t>Sector</w:t>
            </w:r>
          </w:p>
        </w:tc>
        <w:tc>
          <w:tcPr>
            <w:tcW w:w="4380" w:type="dxa"/>
            <w:gridSpan w:val="3"/>
            <w:shd w:val="clear" w:color="auto" w:fill="F2F2F2" w:themeFill="background1" w:themeFillShade="F2"/>
            <w:vAlign w:val="center"/>
          </w:tcPr>
          <w:p w:rsidRPr="00DB54E1" w:rsidR="00750432" w:rsidP="00CB0CFE" w:rsidRDefault="00750432" w14:paraId="007D96F0" w14:textId="77777777">
            <w:pPr>
              <w:jc w:val="center"/>
              <w:rPr>
                <w:rFonts w:ascii="Times New Roman" w:hAnsi="Times New Roman"/>
                <w:b/>
                <w:sz w:val="19"/>
                <w:szCs w:val="19"/>
              </w:rPr>
            </w:pPr>
            <w:r w:rsidRPr="00DB54E1">
              <w:rPr>
                <w:rFonts w:ascii="Times New Roman" w:hAnsi="Times New Roman"/>
                <w:b/>
                <w:sz w:val="19"/>
                <w:szCs w:val="19"/>
              </w:rPr>
              <w:t>Sample Component</w:t>
            </w:r>
          </w:p>
        </w:tc>
        <w:tc>
          <w:tcPr>
            <w:tcW w:w="3171" w:type="dxa"/>
            <w:gridSpan w:val="3"/>
            <w:tcBorders>
              <w:bottom w:val="single" w:color="auto" w:sz="4" w:space="0"/>
            </w:tcBorders>
            <w:shd w:val="clear" w:color="auto" w:fill="F2F2F2" w:themeFill="background1" w:themeFillShade="F2"/>
            <w:vAlign w:val="center"/>
          </w:tcPr>
          <w:p w:rsidRPr="00DB54E1" w:rsidR="00750432" w:rsidP="00CB0CFE" w:rsidRDefault="00750432" w14:paraId="6D141687" w14:textId="77777777">
            <w:pPr>
              <w:jc w:val="center"/>
              <w:rPr>
                <w:rFonts w:ascii="Times New Roman" w:hAnsi="Times New Roman"/>
                <w:b/>
                <w:sz w:val="19"/>
                <w:szCs w:val="19"/>
              </w:rPr>
            </w:pPr>
            <w:r w:rsidRPr="00DB54E1">
              <w:rPr>
                <w:rFonts w:ascii="Times New Roman" w:hAnsi="Times New Roman"/>
                <w:b/>
                <w:sz w:val="19"/>
                <w:szCs w:val="19"/>
              </w:rPr>
              <w:t>Non-Sample Component</w:t>
            </w:r>
          </w:p>
        </w:tc>
      </w:tr>
      <w:tr w:rsidRPr="0077661A" w:rsidR="00750432" w:rsidTr="002D6DDB" w14:paraId="31D9248E" w14:textId="77777777">
        <w:trPr>
          <w:trHeight w:val="255"/>
        </w:trPr>
        <w:tc>
          <w:tcPr>
            <w:tcW w:w="865" w:type="dxa"/>
            <w:vMerge/>
            <w:tcBorders>
              <w:bottom w:val="double" w:color="auto" w:sz="4" w:space="0"/>
            </w:tcBorders>
            <w:shd w:val="clear" w:color="auto" w:fill="F2F2F2" w:themeFill="background1" w:themeFillShade="F2"/>
          </w:tcPr>
          <w:p w:rsidRPr="00DB54E1" w:rsidR="00750432" w:rsidP="00CB0CFE" w:rsidRDefault="00750432" w14:paraId="46F3EE59" w14:textId="77777777">
            <w:pPr>
              <w:jc w:val="center"/>
              <w:rPr>
                <w:rFonts w:ascii="Times New Roman" w:hAnsi="Times New Roman"/>
                <w:b/>
                <w:sz w:val="19"/>
                <w:szCs w:val="19"/>
              </w:rPr>
            </w:pPr>
          </w:p>
        </w:tc>
        <w:tc>
          <w:tcPr>
            <w:tcW w:w="1975" w:type="dxa"/>
            <w:vMerge w:val="restart"/>
            <w:shd w:val="clear" w:color="auto" w:fill="F2F2F2" w:themeFill="background1" w:themeFillShade="F2"/>
            <w:vAlign w:val="center"/>
          </w:tcPr>
          <w:p w:rsidRPr="00DB54E1" w:rsidR="00750432" w:rsidP="00CB0CFE" w:rsidRDefault="00750432" w14:paraId="170BB1F0" w14:textId="77777777">
            <w:pPr>
              <w:jc w:val="center"/>
              <w:rPr>
                <w:rFonts w:ascii="Times New Roman" w:hAnsi="Times New Roman"/>
                <w:sz w:val="19"/>
                <w:szCs w:val="19"/>
              </w:rPr>
            </w:pPr>
            <w:r w:rsidRPr="00DB54E1">
              <w:rPr>
                <w:rFonts w:ascii="Times New Roman" w:hAnsi="Times New Roman"/>
                <w:sz w:val="19"/>
                <w:szCs w:val="19"/>
              </w:rPr>
              <w:t xml:space="preserve">Establishments of Multi-Establishment Firms </w:t>
            </w:r>
          </w:p>
          <w:p w:rsidRPr="00DB54E1" w:rsidR="00750432" w:rsidP="00CB0CFE" w:rsidRDefault="00750432" w14:paraId="36B6035A" w14:textId="77777777">
            <w:pPr>
              <w:jc w:val="center"/>
              <w:rPr>
                <w:rFonts w:ascii="Times New Roman" w:hAnsi="Times New Roman"/>
                <w:sz w:val="19"/>
                <w:szCs w:val="19"/>
              </w:rPr>
            </w:pPr>
            <w:r w:rsidRPr="00DB54E1">
              <w:rPr>
                <w:rFonts w:ascii="Times New Roman" w:hAnsi="Times New Roman"/>
                <w:sz w:val="19"/>
                <w:szCs w:val="19"/>
              </w:rPr>
              <w:t>(Selected w/ certainty)</w:t>
            </w:r>
          </w:p>
        </w:tc>
        <w:tc>
          <w:tcPr>
            <w:tcW w:w="2404" w:type="dxa"/>
            <w:gridSpan w:val="2"/>
            <w:tcBorders>
              <w:bottom w:val="single" w:color="auto" w:sz="4" w:space="0"/>
            </w:tcBorders>
            <w:shd w:val="clear" w:color="auto" w:fill="F2F2F2" w:themeFill="background1" w:themeFillShade="F2"/>
          </w:tcPr>
          <w:p w:rsidRPr="00DB54E1" w:rsidR="00750432" w:rsidP="00CB0CFE" w:rsidRDefault="00750432" w14:paraId="7FAB7240" w14:textId="77777777">
            <w:pPr>
              <w:jc w:val="center"/>
              <w:rPr>
                <w:rFonts w:ascii="Times New Roman" w:hAnsi="Times New Roman"/>
                <w:sz w:val="19"/>
                <w:szCs w:val="19"/>
              </w:rPr>
            </w:pPr>
            <w:r w:rsidRPr="00DB54E1">
              <w:rPr>
                <w:rFonts w:ascii="Times New Roman" w:hAnsi="Times New Roman"/>
                <w:sz w:val="19"/>
                <w:szCs w:val="19"/>
              </w:rPr>
              <w:t>Single-Establishment Firms</w:t>
            </w:r>
          </w:p>
        </w:tc>
        <w:tc>
          <w:tcPr>
            <w:tcW w:w="1288" w:type="dxa"/>
            <w:vMerge w:val="restart"/>
            <w:tcBorders>
              <w:top w:val="single" w:color="auto" w:sz="4" w:space="0"/>
            </w:tcBorders>
            <w:shd w:val="clear" w:color="auto" w:fill="F2F2F2" w:themeFill="background1" w:themeFillShade="F2"/>
            <w:vAlign w:val="center"/>
          </w:tcPr>
          <w:p w:rsidRPr="00DB54E1" w:rsidR="00750432" w:rsidP="00CB0CFE" w:rsidRDefault="00750432" w14:paraId="6F4B0A4B" w14:textId="37F195D8">
            <w:pPr>
              <w:jc w:val="center"/>
              <w:rPr>
                <w:rFonts w:ascii="Times New Roman" w:hAnsi="Times New Roman"/>
                <w:sz w:val="19"/>
                <w:szCs w:val="19"/>
                <w:vertAlign w:val="superscript"/>
              </w:rPr>
            </w:pPr>
            <w:r w:rsidRPr="00DB54E1">
              <w:rPr>
                <w:rFonts w:ascii="Times New Roman" w:hAnsi="Times New Roman"/>
                <w:sz w:val="19"/>
                <w:szCs w:val="19"/>
              </w:rPr>
              <w:t>Classification Information Required</w:t>
            </w:r>
          </w:p>
        </w:tc>
        <w:tc>
          <w:tcPr>
            <w:tcW w:w="1030" w:type="dxa"/>
            <w:vMerge w:val="restart"/>
            <w:tcBorders>
              <w:top w:val="single" w:color="auto" w:sz="4" w:space="0"/>
            </w:tcBorders>
            <w:shd w:val="clear" w:color="auto" w:fill="F2F2F2" w:themeFill="background1" w:themeFillShade="F2"/>
            <w:vAlign w:val="center"/>
          </w:tcPr>
          <w:p w:rsidRPr="00DB54E1" w:rsidR="00750432" w:rsidP="00CB0CFE" w:rsidRDefault="00750432" w14:paraId="2CD6C1A1" w14:textId="77777777">
            <w:pPr>
              <w:jc w:val="center"/>
              <w:rPr>
                <w:rFonts w:ascii="Times New Roman" w:hAnsi="Times New Roman"/>
                <w:sz w:val="19"/>
                <w:szCs w:val="19"/>
              </w:rPr>
            </w:pPr>
            <w:r w:rsidRPr="00DB54E1">
              <w:rPr>
                <w:rFonts w:ascii="Times New Roman" w:hAnsi="Times New Roman"/>
                <w:sz w:val="19"/>
                <w:szCs w:val="19"/>
              </w:rPr>
              <w:t>Not Mailed</w:t>
            </w:r>
          </w:p>
        </w:tc>
        <w:tc>
          <w:tcPr>
            <w:tcW w:w="852" w:type="dxa"/>
            <w:vMerge w:val="restart"/>
            <w:tcBorders>
              <w:top w:val="single" w:color="auto" w:sz="4" w:space="0"/>
            </w:tcBorders>
            <w:shd w:val="clear" w:color="auto" w:fill="F2F2F2" w:themeFill="background1" w:themeFillShade="F2"/>
            <w:vAlign w:val="center"/>
          </w:tcPr>
          <w:p w:rsidRPr="00DB54E1" w:rsidR="00750432" w:rsidP="00CB0CFE" w:rsidRDefault="00750432" w14:paraId="45CF03FF" w14:textId="77777777">
            <w:pPr>
              <w:jc w:val="center"/>
              <w:rPr>
                <w:rFonts w:ascii="Times New Roman" w:hAnsi="Times New Roman"/>
                <w:sz w:val="19"/>
                <w:szCs w:val="19"/>
              </w:rPr>
            </w:pPr>
            <w:r w:rsidRPr="00DB54E1">
              <w:rPr>
                <w:rFonts w:ascii="Times New Roman" w:hAnsi="Times New Roman"/>
                <w:sz w:val="19"/>
                <w:szCs w:val="19"/>
              </w:rPr>
              <w:t>4</w:t>
            </w:r>
            <w:r w:rsidRPr="00DB54E1">
              <w:rPr>
                <w:rFonts w:ascii="Times New Roman" w:hAnsi="Times New Roman"/>
                <w:sz w:val="19"/>
                <w:szCs w:val="19"/>
                <w:vertAlign w:val="superscript"/>
              </w:rPr>
              <w:t>th</w:t>
            </w:r>
            <w:r w:rsidRPr="00DB54E1">
              <w:rPr>
                <w:rFonts w:ascii="Times New Roman" w:hAnsi="Times New Roman"/>
                <w:sz w:val="19"/>
                <w:szCs w:val="19"/>
              </w:rPr>
              <w:t xml:space="preserve"> Quarter Births</w:t>
            </w:r>
          </w:p>
        </w:tc>
      </w:tr>
      <w:tr w:rsidRPr="0077661A" w:rsidR="00750432" w:rsidTr="002D6DDB" w14:paraId="6C0544E2" w14:textId="77777777">
        <w:trPr>
          <w:trHeight w:val="255"/>
        </w:trPr>
        <w:tc>
          <w:tcPr>
            <w:tcW w:w="865" w:type="dxa"/>
            <w:vMerge/>
            <w:tcBorders>
              <w:bottom w:val="double" w:color="auto" w:sz="4" w:space="0"/>
            </w:tcBorders>
            <w:shd w:val="clear" w:color="auto" w:fill="F2F2F2" w:themeFill="background1" w:themeFillShade="F2"/>
          </w:tcPr>
          <w:p w:rsidRPr="00DB54E1" w:rsidR="00750432" w:rsidP="00CB0CFE" w:rsidRDefault="00750432" w14:paraId="725C2A08" w14:textId="77777777">
            <w:pPr>
              <w:jc w:val="center"/>
              <w:rPr>
                <w:rFonts w:ascii="Times New Roman" w:hAnsi="Times New Roman"/>
                <w:b/>
                <w:sz w:val="19"/>
                <w:szCs w:val="19"/>
              </w:rPr>
            </w:pPr>
          </w:p>
        </w:tc>
        <w:tc>
          <w:tcPr>
            <w:tcW w:w="1975" w:type="dxa"/>
            <w:vMerge/>
            <w:tcBorders>
              <w:bottom w:val="double" w:color="auto" w:sz="4" w:space="0"/>
            </w:tcBorders>
            <w:shd w:val="clear" w:color="auto" w:fill="F2F2F2" w:themeFill="background1" w:themeFillShade="F2"/>
          </w:tcPr>
          <w:p w:rsidRPr="00DB54E1" w:rsidR="00750432" w:rsidP="00CB0CFE" w:rsidRDefault="00750432" w14:paraId="54C57BED" w14:textId="77777777">
            <w:pPr>
              <w:jc w:val="center"/>
              <w:rPr>
                <w:rFonts w:ascii="Times New Roman" w:hAnsi="Times New Roman"/>
                <w:b/>
                <w:sz w:val="19"/>
                <w:szCs w:val="19"/>
              </w:rPr>
            </w:pPr>
          </w:p>
        </w:tc>
        <w:tc>
          <w:tcPr>
            <w:tcW w:w="1202" w:type="dxa"/>
            <w:tcBorders>
              <w:bottom w:val="double" w:color="auto" w:sz="4" w:space="0"/>
            </w:tcBorders>
            <w:shd w:val="clear" w:color="auto" w:fill="F2F2F2" w:themeFill="background1" w:themeFillShade="F2"/>
            <w:vAlign w:val="center"/>
          </w:tcPr>
          <w:p w:rsidRPr="00DB54E1" w:rsidR="00750432" w:rsidP="00CB0CFE" w:rsidRDefault="00750432" w14:paraId="3730193A" w14:textId="77777777">
            <w:pPr>
              <w:jc w:val="center"/>
              <w:rPr>
                <w:rFonts w:ascii="Times New Roman" w:hAnsi="Times New Roman"/>
                <w:sz w:val="19"/>
                <w:szCs w:val="19"/>
              </w:rPr>
            </w:pPr>
            <w:r w:rsidRPr="00DB54E1">
              <w:rPr>
                <w:rFonts w:ascii="Times New Roman" w:hAnsi="Times New Roman"/>
                <w:sz w:val="19"/>
                <w:szCs w:val="19"/>
              </w:rPr>
              <w:t>“Large”</w:t>
            </w:r>
          </w:p>
          <w:p w:rsidRPr="00DB54E1" w:rsidR="00750432" w:rsidP="00CB0CFE" w:rsidRDefault="00750432" w14:paraId="4B448FA6" w14:textId="77777777">
            <w:pPr>
              <w:jc w:val="center"/>
              <w:rPr>
                <w:rFonts w:ascii="Times New Roman" w:hAnsi="Times New Roman"/>
                <w:sz w:val="19"/>
                <w:szCs w:val="19"/>
              </w:rPr>
            </w:pPr>
            <w:r w:rsidRPr="00DB54E1">
              <w:rPr>
                <w:rFonts w:ascii="Times New Roman" w:hAnsi="Times New Roman"/>
                <w:sz w:val="19"/>
                <w:szCs w:val="19"/>
              </w:rPr>
              <w:t>(Selected w/ certainty)</w:t>
            </w:r>
          </w:p>
        </w:tc>
        <w:tc>
          <w:tcPr>
            <w:tcW w:w="1202" w:type="dxa"/>
            <w:tcBorders>
              <w:top w:val="single" w:color="auto" w:sz="4" w:space="0"/>
              <w:bottom w:val="double" w:color="auto" w:sz="4" w:space="0"/>
            </w:tcBorders>
            <w:shd w:val="clear" w:color="auto" w:fill="F2F2F2" w:themeFill="background1" w:themeFillShade="F2"/>
            <w:vAlign w:val="center"/>
          </w:tcPr>
          <w:p w:rsidRPr="00DB54E1" w:rsidR="00750432" w:rsidP="00CB0CFE" w:rsidRDefault="00750432" w14:paraId="2047BB62" w14:textId="77777777">
            <w:pPr>
              <w:jc w:val="center"/>
              <w:rPr>
                <w:rFonts w:ascii="Times New Roman" w:hAnsi="Times New Roman"/>
                <w:sz w:val="19"/>
                <w:szCs w:val="19"/>
              </w:rPr>
            </w:pPr>
            <w:r w:rsidRPr="00DB54E1">
              <w:rPr>
                <w:rFonts w:ascii="Times New Roman" w:hAnsi="Times New Roman"/>
                <w:sz w:val="19"/>
                <w:szCs w:val="19"/>
              </w:rPr>
              <w:t>“Small” (Sampled)</w:t>
            </w:r>
          </w:p>
        </w:tc>
        <w:tc>
          <w:tcPr>
            <w:tcW w:w="1288" w:type="dxa"/>
            <w:vMerge/>
            <w:tcBorders>
              <w:bottom w:val="double" w:color="auto" w:sz="4" w:space="0"/>
            </w:tcBorders>
            <w:shd w:val="clear" w:color="auto" w:fill="F2F2F2" w:themeFill="background1" w:themeFillShade="F2"/>
          </w:tcPr>
          <w:p w:rsidRPr="00DB54E1" w:rsidR="00750432" w:rsidP="00CB0CFE" w:rsidRDefault="00750432" w14:paraId="7AEC5D8A" w14:textId="77777777">
            <w:pPr>
              <w:jc w:val="center"/>
              <w:rPr>
                <w:rFonts w:ascii="Times New Roman" w:hAnsi="Times New Roman"/>
                <w:b/>
                <w:sz w:val="19"/>
                <w:szCs w:val="19"/>
              </w:rPr>
            </w:pPr>
          </w:p>
        </w:tc>
        <w:tc>
          <w:tcPr>
            <w:tcW w:w="1030" w:type="dxa"/>
            <w:vMerge/>
            <w:tcBorders>
              <w:bottom w:val="double" w:color="auto" w:sz="4" w:space="0"/>
            </w:tcBorders>
            <w:shd w:val="clear" w:color="auto" w:fill="F2F2F2" w:themeFill="background1" w:themeFillShade="F2"/>
          </w:tcPr>
          <w:p w:rsidRPr="00DB54E1" w:rsidR="00750432" w:rsidP="00CB0CFE" w:rsidRDefault="00750432" w14:paraId="58CD6726" w14:textId="77777777">
            <w:pPr>
              <w:jc w:val="center"/>
              <w:rPr>
                <w:rFonts w:ascii="Times New Roman" w:hAnsi="Times New Roman"/>
                <w:b/>
                <w:sz w:val="19"/>
                <w:szCs w:val="19"/>
              </w:rPr>
            </w:pPr>
          </w:p>
        </w:tc>
        <w:tc>
          <w:tcPr>
            <w:tcW w:w="852" w:type="dxa"/>
            <w:vMerge/>
            <w:tcBorders>
              <w:bottom w:val="double" w:color="auto" w:sz="4" w:space="0"/>
            </w:tcBorders>
            <w:shd w:val="clear" w:color="auto" w:fill="F2F2F2" w:themeFill="background1" w:themeFillShade="F2"/>
          </w:tcPr>
          <w:p w:rsidRPr="00DB54E1" w:rsidR="00750432" w:rsidP="00CB0CFE" w:rsidRDefault="00750432" w14:paraId="5AFB0BEC" w14:textId="77777777">
            <w:pPr>
              <w:jc w:val="center"/>
              <w:rPr>
                <w:rFonts w:ascii="Times New Roman" w:hAnsi="Times New Roman"/>
                <w:b/>
                <w:sz w:val="19"/>
                <w:szCs w:val="19"/>
              </w:rPr>
            </w:pPr>
          </w:p>
        </w:tc>
      </w:tr>
      <w:tr w:rsidRPr="0077661A" w:rsidR="00750432" w:rsidTr="002D6DDB" w14:paraId="31DD526A" w14:textId="77777777">
        <w:trPr>
          <w:trHeight w:val="232"/>
        </w:trPr>
        <w:tc>
          <w:tcPr>
            <w:tcW w:w="865" w:type="dxa"/>
            <w:tcBorders>
              <w:top w:val="double" w:color="auto" w:sz="4" w:space="0"/>
              <w:bottom w:val="single" w:color="auto" w:sz="4" w:space="0"/>
            </w:tcBorders>
            <w:shd w:val="clear" w:color="auto" w:fill="FFFFFF" w:themeFill="background1"/>
          </w:tcPr>
          <w:p w:rsidRPr="00DB54E1" w:rsidR="00750432" w:rsidP="00CB0CFE" w:rsidRDefault="00750432" w14:paraId="21307E60" w14:textId="77777777">
            <w:pPr>
              <w:rPr>
                <w:rFonts w:ascii="Times New Roman" w:hAnsi="Times New Roman"/>
                <w:sz w:val="19"/>
                <w:szCs w:val="19"/>
              </w:rPr>
            </w:pPr>
            <w:r w:rsidRPr="00DB54E1">
              <w:rPr>
                <w:rFonts w:ascii="Times New Roman" w:hAnsi="Times New Roman"/>
                <w:sz w:val="19"/>
                <w:szCs w:val="19"/>
              </w:rPr>
              <w:t>NA</w:t>
            </w:r>
          </w:p>
        </w:tc>
        <w:tc>
          <w:tcPr>
            <w:tcW w:w="1975"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5C6CEE7B"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02"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5A05DB12"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02"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2DB21B14"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24C5AA6E" w14:textId="77777777">
            <w:pPr>
              <w:jc w:val="right"/>
              <w:rPr>
                <w:rFonts w:ascii="Times New Roman" w:hAnsi="Times New Roman"/>
                <w:color w:val="000000"/>
                <w:sz w:val="19"/>
                <w:szCs w:val="19"/>
              </w:rPr>
            </w:pPr>
            <w:r w:rsidRPr="00DB54E1">
              <w:rPr>
                <w:rFonts w:ascii="Times New Roman" w:hAnsi="Times New Roman"/>
                <w:color w:val="000000"/>
                <w:sz w:val="19"/>
                <w:szCs w:val="19"/>
              </w:rPr>
              <w:t>24,000</w:t>
            </w:r>
          </w:p>
        </w:tc>
        <w:tc>
          <w:tcPr>
            <w:tcW w:w="1030"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4E280179"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tcBorders>
              <w:top w:val="double" w:color="auto" w:sz="4" w:space="0"/>
              <w:bottom w:val="single" w:color="auto" w:sz="4" w:space="0"/>
            </w:tcBorders>
            <w:shd w:val="clear" w:color="auto" w:fill="FFFFFF" w:themeFill="background1"/>
            <w:vAlign w:val="bottom"/>
          </w:tcPr>
          <w:p w:rsidRPr="00DB54E1" w:rsidR="00750432" w:rsidP="00CB0CFE" w:rsidRDefault="00750432" w14:paraId="6FCD4BAE" w14:textId="77777777">
            <w:pPr>
              <w:jc w:val="right"/>
              <w:rPr>
                <w:rFonts w:ascii="Times New Roman" w:hAnsi="Times New Roman"/>
                <w:color w:val="000000"/>
                <w:sz w:val="19"/>
                <w:szCs w:val="19"/>
              </w:rPr>
            </w:pPr>
            <w:r w:rsidRPr="00DB54E1">
              <w:rPr>
                <w:rFonts w:ascii="Times New Roman" w:hAnsi="Times New Roman"/>
                <w:color w:val="000000"/>
                <w:sz w:val="19"/>
                <w:szCs w:val="19"/>
              </w:rPr>
              <w:t>3,300</w:t>
            </w:r>
          </w:p>
        </w:tc>
      </w:tr>
      <w:tr w:rsidRPr="0077661A" w:rsidR="00750432" w:rsidTr="002D6DDB" w14:paraId="564F8D61" w14:textId="77777777">
        <w:trPr>
          <w:trHeight w:val="232"/>
        </w:trPr>
        <w:tc>
          <w:tcPr>
            <w:tcW w:w="865" w:type="dxa"/>
            <w:tcBorders>
              <w:top w:val="single" w:color="auto" w:sz="4" w:space="0"/>
            </w:tcBorders>
            <w:shd w:val="clear" w:color="auto" w:fill="FFFFFF" w:themeFill="background1"/>
          </w:tcPr>
          <w:p w:rsidRPr="00DB54E1" w:rsidR="00750432" w:rsidP="00CB0CFE" w:rsidRDefault="00750432" w14:paraId="12AF7E42" w14:textId="77777777">
            <w:pPr>
              <w:rPr>
                <w:rFonts w:ascii="Times New Roman" w:hAnsi="Times New Roman"/>
                <w:sz w:val="19"/>
                <w:szCs w:val="19"/>
              </w:rPr>
            </w:pPr>
            <w:r w:rsidRPr="00DB54E1">
              <w:rPr>
                <w:rFonts w:ascii="Times New Roman" w:hAnsi="Times New Roman"/>
                <w:sz w:val="19"/>
                <w:szCs w:val="19"/>
              </w:rPr>
              <w:t>11</w:t>
            </w:r>
          </w:p>
        </w:tc>
        <w:tc>
          <w:tcPr>
            <w:tcW w:w="1975" w:type="dxa"/>
            <w:tcBorders>
              <w:top w:val="single" w:color="auto" w:sz="4" w:space="0"/>
            </w:tcBorders>
            <w:shd w:val="clear" w:color="auto" w:fill="FFFFFF" w:themeFill="background1"/>
            <w:vAlign w:val="bottom"/>
          </w:tcPr>
          <w:p w:rsidRPr="00DB54E1" w:rsidR="00750432" w:rsidP="00CB0CFE" w:rsidRDefault="00750432" w14:paraId="718B63F8" w14:textId="77777777">
            <w:pPr>
              <w:jc w:val="right"/>
              <w:rPr>
                <w:rFonts w:ascii="Times New Roman" w:hAnsi="Times New Roman"/>
                <w:color w:val="000000"/>
                <w:sz w:val="19"/>
                <w:szCs w:val="19"/>
              </w:rPr>
            </w:pPr>
            <w:r w:rsidRPr="00DB54E1">
              <w:rPr>
                <w:rFonts w:ascii="Times New Roman" w:hAnsi="Times New Roman"/>
                <w:color w:val="000000"/>
                <w:sz w:val="19"/>
                <w:szCs w:val="19"/>
              </w:rPr>
              <w:t>700</w:t>
            </w:r>
          </w:p>
        </w:tc>
        <w:tc>
          <w:tcPr>
            <w:tcW w:w="1202" w:type="dxa"/>
            <w:tcBorders>
              <w:top w:val="single" w:color="auto" w:sz="4" w:space="0"/>
            </w:tcBorders>
            <w:shd w:val="clear" w:color="auto" w:fill="FFFFFF" w:themeFill="background1"/>
            <w:vAlign w:val="bottom"/>
          </w:tcPr>
          <w:p w:rsidRPr="00DB54E1" w:rsidR="00750432" w:rsidP="00CB0CFE" w:rsidRDefault="00750432" w14:paraId="0B871191" w14:textId="77777777">
            <w:pPr>
              <w:jc w:val="right"/>
              <w:rPr>
                <w:rFonts w:ascii="Times New Roman" w:hAnsi="Times New Roman"/>
                <w:color w:val="000000"/>
                <w:sz w:val="19"/>
                <w:szCs w:val="19"/>
              </w:rPr>
            </w:pPr>
            <w:r w:rsidRPr="00DB54E1">
              <w:rPr>
                <w:rFonts w:ascii="Times New Roman" w:hAnsi="Times New Roman"/>
                <w:color w:val="000000"/>
                <w:sz w:val="19"/>
                <w:szCs w:val="19"/>
              </w:rPr>
              <w:t>21,000</w:t>
            </w:r>
          </w:p>
        </w:tc>
        <w:tc>
          <w:tcPr>
            <w:tcW w:w="1202" w:type="dxa"/>
            <w:tcBorders>
              <w:top w:val="single" w:color="auto" w:sz="4" w:space="0"/>
            </w:tcBorders>
            <w:shd w:val="clear" w:color="auto" w:fill="FFFFFF" w:themeFill="background1"/>
            <w:vAlign w:val="bottom"/>
          </w:tcPr>
          <w:p w:rsidRPr="00DB54E1" w:rsidR="00750432" w:rsidP="00CB0CFE" w:rsidRDefault="00750432" w14:paraId="57B98D83"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tcBorders>
              <w:top w:val="single" w:color="auto" w:sz="4" w:space="0"/>
            </w:tcBorders>
            <w:shd w:val="clear" w:color="auto" w:fill="FFFFFF" w:themeFill="background1"/>
            <w:vAlign w:val="bottom"/>
          </w:tcPr>
          <w:p w:rsidRPr="00DB54E1" w:rsidR="00750432" w:rsidP="00CB0CFE" w:rsidRDefault="00750432" w14:paraId="0476D062"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030" w:type="dxa"/>
            <w:tcBorders>
              <w:top w:val="single" w:color="auto" w:sz="4" w:space="0"/>
            </w:tcBorders>
            <w:shd w:val="clear" w:color="auto" w:fill="FFFFFF" w:themeFill="background1"/>
            <w:vAlign w:val="bottom"/>
          </w:tcPr>
          <w:p w:rsidRPr="00DB54E1" w:rsidR="00750432" w:rsidP="00CB0CFE" w:rsidRDefault="00750432" w14:paraId="5D24E165"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tcBorders>
              <w:top w:val="single" w:color="auto" w:sz="4" w:space="0"/>
            </w:tcBorders>
            <w:shd w:val="clear" w:color="auto" w:fill="FFFFFF" w:themeFill="background1"/>
            <w:vAlign w:val="bottom"/>
          </w:tcPr>
          <w:p w:rsidRPr="00DB54E1" w:rsidR="00750432" w:rsidP="00CB0CFE" w:rsidRDefault="00750432" w14:paraId="6AE7B675" w14:textId="77777777">
            <w:pPr>
              <w:jc w:val="right"/>
              <w:rPr>
                <w:rFonts w:ascii="Times New Roman" w:hAnsi="Times New Roman"/>
                <w:color w:val="000000"/>
                <w:sz w:val="19"/>
                <w:szCs w:val="19"/>
              </w:rPr>
            </w:pPr>
            <w:r w:rsidRPr="00DB54E1">
              <w:rPr>
                <w:rFonts w:ascii="Times New Roman" w:hAnsi="Times New Roman"/>
                <w:color w:val="000000"/>
                <w:sz w:val="19"/>
                <w:szCs w:val="19"/>
              </w:rPr>
              <w:t>1,200</w:t>
            </w:r>
          </w:p>
        </w:tc>
      </w:tr>
      <w:tr w:rsidRPr="0077661A" w:rsidR="00750432" w:rsidTr="002D6DDB" w14:paraId="6B209996" w14:textId="77777777">
        <w:trPr>
          <w:trHeight w:val="232"/>
        </w:trPr>
        <w:tc>
          <w:tcPr>
            <w:tcW w:w="865" w:type="dxa"/>
            <w:tcBorders>
              <w:top w:val="single" w:color="auto" w:sz="4" w:space="0"/>
            </w:tcBorders>
            <w:shd w:val="clear" w:color="auto" w:fill="FFFFFF" w:themeFill="background1"/>
          </w:tcPr>
          <w:p w:rsidRPr="00DB54E1" w:rsidR="00750432" w:rsidP="00CB0CFE" w:rsidRDefault="00750432" w14:paraId="44EFAB36" w14:textId="77777777">
            <w:pPr>
              <w:rPr>
                <w:rFonts w:ascii="Times New Roman" w:hAnsi="Times New Roman"/>
                <w:sz w:val="19"/>
                <w:szCs w:val="19"/>
              </w:rPr>
            </w:pPr>
            <w:r w:rsidRPr="00DB54E1">
              <w:rPr>
                <w:rFonts w:ascii="Times New Roman" w:hAnsi="Times New Roman"/>
                <w:sz w:val="19"/>
                <w:szCs w:val="19"/>
              </w:rPr>
              <w:t>21</w:t>
            </w:r>
          </w:p>
        </w:tc>
        <w:tc>
          <w:tcPr>
            <w:tcW w:w="1975" w:type="dxa"/>
            <w:tcBorders>
              <w:top w:val="single" w:color="auto" w:sz="4" w:space="0"/>
            </w:tcBorders>
            <w:shd w:val="clear" w:color="auto" w:fill="FFFFFF" w:themeFill="background1"/>
            <w:vAlign w:val="bottom"/>
          </w:tcPr>
          <w:p w:rsidRPr="00DB54E1" w:rsidR="00750432" w:rsidP="00CB0CFE" w:rsidRDefault="00750432" w14:paraId="398822D0" w14:textId="77777777">
            <w:pPr>
              <w:jc w:val="right"/>
              <w:rPr>
                <w:rFonts w:ascii="Times New Roman" w:hAnsi="Times New Roman"/>
                <w:color w:val="000000"/>
                <w:sz w:val="19"/>
                <w:szCs w:val="19"/>
              </w:rPr>
            </w:pPr>
            <w:r w:rsidRPr="00DB54E1">
              <w:rPr>
                <w:rFonts w:ascii="Times New Roman" w:hAnsi="Times New Roman"/>
                <w:color w:val="000000"/>
                <w:sz w:val="19"/>
                <w:szCs w:val="19"/>
              </w:rPr>
              <w:t>8,800</w:t>
            </w:r>
          </w:p>
        </w:tc>
        <w:tc>
          <w:tcPr>
            <w:tcW w:w="1202" w:type="dxa"/>
            <w:tcBorders>
              <w:top w:val="single" w:color="auto" w:sz="4" w:space="0"/>
            </w:tcBorders>
            <w:shd w:val="clear" w:color="auto" w:fill="FFFFFF" w:themeFill="background1"/>
            <w:vAlign w:val="bottom"/>
          </w:tcPr>
          <w:p w:rsidRPr="00DB54E1" w:rsidR="00750432" w:rsidP="00CB0CFE" w:rsidRDefault="00750432" w14:paraId="36AC6A7E" w14:textId="77777777">
            <w:pPr>
              <w:jc w:val="right"/>
              <w:rPr>
                <w:rFonts w:ascii="Times New Roman" w:hAnsi="Times New Roman"/>
                <w:color w:val="000000"/>
                <w:sz w:val="19"/>
                <w:szCs w:val="19"/>
              </w:rPr>
            </w:pPr>
            <w:r w:rsidRPr="00DB54E1">
              <w:rPr>
                <w:rFonts w:ascii="Times New Roman" w:hAnsi="Times New Roman"/>
                <w:color w:val="000000"/>
                <w:sz w:val="19"/>
                <w:szCs w:val="19"/>
              </w:rPr>
              <w:t>7,600</w:t>
            </w:r>
          </w:p>
        </w:tc>
        <w:tc>
          <w:tcPr>
            <w:tcW w:w="1202" w:type="dxa"/>
            <w:tcBorders>
              <w:top w:val="single" w:color="auto" w:sz="4" w:space="0"/>
            </w:tcBorders>
            <w:shd w:val="clear" w:color="auto" w:fill="FFFFFF" w:themeFill="background1"/>
            <w:vAlign w:val="bottom"/>
          </w:tcPr>
          <w:p w:rsidRPr="00DB54E1" w:rsidR="00750432" w:rsidP="00CB0CFE" w:rsidRDefault="00750432" w14:paraId="0F7E30F4" w14:textId="77777777">
            <w:pPr>
              <w:jc w:val="right"/>
              <w:rPr>
                <w:rFonts w:ascii="Times New Roman" w:hAnsi="Times New Roman"/>
                <w:color w:val="000000"/>
                <w:sz w:val="19"/>
                <w:szCs w:val="19"/>
              </w:rPr>
            </w:pPr>
            <w:r w:rsidRPr="00DB54E1">
              <w:rPr>
                <w:rFonts w:ascii="Times New Roman" w:hAnsi="Times New Roman"/>
                <w:color w:val="000000"/>
                <w:sz w:val="19"/>
                <w:szCs w:val="19"/>
              </w:rPr>
              <w:t>350</w:t>
            </w:r>
          </w:p>
        </w:tc>
        <w:tc>
          <w:tcPr>
            <w:tcW w:w="1288" w:type="dxa"/>
            <w:tcBorders>
              <w:top w:val="single" w:color="auto" w:sz="4" w:space="0"/>
            </w:tcBorders>
            <w:shd w:val="clear" w:color="auto" w:fill="FFFFFF" w:themeFill="background1"/>
            <w:vAlign w:val="bottom"/>
          </w:tcPr>
          <w:p w:rsidRPr="00DB54E1" w:rsidR="00750432" w:rsidP="00CB0CFE" w:rsidRDefault="00750432" w14:paraId="7728B78F" w14:textId="77777777">
            <w:pPr>
              <w:jc w:val="right"/>
              <w:rPr>
                <w:rFonts w:ascii="Times New Roman" w:hAnsi="Times New Roman"/>
                <w:color w:val="000000"/>
                <w:sz w:val="19"/>
                <w:szCs w:val="19"/>
              </w:rPr>
            </w:pPr>
            <w:r w:rsidRPr="00DB54E1">
              <w:rPr>
                <w:rFonts w:ascii="Times New Roman" w:hAnsi="Times New Roman"/>
                <w:color w:val="000000"/>
                <w:sz w:val="19"/>
                <w:szCs w:val="19"/>
              </w:rPr>
              <w:t>2,100</w:t>
            </w:r>
          </w:p>
        </w:tc>
        <w:tc>
          <w:tcPr>
            <w:tcW w:w="1030" w:type="dxa"/>
            <w:tcBorders>
              <w:top w:val="single" w:color="auto" w:sz="4" w:space="0"/>
            </w:tcBorders>
            <w:shd w:val="clear" w:color="auto" w:fill="FFFFFF" w:themeFill="background1"/>
            <w:vAlign w:val="bottom"/>
          </w:tcPr>
          <w:p w:rsidRPr="00DB54E1" w:rsidR="00750432" w:rsidP="00CB0CFE" w:rsidRDefault="00750432" w14:paraId="7016EE9E" w14:textId="77777777">
            <w:pPr>
              <w:jc w:val="right"/>
              <w:rPr>
                <w:rFonts w:ascii="Times New Roman" w:hAnsi="Times New Roman"/>
                <w:color w:val="000000"/>
                <w:sz w:val="19"/>
                <w:szCs w:val="19"/>
              </w:rPr>
            </w:pPr>
            <w:r w:rsidRPr="00DB54E1">
              <w:rPr>
                <w:rFonts w:ascii="Times New Roman" w:hAnsi="Times New Roman"/>
                <w:color w:val="000000"/>
                <w:sz w:val="19"/>
                <w:szCs w:val="19"/>
              </w:rPr>
              <w:t>8,100</w:t>
            </w:r>
          </w:p>
        </w:tc>
        <w:tc>
          <w:tcPr>
            <w:tcW w:w="852" w:type="dxa"/>
            <w:tcBorders>
              <w:top w:val="single" w:color="auto" w:sz="4" w:space="0"/>
            </w:tcBorders>
            <w:shd w:val="clear" w:color="auto" w:fill="FFFFFF" w:themeFill="background1"/>
            <w:vAlign w:val="bottom"/>
          </w:tcPr>
          <w:p w:rsidRPr="00DB54E1" w:rsidR="00750432" w:rsidP="00CB0CFE" w:rsidRDefault="00750432" w14:paraId="3ACD2566" w14:textId="77777777">
            <w:pPr>
              <w:jc w:val="right"/>
              <w:rPr>
                <w:rFonts w:ascii="Times New Roman" w:hAnsi="Times New Roman"/>
                <w:color w:val="000000"/>
                <w:sz w:val="19"/>
                <w:szCs w:val="19"/>
              </w:rPr>
            </w:pPr>
            <w:r w:rsidRPr="00DB54E1">
              <w:rPr>
                <w:rFonts w:ascii="Times New Roman" w:hAnsi="Times New Roman"/>
                <w:color w:val="000000"/>
                <w:sz w:val="19"/>
                <w:szCs w:val="19"/>
              </w:rPr>
              <w:t>150</w:t>
            </w:r>
          </w:p>
        </w:tc>
      </w:tr>
      <w:tr w:rsidRPr="0077661A" w:rsidR="00750432" w:rsidTr="002D6DDB" w14:paraId="133E727C" w14:textId="77777777">
        <w:trPr>
          <w:trHeight w:val="220"/>
        </w:trPr>
        <w:tc>
          <w:tcPr>
            <w:tcW w:w="865" w:type="dxa"/>
            <w:shd w:val="clear" w:color="auto" w:fill="FFFFFF" w:themeFill="background1"/>
          </w:tcPr>
          <w:p w:rsidRPr="00DB54E1" w:rsidR="00750432" w:rsidP="00CB0CFE" w:rsidRDefault="00750432" w14:paraId="5CB10008" w14:textId="77777777">
            <w:pPr>
              <w:rPr>
                <w:rFonts w:ascii="Times New Roman" w:hAnsi="Times New Roman"/>
                <w:sz w:val="19"/>
                <w:szCs w:val="19"/>
              </w:rPr>
            </w:pPr>
            <w:r w:rsidRPr="00DB54E1">
              <w:rPr>
                <w:rFonts w:ascii="Times New Roman" w:hAnsi="Times New Roman"/>
                <w:sz w:val="19"/>
                <w:szCs w:val="19"/>
              </w:rPr>
              <w:t>22</w:t>
            </w:r>
          </w:p>
        </w:tc>
        <w:tc>
          <w:tcPr>
            <w:tcW w:w="1975" w:type="dxa"/>
            <w:shd w:val="clear" w:color="auto" w:fill="FFFFFF" w:themeFill="background1"/>
            <w:vAlign w:val="bottom"/>
          </w:tcPr>
          <w:p w:rsidRPr="00DB54E1" w:rsidR="00750432" w:rsidP="00CB0CFE" w:rsidRDefault="00750432" w14:paraId="0D5B2C85" w14:textId="77777777">
            <w:pPr>
              <w:jc w:val="right"/>
              <w:rPr>
                <w:rFonts w:ascii="Times New Roman" w:hAnsi="Times New Roman"/>
                <w:color w:val="000000"/>
                <w:sz w:val="19"/>
                <w:szCs w:val="19"/>
              </w:rPr>
            </w:pPr>
            <w:r w:rsidRPr="00DB54E1">
              <w:rPr>
                <w:rFonts w:ascii="Times New Roman" w:hAnsi="Times New Roman"/>
                <w:color w:val="000000"/>
                <w:sz w:val="19"/>
                <w:szCs w:val="19"/>
              </w:rPr>
              <w:t>15,500</w:t>
            </w:r>
          </w:p>
        </w:tc>
        <w:tc>
          <w:tcPr>
            <w:tcW w:w="1202" w:type="dxa"/>
            <w:shd w:val="clear" w:color="auto" w:fill="FFFFFF" w:themeFill="background1"/>
            <w:vAlign w:val="bottom"/>
          </w:tcPr>
          <w:p w:rsidRPr="00DB54E1" w:rsidR="00750432" w:rsidP="00CB0CFE" w:rsidRDefault="00750432" w14:paraId="7DC79639" w14:textId="77777777">
            <w:pPr>
              <w:jc w:val="right"/>
              <w:rPr>
                <w:rFonts w:ascii="Times New Roman" w:hAnsi="Times New Roman"/>
                <w:color w:val="000000"/>
                <w:sz w:val="19"/>
                <w:szCs w:val="19"/>
              </w:rPr>
            </w:pPr>
            <w:r w:rsidRPr="00DB54E1">
              <w:rPr>
                <w:rFonts w:ascii="Times New Roman" w:hAnsi="Times New Roman"/>
                <w:color w:val="000000"/>
                <w:sz w:val="19"/>
                <w:szCs w:val="19"/>
              </w:rPr>
              <w:t>5,100</w:t>
            </w:r>
          </w:p>
        </w:tc>
        <w:tc>
          <w:tcPr>
            <w:tcW w:w="1202" w:type="dxa"/>
            <w:shd w:val="clear" w:color="auto" w:fill="FFFFFF" w:themeFill="background1"/>
            <w:vAlign w:val="bottom"/>
          </w:tcPr>
          <w:p w:rsidRPr="00DB54E1" w:rsidR="00750432" w:rsidP="00CB0CFE" w:rsidRDefault="00750432" w14:paraId="6CDAF37A"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shd w:val="clear" w:color="auto" w:fill="FFFFFF" w:themeFill="background1"/>
            <w:vAlign w:val="bottom"/>
          </w:tcPr>
          <w:p w:rsidRPr="00DB54E1" w:rsidR="00750432" w:rsidP="00CB0CFE" w:rsidRDefault="00750432" w14:paraId="26BB8961"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030" w:type="dxa"/>
            <w:shd w:val="clear" w:color="auto" w:fill="FFFFFF" w:themeFill="background1"/>
            <w:vAlign w:val="bottom"/>
          </w:tcPr>
          <w:p w:rsidRPr="00DB54E1" w:rsidR="00750432" w:rsidP="00CB0CFE" w:rsidRDefault="00750432" w14:paraId="03922409"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shd w:val="clear" w:color="auto" w:fill="FFFFFF" w:themeFill="background1"/>
            <w:vAlign w:val="bottom"/>
          </w:tcPr>
          <w:p w:rsidRPr="00DB54E1" w:rsidR="00750432" w:rsidP="00CB0CFE" w:rsidRDefault="00750432" w14:paraId="187D1FEC" w14:textId="77777777">
            <w:pPr>
              <w:jc w:val="right"/>
              <w:rPr>
                <w:rFonts w:ascii="Times New Roman" w:hAnsi="Times New Roman"/>
                <w:color w:val="000000"/>
                <w:sz w:val="19"/>
                <w:szCs w:val="19"/>
              </w:rPr>
            </w:pPr>
            <w:r w:rsidRPr="00DB54E1">
              <w:rPr>
                <w:rFonts w:ascii="Times New Roman" w:hAnsi="Times New Roman"/>
                <w:color w:val="000000"/>
                <w:sz w:val="19"/>
                <w:szCs w:val="19"/>
              </w:rPr>
              <w:t>60</w:t>
            </w:r>
          </w:p>
        </w:tc>
      </w:tr>
      <w:tr w:rsidRPr="0077661A" w:rsidR="00750432" w:rsidTr="002D6DDB" w14:paraId="62ABF0B5" w14:textId="77777777">
        <w:trPr>
          <w:trHeight w:val="232"/>
        </w:trPr>
        <w:tc>
          <w:tcPr>
            <w:tcW w:w="865" w:type="dxa"/>
            <w:shd w:val="clear" w:color="auto" w:fill="FFFFFF" w:themeFill="background1"/>
          </w:tcPr>
          <w:p w:rsidRPr="00DB54E1" w:rsidR="00750432" w:rsidP="00CB0CFE" w:rsidRDefault="00750432" w14:paraId="5DBAB90A" w14:textId="77777777">
            <w:pPr>
              <w:rPr>
                <w:rFonts w:ascii="Times New Roman" w:hAnsi="Times New Roman"/>
                <w:sz w:val="19"/>
                <w:szCs w:val="19"/>
              </w:rPr>
            </w:pPr>
            <w:r w:rsidRPr="00DB54E1">
              <w:rPr>
                <w:rFonts w:ascii="Times New Roman" w:hAnsi="Times New Roman"/>
                <w:sz w:val="19"/>
                <w:szCs w:val="19"/>
              </w:rPr>
              <w:t>23</w:t>
            </w:r>
          </w:p>
        </w:tc>
        <w:tc>
          <w:tcPr>
            <w:tcW w:w="1975" w:type="dxa"/>
            <w:shd w:val="clear" w:color="auto" w:fill="FFFFFF" w:themeFill="background1"/>
            <w:vAlign w:val="bottom"/>
          </w:tcPr>
          <w:p w:rsidRPr="00DB54E1" w:rsidR="00750432" w:rsidP="00CB0CFE" w:rsidRDefault="00750432" w14:paraId="5F59A519" w14:textId="77777777">
            <w:pPr>
              <w:jc w:val="right"/>
              <w:rPr>
                <w:rFonts w:ascii="Times New Roman" w:hAnsi="Times New Roman"/>
                <w:color w:val="000000"/>
                <w:sz w:val="19"/>
                <w:szCs w:val="19"/>
              </w:rPr>
            </w:pPr>
            <w:r w:rsidRPr="00DB54E1">
              <w:rPr>
                <w:rFonts w:ascii="Times New Roman" w:hAnsi="Times New Roman"/>
                <w:color w:val="000000"/>
                <w:sz w:val="19"/>
                <w:szCs w:val="19"/>
              </w:rPr>
              <w:t>21,500</w:t>
            </w:r>
          </w:p>
        </w:tc>
        <w:tc>
          <w:tcPr>
            <w:tcW w:w="1202" w:type="dxa"/>
            <w:shd w:val="clear" w:color="auto" w:fill="FFFFFF" w:themeFill="background1"/>
            <w:vAlign w:val="bottom"/>
          </w:tcPr>
          <w:p w:rsidRPr="00DB54E1" w:rsidR="00750432" w:rsidP="00CB0CFE" w:rsidRDefault="00750432" w14:paraId="0D1FA293" w14:textId="77777777">
            <w:pPr>
              <w:jc w:val="right"/>
              <w:rPr>
                <w:rFonts w:ascii="Times New Roman" w:hAnsi="Times New Roman"/>
                <w:color w:val="000000"/>
                <w:sz w:val="19"/>
                <w:szCs w:val="19"/>
              </w:rPr>
            </w:pPr>
            <w:r w:rsidRPr="00DB54E1">
              <w:rPr>
                <w:rFonts w:ascii="Times New Roman" w:hAnsi="Times New Roman"/>
                <w:color w:val="000000"/>
                <w:sz w:val="19"/>
                <w:szCs w:val="19"/>
              </w:rPr>
              <w:t>67,000</w:t>
            </w:r>
          </w:p>
        </w:tc>
        <w:tc>
          <w:tcPr>
            <w:tcW w:w="1202" w:type="dxa"/>
            <w:shd w:val="clear" w:color="auto" w:fill="FFFFFF" w:themeFill="background1"/>
            <w:vAlign w:val="bottom"/>
          </w:tcPr>
          <w:p w:rsidRPr="00DB54E1" w:rsidR="00750432" w:rsidP="00CB0CFE" w:rsidRDefault="00750432" w14:paraId="11ACA9DC" w14:textId="77777777">
            <w:pPr>
              <w:jc w:val="right"/>
              <w:rPr>
                <w:rFonts w:ascii="Times New Roman" w:hAnsi="Times New Roman"/>
                <w:color w:val="000000"/>
                <w:sz w:val="19"/>
                <w:szCs w:val="19"/>
              </w:rPr>
            </w:pPr>
            <w:r w:rsidRPr="00DB54E1">
              <w:rPr>
                <w:rFonts w:ascii="Times New Roman" w:hAnsi="Times New Roman"/>
                <w:color w:val="000000"/>
                <w:sz w:val="19"/>
                <w:szCs w:val="19"/>
              </w:rPr>
              <w:t>81,500</w:t>
            </w:r>
          </w:p>
        </w:tc>
        <w:tc>
          <w:tcPr>
            <w:tcW w:w="1288" w:type="dxa"/>
            <w:shd w:val="clear" w:color="auto" w:fill="FFFFFF" w:themeFill="background1"/>
            <w:vAlign w:val="bottom"/>
          </w:tcPr>
          <w:p w:rsidRPr="00DB54E1" w:rsidR="00750432" w:rsidP="00CB0CFE" w:rsidRDefault="00750432" w14:paraId="27FD2933" w14:textId="77777777">
            <w:pPr>
              <w:jc w:val="right"/>
              <w:rPr>
                <w:rFonts w:ascii="Times New Roman" w:hAnsi="Times New Roman"/>
                <w:color w:val="000000"/>
                <w:sz w:val="19"/>
                <w:szCs w:val="19"/>
              </w:rPr>
            </w:pPr>
            <w:r w:rsidRPr="00DB54E1">
              <w:rPr>
                <w:rFonts w:ascii="Times New Roman" w:hAnsi="Times New Roman"/>
                <w:color w:val="000000"/>
                <w:sz w:val="19"/>
                <w:szCs w:val="19"/>
              </w:rPr>
              <w:t>71,000</w:t>
            </w:r>
          </w:p>
        </w:tc>
        <w:tc>
          <w:tcPr>
            <w:tcW w:w="1030" w:type="dxa"/>
            <w:shd w:val="clear" w:color="auto" w:fill="FFFFFF" w:themeFill="background1"/>
            <w:vAlign w:val="bottom"/>
          </w:tcPr>
          <w:p w:rsidRPr="00DB54E1" w:rsidR="00750432" w:rsidP="00CB0CFE" w:rsidRDefault="00750432" w14:paraId="36225FEC" w14:textId="77777777">
            <w:pPr>
              <w:jc w:val="right"/>
              <w:rPr>
                <w:rFonts w:ascii="Times New Roman" w:hAnsi="Times New Roman"/>
                <w:color w:val="000000"/>
                <w:sz w:val="19"/>
                <w:szCs w:val="19"/>
              </w:rPr>
            </w:pPr>
            <w:r w:rsidRPr="00DB54E1">
              <w:rPr>
                <w:rFonts w:ascii="Times New Roman" w:hAnsi="Times New Roman"/>
                <w:color w:val="000000"/>
                <w:sz w:val="19"/>
                <w:szCs w:val="19"/>
              </w:rPr>
              <w:t>572,000</w:t>
            </w:r>
          </w:p>
        </w:tc>
        <w:tc>
          <w:tcPr>
            <w:tcW w:w="852" w:type="dxa"/>
            <w:shd w:val="clear" w:color="auto" w:fill="FFFFFF" w:themeFill="background1"/>
            <w:vAlign w:val="bottom"/>
          </w:tcPr>
          <w:p w:rsidRPr="00DB54E1" w:rsidR="00750432" w:rsidP="00CB0CFE" w:rsidRDefault="00750432" w14:paraId="5FC6A4C5" w14:textId="77777777">
            <w:pPr>
              <w:jc w:val="right"/>
              <w:rPr>
                <w:rFonts w:ascii="Times New Roman" w:hAnsi="Times New Roman"/>
                <w:color w:val="000000"/>
                <w:sz w:val="19"/>
                <w:szCs w:val="19"/>
              </w:rPr>
            </w:pPr>
            <w:r w:rsidRPr="00DB54E1">
              <w:rPr>
                <w:rFonts w:ascii="Times New Roman" w:hAnsi="Times New Roman"/>
                <w:color w:val="000000"/>
                <w:sz w:val="19"/>
                <w:szCs w:val="19"/>
              </w:rPr>
              <w:t>7,700</w:t>
            </w:r>
          </w:p>
        </w:tc>
      </w:tr>
      <w:tr w:rsidRPr="0077661A" w:rsidR="00750432" w:rsidTr="002D6DDB" w14:paraId="240C8B04" w14:textId="77777777">
        <w:trPr>
          <w:trHeight w:val="232"/>
        </w:trPr>
        <w:tc>
          <w:tcPr>
            <w:tcW w:w="865" w:type="dxa"/>
            <w:shd w:val="clear" w:color="auto" w:fill="FFFFFF" w:themeFill="background1"/>
          </w:tcPr>
          <w:p w:rsidRPr="00DB54E1" w:rsidR="00750432" w:rsidP="00CB0CFE" w:rsidRDefault="00750432" w14:paraId="793E331B" w14:textId="77777777">
            <w:pPr>
              <w:rPr>
                <w:rFonts w:ascii="Times New Roman" w:hAnsi="Times New Roman"/>
                <w:sz w:val="19"/>
                <w:szCs w:val="19"/>
              </w:rPr>
            </w:pPr>
            <w:r w:rsidRPr="00DB54E1">
              <w:rPr>
                <w:rFonts w:ascii="Times New Roman" w:hAnsi="Times New Roman"/>
                <w:sz w:val="19"/>
                <w:szCs w:val="19"/>
              </w:rPr>
              <w:t>31-33</w:t>
            </w:r>
          </w:p>
        </w:tc>
        <w:tc>
          <w:tcPr>
            <w:tcW w:w="1975" w:type="dxa"/>
            <w:shd w:val="clear" w:color="auto" w:fill="FFFFFF" w:themeFill="background1"/>
            <w:vAlign w:val="bottom"/>
          </w:tcPr>
          <w:p w:rsidRPr="00DB54E1" w:rsidR="00750432" w:rsidP="00CB0CFE" w:rsidRDefault="00750432" w14:paraId="623B8D77" w14:textId="77777777">
            <w:pPr>
              <w:jc w:val="right"/>
              <w:rPr>
                <w:rFonts w:ascii="Times New Roman" w:hAnsi="Times New Roman"/>
                <w:color w:val="000000"/>
                <w:sz w:val="19"/>
                <w:szCs w:val="19"/>
              </w:rPr>
            </w:pPr>
            <w:r w:rsidRPr="00DB54E1">
              <w:rPr>
                <w:rFonts w:ascii="Times New Roman" w:hAnsi="Times New Roman"/>
                <w:color w:val="000000"/>
                <w:sz w:val="19"/>
                <w:szCs w:val="19"/>
              </w:rPr>
              <w:t>63,000</w:t>
            </w:r>
          </w:p>
        </w:tc>
        <w:tc>
          <w:tcPr>
            <w:tcW w:w="1202" w:type="dxa"/>
            <w:shd w:val="clear" w:color="auto" w:fill="FFFFFF" w:themeFill="background1"/>
            <w:vAlign w:val="bottom"/>
          </w:tcPr>
          <w:p w:rsidRPr="00DB54E1" w:rsidR="00750432" w:rsidP="00CB0CFE" w:rsidRDefault="00750432" w14:paraId="21AEF569" w14:textId="77777777">
            <w:pPr>
              <w:jc w:val="right"/>
              <w:rPr>
                <w:rFonts w:ascii="Times New Roman" w:hAnsi="Times New Roman"/>
                <w:color w:val="000000"/>
                <w:sz w:val="19"/>
                <w:szCs w:val="19"/>
              </w:rPr>
            </w:pPr>
            <w:r w:rsidRPr="00DB54E1">
              <w:rPr>
                <w:rFonts w:ascii="Times New Roman" w:hAnsi="Times New Roman"/>
                <w:color w:val="000000"/>
                <w:sz w:val="19"/>
                <w:szCs w:val="19"/>
              </w:rPr>
              <w:t>115,500</w:t>
            </w:r>
          </w:p>
        </w:tc>
        <w:tc>
          <w:tcPr>
            <w:tcW w:w="1202" w:type="dxa"/>
            <w:shd w:val="clear" w:color="auto" w:fill="FFFFFF" w:themeFill="background1"/>
            <w:vAlign w:val="bottom"/>
          </w:tcPr>
          <w:p w:rsidRPr="00DB54E1" w:rsidR="00750432" w:rsidP="00CB0CFE" w:rsidRDefault="00750432" w14:paraId="50097531" w14:textId="77777777">
            <w:pPr>
              <w:jc w:val="right"/>
              <w:rPr>
                <w:rFonts w:ascii="Times New Roman" w:hAnsi="Times New Roman"/>
                <w:color w:val="000000"/>
                <w:sz w:val="19"/>
                <w:szCs w:val="19"/>
              </w:rPr>
            </w:pPr>
            <w:r w:rsidRPr="00DB54E1">
              <w:rPr>
                <w:rFonts w:ascii="Times New Roman" w:hAnsi="Times New Roman"/>
                <w:color w:val="000000"/>
                <w:sz w:val="19"/>
                <w:szCs w:val="19"/>
              </w:rPr>
              <w:t>5,100</w:t>
            </w:r>
          </w:p>
        </w:tc>
        <w:tc>
          <w:tcPr>
            <w:tcW w:w="1288" w:type="dxa"/>
            <w:shd w:val="clear" w:color="auto" w:fill="FFFFFF" w:themeFill="background1"/>
            <w:vAlign w:val="bottom"/>
          </w:tcPr>
          <w:p w:rsidRPr="00DB54E1" w:rsidR="00750432" w:rsidP="00CB0CFE" w:rsidRDefault="00750432" w14:paraId="15E1AD8C" w14:textId="77777777">
            <w:pPr>
              <w:jc w:val="right"/>
              <w:rPr>
                <w:rFonts w:ascii="Times New Roman" w:hAnsi="Times New Roman"/>
                <w:color w:val="000000"/>
                <w:sz w:val="19"/>
                <w:szCs w:val="19"/>
              </w:rPr>
            </w:pPr>
            <w:r w:rsidRPr="00DB54E1">
              <w:rPr>
                <w:rFonts w:ascii="Times New Roman" w:hAnsi="Times New Roman"/>
                <w:color w:val="000000"/>
                <w:sz w:val="19"/>
                <w:szCs w:val="19"/>
              </w:rPr>
              <w:t>31,500</w:t>
            </w:r>
          </w:p>
        </w:tc>
        <w:tc>
          <w:tcPr>
            <w:tcW w:w="1030" w:type="dxa"/>
            <w:shd w:val="clear" w:color="auto" w:fill="FFFFFF" w:themeFill="background1"/>
            <w:vAlign w:val="bottom"/>
          </w:tcPr>
          <w:p w:rsidRPr="00DB54E1" w:rsidR="00750432" w:rsidP="00CB0CFE" w:rsidRDefault="00750432" w14:paraId="0DCB980C" w14:textId="77777777">
            <w:pPr>
              <w:jc w:val="right"/>
              <w:rPr>
                <w:rFonts w:ascii="Times New Roman" w:hAnsi="Times New Roman"/>
                <w:color w:val="000000"/>
                <w:sz w:val="19"/>
                <w:szCs w:val="19"/>
              </w:rPr>
            </w:pPr>
            <w:r w:rsidRPr="00DB54E1">
              <w:rPr>
                <w:rFonts w:ascii="Times New Roman" w:hAnsi="Times New Roman"/>
                <w:color w:val="000000"/>
                <w:sz w:val="19"/>
                <w:szCs w:val="19"/>
              </w:rPr>
              <w:t>101,000</w:t>
            </w:r>
          </w:p>
        </w:tc>
        <w:tc>
          <w:tcPr>
            <w:tcW w:w="852" w:type="dxa"/>
            <w:shd w:val="clear" w:color="auto" w:fill="FFFFFF" w:themeFill="background1"/>
            <w:vAlign w:val="bottom"/>
          </w:tcPr>
          <w:p w:rsidRPr="00DB54E1" w:rsidR="00750432" w:rsidP="00CB0CFE" w:rsidRDefault="00750432" w14:paraId="5694C313" w14:textId="77777777">
            <w:pPr>
              <w:jc w:val="right"/>
              <w:rPr>
                <w:rFonts w:ascii="Times New Roman" w:hAnsi="Times New Roman"/>
                <w:color w:val="000000"/>
                <w:sz w:val="19"/>
                <w:szCs w:val="19"/>
              </w:rPr>
            </w:pPr>
            <w:r w:rsidRPr="00DB54E1">
              <w:rPr>
                <w:rFonts w:ascii="Times New Roman" w:hAnsi="Times New Roman"/>
                <w:color w:val="000000"/>
                <w:sz w:val="19"/>
                <w:szCs w:val="19"/>
              </w:rPr>
              <w:t>1,500</w:t>
            </w:r>
          </w:p>
        </w:tc>
      </w:tr>
      <w:tr w:rsidRPr="0077661A" w:rsidR="00750432" w:rsidTr="002D6DDB" w14:paraId="1FA5615F" w14:textId="77777777">
        <w:trPr>
          <w:trHeight w:val="232"/>
        </w:trPr>
        <w:tc>
          <w:tcPr>
            <w:tcW w:w="865" w:type="dxa"/>
            <w:shd w:val="clear" w:color="auto" w:fill="FFFFFF" w:themeFill="background1"/>
          </w:tcPr>
          <w:p w:rsidRPr="00DB54E1" w:rsidR="00750432" w:rsidP="00CB0CFE" w:rsidRDefault="00750432" w14:paraId="103DED80" w14:textId="77777777">
            <w:pPr>
              <w:rPr>
                <w:rFonts w:ascii="Times New Roman" w:hAnsi="Times New Roman"/>
                <w:sz w:val="19"/>
                <w:szCs w:val="19"/>
              </w:rPr>
            </w:pPr>
            <w:r w:rsidRPr="00DB54E1">
              <w:rPr>
                <w:rFonts w:ascii="Times New Roman" w:hAnsi="Times New Roman"/>
                <w:sz w:val="19"/>
                <w:szCs w:val="19"/>
              </w:rPr>
              <w:t>42</w:t>
            </w:r>
          </w:p>
        </w:tc>
        <w:tc>
          <w:tcPr>
            <w:tcW w:w="1975" w:type="dxa"/>
            <w:shd w:val="clear" w:color="auto" w:fill="FFFFFF" w:themeFill="background1"/>
            <w:vAlign w:val="bottom"/>
          </w:tcPr>
          <w:p w:rsidRPr="00DB54E1" w:rsidR="00750432" w:rsidP="00CB0CFE" w:rsidRDefault="00750432" w14:paraId="32CD0132" w14:textId="77777777">
            <w:pPr>
              <w:jc w:val="right"/>
              <w:rPr>
                <w:rFonts w:ascii="Times New Roman" w:hAnsi="Times New Roman"/>
                <w:color w:val="000000"/>
                <w:sz w:val="19"/>
                <w:szCs w:val="19"/>
              </w:rPr>
            </w:pPr>
            <w:r w:rsidRPr="00DB54E1">
              <w:rPr>
                <w:rFonts w:ascii="Times New Roman" w:hAnsi="Times New Roman"/>
                <w:color w:val="000000"/>
                <w:sz w:val="19"/>
                <w:szCs w:val="19"/>
              </w:rPr>
              <w:t>138,000</w:t>
            </w:r>
          </w:p>
        </w:tc>
        <w:tc>
          <w:tcPr>
            <w:tcW w:w="1202" w:type="dxa"/>
            <w:shd w:val="clear" w:color="auto" w:fill="FFFFFF" w:themeFill="background1"/>
            <w:vAlign w:val="bottom"/>
          </w:tcPr>
          <w:p w:rsidRPr="00DB54E1" w:rsidR="00750432" w:rsidP="00CB0CFE" w:rsidRDefault="00750432" w14:paraId="7DB3AFC1" w14:textId="77777777">
            <w:pPr>
              <w:jc w:val="right"/>
              <w:rPr>
                <w:rFonts w:ascii="Times New Roman" w:hAnsi="Times New Roman"/>
                <w:color w:val="000000"/>
                <w:sz w:val="19"/>
                <w:szCs w:val="19"/>
              </w:rPr>
            </w:pPr>
            <w:r w:rsidRPr="00DB54E1">
              <w:rPr>
                <w:rFonts w:ascii="Times New Roman" w:hAnsi="Times New Roman"/>
                <w:color w:val="000000"/>
                <w:sz w:val="19"/>
                <w:szCs w:val="19"/>
              </w:rPr>
              <w:t>254,000</w:t>
            </w:r>
          </w:p>
        </w:tc>
        <w:tc>
          <w:tcPr>
            <w:tcW w:w="1202" w:type="dxa"/>
            <w:shd w:val="clear" w:color="auto" w:fill="FFFFFF" w:themeFill="background1"/>
            <w:vAlign w:val="bottom"/>
          </w:tcPr>
          <w:p w:rsidRPr="00DB54E1" w:rsidR="00750432" w:rsidP="00CB0CFE" w:rsidRDefault="00750432" w14:paraId="716A8216"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shd w:val="clear" w:color="auto" w:fill="FFFFFF" w:themeFill="background1"/>
            <w:vAlign w:val="bottom"/>
          </w:tcPr>
          <w:p w:rsidRPr="00DB54E1" w:rsidR="00750432" w:rsidP="00CB0CFE" w:rsidRDefault="00750432" w14:paraId="1E0D7351"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030" w:type="dxa"/>
            <w:shd w:val="clear" w:color="auto" w:fill="FFFFFF" w:themeFill="background1"/>
            <w:vAlign w:val="bottom"/>
          </w:tcPr>
          <w:p w:rsidRPr="00DB54E1" w:rsidR="00750432" w:rsidP="00CB0CFE" w:rsidRDefault="00750432" w14:paraId="050D9E81"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shd w:val="clear" w:color="auto" w:fill="FFFFFF" w:themeFill="background1"/>
            <w:vAlign w:val="bottom"/>
          </w:tcPr>
          <w:p w:rsidRPr="00DB54E1" w:rsidR="00750432" w:rsidP="00CB0CFE" w:rsidRDefault="00750432" w14:paraId="7686778D" w14:textId="77777777">
            <w:pPr>
              <w:jc w:val="right"/>
              <w:rPr>
                <w:rFonts w:ascii="Times New Roman" w:hAnsi="Times New Roman"/>
                <w:color w:val="000000"/>
                <w:sz w:val="19"/>
                <w:szCs w:val="19"/>
              </w:rPr>
            </w:pPr>
            <w:r w:rsidRPr="00DB54E1">
              <w:rPr>
                <w:rFonts w:ascii="Times New Roman" w:hAnsi="Times New Roman"/>
                <w:color w:val="000000"/>
                <w:sz w:val="19"/>
                <w:szCs w:val="19"/>
              </w:rPr>
              <w:t>2,300</w:t>
            </w:r>
          </w:p>
        </w:tc>
      </w:tr>
      <w:tr w:rsidRPr="0077661A" w:rsidR="00750432" w:rsidTr="002D6DDB" w14:paraId="42EDC88F" w14:textId="77777777">
        <w:trPr>
          <w:trHeight w:val="232"/>
        </w:trPr>
        <w:tc>
          <w:tcPr>
            <w:tcW w:w="865" w:type="dxa"/>
            <w:shd w:val="clear" w:color="auto" w:fill="FFFFFF" w:themeFill="background1"/>
          </w:tcPr>
          <w:p w:rsidRPr="00DB54E1" w:rsidR="00750432" w:rsidP="00CB0CFE" w:rsidRDefault="00750432" w14:paraId="26954AD0" w14:textId="77777777">
            <w:pPr>
              <w:rPr>
                <w:rFonts w:ascii="Times New Roman" w:hAnsi="Times New Roman"/>
                <w:sz w:val="19"/>
                <w:szCs w:val="19"/>
              </w:rPr>
            </w:pPr>
            <w:r w:rsidRPr="00DB54E1">
              <w:rPr>
                <w:rFonts w:ascii="Times New Roman" w:hAnsi="Times New Roman"/>
                <w:sz w:val="19"/>
                <w:szCs w:val="19"/>
              </w:rPr>
              <w:t>44-45</w:t>
            </w:r>
          </w:p>
        </w:tc>
        <w:tc>
          <w:tcPr>
            <w:tcW w:w="1975" w:type="dxa"/>
            <w:shd w:val="clear" w:color="auto" w:fill="FFFFFF" w:themeFill="background1"/>
            <w:vAlign w:val="bottom"/>
          </w:tcPr>
          <w:p w:rsidRPr="00DB54E1" w:rsidR="00750432" w:rsidP="00CB0CFE" w:rsidRDefault="00750432" w14:paraId="4863C41C" w14:textId="77777777">
            <w:pPr>
              <w:jc w:val="right"/>
              <w:rPr>
                <w:rFonts w:ascii="Times New Roman" w:hAnsi="Times New Roman"/>
                <w:color w:val="000000"/>
                <w:sz w:val="19"/>
                <w:szCs w:val="19"/>
              </w:rPr>
            </w:pPr>
            <w:r w:rsidRPr="00DB54E1">
              <w:rPr>
                <w:rFonts w:ascii="Times New Roman" w:hAnsi="Times New Roman"/>
                <w:color w:val="000000"/>
                <w:sz w:val="19"/>
                <w:szCs w:val="19"/>
              </w:rPr>
              <w:t>433,000</w:t>
            </w:r>
          </w:p>
        </w:tc>
        <w:tc>
          <w:tcPr>
            <w:tcW w:w="1202" w:type="dxa"/>
            <w:shd w:val="clear" w:color="auto" w:fill="FFFFFF" w:themeFill="background1"/>
            <w:vAlign w:val="bottom"/>
          </w:tcPr>
          <w:p w:rsidRPr="00DB54E1" w:rsidR="00750432" w:rsidP="00CB0CFE" w:rsidRDefault="00750432" w14:paraId="36674901" w14:textId="77777777">
            <w:pPr>
              <w:jc w:val="right"/>
              <w:rPr>
                <w:rFonts w:ascii="Times New Roman" w:hAnsi="Times New Roman"/>
                <w:color w:val="000000"/>
                <w:sz w:val="19"/>
                <w:szCs w:val="19"/>
              </w:rPr>
            </w:pPr>
            <w:r w:rsidRPr="00DB54E1">
              <w:rPr>
                <w:rFonts w:ascii="Times New Roman" w:hAnsi="Times New Roman"/>
                <w:color w:val="000000"/>
                <w:sz w:val="19"/>
                <w:szCs w:val="19"/>
              </w:rPr>
              <w:t>216,000</w:t>
            </w:r>
          </w:p>
        </w:tc>
        <w:tc>
          <w:tcPr>
            <w:tcW w:w="1202" w:type="dxa"/>
            <w:shd w:val="clear" w:color="auto" w:fill="FFFFFF" w:themeFill="background1"/>
            <w:vAlign w:val="bottom"/>
          </w:tcPr>
          <w:p w:rsidRPr="00DB54E1" w:rsidR="00750432" w:rsidP="00CB0CFE" w:rsidRDefault="00750432" w14:paraId="3368753E" w14:textId="77777777">
            <w:pPr>
              <w:jc w:val="right"/>
              <w:rPr>
                <w:rFonts w:ascii="Times New Roman" w:hAnsi="Times New Roman"/>
                <w:color w:val="000000"/>
                <w:sz w:val="19"/>
                <w:szCs w:val="19"/>
              </w:rPr>
            </w:pPr>
            <w:r w:rsidRPr="00DB54E1">
              <w:rPr>
                <w:rFonts w:ascii="Times New Roman" w:hAnsi="Times New Roman"/>
                <w:color w:val="000000"/>
                <w:sz w:val="19"/>
                <w:szCs w:val="19"/>
              </w:rPr>
              <w:t>36,500</w:t>
            </w:r>
          </w:p>
        </w:tc>
        <w:tc>
          <w:tcPr>
            <w:tcW w:w="1288" w:type="dxa"/>
            <w:shd w:val="clear" w:color="auto" w:fill="FFFFFF" w:themeFill="background1"/>
            <w:vAlign w:val="bottom"/>
          </w:tcPr>
          <w:p w:rsidRPr="00DB54E1" w:rsidR="00750432" w:rsidP="00CB0CFE" w:rsidRDefault="00750432" w14:paraId="4966A91C" w14:textId="77777777">
            <w:pPr>
              <w:jc w:val="right"/>
              <w:rPr>
                <w:rFonts w:ascii="Times New Roman" w:hAnsi="Times New Roman"/>
                <w:color w:val="000000"/>
                <w:sz w:val="19"/>
                <w:szCs w:val="19"/>
              </w:rPr>
            </w:pPr>
            <w:r w:rsidRPr="00DB54E1">
              <w:rPr>
                <w:rFonts w:ascii="Times New Roman" w:hAnsi="Times New Roman"/>
                <w:color w:val="000000"/>
                <w:sz w:val="19"/>
                <w:szCs w:val="19"/>
              </w:rPr>
              <w:t>35,000</w:t>
            </w:r>
          </w:p>
        </w:tc>
        <w:tc>
          <w:tcPr>
            <w:tcW w:w="1030" w:type="dxa"/>
            <w:shd w:val="clear" w:color="auto" w:fill="FFFFFF" w:themeFill="background1"/>
            <w:vAlign w:val="bottom"/>
          </w:tcPr>
          <w:p w:rsidRPr="00DB54E1" w:rsidR="00750432" w:rsidP="00CB0CFE" w:rsidRDefault="00750432" w14:paraId="02726BFF" w14:textId="77777777">
            <w:pPr>
              <w:jc w:val="right"/>
              <w:rPr>
                <w:rFonts w:ascii="Times New Roman" w:hAnsi="Times New Roman"/>
                <w:color w:val="000000"/>
                <w:sz w:val="19"/>
                <w:szCs w:val="19"/>
              </w:rPr>
            </w:pPr>
            <w:r w:rsidRPr="00DB54E1">
              <w:rPr>
                <w:rFonts w:ascii="Times New Roman" w:hAnsi="Times New Roman"/>
                <w:color w:val="000000"/>
                <w:sz w:val="19"/>
                <w:szCs w:val="19"/>
              </w:rPr>
              <w:t>343,000</w:t>
            </w:r>
          </w:p>
        </w:tc>
        <w:tc>
          <w:tcPr>
            <w:tcW w:w="852" w:type="dxa"/>
            <w:shd w:val="clear" w:color="auto" w:fill="FFFFFF" w:themeFill="background1"/>
            <w:vAlign w:val="bottom"/>
          </w:tcPr>
          <w:p w:rsidRPr="00DB54E1" w:rsidR="00750432" w:rsidP="00CB0CFE" w:rsidRDefault="00750432" w14:paraId="7AA5BA6C" w14:textId="77777777">
            <w:pPr>
              <w:jc w:val="right"/>
              <w:rPr>
                <w:rFonts w:ascii="Times New Roman" w:hAnsi="Times New Roman"/>
                <w:color w:val="000000"/>
                <w:sz w:val="19"/>
                <w:szCs w:val="19"/>
              </w:rPr>
            </w:pPr>
            <w:r w:rsidRPr="00DB54E1">
              <w:rPr>
                <w:rFonts w:ascii="Times New Roman" w:hAnsi="Times New Roman"/>
                <w:color w:val="000000"/>
                <w:sz w:val="19"/>
                <w:szCs w:val="19"/>
              </w:rPr>
              <w:t>5,500</w:t>
            </w:r>
          </w:p>
        </w:tc>
      </w:tr>
      <w:tr w:rsidRPr="0077661A" w:rsidR="00750432" w:rsidTr="002D6DDB" w14:paraId="50A5DF60" w14:textId="77777777">
        <w:trPr>
          <w:trHeight w:val="232"/>
        </w:trPr>
        <w:tc>
          <w:tcPr>
            <w:tcW w:w="865" w:type="dxa"/>
            <w:shd w:val="clear" w:color="auto" w:fill="FFFFFF" w:themeFill="background1"/>
          </w:tcPr>
          <w:p w:rsidRPr="00DB54E1" w:rsidR="00750432" w:rsidP="00CB0CFE" w:rsidRDefault="00750432" w14:paraId="3733E227" w14:textId="77777777">
            <w:pPr>
              <w:rPr>
                <w:rFonts w:ascii="Times New Roman" w:hAnsi="Times New Roman"/>
                <w:sz w:val="19"/>
                <w:szCs w:val="19"/>
              </w:rPr>
            </w:pPr>
            <w:r w:rsidRPr="00DB54E1">
              <w:rPr>
                <w:rFonts w:ascii="Times New Roman" w:hAnsi="Times New Roman"/>
                <w:sz w:val="19"/>
                <w:szCs w:val="19"/>
              </w:rPr>
              <w:t>48-49</w:t>
            </w:r>
          </w:p>
        </w:tc>
        <w:tc>
          <w:tcPr>
            <w:tcW w:w="1975" w:type="dxa"/>
            <w:shd w:val="clear" w:color="auto" w:fill="FFFFFF" w:themeFill="background1"/>
            <w:vAlign w:val="bottom"/>
          </w:tcPr>
          <w:p w:rsidRPr="00DB54E1" w:rsidR="00750432" w:rsidP="00CB0CFE" w:rsidRDefault="00750432" w14:paraId="5C77C197" w14:textId="77777777">
            <w:pPr>
              <w:jc w:val="right"/>
              <w:rPr>
                <w:rFonts w:ascii="Times New Roman" w:hAnsi="Times New Roman"/>
                <w:color w:val="000000"/>
                <w:sz w:val="19"/>
                <w:szCs w:val="19"/>
              </w:rPr>
            </w:pPr>
            <w:r w:rsidRPr="00DB54E1">
              <w:rPr>
                <w:rFonts w:ascii="Times New Roman" w:hAnsi="Times New Roman"/>
                <w:color w:val="000000"/>
                <w:sz w:val="19"/>
                <w:szCs w:val="19"/>
              </w:rPr>
              <w:t>62,500</w:t>
            </w:r>
          </w:p>
        </w:tc>
        <w:tc>
          <w:tcPr>
            <w:tcW w:w="1202" w:type="dxa"/>
            <w:shd w:val="clear" w:color="auto" w:fill="FFFFFF" w:themeFill="background1"/>
            <w:vAlign w:val="bottom"/>
          </w:tcPr>
          <w:p w:rsidRPr="00DB54E1" w:rsidR="00750432" w:rsidP="00CB0CFE" w:rsidRDefault="00750432" w14:paraId="794AAC5F" w14:textId="77777777">
            <w:pPr>
              <w:jc w:val="right"/>
              <w:rPr>
                <w:rFonts w:ascii="Times New Roman" w:hAnsi="Times New Roman"/>
                <w:color w:val="000000"/>
                <w:sz w:val="19"/>
                <w:szCs w:val="19"/>
              </w:rPr>
            </w:pPr>
            <w:r w:rsidRPr="00DB54E1">
              <w:rPr>
                <w:rFonts w:ascii="Times New Roman" w:hAnsi="Times New Roman"/>
                <w:color w:val="000000"/>
                <w:sz w:val="19"/>
                <w:szCs w:val="19"/>
              </w:rPr>
              <w:t>83,000</w:t>
            </w:r>
          </w:p>
        </w:tc>
        <w:tc>
          <w:tcPr>
            <w:tcW w:w="1202" w:type="dxa"/>
            <w:shd w:val="clear" w:color="auto" w:fill="FFFFFF" w:themeFill="background1"/>
            <w:vAlign w:val="bottom"/>
          </w:tcPr>
          <w:p w:rsidRPr="00DB54E1" w:rsidR="00750432" w:rsidP="00CB0CFE" w:rsidRDefault="00750432" w14:paraId="40C3B5A4" w14:textId="77777777">
            <w:pPr>
              <w:jc w:val="right"/>
              <w:rPr>
                <w:rFonts w:ascii="Times New Roman" w:hAnsi="Times New Roman"/>
                <w:color w:val="000000"/>
                <w:sz w:val="19"/>
                <w:szCs w:val="19"/>
              </w:rPr>
            </w:pPr>
            <w:r w:rsidRPr="00DB54E1">
              <w:rPr>
                <w:rFonts w:ascii="Times New Roman" w:hAnsi="Times New Roman"/>
                <w:color w:val="000000"/>
                <w:sz w:val="19"/>
                <w:szCs w:val="19"/>
              </w:rPr>
              <w:t>13,000</w:t>
            </w:r>
          </w:p>
        </w:tc>
        <w:tc>
          <w:tcPr>
            <w:tcW w:w="1288" w:type="dxa"/>
            <w:shd w:val="clear" w:color="auto" w:fill="FFFFFF" w:themeFill="background1"/>
            <w:vAlign w:val="bottom"/>
          </w:tcPr>
          <w:p w:rsidRPr="00DB54E1" w:rsidR="00750432" w:rsidP="00CB0CFE" w:rsidRDefault="00750432" w14:paraId="2F1C3B9B" w14:textId="77777777">
            <w:pPr>
              <w:jc w:val="right"/>
              <w:rPr>
                <w:rFonts w:ascii="Times New Roman" w:hAnsi="Times New Roman"/>
                <w:color w:val="000000"/>
                <w:sz w:val="19"/>
                <w:szCs w:val="19"/>
              </w:rPr>
            </w:pPr>
            <w:r w:rsidRPr="00DB54E1">
              <w:rPr>
                <w:rFonts w:ascii="Times New Roman" w:hAnsi="Times New Roman"/>
                <w:color w:val="000000"/>
                <w:sz w:val="19"/>
                <w:szCs w:val="19"/>
              </w:rPr>
              <w:t>15,000</w:t>
            </w:r>
          </w:p>
        </w:tc>
        <w:tc>
          <w:tcPr>
            <w:tcW w:w="1030" w:type="dxa"/>
            <w:shd w:val="clear" w:color="auto" w:fill="FFFFFF" w:themeFill="background1"/>
            <w:vAlign w:val="bottom"/>
          </w:tcPr>
          <w:p w:rsidRPr="00DB54E1" w:rsidR="00750432" w:rsidP="00CB0CFE" w:rsidRDefault="00750432" w14:paraId="692779C8" w14:textId="77777777">
            <w:pPr>
              <w:jc w:val="right"/>
              <w:rPr>
                <w:rFonts w:ascii="Times New Roman" w:hAnsi="Times New Roman"/>
                <w:color w:val="000000"/>
                <w:sz w:val="19"/>
                <w:szCs w:val="19"/>
              </w:rPr>
            </w:pPr>
            <w:r w:rsidRPr="00DB54E1">
              <w:rPr>
                <w:rFonts w:ascii="Times New Roman" w:hAnsi="Times New Roman"/>
                <w:color w:val="000000"/>
                <w:sz w:val="19"/>
                <w:szCs w:val="19"/>
              </w:rPr>
              <w:t>96,500</w:t>
            </w:r>
          </w:p>
        </w:tc>
        <w:tc>
          <w:tcPr>
            <w:tcW w:w="852" w:type="dxa"/>
            <w:shd w:val="clear" w:color="auto" w:fill="FFFFFF" w:themeFill="background1"/>
            <w:vAlign w:val="bottom"/>
          </w:tcPr>
          <w:p w:rsidRPr="00DB54E1" w:rsidR="00750432" w:rsidP="00CB0CFE" w:rsidRDefault="00750432" w14:paraId="2A77CAA5" w14:textId="77777777">
            <w:pPr>
              <w:jc w:val="right"/>
              <w:rPr>
                <w:rFonts w:ascii="Times New Roman" w:hAnsi="Times New Roman"/>
                <w:color w:val="000000"/>
                <w:sz w:val="19"/>
                <w:szCs w:val="19"/>
              </w:rPr>
            </w:pPr>
            <w:r w:rsidRPr="00DB54E1">
              <w:rPr>
                <w:rFonts w:ascii="Times New Roman" w:hAnsi="Times New Roman"/>
                <w:color w:val="000000"/>
                <w:sz w:val="19"/>
                <w:szCs w:val="19"/>
              </w:rPr>
              <w:t>2,600</w:t>
            </w:r>
          </w:p>
        </w:tc>
      </w:tr>
      <w:tr w:rsidRPr="0077661A" w:rsidR="00750432" w:rsidTr="002D6DDB" w14:paraId="63D2B1A7" w14:textId="77777777">
        <w:trPr>
          <w:trHeight w:val="220"/>
        </w:trPr>
        <w:tc>
          <w:tcPr>
            <w:tcW w:w="865" w:type="dxa"/>
            <w:shd w:val="clear" w:color="auto" w:fill="FFFFFF" w:themeFill="background1"/>
          </w:tcPr>
          <w:p w:rsidRPr="00DB54E1" w:rsidR="00750432" w:rsidP="00CB0CFE" w:rsidRDefault="00750432" w14:paraId="06775200" w14:textId="77777777">
            <w:pPr>
              <w:rPr>
                <w:rFonts w:ascii="Times New Roman" w:hAnsi="Times New Roman"/>
                <w:color w:val="FF0000"/>
                <w:sz w:val="19"/>
                <w:szCs w:val="19"/>
              </w:rPr>
            </w:pPr>
            <w:r w:rsidRPr="00DB54E1">
              <w:rPr>
                <w:rFonts w:ascii="Times New Roman" w:hAnsi="Times New Roman"/>
                <w:color w:val="000000" w:themeColor="text1"/>
                <w:sz w:val="19"/>
                <w:szCs w:val="19"/>
              </w:rPr>
              <w:t>51</w:t>
            </w:r>
          </w:p>
        </w:tc>
        <w:tc>
          <w:tcPr>
            <w:tcW w:w="1975" w:type="dxa"/>
            <w:shd w:val="clear" w:color="auto" w:fill="FFFFFF" w:themeFill="background1"/>
            <w:vAlign w:val="bottom"/>
          </w:tcPr>
          <w:p w:rsidRPr="00DB54E1" w:rsidR="00750432" w:rsidP="00CB0CFE" w:rsidRDefault="00750432" w14:paraId="2A918199" w14:textId="77777777">
            <w:pPr>
              <w:jc w:val="right"/>
              <w:rPr>
                <w:rFonts w:ascii="Times New Roman" w:hAnsi="Times New Roman"/>
                <w:color w:val="000000"/>
                <w:sz w:val="19"/>
                <w:szCs w:val="19"/>
              </w:rPr>
            </w:pPr>
            <w:r w:rsidRPr="00DB54E1">
              <w:rPr>
                <w:rFonts w:ascii="Times New Roman" w:hAnsi="Times New Roman"/>
                <w:color w:val="000000"/>
                <w:sz w:val="19"/>
                <w:szCs w:val="19"/>
              </w:rPr>
              <w:t>81,000</w:t>
            </w:r>
          </w:p>
        </w:tc>
        <w:tc>
          <w:tcPr>
            <w:tcW w:w="1202" w:type="dxa"/>
            <w:shd w:val="clear" w:color="auto" w:fill="FFFFFF" w:themeFill="background1"/>
            <w:vAlign w:val="bottom"/>
          </w:tcPr>
          <w:p w:rsidRPr="00DB54E1" w:rsidR="00750432" w:rsidP="00CB0CFE" w:rsidRDefault="00750432" w14:paraId="2B259BE1" w14:textId="77777777">
            <w:pPr>
              <w:jc w:val="right"/>
              <w:rPr>
                <w:rFonts w:ascii="Times New Roman" w:hAnsi="Times New Roman"/>
                <w:color w:val="000000"/>
                <w:sz w:val="19"/>
                <w:szCs w:val="19"/>
              </w:rPr>
            </w:pPr>
            <w:r w:rsidRPr="00DB54E1">
              <w:rPr>
                <w:rFonts w:ascii="Times New Roman" w:hAnsi="Times New Roman"/>
                <w:color w:val="000000"/>
                <w:sz w:val="19"/>
                <w:szCs w:val="19"/>
              </w:rPr>
              <w:t>35,500</w:t>
            </w:r>
          </w:p>
        </w:tc>
        <w:tc>
          <w:tcPr>
            <w:tcW w:w="1202" w:type="dxa"/>
            <w:shd w:val="clear" w:color="auto" w:fill="FFFFFF" w:themeFill="background1"/>
            <w:vAlign w:val="bottom"/>
          </w:tcPr>
          <w:p w:rsidRPr="00DB54E1" w:rsidR="00750432" w:rsidP="00CB0CFE" w:rsidRDefault="00750432" w14:paraId="5CD9E3A6" w14:textId="77777777">
            <w:pPr>
              <w:jc w:val="right"/>
              <w:rPr>
                <w:rFonts w:ascii="Times New Roman" w:hAnsi="Times New Roman"/>
                <w:color w:val="000000"/>
                <w:sz w:val="19"/>
                <w:szCs w:val="19"/>
              </w:rPr>
            </w:pPr>
            <w:r w:rsidRPr="00DB54E1">
              <w:rPr>
                <w:rFonts w:ascii="Times New Roman" w:hAnsi="Times New Roman"/>
                <w:color w:val="000000"/>
                <w:sz w:val="19"/>
                <w:szCs w:val="19"/>
              </w:rPr>
              <w:t>6,000</w:t>
            </w:r>
          </w:p>
        </w:tc>
        <w:tc>
          <w:tcPr>
            <w:tcW w:w="1288" w:type="dxa"/>
            <w:shd w:val="clear" w:color="auto" w:fill="FFFFFF" w:themeFill="background1"/>
            <w:vAlign w:val="bottom"/>
          </w:tcPr>
          <w:p w:rsidRPr="00DB54E1" w:rsidR="00750432" w:rsidP="00CB0CFE" w:rsidRDefault="00750432" w14:paraId="2DFF3A23" w14:textId="77777777">
            <w:pPr>
              <w:jc w:val="right"/>
              <w:rPr>
                <w:rFonts w:ascii="Times New Roman" w:hAnsi="Times New Roman"/>
                <w:color w:val="000000"/>
                <w:sz w:val="19"/>
                <w:szCs w:val="19"/>
              </w:rPr>
            </w:pPr>
            <w:r w:rsidRPr="00DB54E1">
              <w:rPr>
                <w:rFonts w:ascii="Times New Roman" w:hAnsi="Times New Roman"/>
                <w:color w:val="000000"/>
                <w:sz w:val="19"/>
                <w:szCs w:val="19"/>
              </w:rPr>
              <w:t>4,900</w:t>
            </w:r>
          </w:p>
        </w:tc>
        <w:tc>
          <w:tcPr>
            <w:tcW w:w="1030" w:type="dxa"/>
            <w:shd w:val="clear" w:color="auto" w:fill="FFFFFF" w:themeFill="background1"/>
            <w:vAlign w:val="bottom"/>
          </w:tcPr>
          <w:p w:rsidRPr="00DB54E1" w:rsidR="00750432" w:rsidP="00CB0CFE" w:rsidRDefault="00750432" w14:paraId="33661A98" w14:textId="77777777">
            <w:pPr>
              <w:jc w:val="right"/>
              <w:rPr>
                <w:rFonts w:ascii="Times New Roman" w:hAnsi="Times New Roman"/>
                <w:color w:val="000000"/>
                <w:sz w:val="19"/>
                <w:szCs w:val="19"/>
              </w:rPr>
            </w:pPr>
            <w:r w:rsidRPr="00DB54E1">
              <w:rPr>
                <w:rFonts w:ascii="Times New Roman" w:hAnsi="Times New Roman"/>
                <w:color w:val="000000"/>
                <w:sz w:val="19"/>
                <w:szCs w:val="19"/>
              </w:rPr>
              <w:t>36,000</w:t>
            </w:r>
          </w:p>
        </w:tc>
        <w:tc>
          <w:tcPr>
            <w:tcW w:w="852" w:type="dxa"/>
            <w:shd w:val="clear" w:color="auto" w:fill="FFFFFF" w:themeFill="background1"/>
            <w:vAlign w:val="bottom"/>
          </w:tcPr>
          <w:p w:rsidRPr="00DB54E1" w:rsidR="00750432" w:rsidP="00CB0CFE" w:rsidRDefault="00750432" w14:paraId="6F1716CD" w14:textId="77777777">
            <w:pPr>
              <w:jc w:val="right"/>
              <w:rPr>
                <w:rFonts w:ascii="Times New Roman" w:hAnsi="Times New Roman"/>
                <w:color w:val="000000"/>
                <w:sz w:val="19"/>
                <w:szCs w:val="19"/>
              </w:rPr>
            </w:pPr>
            <w:r w:rsidRPr="00DB54E1">
              <w:rPr>
                <w:rFonts w:ascii="Times New Roman" w:hAnsi="Times New Roman"/>
                <w:color w:val="000000"/>
                <w:sz w:val="19"/>
                <w:szCs w:val="19"/>
              </w:rPr>
              <w:t>900</w:t>
            </w:r>
          </w:p>
        </w:tc>
      </w:tr>
      <w:tr w:rsidRPr="0077661A" w:rsidR="00750432" w:rsidTr="002D6DDB" w14:paraId="14867AC6" w14:textId="77777777">
        <w:trPr>
          <w:trHeight w:val="232"/>
        </w:trPr>
        <w:tc>
          <w:tcPr>
            <w:tcW w:w="865" w:type="dxa"/>
            <w:shd w:val="clear" w:color="auto" w:fill="FFFFFF" w:themeFill="background1"/>
          </w:tcPr>
          <w:p w:rsidRPr="00DB54E1" w:rsidR="00750432" w:rsidP="00CB0CFE" w:rsidRDefault="00750432" w14:paraId="24F64530" w14:textId="77777777">
            <w:pPr>
              <w:rPr>
                <w:rFonts w:ascii="Times New Roman" w:hAnsi="Times New Roman"/>
                <w:sz w:val="19"/>
                <w:szCs w:val="19"/>
              </w:rPr>
            </w:pPr>
            <w:r w:rsidRPr="00DB54E1">
              <w:rPr>
                <w:rFonts w:ascii="Times New Roman" w:hAnsi="Times New Roman"/>
                <w:sz w:val="19"/>
                <w:szCs w:val="19"/>
              </w:rPr>
              <w:t>52</w:t>
            </w:r>
          </w:p>
        </w:tc>
        <w:tc>
          <w:tcPr>
            <w:tcW w:w="1975" w:type="dxa"/>
            <w:shd w:val="clear" w:color="auto" w:fill="FFFFFF" w:themeFill="background1"/>
            <w:vAlign w:val="bottom"/>
          </w:tcPr>
          <w:p w:rsidRPr="00DB54E1" w:rsidR="00750432" w:rsidP="00CB0CFE" w:rsidRDefault="00750432" w14:paraId="16C8FD09" w14:textId="77777777">
            <w:pPr>
              <w:jc w:val="right"/>
              <w:rPr>
                <w:rFonts w:ascii="Times New Roman" w:hAnsi="Times New Roman"/>
                <w:color w:val="000000"/>
                <w:sz w:val="19"/>
                <w:szCs w:val="19"/>
              </w:rPr>
            </w:pPr>
            <w:r w:rsidRPr="00DB54E1">
              <w:rPr>
                <w:rFonts w:ascii="Times New Roman" w:hAnsi="Times New Roman"/>
                <w:color w:val="000000"/>
                <w:sz w:val="19"/>
                <w:szCs w:val="19"/>
              </w:rPr>
              <w:t>253,000</w:t>
            </w:r>
          </w:p>
        </w:tc>
        <w:tc>
          <w:tcPr>
            <w:tcW w:w="1202" w:type="dxa"/>
            <w:shd w:val="clear" w:color="auto" w:fill="FFFFFF" w:themeFill="background1"/>
            <w:vAlign w:val="bottom"/>
          </w:tcPr>
          <w:p w:rsidRPr="00DB54E1" w:rsidR="00750432" w:rsidP="00CB0CFE" w:rsidRDefault="00750432" w14:paraId="379FF765" w14:textId="77777777">
            <w:pPr>
              <w:jc w:val="right"/>
              <w:rPr>
                <w:rFonts w:ascii="Times New Roman" w:hAnsi="Times New Roman"/>
                <w:color w:val="000000"/>
                <w:sz w:val="19"/>
                <w:szCs w:val="19"/>
              </w:rPr>
            </w:pPr>
            <w:r w:rsidRPr="00DB54E1">
              <w:rPr>
                <w:rFonts w:ascii="Times New Roman" w:hAnsi="Times New Roman"/>
                <w:color w:val="000000"/>
                <w:sz w:val="19"/>
                <w:szCs w:val="19"/>
              </w:rPr>
              <w:t>87,500</w:t>
            </w:r>
          </w:p>
        </w:tc>
        <w:tc>
          <w:tcPr>
            <w:tcW w:w="1202" w:type="dxa"/>
            <w:shd w:val="clear" w:color="auto" w:fill="FFFFFF" w:themeFill="background1"/>
            <w:vAlign w:val="bottom"/>
          </w:tcPr>
          <w:p w:rsidRPr="00DB54E1" w:rsidR="00750432" w:rsidP="00CB0CFE" w:rsidRDefault="00750432" w14:paraId="0EE2AF37" w14:textId="77777777">
            <w:pPr>
              <w:jc w:val="right"/>
              <w:rPr>
                <w:rFonts w:ascii="Times New Roman" w:hAnsi="Times New Roman"/>
                <w:color w:val="000000"/>
                <w:sz w:val="19"/>
                <w:szCs w:val="19"/>
              </w:rPr>
            </w:pPr>
            <w:r w:rsidRPr="00DB54E1">
              <w:rPr>
                <w:rFonts w:ascii="Times New Roman" w:hAnsi="Times New Roman"/>
                <w:color w:val="000000"/>
                <w:sz w:val="19"/>
                <w:szCs w:val="19"/>
              </w:rPr>
              <w:t>11,000</w:t>
            </w:r>
          </w:p>
        </w:tc>
        <w:tc>
          <w:tcPr>
            <w:tcW w:w="1288" w:type="dxa"/>
            <w:shd w:val="clear" w:color="auto" w:fill="FFFFFF" w:themeFill="background1"/>
            <w:vAlign w:val="bottom"/>
          </w:tcPr>
          <w:p w:rsidRPr="00DB54E1" w:rsidR="00750432" w:rsidP="00CB0CFE" w:rsidRDefault="00750432" w14:paraId="29689C6F" w14:textId="77777777">
            <w:pPr>
              <w:jc w:val="right"/>
              <w:rPr>
                <w:rFonts w:ascii="Times New Roman" w:hAnsi="Times New Roman"/>
                <w:color w:val="000000"/>
                <w:sz w:val="19"/>
                <w:szCs w:val="19"/>
              </w:rPr>
            </w:pPr>
            <w:r w:rsidRPr="00DB54E1">
              <w:rPr>
                <w:rFonts w:ascii="Times New Roman" w:hAnsi="Times New Roman"/>
                <w:color w:val="000000"/>
                <w:sz w:val="19"/>
                <w:szCs w:val="19"/>
              </w:rPr>
              <w:t>8,900</w:t>
            </w:r>
          </w:p>
        </w:tc>
        <w:tc>
          <w:tcPr>
            <w:tcW w:w="1030" w:type="dxa"/>
            <w:shd w:val="clear" w:color="auto" w:fill="FFFFFF" w:themeFill="background1"/>
            <w:vAlign w:val="bottom"/>
          </w:tcPr>
          <w:p w:rsidRPr="00DB54E1" w:rsidR="00750432" w:rsidP="00CB0CFE" w:rsidRDefault="00750432" w14:paraId="2D4624CB" w14:textId="77777777">
            <w:pPr>
              <w:jc w:val="right"/>
              <w:rPr>
                <w:rFonts w:ascii="Times New Roman" w:hAnsi="Times New Roman"/>
                <w:color w:val="000000"/>
                <w:sz w:val="19"/>
                <w:szCs w:val="19"/>
              </w:rPr>
            </w:pPr>
            <w:r w:rsidRPr="00DB54E1">
              <w:rPr>
                <w:rFonts w:ascii="Times New Roman" w:hAnsi="Times New Roman"/>
                <w:color w:val="000000"/>
                <w:sz w:val="19"/>
                <w:szCs w:val="19"/>
              </w:rPr>
              <w:t>133,000</w:t>
            </w:r>
          </w:p>
        </w:tc>
        <w:tc>
          <w:tcPr>
            <w:tcW w:w="852" w:type="dxa"/>
            <w:shd w:val="clear" w:color="auto" w:fill="FFFFFF" w:themeFill="background1"/>
            <w:vAlign w:val="bottom"/>
          </w:tcPr>
          <w:p w:rsidRPr="00DB54E1" w:rsidR="00750432" w:rsidP="00CB0CFE" w:rsidRDefault="00750432" w14:paraId="76FE4ABF" w14:textId="77777777">
            <w:pPr>
              <w:jc w:val="right"/>
              <w:rPr>
                <w:rFonts w:ascii="Times New Roman" w:hAnsi="Times New Roman"/>
                <w:color w:val="000000"/>
                <w:sz w:val="19"/>
                <w:szCs w:val="19"/>
              </w:rPr>
            </w:pPr>
            <w:r w:rsidRPr="00DB54E1">
              <w:rPr>
                <w:rFonts w:ascii="Times New Roman" w:hAnsi="Times New Roman"/>
                <w:color w:val="000000"/>
                <w:sz w:val="19"/>
                <w:szCs w:val="19"/>
              </w:rPr>
              <w:t>2,300</w:t>
            </w:r>
          </w:p>
        </w:tc>
      </w:tr>
      <w:tr w:rsidRPr="0077661A" w:rsidR="00750432" w:rsidTr="002D6DDB" w14:paraId="0172FCCA" w14:textId="77777777">
        <w:trPr>
          <w:trHeight w:val="232"/>
        </w:trPr>
        <w:tc>
          <w:tcPr>
            <w:tcW w:w="865" w:type="dxa"/>
            <w:shd w:val="clear" w:color="auto" w:fill="FFFFFF" w:themeFill="background1"/>
          </w:tcPr>
          <w:p w:rsidRPr="00DB54E1" w:rsidR="00750432" w:rsidP="00CB0CFE" w:rsidRDefault="00750432" w14:paraId="0620BB4D" w14:textId="77777777">
            <w:pPr>
              <w:rPr>
                <w:rFonts w:ascii="Times New Roman" w:hAnsi="Times New Roman"/>
                <w:sz w:val="19"/>
                <w:szCs w:val="19"/>
              </w:rPr>
            </w:pPr>
            <w:r w:rsidRPr="00DB54E1">
              <w:rPr>
                <w:rFonts w:ascii="Times New Roman" w:hAnsi="Times New Roman"/>
                <w:sz w:val="19"/>
                <w:szCs w:val="19"/>
              </w:rPr>
              <w:t>53</w:t>
            </w:r>
          </w:p>
        </w:tc>
        <w:tc>
          <w:tcPr>
            <w:tcW w:w="1975" w:type="dxa"/>
            <w:shd w:val="clear" w:color="auto" w:fill="FFFFFF" w:themeFill="background1"/>
            <w:vAlign w:val="bottom"/>
          </w:tcPr>
          <w:p w:rsidRPr="00DB54E1" w:rsidR="00750432" w:rsidP="00CB0CFE" w:rsidRDefault="00750432" w14:paraId="30BE2362" w14:textId="77777777">
            <w:pPr>
              <w:jc w:val="right"/>
              <w:rPr>
                <w:rFonts w:ascii="Times New Roman" w:hAnsi="Times New Roman"/>
                <w:color w:val="000000"/>
                <w:sz w:val="19"/>
                <w:szCs w:val="19"/>
              </w:rPr>
            </w:pPr>
            <w:r w:rsidRPr="00DB54E1">
              <w:rPr>
                <w:rFonts w:ascii="Times New Roman" w:hAnsi="Times New Roman"/>
                <w:color w:val="000000"/>
                <w:sz w:val="19"/>
                <w:szCs w:val="19"/>
              </w:rPr>
              <w:t>110,000</w:t>
            </w:r>
          </w:p>
        </w:tc>
        <w:tc>
          <w:tcPr>
            <w:tcW w:w="1202" w:type="dxa"/>
            <w:shd w:val="clear" w:color="auto" w:fill="FFFFFF" w:themeFill="background1"/>
            <w:vAlign w:val="bottom"/>
          </w:tcPr>
          <w:p w:rsidRPr="00DB54E1" w:rsidR="00750432" w:rsidP="00CB0CFE" w:rsidRDefault="00750432" w14:paraId="0960391A" w14:textId="77777777">
            <w:pPr>
              <w:jc w:val="right"/>
              <w:rPr>
                <w:rFonts w:ascii="Times New Roman" w:hAnsi="Times New Roman"/>
                <w:color w:val="000000"/>
                <w:sz w:val="19"/>
                <w:szCs w:val="19"/>
              </w:rPr>
            </w:pPr>
            <w:r w:rsidRPr="00DB54E1">
              <w:rPr>
                <w:rFonts w:ascii="Times New Roman" w:hAnsi="Times New Roman"/>
                <w:color w:val="000000"/>
                <w:sz w:val="19"/>
                <w:szCs w:val="19"/>
              </w:rPr>
              <w:t>42,000</w:t>
            </w:r>
          </w:p>
        </w:tc>
        <w:tc>
          <w:tcPr>
            <w:tcW w:w="1202" w:type="dxa"/>
            <w:shd w:val="clear" w:color="auto" w:fill="FFFFFF" w:themeFill="background1"/>
            <w:vAlign w:val="bottom"/>
          </w:tcPr>
          <w:p w:rsidRPr="00DB54E1" w:rsidR="00750432" w:rsidP="00CB0CFE" w:rsidRDefault="00750432" w14:paraId="4B7B4D65" w14:textId="77777777">
            <w:pPr>
              <w:jc w:val="right"/>
              <w:rPr>
                <w:rFonts w:ascii="Times New Roman" w:hAnsi="Times New Roman"/>
                <w:color w:val="000000"/>
                <w:sz w:val="19"/>
                <w:szCs w:val="19"/>
              </w:rPr>
            </w:pPr>
            <w:r w:rsidRPr="00DB54E1">
              <w:rPr>
                <w:rFonts w:ascii="Times New Roman" w:hAnsi="Times New Roman"/>
                <w:color w:val="000000"/>
                <w:sz w:val="19"/>
                <w:szCs w:val="19"/>
              </w:rPr>
              <w:t>24,000</w:t>
            </w:r>
          </w:p>
        </w:tc>
        <w:tc>
          <w:tcPr>
            <w:tcW w:w="1288" w:type="dxa"/>
            <w:shd w:val="clear" w:color="auto" w:fill="FFFFFF" w:themeFill="background1"/>
            <w:vAlign w:val="bottom"/>
          </w:tcPr>
          <w:p w:rsidRPr="00DB54E1" w:rsidR="00750432" w:rsidP="00CB0CFE" w:rsidRDefault="00750432" w14:paraId="54550950" w14:textId="77777777">
            <w:pPr>
              <w:jc w:val="right"/>
              <w:rPr>
                <w:rFonts w:ascii="Times New Roman" w:hAnsi="Times New Roman"/>
                <w:color w:val="000000"/>
                <w:sz w:val="19"/>
                <w:szCs w:val="19"/>
              </w:rPr>
            </w:pPr>
            <w:r w:rsidRPr="00DB54E1">
              <w:rPr>
                <w:rFonts w:ascii="Times New Roman" w:hAnsi="Times New Roman"/>
                <w:color w:val="000000"/>
                <w:sz w:val="19"/>
                <w:szCs w:val="19"/>
              </w:rPr>
              <w:t>22,000</w:t>
            </w:r>
          </w:p>
        </w:tc>
        <w:tc>
          <w:tcPr>
            <w:tcW w:w="1030" w:type="dxa"/>
            <w:shd w:val="clear" w:color="auto" w:fill="FFFFFF" w:themeFill="background1"/>
            <w:vAlign w:val="bottom"/>
          </w:tcPr>
          <w:p w:rsidRPr="00DB54E1" w:rsidR="00750432" w:rsidP="00CB0CFE" w:rsidRDefault="00750432" w14:paraId="5D5311EF" w14:textId="77777777">
            <w:pPr>
              <w:jc w:val="right"/>
              <w:rPr>
                <w:rFonts w:ascii="Times New Roman" w:hAnsi="Times New Roman"/>
                <w:color w:val="000000"/>
                <w:sz w:val="19"/>
                <w:szCs w:val="19"/>
              </w:rPr>
            </w:pPr>
            <w:r w:rsidRPr="00DB54E1">
              <w:rPr>
                <w:rFonts w:ascii="Times New Roman" w:hAnsi="Times New Roman"/>
                <w:color w:val="000000"/>
                <w:sz w:val="19"/>
                <w:szCs w:val="19"/>
              </w:rPr>
              <w:t>259,000</w:t>
            </w:r>
          </w:p>
        </w:tc>
        <w:tc>
          <w:tcPr>
            <w:tcW w:w="852" w:type="dxa"/>
            <w:shd w:val="clear" w:color="auto" w:fill="FFFFFF" w:themeFill="background1"/>
            <w:vAlign w:val="bottom"/>
          </w:tcPr>
          <w:p w:rsidRPr="00DB54E1" w:rsidR="00750432" w:rsidP="00CB0CFE" w:rsidRDefault="00750432" w14:paraId="56E3EFCA" w14:textId="77777777">
            <w:pPr>
              <w:jc w:val="right"/>
              <w:rPr>
                <w:rFonts w:ascii="Times New Roman" w:hAnsi="Times New Roman"/>
                <w:color w:val="000000"/>
                <w:sz w:val="19"/>
                <w:szCs w:val="19"/>
              </w:rPr>
            </w:pPr>
            <w:r w:rsidRPr="00DB54E1">
              <w:rPr>
                <w:rFonts w:ascii="Times New Roman" w:hAnsi="Times New Roman"/>
                <w:color w:val="000000"/>
                <w:sz w:val="19"/>
                <w:szCs w:val="19"/>
              </w:rPr>
              <w:t>4,800</w:t>
            </w:r>
          </w:p>
        </w:tc>
      </w:tr>
      <w:tr w:rsidRPr="0077661A" w:rsidR="00750432" w:rsidTr="002D6DDB" w14:paraId="3698B77B" w14:textId="77777777">
        <w:trPr>
          <w:trHeight w:val="232"/>
        </w:trPr>
        <w:tc>
          <w:tcPr>
            <w:tcW w:w="865" w:type="dxa"/>
            <w:shd w:val="clear" w:color="auto" w:fill="FFFFFF" w:themeFill="background1"/>
          </w:tcPr>
          <w:p w:rsidRPr="00DB54E1" w:rsidR="00750432" w:rsidP="00CB0CFE" w:rsidRDefault="00750432" w14:paraId="33589425" w14:textId="77777777">
            <w:pPr>
              <w:rPr>
                <w:rFonts w:ascii="Times New Roman" w:hAnsi="Times New Roman"/>
                <w:sz w:val="19"/>
                <w:szCs w:val="19"/>
              </w:rPr>
            </w:pPr>
            <w:r w:rsidRPr="00DB54E1">
              <w:rPr>
                <w:rFonts w:ascii="Times New Roman" w:hAnsi="Times New Roman"/>
                <w:sz w:val="19"/>
                <w:szCs w:val="19"/>
              </w:rPr>
              <w:t>54</w:t>
            </w:r>
          </w:p>
        </w:tc>
        <w:tc>
          <w:tcPr>
            <w:tcW w:w="1975" w:type="dxa"/>
            <w:shd w:val="clear" w:color="auto" w:fill="FFFFFF" w:themeFill="background1"/>
            <w:vAlign w:val="bottom"/>
          </w:tcPr>
          <w:p w:rsidRPr="00DB54E1" w:rsidR="00750432" w:rsidP="00CB0CFE" w:rsidRDefault="00750432" w14:paraId="68382336" w14:textId="77777777">
            <w:pPr>
              <w:jc w:val="right"/>
              <w:rPr>
                <w:rFonts w:ascii="Times New Roman" w:hAnsi="Times New Roman"/>
                <w:color w:val="000000"/>
                <w:sz w:val="19"/>
                <w:szCs w:val="19"/>
              </w:rPr>
            </w:pPr>
            <w:r w:rsidRPr="00DB54E1">
              <w:rPr>
                <w:rFonts w:ascii="Times New Roman" w:hAnsi="Times New Roman"/>
                <w:color w:val="000000"/>
                <w:sz w:val="19"/>
                <w:szCs w:val="19"/>
              </w:rPr>
              <w:t>126,000</w:t>
            </w:r>
          </w:p>
        </w:tc>
        <w:tc>
          <w:tcPr>
            <w:tcW w:w="1202" w:type="dxa"/>
            <w:shd w:val="clear" w:color="auto" w:fill="FFFFFF" w:themeFill="background1"/>
            <w:vAlign w:val="bottom"/>
          </w:tcPr>
          <w:p w:rsidRPr="00DB54E1" w:rsidR="00750432" w:rsidP="00CB0CFE" w:rsidRDefault="00750432" w14:paraId="4CABB6CE" w14:textId="77777777">
            <w:pPr>
              <w:jc w:val="right"/>
              <w:rPr>
                <w:rFonts w:ascii="Times New Roman" w:hAnsi="Times New Roman"/>
                <w:color w:val="000000"/>
                <w:sz w:val="19"/>
                <w:szCs w:val="19"/>
              </w:rPr>
            </w:pPr>
            <w:r w:rsidRPr="00DB54E1">
              <w:rPr>
                <w:rFonts w:ascii="Times New Roman" w:hAnsi="Times New Roman"/>
                <w:color w:val="000000"/>
                <w:sz w:val="19"/>
                <w:szCs w:val="19"/>
              </w:rPr>
              <w:t>187,000</w:t>
            </w:r>
          </w:p>
        </w:tc>
        <w:tc>
          <w:tcPr>
            <w:tcW w:w="1202" w:type="dxa"/>
            <w:shd w:val="clear" w:color="auto" w:fill="FFFFFF" w:themeFill="background1"/>
            <w:vAlign w:val="bottom"/>
          </w:tcPr>
          <w:p w:rsidRPr="00DB54E1" w:rsidR="00750432" w:rsidP="00CB0CFE" w:rsidRDefault="00750432" w14:paraId="7290D972" w14:textId="77777777">
            <w:pPr>
              <w:jc w:val="right"/>
              <w:rPr>
                <w:rFonts w:ascii="Times New Roman" w:hAnsi="Times New Roman"/>
                <w:color w:val="000000"/>
                <w:sz w:val="19"/>
                <w:szCs w:val="19"/>
              </w:rPr>
            </w:pPr>
            <w:r w:rsidRPr="00DB54E1">
              <w:rPr>
                <w:rFonts w:ascii="Times New Roman" w:hAnsi="Times New Roman"/>
                <w:color w:val="000000"/>
                <w:sz w:val="19"/>
                <w:szCs w:val="19"/>
              </w:rPr>
              <w:t>64,000</w:t>
            </w:r>
          </w:p>
        </w:tc>
        <w:tc>
          <w:tcPr>
            <w:tcW w:w="1288" w:type="dxa"/>
            <w:shd w:val="clear" w:color="auto" w:fill="FFFFFF" w:themeFill="background1"/>
            <w:vAlign w:val="bottom"/>
          </w:tcPr>
          <w:p w:rsidRPr="00DB54E1" w:rsidR="00750432" w:rsidP="00CB0CFE" w:rsidRDefault="00750432" w14:paraId="39F2D7BC" w14:textId="77777777">
            <w:pPr>
              <w:jc w:val="right"/>
              <w:rPr>
                <w:rFonts w:ascii="Times New Roman" w:hAnsi="Times New Roman"/>
                <w:color w:val="000000"/>
                <w:sz w:val="19"/>
                <w:szCs w:val="19"/>
              </w:rPr>
            </w:pPr>
            <w:r w:rsidRPr="00DB54E1">
              <w:rPr>
                <w:rFonts w:ascii="Times New Roman" w:hAnsi="Times New Roman"/>
                <w:color w:val="000000"/>
                <w:sz w:val="19"/>
                <w:szCs w:val="19"/>
              </w:rPr>
              <w:t>62,000</w:t>
            </w:r>
          </w:p>
        </w:tc>
        <w:tc>
          <w:tcPr>
            <w:tcW w:w="1030" w:type="dxa"/>
            <w:shd w:val="clear" w:color="auto" w:fill="FFFFFF" w:themeFill="background1"/>
            <w:vAlign w:val="bottom"/>
          </w:tcPr>
          <w:p w:rsidRPr="00DB54E1" w:rsidR="00750432" w:rsidP="00CB0CFE" w:rsidRDefault="00750432" w14:paraId="344B21BD" w14:textId="77777777">
            <w:pPr>
              <w:jc w:val="right"/>
              <w:rPr>
                <w:rFonts w:ascii="Times New Roman" w:hAnsi="Times New Roman"/>
                <w:color w:val="000000"/>
                <w:sz w:val="19"/>
                <w:szCs w:val="19"/>
              </w:rPr>
            </w:pPr>
            <w:r w:rsidRPr="00DB54E1">
              <w:rPr>
                <w:rFonts w:ascii="Times New Roman" w:hAnsi="Times New Roman"/>
                <w:color w:val="000000"/>
                <w:sz w:val="19"/>
                <w:szCs w:val="19"/>
              </w:rPr>
              <w:t>553,000</w:t>
            </w:r>
          </w:p>
        </w:tc>
        <w:tc>
          <w:tcPr>
            <w:tcW w:w="852" w:type="dxa"/>
            <w:shd w:val="clear" w:color="auto" w:fill="FFFFFF" w:themeFill="background1"/>
            <w:vAlign w:val="bottom"/>
          </w:tcPr>
          <w:p w:rsidRPr="00DB54E1" w:rsidR="00750432" w:rsidP="00CB0CFE" w:rsidRDefault="00750432" w14:paraId="415A0C5A" w14:textId="77777777">
            <w:pPr>
              <w:jc w:val="right"/>
              <w:rPr>
                <w:rFonts w:ascii="Times New Roman" w:hAnsi="Times New Roman"/>
                <w:color w:val="000000"/>
                <w:sz w:val="19"/>
                <w:szCs w:val="19"/>
              </w:rPr>
            </w:pPr>
            <w:r w:rsidRPr="00DB54E1">
              <w:rPr>
                <w:rFonts w:ascii="Times New Roman" w:hAnsi="Times New Roman"/>
                <w:color w:val="000000"/>
                <w:sz w:val="19"/>
                <w:szCs w:val="19"/>
              </w:rPr>
              <w:t>10,000</w:t>
            </w:r>
          </w:p>
        </w:tc>
      </w:tr>
      <w:tr w:rsidRPr="0077661A" w:rsidR="00750432" w:rsidTr="002D6DDB" w14:paraId="0B4AE33F" w14:textId="77777777">
        <w:trPr>
          <w:trHeight w:val="232"/>
        </w:trPr>
        <w:tc>
          <w:tcPr>
            <w:tcW w:w="865" w:type="dxa"/>
            <w:shd w:val="clear" w:color="auto" w:fill="FFFFFF" w:themeFill="background1"/>
          </w:tcPr>
          <w:p w:rsidRPr="00DB54E1" w:rsidR="00750432" w:rsidP="00CB0CFE" w:rsidRDefault="00750432" w14:paraId="1BC3BAE9" w14:textId="77777777">
            <w:pPr>
              <w:rPr>
                <w:rFonts w:ascii="Times New Roman" w:hAnsi="Times New Roman"/>
                <w:sz w:val="19"/>
                <w:szCs w:val="19"/>
              </w:rPr>
            </w:pPr>
            <w:r w:rsidRPr="00DB54E1">
              <w:rPr>
                <w:rFonts w:ascii="Times New Roman" w:hAnsi="Times New Roman"/>
                <w:sz w:val="19"/>
                <w:szCs w:val="19"/>
              </w:rPr>
              <w:t>55</w:t>
            </w:r>
          </w:p>
        </w:tc>
        <w:tc>
          <w:tcPr>
            <w:tcW w:w="1975" w:type="dxa"/>
            <w:shd w:val="clear" w:color="auto" w:fill="FFFFFF" w:themeFill="background1"/>
            <w:vAlign w:val="bottom"/>
          </w:tcPr>
          <w:p w:rsidRPr="00DB54E1" w:rsidR="00750432" w:rsidP="00CB0CFE" w:rsidRDefault="00750432" w14:paraId="3EE62C39" w14:textId="77777777">
            <w:pPr>
              <w:jc w:val="right"/>
              <w:rPr>
                <w:rFonts w:ascii="Times New Roman" w:hAnsi="Times New Roman"/>
                <w:color w:val="000000"/>
                <w:sz w:val="19"/>
                <w:szCs w:val="19"/>
              </w:rPr>
            </w:pPr>
            <w:r w:rsidRPr="00DB54E1">
              <w:rPr>
                <w:rFonts w:ascii="Times New Roman" w:hAnsi="Times New Roman"/>
                <w:color w:val="000000"/>
                <w:sz w:val="19"/>
                <w:szCs w:val="19"/>
              </w:rPr>
              <w:t>65,000</w:t>
            </w:r>
          </w:p>
        </w:tc>
        <w:tc>
          <w:tcPr>
            <w:tcW w:w="1202" w:type="dxa"/>
            <w:shd w:val="clear" w:color="auto" w:fill="FFFFFF" w:themeFill="background1"/>
            <w:vAlign w:val="bottom"/>
          </w:tcPr>
          <w:p w:rsidRPr="00DB54E1" w:rsidR="00750432" w:rsidP="00CB0CFE" w:rsidRDefault="00750432" w14:paraId="1F3B6DA9" w14:textId="77777777">
            <w:pPr>
              <w:jc w:val="right"/>
              <w:rPr>
                <w:rFonts w:ascii="Times New Roman" w:hAnsi="Times New Roman"/>
                <w:color w:val="000000"/>
                <w:sz w:val="19"/>
                <w:szCs w:val="19"/>
              </w:rPr>
            </w:pPr>
            <w:r w:rsidRPr="00DB54E1">
              <w:rPr>
                <w:rFonts w:ascii="Times New Roman" w:hAnsi="Times New Roman"/>
                <w:color w:val="000000"/>
                <w:sz w:val="19"/>
                <w:szCs w:val="19"/>
              </w:rPr>
              <w:t>4,200</w:t>
            </w:r>
          </w:p>
        </w:tc>
        <w:tc>
          <w:tcPr>
            <w:tcW w:w="1202" w:type="dxa"/>
            <w:shd w:val="clear" w:color="auto" w:fill="FFFFFF" w:themeFill="background1"/>
            <w:vAlign w:val="bottom"/>
          </w:tcPr>
          <w:p w:rsidRPr="00DB54E1" w:rsidR="00750432" w:rsidP="00CB0CFE" w:rsidRDefault="00750432" w14:paraId="45EAB5E6"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288" w:type="dxa"/>
            <w:shd w:val="clear" w:color="auto" w:fill="FFFFFF" w:themeFill="background1"/>
            <w:vAlign w:val="bottom"/>
          </w:tcPr>
          <w:p w:rsidRPr="00DB54E1" w:rsidR="00750432" w:rsidP="00CB0CFE" w:rsidRDefault="00750432" w14:paraId="585119A9"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1030" w:type="dxa"/>
            <w:shd w:val="clear" w:color="auto" w:fill="FFFFFF" w:themeFill="background1"/>
            <w:vAlign w:val="bottom"/>
          </w:tcPr>
          <w:p w:rsidRPr="00DB54E1" w:rsidR="00750432" w:rsidP="00CB0CFE" w:rsidRDefault="00750432" w14:paraId="3A5251D2" w14:textId="77777777">
            <w:pPr>
              <w:jc w:val="right"/>
              <w:rPr>
                <w:rFonts w:ascii="Times New Roman" w:hAnsi="Times New Roman"/>
                <w:color w:val="000000"/>
                <w:sz w:val="19"/>
                <w:szCs w:val="19"/>
              </w:rPr>
            </w:pPr>
            <w:r w:rsidRPr="00DB54E1">
              <w:rPr>
                <w:rFonts w:ascii="Times New Roman" w:hAnsi="Times New Roman"/>
                <w:color w:val="000000"/>
                <w:sz w:val="19"/>
                <w:szCs w:val="19"/>
              </w:rPr>
              <w:t>0</w:t>
            </w:r>
          </w:p>
        </w:tc>
        <w:tc>
          <w:tcPr>
            <w:tcW w:w="852" w:type="dxa"/>
            <w:shd w:val="clear" w:color="auto" w:fill="FFFFFF" w:themeFill="background1"/>
            <w:vAlign w:val="bottom"/>
          </w:tcPr>
          <w:p w:rsidRPr="00DB54E1" w:rsidR="00750432" w:rsidP="00CB0CFE" w:rsidRDefault="00750432" w14:paraId="0319AE93" w14:textId="77777777">
            <w:pPr>
              <w:jc w:val="right"/>
              <w:rPr>
                <w:rFonts w:ascii="Times New Roman" w:hAnsi="Times New Roman"/>
                <w:color w:val="000000"/>
                <w:sz w:val="19"/>
                <w:szCs w:val="19"/>
              </w:rPr>
            </w:pPr>
            <w:r w:rsidRPr="00DB54E1">
              <w:rPr>
                <w:rFonts w:ascii="Times New Roman" w:hAnsi="Times New Roman"/>
                <w:color w:val="000000"/>
                <w:sz w:val="19"/>
                <w:szCs w:val="19"/>
              </w:rPr>
              <w:t>100</w:t>
            </w:r>
          </w:p>
        </w:tc>
      </w:tr>
      <w:tr w:rsidRPr="0077661A" w:rsidR="00750432" w:rsidTr="002D6DDB" w14:paraId="3DF13908" w14:textId="77777777">
        <w:trPr>
          <w:trHeight w:val="232"/>
        </w:trPr>
        <w:tc>
          <w:tcPr>
            <w:tcW w:w="865" w:type="dxa"/>
            <w:shd w:val="clear" w:color="auto" w:fill="FFFFFF" w:themeFill="background1"/>
          </w:tcPr>
          <w:p w:rsidRPr="00DB54E1" w:rsidR="00750432" w:rsidP="00CB0CFE" w:rsidRDefault="00750432" w14:paraId="52FC90F3" w14:textId="77777777">
            <w:pPr>
              <w:rPr>
                <w:rFonts w:ascii="Times New Roman" w:hAnsi="Times New Roman"/>
                <w:sz w:val="19"/>
                <w:szCs w:val="19"/>
              </w:rPr>
            </w:pPr>
            <w:r w:rsidRPr="00DB54E1">
              <w:rPr>
                <w:rFonts w:ascii="Times New Roman" w:hAnsi="Times New Roman"/>
                <w:sz w:val="19"/>
                <w:szCs w:val="19"/>
              </w:rPr>
              <w:t>56</w:t>
            </w:r>
          </w:p>
        </w:tc>
        <w:tc>
          <w:tcPr>
            <w:tcW w:w="1975" w:type="dxa"/>
            <w:shd w:val="clear" w:color="auto" w:fill="FFFFFF" w:themeFill="background1"/>
            <w:vAlign w:val="bottom"/>
          </w:tcPr>
          <w:p w:rsidRPr="00DB54E1" w:rsidR="00750432" w:rsidP="00CB0CFE" w:rsidRDefault="00750432" w14:paraId="3E51996D" w14:textId="77777777">
            <w:pPr>
              <w:jc w:val="right"/>
              <w:rPr>
                <w:rFonts w:ascii="Times New Roman" w:hAnsi="Times New Roman"/>
                <w:color w:val="000000"/>
                <w:sz w:val="19"/>
                <w:szCs w:val="19"/>
              </w:rPr>
            </w:pPr>
            <w:r w:rsidRPr="00DB54E1">
              <w:rPr>
                <w:rFonts w:ascii="Times New Roman" w:hAnsi="Times New Roman"/>
                <w:color w:val="000000"/>
                <w:sz w:val="19"/>
                <w:szCs w:val="19"/>
              </w:rPr>
              <w:t>83,500</w:t>
            </w:r>
          </w:p>
        </w:tc>
        <w:tc>
          <w:tcPr>
            <w:tcW w:w="1202" w:type="dxa"/>
            <w:shd w:val="clear" w:color="auto" w:fill="FFFFFF" w:themeFill="background1"/>
            <w:vAlign w:val="bottom"/>
          </w:tcPr>
          <w:p w:rsidRPr="00DB54E1" w:rsidR="00750432" w:rsidP="00CB0CFE" w:rsidRDefault="00750432" w14:paraId="5B77CF60" w14:textId="77777777">
            <w:pPr>
              <w:jc w:val="right"/>
              <w:rPr>
                <w:rFonts w:ascii="Times New Roman" w:hAnsi="Times New Roman"/>
                <w:color w:val="000000"/>
                <w:sz w:val="19"/>
                <w:szCs w:val="19"/>
              </w:rPr>
            </w:pPr>
            <w:r w:rsidRPr="00DB54E1">
              <w:rPr>
                <w:rFonts w:ascii="Times New Roman" w:hAnsi="Times New Roman"/>
                <w:color w:val="000000"/>
                <w:sz w:val="19"/>
                <w:szCs w:val="19"/>
              </w:rPr>
              <w:t>71,000</w:t>
            </w:r>
          </w:p>
        </w:tc>
        <w:tc>
          <w:tcPr>
            <w:tcW w:w="1202" w:type="dxa"/>
            <w:shd w:val="clear" w:color="auto" w:fill="FFFFFF" w:themeFill="background1"/>
            <w:vAlign w:val="bottom"/>
          </w:tcPr>
          <w:p w:rsidRPr="00DB54E1" w:rsidR="00750432" w:rsidP="00CB0CFE" w:rsidRDefault="00750432" w14:paraId="1E5B7B7B" w14:textId="77777777">
            <w:pPr>
              <w:jc w:val="right"/>
              <w:rPr>
                <w:rFonts w:ascii="Times New Roman" w:hAnsi="Times New Roman"/>
                <w:color w:val="000000"/>
                <w:sz w:val="19"/>
                <w:szCs w:val="19"/>
              </w:rPr>
            </w:pPr>
            <w:r w:rsidRPr="00DB54E1">
              <w:rPr>
                <w:rFonts w:ascii="Times New Roman" w:hAnsi="Times New Roman"/>
                <w:color w:val="000000"/>
                <w:sz w:val="19"/>
                <w:szCs w:val="19"/>
              </w:rPr>
              <w:t>34,500</w:t>
            </w:r>
          </w:p>
        </w:tc>
        <w:tc>
          <w:tcPr>
            <w:tcW w:w="1288" w:type="dxa"/>
            <w:shd w:val="clear" w:color="auto" w:fill="FFFFFF" w:themeFill="background1"/>
            <w:vAlign w:val="bottom"/>
          </w:tcPr>
          <w:p w:rsidRPr="00DB54E1" w:rsidR="00750432" w:rsidP="00CB0CFE" w:rsidRDefault="00750432" w14:paraId="369CDCD9" w14:textId="77777777">
            <w:pPr>
              <w:jc w:val="right"/>
              <w:rPr>
                <w:rFonts w:ascii="Times New Roman" w:hAnsi="Times New Roman"/>
                <w:color w:val="000000"/>
                <w:sz w:val="19"/>
                <w:szCs w:val="19"/>
              </w:rPr>
            </w:pPr>
            <w:r w:rsidRPr="00DB54E1">
              <w:rPr>
                <w:rFonts w:ascii="Times New Roman" w:hAnsi="Times New Roman"/>
                <w:color w:val="000000"/>
                <w:sz w:val="19"/>
                <w:szCs w:val="19"/>
              </w:rPr>
              <w:t>16,000</w:t>
            </w:r>
          </w:p>
        </w:tc>
        <w:tc>
          <w:tcPr>
            <w:tcW w:w="1030" w:type="dxa"/>
            <w:shd w:val="clear" w:color="auto" w:fill="FFFFFF" w:themeFill="background1"/>
            <w:vAlign w:val="bottom"/>
          </w:tcPr>
          <w:p w:rsidRPr="00DB54E1" w:rsidR="00750432" w:rsidP="00CB0CFE" w:rsidRDefault="00750432" w14:paraId="3AD14F64" w14:textId="77777777">
            <w:pPr>
              <w:jc w:val="right"/>
              <w:rPr>
                <w:rFonts w:ascii="Times New Roman" w:hAnsi="Times New Roman"/>
                <w:color w:val="000000"/>
                <w:sz w:val="19"/>
                <w:szCs w:val="19"/>
              </w:rPr>
            </w:pPr>
            <w:r w:rsidRPr="00DB54E1">
              <w:rPr>
                <w:rFonts w:ascii="Times New Roman" w:hAnsi="Times New Roman"/>
                <w:color w:val="000000"/>
                <w:sz w:val="19"/>
                <w:szCs w:val="19"/>
              </w:rPr>
              <w:t>235,000</w:t>
            </w:r>
          </w:p>
        </w:tc>
        <w:tc>
          <w:tcPr>
            <w:tcW w:w="852" w:type="dxa"/>
            <w:shd w:val="clear" w:color="auto" w:fill="FFFFFF" w:themeFill="background1"/>
            <w:vAlign w:val="bottom"/>
          </w:tcPr>
          <w:p w:rsidRPr="00DB54E1" w:rsidR="00750432" w:rsidP="00CB0CFE" w:rsidRDefault="00750432" w14:paraId="0ADF9203" w14:textId="77777777">
            <w:pPr>
              <w:jc w:val="right"/>
              <w:rPr>
                <w:rFonts w:ascii="Times New Roman" w:hAnsi="Times New Roman"/>
                <w:color w:val="000000"/>
                <w:sz w:val="19"/>
                <w:szCs w:val="19"/>
              </w:rPr>
            </w:pPr>
            <w:r w:rsidRPr="00DB54E1">
              <w:rPr>
                <w:rFonts w:ascii="Times New Roman" w:hAnsi="Times New Roman"/>
                <w:color w:val="000000"/>
                <w:sz w:val="19"/>
                <w:szCs w:val="19"/>
              </w:rPr>
              <w:t>3,800</w:t>
            </w:r>
          </w:p>
        </w:tc>
      </w:tr>
      <w:tr w:rsidRPr="0077661A" w:rsidR="00750432" w:rsidTr="002D6DDB" w14:paraId="161F16C6" w14:textId="77777777">
        <w:trPr>
          <w:trHeight w:val="220"/>
        </w:trPr>
        <w:tc>
          <w:tcPr>
            <w:tcW w:w="865" w:type="dxa"/>
            <w:shd w:val="clear" w:color="auto" w:fill="FFFFFF" w:themeFill="background1"/>
          </w:tcPr>
          <w:p w:rsidRPr="00DB54E1" w:rsidR="00750432" w:rsidP="00CB0CFE" w:rsidRDefault="00750432" w14:paraId="6A25CDBB" w14:textId="77777777">
            <w:pPr>
              <w:rPr>
                <w:rFonts w:ascii="Times New Roman" w:hAnsi="Times New Roman"/>
                <w:sz w:val="19"/>
                <w:szCs w:val="19"/>
              </w:rPr>
            </w:pPr>
            <w:r w:rsidRPr="00DB54E1">
              <w:rPr>
                <w:rFonts w:ascii="Times New Roman" w:hAnsi="Times New Roman"/>
                <w:sz w:val="19"/>
                <w:szCs w:val="19"/>
              </w:rPr>
              <w:t>61</w:t>
            </w:r>
          </w:p>
        </w:tc>
        <w:tc>
          <w:tcPr>
            <w:tcW w:w="1975" w:type="dxa"/>
            <w:shd w:val="clear" w:color="auto" w:fill="FFFFFF" w:themeFill="background1"/>
            <w:vAlign w:val="bottom"/>
          </w:tcPr>
          <w:p w:rsidRPr="00DB54E1" w:rsidR="00750432" w:rsidP="00CB0CFE" w:rsidRDefault="00750432" w14:paraId="4752795E" w14:textId="77777777">
            <w:pPr>
              <w:jc w:val="right"/>
              <w:rPr>
                <w:rFonts w:ascii="Times New Roman" w:hAnsi="Times New Roman"/>
                <w:color w:val="000000"/>
                <w:sz w:val="19"/>
                <w:szCs w:val="19"/>
              </w:rPr>
            </w:pPr>
            <w:r w:rsidRPr="00DB54E1">
              <w:rPr>
                <w:rFonts w:ascii="Times New Roman" w:hAnsi="Times New Roman"/>
                <w:color w:val="000000"/>
                <w:sz w:val="19"/>
                <w:szCs w:val="19"/>
              </w:rPr>
              <w:t>8,900</w:t>
            </w:r>
          </w:p>
        </w:tc>
        <w:tc>
          <w:tcPr>
            <w:tcW w:w="1202" w:type="dxa"/>
            <w:shd w:val="clear" w:color="auto" w:fill="FFFFFF" w:themeFill="background1"/>
            <w:vAlign w:val="bottom"/>
          </w:tcPr>
          <w:p w:rsidRPr="00DB54E1" w:rsidR="00750432" w:rsidP="00CB0CFE" w:rsidRDefault="00750432" w14:paraId="4206DD58" w14:textId="77777777">
            <w:pPr>
              <w:jc w:val="right"/>
              <w:rPr>
                <w:rFonts w:ascii="Times New Roman" w:hAnsi="Times New Roman"/>
                <w:color w:val="000000"/>
                <w:sz w:val="19"/>
                <w:szCs w:val="19"/>
              </w:rPr>
            </w:pPr>
            <w:r w:rsidRPr="00DB54E1">
              <w:rPr>
                <w:rFonts w:ascii="Times New Roman" w:hAnsi="Times New Roman"/>
                <w:color w:val="000000"/>
                <w:sz w:val="19"/>
                <w:szCs w:val="19"/>
              </w:rPr>
              <w:t>15,500</w:t>
            </w:r>
          </w:p>
        </w:tc>
        <w:tc>
          <w:tcPr>
            <w:tcW w:w="1202" w:type="dxa"/>
            <w:shd w:val="clear" w:color="auto" w:fill="FFFFFF" w:themeFill="background1"/>
            <w:vAlign w:val="bottom"/>
          </w:tcPr>
          <w:p w:rsidRPr="00DB54E1" w:rsidR="00750432" w:rsidP="00CB0CFE" w:rsidRDefault="00750432" w14:paraId="1C665CC7" w14:textId="77777777">
            <w:pPr>
              <w:jc w:val="right"/>
              <w:rPr>
                <w:rFonts w:ascii="Times New Roman" w:hAnsi="Times New Roman"/>
                <w:color w:val="000000"/>
                <w:sz w:val="19"/>
                <w:szCs w:val="19"/>
              </w:rPr>
            </w:pPr>
            <w:r w:rsidRPr="00DB54E1">
              <w:rPr>
                <w:rFonts w:ascii="Times New Roman" w:hAnsi="Times New Roman"/>
                <w:color w:val="000000"/>
                <w:sz w:val="19"/>
                <w:szCs w:val="19"/>
              </w:rPr>
              <w:t>6,800</w:t>
            </w:r>
          </w:p>
        </w:tc>
        <w:tc>
          <w:tcPr>
            <w:tcW w:w="1288" w:type="dxa"/>
            <w:shd w:val="clear" w:color="auto" w:fill="FFFFFF" w:themeFill="background1"/>
            <w:vAlign w:val="bottom"/>
          </w:tcPr>
          <w:p w:rsidRPr="00DB54E1" w:rsidR="00750432" w:rsidP="00CB0CFE" w:rsidRDefault="00750432" w14:paraId="1E01EFAC" w14:textId="77777777">
            <w:pPr>
              <w:jc w:val="right"/>
              <w:rPr>
                <w:rFonts w:ascii="Times New Roman" w:hAnsi="Times New Roman"/>
                <w:color w:val="000000"/>
                <w:sz w:val="19"/>
                <w:szCs w:val="19"/>
              </w:rPr>
            </w:pPr>
            <w:r w:rsidRPr="00DB54E1">
              <w:rPr>
                <w:rFonts w:ascii="Times New Roman" w:hAnsi="Times New Roman"/>
                <w:color w:val="000000"/>
                <w:sz w:val="19"/>
                <w:szCs w:val="19"/>
              </w:rPr>
              <w:t>5,400</w:t>
            </w:r>
          </w:p>
        </w:tc>
        <w:tc>
          <w:tcPr>
            <w:tcW w:w="1030" w:type="dxa"/>
            <w:shd w:val="clear" w:color="auto" w:fill="FFFFFF" w:themeFill="background1"/>
            <w:vAlign w:val="bottom"/>
          </w:tcPr>
          <w:p w:rsidRPr="00DB54E1" w:rsidR="00750432" w:rsidP="00CB0CFE" w:rsidRDefault="00750432" w14:paraId="4B5467DC" w14:textId="77777777">
            <w:pPr>
              <w:jc w:val="right"/>
              <w:rPr>
                <w:rFonts w:ascii="Times New Roman" w:hAnsi="Times New Roman"/>
                <w:color w:val="000000"/>
                <w:sz w:val="19"/>
                <w:szCs w:val="19"/>
              </w:rPr>
            </w:pPr>
            <w:r w:rsidRPr="00DB54E1">
              <w:rPr>
                <w:rFonts w:ascii="Times New Roman" w:hAnsi="Times New Roman"/>
                <w:color w:val="000000"/>
                <w:sz w:val="19"/>
                <w:szCs w:val="19"/>
              </w:rPr>
              <w:t>50,500</w:t>
            </w:r>
          </w:p>
        </w:tc>
        <w:tc>
          <w:tcPr>
            <w:tcW w:w="852" w:type="dxa"/>
            <w:shd w:val="clear" w:color="auto" w:fill="FFFFFF" w:themeFill="background1"/>
            <w:vAlign w:val="bottom"/>
          </w:tcPr>
          <w:p w:rsidRPr="00DB54E1" w:rsidR="00750432" w:rsidP="00CB0CFE" w:rsidRDefault="00750432" w14:paraId="00213C9E" w14:textId="77777777">
            <w:pPr>
              <w:jc w:val="right"/>
              <w:rPr>
                <w:rFonts w:ascii="Times New Roman" w:hAnsi="Times New Roman"/>
                <w:color w:val="000000"/>
                <w:sz w:val="19"/>
                <w:szCs w:val="19"/>
              </w:rPr>
            </w:pPr>
            <w:r w:rsidRPr="00DB54E1">
              <w:rPr>
                <w:rFonts w:ascii="Times New Roman" w:hAnsi="Times New Roman"/>
                <w:color w:val="000000"/>
                <w:sz w:val="19"/>
                <w:szCs w:val="19"/>
              </w:rPr>
              <w:t>850</w:t>
            </w:r>
          </w:p>
        </w:tc>
      </w:tr>
      <w:tr w:rsidRPr="0077661A" w:rsidR="00750432" w:rsidTr="002D6DDB" w14:paraId="47D69C62" w14:textId="77777777">
        <w:trPr>
          <w:trHeight w:val="232"/>
        </w:trPr>
        <w:tc>
          <w:tcPr>
            <w:tcW w:w="865" w:type="dxa"/>
            <w:shd w:val="clear" w:color="auto" w:fill="FFFFFF" w:themeFill="background1"/>
          </w:tcPr>
          <w:p w:rsidRPr="00DB54E1" w:rsidR="00750432" w:rsidP="00CB0CFE" w:rsidRDefault="00750432" w14:paraId="41B96533" w14:textId="77777777">
            <w:pPr>
              <w:rPr>
                <w:rFonts w:ascii="Times New Roman" w:hAnsi="Times New Roman"/>
                <w:sz w:val="19"/>
                <w:szCs w:val="19"/>
              </w:rPr>
            </w:pPr>
            <w:r w:rsidRPr="00DB54E1">
              <w:rPr>
                <w:rFonts w:ascii="Times New Roman" w:hAnsi="Times New Roman"/>
                <w:sz w:val="19"/>
                <w:szCs w:val="19"/>
              </w:rPr>
              <w:t>62</w:t>
            </w:r>
          </w:p>
        </w:tc>
        <w:tc>
          <w:tcPr>
            <w:tcW w:w="1975" w:type="dxa"/>
            <w:shd w:val="clear" w:color="auto" w:fill="FFFFFF" w:themeFill="background1"/>
            <w:vAlign w:val="bottom"/>
          </w:tcPr>
          <w:p w:rsidRPr="00DB54E1" w:rsidR="00750432" w:rsidP="00CB0CFE" w:rsidRDefault="00750432" w14:paraId="006C3160" w14:textId="77777777">
            <w:pPr>
              <w:jc w:val="right"/>
              <w:rPr>
                <w:rFonts w:ascii="Times New Roman" w:hAnsi="Times New Roman"/>
                <w:color w:val="000000"/>
                <w:sz w:val="19"/>
                <w:szCs w:val="19"/>
              </w:rPr>
            </w:pPr>
            <w:r w:rsidRPr="00DB54E1">
              <w:rPr>
                <w:rFonts w:ascii="Times New Roman" w:hAnsi="Times New Roman"/>
                <w:color w:val="000000"/>
                <w:sz w:val="19"/>
                <w:szCs w:val="19"/>
              </w:rPr>
              <w:t>289,000</w:t>
            </w:r>
          </w:p>
        </w:tc>
        <w:tc>
          <w:tcPr>
            <w:tcW w:w="1202" w:type="dxa"/>
            <w:shd w:val="clear" w:color="auto" w:fill="FFFFFF" w:themeFill="background1"/>
            <w:vAlign w:val="bottom"/>
          </w:tcPr>
          <w:p w:rsidRPr="00DB54E1" w:rsidR="00750432" w:rsidP="00CB0CFE" w:rsidRDefault="00750432" w14:paraId="51AEDF61" w14:textId="77777777">
            <w:pPr>
              <w:jc w:val="right"/>
              <w:rPr>
                <w:rFonts w:ascii="Times New Roman" w:hAnsi="Times New Roman"/>
                <w:color w:val="000000"/>
                <w:sz w:val="19"/>
                <w:szCs w:val="19"/>
              </w:rPr>
            </w:pPr>
            <w:r w:rsidRPr="00DB54E1">
              <w:rPr>
                <w:rFonts w:ascii="Times New Roman" w:hAnsi="Times New Roman"/>
                <w:color w:val="000000"/>
                <w:sz w:val="19"/>
                <w:szCs w:val="19"/>
              </w:rPr>
              <w:t>157,000</w:t>
            </w:r>
          </w:p>
        </w:tc>
        <w:tc>
          <w:tcPr>
            <w:tcW w:w="1202" w:type="dxa"/>
            <w:shd w:val="clear" w:color="auto" w:fill="FFFFFF" w:themeFill="background1"/>
            <w:vAlign w:val="bottom"/>
          </w:tcPr>
          <w:p w:rsidRPr="00DB54E1" w:rsidR="00750432" w:rsidP="00CB0CFE" w:rsidRDefault="00750432" w14:paraId="3CBC6C39" w14:textId="77777777">
            <w:pPr>
              <w:jc w:val="right"/>
              <w:rPr>
                <w:rFonts w:ascii="Times New Roman" w:hAnsi="Times New Roman"/>
                <w:color w:val="000000"/>
                <w:sz w:val="19"/>
                <w:szCs w:val="19"/>
              </w:rPr>
            </w:pPr>
            <w:r w:rsidRPr="00DB54E1">
              <w:rPr>
                <w:rFonts w:ascii="Times New Roman" w:hAnsi="Times New Roman"/>
                <w:color w:val="000000"/>
                <w:sz w:val="19"/>
                <w:szCs w:val="19"/>
              </w:rPr>
              <w:t>32,500</w:t>
            </w:r>
          </w:p>
        </w:tc>
        <w:tc>
          <w:tcPr>
            <w:tcW w:w="1288" w:type="dxa"/>
            <w:shd w:val="clear" w:color="auto" w:fill="FFFFFF" w:themeFill="background1"/>
            <w:vAlign w:val="bottom"/>
          </w:tcPr>
          <w:p w:rsidRPr="00DB54E1" w:rsidR="00750432" w:rsidP="00CB0CFE" w:rsidRDefault="00750432" w14:paraId="23909FCD" w14:textId="77777777">
            <w:pPr>
              <w:jc w:val="right"/>
              <w:rPr>
                <w:rFonts w:ascii="Times New Roman" w:hAnsi="Times New Roman"/>
                <w:color w:val="000000"/>
                <w:sz w:val="19"/>
                <w:szCs w:val="19"/>
              </w:rPr>
            </w:pPr>
            <w:r w:rsidRPr="00DB54E1">
              <w:rPr>
                <w:rFonts w:ascii="Times New Roman" w:hAnsi="Times New Roman"/>
                <w:color w:val="000000"/>
                <w:sz w:val="19"/>
                <w:szCs w:val="19"/>
              </w:rPr>
              <w:t>38,500</w:t>
            </w:r>
          </w:p>
        </w:tc>
        <w:tc>
          <w:tcPr>
            <w:tcW w:w="1030" w:type="dxa"/>
            <w:shd w:val="clear" w:color="auto" w:fill="FFFFFF" w:themeFill="background1"/>
            <w:vAlign w:val="bottom"/>
          </w:tcPr>
          <w:p w:rsidRPr="00DB54E1" w:rsidR="00750432" w:rsidP="00CB0CFE" w:rsidRDefault="00750432" w14:paraId="7E4F2DD2" w14:textId="77777777">
            <w:pPr>
              <w:jc w:val="right"/>
              <w:rPr>
                <w:rFonts w:ascii="Times New Roman" w:hAnsi="Times New Roman"/>
                <w:color w:val="000000"/>
                <w:sz w:val="19"/>
                <w:szCs w:val="19"/>
              </w:rPr>
            </w:pPr>
            <w:r w:rsidRPr="00DB54E1">
              <w:rPr>
                <w:rFonts w:ascii="Times New Roman" w:hAnsi="Times New Roman"/>
                <w:color w:val="000000"/>
                <w:sz w:val="19"/>
                <w:szCs w:val="19"/>
              </w:rPr>
              <w:t>445,000</w:t>
            </w:r>
          </w:p>
        </w:tc>
        <w:tc>
          <w:tcPr>
            <w:tcW w:w="852" w:type="dxa"/>
            <w:shd w:val="clear" w:color="auto" w:fill="FFFFFF" w:themeFill="background1"/>
            <w:vAlign w:val="bottom"/>
          </w:tcPr>
          <w:p w:rsidRPr="00DB54E1" w:rsidR="00750432" w:rsidP="00CB0CFE" w:rsidRDefault="00750432" w14:paraId="3E9DD3E4" w14:textId="77777777">
            <w:pPr>
              <w:jc w:val="right"/>
              <w:rPr>
                <w:rFonts w:ascii="Times New Roman" w:hAnsi="Times New Roman"/>
                <w:color w:val="000000"/>
                <w:sz w:val="19"/>
                <w:szCs w:val="19"/>
              </w:rPr>
            </w:pPr>
            <w:r w:rsidRPr="00DB54E1">
              <w:rPr>
                <w:rFonts w:ascii="Times New Roman" w:hAnsi="Times New Roman"/>
                <w:color w:val="000000"/>
                <w:sz w:val="19"/>
                <w:szCs w:val="19"/>
              </w:rPr>
              <w:t>4,900</w:t>
            </w:r>
          </w:p>
        </w:tc>
      </w:tr>
      <w:tr w:rsidRPr="0077661A" w:rsidR="00750432" w:rsidTr="002D6DDB" w14:paraId="3653C428" w14:textId="77777777">
        <w:trPr>
          <w:trHeight w:val="232"/>
        </w:trPr>
        <w:tc>
          <w:tcPr>
            <w:tcW w:w="865" w:type="dxa"/>
            <w:shd w:val="clear" w:color="auto" w:fill="FFFFFF" w:themeFill="background1"/>
          </w:tcPr>
          <w:p w:rsidRPr="00DB54E1" w:rsidR="00750432" w:rsidP="00CB0CFE" w:rsidRDefault="00750432" w14:paraId="0F3A2B2E" w14:textId="77777777">
            <w:pPr>
              <w:rPr>
                <w:rFonts w:ascii="Times New Roman" w:hAnsi="Times New Roman"/>
                <w:sz w:val="19"/>
                <w:szCs w:val="19"/>
              </w:rPr>
            </w:pPr>
            <w:r w:rsidRPr="00DB54E1">
              <w:rPr>
                <w:rFonts w:ascii="Times New Roman" w:hAnsi="Times New Roman"/>
                <w:sz w:val="19"/>
                <w:szCs w:val="19"/>
              </w:rPr>
              <w:t>71</w:t>
            </w:r>
          </w:p>
        </w:tc>
        <w:tc>
          <w:tcPr>
            <w:tcW w:w="1975" w:type="dxa"/>
            <w:shd w:val="clear" w:color="auto" w:fill="FFFFFF" w:themeFill="background1"/>
            <w:vAlign w:val="bottom"/>
          </w:tcPr>
          <w:p w:rsidRPr="00DB54E1" w:rsidR="00750432" w:rsidP="00CB0CFE" w:rsidRDefault="00750432" w14:paraId="45973371" w14:textId="77777777">
            <w:pPr>
              <w:jc w:val="right"/>
              <w:rPr>
                <w:rFonts w:ascii="Times New Roman" w:hAnsi="Times New Roman"/>
                <w:color w:val="000000"/>
                <w:sz w:val="19"/>
                <w:szCs w:val="19"/>
              </w:rPr>
            </w:pPr>
            <w:r w:rsidRPr="00DB54E1">
              <w:rPr>
                <w:rFonts w:ascii="Times New Roman" w:hAnsi="Times New Roman"/>
                <w:color w:val="000000"/>
                <w:sz w:val="19"/>
                <w:szCs w:val="19"/>
              </w:rPr>
              <w:t>18,000</w:t>
            </w:r>
          </w:p>
        </w:tc>
        <w:tc>
          <w:tcPr>
            <w:tcW w:w="1202" w:type="dxa"/>
            <w:shd w:val="clear" w:color="auto" w:fill="FFFFFF" w:themeFill="background1"/>
            <w:vAlign w:val="bottom"/>
          </w:tcPr>
          <w:p w:rsidRPr="00DB54E1" w:rsidR="00750432" w:rsidP="00CB0CFE" w:rsidRDefault="00750432" w14:paraId="549D4493" w14:textId="77777777">
            <w:pPr>
              <w:jc w:val="right"/>
              <w:rPr>
                <w:rFonts w:ascii="Times New Roman" w:hAnsi="Times New Roman"/>
                <w:color w:val="000000"/>
                <w:sz w:val="19"/>
                <w:szCs w:val="19"/>
              </w:rPr>
            </w:pPr>
            <w:r w:rsidRPr="00DB54E1">
              <w:rPr>
                <w:rFonts w:ascii="Times New Roman" w:hAnsi="Times New Roman"/>
                <w:color w:val="000000"/>
                <w:sz w:val="19"/>
                <w:szCs w:val="19"/>
              </w:rPr>
              <w:t>50,000</w:t>
            </w:r>
          </w:p>
        </w:tc>
        <w:tc>
          <w:tcPr>
            <w:tcW w:w="1202" w:type="dxa"/>
            <w:shd w:val="clear" w:color="auto" w:fill="FFFFFF" w:themeFill="background1"/>
            <w:vAlign w:val="bottom"/>
          </w:tcPr>
          <w:p w:rsidRPr="00DB54E1" w:rsidR="00750432" w:rsidP="00CB0CFE" w:rsidRDefault="00750432" w14:paraId="305CA308" w14:textId="77777777">
            <w:pPr>
              <w:jc w:val="right"/>
              <w:rPr>
                <w:rFonts w:ascii="Times New Roman" w:hAnsi="Times New Roman"/>
                <w:color w:val="000000"/>
                <w:sz w:val="19"/>
                <w:szCs w:val="19"/>
              </w:rPr>
            </w:pPr>
            <w:r w:rsidRPr="00DB54E1">
              <w:rPr>
                <w:rFonts w:ascii="Times New Roman" w:hAnsi="Times New Roman"/>
                <w:color w:val="000000"/>
                <w:sz w:val="19"/>
                <w:szCs w:val="19"/>
              </w:rPr>
              <w:t>11,500</w:t>
            </w:r>
          </w:p>
        </w:tc>
        <w:tc>
          <w:tcPr>
            <w:tcW w:w="1288" w:type="dxa"/>
            <w:shd w:val="clear" w:color="auto" w:fill="FFFFFF" w:themeFill="background1"/>
            <w:vAlign w:val="bottom"/>
          </w:tcPr>
          <w:p w:rsidRPr="00DB54E1" w:rsidR="00750432" w:rsidP="00CB0CFE" w:rsidRDefault="00750432" w14:paraId="6CE72566" w14:textId="77777777">
            <w:pPr>
              <w:jc w:val="right"/>
              <w:rPr>
                <w:rFonts w:ascii="Times New Roman" w:hAnsi="Times New Roman"/>
                <w:color w:val="000000"/>
                <w:sz w:val="19"/>
                <w:szCs w:val="19"/>
              </w:rPr>
            </w:pPr>
            <w:r w:rsidRPr="00DB54E1">
              <w:rPr>
                <w:rFonts w:ascii="Times New Roman" w:hAnsi="Times New Roman"/>
                <w:color w:val="000000"/>
                <w:sz w:val="19"/>
                <w:szCs w:val="19"/>
              </w:rPr>
              <w:t>6,200</w:t>
            </w:r>
          </w:p>
        </w:tc>
        <w:tc>
          <w:tcPr>
            <w:tcW w:w="1030" w:type="dxa"/>
            <w:shd w:val="clear" w:color="auto" w:fill="FFFFFF" w:themeFill="background1"/>
            <w:vAlign w:val="bottom"/>
          </w:tcPr>
          <w:p w:rsidRPr="00DB54E1" w:rsidR="00750432" w:rsidP="00CB0CFE" w:rsidRDefault="00750432" w14:paraId="7A929C6F" w14:textId="77777777">
            <w:pPr>
              <w:jc w:val="right"/>
              <w:rPr>
                <w:rFonts w:ascii="Times New Roman" w:hAnsi="Times New Roman"/>
                <w:color w:val="000000"/>
                <w:sz w:val="19"/>
                <w:szCs w:val="19"/>
              </w:rPr>
            </w:pPr>
            <w:r w:rsidRPr="00DB54E1">
              <w:rPr>
                <w:rFonts w:ascii="Times New Roman" w:hAnsi="Times New Roman"/>
                <w:color w:val="000000"/>
                <w:sz w:val="19"/>
                <w:szCs w:val="19"/>
              </w:rPr>
              <w:t>70,000</w:t>
            </w:r>
          </w:p>
        </w:tc>
        <w:tc>
          <w:tcPr>
            <w:tcW w:w="852" w:type="dxa"/>
            <w:shd w:val="clear" w:color="auto" w:fill="FFFFFF" w:themeFill="background1"/>
            <w:vAlign w:val="bottom"/>
          </w:tcPr>
          <w:p w:rsidRPr="00DB54E1" w:rsidR="00750432" w:rsidP="00CB0CFE" w:rsidRDefault="00750432" w14:paraId="65883B31" w14:textId="77777777">
            <w:pPr>
              <w:jc w:val="right"/>
              <w:rPr>
                <w:rFonts w:ascii="Times New Roman" w:hAnsi="Times New Roman"/>
                <w:color w:val="000000"/>
                <w:sz w:val="19"/>
                <w:szCs w:val="19"/>
              </w:rPr>
            </w:pPr>
            <w:r w:rsidRPr="00DB54E1">
              <w:rPr>
                <w:rFonts w:ascii="Times New Roman" w:hAnsi="Times New Roman"/>
                <w:color w:val="000000"/>
                <w:sz w:val="19"/>
                <w:szCs w:val="19"/>
              </w:rPr>
              <w:t>1,700</w:t>
            </w:r>
          </w:p>
        </w:tc>
      </w:tr>
      <w:tr w:rsidRPr="0077661A" w:rsidR="00750432" w:rsidTr="002D6DDB" w14:paraId="09C6666C" w14:textId="77777777">
        <w:trPr>
          <w:trHeight w:val="232"/>
        </w:trPr>
        <w:tc>
          <w:tcPr>
            <w:tcW w:w="865" w:type="dxa"/>
            <w:shd w:val="clear" w:color="auto" w:fill="FFFFFF" w:themeFill="background1"/>
          </w:tcPr>
          <w:p w:rsidRPr="00DB54E1" w:rsidR="00750432" w:rsidP="00CB0CFE" w:rsidRDefault="00750432" w14:paraId="469907F3" w14:textId="77777777">
            <w:pPr>
              <w:rPr>
                <w:rFonts w:ascii="Times New Roman" w:hAnsi="Times New Roman"/>
                <w:sz w:val="19"/>
                <w:szCs w:val="19"/>
              </w:rPr>
            </w:pPr>
            <w:r w:rsidRPr="00DB54E1">
              <w:rPr>
                <w:rFonts w:ascii="Times New Roman" w:hAnsi="Times New Roman"/>
                <w:sz w:val="19"/>
                <w:szCs w:val="19"/>
              </w:rPr>
              <w:t>72</w:t>
            </w:r>
          </w:p>
        </w:tc>
        <w:tc>
          <w:tcPr>
            <w:tcW w:w="1975" w:type="dxa"/>
            <w:shd w:val="clear" w:color="auto" w:fill="FFFFFF" w:themeFill="background1"/>
            <w:vAlign w:val="bottom"/>
          </w:tcPr>
          <w:p w:rsidRPr="00DB54E1" w:rsidR="00750432" w:rsidP="00CB0CFE" w:rsidRDefault="00750432" w14:paraId="77D2D1D0" w14:textId="77777777">
            <w:pPr>
              <w:jc w:val="right"/>
              <w:rPr>
                <w:rFonts w:ascii="Times New Roman" w:hAnsi="Times New Roman"/>
                <w:color w:val="000000"/>
                <w:sz w:val="19"/>
                <w:szCs w:val="19"/>
              </w:rPr>
            </w:pPr>
            <w:r w:rsidRPr="00DB54E1">
              <w:rPr>
                <w:rFonts w:ascii="Times New Roman" w:hAnsi="Times New Roman"/>
                <w:color w:val="000000"/>
                <w:sz w:val="19"/>
                <w:szCs w:val="19"/>
              </w:rPr>
              <w:t>211,000</w:t>
            </w:r>
          </w:p>
        </w:tc>
        <w:tc>
          <w:tcPr>
            <w:tcW w:w="1202" w:type="dxa"/>
            <w:shd w:val="clear" w:color="auto" w:fill="FFFFFF" w:themeFill="background1"/>
            <w:vAlign w:val="bottom"/>
          </w:tcPr>
          <w:p w:rsidRPr="00DB54E1" w:rsidR="00750432" w:rsidP="00CB0CFE" w:rsidRDefault="00750432" w14:paraId="6DC7FEE9" w14:textId="77777777">
            <w:pPr>
              <w:jc w:val="right"/>
              <w:rPr>
                <w:rFonts w:ascii="Times New Roman" w:hAnsi="Times New Roman"/>
                <w:color w:val="000000"/>
                <w:sz w:val="19"/>
                <w:szCs w:val="19"/>
              </w:rPr>
            </w:pPr>
            <w:r w:rsidRPr="00DB54E1">
              <w:rPr>
                <w:rFonts w:ascii="Times New Roman" w:hAnsi="Times New Roman"/>
                <w:color w:val="000000"/>
                <w:sz w:val="19"/>
                <w:szCs w:val="19"/>
              </w:rPr>
              <w:t>163,000</w:t>
            </w:r>
          </w:p>
        </w:tc>
        <w:tc>
          <w:tcPr>
            <w:tcW w:w="1202" w:type="dxa"/>
            <w:shd w:val="clear" w:color="auto" w:fill="FFFFFF" w:themeFill="background1"/>
            <w:vAlign w:val="bottom"/>
          </w:tcPr>
          <w:p w:rsidRPr="00DB54E1" w:rsidR="00750432" w:rsidP="00CB0CFE" w:rsidRDefault="00750432" w14:paraId="2C8B35A5" w14:textId="77777777">
            <w:pPr>
              <w:jc w:val="right"/>
              <w:rPr>
                <w:rFonts w:ascii="Times New Roman" w:hAnsi="Times New Roman"/>
                <w:color w:val="000000"/>
                <w:sz w:val="19"/>
                <w:szCs w:val="19"/>
              </w:rPr>
            </w:pPr>
            <w:r w:rsidRPr="00DB54E1">
              <w:rPr>
                <w:rFonts w:ascii="Times New Roman" w:hAnsi="Times New Roman"/>
                <w:color w:val="000000"/>
                <w:sz w:val="19"/>
                <w:szCs w:val="19"/>
              </w:rPr>
              <w:t>28,000</w:t>
            </w:r>
          </w:p>
        </w:tc>
        <w:tc>
          <w:tcPr>
            <w:tcW w:w="1288" w:type="dxa"/>
            <w:shd w:val="clear" w:color="auto" w:fill="FFFFFF" w:themeFill="background1"/>
            <w:vAlign w:val="bottom"/>
          </w:tcPr>
          <w:p w:rsidRPr="00DB54E1" w:rsidR="00750432" w:rsidP="00CB0CFE" w:rsidRDefault="00750432" w14:paraId="7395BE4D" w14:textId="77777777">
            <w:pPr>
              <w:jc w:val="right"/>
              <w:rPr>
                <w:rFonts w:ascii="Times New Roman" w:hAnsi="Times New Roman"/>
                <w:color w:val="000000"/>
                <w:sz w:val="19"/>
                <w:szCs w:val="19"/>
              </w:rPr>
            </w:pPr>
            <w:r w:rsidRPr="00DB54E1">
              <w:rPr>
                <w:rFonts w:ascii="Times New Roman" w:hAnsi="Times New Roman"/>
                <w:color w:val="000000"/>
                <w:sz w:val="19"/>
                <w:szCs w:val="19"/>
              </w:rPr>
              <w:t>63,000</w:t>
            </w:r>
          </w:p>
        </w:tc>
        <w:tc>
          <w:tcPr>
            <w:tcW w:w="1030" w:type="dxa"/>
            <w:shd w:val="clear" w:color="auto" w:fill="FFFFFF" w:themeFill="background1"/>
            <w:vAlign w:val="bottom"/>
          </w:tcPr>
          <w:p w:rsidRPr="00DB54E1" w:rsidR="00750432" w:rsidP="00CB0CFE" w:rsidRDefault="00750432" w14:paraId="52B27520" w14:textId="77777777">
            <w:pPr>
              <w:jc w:val="right"/>
              <w:rPr>
                <w:rFonts w:ascii="Times New Roman" w:hAnsi="Times New Roman"/>
                <w:color w:val="000000"/>
                <w:sz w:val="19"/>
                <w:szCs w:val="19"/>
              </w:rPr>
            </w:pPr>
            <w:r w:rsidRPr="00DB54E1">
              <w:rPr>
                <w:rFonts w:ascii="Times New Roman" w:hAnsi="Times New Roman"/>
                <w:color w:val="000000"/>
                <w:sz w:val="19"/>
                <w:szCs w:val="19"/>
              </w:rPr>
              <w:t>328,000</w:t>
            </w:r>
          </w:p>
        </w:tc>
        <w:tc>
          <w:tcPr>
            <w:tcW w:w="852" w:type="dxa"/>
            <w:shd w:val="clear" w:color="auto" w:fill="FFFFFF" w:themeFill="background1"/>
            <w:vAlign w:val="bottom"/>
          </w:tcPr>
          <w:p w:rsidRPr="00DB54E1" w:rsidR="00750432" w:rsidP="00CB0CFE" w:rsidRDefault="00750432" w14:paraId="23442EDC" w14:textId="77777777">
            <w:pPr>
              <w:jc w:val="right"/>
              <w:rPr>
                <w:rFonts w:ascii="Times New Roman" w:hAnsi="Times New Roman"/>
                <w:color w:val="000000"/>
                <w:sz w:val="19"/>
                <w:szCs w:val="19"/>
              </w:rPr>
            </w:pPr>
            <w:r w:rsidRPr="00DB54E1">
              <w:rPr>
                <w:rFonts w:ascii="Times New Roman" w:hAnsi="Times New Roman"/>
                <w:color w:val="000000"/>
                <w:sz w:val="19"/>
                <w:szCs w:val="19"/>
              </w:rPr>
              <w:t>4,300</w:t>
            </w:r>
          </w:p>
        </w:tc>
      </w:tr>
      <w:tr w:rsidRPr="0077661A" w:rsidR="00750432" w:rsidTr="002D6DDB" w14:paraId="16AF619A" w14:textId="77777777">
        <w:trPr>
          <w:trHeight w:val="232"/>
        </w:trPr>
        <w:tc>
          <w:tcPr>
            <w:tcW w:w="865" w:type="dxa"/>
            <w:tcBorders>
              <w:bottom w:val="single" w:color="auto" w:sz="12" w:space="0"/>
            </w:tcBorders>
            <w:shd w:val="clear" w:color="auto" w:fill="FFFFFF" w:themeFill="background1"/>
          </w:tcPr>
          <w:p w:rsidRPr="00DB54E1" w:rsidR="00750432" w:rsidP="00CB0CFE" w:rsidRDefault="00750432" w14:paraId="1B53EF10" w14:textId="77777777">
            <w:pPr>
              <w:rPr>
                <w:rFonts w:ascii="Times New Roman" w:hAnsi="Times New Roman"/>
                <w:sz w:val="19"/>
                <w:szCs w:val="19"/>
              </w:rPr>
            </w:pPr>
            <w:r w:rsidRPr="00DB54E1">
              <w:rPr>
                <w:rFonts w:ascii="Times New Roman" w:hAnsi="Times New Roman"/>
                <w:sz w:val="19"/>
                <w:szCs w:val="19"/>
              </w:rPr>
              <w:t>81</w:t>
            </w:r>
          </w:p>
        </w:tc>
        <w:tc>
          <w:tcPr>
            <w:tcW w:w="1975" w:type="dxa"/>
            <w:tcBorders>
              <w:bottom w:val="single" w:color="auto" w:sz="12" w:space="0"/>
            </w:tcBorders>
            <w:shd w:val="clear" w:color="auto" w:fill="FFFFFF" w:themeFill="background1"/>
            <w:vAlign w:val="bottom"/>
          </w:tcPr>
          <w:p w:rsidRPr="00DB54E1" w:rsidR="00750432" w:rsidP="00CB0CFE" w:rsidRDefault="00750432" w14:paraId="7E070AA1" w14:textId="77777777">
            <w:pPr>
              <w:jc w:val="right"/>
              <w:rPr>
                <w:rFonts w:ascii="Times New Roman" w:hAnsi="Times New Roman"/>
                <w:color w:val="000000"/>
                <w:sz w:val="19"/>
                <w:szCs w:val="19"/>
              </w:rPr>
            </w:pPr>
            <w:r w:rsidRPr="00DB54E1">
              <w:rPr>
                <w:rFonts w:ascii="Times New Roman" w:hAnsi="Times New Roman"/>
                <w:color w:val="000000"/>
                <w:sz w:val="19"/>
                <w:szCs w:val="19"/>
              </w:rPr>
              <w:t>80,500</w:t>
            </w:r>
          </w:p>
        </w:tc>
        <w:tc>
          <w:tcPr>
            <w:tcW w:w="1202" w:type="dxa"/>
            <w:tcBorders>
              <w:bottom w:val="single" w:color="auto" w:sz="12" w:space="0"/>
            </w:tcBorders>
            <w:shd w:val="clear" w:color="auto" w:fill="FFFFFF" w:themeFill="background1"/>
            <w:vAlign w:val="bottom"/>
          </w:tcPr>
          <w:p w:rsidRPr="00DB54E1" w:rsidR="00750432" w:rsidP="00CB0CFE" w:rsidRDefault="00750432" w14:paraId="6F2FD02D" w14:textId="77777777">
            <w:pPr>
              <w:jc w:val="right"/>
              <w:rPr>
                <w:rFonts w:ascii="Times New Roman" w:hAnsi="Times New Roman"/>
                <w:color w:val="000000"/>
                <w:sz w:val="19"/>
                <w:szCs w:val="19"/>
              </w:rPr>
            </w:pPr>
            <w:r w:rsidRPr="00DB54E1">
              <w:rPr>
                <w:rFonts w:ascii="Times New Roman" w:hAnsi="Times New Roman"/>
                <w:color w:val="000000"/>
                <w:sz w:val="19"/>
                <w:szCs w:val="19"/>
              </w:rPr>
              <w:t>132,000</w:t>
            </w:r>
          </w:p>
        </w:tc>
        <w:tc>
          <w:tcPr>
            <w:tcW w:w="1202" w:type="dxa"/>
            <w:tcBorders>
              <w:bottom w:val="single" w:color="auto" w:sz="12" w:space="0"/>
            </w:tcBorders>
            <w:shd w:val="clear" w:color="auto" w:fill="FFFFFF" w:themeFill="background1"/>
            <w:vAlign w:val="bottom"/>
          </w:tcPr>
          <w:p w:rsidRPr="00DB54E1" w:rsidR="00750432" w:rsidP="00CB0CFE" w:rsidRDefault="00750432" w14:paraId="18523AC6" w14:textId="77777777">
            <w:pPr>
              <w:jc w:val="right"/>
              <w:rPr>
                <w:rFonts w:ascii="Times New Roman" w:hAnsi="Times New Roman"/>
                <w:color w:val="000000"/>
                <w:sz w:val="19"/>
                <w:szCs w:val="19"/>
              </w:rPr>
            </w:pPr>
            <w:r w:rsidRPr="00DB54E1">
              <w:rPr>
                <w:rFonts w:ascii="Times New Roman" w:hAnsi="Times New Roman"/>
                <w:color w:val="000000"/>
                <w:sz w:val="19"/>
                <w:szCs w:val="19"/>
              </w:rPr>
              <w:t>46,500</w:t>
            </w:r>
          </w:p>
        </w:tc>
        <w:tc>
          <w:tcPr>
            <w:tcW w:w="1288" w:type="dxa"/>
            <w:tcBorders>
              <w:bottom w:val="single" w:color="auto" w:sz="12" w:space="0"/>
            </w:tcBorders>
            <w:shd w:val="clear" w:color="auto" w:fill="FFFFFF" w:themeFill="background1"/>
            <w:vAlign w:val="bottom"/>
          </w:tcPr>
          <w:p w:rsidRPr="00DB54E1" w:rsidR="00750432" w:rsidP="00CB0CFE" w:rsidRDefault="00750432" w14:paraId="25A56B1D" w14:textId="77777777">
            <w:pPr>
              <w:jc w:val="right"/>
              <w:rPr>
                <w:rFonts w:ascii="Times New Roman" w:hAnsi="Times New Roman"/>
                <w:color w:val="000000"/>
                <w:sz w:val="19"/>
                <w:szCs w:val="19"/>
              </w:rPr>
            </w:pPr>
            <w:r w:rsidRPr="00DB54E1">
              <w:rPr>
                <w:rFonts w:ascii="Times New Roman" w:hAnsi="Times New Roman"/>
                <w:color w:val="000000"/>
                <w:sz w:val="19"/>
                <w:szCs w:val="19"/>
              </w:rPr>
              <w:t>24,000</w:t>
            </w:r>
          </w:p>
        </w:tc>
        <w:tc>
          <w:tcPr>
            <w:tcW w:w="1030" w:type="dxa"/>
            <w:tcBorders>
              <w:bottom w:val="single" w:color="auto" w:sz="12" w:space="0"/>
            </w:tcBorders>
            <w:shd w:val="clear" w:color="auto" w:fill="FFFFFF" w:themeFill="background1"/>
            <w:vAlign w:val="bottom"/>
          </w:tcPr>
          <w:p w:rsidRPr="00DB54E1" w:rsidR="00750432" w:rsidP="00CB0CFE" w:rsidRDefault="00750432" w14:paraId="560AFF51" w14:textId="77777777">
            <w:pPr>
              <w:jc w:val="right"/>
              <w:rPr>
                <w:rFonts w:ascii="Times New Roman" w:hAnsi="Times New Roman"/>
                <w:color w:val="000000"/>
                <w:sz w:val="19"/>
                <w:szCs w:val="19"/>
              </w:rPr>
            </w:pPr>
            <w:r w:rsidRPr="00DB54E1">
              <w:rPr>
                <w:rFonts w:ascii="Times New Roman" w:hAnsi="Times New Roman"/>
                <w:color w:val="000000"/>
                <w:sz w:val="19"/>
                <w:szCs w:val="19"/>
              </w:rPr>
              <w:t>311,000</w:t>
            </w:r>
          </w:p>
        </w:tc>
        <w:tc>
          <w:tcPr>
            <w:tcW w:w="852" w:type="dxa"/>
            <w:tcBorders>
              <w:bottom w:val="single" w:color="auto" w:sz="12" w:space="0"/>
            </w:tcBorders>
            <w:shd w:val="clear" w:color="auto" w:fill="FFFFFF" w:themeFill="background1"/>
            <w:vAlign w:val="bottom"/>
          </w:tcPr>
          <w:p w:rsidRPr="00DB54E1" w:rsidR="00750432" w:rsidP="00CB0CFE" w:rsidRDefault="00750432" w14:paraId="7EF1A0B6" w14:textId="77777777">
            <w:pPr>
              <w:jc w:val="right"/>
              <w:rPr>
                <w:rFonts w:ascii="Times New Roman" w:hAnsi="Times New Roman"/>
                <w:color w:val="000000"/>
                <w:sz w:val="19"/>
                <w:szCs w:val="19"/>
              </w:rPr>
            </w:pPr>
            <w:r w:rsidRPr="00DB54E1">
              <w:rPr>
                <w:rFonts w:ascii="Times New Roman" w:hAnsi="Times New Roman"/>
                <w:color w:val="000000"/>
                <w:sz w:val="19"/>
                <w:szCs w:val="19"/>
              </w:rPr>
              <w:t>4,700</w:t>
            </w:r>
          </w:p>
        </w:tc>
      </w:tr>
      <w:tr w:rsidRPr="0077661A" w:rsidR="00750432" w:rsidTr="002D6DDB" w14:paraId="38F5981A" w14:textId="77777777">
        <w:trPr>
          <w:trHeight w:val="220"/>
        </w:trPr>
        <w:tc>
          <w:tcPr>
            <w:tcW w:w="865" w:type="dxa"/>
            <w:tcBorders>
              <w:top w:val="single" w:color="auto" w:sz="12" w:space="0"/>
            </w:tcBorders>
            <w:shd w:val="clear" w:color="auto" w:fill="FFFFFF" w:themeFill="background1"/>
          </w:tcPr>
          <w:p w:rsidRPr="00DB54E1" w:rsidR="00750432" w:rsidP="00CB0CFE" w:rsidRDefault="00750432" w14:paraId="6140119B" w14:textId="77777777">
            <w:pPr>
              <w:rPr>
                <w:rFonts w:ascii="Times New Roman" w:hAnsi="Times New Roman"/>
                <w:sz w:val="19"/>
                <w:szCs w:val="19"/>
              </w:rPr>
            </w:pPr>
            <w:r w:rsidRPr="00DB54E1">
              <w:rPr>
                <w:rFonts w:ascii="Times New Roman" w:hAnsi="Times New Roman"/>
                <w:sz w:val="19"/>
                <w:szCs w:val="19"/>
              </w:rPr>
              <w:t>Totals</w:t>
            </w:r>
          </w:p>
        </w:tc>
        <w:tc>
          <w:tcPr>
            <w:tcW w:w="1975" w:type="dxa"/>
            <w:tcBorders>
              <w:top w:val="single" w:color="auto" w:sz="12" w:space="0"/>
            </w:tcBorders>
            <w:shd w:val="clear" w:color="auto" w:fill="FFFFFF" w:themeFill="background1"/>
            <w:vAlign w:val="bottom"/>
          </w:tcPr>
          <w:p w:rsidRPr="00DB54E1" w:rsidR="00750432" w:rsidP="00CB0CFE" w:rsidRDefault="00750432" w14:paraId="71F05E24" w14:textId="77777777">
            <w:pPr>
              <w:jc w:val="right"/>
              <w:rPr>
                <w:rFonts w:ascii="Times New Roman" w:hAnsi="Times New Roman"/>
                <w:color w:val="000000"/>
                <w:sz w:val="19"/>
                <w:szCs w:val="19"/>
              </w:rPr>
            </w:pPr>
            <w:r w:rsidRPr="00DB54E1">
              <w:rPr>
                <w:rFonts w:ascii="Times New Roman" w:hAnsi="Times New Roman"/>
                <w:color w:val="000000"/>
                <w:sz w:val="19"/>
                <w:szCs w:val="19"/>
              </w:rPr>
              <w:t>2,069,000</w:t>
            </w:r>
          </w:p>
        </w:tc>
        <w:tc>
          <w:tcPr>
            <w:tcW w:w="1202" w:type="dxa"/>
            <w:tcBorders>
              <w:top w:val="single" w:color="auto" w:sz="12" w:space="0"/>
            </w:tcBorders>
            <w:shd w:val="clear" w:color="auto" w:fill="FFFFFF" w:themeFill="background1"/>
            <w:vAlign w:val="bottom"/>
          </w:tcPr>
          <w:p w:rsidRPr="00DB54E1" w:rsidR="00750432" w:rsidP="00CB0CFE" w:rsidRDefault="00750432" w14:paraId="2D588E6E" w14:textId="77777777">
            <w:pPr>
              <w:jc w:val="right"/>
              <w:rPr>
                <w:rFonts w:ascii="Times New Roman" w:hAnsi="Times New Roman"/>
                <w:color w:val="000000"/>
                <w:sz w:val="19"/>
                <w:szCs w:val="19"/>
              </w:rPr>
            </w:pPr>
            <w:r w:rsidRPr="00DB54E1">
              <w:rPr>
                <w:rFonts w:ascii="Times New Roman" w:hAnsi="Times New Roman"/>
                <w:color w:val="000000"/>
                <w:sz w:val="19"/>
                <w:szCs w:val="19"/>
              </w:rPr>
              <w:t>1,714,000</w:t>
            </w:r>
          </w:p>
        </w:tc>
        <w:tc>
          <w:tcPr>
            <w:tcW w:w="1202" w:type="dxa"/>
            <w:tcBorders>
              <w:top w:val="single" w:color="auto" w:sz="12" w:space="0"/>
            </w:tcBorders>
            <w:shd w:val="clear" w:color="auto" w:fill="FFFFFF" w:themeFill="background1"/>
            <w:vAlign w:val="bottom"/>
          </w:tcPr>
          <w:p w:rsidRPr="00DB54E1" w:rsidR="00750432" w:rsidP="00CB0CFE" w:rsidRDefault="00750432" w14:paraId="395CD579" w14:textId="77777777">
            <w:pPr>
              <w:jc w:val="right"/>
              <w:rPr>
                <w:rFonts w:ascii="Times New Roman" w:hAnsi="Times New Roman"/>
                <w:color w:val="000000"/>
                <w:sz w:val="19"/>
                <w:szCs w:val="19"/>
              </w:rPr>
            </w:pPr>
            <w:r w:rsidRPr="00DB54E1">
              <w:rPr>
                <w:rFonts w:ascii="Times New Roman" w:hAnsi="Times New Roman"/>
                <w:color w:val="000000"/>
                <w:sz w:val="19"/>
                <w:szCs w:val="19"/>
              </w:rPr>
              <w:t>401,000</w:t>
            </w:r>
          </w:p>
        </w:tc>
        <w:tc>
          <w:tcPr>
            <w:tcW w:w="1288" w:type="dxa"/>
            <w:tcBorders>
              <w:top w:val="single" w:color="auto" w:sz="12" w:space="0"/>
            </w:tcBorders>
            <w:shd w:val="clear" w:color="auto" w:fill="FFFFFF" w:themeFill="background1"/>
            <w:vAlign w:val="bottom"/>
          </w:tcPr>
          <w:p w:rsidRPr="00DB54E1" w:rsidR="00750432" w:rsidP="00CB0CFE" w:rsidRDefault="00750432" w14:paraId="39764FAF" w14:textId="77777777">
            <w:pPr>
              <w:jc w:val="right"/>
              <w:rPr>
                <w:rFonts w:ascii="Times New Roman" w:hAnsi="Times New Roman"/>
                <w:color w:val="000000"/>
                <w:sz w:val="19"/>
                <w:szCs w:val="19"/>
              </w:rPr>
            </w:pPr>
            <w:r w:rsidRPr="00DB54E1">
              <w:rPr>
                <w:rFonts w:ascii="Times New Roman" w:hAnsi="Times New Roman"/>
                <w:color w:val="000000"/>
                <w:sz w:val="19"/>
                <w:szCs w:val="19"/>
              </w:rPr>
              <w:t>429,000</w:t>
            </w:r>
          </w:p>
        </w:tc>
        <w:tc>
          <w:tcPr>
            <w:tcW w:w="1030" w:type="dxa"/>
            <w:tcBorders>
              <w:top w:val="single" w:color="auto" w:sz="12" w:space="0"/>
            </w:tcBorders>
            <w:shd w:val="clear" w:color="auto" w:fill="FFFFFF" w:themeFill="background1"/>
            <w:vAlign w:val="bottom"/>
          </w:tcPr>
          <w:p w:rsidRPr="00DB54E1" w:rsidR="00750432" w:rsidP="00CB0CFE" w:rsidRDefault="00750432" w14:paraId="0ADBC66B" w14:textId="77777777">
            <w:pPr>
              <w:jc w:val="right"/>
              <w:rPr>
                <w:rFonts w:ascii="Times New Roman" w:hAnsi="Times New Roman"/>
                <w:color w:val="000000"/>
                <w:sz w:val="19"/>
                <w:szCs w:val="19"/>
              </w:rPr>
            </w:pPr>
            <w:r w:rsidRPr="00DB54E1">
              <w:rPr>
                <w:rFonts w:ascii="Times New Roman" w:hAnsi="Times New Roman"/>
                <w:color w:val="000000"/>
                <w:sz w:val="19"/>
                <w:szCs w:val="19"/>
              </w:rPr>
              <w:t>3,542,000</w:t>
            </w:r>
          </w:p>
        </w:tc>
        <w:tc>
          <w:tcPr>
            <w:tcW w:w="852" w:type="dxa"/>
            <w:tcBorders>
              <w:top w:val="single" w:color="auto" w:sz="12" w:space="0"/>
            </w:tcBorders>
            <w:shd w:val="clear" w:color="auto" w:fill="FFFFFF" w:themeFill="background1"/>
            <w:vAlign w:val="bottom"/>
          </w:tcPr>
          <w:p w:rsidRPr="00DB54E1" w:rsidR="00750432" w:rsidP="00CB0CFE" w:rsidRDefault="00750432" w14:paraId="2C57A22E" w14:textId="77777777">
            <w:pPr>
              <w:jc w:val="right"/>
              <w:rPr>
                <w:rFonts w:ascii="Times New Roman" w:hAnsi="Times New Roman"/>
                <w:color w:val="000000"/>
                <w:sz w:val="19"/>
                <w:szCs w:val="19"/>
              </w:rPr>
            </w:pPr>
            <w:r w:rsidRPr="00DB54E1">
              <w:rPr>
                <w:rFonts w:ascii="Times New Roman" w:hAnsi="Times New Roman"/>
                <w:color w:val="000000"/>
                <w:sz w:val="19"/>
                <w:szCs w:val="19"/>
              </w:rPr>
              <w:t>63,000</w:t>
            </w:r>
          </w:p>
        </w:tc>
      </w:tr>
    </w:tbl>
    <w:p w:rsidRPr="00917E22" w:rsidR="000E0E8F" w:rsidP="00891FB7" w:rsidRDefault="000E0E8F" w14:paraId="70362038" w14:textId="77777777">
      <w:pPr>
        <w:ind w:left="720" w:hanging="360"/>
        <w:rPr>
          <w:rFonts w:ascii="Times New Roman" w:hAnsi="Times New Roman"/>
          <w:szCs w:val="24"/>
        </w:rPr>
      </w:pPr>
    </w:p>
    <w:p w:rsidRPr="00917E22" w:rsidR="00CA73D8" w:rsidP="00891FB7" w:rsidRDefault="00CA73D8" w14:paraId="677EEAEB" w14:textId="77777777">
      <w:pPr>
        <w:ind w:left="720" w:hanging="360"/>
        <w:rPr>
          <w:rFonts w:ascii="Times New Roman" w:hAnsi="Times New Roman"/>
          <w:szCs w:val="24"/>
        </w:rPr>
      </w:pPr>
      <w:r w:rsidRPr="00917E22">
        <w:rPr>
          <w:rFonts w:ascii="Times New Roman" w:hAnsi="Times New Roman"/>
          <w:szCs w:val="24"/>
        </w:rPr>
        <w:t xml:space="preserve">b. </w:t>
      </w:r>
      <w:r w:rsidRPr="00917E22" w:rsidR="00891FB7">
        <w:rPr>
          <w:rFonts w:ascii="Times New Roman" w:hAnsi="Times New Roman"/>
          <w:szCs w:val="24"/>
        </w:rPr>
        <w:tab/>
      </w:r>
      <w:r w:rsidRPr="00917E22" w:rsidR="007E0BD6">
        <w:rPr>
          <w:rFonts w:ascii="Times New Roman" w:hAnsi="Times New Roman"/>
          <w:szCs w:val="24"/>
        </w:rPr>
        <w:t>Non-Sample</w:t>
      </w:r>
      <w:r w:rsidRPr="00917E22">
        <w:rPr>
          <w:rFonts w:ascii="Times New Roman" w:hAnsi="Times New Roman"/>
          <w:szCs w:val="24"/>
        </w:rPr>
        <w:t xml:space="preserve"> Component </w:t>
      </w:r>
    </w:p>
    <w:p w:rsidRPr="00917E22" w:rsidR="00CA73D8" w:rsidRDefault="00CA73D8" w14:paraId="0B072CD7" w14:textId="77777777">
      <w:pPr>
        <w:rPr>
          <w:rFonts w:ascii="Times New Roman" w:hAnsi="Times New Roman"/>
          <w:szCs w:val="24"/>
        </w:rPr>
      </w:pPr>
    </w:p>
    <w:p w:rsidRPr="00917E22" w:rsidR="00C13C80" w:rsidP="00891FB7" w:rsidRDefault="00805AA6" w14:paraId="2D4FE410" w14:textId="77777777">
      <w:pPr>
        <w:ind w:left="1080" w:hanging="360"/>
        <w:rPr>
          <w:rFonts w:ascii="Times New Roman" w:hAnsi="Times New Roman"/>
          <w:szCs w:val="24"/>
        </w:rPr>
      </w:pPr>
      <w:r w:rsidRPr="00917E22">
        <w:rPr>
          <w:rFonts w:ascii="Times New Roman" w:hAnsi="Times New Roman"/>
          <w:szCs w:val="24"/>
        </w:rPr>
        <w:t>The non-sample component consists of</w:t>
      </w:r>
      <w:r w:rsidRPr="00917E22" w:rsidR="00C13C80">
        <w:rPr>
          <w:rFonts w:ascii="Times New Roman" w:hAnsi="Times New Roman"/>
          <w:szCs w:val="24"/>
        </w:rPr>
        <w:t>:</w:t>
      </w:r>
      <w:r w:rsidRPr="00917E22">
        <w:rPr>
          <w:rFonts w:ascii="Times New Roman" w:hAnsi="Times New Roman"/>
          <w:szCs w:val="24"/>
        </w:rPr>
        <w:t xml:space="preserve"> </w:t>
      </w:r>
    </w:p>
    <w:p w:rsidRPr="00917E22" w:rsidR="00C13C80" w:rsidP="00891FB7" w:rsidRDefault="00805AA6" w14:paraId="6CECF6E0" w14:textId="77777777">
      <w:pPr>
        <w:pStyle w:val="ListParagraph"/>
        <w:numPr>
          <w:ilvl w:val="0"/>
          <w:numId w:val="17"/>
        </w:numPr>
        <w:ind w:left="1080"/>
        <w:rPr>
          <w:rFonts w:ascii="Times New Roman" w:hAnsi="Times New Roman"/>
          <w:szCs w:val="24"/>
        </w:rPr>
      </w:pPr>
      <w:r w:rsidRPr="00917E22">
        <w:rPr>
          <w:rFonts w:ascii="Times New Roman" w:hAnsi="Times New Roman"/>
          <w:szCs w:val="24"/>
        </w:rPr>
        <w:t>“</w:t>
      </w:r>
      <w:r w:rsidRPr="00917E22" w:rsidR="00B85DC0">
        <w:rPr>
          <w:rFonts w:ascii="Times New Roman" w:hAnsi="Times New Roman"/>
          <w:szCs w:val="24"/>
        </w:rPr>
        <w:t>S</w:t>
      </w:r>
      <w:r w:rsidRPr="00917E22">
        <w:rPr>
          <w:rFonts w:ascii="Times New Roman" w:hAnsi="Times New Roman"/>
          <w:szCs w:val="24"/>
        </w:rPr>
        <w:t>mall” single</w:t>
      </w:r>
      <w:r w:rsidRPr="00917E22" w:rsidR="008205F8">
        <w:rPr>
          <w:rFonts w:ascii="Times New Roman" w:hAnsi="Times New Roman"/>
          <w:szCs w:val="24"/>
        </w:rPr>
        <w:t>-</w:t>
      </w:r>
      <w:r w:rsidRPr="00917E22">
        <w:rPr>
          <w:rFonts w:ascii="Times New Roman" w:hAnsi="Times New Roman"/>
          <w:szCs w:val="24"/>
        </w:rPr>
        <w:t>establishment firms</w:t>
      </w:r>
      <w:r w:rsidRPr="00917E22" w:rsidR="00B85DC0">
        <w:rPr>
          <w:rFonts w:ascii="Times New Roman" w:hAnsi="Times New Roman"/>
          <w:szCs w:val="24"/>
        </w:rPr>
        <w:t xml:space="preserve"> on the Census sampling frame but</w:t>
      </w:r>
      <w:r w:rsidRPr="00917E22">
        <w:rPr>
          <w:rFonts w:ascii="Times New Roman" w:hAnsi="Times New Roman"/>
          <w:szCs w:val="24"/>
        </w:rPr>
        <w:t xml:space="preserve"> not selected into the Census sample</w:t>
      </w:r>
      <w:r w:rsidRPr="00917E22" w:rsidR="00C13C80">
        <w:rPr>
          <w:rFonts w:ascii="Times New Roman" w:hAnsi="Times New Roman"/>
          <w:szCs w:val="24"/>
        </w:rPr>
        <w:t>,</w:t>
      </w:r>
    </w:p>
    <w:p w:rsidRPr="00917E22" w:rsidR="00C13C80" w:rsidP="00891FB7" w:rsidRDefault="00C13C80" w14:paraId="59C7F100" w14:textId="77777777">
      <w:pPr>
        <w:pStyle w:val="ListParagraph"/>
        <w:numPr>
          <w:ilvl w:val="0"/>
          <w:numId w:val="17"/>
        </w:numPr>
        <w:ind w:left="1080"/>
        <w:rPr>
          <w:rFonts w:ascii="Times New Roman" w:hAnsi="Times New Roman"/>
          <w:szCs w:val="24"/>
        </w:rPr>
      </w:pPr>
      <w:r w:rsidRPr="00917E22">
        <w:rPr>
          <w:rFonts w:ascii="Times New Roman" w:hAnsi="Times New Roman"/>
          <w:szCs w:val="24"/>
        </w:rPr>
        <w:t xml:space="preserve">Single-establishment firms with no classification information (sector </w:t>
      </w:r>
      <w:r w:rsidRPr="00917E22" w:rsidR="00850C11">
        <w:rPr>
          <w:rFonts w:ascii="Times New Roman" w:hAnsi="Times New Roman"/>
          <w:szCs w:val="24"/>
        </w:rPr>
        <w:t>NA</w:t>
      </w:r>
      <w:r w:rsidRPr="00917E22">
        <w:rPr>
          <w:rFonts w:ascii="Times New Roman" w:hAnsi="Times New Roman"/>
          <w:szCs w:val="24"/>
        </w:rPr>
        <w:t xml:space="preserve"> in the table above), and</w:t>
      </w:r>
    </w:p>
    <w:p w:rsidRPr="00917E22" w:rsidR="00C13C80" w:rsidP="00891FB7" w:rsidRDefault="00C13C80" w14:paraId="66757021" w14:textId="087B3BFE">
      <w:pPr>
        <w:pStyle w:val="ListParagraph"/>
        <w:numPr>
          <w:ilvl w:val="0"/>
          <w:numId w:val="17"/>
        </w:numPr>
        <w:ind w:left="1080"/>
        <w:rPr>
          <w:rFonts w:ascii="Times New Roman" w:hAnsi="Times New Roman"/>
          <w:szCs w:val="24"/>
        </w:rPr>
      </w:pPr>
      <w:r w:rsidRPr="00917E22">
        <w:rPr>
          <w:rFonts w:ascii="Times New Roman" w:hAnsi="Times New Roman"/>
          <w:szCs w:val="24"/>
        </w:rPr>
        <w:t>A</w:t>
      </w:r>
      <w:r w:rsidRPr="00917E22" w:rsidR="00805AA6">
        <w:rPr>
          <w:rFonts w:ascii="Times New Roman" w:hAnsi="Times New Roman"/>
          <w:szCs w:val="24"/>
        </w:rPr>
        <w:t>ny single</w:t>
      </w:r>
      <w:r w:rsidRPr="00917E22" w:rsidR="008205F8">
        <w:rPr>
          <w:rFonts w:ascii="Times New Roman" w:hAnsi="Times New Roman"/>
          <w:szCs w:val="24"/>
        </w:rPr>
        <w:t>-</w:t>
      </w:r>
      <w:r w:rsidRPr="00917E22" w:rsidR="00805AA6">
        <w:rPr>
          <w:rFonts w:ascii="Times New Roman" w:hAnsi="Times New Roman"/>
          <w:szCs w:val="24"/>
        </w:rPr>
        <w:t xml:space="preserve">establishment firms that </w:t>
      </w:r>
      <w:r w:rsidRPr="00917E22" w:rsidR="008205F8">
        <w:rPr>
          <w:rFonts w:ascii="Times New Roman" w:hAnsi="Times New Roman"/>
          <w:szCs w:val="24"/>
        </w:rPr>
        <w:t>start</w:t>
      </w:r>
      <w:r w:rsidRPr="00917E22" w:rsidR="00A030D6">
        <w:rPr>
          <w:rFonts w:ascii="Times New Roman" w:hAnsi="Times New Roman"/>
          <w:szCs w:val="24"/>
        </w:rPr>
        <w:t>ed</w:t>
      </w:r>
      <w:r w:rsidRPr="00917E22" w:rsidR="00805AA6">
        <w:rPr>
          <w:rFonts w:ascii="Times New Roman" w:hAnsi="Times New Roman"/>
          <w:szCs w:val="24"/>
        </w:rPr>
        <w:t xml:space="preserve"> business operations so late in 20</w:t>
      </w:r>
      <w:r w:rsidRPr="00917E22" w:rsidR="0079208D">
        <w:rPr>
          <w:rFonts w:ascii="Times New Roman" w:hAnsi="Times New Roman"/>
          <w:szCs w:val="24"/>
        </w:rPr>
        <w:t>22</w:t>
      </w:r>
      <w:r w:rsidRPr="00917E22" w:rsidR="00B85DC0">
        <w:rPr>
          <w:rFonts w:ascii="Times New Roman" w:hAnsi="Times New Roman"/>
          <w:szCs w:val="24"/>
        </w:rPr>
        <w:t xml:space="preserve"> (mostly in the 4</w:t>
      </w:r>
      <w:r w:rsidRPr="00917E22" w:rsidR="00B85DC0">
        <w:rPr>
          <w:rFonts w:ascii="Times New Roman" w:hAnsi="Times New Roman"/>
          <w:szCs w:val="24"/>
          <w:vertAlign w:val="superscript"/>
        </w:rPr>
        <w:t>th</w:t>
      </w:r>
      <w:r w:rsidRPr="00917E22" w:rsidR="00F92C7D">
        <w:rPr>
          <w:rFonts w:ascii="Times New Roman" w:hAnsi="Times New Roman"/>
          <w:szCs w:val="24"/>
        </w:rPr>
        <w:t xml:space="preserve"> quarter)</w:t>
      </w:r>
      <w:r w:rsidRPr="00917E22" w:rsidR="00805AA6">
        <w:rPr>
          <w:rFonts w:ascii="Times New Roman" w:hAnsi="Times New Roman"/>
          <w:szCs w:val="24"/>
        </w:rPr>
        <w:t xml:space="preserve"> </w:t>
      </w:r>
      <w:r w:rsidRPr="00917E22" w:rsidR="005B68D6">
        <w:rPr>
          <w:rFonts w:ascii="Times New Roman" w:hAnsi="Times New Roman"/>
          <w:szCs w:val="24"/>
        </w:rPr>
        <w:t>that</w:t>
      </w:r>
      <w:r w:rsidRPr="00917E22" w:rsidR="00805AA6">
        <w:rPr>
          <w:rFonts w:ascii="Times New Roman" w:hAnsi="Times New Roman"/>
          <w:szCs w:val="24"/>
        </w:rPr>
        <w:t xml:space="preserve"> their </w:t>
      </w:r>
      <w:r w:rsidRPr="00917E22" w:rsidR="008F1C2A">
        <w:rPr>
          <w:rFonts w:ascii="Times New Roman" w:hAnsi="Times New Roman"/>
          <w:szCs w:val="24"/>
        </w:rPr>
        <w:t>(</w:t>
      </w:r>
      <w:r w:rsidRPr="00917E22" w:rsidR="0079208D">
        <w:rPr>
          <w:rFonts w:ascii="Times New Roman" w:hAnsi="Times New Roman"/>
          <w:szCs w:val="24"/>
        </w:rPr>
        <w:t>2022</w:t>
      </w:r>
      <w:r w:rsidRPr="00917E22" w:rsidR="008F1C2A">
        <w:rPr>
          <w:rFonts w:ascii="Times New Roman" w:hAnsi="Times New Roman"/>
          <w:szCs w:val="24"/>
        </w:rPr>
        <w:t xml:space="preserve">) </w:t>
      </w:r>
      <w:r w:rsidRPr="00917E22" w:rsidR="005B68D6">
        <w:rPr>
          <w:rFonts w:ascii="Times New Roman" w:hAnsi="Times New Roman"/>
          <w:szCs w:val="24"/>
        </w:rPr>
        <w:t xml:space="preserve">administrative payroll </w:t>
      </w:r>
      <w:r w:rsidRPr="00917E22" w:rsidR="008205F8">
        <w:rPr>
          <w:rFonts w:ascii="Times New Roman" w:hAnsi="Times New Roman"/>
          <w:szCs w:val="24"/>
        </w:rPr>
        <w:t>will</w:t>
      </w:r>
      <w:r w:rsidRPr="00917E22" w:rsidR="005B68D6">
        <w:rPr>
          <w:rFonts w:ascii="Times New Roman" w:hAnsi="Times New Roman"/>
          <w:szCs w:val="24"/>
        </w:rPr>
        <w:t xml:space="preserve"> not </w:t>
      </w:r>
      <w:r w:rsidRPr="00917E22" w:rsidR="008205F8">
        <w:rPr>
          <w:rFonts w:ascii="Times New Roman" w:hAnsi="Times New Roman"/>
          <w:szCs w:val="24"/>
        </w:rPr>
        <w:t xml:space="preserve">be </w:t>
      </w:r>
      <w:r w:rsidRPr="00917E22" w:rsidR="00627A85">
        <w:rPr>
          <w:rFonts w:ascii="Times New Roman" w:hAnsi="Times New Roman"/>
          <w:szCs w:val="24"/>
        </w:rPr>
        <w:t xml:space="preserve">received </w:t>
      </w:r>
      <w:r w:rsidRPr="00917E22" w:rsidR="008205F8">
        <w:rPr>
          <w:rFonts w:ascii="Times New Roman" w:hAnsi="Times New Roman"/>
          <w:szCs w:val="24"/>
        </w:rPr>
        <w:t>b</w:t>
      </w:r>
      <w:r w:rsidRPr="00917E22" w:rsidR="00627A85">
        <w:rPr>
          <w:rFonts w:ascii="Times New Roman" w:hAnsi="Times New Roman"/>
          <w:szCs w:val="24"/>
        </w:rPr>
        <w:t>y</w:t>
      </w:r>
      <w:r w:rsidRPr="00917E22" w:rsidR="005B68D6">
        <w:rPr>
          <w:rFonts w:ascii="Times New Roman" w:hAnsi="Times New Roman"/>
          <w:szCs w:val="24"/>
        </w:rPr>
        <w:t xml:space="preserve"> the Census Bureau until after the </w:t>
      </w:r>
      <w:r w:rsidRPr="00917E22" w:rsidR="0079208D">
        <w:rPr>
          <w:rFonts w:ascii="Times New Roman" w:hAnsi="Times New Roman"/>
          <w:szCs w:val="24"/>
        </w:rPr>
        <w:t xml:space="preserve">2022 </w:t>
      </w:r>
      <w:r w:rsidRPr="00917E22" w:rsidR="005B68D6">
        <w:rPr>
          <w:rFonts w:ascii="Times New Roman" w:hAnsi="Times New Roman"/>
          <w:szCs w:val="24"/>
        </w:rPr>
        <w:t xml:space="preserve">sample </w:t>
      </w:r>
      <w:r w:rsidRPr="00917E22" w:rsidR="008205F8">
        <w:rPr>
          <w:rFonts w:ascii="Times New Roman" w:hAnsi="Times New Roman"/>
          <w:szCs w:val="24"/>
        </w:rPr>
        <w:t>is</w:t>
      </w:r>
      <w:r w:rsidRPr="00917E22" w:rsidR="00AF4B36">
        <w:rPr>
          <w:rFonts w:ascii="Times New Roman" w:hAnsi="Times New Roman"/>
          <w:szCs w:val="24"/>
        </w:rPr>
        <w:t xml:space="preserve"> selected – roughly </w:t>
      </w:r>
      <w:r w:rsidRPr="00917E22" w:rsidR="0079208D">
        <w:rPr>
          <w:rFonts w:ascii="Times New Roman" w:hAnsi="Times New Roman"/>
          <w:szCs w:val="24"/>
        </w:rPr>
        <w:t>63,000</w:t>
      </w:r>
      <w:r w:rsidRPr="00917E22" w:rsidR="00AF4B36">
        <w:rPr>
          <w:rFonts w:ascii="Times New Roman" w:hAnsi="Times New Roman"/>
          <w:szCs w:val="24"/>
        </w:rPr>
        <w:t xml:space="preserve"> firms.</w:t>
      </w:r>
      <w:r w:rsidRPr="00917E22" w:rsidR="00B85DC0">
        <w:rPr>
          <w:rFonts w:ascii="Times New Roman" w:hAnsi="Times New Roman"/>
          <w:szCs w:val="24"/>
        </w:rPr>
        <w:t xml:space="preserve"> These are referred to as “4</w:t>
      </w:r>
      <w:r w:rsidRPr="00917E22" w:rsidR="00B85DC0">
        <w:rPr>
          <w:rFonts w:ascii="Times New Roman" w:hAnsi="Times New Roman"/>
          <w:szCs w:val="24"/>
          <w:vertAlign w:val="superscript"/>
        </w:rPr>
        <w:t>th</w:t>
      </w:r>
      <w:r w:rsidRPr="00917E22" w:rsidR="00B85DC0">
        <w:rPr>
          <w:rFonts w:ascii="Times New Roman" w:hAnsi="Times New Roman"/>
          <w:szCs w:val="24"/>
        </w:rPr>
        <w:t xml:space="preserve"> Quarter Births” in the table above.</w:t>
      </w:r>
    </w:p>
    <w:p w:rsidRPr="00917E22" w:rsidR="00C13C80" w:rsidP="00C13C80" w:rsidRDefault="00C13C80" w14:paraId="425B87BE" w14:textId="77777777">
      <w:pPr>
        <w:pStyle w:val="ListParagraph"/>
        <w:ind w:left="1440"/>
        <w:rPr>
          <w:rFonts w:ascii="Times New Roman" w:hAnsi="Times New Roman"/>
          <w:szCs w:val="24"/>
        </w:rPr>
      </w:pPr>
    </w:p>
    <w:p w:rsidRPr="00917E22" w:rsidR="0024397A" w:rsidP="00891FB7" w:rsidRDefault="00B0337F" w14:paraId="4C735120" w14:textId="633DBE18">
      <w:pPr>
        <w:pStyle w:val="ListParagraph"/>
        <w:rPr>
          <w:rFonts w:ascii="Times New Roman" w:hAnsi="Times New Roman"/>
          <w:szCs w:val="24"/>
        </w:rPr>
      </w:pPr>
      <w:r w:rsidRPr="00917E22">
        <w:rPr>
          <w:rFonts w:ascii="Times New Roman" w:hAnsi="Times New Roman"/>
          <w:szCs w:val="24"/>
        </w:rPr>
        <w:t>For the non-sample component, t</w:t>
      </w:r>
      <w:r w:rsidRPr="00917E22" w:rsidR="00CA73D8">
        <w:rPr>
          <w:rFonts w:ascii="Times New Roman" w:hAnsi="Times New Roman"/>
          <w:szCs w:val="24"/>
        </w:rPr>
        <w:t xml:space="preserve">he </w:t>
      </w:r>
      <w:r w:rsidRPr="00917E22" w:rsidR="00850C11">
        <w:rPr>
          <w:rFonts w:ascii="Times New Roman" w:hAnsi="Times New Roman"/>
          <w:szCs w:val="24"/>
        </w:rPr>
        <w:t>Economic C</w:t>
      </w:r>
      <w:r w:rsidRPr="00917E22" w:rsidR="00CA73D8">
        <w:rPr>
          <w:rFonts w:ascii="Times New Roman" w:hAnsi="Times New Roman"/>
          <w:szCs w:val="24"/>
        </w:rPr>
        <w:t xml:space="preserve">ensus will </w:t>
      </w:r>
      <w:r w:rsidRPr="00917E22" w:rsidR="007E0BD6">
        <w:rPr>
          <w:rFonts w:ascii="Times New Roman" w:hAnsi="Times New Roman"/>
          <w:szCs w:val="24"/>
        </w:rPr>
        <w:t xml:space="preserve">use administrative data from other Federal agencies </w:t>
      </w:r>
      <w:r w:rsidRPr="00917E22" w:rsidR="00850C11">
        <w:rPr>
          <w:rFonts w:ascii="Times New Roman" w:hAnsi="Times New Roman"/>
          <w:szCs w:val="24"/>
        </w:rPr>
        <w:t xml:space="preserve">and imputation </w:t>
      </w:r>
      <w:r w:rsidRPr="00917E22">
        <w:rPr>
          <w:rFonts w:ascii="Times New Roman" w:hAnsi="Times New Roman"/>
          <w:szCs w:val="24"/>
        </w:rPr>
        <w:t>in lieu of requiring a response from these single-establishment firms. However, some of these establishments will receive a</w:t>
      </w:r>
      <w:r w:rsidRPr="00917E22" w:rsidR="00850C11">
        <w:rPr>
          <w:rFonts w:ascii="Times New Roman" w:hAnsi="Times New Roman"/>
          <w:szCs w:val="24"/>
        </w:rPr>
        <w:t>n Economic</w:t>
      </w:r>
      <w:r w:rsidRPr="00917E22">
        <w:rPr>
          <w:rFonts w:ascii="Times New Roman" w:hAnsi="Times New Roman"/>
          <w:szCs w:val="24"/>
        </w:rPr>
        <w:t xml:space="preserve"> </w:t>
      </w:r>
      <w:r w:rsidRPr="00917E22" w:rsidR="001C57B6">
        <w:rPr>
          <w:rFonts w:ascii="Times New Roman" w:hAnsi="Times New Roman"/>
          <w:szCs w:val="24"/>
        </w:rPr>
        <w:t xml:space="preserve">Census </w:t>
      </w:r>
      <w:r w:rsidRPr="00917E22" w:rsidR="00AF5C9D">
        <w:rPr>
          <w:rFonts w:ascii="Times New Roman" w:hAnsi="Times New Roman"/>
          <w:szCs w:val="24"/>
        </w:rPr>
        <w:t xml:space="preserve">request for </w:t>
      </w:r>
      <w:r w:rsidRPr="00917E22">
        <w:rPr>
          <w:rFonts w:ascii="Times New Roman" w:hAnsi="Times New Roman"/>
          <w:szCs w:val="24"/>
        </w:rPr>
        <w:t xml:space="preserve">industry classification information so that we can accurately tabulate the establishment’s administrative data in the correct industry. The column “Classification </w:t>
      </w:r>
      <w:r w:rsidRPr="00917E22" w:rsidR="008F1C2A">
        <w:rPr>
          <w:rFonts w:ascii="Times New Roman" w:hAnsi="Times New Roman"/>
          <w:szCs w:val="24"/>
        </w:rPr>
        <w:t>Information Required</w:t>
      </w:r>
      <w:r w:rsidRPr="00917E22">
        <w:rPr>
          <w:rFonts w:ascii="Times New Roman" w:hAnsi="Times New Roman"/>
          <w:szCs w:val="24"/>
        </w:rPr>
        <w:t xml:space="preserve">” </w:t>
      </w:r>
      <w:r w:rsidRPr="00917E22" w:rsidR="00AF5C9D">
        <w:rPr>
          <w:rFonts w:ascii="Times New Roman" w:hAnsi="Times New Roman"/>
          <w:szCs w:val="24"/>
        </w:rPr>
        <w:t>in</w:t>
      </w:r>
      <w:r w:rsidRPr="00917E22" w:rsidR="00B315A8">
        <w:rPr>
          <w:rFonts w:ascii="Times New Roman" w:hAnsi="Times New Roman"/>
          <w:szCs w:val="24"/>
        </w:rPr>
        <w:t xml:space="preserve"> Table 2 above </w:t>
      </w:r>
      <w:r w:rsidRPr="00917E22">
        <w:rPr>
          <w:rFonts w:ascii="Times New Roman" w:hAnsi="Times New Roman"/>
          <w:szCs w:val="24"/>
        </w:rPr>
        <w:t xml:space="preserve">indicates the </w:t>
      </w:r>
      <w:r w:rsidRPr="00917E22" w:rsidR="00F03536">
        <w:rPr>
          <w:rFonts w:ascii="Times New Roman" w:hAnsi="Times New Roman"/>
          <w:szCs w:val="24"/>
        </w:rPr>
        <w:t xml:space="preserve">expected </w:t>
      </w:r>
      <w:r w:rsidRPr="00917E22">
        <w:rPr>
          <w:rFonts w:ascii="Times New Roman" w:hAnsi="Times New Roman"/>
          <w:szCs w:val="24"/>
        </w:rPr>
        <w:t xml:space="preserve">number of </w:t>
      </w:r>
      <w:r w:rsidRPr="00917E22" w:rsidR="00F03536">
        <w:rPr>
          <w:rFonts w:ascii="Times New Roman" w:hAnsi="Times New Roman"/>
          <w:szCs w:val="24"/>
        </w:rPr>
        <w:lastRenderedPageBreak/>
        <w:t xml:space="preserve">single-establishment firms that will be required to provide this classification information.  </w:t>
      </w:r>
    </w:p>
    <w:p w:rsidRPr="00917E22" w:rsidR="005B68D6" w:rsidRDefault="005B68D6" w14:paraId="7EFC0EF0" w14:textId="77777777">
      <w:pPr>
        <w:ind w:left="1080"/>
        <w:rPr>
          <w:rFonts w:ascii="Times New Roman" w:hAnsi="Times New Roman"/>
          <w:szCs w:val="24"/>
        </w:rPr>
      </w:pPr>
    </w:p>
    <w:p w:rsidRPr="00917E22" w:rsidR="0024397A" w:rsidP="00891FB7" w:rsidRDefault="00B315A8" w14:paraId="26D616FC" w14:textId="77777777">
      <w:pPr>
        <w:spacing w:after="240"/>
        <w:ind w:left="720" w:hanging="360"/>
        <w:rPr>
          <w:rFonts w:ascii="Times New Roman" w:hAnsi="Times New Roman"/>
          <w:szCs w:val="24"/>
        </w:rPr>
      </w:pPr>
      <w:r w:rsidRPr="00917E22">
        <w:rPr>
          <w:rFonts w:ascii="Times New Roman" w:hAnsi="Times New Roman"/>
          <w:szCs w:val="24"/>
        </w:rPr>
        <w:t xml:space="preserve">c. </w:t>
      </w:r>
      <w:r w:rsidRPr="00917E22" w:rsidR="00891FB7">
        <w:rPr>
          <w:rFonts w:ascii="Times New Roman" w:hAnsi="Times New Roman"/>
          <w:szCs w:val="24"/>
        </w:rPr>
        <w:tab/>
      </w:r>
      <w:r w:rsidRPr="00917E22">
        <w:rPr>
          <w:rFonts w:ascii="Times New Roman" w:hAnsi="Times New Roman"/>
          <w:szCs w:val="24"/>
        </w:rPr>
        <w:t xml:space="preserve">Response </w:t>
      </w:r>
      <w:r w:rsidRPr="00917E22" w:rsidR="00862256">
        <w:rPr>
          <w:rFonts w:ascii="Times New Roman" w:hAnsi="Times New Roman"/>
          <w:szCs w:val="24"/>
        </w:rPr>
        <w:t>Metrics</w:t>
      </w:r>
    </w:p>
    <w:p w:rsidRPr="00917E22" w:rsidR="00466487" w:rsidP="004E04CB" w:rsidRDefault="00466487" w14:paraId="7E3C7685" w14:textId="77777777">
      <w:pPr>
        <w:widowControl/>
        <w:spacing w:after="200" w:line="276" w:lineRule="auto"/>
        <w:ind w:firstLine="720"/>
        <w:rPr>
          <w:rFonts w:ascii="Times New Roman" w:hAnsi="Times New Roman" w:eastAsiaTheme="minorHAnsi"/>
          <w:snapToGrid/>
          <w:szCs w:val="24"/>
          <w:u w:val="single"/>
        </w:rPr>
      </w:pPr>
      <w:r w:rsidRPr="00917E22">
        <w:rPr>
          <w:rFonts w:ascii="Times New Roman" w:hAnsi="Times New Roman" w:eastAsiaTheme="minorHAnsi"/>
          <w:snapToGrid/>
          <w:szCs w:val="24"/>
          <w:u w:val="single"/>
        </w:rPr>
        <w:t>Definitions and Formulae</w:t>
      </w:r>
    </w:p>
    <w:p w:rsidR="00466487" w:rsidP="00B71354" w:rsidRDefault="00466487" w14:paraId="709BB643" w14:textId="265FD9C0">
      <w:pPr>
        <w:pStyle w:val="ListParagraph"/>
        <w:rPr>
          <w:rFonts w:ascii="Times New Roman" w:hAnsi="Times New Roman" w:eastAsiaTheme="minorHAnsi"/>
          <w:snapToGrid/>
        </w:rPr>
      </w:pPr>
      <w:r w:rsidRPr="00917E22">
        <w:rPr>
          <w:rFonts w:ascii="Times New Roman" w:hAnsi="Times New Roman" w:eastAsiaTheme="minorHAnsi"/>
          <w:snapToGrid/>
        </w:rPr>
        <w:t>For the 20</w:t>
      </w:r>
      <w:r w:rsidRPr="00917E22" w:rsidR="0079208D">
        <w:rPr>
          <w:rFonts w:ascii="Times New Roman" w:hAnsi="Times New Roman" w:eastAsiaTheme="minorHAnsi"/>
          <w:snapToGrid/>
        </w:rPr>
        <w:t>22</w:t>
      </w:r>
      <w:r w:rsidRPr="00917E22">
        <w:rPr>
          <w:rFonts w:ascii="Times New Roman" w:hAnsi="Times New Roman" w:eastAsiaTheme="minorHAnsi"/>
          <w:snapToGrid/>
        </w:rPr>
        <w:t xml:space="preserve"> Economic Census, the Census Bureau will calculate official measures of response rates according to OMB’s standards (Office and Management and Budget Standards and Guidelines for Statistical Surveys, September, 2006). For recent past economic censuses, the check-in rate was used to measure, monitor, and manage data collection and response. The check-in rate is calculated as the ratio of the number of reporting units</w:t>
      </w:r>
      <w:r w:rsidRPr="00917E22">
        <w:rPr>
          <w:rFonts w:ascii="Times New Roman" w:hAnsi="Times New Roman" w:eastAsiaTheme="minorHAnsi"/>
          <w:snapToGrid/>
          <w:vertAlign w:val="superscript"/>
        </w:rPr>
        <w:footnoteReference w:id="1"/>
      </w:r>
      <w:r w:rsidRPr="00917E22">
        <w:rPr>
          <w:rFonts w:ascii="Times New Roman" w:hAnsi="Times New Roman" w:eastAsiaTheme="minorHAnsi"/>
          <w:snapToGrid/>
        </w:rPr>
        <w:t xml:space="preserve"> returning</w:t>
      </w:r>
      <w:r w:rsidRPr="00917E22">
        <w:rPr>
          <w:rFonts w:ascii="Times New Roman" w:hAnsi="Times New Roman" w:eastAsiaTheme="minorHAnsi"/>
          <w:snapToGrid/>
          <w:vertAlign w:val="superscript"/>
        </w:rPr>
        <w:footnoteReference w:id="2"/>
      </w:r>
      <w:r w:rsidRPr="00917E22">
        <w:rPr>
          <w:rFonts w:ascii="Times New Roman" w:hAnsi="Times New Roman" w:eastAsiaTheme="minorHAnsi"/>
          <w:snapToGrid/>
        </w:rPr>
        <w:t xml:space="preserve"> a questionnaire to the number of reporting units mailed a request to complete a questionnaire:</w:t>
      </w:r>
    </w:p>
    <w:p w:rsidRPr="00917E22" w:rsidR="00BF295C" w:rsidP="00B71354" w:rsidRDefault="00BF295C" w14:paraId="31F38198" w14:textId="77777777">
      <w:pPr>
        <w:pStyle w:val="ListParagraph"/>
        <w:rPr>
          <w:rFonts w:ascii="Times New Roman" w:hAnsi="Times New Roman" w:eastAsiaTheme="minorHAnsi"/>
          <w:snapToGrid/>
        </w:rPr>
      </w:pPr>
    </w:p>
    <w:p w:rsidRPr="00917E22" w:rsidR="00466487" w:rsidP="004E04CB" w:rsidRDefault="00466487" w14:paraId="20AC228D" w14:textId="77777777">
      <w:pPr>
        <w:widowControl/>
        <w:spacing w:after="200" w:line="276" w:lineRule="auto"/>
        <w:ind w:left="720" w:firstLine="720"/>
        <w:jc w:val="center"/>
        <w:rPr>
          <w:rFonts w:ascii="Times New Roman" w:hAnsi="Times New Roman" w:eastAsiaTheme="minorEastAsia"/>
          <w:snapToGrid/>
          <w:szCs w:val="24"/>
        </w:rPr>
      </w:pPr>
      <m:oMathPara>
        <m:oMath>
          <m:r>
            <w:rPr>
              <w:rFonts w:ascii="Cambria Math" w:hAnsi="Cambria Math" w:eastAsiaTheme="minorHAnsi"/>
              <w:snapToGrid/>
              <w:szCs w:val="24"/>
            </w:rPr>
            <m:t>Check-in=</m:t>
          </m:r>
          <m:f>
            <m:fPr>
              <m:ctrlPr>
                <w:rPr>
                  <w:rFonts w:ascii="Cambria Math" w:hAnsi="Cambria Math" w:eastAsiaTheme="minorHAnsi"/>
                  <w:i/>
                  <w:snapToGrid/>
                  <w:szCs w:val="24"/>
                </w:rPr>
              </m:ctrlPr>
            </m:fPr>
            <m:num>
              <m:r>
                <w:rPr>
                  <w:rFonts w:ascii="Cambria Math" w:hAnsi="Cambria Math" w:eastAsiaTheme="minorHAnsi"/>
                  <w:snapToGrid/>
                  <w:szCs w:val="24"/>
                </w:rPr>
                <m:t># of reporting units that returned a questionnaire</m:t>
              </m:r>
            </m:num>
            <m:den>
              <m:r>
                <w:rPr>
                  <w:rFonts w:ascii="Cambria Math" w:hAnsi="Cambria Math" w:eastAsiaTheme="minorHAnsi"/>
                  <w:snapToGrid/>
                  <w:szCs w:val="24"/>
                </w:rPr>
                <m:t># of reporting units mailed a request to complete a questionnaire</m:t>
              </m:r>
            </m:den>
          </m:f>
        </m:oMath>
      </m:oMathPara>
    </w:p>
    <w:p w:rsidRPr="00917E22" w:rsidR="00466487" w:rsidP="00507C35" w:rsidRDefault="00466487" w14:paraId="17A5C9A2" w14:textId="640332A8">
      <w:pPr>
        <w:pStyle w:val="ListParagraph"/>
        <w:rPr>
          <w:rFonts w:ascii="Times New Roman" w:hAnsi="Times New Roman" w:eastAsiaTheme="minorHAnsi"/>
          <w:snapToGrid/>
        </w:rPr>
      </w:pPr>
      <w:r w:rsidRPr="00917E22">
        <w:rPr>
          <w:rFonts w:ascii="Times New Roman" w:hAnsi="Times New Roman" w:eastAsiaTheme="minorHAnsi"/>
          <w:snapToGrid/>
        </w:rPr>
        <w:t xml:space="preserve">The check-in rate is readily available in “real-time” during data collection but does not incorporate information on the quality of the response data and the ability to consider them as respondent-reported data in summary statistics.  </w:t>
      </w:r>
    </w:p>
    <w:p w:rsidRPr="00917E22" w:rsidR="00507C35" w:rsidP="00507C35" w:rsidRDefault="00507C35" w14:paraId="4E34F7FC" w14:textId="77777777">
      <w:pPr>
        <w:pStyle w:val="ListParagraph"/>
        <w:rPr>
          <w:rFonts w:ascii="Times New Roman" w:hAnsi="Times New Roman" w:eastAsiaTheme="minorHAnsi"/>
          <w:snapToGrid/>
        </w:rPr>
      </w:pPr>
    </w:p>
    <w:p w:rsidRPr="00917E22" w:rsidR="00466487" w:rsidP="00507C35" w:rsidRDefault="00466487" w14:paraId="611A57DC" w14:textId="6D92AD3B">
      <w:pPr>
        <w:pStyle w:val="ListParagraph"/>
        <w:rPr>
          <w:rFonts w:ascii="Times New Roman" w:hAnsi="Times New Roman" w:eastAsiaTheme="minorHAnsi"/>
          <w:snapToGrid/>
        </w:rPr>
      </w:pPr>
      <w:r w:rsidRPr="00917E22">
        <w:rPr>
          <w:rFonts w:ascii="Times New Roman" w:hAnsi="Times New Roman" w:eastAsiaTheme="minorHAnsi"/>
          <w:snapToGrid/>
        </w:rPr>
        <w:t xml:space="preserve">The OMB standards indicate that response rates must be computed using standard formulas to measure the proportion of the eligible sample that is represented by the responding units in each study, as an indicator of potential nonresponse bias. Both unweighted and weighted response rates should be calculated. Additionally, weighted response rates should incorporate the probability of selection or, in the case of establishment surveys, the proportion of key characteristics that is represented by the responding units. </w:t>
      </w:r>
    </w:p>
    <w:p w:rsidRPr="00917E22" w:rsidR="00507C35" w:rsidP="00507C35" w:rsidRDefault="00507C35" w14:paraId="4AA9808B" w14:textId="77777777">
      <w:pPr>
        <w:pStyle w:val="ListParagraph"/>
        <w:rPr>
          <w:rFonts w:ascii="Times New Roman" w:hAnsi="Times New Roman" w:eastAsiaTheme="minorHAnsi"/>
          <w:snapToGrid/>
        </w:rPr>
      </w:pPr>
    </w:p>
    <w:p w:rsidRPr="00917E22" w:rsidR="00466487" w:rsidP="00507C35" w:rsidRDefault="00466487" w14:paraId="63B5245E" w14:textId="77777777">
      <w:pPr>
        <w:pStyle w:val="ListParagraph"/>
        <w:rPr>
          <w:rFonts w:ascii="Times New Roman" w:hAnsi="Times New Roman" w:eastAsiaTheme="minorHAnsi"/>
          <w:snapToGrid/>
        </w:rPr>
      </w:pPr>
      <w:r w:rsidRPr="00917E22">
        <w:rPr>
          <w:rFonts w:ascii="Times New Roman" w:hAnsi="Times New Roman" w:eastAsiaTheme="minorHAnsi"/>
          <w:snapToGrid/>
        </w:rPr>
        <w:t>The OMB Unit Response Rate (URR) calculation uses only valid responses in the numerator of the ratio, and eliminates known ineligible reporting units from the denominator:</w:t>
      </w:r>
    </w:p>
    <w:p w:rsidRPr="00917E22" w:rsidR="00466487" w:rsidP="004E04CB" w:rsidRDefault="00466487" w14:paraId="37411C1D" w14:textId="77777777">
      <w:pPr>
        <w:widowControl/>
        <w:spacing w:after="200" w:line="276" w:lineRule="auto"/>
        <w:ind w:left="720"/>
        <w:rPr>
          <w:rFonts w:ascii="Times New Roman" w:hAnsi="Times New Roman" w:eastAsiaTheme="minorHAnsi"/>
          <w:snapToGrid/>
          <w:szCs w:val="24"/>
        </w:rPr>
      </w:pPr>
    </w:p>
    <w:p w:rsidRPr="007F1906" w:rsidR="00466487" w:rsidP="004E04CB" w:rsidRDefault="00466487" w14:paraId="57E068F0" w14:textId="77777777">
      <w:pPr>
        <w:widowControl/>
        <w:spacing w:after="200" w:line="276" w:lineRule="auto"/>
        <w:ind w:left="720"/>
        <w:rPr>
          <w:rFonts w:ascii="Times New Roman" w:hAnsi="Times New Roman" w:eastAsiaTheme="minorEastAsia"/>
          <w:snapToGrid/>
          <w:sz w:val="22"/>
          <w:szCs w:val="22"/>
        </w:rPr>
      </w:pPr>
      <m:oMathPara>
        <m:oMath>
          <m:r>
            <w:rPr>
              <w:rFonts w:ascii="Cambria Math" w:hAnsi="Cambria Math" w:eastAsiaTheme="minorHAnsi"/>
              <w:snapToGrid/>
              <w:sz w:val="22"/>
              <w:szCs w:val="22"/>
            </w:rPr>
            <w:lastRenderedPageBreak/>
            <m:t xml:space="preserve">URR= </m:t>
          </m:r>
          <m:f>
            <m:fPr>
              <m:ctrlPr>
                <w:rPr>
                  <w:rFonts w:ascii="Cambria Math" w:hAnsi="Cambria Math" w:eastAsiaTheme="minorHAnsi"/>
                  <w:i/>
                  <w:snapToGrid/>
                  <w:sz w:val="22"/>
                  <w:szCs w:val="22"/>
                </w:rPr>
              </m:ctrlPr>
            </m:fPr>
            <m:num>
              <m:r>
                <w:rPr>
                  <w:rFonts w:ascii="Cambria Math" w:hAnsi="Cambria Math" w:eastAsiaTheme="minorHAnsi"/>
                  <w:snapToGrid/>
                  <w:sz w:val="22"/>
                  <w:szCs w:val="22"/>
                </w:rPr>
                <m:t># of reporting units with valid responses</m:t>
              </m:r>
            </m:num>
            <m:den>
              <m:r>
                <w:rPr>
                  <w:rFonts w:ascii="Cambria Math" w:hAnsi="Cambria Math" w:eastAsiaTheme="minorHAnsi"/>
                  <w:snapToGrid/>
                  <w:sz w:val="22"/>
                  <w:szCs w:val="22"/>
                </w:rPr>
                <m:t># of eligible reporting units+# of reporting units with unknown eligibility</m:t>
              </m:r>
            </m:den>
          </m:f>
        </m:oMath>
      </m:oMathPara>
    </w:p>
    <w:p w:rsidRPr="00917E22" w:rsidR="00466487" w:rsidP="009B0300" w:rsidRDefault="00466487" w14:paraId="0113D8D6" w14:textId="69BB392F">
      <w:pPr>
        <w:pStyle w:val="ListParagraph"/>
        <w:rPr>
          <w:rFonts w:ascii="Times New Roman" w:hAnsi="Times New Roman" w:eastAsiaTheme="minorEastAsia"/>
          <w:snapToGrid/>
        </w:rPr>
      </w:pPr>
      <w:r w:rsidRPr="00917E22">
        <w:rPr>
          <w:rFonts w:ascii="Times New Roman" w:hAnsi="Times New Roman" w:eastAsiaTheme="minorEastAsia"/>
          <w:snapToGrid/>
        </w:rPr>
        <w:t xml:space="preserve">The URR is the </w:t>
      </w:r>
      <w:r w:rsidRPr="00917E22" w:rsidR="009B26DA">
        <w:rPr>
          <w:rFonts w:ascii="Times New Roman" w:hAnsi="Times New Roman" w:eastAsiaTheme="minorEastAsia"/>
          <w:snapToGrid/>
        </w:rPr>
        <w:t xml:space="preserve">percentage of reporting units, based on unweighted counts, that provide a valid response. </w:t>
      </w:r>
      <w:r w:rsidRPr="00917E22">
        <w:rPr>
          <w:rFonts w:ascii="Times New Roman" w:hAnsi="Times New Roman" w:eastAsiaTheme="minorEastAsia"/>
          <w:snapToGrid/>
        </w:rPr>
        <w:t xml:space="preserve">For the </w:t>
      </w:r>
      <w:r w:rsidRPr="00917E22" w:rsidR="00E17866">
        <w:rPr>
          <w:rFonts w:ascii="Times New Roman" w:hAnsi="Times New Roman" w:eastAsiaTheme="minorEastAsia"/>
          <w:snapToGrid/>
        </w:rPr>
        <w:t xml:space="preserve">2022 </w:t>
      </w:r>
      <w:r w:rsidRPr="00917E22">
        <w:rPr>
          <w:rFonts w:ascii="Times New Roman" w:hAnsi="Times New Roman" w:eastAsiaTheme="minorEastAsia"/>
          <w:snapToGrid/>
        </w:rPr>
        <w:t xml:space="preserve">Economic Census, a valid response is defined to be a unit that reported total </w:t>
      </w:r>
      <w:r w:rsidRPr="00917E22" w:rsidR="001679CF">
        <w:rPr>
          <w:rFonts w:ascii="Times New Roman" w:hAnsi="Times New Roman" w:eastAsiaTheme="minorEastAsia"/>
          <w:snapToGrid/>
        </w:rPr>
        <w:t>value of shipments/</w:t>
      </w:r>
      <w:r w:rsidRPr="00917E22">
        <w:rPr>
          <w:rFonts w:ascii="Times New Roman" w:hAnsi="Times New Roman" w:eastAsiaTheme="minorEastAsia"/>
          <w:snapToGrid/>
        </w:rPr>
        <w:t>receipts</w:t>
      </w:r>
      <w:r w:rsidRPr="00917E22" w:rsidR="001679CF">
        <w:rPr>
          <w:rFonts w:ascii="Times New Roman" w:hAnsi="Times New Roman" w:eastAsiaTheme="minorEastAsia"/>
          <w:snapToGrid/>
        </w:rPr>
        <w:t>/revenue/sales</w:t>
      </w:r>
      <w:r w:rsidRPr="00917E22">
        <w:rPr>
          <w:rFonts w:ascii="Times New Roman" w:hAnsi="Times New Roman" w:eastAsiaTheme="minorEastAsia"/>
          <w:snapToGrid/>
        </w:rPr>
        <w:t xml:space="preserve"> (i.e., </w:t>
      </w:r>
      <w:r w:rsidRPr="00917E22" w:rsidR="00E5486E">
        <w:rPr>
          <w:rFonts w:ascii="Times New Roman" w:hAnsi="Times New Roman" w:eastAsiaTheme="minorEastAsia"/>
          <w:snapToGrid/>
        </w:rPr>
        <w:t>value of shipments/</w:t>
      </w:r>
      <w:r w:rsidRPr="00917E22">
        <w:rPr>
          <w:rFonts w:ascii="Times New Roman" w:hAnsi="Times New Roman" w:eastAsiaTheme="minorEastAsia"/>
          <w:snapToGrid/>
        </w:rPr>
        <w:t>receipts</w:t>
      </w:r>
      <w:r w:rsidRPr="00917E22" w:rsidR="00E5486E">
        <w:rPr>
          <w:rFonts w:ascii="Times New Roman" w:hAnsi="Times New Roman" w:eastAsiaTheme="minorEastAsia"/>
          <w:snapToGrid/>
        </w:rPr>
        <w:t>/revenue/sales</w:t>
      </w:r>
      <w:r w:rsidRPr="00917E22">
        <w:rPr>
          <w:rFonts w:ascii="Times New Roman" w:hAnsi="Times New Roman" w:eastAsiaTheme="minorEastAsia"/>
          <w:snapToGrid/>
        </w:rPr>
        <w:t xml:space="preserve"> ≥ $0).</w:t>
      </w:r>
    </w:p>
    <w:p w:rsidRPr="00917E22" w:rsidR="009B0300" w:rsidP="009B0300" w:rsidRDefault="009B0300" w14:paraId="71724010" w14:textId="77777777">
      <w:pPr>
        <w:pStyle w:val="ListParagraph"/>
        <w:rPr>
          <w:rFonts w:ascii="Times New Roman" w:hAnsi="Times New Roman" w:eastAsiaTheme="minorEastAsia"/>
          <w:snapToGrid/>
        </w:rPr>
      </w:pPr>
    </w:p>
    <w:p w:rsidRPr="00917E22" w:rsidR="00466487" w:rsidP="00E13CF5" w:rsidRDefault="00466487" w14:paraId="47109A1A" w14:textId="2F0C9AAF">
      <w:pPr>
        <w:pStyle w:val="ListParagraph"/>
        <w:rPr>
          <w:rFonts w:ascii="Times New Roman" w:hAnsi="Times New Roman" w:eastAsiaTheme="minorEastAsia"/>
          <w:snapToGrid/>
        </w:rPr>
      </w:pPr>
      <w:r w:rsidRPr="00917E22">
        <w:rPr>
          <w:rFonts w:ascii="Times New Roman" w:hAnsi="Times New Roman" w:eastAsiaTheme="minorEastAsia"/>
          <w:snapToGrid/>
        </w:rPr>
        <w:t>It is not possible to accurately measure the URR during data collection, because eligibility and response validity are frequently not determined until after collection is completed, during the editing phases. To monitor and manage response during data collection, a proxy URR will be calculated, as follows:</w:t>
      </w:r>
    </w:p>
    <w:p w:rsidRPr="00917E22" w:rsidR="00466487" w:rsidP="004E04CB" w:rsidRDefault="00466487" w14:paraId="62F4B93A" w14:textId="77777777">
      <w:pPr>
        <w:widowControl/>
        <w:spacing w:after="200" w:line="276" w:lineRule="auto"/>
        <w:ind w:left="720"/>
        <w:rPr>
          <w:rFonts w:ascii="Times New Roman" w:hAnsi="Times New Roman" w:eastAsiaTheme="minorEastAsia"/>
          <w:snapToGrid/>
          <w:szCs w:val="24"/>
        </w:rPr>
      </w:pPr>
    </w:p>
    <w:p w:rsidRPr="007F1906" w:rsidR="00466487" w:rsidP="004E04CB" w:rsidRDefault="00466487" w14:paraId="6172C17B" w14:textId="77777777">
      <w:pPr>
        <w:widowControl/>
        <w:spacing w:after="200" w:line="276" w:lineRule="auto"/>
        <w:ind w:left="720"/>
        <w:rPr>
          <w:rFonts w:ascii="Times New Roman" w:hAnsi="Times New Roman" w:eastAsiaTheme="minorEastAsia"/>
          <w:snapToGrid/>
          <w:sz w:val="22"/>
          <w:szCs w:val="22"/>
        </w:rPr>
      </w:pPr>
      <m:oMathPara>
        <m:oMath>
          <m:r>
            <w:rPr>
              <w:rFonts w:ascii="Cambria Math" w:hAnsi="Cambria Math" w:eastAsiaTheme="minorHAnsi"/>
              <w:snapToGrid/>
              <w:sz w:val="22"/>
              <w:szCs w:val="22"/>
            </w:rPr>
            <m:t xml:space="preserve">Proxy URR= </m:t>
          </m:r>
          <m:f>
            <m:fPr>
              <m:ctrlPr>
                <w:rPr>
                  <w:rFonts w:ascii="Cambria Math" w:hAnsi="Cambria Math" w:eastAsiaTheme="minorHAnsi"/>
                  <w:i/>
                  <w:snapToGrid/>
                  <w:sz w:val="22"/>
                  <w:szCs w:val="22"/>
                </w:rPr>
              </m:ctrlPr>
            </m:fPr>
            <m:num>
              <m:r>
                <w:rPr>
                  <w:rFonts w:ascii="Cambria Math" w:hAnsi="Cambria Math" w:eastAsiaTheme="minorHAnsi"/>
                  <w:snapToGrid/>
                  <w:sz w:val="22"/>
                  <w:szCs w:val="22"/>
                </w:rPr>
                <m:t># of reporting units that returned a questionnaire with receipts ≥0</m:t>
              </m:r>
            </m:num>
            <m:den>
              <m:r>
                <w:rPr>
                  <w:rFonts w:ascii="Cambria Math" w:hAnsi="Cambria Math" w:eastAsiaTheme="minorHAnsi"/>
                  <w:snapToGrid/>
                  <w:sz w:val="22"/>
                  <w:szCs w:val="22"/>
                </w:rPr>
                <m:t># of reporting units mailed a request to complete a questionnaire</m:t>
              </m:r>
            </m:den>
          </m:f>
        </m:oMath>
      </m:oMathPara>
    </w:p>
    <w:p w:rsidRPr="00917E22" w:rsidR="00466487" w:rsidP="00B45489" w:rsidRDefault="00466487" w14:paraId="0A757C9B" w14:textId="77777777">
      <w:pPr>
        <w:pStyle w:val="ListParagraph"/>
        <w:rPr>
          <w:rFonts w:ascii="Times New Roman" w:hAnsi="Times New Roman" w:eastAsiaTheme="minorEastAsia"/>
          <w:snapToGrid/>
        </w:rPr>
      </w:pPr>
      <w:r w:rsidRPr="00917E22">
        <w:rPr>
          <w:rFonts w:ascii="Times New Roman" w:hAnsi="Times New Roman" w:eastAsiaTheme="minorEastAsia"/>
          <w:snapToGrid/>
        </w:rPr>
        <w:t>Research using 2012 Economic Census data has shown that the proxy URR appears to better reflect the URR than the check-in rate.</w:t>
      </w:r>
    </w:p>
    <w:p w:rsidRPr="00917E22" w:rsidR="00B45489" w:rsidP="00B45489" w:rsidRDefault="00B45489" w14:paraId="5839EF85" w14:textId="77777777">
      <w:pPr>
        <w:pStyle w:val="ListParagraph"/>
        <w:rPr>
          <w:rFonts w:ascii="Times New Roman" w:hAnsi="Times New Roman" w:eastAsiaTheme="minorEastAsia"/>
          <w:snapToGrid/>
        </w:rPr>
      </w:pPr>
    </w:p>
    <w:p w:rsidRPr="00917E22" w:rsidR="00466487" w:rsidP="00B45489" w:rsidRDefault="00466487" w14:paraId="41A69769" w14:textId="43243A10">
      <w:pPr>
        <w:pStyle w:val="ListParagraph"/>
        <w:rPr>
          <w:rFonts w:ascii="Times New Roman" w:hAnsi="Times New Roman" w:eastAsiaTheme="minorEastAsia"/>
          <w:snapToGrid/>
        </w:rPr>
      </w:pPr>
      <w:r w:rsidRPr="00917E22">
        <w:rPr>
          <w:rFonts w:ascii="Times New Roman" w:hAnsi="Times New Roman" w:eastAsiaTheme="minorEastAsia"/>
          <w:snapToGrid/>
        </w:rPr>
        <w:t>The OMB standards also define a weighted item response rate, where the item of interest is a quantity of primary interest for the survey. The Census Bureau defines the Quantity and Total Quantity Response Rates (QRR and TQRR) as item-level indicators of the "quality" of each estimate. Both are weighted response measures that take the size of the tabulating unit</w:t>
      </w:r>
      <w:r w:rsidRPr="00917E22">
        <w:rPr>
          <w:rFonts w:ascii="Times New Roman" w:hAnsi="Times New Roman" w:eastAsiaTheme="minorEastAsia"/>
          <w:i/>
          <w:snapToGrid/>
          <w:vertAlign w:val="superscript"/>
        </w:rPr>
        <w:footnoteReference w:id="3"/>
      </w:r>
      <w:r w:rsidRPr="00917E22">
        <w:rPr>
          <w:rFonts w:ascii="Times New Roman" w:hAnsi="Times New Roman" w:eastAsiaTheme="minorEastAsia"/>
          <w:snapToGrid/>
        </w:rPr>
        <w:t xml:space="preserve"> into account as well as the associated sampling parameters. The QRR measures the weighted proportion of an estimate obtained directly from the respondent for the survey. The TQRR expands the rate to include data substituted from secondary sources considered to be equivalent-in-quality to reported data, such as businesses’ annual reports or data provided by respondents for other Census Bureau surveys.  </w:t>
      </w:r>
    </w:p>
    <w:p w:rsidRPr="00917E22" w:rsidR="00466487" w:rsidP="004E04CB" w:rsidRDefault="00466487" w14:paraId="2F0B65AC" w14:textId="77777777">
      <w:pPr>
        <w:widowControl/>
        <w:spacing w:after="200" w:line="276" w:lineRule="auto"/>
        <w:ind w:left="720"/>
        <w:rPr>
          <w:rFonts w:ascii="Times New Roman" w:hAnsi="Times New Roman" w:eastAsiaTheme="minorEastAsia"/>
          <w:snapToGrid/>
          <w:szCs w:val="24"/>
        </w:rPr>
      </w:pPr>
    </w:p>
    <w:p w:rsidR="00466487" w:rsidP="00B45489" w:rsidRDefault="00466487" w14:paraId="634838BF" w14:textId="1902B671">
      <w:pPr>
        <w:pStyle w:val="ListParagraph"/>
        <w:rPr>
          <w:rFonts w:ascii="Times New Roman" w:hAnsi="Times New Roman" w:eastAsiaTheme="minorEastAsia"/>
          <w:snapToGrid/>
        </w:rPr>
      </w:pPr>
      <w:r w:rsidRPr="00917E22">
        <w:rPr>
          <w:rFonts w:ascii="Times New Roman" w:hAnsi="Times New Roman" w:eastAsiaTheme="minorEastAsia"/>
          <w:snapToGrid/>
        </w:rPr>
        <w:t xml:space="preserve">For a data item </w:t>
      </w:r>
      <w:r w:rsidRPr="00917E22">
        <w:rPr>
          <w:rFonts w:ascii="Times New Roman" w:hAnsi="Times New Roman" w:eastAsiaTheme="minorEastAsia"/>
          <w:i/>
          <w:snapToGrid/>
        </w:rPr>
        <w:t>t</w:t>
      </w:r>
      <w:r w:rsidRPr="00917E22">
        <w:rPr>
          <w:rFonts w:ascii="Times New Roman" w:hAnsi="Times New Roman" w:eastAsiaTheme="minorEastAsia"/>
          <w:snapToGrid/>
        </w:rPr>
        <w:t>, the QRR and TQRR are defined below:</w:t>
      </w:r>
    </w:p>
    <w:p w:rsidRPr="00917E22" w:rsidR="006B664E" w:rsidP="00B45489" w:rsidRDefault="006B664E" w14:paraId="181DD8E2" w14:textId="77777777">
      <w:pPr>
        <w:pStyle w:val="ListParagraph"/>
        <w:rPr>
          <w:rFonts w:ascii="Times New Roman" w:hAnsi="Times New Roman" w:eastAsiaTheme="minorEastAsia"/>
          <w:snapToGrid/>
        </w:rPr>
      </w:pPr>
    </w:p>
    <w:p w:rsidRPr="00917E22" w:rsidR="00466487" w:rsidP="007F1906" w:rsidRDefault="00466487" w14:paraId="64B5D93E" w14:textId="77777777">
      <w:pPr>
        <w:widowControl/>
        <w:spacing w:after="200" w:line="276" w:lineRule="auto"/>
        <w:ind w:firstLine="720"/>
        <w:rPr>
          <w:rFonts w:ascii="Times New Roman" w:hAnsi="Times New Roman" w:eastAsiaTheme="minorEastAsia"/>
          <w:snapToGrid/>
          <w:szCs w:val="24"/>
        </w:rPr>
      </w:pPr>
      <m:oMathPara>
        <m:oMath>
          <m:r>
            <w:rPr>
              <w:rFonts w:ascii="Cambria Math" w:hAnsi="Cambria Math" w:eastAsiaTheme="minorEastAsia"/>
              <w:snapToGrid/>
              <w:szCs w:val="24"/>
            </w:rPr>
            <m:t>QRR(t)=</m:t>
          </m:r>
          <m:d>
            <m:dPr>
              <m:begChr m:val="["/>
              <m:endChr m:val="]"/>
              <m:ctrlPr>
                <w:rPr>
                  <w:rFonts w:ascii="Cambria Math" w:hAnsi="Cambria Math" w:eastAsiaTheme="minorEastAsia"/>
                  <w:i/>
                  <w:snapToGrid/>
                  <w:szCs w:val="24"/>
                </w:rPr>
              </m:ctrlPr>
            </m:dPr>
            <m:e>
              <m:f>
                <m:fPr>
                  <m:ctrlPr>
                    <w:rPr>
                      <w:rFonts w:ascii="Cambria Math" w:hAnsi="Cambria Math" w:eastAsiaTheme="minorEastAsia"/>
                      <w:i/>
                      <w:snapToGrid/>
                      <w:szCs w:val="24"/>
                    </w:rPr>
                  </m:ctrlPr>
                </m:fPr>
                <m:num>
                  <m:nary>
                    <m:naryPr>
                      <m:chr m:val="∑"/>
                      <m:limLoc m:val="undOvr"/>
                      <m:ctrlPr>
                        <w:rPr>
                          <w:rFonts w:ascii="Cambria Math" w:hAnsi="Cambria Math" w:eastAsiaTheme="minorEastAsia"/>
                          <w:i/>
                          <w:snapToGrid/>
                          <w:szCs w:val="24"/>
                        </w:rPr>
                      </m:ctrlPr>
                    </m:naryPr>
                    <m:sub>
                      <m:r>
                        <w:rPr>
                          <w:rFonts w:ascii="Cambria Math" w:hAnsi="Cambria Math" w:eastAsiaTheme="minorEastAsia"/>
                          <w:snapToGrid/>
                          <w:szCs w:val="24"/>
                        </w:rPr>
                        <m:t>i=1</m:t>
                      </m:r>
                    </m:sub>
                    <m:sup>
                      <m:sSub>
                        <m:sSubPr>
                          <m:ctrlPr>
                            <w:rPr>
                              <w:rFonts w:ascii="Cambria Math" w:hAnsi="Cambria Math" w:eastAsiaTheme="minorEastAsia"/>
                              <w:i/>
                              <w:snapToGrid/>
                              <w:szCs w:val="24"/>
                            </w:rPr>
                          </m:ctrlPr>
                        </m:sSubPr>
                        <m:e>
                          <m:r>
                            <w:rPr>
                              <w:rFonts w:ascii="Cambria Math" w:hAnsi="Cambria Math" w:eastAsiaTheme="minorEastAsia"/>
                              <w:snapToGrid/>
                              <w:szCs w:val="24"/>
                            </w:rPr>
                            <m:t>N</m:t>
                          </m:r>
                        </m:e>
                        <m:sub>
                          <m:r>
                            <w:rPr>
                              <w:rFonts w:ascii="Cambria Math" w:hAnsi="Cambria Math" w:eastAsiaTheme="minorEastAsia"/>
                              <w:snapToGrid/>
                              <w:szCs w:val="24"/>
                            </w:rPr>
                            <m:t>T</m:t>
                          </m:r>
                        </m:sub>
                      </m:sSub>
                    </m:sup>
                    <m:e>
                      <m:sSub>
                        <m:sSubPr>
                          <m:ctrlPr>
                            <w:rPr>
                              <w:rFonts w:ascii="Cambria Math" w:hAnsi="Cambria Math" w:eastAsiaTheme="minorEastAsia"/>
                              <w:i/>
                              <w:snapToGrid/>
                              <w:szCs w:val="24"/>
                            </w:rPr>
                          </m:ctrlPr>
                        </m:sSubPr>
                        <m:e>
                          <m:r>
                            <w:rPr>
                              <w:rFonts w:ascii="Cambria Math" w:hAnsi="Cambria Math" w:eastAsiaTheme="minorEastAsia"/>
                              <w:snapToGrid/>
                              <w:szCs w:val="24"/>
                            </w:rPr>
                            <m:t>w</m:t>
                          </m:r>
                        </m:e>
                        <m:sub>
                          <m:r>
                            <w:rPr>
                              <w:rFonts w:ascii="Cambria Math" w:hAnsi="Cambria Math" w:eastAsiaTheme="minorEastAsia"/>
                              <w:snapToGrid/>
                              <w:szCs w:val="24"/>
                            </w:rPr>
                            <m:t>i</m:t>
                          </m:r>
                        </m:sub>
                      </m:sSub>
                      <m:d>
                        <m:dPr>
                          <m:ctrlPr>
                            <w:rPr>
                              <w:rFonts w:ascii="Cambria Math" w:hAnsi="Cambria Math" w:eastAsiaTheme="minorEastAsia"/>
                              <w:i/>
                              <w:snapToGrid/>
                              <w:szCs w:val="24"/>
                            </w:rPr>
                          </m:ctrlPr>
                        </m:dPr>
                        <m:e>
                          <m:sSub>
                            <m:sSubPr>
                              <m:ctrlPr>
                                <w:rPr>
                                  <w:rFonts w:ascii="Cambria Math" w:hAnsi="Cambria Math" w:eastAsiaTheme="minorEastAsia"/>
                                  <w:i/>
                                  <w:snapToGrid/>
                                  <w:szCs w:val="24"/>
                                </w:rPr>
                              </m:ctrlPr>
                            </m:sSubPr>
                            <m:e>
                              <m:r>
                                <w:rPr>
                                  <w:rFonts w:ascii="Cambria Math" w:hAnsi="Cambria Math" w:eastAsiaTheme="minorEastAsia"/>
                                  <w:snapToGrid/>
                                  <w:szCs w:val="24"/>
                                </w:rPr>
                                <m:t>r</m:t>
                              </m:r>
                            </m:e>
                            <m:sub>
                              <m:r>
                                <w:rPr>
                                  <w:rFonts w:ascii="Cambria Math" w:hAnsi="Cambria Math" w:eastAsiaTheme="minorEastAsia"/>
                                  <w:snapToGrid/>
                                  <w:szCs w:val="24"/>
                                </w:rPr>
                                <m:t>ti</m:t>
                              </m:r>
                            </m:sub>
                          </m:sSub>
                        </m:e>
                      </m:d>
                      <m:sSub>
                        <m:sSubPr>
                          <m:ctrlPr>
                            <w:rPr>
                              <w:rFonts w:ascii="Cambria Math" w:hAnsi="Cambria Math" w:eastAsiaTheme="minorEastAsia"/>
                              <w:i/>
                              <w:snapToGrid/>
                              <w:szCs w:val="24"/>
                            </w:rPr>
                          </m:ctrlPr>
                        </m:sSubPr>
                        <m:e>
                          <m:r>
                            <w:rPr>
                              <w:rFonts w:ascii="Cambria Math" w:hAnsi="Cambria Math" w:eastAsiaTheme="minorEastAsia"/>
                              <w:snapToGrid/>
                              <w:szCs w:val="24"/>
                            </w:rPr>
                            <m:t>t</m:t>
                          </m:r>
                        </m:e>
                        <m:sub>
                          <m:r>
                            <w:rPr>
                              <w:rFonts w:ascii="Cambria Math" w:hAnsi="Cambria Math" w:eastAsiaTheme="minorEastAsia"/>
                              <w:snapToGrid/>
                              <w:szCs w:val="24"/>
                            </w:rPr>
                            <m:t>i</m:t>
                          </m:r>
                        </m:sub>
                      </m:sSub>
                    </m:e>
                  </m:nary>
                </m:num>
                <m:den>
                  <m:nary>
                    <m:naryPr>
                      <m:chr m:val="∑"/>
                      <m:limLoc m:val="undOvr"/>
                      <m:ctrlPr>
                        <w:rPr>
                          <w:rFonts w:ascii="Cambria Math" w:hAnsi="Cambria Math" w:eastAsiaTheme="minorEastAsia"/>
                          <w:i/>
                          <w:snapToGrid/>
                          <w:szCs w:val="24"/>
                        </w:rPr>
                      </m:ctrlPr>
                    </m:naryPr>
                    <m:sub>
                      <m:r>
                        <w:rPr>
                          <w:rFonts w:ascii="Cambria Math" w:hAnsi="Cambria Math" w:eastAsiaTheme="minorEastAsia"/>
                          <w:snapToGrid/>
                          <w:szCs w:val="24"/>
                        </w:rPr>
                        <m:t>i=1</m:t>
                      </m:r>
                    </m:sub>
                    <m:sup>
                      <m:sSub>
                        <m:sSubPr>
                          <m:ctrlPr>
                            <w:rPr>
                              <w:rFonts w:ascii="Cambria Math" w:hAnsi="Cambria Math" w:eastAsiaTheme="minorEastAsia"/>
                              <w:i/>
                              <w:snapToGrid/>
                              <w:szCs w:val="24"/>
                            </w:rPr>
                          </m:ctrlPr>
                        </m:sSubPr>
                        <m:e>
                          <m:r>
                            <w:rPr>
                              <w:rFonts w:ascii="Cambria Math" w:hAnsi="Cambria Math" w:eastAsiaTheme="minorEastAsia"/>
                              <w:snapToGrid/>
                              <w:szCs w:val="24"/>
                            </w:rPr>
                            <m:t>N</m:t>
                          </m:r>
                        </m:e>
                        <m:sub>
                          <m:r>
                            <w:rPr>
                              <w:rFonts w:ascii="Cambria Math" w:hAnsi="Cambria Math" w:eastAsiaTheme="minorEastAsia"/>
                              <w:snapToGrid/>
                              <w:szCs w:val="24"/>
                            </w:rPr>
                            <m:t>T</m:t>
                          </m:r>
                        </m:sub>
                      </m:sSub>
                    </m:sup>
                    <m:e>
                      <m:sSub>
                        <m:sSubPr>
                          <m:ctrlPr>
                            <w:rPr>
                              <w:rFonts w:ascii="Cambria Math" w:hAnsi="Cambria Math" w:eastAsiaTheme="minorEastAsia"/>
                              <w:i/>
                              <w:snapToGrid/>
                              <w:szCs w:val="24"/>
                            </w:rPr>
                          </m:ctrlPr>
                        </m:sSubPr>
                        <m:e>
                          <m:r>
                            <w:rPr>
                              <w:rFonts w:ascii="Cambria Math" w:hAnsi="Cambria Math" w:eastAsiaTheme="minorEastAsia"/>
                              <w:snapToGrid/>
                              <w:szCs w:val="24"/>
                            </w:rPr>
                            <m:t>w</m:t>
                          </m:r>
                        </m:e>
                        <m:sub>
                          <m:r>
                            <w:rPr>
                              <w:rFonts w:ascii="Cambria Math" w:hAnsi="Cambria Math" w:eastAsiaTheme="minorEastAsia"/>
                              <w:snapToGrid/>
                              <w:szCs w:val="24"/>
                            </w:rPr>
                            <m:t>i</m:t>
                          </m:r>
                        </m:sub>
                      </m:sSub>
                    </m:e>
                  </m:nary>
                  <m:sSub>
                    <m:sSubPr>
                      <m:ctrlPr>
                        <w:rPr>
                          <w:rFonts w:ascii="Cambria Math" w:hAnsi="Cambria Math" w:eastAsiaTheme="minorEastAsia"/>
                          <w:i/>
                          <w:snapToGrid/>
                          <w:szCs w:val="24"/>
                        </w:rPr>
                      </m:ctrlPr>
                    </m:sSubPr>
                    <m:e>
                      <m:r>
                        <w:rPr>
                          <w:rFonts w:ascii="Cambria Math" w:hAnsi="Cambria Math" w:eastAsiaTheme="minorEastAsia"/>
                          <w:snapToGrid/>
                          <w:szCs w:val="24"/>
                        </w:rPr>
                        <m:t>t</m:t>
                      </m:r>
                    </m:e>
                    <m:sub>
                      <m:r>
                        <w:rPr>
                          <w:rFonts w:ascii="Cambria Math" w:hAnsi="Cambria Math" w:eastAsiaTheme="minorEastAsia"/>
                          <w:snapToGrid/>
                          <w:szCs w:val="24"/>
                        </w:rPr>
                        <m:t>i</m:t>
                      </m:r>
                    </m:sub>
                  </m:sSub>
                </m:den>
              </m:f>
            </m:e>
          </m:d>
          <m:r>
            <w:rPr>
              <w:rFonts w:ascii="Cambria Math" w:hAnsi="Cambria Math" w:eastAsiaTheme="minorEastAsia"/>
              <w:snapToGrid/>
              <w:szCs w:val="24"/>
            </w:rPr>
            <m:t>×100</m:t>
          </m:r>
        </m:oMath>
      </m:oMathPara>
    </w:p>
    <w:p w:rsidRPr="00917E22" w:rsidR="00466487" w:rsidP="007F1906" w:rsidRDefault="00466487" w14:paraId="2F5C01E8" w14:textId="77777777">
      <w:pPr>
        <w:widowControl/>
        <w:spacing w:after="200" w:line="276" w:lineRule="auto"/>
        <w:ind w:left="2160" w:firstLine="720"/>
        <w:rPr>
          <w:rFonts w:ascii="Times New Roman" w:hAnsi="Times New Roman" w:eastAsiaTheme="minorEastAsia"/>
          <w:snapToGrid/>
          <w:szCs w:val="24"/>
        </w:rPr>
      </w:pPr>
      <m:oMath>
        <m:r>
          <w:rPr>
            <w:rFonts w:ascii="Cambria Math" w:hAnsi="Cambria Math" w:eastAsiaTheme="minorEastAsia"/>
            <w:snapToGrid/>
            <w:szCs w:val="24"/>
          </w:rPr>
          <m:t>TQRR(t)=</m:t>
        </m:r>
        <m:d>
          <m:dPr>
            <m:begChr m:val="["/>
            <m:endChr m:val="]"/>
            <m:ctrlPr>
              <w:rPr>
                <w:rFonts w:ascii="Cambria Math" w:hAnsi="Cambria Math" w:eastAsiaTheme="minorEastAsia"/>
                <w:i/>
                <w:snapToGrid/>
                <w:szCs w:val="24"/>
              </w:rPr>
            </m:ctrlPr>
          </m:dPr>
          <m:e>
            <m:f>
              <m:fPr>
                <m:ctrlPr>
                  <w:rPr>
                    <w:rFonts w:ascii="Cambria Math" w:hAnsi="Cambria Math" w:eastAsiaTheme="minorEastAsia"/>
                    <w:i/>
                    <w:snapToGrid/>
                    <w:szCs w:val="24"/>
                  </w:rPr>
                </m:ctrlPr>
              </m:fPr>
              <m:num>
                <m:nary>
                  <m:naryPr>
                    <m:chr m:val="∑"/>
                    <m:limLoc m:val="undOvr"/>
                    <m:ctrlPr>
                      <w:rPr>
                        <w:rFonts w:ascii="Cambria Math" w:hAnsi="Cambria Math" w:eastAsiaTheme="minorEastAsia"/>
                        <w:i/>
                        <w:snapToGrid/>
                        <w:szCs w:val="24"/>
                      </w:rPr>
                    </m:ctrlPr>
                  </m:naryPr>
                  <m:sub>
                    <m:r>
                      <w:rPr>
                        <w:rFonts w:ascii="Cambria Math" w:hAnsi="Cambria Math" w:eastAsiaTheme="minorEastAsia"/>
                        <w:snapToGrid/>
                        <w:szCs w:val="24"/>
                      </w:rPr>
                      <m:t>i=1</m:t>
                    </m:r>
                  </m:sub>
                  <m:sup>
                    <m:sSub>
                      <m:sSubPr>
                        <m:ctrlPr>
                          <w:rPr>
                            <w:rFonts w:ascii="Cambria Math" w:hAnsi="Cambria Math" w:eastAsiaTheme="minorEastAsia"/>
                            <w:i/>
                            <w:snapToGrid/>
                            <w:szCs w:val="24"/>
                          </w:rPr>
                        </m:ctrlPr>
                      </m:sSubPr>
                      <m:e>
                        <m:r>
                          <w:rPr>
                            <w:rFonts w:ascii="Cambria Math" w:hAnsi="Cambria Math" w:eastAsiaTheme="minorEastAsia"/>
                            <w:snapToGrid/>
                            <w:szCs w:val="24"/>
                          </w:rPr>
                          <m:t>N</m:t>
                        </m:r>
                      </m:e>
                      <m:sub>
                        <m:r>
                          <w:rPr>
                            <w:rFonts w:ascii="Cambria Math" w:hAnsi="Cambria Math" w:eastAsiaTheme="minorEastAsia"/>
                            <w:snapToGrid/>
                            <w:szCs w:val="24"/>
                          </w:rPr>
                          <m:t>T</m:t>
                        </m:r>
                      </m:sub>
                    </m:sSub>
                  </m:sup>
                  <m:e>
                    <m:sSub>
                      <m:sSubPr>
                        <m:ctrlPr>
                          <w:rPr>
                            <w:rFonts w:ascii="Cambria Math" w:hAnsi="Cambria Math" w:eastAsiaTheme="minorEastAsia"/>
                            <w:i/>
                            <w:snapToGrid/>
                            <w:szCs w:val="24"/>
                          </w:rPr>
                        </m:ctrlPr>
                      </m:sSubPr>
                      <m:e>
                        <m:r>
                          <w:rPr>
                            <w:rFonts w:ascii="Cambria Math" w:hAnsi="Cambria Math" w:eastAsiaTheme="minorEastAsia"/>
                            <w:snapToGrid/>
                            <w:szCs w:val="24"/>
                          </w:rPr>
                          <m:t>w</m:t>
                        </m:r>
                      </m:e>
                      <m:sub>
                        <m:r>
                          <w:rPr>
                            <w:rFonts w:ascii="Cambria Math" w:hAnsi="Cambria Math" w:eastAsiaTheme="minorEastAsia"/>
                            <w:snapToGrid/>
                            <w:szCs w:val="24"/>
                          </w:rPr>
                          <m:t>i</m:t>
                        </m:r>
                      </m:sub>
                    </m:sSub>
                    <m:d>
                      <m:dPr>
                        <m:ctrlPr>
                          <w:rPr>
                            <w:rFonts w:ascii="Cambria Math" w:hAnsi="Cambria Math" w:eastAsiaTheme="minorEastAsia"/>
                            <w:i/>
                            <w:snapToGrid/>
                            <w:szCs w:val="24"/>
                          </w:rPr>
                        </m:ctrlPr>
                      </m:dPr>
                      <m:e>
                        <m:sSub>
                          <m:sSubPr>
                            <m:ctrlPr>
                              <w:rPr>
                                <w:rFonts w:ascii="Cambria Math" w:hAnsi="Cambria Math" w:eastAsiaTheme="minorEastAsia"/>
                                <w:i/>
                                <w:snapToGrid/>
                                <w:szCs w:val="24"/>
                              </w:rPr>
                            </m:ctrlPr>
                          </m:sSubPr>
                          <m:e>
                            <m:r>
                              <w:rPr>
                                <w:rFonts w:ascii="Cambria Math" w:hAnsi="Cambria Math" w:eastAsiaTheme="minorEastAsia"/>
                                <w:snapToGrid/>
                                <w:szCs w:val="24"/>
                              </w:rPr>
                              <m:t>r</m:t>
                            </m:r>
                          </m:e>
                          <m:sub>
                            <m:r>
                              <w:rPr>
                                <w:rFonts w:ascii="Cambria Math" w:hAnsi="Cambria Math" w:eastAsiaTheme="minorEastAsia"/>
                                <w:snapToGrid/>
                                <w:szCs w:val="24"/>
                              </w:rPr>
                              <m:t>ti</m:t>
                            </m:r>
                          </m:sub>
                        </m:sSub>
                        <m:r>
                          <w:rPr>
                            <w:rFonts w:ascii="Cambria Math" w:hAnsi="Cambria Math" w:eastAsiaTheme="minorEastAsia"/>
                            <w:snapToGrid/>
                            <w:szCs w:val="24"/>
                          </w:rPr>
                          <m:t>+</m:t>
                        </m:r>
                        <m:sSub>
                          <m:sSubPr>
                            <m:ctrlPr>
                              <w:rPr>
                                <w:rFonts w:ascii="Cambria Math" w:hAnsi="Cambria Math" w:eastAsiaTheme="minorEastAsia"/>
                                <w:i/>
                                <w:snapToGrid/>
                                <w:szCs w:val="24"/>
                              </w:rPr>
                            </m:ctrlPr>
                          </m:sSubPr>
                          <m:e>
                            <m:r>
                              <w:rPr>
                                <w:rFonts w:ascii="Cambria Math" w:hAnsi="Cambria Math" w:eastAsiaTheme="minorEastAsia"/>
                                <w:snapToGrid/>
                                <w:szCs w:val="24"/>
                              </w:rPr>
                              <m:t>q</m:t>
                            </m:r>
                          </m:e>
                          <m:sub>
                            <m:r>
                              <w:rPr>
                                <w:rFonts w:ascii="Cambria Math" w:hAnsi="Cambria Math" w:eastAsiaTheme="minorEastAsia"/>
                                <w:snapToGrid/>
                                <w:szCs w:val="24"/>
                              </w:rPr>
                              <m:t>ti</m:t>
                            </m:r>
                          </m:sub>
                        </m:sSub>
                      </m:e>
                    </m:d>
                    <m:sSub>
                      <m:sSubPr>
                        <m:ctrlPr>
                          <w:rPr>
                            <w:rFonts w:ascii="Cambria Math" w:hAnsi="Cambria Math" w:eastAsiaTheme="minorEastAsia"/>
                            <w:i/>
                            <w:snapToGrid/>
                            <w:szCs w:val="24"/>
                          </w:rPr>
                        </m:ctrlPr>
                      </m:sSubPr>
                      <m:e>
                        <m:r>
                          <w:rPr>
                            <w:rFonts w:ascii="Cambria Math" w:hAnsi="Cambria Math" w:eastAsiaTheme="minorEastAsia"/>
                            <w:snapToGrid/>
                            <w:szCs w:val="24"/>
                          </w:rPr>
                          <m:t>t</m:t>
                        </m:r>
                      </m:e>
                      <m:sub>
                        <m:r>
                          <w:rPr>
                            <w:rFonts w:ascii="Cambria Math" w:hAnsi="Cambria Math" w:eastAsiaTheme="minorEastAsia"/>
                            <w:snapToGrid/>
                            <w:szCs w:val="24"/>
                          </w:rPr>
                          <m:t>i</m:t>
                        </m:r>
                      </m:sub>
                    </m:sSub>
                  </m:e>
                </m:nary>
              </m:num>
              <m:den>
                <m:nary>
                  <m:naryPr>
                    <m:chr m:val="∑"/>
                    <m:limLoc m:val="undOvr"/>
                    <m:ctrlPr>
                      <w:rPr>
                        <w:rFonts w:ascii="Cambria Math" w:hAnsi="Cambria Math" w:eastAsiaTheme="minorEastAsia"/>
                        <w:i/>
                        <w:snapToGrid/>
                        <w:szCs w:val="24"/>
                      </w:rPr>
                    </m:ctrlPr>
                  </m:naryPr>
                  <m:sub>
                    <m:r>
                      <w:rPr>
                        <w:rFonts w:ascii="Cambria Math" w:hAnsi="Cambria Math" w:eastAsiaTheme="minorEastAsia"/>
                        <w:snapToGrid/>
                        <w:szCs w:val="24"/>
                      </w:rPr>
                      <m:t>i=1</m:t>
                    </m:r>
                  </m:sub>
                  <m:sup>
                    <m:sSub>
                      <m:sSubPr>
                        <m:ctrlPr>
                          <w:rPr>
                            <w:rFonts w:ascii="Cambria Math" w:hAnsi="Cambria Math" w:eastAsiaTheme="minorEastAsia"/>
                            <w:i/>
                            <w:snapToGrid/>
                            <w:szCs w:val="24"/>
                          </w:rPr>
                        </m:ctrlPr>
                      </m:sSubPr>
                      <m:e>
                        <m:r>
                          <w:rPr>
                            <w:rFonts w:ascii="Cambria Math" w:hAnsi="Cambria Math" w:eastAsiaTheme="minorEastAsia"/>
                            <w:snapToGrid/>
                            <w:szCs w:val="24"/>
                          </w:rPr>
                          <m:t>N</m:t>
                        </m:r>
                      </m:e>
                      <m:sub>
                        <m:r>
                          <w:rPr>
                            <w:rFonts w:ascii="Cambria Math" w:hAnsi="Cambria Math" w:eastAsiaTheme="minorEastAsia"/>
                            <w:snapToGrid/>
                            <w:szCs w:val="24"/>
                          </w:rPr>
                          <m:t>T</m:t>
                        </m:r>
                      </m:sub>
                    </m:sSub>
                  </m:sup>
                  <m:e>
                    <m:sSub>
                      <m:sSubPr>
                        <m:ctrlPr>
                          <w:rPr>
                            <w:rFonts w:ascii="Cambria Math" w:hAnsi="Cambria Math" w:eastAsiaTheme="minorEastAsia"/>
                            <w:i/>
                            <w:snapToGrid/>
                            <w:szCs w:val="24"/>
                          </w:rPr>
                        </m:ctrlPr>
                      </m:sSubPr>
                      <m:e>
                        <m:r>
                          <w:rPr>
                            <w:rFonts w:ascii="Cambria Math" w:hAnsi="Cambria Math" w:eastAsiaTheme="minorEastAsia"/>
                            <w:snapToGrid/>
                            <w:szCs w:val="24"/>
                          </w:rPr>
                          <m:t>w</m:t>
                        </m:r>
                      </m:e>
                      <m:sub>
                        <m:r>
                          <w:rPr>
                            <w:rFonts w:ascii="Cambria Math" w:hAnsi="Cambria Math" w:eastAsiaTheme="minorEastAsia"/>
                            <w:snapToGrid/>
                            <w:szCs w:val="24"/>
                          </w:rPr>
                          <m:t>i</m:t>
                        </m:r>
                      </m:sub>
                    </m:sSub>
                  </m:e>
                </m:nary>
                <m:sSub>
                  <m:sSubPr>
                    <m:ctrlPr>
                      <w:rPr>
                        <w:rFonts w:ascii="Cambria Math" w:hAnsi="Cambria Math" w:eastAsiaTheme="minorEastAsia"/>
                        <w:i/>
                        <w:snapToGrid/>
                        <w:szCs w:val="24"/>
                      </w:rPr>
                    </m:ctrlPr>
                  </m:sSubPr>
                  <m:e>
                    <m:r>
                      <w:rPr>
                        <w:rFonts w:ascii="Cambria Math" w:hAnsi="Cambria Math" w:eastAsiaTheme="minorEastAsia"/>
                        <w:snapToGrid/>
                        <w:szCs w:val="24"/>
                      </w:rPr>
                      <m:t>t</m:t>
                    </m:r>
                  </m:e>
                  <m:sub>
                    <m:r>
                      <w:rPr>
                        <w:rFonts w:ascii="Cambria Math" w:hAnsi="Cambria Math" w:eastAsiaTheme="minorEastAsia"/>
                        <w:snapToGrid/>
                        <w:szCs w:val="24"/>
                      </w:rPr>
                      <m:t>i</m:t>
                    </m:r>
                  </m:sub>
                </m:sSub>
              </m:den>
            </m:f>
          </m:e>
        </m:d>
        <m:r>
          <w:rPr>
            <w:rFonts w:ascii="Cambria Math" w:hAnsi="Cambria Math" w:eastAsiaTheme="minorEastAsia"/>
            <w:snapToGrid/>
            <w:szCs w:val="24"/>
          </w:rPr>
          <m:t>×100</m:t>
        </m:r>
      </m:oMath>
      <w:r w:rsidRPr="00917E22">
        <w:rPr>
          <w:rFonts w:ascii="Times New Roman" w:hAnsi="Times New Roman" w:eastAsiaTheme="minorEastAsia"/>
          <w:snapToGrid/>
          <w:szCs w:val="24"/>
        </w:rPr>
        <w:t>,</w:t>
      </w:r>
    </w:p>
    <w:p w:rsidR="000A0397" w:rsidP="009E1CB5" w:rsidRDefault="000A0397" w14:paraId="363F0628" w14:textId="77777777">
      <w:pPr>
        <w:pStyle w:val="ListParagraph"/>
        <w:rPr>
          <w:rFonts w:ascii="Times New Roman" w:hAnsi="Times New Roman" w:eastAsiaTheme="minorEastAsia"/>
          <w:snapToGrid/>
        </w:rPr>
      </w:pPr>
    </w:p>
    <w:p w:rsidRPr="00917E22" w:rsidR="00466487" w:rsidP="009E1CB5" w:rsidRDefault="00466487" w14:paraId="77C1E7B6" w14:textId="1CEC7486">
      <w:pPr>
        <w:pStyle w:val="ListParagraph"/>
        <w:rPr>
          <w:rFonts w:ascii="Times New Roman" w:hAnsi="Times New Roman" w:eastAsiaTheme="minorEastAsia"/>
          <w:snapToGrid/>
        </w:rPr>
      </w:pPr>
      <w:r w:rsidRPr="00917E22">
        <w:rPr>
          <w:rFonts w:ascii="Times New Roman" w:hAnsi="Times New Roman" w:eastAsiaTheme="minorEastAsia"/>
          <w:snapToGrid/>
        </w:rPr>
        <w:lastRenderedPageBreak/>
        <w:t>where</w:t>
      </w:r>
    </w:p>
    <w:p w:rsidRPr="00917E22" w:rsidR="00466487" w:rsidP="00B45489" w:rsidRDefault="00466487" w14:paraId="64E3276D" w14:textId="77777777">
      <w:pPr>
        <w:pStyle w:val="ListParagraph"/>
        <w:ind w:firstLine="720"/>
        <w:rPr>
          <w:rFonts w:ascii="Times New Roman" w:hAnsi="Times New Roman" w:eastAsiaTheme="minorEastAsia"/>
          <w:snapToGrid/>
        </w:rPr>
      </w:pPr>
      <w:r w:rsidRPr="00917E22">
        <w:rPr>
          <w:rFonts w:ascii="Times New Roman" w:hAnsi="Times New Roman" w:eastAsiaTheme="minorEastAsia"/>
          <w:i/>
          <w:snapToGrid/>
        </w:rPr>
        <w:t>w</w:t>
      </w:r>
      <w:r w:rsidRPr="00917E22">
        <w:rPr>
          <w:rFonts w:ascii="Times New Roman" w:hAnsi="Times New Roman" w:eastAsiaTheme="minorEastAsia"/>
          <w:i/>
          <w:snapToGrid/>
          <w:vertAlign w:val="subscript"/>
        </w:rPr>
        <w:t>i</w:t>
      </w:r>
      <w:r w:rsidRPr="00917E22">
        <w:rPr>
          <w:rFonts w:ascii="Times New Roman" w:hAnsi="Times New Roman" w:eastAsiaTheme="minorEastAsia"/>
          <w:snapToGrid/>
        </w:rPr>
        <w:t xml:space="preserve"> is the design weight of tabulating unit </w:t>
      </w:r>
      <w:r w:rsidRPr="00917E22">
        <w:rPr>
          <w:rFonts w:ascii="Times New Roman" w:hAnsi="Times New Roman" w:eastAsiaTheme="minorEastAsia"/>
          <w:i/>
          <w:snapToGrid/>
        </w:rPr>
        <w:t>i</w:t>
      </w:r>
      <w:r w:rsidRPr="00917E22">
        <w:rPr>
          <w:rFonts w:ascii="Times New Roman" w:hAnsi="Times New Roman" w:eastAsiaTheme="minorEastAsia"/>
          <w:snapToGrid/>
        </w:rPr>
        <w:t xml:space="preserve">, </w:t>
      </w:r>
    </w:p>
    <w:p w:rsidRPr="00917E22" w:rsidR="00B45489" w:rsidP="00B45489" w:rsidRDefault="00B45489" w14:paraId="796C799B" w14:textId="77777777">
      <w:pPr>
        <w:pStyle w:val="ListParagraph"/>
        <w:ind w:firstLine="720"/>
        <w:rPr>
          <w:rFonts w:ascii="Times New Roman" w:hAnsi="Times New Roman" w:eastAsiaTheme="minorEastAsia"/>
          <w:snapToGrid/>
        </w:rPr>
      </w:pPr>
    </w:p>
    <w:p w:rsidRPr="00917E22" w:rsidR="00466487" w:rsidP="00B45489" w:rsidRDefault="00466487" w14:paraId="5182168F" w14:textId="77777777">
      <w:pPr>
        <w:pStyle w:val="ListParagraph"/>
        <w:ind w:left="1440"/>
        <w:rPr>
          <w:rFonts w:ascii="Times New Roman" w:hAnsi="Times New Roman" w:eastAsiaTheme="minorEastAsia"/>
          <w:snapToGrid/>
        </w:rPr>
      </w:pPr>
      <w:r w:rsidRPr="00917E22">
        <w:rPr>
          <w:rFonts w:ascii="Times New Roman" w:hAnsi="Times New Roman" w:eastAsiaTheme="minorEastAsia"/>
          <w:i/>
          <w:snapToGrid/>
        </w:rPr>
        <w:t>r</w:t>
      </w:r>
      <w:r w:rsidRPr="00917E22">
        <w:rPr>
          <w:rFonts w:ascii="Times New Roman" w:hAnsi="Times New Roman" w:eastAsiaTheme="minorEastAsia"/>
          <w:i/>
          <w:snapToGrid/>
          <w:vertAlign w:val="subscript"/>
        </w:rPr>
        <w:t>ti</w:t>
      </w:r>
      <w:r w:rsidRPr="00917E22">
        <w:rPr>
          <w:rFonts w:ascii="Times New Roman" w:hAnsi="Times New Roman" w:eastAsiaTheme="minorEastAsia"/>
          <w:snapToGrid/>
        </w:rPr>
        <w:t xml:space="preserve"> is the indicator variable for reported data for tabulating unit </w:t>
      </w:r>
      <w:r w:rsidRPr="00917E22">
        <w:rPr>
          <w:rFonts w:ascii="Times New Roman" w:hAnsi="Times New Roman" w:eastAsiaTheme="minorEastAsia"/>
          <w:i/>
          <w:snapToGrid/>
        </w:rPr>
        <w:t>i</w:t>
      </w:r>
      <w:r w:rsidRPr="00917E22">
        <w:rPr>
          <w:rFonts w:ascii="Times New Roman" w:hAnsi="Times New Roman" w:eastAsiaTheme="minorEastAsia"/>
          <w:snapToGrid/>
        </w:rPr>
        <w:t xml:space="preserve"> and data item </w:t>
      </w:r>
      <w:r w:rsidRPr="00917E22">
        <w:rPr>
          <w:rFonts w:ascii="Times New Roman" w:hAnsi="Times New Roman" w:eastAsiaTheme="minorEastAsia"/>
          <w:i/>
          <w:snapToGrid/>
        </w:rPr>
        <w:t>t</w:t>
      </w:r>
      <w:r w:rsidRPr="00917E22">
        <w:rPr>
          <w:rFonts w:ascii="Times New Roman" w:hAnsi="Times New Roman" w:eastAsiaTheme="minorEastAsia"/>
          <w:snapToGrid/>
        </w:rPr>
        <w:t xml:space="preserve">, </w:t>
      </w:r>
    </w:p>
    <w:p w:rsidRPr="00917E22" w:rsidR="00B45489" w:rsidP="00B45489" w:rsidRDefault="00B45489" w14:paraId="06A8517B" w14:textId="77777777">
      <w:pPr>
        <w:pStyle w:val="ListParagraph"/>
        <w:ind w:left="1440"/>
        <w:rPr>
          <w:rFonts w:ascii="Times New Roman" w:hAnsi="Times New Roman" w:eastAsiaTheme="minorEastAsia"/>
          <w:snapToGrid/>
        </w:rPr>
      </w:pPr>
    </w:p>
    <w:p w:rsidRPr="00917E22" w:rsidR="00466487" w:rsidP="00B45489" w:rsidRDefault="00466487" w14:paraId="024A93E2" w14:textId="77777777">
      <w:pPr>
        <w:pStyle w:val="ListParagraph"/>
        <w:ind w:left="1440"/>
        <w:rPr>
          <w:rFonts w:ascii="Times New Roman" w:hAnsi="Times New Roman" w:eastAsiaTheme="minorEastAsia"/>
          <w:snapToGrid/>
        </w:rPr>
      </w:pPr>
      <w:r w:rsidRPr="00917E22">
        <w:rPr>
          <w:rFonts w:ascii="Times New Roman" w:hAnsi="Times New Roman" w:eastAsiaTheme="minorEastAsia"/>
          <w:i/>
          <w:snapToGrid/>
        </w:rPr>
        <w:t>q</w:t>
      </w:r>
      <w:r w:rsidRPr="00917E22">
        <w:rPr>
          <w:rFonts w:ascii="Times New Roman" w:hAnsi="Times New Roman" w:eastAsiaTheme="minorEastAsia"/>
          <w:i/>
          <w:snapToGrid/>
          <w:vertAlign w:val="subscript"/>
        </w:rPr>
        <w:t xml:space="preserve">ti </w:t>
      </w:r>
      <w:r w:rsidRPr="00917E22">
        <w:rPr>
          <w:rFonts w:ascii="Times New Roman" w:hAnsi="Times New Roman" w:eastAsiaTheme="minorEastAsia"/>
          <w:snapToGrid/>
        </w:rPr>
        <w:t xml:space="preserve">is the indicator variable for equivalent quality data sources for tabulating unit </w:t>
      </w:r>
      <w:r w:rsidRPr="00917E22">
        <w:rPr>
          <w:rFonts w:ascii="Times New Roman" w:hAnsi="Times New Roman" w:eastAsiaTheme="minorEastAsia"/>
          <w:i/>
          <w:snapToGrid/>
        </w:rPr>
        <w:t>i</w:t>
      </w:r>
      <w:r w:rsidRPr="00917E22">
        <w:rPr>
          <w:rFonts w:ascii="Times New Roman" w:hAnsi="Times New Roman" w:eastAsiaTheme="minorEastAsia"/>
          <w:snapToGrid/>
        </w:rPr>
        <w:t xml:space="preserve"> and item </w:t>
      </w:r>
      <w:r w:rsidRPr="00917E22">
        <w:rPr>
          <w:rFonts w:ascii="Times New Roman" w:hAnsi="Times New Roman" w:eastAsiaTheme="minorEastAsia"/>
          <w:i/>
          <w:snapToGrid/>
        </w:rPr>
        <w:t>t</w:t>
      </w:r>
      <w:r w:rsidRPr="00917E22">
        <w:rPr>
          <w:rFonts w:ascii="Times New Roman" w:hAnsi="Times New Roman" w:eastAsiaTheme="minorEastAsia"/>
          <w:snapToGrid/>
        </w:rPr>
        <w:t>,</w:t>
      </w:r>
    </w:p>
    <w:p w:rsidRPr="00917E22" w:rsidR="00B45489" w:rsidP="00B45489" w:rsidRDefault="00B45489" w14:paraId="0218016C" w14:textId="77777777">
      <w:pPr>
        <w:pStyle w:val="ListParagraph"/>
        <w:ind w:left="1440"/>
        <w:rPr>
          <w:rFonts w:ascii="Times New Roman" w:hAnsi="Times New Roman" w:eastAsiaTheme="minorEastAsia"/>
          <w:snapToGrid/>
        </w:rPr>
      </w:pPr>
    </w:p>
    <w:p w:rsidRPr="00917E22" w:rsidR="00466487" w:rsidP="00B45489" w:rsidRDefault="00466487" w14:paraId="6DFB482D" w14:textId="77777777">
      <w:pPr>
        <w:pStyle w:val="ListParagraph"/>
        <w:ind w:left="1440"/>
        <w:rPr>
          <w:rFonts w:ascii="Times New Roman" w:hAnsi="Times New Roman" w:eastAsiaTheme="minorEastAsia"/>
          <w:snapToGrid/>
        </w:rPr>
      </w:pPr>
      <w:r w:rsidRPr="00917E22">
        <w:rPr>
          <w:rFonts w:ascii="Times New Roman" w:hAnsi="Times New Roman" w:eastAsiaTheme="minorEastAsia"/>
          <w:i/>
          <w:snapToGrid/>
        </w:rPr>
        <w:t>t</w:t>
      </w:r>
      <w:r w:rsidRPr="00917E22">
        <w:rPr>
          <w:rFonts w:ascii="Times New Roman" w:hAnsi="Times New Roman" w:eastAsiaTheme="minorEastAsia"/>
          <w:i/>
          <w:snapToGrid/>
          <w:vertAlign w:val="subscript"/>
        </w:rPr>
        <w:t>i</w:t>
      </w:r>
      <w:r w:rsidRPr="00917E22">
        <w:rPr>
          <w:rFonts w:ascii="Times New Roman" w:hAnsi="Times New Roman" w:eastAsiaTheme="minorEastAsia"/>
          <w:snapToGrid/>
        </w:rPr>
        <w:t xml:space="preserve"> is the data value for tabulating unit </w:t>
      </w:r>
      <w:r w:rsidRPr="00917E22">
        <w:rPr>
          <w:rFonts w:ascii="Times New Roman" w:hAnsi="Times New Roman" w:eastAsiaTheme="minorEastAsia"/>
          <w:i/>
          <w:snapToGrid/>
        </w:rPr>
        <w:t>i</w:t>
      </w:r>
      <w:r w:rsidRPr="00917E22">
        <w:rPr>
          <w:rFonts w:ascii="Times New Roman" w:hAnsi="Times New Roman" w:eastAsiaTheme="minorEastAsia"/>
          <w:snapToGrid/>
        </w:rPr>
        <w:t>, and</w:t>
      </w:r>
    </w:p>
    <w:p w:rsidRPr="00917E22" w:rsidR="00B45489" w:rsidP="00B45489" w:rsidRDefault="00B45489" w14:paraId="5C0CE32C" w14:textId="77777777">
      <w:pPr>
        <w:pStyle w:val="ListParagraph"/>
        <w:ind w:left="1440"/>
        <w:rPr>
          <w:rFonts w:ascii="Times New Roman" w:hAnsi="Times New Roman" w:eastAsiaTheme="minorEastAsia"/>
          <w:snapToGrid/>
        </w:rPr>
      </w:pPr>
    </w:p>
    <w:p w:rsidRPr="00917E22" w:rsidR="00466487" w:rsidP="00B45489" w:rsidRDefault="00466487" w14:paraId="7573F8DB" w14:textId="77777777">
      <w:pPr>
        <w:pStyle w:val="ListParagraph"/>
        <w:ind w:left="1440"/>
        <w:rPr>
          <w:rFonts w:ascii="Times New Roman" w:hAnsi="Times New Roman" w:eastAsiaTheme="minorEastAsia"/>
          <w:snapToGrid/>
        </w:rPr>
      </w:pPr>
      <w:r w:rsidRPr="00917E22">
        <w:rPr>
          <w:rFonts w:ascii="Times New Roman" w:hAnsi="Times New Roman" w:eastAsiaTheme="minorEastAsia"/>
          <w:i/>
          <w:snapToGrid/>
        </w:rPr>
        <w:t>N</w:t>
      </w:r>
      <w:r w:rsidRPr="00917E22">
        <w:rPr>
          <w:rFonts w:ascii="Times New Roman" w:hAnsi="Times New Roman" w:eastAsiaTheme="minorEastAsia"/>
          <w:i/>
          <w:snapToGrid/>
          <w:vertAlign w:val="subscript"/>
        </w:rPr>
        <w:t>T</w:t>
      </w:r>
      <w:r w:rsidRPr="00917E22">
        <w:rPr>
          <w:rFonts w:ascii="Times New Roman" w:hAnsi="Times New Roman" w:eastAsiaTheme="minorEastAsia"/>
          <w:snapToGrid/>
        </w:rPr>
        <w:t xml:space="preserve"> is the total number of eligible tabulating units.</w:t>
      </w:r>
    </w:p>
    <w:p w:rsidRPr="00917E22" w:rsidR="00B45489" w:rsidP="00B45489" w:rsidRDefault="00B45489" w14:paraId="7D1EDCA5" w14:textId="77777777">
      <w:pPr>
        <w:pStyle w:val="ListParagraph"/>
        <w:ind w:left="1440"/>
        <w:rPr>
          <w:rFonts w:ascii="Times New Roman" w:hAnsi="Times New Roman" w:eastAsiaTheme="minorEastAsia"/>
          <w:snapToGrid/>
        </w:rPr>
      </w:pPr>
    </w:p>
    <w:p w:rsidRPr="00917E22" w:rsidR="00466487" w:rsidP="00B45489" w:rsidRDefault="004F41C0" w14:paraId="2403A625" w14:textId="6E5050B8">
      <w:pPr>
        <w:pStyle w:val="ListParagraph"/>
        <w:rPr>
          <w:rFonts w:ascii="Times New Roman" w:hAnsi="Times New Roman" w:eastAsiaTheme="minorEastAsia"/>
          <w:snapToGrid/>
        </w:rPr>
      </w:pPr>
      <w:r w:rsidRPr="00917E22">
        <w:rPr>
          <w:rFonts w:ascii="Times New Roman" w:hAnsi="Times New Roman" w:eastAsiaTheme="minorEastAsia"/>
          <w:snapToGrid/>
        </w:rPr>
        <w:t xml:space="preserve">The TQRR(t) and QRR(t) are </w:t>
      </w:r>
      <w:r w:rsidRPr="00917E22" w:rsidR="00466487">
        <w:rPr>
          <w:rFonts w:ascii="Times New Roman" w:hAnsi="Times New Roman" w:eastAsiaTheme="minorEastAsia"/>
          <w:snapToGrid/>
        </w:rPr>
        <w:t xml:space="preserve">weighted item response rates for data item t. QRRs and TQRRs will be calculated post-collection for the following data items: </w:t>
      </w:r>
      <w:r w:rsidRPr="00917E22" w:rsidR="00677560">
        <w:rPr>
          <w:rFonts w:ascii="Times New Roman" w:hAnsi="Times New Roman" w:eastAsiaTheme="minorEastAsia"/>
          <w:snapToGrid/>
        </w:rPr>
        <w:t>value of shipments/</w:t>
      </w:r>
      <w:r w:rsidRPr="00917E22" w:rsidR="00466487">
        <w:rPr>
          <w:rFonts w:ascii="Times New Roman" w:hAnsi="Times New Roman" w:eastAsiaTheme="minorEastAsia"/>
          <w:snapToGrid/>
        </w:rPr>
        <w:t>receipts</w:t>
      </w:r>
      <w:r w:rsidRPr="00917E22" w:rsidR="00677560">
        <w:rPr>
          <w:rFonts w:ascii="Times New Roman" w:hAnsi="Times New Roman" w:eastAsiaTheme="minorEastAsia"/>
          <w:snapToGrid/>
        </w:rPr>
        <w:t>/revenue/sales</w:t>
      </w:r>
      <w:r w:rsidRPr="00917E22" w:rsidR="00466487">
        <w:rPr>
          <w:rFonts w:ascii="Times New Roman" w:hAnsi="Times New Roman" w:eastAsiaTheme="minorEastAsia"/>
          <w:snapToGrid/>
        </w:rPr>
        <w:t xml:space="preserve">, payroll, and number of employees. </w:t>
      </w:r>
    </w:p>
    <w:p w:rsidRPr="00917E22" w:rsidR="00832987" w:rsidP="00B45489" w:rsidRDefault="00832987" w14:paraId="3B09AB30" w14:textId="77777777">
      <w:pPr>
        <w:pStyle w:val="ListParagraph"/>
        <w:rPr>
          <w:rFonts w:ascii="Times New Roman" w:hAnsi="Times New Roman" w:eastAsiaTheme="minorEastAsia"/>
          <w:snapToGrid/>
        </w:rPr>
      </w:pPr>
    </w:p>
    <w:p w:rsidR="00466487" w:rsidP="009E1CB5" w:rsidRDefault="00466487" w14:paraId="7CF930CB" w14:textId="1386BA19">
      <w:pPr>
        <w:pStyle w:val="ListParagraph"/>
        <w:rPr>
          <w:rFonts w:ascii="Times New Roman" w:hAnsi="Times New Roman" w:eastAsiaTheme="minorEastAsia"/>
          <w:snapToGrid/>
        </w:rPr>
      </w:pPr>
      <w:r w:rsidRPr="00917E22">
        <w:rPr>
          <w:rFonts w:ascii="Times New Roman" w:hAnsi="Times New Roman" w:eastAsiaTheme="minorEastAsia"/>
          <w:snapToGrid/>
        </w:rPr>
        <w:t xml:space="preserve">As with the URR, quantity response measures cannot be calculated during data collection, because the final source of the tabulated data is not determined until after collection is completed, during the post-collection processing. Additionally, quantity response measures are based on tabulating units instead of reporting units. Therefore, proxy QRR and TQRR metrics that use an appropriate measure of size characteristic, such as administrative annual payroll, will be calculated periodically during data collection to monitor the proportion of total administrative payroll represented by respondents, defined according to the same criteria used for the Proxy URR. </w:t>
      </w:r>
    </w:p>
    <w:p w:rsidR="006C1A00" w:rsidP="009E1CB5" w:rsidRDefault="006C1A00" w14:paraId="7C5C8FED" w14:textId="060A73EF">
      <w:pPr>
        <w:pStyle w:val="ListParagraph"/>
        <w:rPr>
          <w:rFonts w:ascii="Times New Roman" w:hAnsi="Times New Roman" w:eastAsiaTheme="minorEastAsia"/>
          <w:snapToGrid/>
        </w:rPr>
      </w:pPr>
    </w:p>
    <w:p w:rsidRPr="00917E22" w:rsidR="006C1A00" w:rsidP="00A00778" w:rsidRDefault="006C1A00" w14:paraId="633DB9B5" w14:textId="18079FF4">
      <w:pPr>
        <w:pStyle w:val="BodyText"/>
        <w:ind w:left="720"/>
        <w:rPr>
          <w:rFonts w:ascii="Times New Roman" w:hAnsi="Times New Roman"/>
          <w:sz w:val="24"/>
          <w:szCs w:val="24"/>
        </w:rPr>
      </w:pPr>
      <w:r>
        <w:rPr>
          <w:rFonts w:ascii="Times New Roman" w:hAnsi="Times New Roman"/>
          <w:sz w:val="24"/>
          <w:szCs w:val="24"/>
        </w:rPr>
        <w:t>W</w:t>
      </w:r>
      <w:r w:rsidRPr="00766BAD">
        <w:rPr>
          <w:rFonts w:ascii="Times New Roman" w:hAnsi="Times New Roman"/>
          <w:sz w:val="24"/>
          <w:szCs w:val="24"/>
        </w:rPr>
        <w:t xml:space="preserve">e </w:t>
      </w:r>
      <w:r w:rsidR="00C87E66">
        <w:rPr>
          <w:rFonts w:ascii="Times New Roman" w:hAnsi="Times New Roman"/>
          <w:sz w:val="24"/>
          <w:szCs w:val="24"/>
        </w:rPr>
        <w:t>endeavor</w:t>
      </w:r>
      <w:r w:rsidRPr="00766BAD" w:rsidR="00C87E66">
        <w:rPr>
          <w:rFonts w:ascii="Times New Roman" w:hAnsi="Times New Roman"/>
          <w:sz w:val="24"/>
          <w:szCs w:val="24"/>
        </w:rPr>
        <w:t xml:space="preserve"> </w:t>
      </w:r>
      <w:r w:rsidRPr="00766BAD">
        <w:rPr>
          <w:rFonts w:ascii="Times New Roman" w:hAnsi="Times New Roman"/>
          <w:sz w:val="24"/>
          <w:szCs w:val="24"/>
        </w:rPr>
        <w:t>to maintain or improve the 2017 Economic Census unit response rate and percent check-in for the Stateside component (71.7 percent unit response rate and 75.1 percent check-in rate) and Island Areas component (</w:t>
      </w:r>
      <w:r w:rsidR="00474F00">
        <w:rPr>
          <w:rFonts w:ascii="Times New Roman" w:hAnsi="Times New Roman"/>
          <w:sz w:val="24"/>
          <w:szCs w:val="24"/>
        </w:rPr>
        <w:t>71.1</w:t>
      </w:r>
      <w:r w:rsidRPr="00766BAD" w:rsidR="00474F00">
        <w:rPr>
          <w:rFonts w:ascii="Times New Roman" w:hAnsi="Times New Roman"/>
          <w:sz w:val="24"/>
          <w:szCs w:val="24"/>
        </w:rPr>
        <w:t xml:space="preserve"> </w:t>
      </w:r>
      <w:r w:rsidRPr="00766BAD">
        <w:rPr>
          <w:rFonts w:ascii="Times New Roman" w:hAnsi="Times New Roman"/>
          <w:sz w:val="24"/>
          <w:szCs w:val="24"/>
        </w:rPr>
        <w:t xml:space="preserve">percent unit response rate and </w:t>
      </w:r>
      <w:r>
        <w:rPr>
          <w:rFonts w:ascii="Times New Roman" w:hAnsi="Times New Roman"/>
          <w:sz w:val="24"/>
          <w:szCs w:val="24"/>
        </w:rPr>
        <w:t>73.7</w:t>
      </w:r>
      <w:r w:rsidRPr="00766BAD">
        <w:rPr>
          <w:rFonts w:ascii="Times New Roman" w:hAnsi="Times New Roman"/>
          <w:sz w:val="24"/>
          <w:szCs w:val="24"/>
        </w:rPr>
        <w:t xml:space="preserve"> percent check-in rate).</w:t>
      </w:r>
    </w:p>
    <w:p w:rsidRPr="00917E22" w:rsidR="006C1A00" w:rsidP="009E1CB5" w:rsidRDefault="006C1A00" w14:paraId="5A0E3C9D" w14:textId="77777777">
      <w:pPr>
        <w:pStyle w:val="ListParagraph"/>
        <w:rPr>
          <w:rFonts w:ascii="Times New Roman" w:hAnsi="Times New Roman" w:eastAsiaTheme="minorEastAsia"/>
          <w:snapToGrid/>
        </w:rPr>
      </w:pPr>
    </w:p>
    <w:p w:rsidRPr="00917E22" w:rsidR="00A3145E" w:rsidP="008F6A47" w:rsidRDefault="00A3145E" w14:paraId="63629976" w14:textId="77777777">
      <w:pPr>
        <w:tabs>
          <w:tab w:val="left" w:pos="-1440"/>
        </w:tabs>
        <w:rPr>
          <w:rFonts w:ascii="Times New Roman" w:hAnsi="Times New Roman"/>
          <w:szCs w:val="24"/>
        </w:rPr>
      </w:pPr>
    </w:p>
    <w:p w:rsidRPr="00917E22" w:rsidR="00CA73D8" w:rsidP="00E55313" w:rsidRDefault="00914CFF" w14:paraId="58A623C6" w14:textId="77777777">
      <w:pPr>
        <w:tabs>
          <w:tab w:val="left" w:pos="-1440"/>
        </w:tabs>
        <w:ind w:left="360" w:hanging="360"/>
        <w:rPr>
          <w:rFonts w:ascii="Times New Roman" w:hAnsi="Times New Roman"/>
          <w:szCs w:val="24"/>
        </w:rPr>
      </w:pPr>
      <w:r w:rsidRPr="00917E22">
        <w:rPr>
          <w:rFonts w:ascii="Times New Roman" w:hAnsi="Times New Roman"/>
          <w:szCs w:val="24"/>
        </w:rPr>
        <w:t>2</w:t>
      </w:r>
      <w:r w:rsidRPr="00917E22" w:rsidR="00CA73D8">
        <w:rPr>
          <w:rFonts w:ascii="Times New Roman" w:hAnsi="Times New Roman"/>
          <w:szCs w:val="24"/>
        </w:rPr>
        <w:t>.</w:t>
      </w:r>
      <w:r w:rsidRPr="00917E22" w:rsidR="00CA73D8">
        <w:rPr>
          <w:rFonts w:ascii="Times New Roman" w:hAnsi="Times New Roman"/>
          <w:szCs w:val="24"/>
        </w:rPr>
        <w:tab/>
      </w:r>
      <w:r w:rsidRPr="00917E22" w:rsidR="00CA73D8">
        <w:rPr>
          <w:rFonts w:ascii="Times New Roman" w:hAnsi="Times New Roman"/>
          <w:b/>
          <w:szCs w:val="24"/>
        </w:rPr>
        <w:t>Sampling Methodology and Estimation Procedures</w:t>
      </w:r>
    </w:p>
    <w:p w:rsidRPr="00917E22" w:rsidR="00CA73D8" w:rsidRDefault="00CA73D8" w14:paraId="78B74FF2" w14:textId="77777777">
      <w:pPr>
        <w:rPr>
          <w:rFonts w:ascii="Times New Roman" w:hAnsi="Times New Roman"/>
          <w:szCs w:val="24"/>
        </w:rPr>
      </w:pPr>
    </w:p>
    <w:p w:rsidRPr="00917E22" w:rsidR="00CA73D8" w:rsidP="00E55313" w:rsidRDefault="00CA73D8" w14:paraId="2B830222" w14:textId="77777777">
      <w:pPr>
        <w:tabs>
          <w:tab w:val="left" w:pos="-1440"/>
        </w:tabs>
        <w:ind w:left="720" w:hanging="360"/>
        <w:rPr>
          <w:rFonts w:ascii="Times New Roman" w:hAnsi="Times New Roman"/>
          <w:szCs w:val="24"/>
        </w:rPr>
      </w:pPr>
      <w:r w:rsidRPr="00917E22">
        <w:rPr>
          <w:rFonts w:ascii="Times New Roman" w:hAnsi="Times New Roman"/>
          <w:szCs w:val="24"/>
        </w:rPr>
        <w:t>a.</w:t>
      </w:r>
      <w:r w:rsidRPr="00917E22">
        <w:rPr>
          <w:rFonts w:ascii="Times New Roman" w:hAnsi="Times New Roman"/>
          <w:szCs w:val="24"/>
        </w:rPr>
        <w:tab/>
      </w:r>
      <w:r w:rsidRPr="00917E22" w:rsidR="007133CA">
        <w:rPr>
          <w:rFonts w:ascii="Times New Roman" w:hAnsi="Times New Roman"/>
          <w:szCs w:val="24"/>
        </w:rPr>
        <w:t>Sample</w:t>
      </w:r>
      <w:r w:rsidRPr="00917E22">
        <w:rPr>
          <w:rFonts w:ascii="Times New Roman" w:hAnsi="Times New Roman"/>
          <w:szCs w:val="24"/>
        </w:rPr>
        <w:t xml:space="preserve"> Selection Procedures</w:t>
      </w:r>
    </w:p>
    <w:p w:rsidRPr="00917E22" w:rsidR="00CA73D8" w:rsidRDefault="00CA73D8" w14:paraId="5BF598B5" w14:textId="77777777">
      <w:pPr>
        <w:ind w:left="1440"/>
        <w:rPr>
          <w:rFonts w:ascii="Times New Roman" w:hAnsi="Times New Roman"/>
          <w:szCs w:val="24"/>
        </w:rPr>
      </w:pPr>
    </w:p>
    <w:p w:rsidRPr="00917E22" w:rsidR="0035650B" w:rsidP="0035650B" w:rsidRDefault="005A7575" w14:paraId="77F04718" w14:textId="72839ABB">
      <w:pPr>
        <w:spacing w:after="240"/>
        <w:ind w:left="720"/>
        <w:rPr>
          <w:rFonts w:ascii="Times New Roman" w:hAnsi="Times New Roman"/>
          <w:szCs w:val="24"/>
        </w:rPr>
      </w:pPr>
      <w:r w:rsidRPr="00917E22">
        <w:rPr>
          <w:rFonts w:ascii="Times New Roman" w:hAnsi="Times New Roman"/>
          <w:szCs w:val="24"/>
        </w:rPr>
        <w:t>The Economic C</w:t>
      </w:r>
      <w:r w:rsidRPr="00917E22" w:rsidR="00CA73D8">
        <w:rPr>
          <w:rFonts w:ascii="Times New Roman" w:hAnsi="Times New Roman"/>
          <w:szCs w:val="24"/>
        </w:rPr>
        <w:t xml:space="preserve">ensus will select </w:t>
      </w:r>
      <w:r w:rsidRPr="00917E22" w:rsidR="008F1C2A">
        <w:rPr>
          <w:rFonts w:ascii="Times New Roman" w:hAnsi="Times New Roman"/>
          <w:szCs w:val="24"/>
        </w:rPr>
        <w:t>establishments</w:t>
      </w:r>
      <w:r w:rsidRPr="00917E22" w:rsidR="00CA73D8">
        <w:rPr>
          <w:rFonts w:ascii="Times New Roman" w:hAnsi="Times New Roman"/>
          <w:szCs w:val="24"/>
        </w:rPr>
        <w:t xml:space="preserve"> for its </w:t>
      </w:r>
      <w:r w:rsidRPr="00917E22" w:rsidR="00E6221C">
        <w:rPr>
          <w:rFonts w:ascii="Times New Roman" w:hAnsi="Times New Roman"/>
          <w:szCs w:val="24"/>
        </w:rPr>
        <w:t>sample</w:t>
      </w:r>
      <w:r w:rsidRPr="00917E22" w:rsidR="00CA73D8">
        <w:rPr>
          <w:rFonts w:ascii="Times New Roman" w:hAnsi="Times New Roman"/>
          <w:szCs w:val="24"/>
        </w:rPr>
        <w:t xml:space="preserve"> from a frame obtai</w:t>
      </w:r>
      <w:r w:rsidRPr="00917E22" w:rsidR="00383C14">
        <w:rPr>
          <w:rFonts w:ascii="Times New Roman" w:hAnsi="Times New Roman"/>
          <w:szCs w:val="24"/>
        </w:rPr>
        <w:t>ned from the U.S. Census Bureau’</w:t>
      </w:r>
      <w:r w:rsidRPr="00917E22" w:rsidR="00CA73D8">
        <w:rPr>
          <w:rFonts w:ascii="Times New Roman" w:hAnsi="Times New Roman"/>
          <w:szCs w:val="24"/>
        </w:rPr>
        <w:t xml:space="preserve">s Business Register. </w:t>
      </w:r>
      <w:r w:rsidRPr="00917E22" w:rsidR="0035650B">
        <w:rPr>
          <w:rFonts w:ascii="Times New Roman" w:hAnsi="Times New Roman"/>
          <w:szCs w:val="24"/>
        </w:rPr>
        <w:t>The Business Register contains information on the physical location of establishment</w:t>
      </w:r>
      <w:r w:rsidRPr="00917E22" w:rsidR="00125F42">
        <w:rPr>
          <w:rFonts w:ascii="Times New Roman" w:hAnsi="Times New Roman"/>
          <w:szCs w:val="24"/>
        </w:rPr>
        <w:t>s</w:t>
      </w:r>
      <w:r w:rsidRPr="00917E22" w:rsidR="0035650B">
        <w:rPr>
          <w:rFonts w:ascii="Times New Roman" w:hAnsi="Times New Roman"/>
          <w:szCs w:val="24"/>
        </w:rPr>
        <w:t xml:space="preserve">, </w:t>
      </w:r>
      <w:r w:rsidRPr="00917E22" w:rsidR="007A753F">
        <w:rPr>
          <w:rFonts w:ascii="Times New Roman" w:hAnsi="Times New Roman"/>
          <w:szCs w:val="24"/>
        </w:rPr>
        <w:t xml:space="preserve">as well as payroll, employment, </w:t>
      </w:r>
      <w:r w:rsidRPr="00917E22" w:rsidR="007A753F">
        <w:rPr>
          <w:rFonts w:ascii="Times New Roman" w:hAnsi="Times New Roman" w:eastAsiaTheme="minorEastAsia"/>
          <w:snapToGrid/>
        </w:rPr>
        <w:t>value of shipments/receipts/revenue/sales</w:t>
      </w:r>
      <w:r w:rsidRPr="00917E22" w:rsidR="0035650B">
        <w:rPr>
          <w:rFonts w:ascii="Times New Roman" w:hAnsi="Times New Roman"/>
          <w:szCs w:val="24"/>
        </w:rPr>
        <w:t xml:space="preserve">, and industry classification </w:t>
      </w:r>
      <w:r w:rsidRPr="00917E22" w:rsidR="00125F42">
        <w:rPr>
          <w:rFonts w:ascii="Times New Roman" w:hAnsi="Times New Roman"/>
          <w:szCs w:val="24"/>
        </w:rPr>
        <w:t xml:space="preserve">data </w:t>
      </w:r>
      <w:r w:rsidRPr="00917E22" w:rsidR="0035650B">
        <w:rPr>
          <w:rFonts w:ascii="Times New Roman" w:hAnsi="Times New Roman"/>
          <w:szCs w:val="24"/>
        </w:rPr>
        <w:t xml:space="preserve">obtained from prior censuses and surveys or obtained from the administrative records of the IRS and SSA under special arrangements which safeguard the confidentiality of both tax and census records. Information from the Bureau of Labor Statistics on industry classifications are also used to supplement the classification information from </w:t>
      </w:r>
      <w:r w:rsidRPr="00917E22" w:rsidR="00125F42">
        <w:rPr>
          <w:rFonts w:ascii="Times New Roman" w:hAnsi="Times New Roman"/>
          <w:szCs w:val="24"/>
        </w:rPr>
        <w:t xml:space="preserve">the </w:t>
      </w:r>
      <w:r w:rsidRPr="00917E22" w:rsidR="0035650B">
        <w:rPr>
          <w:rFonts w:ascii="Times New Roman" w:hAnsi="Times New Roman"/>
          <w:szCs w:val="24"/>
        </w:rPr>
        <w:t xml:space="preserve">IRS </w:t>
      </w:r>
      <w:r w:rsidRPr="00917E22" w:rsidR="0035650B">
        <w:rPr>
          <w:rFonts w:ascii="Times New Roman" w:hAnsi="Times New Roman"/>
          <w:szCs w:val="24"/>
        </w:rPr>
        <w:lastRenderedPageBreak/>
        <w:t xml:space="preserve">and SSA.  </w:t>
      </w:r>
    </w:p>
    <w:p w:rsidRPr="00917E22" w:rsidR="00E373F1" w:rsidP="0035650B" w:rsidRDefault="00CA73D8" w14:paraId="57E460C6" w14:textId="77777777">
      <w:pPr>
        <w:spacing w:after="240"/>
        <w:ind w:left="720"/>
        <w:rPr>
          <w:rFonts w:ascii="Times New Roman" w:hAnsi="Times New Roman"/>
          <w:szCs w:val="24"/>
        </w:rPr>
      </w:pPr>
      <w:r w:rsidRPr="00917E22">
        <w:rPr>
          <w:rFonts w:ascii="Times New Roman" w:hAnsi="Times New Roman"/>
          <w:szCs w:val="24"/>
        </w:rPr>
        <w:t>To be eligible for selection</w:t>
      </w:r>
      <w:r w:rsidRPr="00917E22" w:rsidR="00125F42">
        <w:rPr>
          <w:rFonts w:ascii="Times New Roman" w:hAnsi="Times New Roman"/>
          <w:szCs w:val="24"/>
        </w:rPr>
        <w:t xml:space="preserve"> into the sample</w:t>
      </w:r>
      <w:r w:rsidRPr="00917E22">
        <w:rPr>
          <w:rFonts w:ascii="Times New Roman" w:hAnsi="Times New Roman"/>
          <w:szCs w:val="24"/>
        </w:rPr>
        <w:t xml:space="preserve">, an establishment will be required to satisfy the following conditions: </w:t>
      </w:r>
    </w:p>
    <w:p w:rsidRPr="00917E22" w:rsidR="00E373F1" w:rsidP="00E55313" w:rsidRDefault="00CA73D8" w14:paraId="6F616BE9" w14:textId="77777777">
      <w:pPr>
        <w:pStyle w:val="ListParagraph"/>
        <w:numPr>
          <w:ilvl w:val="0"/>
          <w:numId w:val="19"/>
        </w:numPr>
        <w:ind w:left="1080" w:hanging="360"/>
        <w:rPr>
          <w:rFonts w:ascii="Times New Roman" w:hAnsi="Times New Roman"/>
          <w:szCs w:val="24"/>
        </w:rPr>
      </w:pPr>
      <w:r w:rsidRPr="00917E22">
        <w:rPr>
          <w:rFonts w:ascii="Times New Roman" w:hAnsi="Times New Roman"/>
          <w:szCs w:val="24"/>
        </w:rPr>
        <w:t>it must be classified in</w:t>
      </w:r>
      <w:r w:rsidRPr="00917E22" w:rsidR="008632AE">
        <w:rPr>
          <w:rFonts w:ascii="Times New Roman" w:hAnsi="Times New Roman"/>
          <w:szCs w:val="24"/>
        </w:rPr>
        <w:t>to an in-scope industry</w:t>
      </w:r>
      <w:r w:rsidRPr="00917E22">
        <w:rPr>
          <w:rFonts w:ascii="Times New Roman" w:hAnsi="Times New Roman"/>
          <w:szCs w:val="24"/>
        </w:rPr>
        <w:t xml:space="preserve">; </w:t>
      </w:r>
    </w:p>
    <w:p w:rsidRPr="00917E22" w:rsidR="00E373F1" w:rsidP="00E55313" w:rsidRDefault="00CA73D8" w14:paraId="0775BDA3" w14:textId="581C6866">
      <w:pPr>
        <w:pStyle w:val="ListParagraph"/>
        <w:numPr>
          <w:ilvl w:val="0"/>
          <w:numId w:val="19"/>
        </w:numPr>
        <w:ind w:left="1080" w:hanging="360"/>
        <w:rPr>
          <w:rFonts w:ascii="Times New Roman" w:hAnsi="Times New Roman"/>
          <w:szCs w:val="24"/>
        </w:rPr>
      </w:pPr>
      <w:r w:rsidRPr="00917E22">
        <w:rPr>
          <w:rFonts w:ascii="Times New Roman" w:hAnsi="Times New Roman"/>
          <w:szCs w:val="24"/>
        </w:rPr>
        <w:t xml:space="preserve">it must be an active establishment of a multi-establishment firm, or it must be a single-establishment firm with </w:t>
      </w:r>
      <w:r w:rsidRPr="00917E22" w:rsidR="00383C14">
        <w:rPr>
          <w:rFonts w:ascii="Times New Roman" w:hAnsi="Times New Roman"/>
          <w:szCs w:val="24"/>
        </w:rPr>
        <w:t xml:space="preserve">at least one quarter of </w:t>
      </w:r>
      <w:r w:rsidRPr="00917E22" w:rsidR="00147DDC">
        <w:rPr>
          <w:rFonts w:ascii="Times New Roman" w:hAnsi="Times New Roman"/>
          <w:szCs w:val="24"/>
        </w:rPr>
        <w:t xml:space="preserve">2022 </w:t>
      </w:r>
      <w:r w:rsidRPr="00917E22" w:rsidR="008632AE">
        <w:rPr>
          <w:rFonts w:ascii="Times New Roman" w:hAnsi="Times New Roman"/>
          <w:szCs w:val="24"/>
        </w:rPr>
        <w:t xml:space="preserve">administrative </w:t>
      </w:r>
      <w:r w:rsidRPr="00917E22">
        <w:rPr>
          <w:rFonts w:ascii="Times New Roman" w:hAnsi="Times New Roman"/>
          <w:szCs w:val="24"/>
        </w:rPr>
        <w:t xml:space="preserve">payroll; and </w:t>
      </w:r>
    </w:p>
    <w:p w:rsidRPr="00917E22" w:rsidR="00E373F1" w:rsidP="00E55313" w:rsidRDefault="00245558" w14:paraId="4AF8D095" w14:textId="7E9B2465">
      <w:pPr>
        <w:pStyle w:val="ListParagraph"/>
        <w:numPr>
          <w:ilvl w:val="0"/>
          <w:numId w:val="19"/>
        </w:numPr>
        <w:ind w:left="1080" w:hanging="360"/>
        <w:rPr>
          <w:rFonts w:ascii="Times New Roman" w:hAnsi="Times New Roman"/>
          <w:szCs w:val="24"/>
        </w:rPr>
      </w:pPr>
      <w:r w:rsidRPr="00917E22">
        <w:rPr>
          <w:rFonts w:ascii="Times New Roman" w:hAnsi="Times New Roman"/>
          <w:szCs w:val="24"/>
        </w:rPr>
        <w:t xml:space="preserve"> </w:t>
      </w:r>
      <w:r w:rsidRPr="00917E22" w:rsidR="00CA73D8">
        <w:rPr>
          <w:rFonts w:ascii="Times New Roman" w:hAnsi="Times New Roman"/>
          <w:szCs w:val="24"/>
        </w:rPr>
        <w:t>it must be located in one of the 50 states</w:t>
      </w:r>
      <w:r w:rsidRPr="00917E22" w:rsidR="00B76F21">
        <w:rPr>
          <w:rFonts w:ascii="Times New Roman" w:hAnsi="Times New Roman"/>
          <w:szCs w:val="24"/>
        </w:rPr>
        <w:t xml:space="preserve">, </w:t>
      </w:r>
      <w:r w:rsidRPr="00917E22" w:rsidR="008632AE">
        <w:rPr>
          <w:rFonts w:ascii="Times New Roman" w:hAnsi="Times New Roman"/>
          <w:szCs w:val="24"/>
        </w:rPr>
        <w:t xml:space="preserve">associated </w:t>
      </w:r>
      <w:r w:rsidRPr="00917E22" w:rsidR="00B76F21">
        <w:rPr>
          <w:rFonts w:ascii="Times New Roman" w:hAnsi="Times New Roman"/>
          <w:szCs w:val="24"/>
        </w:rPr>
        <w:t>offshore areas,</w:t>
      </w:r>
      <w:r w:rsidRPr="00917E22" w:rsidR="00CA73D8">
        <w:rPr>
          <w:rFonts w:ascii="Times New Roman" w:hAnsi="Times New Roman"/>
          <w:szCs w:val="24"/>
        </w:rPr>
        <w:t xml:space="preserve"> or the District of Columbia</w:t>
      </w:r>
      <w:r w:rsidRPr="00917E22" w:rsidR="00147DDC">
        <w:rPr>
          <w:rFonts w:ascii="Times New Roman" w:hAnsi="Times New Roman"/>
          <w:szCs w:val="24"/>
        </w:rPr>
        <w:t>, Puerto Rico, Guam, the Commonwealth of the Northern Mariana Islands, the U.S. Virgin Islands, or American Samoa.</w:t>
      </w:r>
      <w:r w:rsidRPr="00917E22" w:rsidR="00CA73D8">
        <w:rPr>
          <w:rFonts w:ascii="Times New Roman" w:hAnsi="Times New Roman"/>
          <w:szCs w:val="24"/>
        </w:rPr>
        <w:t xml:space="preserve">  </w:t>
      </w:r>
    </w:p>
    <w:p w:rsidRPr="00917E22" w:rsidR="00E373F1" w:rsidP="00E55313" w:rsidRDefault="00E373F1" w14:paraId="4666D113" w14:textId="77777777">
      <w:pPr>
        <w:ind w:left="720"/>
        <w:rPr>
          <w:rFonts w:ascii="Times New Roman" w:hAnsi="Times New Roman"/>
          <w:szCs w:val="24"/>
        </w:rPr>
      </w:pPr>
    </w:p>
    <w:p w:rsidRPr="00917E22" w:rsidR="00CA73D8" w:rsidP="00E55313" w:rsidRDefault="00E373F1" w14:paraId="716FA3C9" w14:textId="77777777">
      <w:pPr>
        <w:ind w:left="720"/>
        <w:rPr>
          <w:rFonts w:ascii="Times New Roman" w:hAnsi="Times New Roman"/>
          <w:color w:val="000000" w:themeColor="text1"/>
          <w:szCs w:val="24"/>
        </w:rPr>
      </w:pPr>
      <w:r w:rsidRPr="00917E22">
        <w:rPr>
          <w:rFonts w:ascii="Times New Roman" w:hAnsi="Times New Roman"/>
          <w:color w:val="000000" w:themeColor="text1"/>
          <w:szCs w:val="24"/>
        </w:rPr>
        <w:t>S</w:t>
      </w:r>
      <w:r w:rsidRPr="00917E22" w:rsidR="00CA73D8">
        <w:rPr>
          <w:rFonts w:ascii="Times New Roman" w:hAnsi="Times New Roman"/>
          <w:color w:val="000000" w:themeColor="text1"/>
          <w:szCs w:val="24"/>
        </w:rPr>
        <w:t xml:space="preserve">election procedures </w:t>
      </w:r>
      <w:r w:rsidRPr="00917E22" w:rsidR="003C4E68">
        <w:rPr>
          <w:rFonts w:ascii="Times New Roman" w:hAnsi="Times New Roman"/>
          <w:color w:val="000000" w:themeColor="text1"/>
          <w:szCs w:val="24"/>
        </w:rPr>
        <w:t>differ between multi- and single-establishment firms.</w:t>
      </w:r>
      <w:r w:rsidRPr="00917E22" w:rsidR="00CA73D8">
        <w:rPr>
          <w:rFonts w:ascii="Times New Roman" w:hAnsi="Times New Roman"/>
          <w:color w:val="000000" w:themeColor="text1"/>
          <w:szCs w:val="24"/>
        </w:rPr>
        <w:t xml:space="preserve">  </w:t>
      </w:r>
    </w:p>
    <w:p w:rsidRPr="00917E22" w:rsidR="00CA73D8" w:rsidP="00E55313" w:rsidRDefault="00CA73D8" w14:paraId="62EB46B6" w14:textId="77777777">
      <w:pPr>
        <w:ind w:left="720"/>
        <w:rPr>
          <w:rFonts w:ascii="Times New Roman" w:hAnsi="Times New Roman"/>
          <w:szCs w:val="24"/>
        </w:rPr>
      </w:pPr>
    </w:p>
    <w:p w:rsidRPr="00917E22" w:rsidR="00CA73D8" w:rsidP="00E55313" w:rsidRDefault="00CA73D8" w14:paraId="77049525" w14:textId="77777777">
      <w:pPr>
        <w:spacing w:after="240"/>
        <w:ind w:left="1080" w:hanging="360"/>
        <w:rPr>
          <w:rFonts w:ascii="Times New Roman" w:hAnsi="Times New Roman"/>
          <w:szCs w:val="24"/>
        </w:rPr>
      </w:pPr>
      <w:r w:rsidRPr="00917E22">
        <w:rPr>
          <w:rFonts w:ascii="Times New Roman" w:hAnsi="Times New Roman"/>
          <w:szCs w:val="24"/>
        </w:rPr>
        <w:t>(1)</w:t>
      </w:r>
      <w:r w:rsidRPr="00917E22">
        <w:rPr>
          <w:rFonts w:ascii="Times New Roman" w:hAnsi="Times New Roman"/>
          <w:szCs w:val="24"/>
        </w:rPr>
        <w:tab/>
        <w:t xml:space="preserve">Multi-Establishment Firms  </w:t>
      </w:r>
    </w:p>
    <w:p w:rsidRPr="00917E22" w:rsidR="00CA73D8" w:rsidP="008910B2" w:rsidRDefault="00EA38C4" w14:paraId="05DAB544" w14:textId="3DD3F42A">
      <w:pPr>
        <w:ind w:left="1080"/>
        <w:rPr>
          <w:rFonts w:ascii="Times New Roman" w:hAnsi="Times New Roman"/>
          <w:szCs w:val="24"/>
        </w:rPr>
      </w:pPr>
      <w:r w:rsidRPr="00917E22">
        <w:rPr>
          <w:rFonts w:ascii="Times New Roman" w:hAnsi="Times New Roman"/>
          <w:szCs w:val="24"/>
        </w:rPr>
        <w:t xml:space="preserve">Any firm with more than one active establishment is included in the Economic Census with certainty and </w:t>
      </w:r>
      <w:r w:rsidRPr="00917E22" w:rsidR="00353C41">
        <w:rPr>
          <w:rFonts w:ascii="Times New Roman" w:hAnsi="Times New Roman"/>
          <w:szCs w:val="24"/>
        </w:rPr>
        <w:t xml:space="preserve">is </w:t>
      </w:r>
      <w:r w:rsidRPr="00917E22">
        <w:rPr>
          <w:rFonts w:ascii="Times New Roman" w:hAnsi="Times New Roman"/>
          <w:szCs w:val="24"/>
        </w:rPr>
        <w:t xml:space="preserve">generally expected to report for all of </w:t>
      </w:r>
      <w:r w:rsidRPr="00917E22" w:rsidR="00383C14">
        <w:rPr>
          <w:rFonts w:ascii="Times New Roman" w:hAnsi="Times New Roman"/>
          <w:szCs w:val="24"/>
        </w:rPr>
        <w:t>its</w:t>
      </w:r>
      <w:r w:rsidRPr="00917E22">
        <w:rPr>
          <w:rFonts w:ascii="Times New Roman" w:hAnsi="Times New Roman"/>
          <w:szCs w:val="24"/>
        </w:rPr>
        <w:t xml:space="preserve"> establishments.</w:t>
      </w:r>
      <w:r w:rsidRPr="00917E22" w:rsidR="000B1C98">
        <w:rPr>
          <w:rFonts w:ascii="Times New Roman" w:hAnsi="Times New Roman"/>
          <w:szCs w:val="24"/>
        </w:rPr>
        <w:t xml:space="preserve"> Each establishment is included with certainty and assigned a sample weight of 1.</w:t>
      </w:r>
    </w:p>
    <w:p w:rsidRPr="00917E22" w:rsidR="00EA38C4" w:rsidP="00E55313" w:rsidRDefault="00EA38C4" w14:paraId="326898E4" w14:textId="77777777">
      <w:pPr>
        <w:ind w:left="2160" w:hanging="360"/>
        <w:rPr>
          <w:rFonts w:ascii="Times New Roman" w:hAnsi="Times New Roman"/>
          <w:szCs w:val="24"/>
        </w:rPr>
      </w:pPr>
    </w:p>
    <w:p w:rsidRPr="00917E22" w:rsidR="007133CA" w:rsidP="008910B2" w:rsidRDefault="00353C41" w14:paraId="71BE3C97" w14:textId="77777777">
      <w:pPr>
        <w:pStyle w:val="ListParagraph"/>
        <w:numPr>
          <w:ilvl w:val="0"/>
          <w:numId w:val="18"/>
        </w:numPr>
        <w:spacing w:after="240"/>
        <w:ind w:left="1440" w:hanging="360"/>
        <w:rPr>
          <w:rFonts w:ascii="Times New Roman" w:hAnsi="Times New Roman"/>
          <w:szCs w:val="24"/>
        </w:rPr>
      </w:pPr>
      <w:r w:rsidRPr="00917E22">
        <w:rPr>
          <w:rFonts w:ascii="Times New Roman" w:hAnsi="Times New Roman"/>
          <w:szCs w:val="24"/>
        </w:rPr>
        <w:t>Establishment</w:t>
      </w:r>
      <w:r w:rsidRPr="00917E22" w:rsidR="0068568F">
        <w:rPr>
          <w:rFonts w:ascii="Times New Roman" w:hAnsi="Times New Roman"/>
          <w:szCs w:val="24"/>
        </w:rPr>
        <w:t xml:space="preserve"> R</w:t>
      </w:r>
      <w:r w:rsidRPr="00917E22" w:rsidR="007133CA">
        <w:rPr>
          <w:rFonts w:ascii="Times New Roman" w:hAnsi="Times New Roman"/>
          <w:szCs w:val="24"/>
        </w:rPr>
        <w:t>eporting</w:t>
      </w:r>
      <w:r w:rsidRPr="00917E22" w:rsidR="008632AE">
        <w:rPr>
          <w:rFonts w:ascii="Times New Roman" w:hAnsi="Times New Roman"/>
          <w:szCs w:val="24"/>
        </w:rPr>
        <w:t xml:space="preserve"> Units</w:t>
      </w:r>
    </w:p>
    <w:p w:rsidRPr="00917E22" w:rsidR="007133CA" w:rsidP="008910B2" w:rsidRDefault="007133CA" w14:paraId="2A275DED" w14:textId="77777777">
      <w:pPr>
        <w:tabs>
          <w:tab w:val="left" w:pos="1440"/>
        </w:tabs>
        <w:ind w:left="1440"/>
        <w:rPr>
          <w:rFonts w:ascii="Times New Roman" w:hAnsi="Times New Roman"/>
          <w:szCs w:val="24"/>
        </w:rPr>
      </w:pPr>
      <w:r w:rsidRPr="00917E22">
        <w:rPr>
          <w:rFonts w:ascii="Times New Roman" w:hAnsi="Times New Roman"/>
          <w:szCs w:val="24"/>
        </w:rPr>
        <w:t>In most industries, multi-establishment firms are required to complete a</w:t>
      </w:r>
      <w:r w:rsidRPr="00917E22" w:rsidR="00AC32E0">
        <w:rPr>
          <w:rFonts w:ascii="Times New Roman" w:hAnsi="Times New Roman"/>
          <w:szCs w:val="24"/>
        </w:rPr>
        <w:t>n industry-specific</w:t>
      </w:r>
      <w:r w:rsidRPr="00917E22">
        <w:rPr>
          <w:rFonts w:ascii="Times New Roman" w:hAnsi="Times New Roman"/>
          <w:szCs w:val="24"/>
        </w:rPr>
        <w:t xml:space="preserve"> questionnaire f</w:t>
      </w:r>
      <w:r w:rsidRPr="00917E22" w:rsidR="00EA38C4">
        <w:rPr>
          <w:rFonts w:ascii="Times New Roman" w:hAnsi="Times New Roman"/>
          <w:szCs w:val="24"/>
        </w:rPr>
        <w:t>or each of th</w:t>
      </w:r>
      <w:r w:rsidRPr="00917E22" w:rsidR="001C57B6">
        <w:rPr>
          <w:rFonts w:ascii="Times New Roman" w:hAnsi="Times New Roman"/>
          <w:szCs w:val="24"/>
        </w:rPr>
        <w:t>e</w:t>
      </w:r>
      <w:r w:rsidRPr="00917E22" w:rsidR="00EA38C4">
        <w:rPr>
          <w:rFonts w:ascii="Times New Roman" w:hAnsi="Times New Roman"/>
          <w:szCs w:val="24"/>
        </w:rPr>
        <w:t xml:space="preserve"> establishments in their firm.</w:t>
      </w:r>
    </w:p>
    <w:p w:rsidRPr="00917E22" w:rsidR="00CA73D8" w:rsidP="008910B2" w:rsidRDefault="00CA73D8" w14:paraId="434B0452" w14:textId="77777777">
      <w:pPr>
        <w:pStyle w:val="ListParagraph"/>
        <w:numPr>
          <w:ilvl w:val="0"/>
          <w:numId w:val="18"/>
        </w:numPr>
        <w:spacing w:before="240"/>
        <w:ind w:left="1440" w:hanging="360"/>
        <w:rPr>
          <w:rFonts w:ascii="Times New Roman" w:hAnsi="Times New Roman"/>
          <w:szCs w:val="24"/>
        </w:rPr>
      </w:pPr>
      <w:r w:rsidRPr="00917E22">
        <w:rPr>
          <w:rFonts w:ascii="Times New Roman" w:hAnsi="Times New Roman"/>
          <w:szCs w:val="24"/>
        </w:rPr>
        <w:t xml:space="preserve">Alternative Reporting Units </w:t>
      </w:r>
      <w:r w:rsidRPr="00917E22" w:rsidR="002B769E">
        <w:rPr>
          <w:rFonts w:ascii="Times New Roman" w:hAnsi="Times New Roman"/>
          <w:szCs w:val="24"/>
        </w:rPr>
        <w:t xml:space="preserve">(ARU) </w:t>
      </w:r>
      <w:r w:rsidRPr="00917E22">
        <w:rPr>
          <w:rFonts w:ascii="Times New Roman" w:hAnsi="Times New Roman"/>
          <w:szCs w:val="24"/>
        </w:rPr>
        <w:t>for Selected Industries</w:t>
      </w:r>
    </w:p>
    <w:p w:rsidRPr="00917E22" w:rsidR="00CA73D8" w:rsidRDefault="00CA73D8" w14:paraId="2FF1929C" w14:textId="77777777">
      <w:pPr>
        <w:ind w:left="1440"/>
        <w:rPr>
          <w:rFonts w:ascii="Times New Roman" w:hAnsi="Times New Roman"/>
          <w:szCs w:val="24"/>
        </w:rPr>
      </w:pPr>
      <w:r w:rsidRPr="00917E22">
        <w:rPr>
          <w:rFonts w:ascii="Times New Roman" w:hAnsi="Times New Roman"/>
          <w:szCs w:val="24"/>
        </w:rPr>
        <w:tab/>
      </w:r>
      <w:r w:rsidRPr="00917E22">
        <w:rPr>
          <w:rFonts w:ascii="Times New Roman" w:hAnsi="Times New Roman"/>
          <w:szCs w:val="24"/>
        </w:rPr>
        <w:tab/>
      </w:r>
    </w:p>
    <w:p w:rsidR="0068568F" w:rsidP="008910B2" w:rsidRDefault="00B56724" w14:paraId="619235D3" w14:textId="5CA22DA6">
      <w:pPr>
        <w:widowControl/>
        <w:autoSpaceDE w:val="0"/>
        <w:autoSpaceDN w:val="0"/>
        <w:adjustRightInd w:val="0"/>
        <w:ind w:left="1440"/>
        <w:rPr>
          <w:rFonts w:ascii="Times New Roman" w:hAnsi="Times New Roman"/>
          <w:szCs w:val="24"/>
        </w:rPr>
      </w:pPr>
      <w:r w:rsidRPr="00917E22">
        <w:rPr>
          <w:rFonts w:ascii="Times New Roman" w:hAnsi="Times New Roman"/>
          <w:szCs w:val="24"/>
        </w:rPr>
        <w:t xml:space="preserve">In </w:t>
      </w:r>
      <w:r w:rsidRPr="00917E22" w:rsidR="005A7575">
        <w:rPr>
          <w:rFonts w:ascii="Times New Roman" w:hAnsi="Times New Roman"/>
          <w:szCs w:val="24"/>
        </w:rPr>
        <w:t>selected</w:t>
      </w:r>
      <w:r w:rsidRPr="00917E22" w:rsidR="00EA38C4">
        <w:rPr>
          <w:rFonts w:ascii="Times New Roman" w:hAnsi="Times New Roman"/>
          <w:szCs w:val="24"/>
        </w:rPr>
        <w:t xml:space="preserve"> </w:t>
      </w:r>
      <w:r w:rsidRPr="00917E22">
        <w:rPr>
          <w:rFonts w:ascii="Times New Roman" w:hAnsi="Times New Roman"/>
          <w:szCs w:val="24"/>
        </w:rPr>
        <w:t>industries,</w:t>
      </w:r>
      <w:r w:rsidRPr="00917E22" w:rsidR="00EA38C4">
        <w:rPr>
          <w:rFonts w:ascii="Times New Roman" w:hAnsi="Times New Roman"/>
          <w:szCs w:val="24"/>
        </w:rPr>
        <w:t xml:space="preserve"> </w:t>
      </w:r>
      <w:r w:rsidRPr="00917E22">
        <w:rPr>
          <w:rFonts w:ascii="Times New Roman" w:hAnsi="Times New Roman"/>
          <w:szCs w:val="24"/>
        </w:rPr>
        <w:t>firms</w:t>
      </w:r>
      <w:r w:rsidRPr="00917E22" w:rsidR="00EA38C4">
        <w:rPr>
          <w:rFonts w:ascii="Times New Roman" w:hAnsi="Times New Roman"/>
          <w:szCs w:val="24"/>
        </w:rPr>
        <w:t xml:space="preserve"> have difficulty reporting </w:t>
      </w:r>
      <w:r w:rsidRPr="00917E22" w:rsidR="00A61EEE">
        <w:rPr>
          <w:rFonts w:ascii="Times New Roman" w:hAnsi="Times New Roman"/>
          <w:szCs w:val="24"/>
        </w:rPr>
        <w:t>value of shipments/receipts/</w:t>
      </w:r>
      <w:r w:rsidRPr="00917E22" w:rsidR="00EA38C4">
        <w:rPr>
          <w:rFonts w:ascii="Times New Roman" w:hAnsi="Times New Roman"/>
          <w:szCs w:val="24"/>
        </w:rPr>
        <w:t>revenue</w:t>
      </w:r>
      <w:r w:rsidRPr="00917E22" w:rsidR="00A61EEE">
        <w:rPr>
          <w:rFonts w:ascii="Times New Roman" w:hAnsi="Times New Roman"/>
          <w:szCs w:val="24"/>
        </w:rPr>
        <w:t>/sales</w:t>
      </w:r>
      <w:r w:rsidRPr="00917E22" w:rsidR="00EA38C4">
        <w:rPr>
          <w:rFonts w:ascii="Times New Roman" w:hAnsi="Times New Roman"/>
          <w:szCs w:val="24"/>
        </w:rPr>
        <w:t xml:space="preserve"> and related data for each of their business locations</w:t>
      </w:r>
      <w:r w:rsidRPr="00917E22" w:rsidR="008E5F17">
        <w:rPr>
          <w:rFonts w:ascii="Times New Roman" w:hAnsi="Times New Roman"/>
          <w:szCs w:val="24"/>
        </w:rPr>
        <w:t xml:space="preserve"> (establishments)</w:t>
      </w:r>
      <w:r w:rsidRPr="00917E22" w:rsidR="00EA38C4">
        <w:rPr>
          <w:rFonts w:ascii="Times New Roman" w:hAnsi="Times New Roman"/>
          <w:szCs w:val="24"/>
        </w:rPr>
        <w:t xml:space="preserve">. However, they can </w:t>
      </w:r>
      <w:r w:rsidRPr="00917E22">
        <w:rPr>
          <w:rFonts w:ascii="Times New Roman" w:hAnsi="Times New Roman"/>
          <w:szCs w:val="24"/>
        </w:rPr>
        <w:t xml:space="preserve">provide firm-level industry totals </w:t>
      </w:r>
      <w:r w:rsidRPr="00917E22" w:rsidR="008E5F17">
        <w:rPr>
          <w:rFonts w:ascii="Times New Roman" w:hAnsi="Times New Roman"/>
          <w:szCs w:val="24"/>
        </w:rPr>
        <w:t>with relative ease</w:t>
      </w:r>
      <w:r w:rsidR="0051692D">
        <w:rPr>
          <w:rFonts w:ascii="Times New Roman" w:hAnsi="Times New Roman"/>
          <w:szCs w:val="24"/>
        </w:rPr>
        <w:t>,</w:t>
      </w:r>
      <w:r w:rsidRPr="00917E22" w:rsidR="00EA38C4">
        <w:rPr>
          <w:rFonts w:ascii="Times New Roman" w:hAnsi="Times New Roman"/>
          <w:szCs w:val="24"/>
        </w:rPr>
        <w:t xml:space="preserve"> and they can report separate payroll and employment information for each </w:t>
      </w:r>
      <w:r w:rsidRPr="00917E22" w:rsidR="008E5F17">
        <w:rPr>
          <w:rFonts w:ascii="Times New Roman" w:hAnsi="Times New Roman"/>
          <w:szCs w:val="24"/>
        </w:rPr>
        <w:t>business location</w:t>
      </w:r>
      <w:r w:rsidRPr="00917E22" w:rsidR="0068568F">
        <w:rPr>
          <w:rFonts w:ascii="Times New Roman" w:hAnsi="Times New Roman"/>
          <w:szCs w:val="24"/>
        </w:rPr>
        <w:t xml:space="preserve"> within the industry. </w:t>
      </w:r>
      <w:r w:rsidRPr="00917E22" w:rsidR="00B65032">
        <w:rPr>
          <w:rFonts w:ascii="Times New Roman" w:hAnsi="Times New Roman"/>
          <w:szCs w:val="24"/>
        </w:rPr>
        <w:t xml:space="preserve">Table 3 below shows the industries for which an alternative </w:t>
      </w:r>
      <w:r w:rsidRPr="00917E22" w:rsidR="00AC32E0">
        <w:rPr>
          <w:rFonts w:ascii="Times New Roman" w:hAnsi="Times New Roman"/>
          <w:szCs w:val="24"/>
        </w:rPr>
        <w:t>questionnaire</w:t>
      </w:r>
      <w:r w:rsidRPr="00917E22" w:rsidR="00B65032">
        <w:rPr>
          <w:rFonts w:ascii="Times New Roman" w:hAnsi="Times New Roman"/>
          <w:szCs w:val="24"/>
        </w:rPr>
        <w:t xml:space="preserve"> will be used and the expected number of affected firms</w:t>
      </w:r>
      <w:r w:rsidRPr="00917E22" w:rsidR="00353C41">
        <w:rPr>
          <w:rFonts w:ascii="Times New Roman" w:hAnsi="Times New Roman"/>
          <w:szCs w:val="24"/>
        </w:rPr>
        <w:t>.</w:t>
      </w:r>
    </w:p>
    <w:p w:rsidRPr="00917E22" w:rsidR="003C0966" w:rsidP="008910B2" w:rsidRDefault="003C0966" w14:paraId="4139B927" w14:textId="77777777">
      <w:pPr>
        <w:widowControl/>
        <w:autoSpaceDE w:val="0"/>
        <w:autoSpaceDN w:val="0"/>
        <w:adjustRightInd w:val="0"/>
        <w:ind w:left="1440"/>
        <w:rPr>
          <w:rFonts w:ascii="Times New Roman" w:hAnsi="Times New Roman"/>
          <w:szCs w:val="24"/>
        </w:rPr>
      </w:pPr>
    </w:p>
    <w:p w:rsidRPr="00917E22" w:rsidR="00353C41" w:rsidP="008910B2" w:rsidRDefault="00353C41" w14:paraId="4127C09C" w14:textId="6864021E">
      <w:pPr>
        <w:ind w:left="1440"/>
        <w:rPr>
          <w:rFonts w:ascii="Times New Roman" w:hAnsi="Times New Roman"/>
          <w:szCs w:val="24"/>
        </w:rPr>
      </w:pPr>
      <w:r w:rsidRPr="00917E22">
        <w:rPr>
          <w:rFonts w:ascii="Times New Roman" w:hAnsi="Times New Roman"/>
          <w:szCs w:val="24"/>
        </w:rPr>
        <w:t xml:space="preserve">If a firm has more than </w:t>
      </w:r>
      <w:r w:rsidRPr="00917E22" w:rsidR="003415EF">
        <w:rPr>
          <w:rFonts w:ascii="Times New Roman" w:hAnsi="Times New Roman"/>
          <w:szCs w:val="24"/>
        </w:rPr>
        <w:t>two</w:t>
      </w:r>
      <w:r w:rsidRPr="00917E22">
        <w:rPr>
          <w:rFonts w:ascii="Times New Roman" w:hAnsi="Times New Roman"/>
          <w:szCs w:val="24"/>
        </w:rPr>
        <w:t xml:space="preserve"> establishment</w:t>
      </w:r>
      <w:r w:rsidRPr="00917E22" w:rsidR="003415EF">
        <w:rPr>
          <w:rFonts w:ascii="Times New Roman" w:hAnsi="Times New Roman"/>
          <w:szCs w:val="24"/>
        </w:rPr>
        <w:t>s</w:t>
      </w:r>
      <w:r w:rsidRPr="00917E22">
        <w:rPr>
          <w:rFonts w:ascii="Times New Roman" w:hAnsi="Times New Roman"/>
          <w:szCs w:val="24"/>
        </w:rPr>
        <w:t xml:space="preserve"> in an industr</w:t>
      </w:r>
      <w:r w:rsidRPr="00917E22" w:rsidR="00383C14">
        <w:rPr>
          <w:rFonts w:ascii="Times New Roman" w:hAnsi="Times New Roman"/>
          <w:szCs w:val="24"/>
        </w:rPr>
        <w:t>y</w:t>
      </w:r>
      <w:r w:rsidRPr="00917E22">
        <w:rPr>
          <w:rFonts w:ascii="Times New Roman" w:hAnsi="Times New Roman"/>
          <w:szCs w:val="24"/>
        </w:rPr>
        <w:t xml:space="preserve"> listed below, the firm will receive one questionnaire for each of those industries. Each questionnaire will collect consolidated</w:t>
      </w:r>
      <w:r w:rsidRPr="00917E22" w:rsidR="003C4E68">
        <w:rPr>
          <w:rFonts w:ascii="Times New Roman" w:hAnsi="Times New Roman"/>
          <w:szCs w:val="24"/>
        </w:rPr>
        <w:t>, firm-level</w:t>
      </w:r>
      <w:r w:rsidRPr="00917E22">
        <w:rPr>
          <w:rFonts w:ascii="Times New Roman" w:hAnsi="Times New Roman"/>
          <w:szCs w:val="24"/>
        </w:rPr>
        <w:t xml:space="preserve"> data for </w:t>
      </w:r>
      <w:r w:rsidRPr="00917E22" w:rsidR="00A61EEE">
        <w:rPr>
          <w:rFonts w:ascii="Times New Roman" w:hAnsi="Times New Roman"/>
          <w:szCs w:val="24"/>
        </w:rPr>
        <w:t>value of shipments/receipts/</w:t>
      </w:r>
      <w:r w:rsidRPr="00917E22">
        <w:rPr>
          <w:rFonts w:ascii="Times New Roman" w:hAnsi="Times New Roman"/>
          <w:szCs w:val="24"/>
        </w:rPr>
        <w:t>revenue</w:t>
      </w:r>
      <w:r w:rsidRPr="00917E22" w:rsidR="00A61EEE">
        <w:rPr>
          <w:rFonts w:ascii="Times New Roman" w:hAnsi="Times New Roman"/>
          <w:szCs w:val="24"/>
        </w:rPr>
        <w:t>/sales</w:t>
      </w:r>
      <w:r w:rsidRPr="00917E22">
        <w:rPr>
          <w:rFonts w:ascii="Times New Roman" w:hAnsi="Times New Roman"/>
          <w:szCs w:val="24"/>
        </w:rPr>
        <w:t xml:space="preserve"> and related measures </w:t>
      </w:r>
      <w:r w:rsidRPr="00917E22" w:rsidR="00383C14">
        <w:rPr>
          <w:rFonts w:ascii="Times New Roman" w:hAnsi="Times New Roman"/>
          <w:szCs w:val="24"/>
        </w:rPr>
        <w:t>covering the firm’s</w:t>
      </w:r>
      <w:r w:rsidRPr="00917E22">
        <w:rPr>
          <w:rFonts w:ascii="Times New Roman" w:hAnsi="Times New Roman"/>
          <w:szCs w:val="24"/>
        </w:rPr>
        <w:t xml:space="preserve"> nationwide operations. </w:t>
      </w:r>
      <w:r w:rsidRPr="00917E22" w:rsidR="00383C14">
        <w:rPr>
          <w:rFonts w:ascii="Times New Roman" w:hAnsi="Times New Roman"/>
          <w:szCs w:val="24"/>
        </w:rPr>
        <w:t>A</w:t>
      </w:r>
      <w:r w:rsidRPr="00917E22">
        <w:rPr>
          <w:rFonts w:ascii="Times New Roman" w:hAnsi="Times New Roman"/>
          <w:szCs w:val="24"/>
        </w:rPr>
        <w:t xml:space="preserve"> supplementary </w:t>
      </w:r>
      <w:r w:rsidRPr="00917E22" w:rsidR="005A7575">
        <w:rPr>
          <w:rFonts w:ascii="Times New Roman" w:hAnsi="Times New Roman"/>
          <w:szCs w:val="24"/>
        </w:rPr>
        <w:t>questionnaire</w:t>
      </w:r>
      <w:r w:rsidRPr="00917E22">
        <w:rPr>
          <w:rFonts w:ascii="Times New Roman" w:hAnsi="Times New Roman"/>
          <w:szCs w:val="24"/>
        </w:rPr>
        <w:t xml:space="preserve"> will enumerate the firm’s establishments in the industry and </w:t>
      </w:r>
      <w:r w:rsidRPr="00917E22" w:rsidR="005A7575">
        <w:rPr>
          <w:rFonts w:ascii="Times New Roman" w:hAnsi="Times New Roman"/>
          <w:szCs w:val="24"/>
        </w:rPr>
        <w:t>request</w:t>
      </w:r>
      <w:r w:rsidRPr="00917E22">
        <w:rPr>
          <w:rFonts w:ascii="Times New Roman" w:hAnsi="Times New Roman"/>
          <w:szCs w:val="24"/>
        </w:rPr>
        <w:t xml:space="preserve"> payroll and employment information for each of them.</w:t>
      </w:r>
    </w:p>
    <w:p w:rsidRPr="00917E22" w:rsidR="00353C41" w:rsidP="007B6925" w:rsidRDefault="00353C41" w14:paraId="2D14FC29" w14:textId="77777777">
      <w:pPr>
        <w:widowControl/>
        <w:autoSpaceDE w:val="0"/>
        <w:autoSpaceDN w:val="0"/>
        <w:adjustRightInd w:val="0"/>
        <w:ind w:left="1800"/>
        <w:rPr>
          <w:rFonts w:ascii="Times New Roman" w:hAnsi="Times New Roman"/>
          <w:sz w:val="20"/>
        </w:rPr>
      </w:pPr>
    </w:p>
    <w:tbl>
      <w:tblPr>
        <w:tblW w:w="7863" w:type="dxa"/>
        <w:jc w:val="center"/>
        <w:tblLook w:val="04A0" w:firstRow="1" w:lastRow="0" w:firstColumn="1" w:lastColumn="0" w:noHBand="0" w:noVBand="1"/>
      </w:tblPr>
      <w:tblGrid>
        <w:gridCol w:w="860"/>
        <w:gridCol w:w="4262"/>
        <w:gridCol w:w="1005"/>
        <w:gridCol w:w="1517"/>
        <w:gridCol w:w="222"/>
      </w:tblGrid>
      <w:tr w:rsidRPr="00031231" w:rsidR="00031231" w:rsidTr="00A27CBD" w14:paraId="0F1499C7" w14:textId="77777777">
        <w:trPr>
          <w:gridAfter w:val="1"/>
          <w:wAfter w:w="219" w:type="dxa"/>
          <w:trHeight w:val="296"/>
          <w:jc w:val="center"/>
        </w:trPr>
        <w:tc>
          <w:tcPr>
            <w:tcW w:w="7644" w:type="dxa"/>
            <w:gridSpan w:val="4"/>
            <w:tcBorders>
              <w:top w:val="nil"/>
              <w:left w:val="nil"/>
              <w:bottom w:val="single" w:color="auto" w:sz="8" w:space="0"/>
              <w:right w:val="nil"/>
            </w:tcBorders>
            <w:shd w:val="clear" w:color="auto" w:fill="auto"/>
            <w:noWrap/>
            <w:vAlign w:val="center"/>
            <w:hideMark/>
          </w:tcPr>
          <w:p w:rsidRPr="00031231" w:rsidR="00031231" w:rsidP="00031231" w:rsidRDefault="00031231" w14:paraId="38A0E241" w14:textId="0C72CE8E">
            <w:pPr>
              <w:widowControl/>
              <w:rPr>
                <w:rFonts w:ascii="Times New Roman" w:hAnsi="Times New Roman"/>
                <w:b/>
                <w:bCs/>
                <w:snapToGrid/>
                <w:color w:val="000000"/>
                <w:sz w:val="22"/>
                <w:szCs w:val="22"/>
              </w:rPr>
            </w:pPr>
            <w:r w:rsidRPr="00031231">
              <w:rPr>
                <w:rFonts w:ascii="Times New Roman" w:hAnsi="Times New Roman"/>
                <w:b/>
                <w:bCs/>
                <w:snapToGrid/>
                <w:color w:val="000000"/>
                <w:sz w:val="22"/>
                <w:szCs w:val="22"/>
              </w:rPr>
              <w:lastRenderedPageBreak/>
              <w:t>Table 3: Alternative Reporting Industries and Counts</w:t>
            </w:r>
            <w:r w:rsidRPr="00031231">
              <w:rPr>
                <w:rFonts w:ascii="Calibri" w:hAnsi="Calibri" w:cs="Calibri"/>
                <w:snapToGrid/>
                <w:color w:val="000000"/>
                <w:sz w:val="16"/>
                <w:szCs w:val="16"/>
              </w:rPr>
              <w:t> </w:t>
            </w:r>
            <w:r w:rsidRPr="00031231">
              <w:rPr>
                <w:rFonts w:ascii="Times New Roman" w:hAnsi="Times New Roman"/>
                <w:b/>
                <w:bCs/>
                <w:snapToGrid/>
                <w:color w:val="000000"/>
                <w:sz w:val="22"/>
                <w:szCs w:val="22"/>
              </w:rPr>
              <w:t>(Stateside)</w:t>
            </w:r>
          </w:p>
        </w:tc>
      </w:tr>
      <w:tr w:rsidRPr="00031231" w:rsidR="00031231" w:rsidTr="00A27CBD" w14:paraId="3872D709" w14:textId="77777777">
        <w:trPr>
          <w:gridAfter w:val="1"/>
          <w:wAfter w:w="221" w:type="dxa"/>
          <w:trHeight w:val="284"/>
          <w:jc w:val="center"/>
        </w:trPr>
        <w:tc>
          <w:tcPr>
            <w:tcW w:w="860"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031231" w:rsidR="00031231" w:rsidP="00031231" w:rsidRDefault="00031231" w14:paraId="245C29AE" w14:textId="77777777">
            <w:pPr>
              <w:widowControl/>
              <w:jc w:val="center"/>
              <w:rPr>
                <w:rFonts w:ascii="Times New Roman" w:hAnsi="Times New Roman"/>
                <w:b/>
                <w:bCs/>
                <w:snapToGrid/>
                <w:color w:val="000000"/>
                <w:sz w:val="20"/>
              </w:rPr>
            </w:pPr>
            <w:r w:rsidRPr="00031231">
              <w:rPr>
                <w:rFonts w:ascii="Times New Roman" w:hAnsi="Times New Roman"/>
                <w:b/>
                <w:bCs/>
                <w:snapToGrid/>
                <w:color w:val="000000"/>
                <w:sz w:val="20"/>
              </w:rPr>
              <w:t>NAICS</w:t>
            </w:r>
          </w:p>
        </w:tc>
        <w:tc>
          <w:tcPr>
            <w:tcW w:w="4283"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031231" w:rsidR="00031231" w:rsidP="00031231" w:rsidRDefault="00031231" w14:paraId="7EB7CF80" w14:textId="77777777">
            <w:pPr>
              <w:widowControl/>
              <w:jc w:val="center"/>
              <w:rPr>
                <w:rFonts w:ascii="Times New Roman" w:hAnsi="Times New Roman"/>
                <w:b/>
                <w:bCs/>
                <w:snapToGrid/>
                <w:color w:val="000000"/>
                <w:sz w:val="20"/>
              </w:rPr>
            </w:pPr>
            <w:r w:rsidRPr="00031231">
              <w:rPr>
                <w:rFonts w:ascii="Times New Roman" w:hAnsi="Times New Roman"/>
                <w:b/>
                <w:bCs/>
                <w:snapToGrid/>
                <w:color w:val="000000"/>
                <w:sz w:val="20"/>
              </w:rPr>
              <w:t>NAICS Description</w:t>
            </w:r>
          </w:p>
        </w:tc>
        <w:tc>
          <w:tcPr>
            <w:tcW w:w="996"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031231" w:rsidR="00031231" w:rsidP="00031231" w:rsidRDefault="00031231" w14:paraId="6CA052CA" w14:textId="77777777">
            <w:pPr>
              <w:widowControl/>
              <w:jc w:val="center"/>
              <w:rPr>
                <w:rFonts w:ascii="Times New Roman" w:hAnsi="Times New Roman"/>
                <w:b/>
                <w:bCs/>
                <w:snapToGrid/>
                <w:color w:val="000000"/>
                <w:sz w:val="20"/>
              </w:rPr>
            </w:pPr>
            <w:r w:rsidRPr="00031231">
              <w:rPr>
                <w:rFonts w:ascii="Times New Roman" w:hAnsi="Times New Roman"/>
                <w:b/>
                <w:bCs/>
                <w:snapToGrid/>
                <w:color w:val="000000"/>
                <w:sz w:val="20"/>
              </w:rPr>
              <w:t>Expected Number of Firms</w:t>
            </w:r>
          </w:p>
        </w:tc>
        <w:tc>
          <w:tcPr>
            <w:tcW w:w="1503" w:type="dxa"/>
            <w:vMerge w:val="restart"/>
            <w:tcBorders>
              <w:top w:val="nil"/>
              <w:left w:val="single" w:color="auto" w:sz="8" w:space="0"/>
              <w:bottom w:val="double" w:color="000000" w:sz="6" w:space="0"/>
              <w:right w:val="single" w:color="auto" w:sz="8" w:space="0"/>
            </w:tcBorders>
            <w:shd w:val="clear" w:color="000000" w:fill="F2F2F2"/>
            <w:vAlign w:val="center"/>
            <w:hideMark/>
          </w:tcPr>
          <w:p w:rsidRPr="00031231" w:rsidR="00031231" w:rsidP="00031231" w:rsidRDefault="00031231" w14:paraId="5D9501CC" w14:textId="77777777">
            <w:pPr>
              <w:widowControl/>
              <w:jc w:val="center"/>
              <w:rPr>
                <w:rFonts w:ascii="Times New Roman" w:hAnsi="Times New Roman"/>
                <w:b/>
                <w:bCs/>
                <w:snapToGrid/>
                <w:color w:val="000000"/>
                <w:sz w:val="20"/>
              </w:rPr>
            </w:pPr>
            <w:r w:rsidRPr="00031231">
              <w:rPr>
                <w:rFonts w:ascii="Times New Roman" w:hAnsi="Times New Roman"/>
                <w:b/>
                <w:bCs/>
                <w:snapToGrid/>
                <w:color w:val="000000"/>
                <w:sz w:val="20"/>
              </w:rPr>
              <w:t>Number of Affected Establishments</w:t>
            </w:r>
          </w:p>
        </w:tc>
      </w:tr>
      <w:tr w:rsidRPr="00031231" w:rsidR="00031231" w:rsidTr="00A27CBD" w14:paraId="5FCA3503" w14:textId="77777777">
        <w:trPr>
          <w:trHeight w:val="569"/>
          <w:jc w:val="center"/>
        </w:trPr>
        <w:tc>
          <w:tcPr>
            <w:tcW w:w="860" w:type="dxa"/>
            <w:vMerge/>
            <w:tcBorders>
              <w:top w:val="nil"/>
              <w:left w:val="single" w:color="auto" w:sz="8" w:space="0"/>
              <w:bottom w:val="double" w:color="000000" w:sz="6" w:space="0"/>
              <w:right w:val="single" w:color="auto" w:sz="8" w:space="0"/>
            </w:tcBorders>
            <w:vAlign w:val="center"/>
            <w:hideMark/>
          </w:tcPr>
          <w:p w:rsidRPr="00031231" w:rsidR="00031231" w:rsidP="00031231" w:rsidRDefault="00031231" w14:paraId="28B04BA3" w14:textId="77777777">
            <w:pPr>
              <w:widowControl/>
              <w:rPr>
                <w:rFonts w:ascii="Times New Roman" w:hAnsi="Times New Roman"/>
                <w:b/>
                <w:bCs/>
                <w:snapToGrid/>
                <w:color w:val="000000"/>
                <w:sz w:val="20"/>
              </w:rPr>
            </w:pPr>
          </w:p>
        </w:tc>
        <w:tc>
          <w:tcPr>
            <w:tcW w:w="4283" w:type="dxa"/>
            <w:vMerge/>
            <w:tcBorders>
              <w:top w:val="nil"/>
              <w:left w:val="single" w:color="auto" w:sz="8" w:space="0"/>
              <w:bottom w:val="double" w:color="000000" w:sz="6" w:space="0"/>
              <w:right w:val="single" w:color="auto" w:sz="8" w:space="0"/>
            </w:tcBorders>
            <w:vAlign w:val="center"/>
            <w:hideMark/>
          </w:tcPr>
          <w:p w:rsidRPr="00031231" w:rsidR="00031231" w:rsidP="00031231" w:rsidRDefault="00031231" w14:paraId="0E527E1D" w14:textId="77777777">
            <w:pPr>
              <w:widowControl/>
              <w:rPr>
                <w:rFonts w:ascii="Times New Roman" w:hAnsi="Times New Roman"/>
                <w:b/>
                <w:bCs/>
                <w:snapToGrid/>
                <w:color w:val="000000"/>
                <w:sz w:val="20"/>
              </w:rPr>
            </w:pPr>
          </w:p>
        </w:tc>
        <w:tc>
          <w:tcPr>
            <w:tcW w:w="996" w:type="dxa"/>
            <w:vMerge/>
            <w:tcBorders>
              <w:top w:val="nil"/>
              <w:left w:val="single" w:color="auto" w:sz="8" w:space="0"/>
              <w:bottom w:val="double" w:color="000000" w:sz="6" w:space="0"/>
              <w:right w:val="single" w:color="auto" w:sz="8" w:space="0"/>
            </w:tcBorders>
            <w:vAlign w:val="center"/>
            <w:hideMark/>
          </w:tcPr>
          <w:p w:rsidRPr="00031231" w:rsidR="00031231" w:rsidP="00031231" w:rsidRDefault="00031231" w14:paraId="0DBCE678" w14:textId="77777777">
            <w:pPr>
              <w:widowControl/>
              <w:rPr>
                <w:rFonts w:ascii="Times New Roman" w:hAnsi="Times New Roman"/>
                <w:b/>
                <w:bCs/>
                <w:snapToGrid/>
                <w:color w:val="000000"/>
                <w:sz w:val="20"/>
              </w:rPr>
            </w:pPr>
          </w:p>
        </w:tc>
        <w:tc>
          <w:tcPr>
            <w:tcW w:w="1503" w:type="dxa"/>
            <w:vMerge/>
            <w:tcBorders>
              <w:top w:val="nil"/>
              <w:left w:val="single" w:color="auto" w:sz="8" w:space="0"/>
              <w:bottom w:val="double" w:color="000000" w:sz="6" w:space="0"/>
              <w:right w:val="single" w:color="auto" w:sz="8" w:space="0"/>
            </w:tcBorders>
            <w:vAlign w:val="center"/>
            <w:hideMark/>
          </w:tcPr>
          <w:p w:rsidRPr="00031231" w:rsidR="00031231" w:rsidP="00031231" w:rsidRDefault="00031231" w14:paraId="22E24B75" w14:textId="77777777">
            <w:pPr>
              <w:widowControl/>
              <w:rPr>
                <w:rFonts w:ascii="Times New Roman" w:hAnsi="Times New Roman"/>
                <w:b/>
                <w:bCs/>
                <w:snapToGrid/>
                <w:color w:val="000000"/>
                <w:sz w:val="20"/>
              </w:rPr>
            </w:pPr>
          </w:p>
        </w:tc>
        <w:tc>
          <w:tcPr>
            <w:tcW w:w="220" w:type="dxa"/>
            <w:tcBorders>
              <w:top w:val="nil"/>
              <w:left w:val="nil"/>
              <w:bottom w:val="nil"/>
              <w:right w:val="nil"/>
            </w:tcBorders>
            <w:shd w:val="clear" w:color="auto" w:fill="auto"/>
            <w:noWrap/>
            <w:vAlign w:val="bottom"/>
            <w:hideMark/>
          </w:tcPr>
          <w:p w:rsidRPr="00031231" w:rsidR="00031231" w:rsidP="00031231" w:rsidRDefault="00031231" w14:paraId="5E759461" w14:textId="77777777">
            <w:pPr>
              <w:widowControl/>
              <w:jc w:val="center"/>
              <w:rPr>
                <w:rFonts w:ascii="Times New Roman" w:hAnsi="Times New Roman"/>
                <w:b/>
                <w:bCs/>
                <w:snapToGrid/>
                <w:color w:val="000000"/>
                <w:sz w:val="20"/>
              </w:rPr>
            </w:pPr>
          </w:p>
        </w:tc>
      </w:tr>
      <w:tr w:rsidRPr="00031231" w:rsidR="00031231" w:rsidTr="00A27CBD" w14:paraId="625B7005" w14:textId="77777777">
        <w:trPr>
          <w:trHeight w:val="308"/>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B60A3E1" w14:textId="77777777">
            <w:pPr>
              <w:widowControl/>
              <w:rPr>
                <w:rFonts w:ascii="Times New Roman" w:hAnsi="Times New Roman"/>
                <w:snapToGrid/>
                <w:color w:val="000000"/>
                <w:sz w:val="20"/>
              </w:rPr>
            </w:pPr>
            <w:r w:rsidRPr="00031231">
              <w:rPr>
                <w:rFonts w:ascii="Times New Roman" w:hAnsi="Times New Roman"/>
                <w:snapToGrid/>
                <w:color w:val="000000"/>
                <w:sz w:val="20"/>
              </w:rPr>
              <w:t>211120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57BEF3D" w14:textId="77777777">
            <w:pPr>
              <w:widowControl/>
              <w:rPr>
                <w:rFonts w:ascii="Times New Roman" w:hAnsi="Times New Roman"/>
                <w:snapToGrid/>
                <w:color w:val="000000"/>
                <w:sz w:val="20"/>
              </w:rPr>
            </w:pPr>
            <w:r w:rsidRPr="00031231">
              <w:rPr>
                <w:rFonts w:ascii="Times New Roman" w:hAnsi="Times New Roman"/>
                <w:snapToGrid/>
                <w:color w:val="000000"/>
                <w:sz w:val="20"/>
              </w:rPr>
              <w:t>Crude petroleum extraction</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E95E4C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90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7769C9B"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750</w:t>
            </w:r>
          </w:p>
        </w:tc>
        <w:tc>
          <w:tcPr>
            <w:tcW w:w="220" w:type="dxa"/>
            <w:vAlign w:val="center"/>
            <w:hideMark/>
          </w:tcPr>
          <w:p w:rsidRPr="00031231" w:rsidR="00031231" w:rsidP="00031231" w:rsidRDefault="00031231" w14:paraId="2C62B8E2" w14:textId="77777777">
            <w:pPr>
              <w:widowControl/>
              <w:rPr>
                <w:rFonts w:ascii="Times New Roman" w:hAnsi="Times New Roman"/>
                <w:snapToGrid/>
                <w:sz w:val="20"/>
              </w:rPr>
            </w:pPr>
          </w:p>
        </w:tc>
      </w:tr>
      <w:tr w:rsidRPr="00031231" w:rsidR="00031231" w:rsidTr="00A27CBD" w14:paraId="2F6524FC"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8E55950" w14:textId="77777777">
            <w:pPr>
              <w:widowControl/>
              <w:rPr>
                <w:rFonts w:ascii="Times New Roman" w:hAnsi="Times New Roman"/>
                <w:snapToGrid/>
                <w:color w:val="000000"/>
                <w:sz w:val="20"/>
              </w:rPr>
            </w:pPr>
            <w:r w:rsidRPr="00031231">
              <w:rPr>
                <w:rFonts w:ascii="Times New Roman" w:hAnsi="Times New Roman"/>
                <w:snapToGrid/>
                <w:color w:val="000000"/>
                <w:sz w:val="20"/>
              </w:rPr>
              <w:t>211130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1A048AD" w14:textId="77777777">
            <w:pPr>
              <w:widowControl/>
              <w:rPr>
                <w:rFonts w:ascii="Times New Roman" w:hAnsi="Times New Roman"/>
                <w:snapToGrid/>
                <w:color w:val="000000"/>
                <w:sz w:val="20"/>
              </w:rPr>
            </w:pPr>
            <w:r w:rsidRPr="00031231">
              <w:rPr>
                <w:rFonts w:ascii="Times New Roman" w:hAnsi="Times New Roman"/>
                <w:snapToGrid/>
                <w:color w:val="000000"/>
                <w:sz w:val="20"/>
              </w:rPr>
              <w:t>Natural gas extraction</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D10DCE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AF8664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500</w:t>
            </w:r>
          </w:p>
        </w:tc>
        <w:tc>
          <w:tcPr>
            <w:tcW w:w="220" w:type="dxa"/>
            <w:vAlign w:val="center"/>
            <w:hideMark/>
          </w:tcPr>
          <w:p w:rsidRPr="00031231" w:rsidR="00031231" w:rsidP="00031231" w:rsidRDefault="00031231" w14:paraId="3677DCFA" w14:textId="77777777">
            <w:pPr>
              <w:widowControl/>
              <w:rPr>
                <w:rFonts w:ascii="Times New Roman" w:hAnsi="Times New Roman"/>
                <w:snapToGrid/>
                <w:sz w:val="20"/>
              </w:rPr>
            </w:pPr>
          </w:p>
        </w:tc>
      </w:tr>
      <w:tr w:rsidRPr="00031231" w:rsidR="00031231" w:rsidTr="00A27CBD" w14:paraId="502F13F1"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564899EF" w14:textId="77777777">
            <w:pPr>
              <w:widowControl/>
              <w:rPr>
                <w:rFonts w:ascii="Times New Roman" w:hAnsi="Times New Roman"/>
                <w:snapToGrid/>
                <w:color w:val="000000"/>
                <w:sz w:val="20"/>
              </w:rPr>
            </w:pPr>
            <w:r w:rsidRPr="00031231">
              <w:rPr>
                <w:rFonts w:ascii="Times New Roman" w:hAnsi="Times New Roman"/>
                <w:snapToGrid/>
                <w:color w:val="000000"/>
                <w:sz w:val="20"/>
              </w:rPr>
              <w:t>213111</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A463D1E"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Drilling oil and gas wells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3A372D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078FB1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800</w:t>
            </w:r>
          </w:p>
        </w:tc>
        <w:tc>
          <w:tcPr>
            <w:tcW w:w="220" w:type="dxa"/>
            <w:vAlign w:val="center"/>
            <w:hideMark/>
          </w:tcPr>
          <w:p w:rsidRPr="00031231" w:rsidR="00031231" w:rsidP="00031231" w:rsidRDefault="00031231" w14:paraId="5C44A306" w14:textId="77777777">
            <w:pPr>
              <w:widowControl/>
              <w:rPr>
                <w:rFonts w:ascii="Times New Roman" w:hAnsi="Times New Roman"/>
                <w:snapToGrid/>
                <w:sz w:val="20"/>
              </w:rPr>
            </w:pPr>
          </w:p>
        </w:tc>
      </w:tr>
      <w:tr w:rsidRPr="00031231" w:rsidR="00031231" w:rsidTr="00A27CBD" w14:paraId="0FFFF35C"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391CDA92" w14:textId="77777777">
            <w:pPr>
              <w:widowControl/>
              <w:rPr>
                <w:rFonts w:ascii="Times New Roman" w:hAnsi="Times New Roman"/>
                <w:snapToGrid/>
                <w:color w:val="000000"/>
                <w:sz w:val="20"/>
              </w:rPr>
            </w:pPr>
            <w:r w:rsidRPr="00031231">
              <w:rPr>
                <w:rFonts w:ascii="Times New Roman" w:hAnsi="Times New Roman"/>
                <w:snapToGrid/>
                <w:color w:val="000000"/>
                <w:sz w:val="20"/>
              </w:rPr>
              <w:t>213112</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2F9DA99"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Support activities for oil and gas operations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643E4F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5B3B93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1,900</w:t>
            </w:r>
          </w:p>
        </w:tc>
        <w:tc>
          <w:tcPr>
            <w:tcW w:w="220" w:type="dxa"/>
            <w:vAlign w:val="center"/>
            <w:hideMark/>
          </w:tcPr>
          <w:p w:rsidRPr="00031231" w:rsidR="00031231" w:rsidP="00031231" w:rsidRDefault="00031231" w14:paraId="6AD53284" w14:textId="77777777">
            <w:pPr>
              <w:widowControl/>
              <w:rPr>
                <w:rFonts w:ascii="Times New Roman" w:hAnsi="Times New Roman"/>
                <w:snapToGrid/>
                <w:sz w:val="20"/>
              </w:rPr>
            </w:pPr>
          </w:p>
        </w:tc>
      </w:tr>
      <w:tr w:rsidRPr="00031231" w:rsidR="00031231" w:rsidTr="00A27CBD" w14:paraId="590C7387"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927B835" w14:textId="77777777">
            <w:pPr>
              <w:widowControl/>
              <w:rPr>
                <w:rFonts w:ascii="Times New Roman" w:hAnsi="Times New Roman"/>
                <w:snapToGrid/>
                <w:color w:val="000000"/>
                <w:sz w:val="20"/>
              </w:rPr>
            </w:pPr>
            <w:r w:rsidRPr="00031231">
              <w:rPr>
                <w:rFonts w:ascii="Times New Roman" w:hAnsi="Times New Roman"/>
                <w:snapToGrid/>
                <w:color w:val="000000"/>
                <w:sz w:val="20"/>
              </w:rPr>
              <w:t>213113</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3D2B467"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Support activities for coal mining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55FA38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110DF7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40</w:t>
            </w:r>
          </w:p>
        </w:tc>
        <w:tc>
          <w:tcPr>
            <w:tcW w:w="220" w:type="dxa"/>
            <w:vAlign w:val="center"/>
            <w:hideMark/>
          </w:tcPr>
          <w:p w:rsidRPr="00031231" w:rsidR="00031231" w:rsidP="00031231" w:rsidRDefault="00031231" w14:paraId="6F5989E8" w14:textId="77777777">
            <w:pPr>
              <w:widowControl/>
              <w:rPr>
                <w:rFonts w:ascii="Times New Roman" w:hAnsi="Times New Roman"/>
                <w:snapToGrid/>
                <w:sz w:val="20"/>
              </w:rPr>
            </w:pPr>
          </w:p>
        </w:tc>
      </w:tr>
      <w:tr w:rsidRPr="00031231" w:rsidR="00031231" w:rsidTr="00A27CBD" w14:paraId="7D39CDE9"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4DB8F1C3" w14:textId="77777777">
            <w:pPr>
              <w:widowControl/>
              <w:rPr>
                <w:rFonts w:ascii="Times New Roman" w:hAnsi="Times New Roman"/>
                <w:snapToGrid/>
                <w:color w:val="000000"/>
                <w:sz w:val="20"/>
              </w:rPr>
            </w:pPr>
            <w:r w:rsidRPr="00031231">
              <w:rPr>
                <w:rFonts w:ascii="Times New Roman" w:hAnsi="Times New Roman"/>
                <w:snapToGrid/>
                <w:color w:val="000000"/>
                <w:sz w:val="20"/>
              </w:rPr>
              <w:t>213114</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B1F990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Support activities for metal mining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63DD36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CE3923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70</w:t>
            </w:r>
          </w:p>
        </w:tc>
        <w:tc>
          <w:tcPr>
            <w:tcW w:w="220" w:type="dxa"/>
            <w:vAlign w:val="center"/>
            <w:hideMark/>
          </w:tcPr>
          <w:p w:rsidRPr="00031231" w:rsidR="00031231" w:rsidP="00031231" w:rsidRDefault="00031231" w14:paraId="216D67F4" w14:textId="77777777">
            <w:pPr>
              <w:widowControl/>
              <w:rPr>
                <w:rFonts w:ascii="Times New Roman" w:hAnsi="Times New Roman"/>
                <w:snapToGrid/>
                <w:sz w:val="20"/>
              </w:rPr>
            </w:pPr>
          </w:p>
        </w:tc>
      </w:tr>
      <w:tr w:rsidRPr="00031231" w:rsidR="00031231" w:rsidTr="00A27CBD" w14:paraId="4844D907" w14:textId="77777777">
        <w:trPr>
          <w:trHeight w:val="355"/>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D9D4E6B" w14:textId="77777777">
            <w:pPr>
              <w:widowControl/>
              <w:rPr>
                <w:rFonts w:ascii="Times New Roman" w:hAnsi="Times New Roman"/>
                <w:snapToGrid/>
                <w:color w:val="000000"/>
                <w:sz w:val="20"/>
              </w:rPr>
            </w:pPr>
            <w:r w:rsidRPr="00031231">
              <w:rPr>
                <w:rFonts w:ascii="Times New Roman" w:hAnsi="Times New Roman"/>
                <w:snapToGrid/>
                <w:color w:val="000000"/>
                <w:sz w:val="20"/>
              </w:rPr>
              <w:t>213115</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6D63292"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Support activities for nonmetallic minerals (except fuels) mining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25EBA6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72186B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220" w:type="dxa"/>
            <w:vAlign w:val="center"/>
            <w:hideMark/>
          </w:tcPr>
          <w:p w:rsidRPr="00031231" w:rsidR="00031231" w:rsidP="00031231" w:rsidRDefault="00031231" w14:paraId="0C3AD688" w14:textId="77777777">
            <w:pPr>
              <w:widowControl/>
              <w:rPr>
                <w:rFonts w:ascii="Times New Roman" w:hAnsi="Times New Roman"/>
                <w:snapToGrid/>
                <w:sz w:val="20"/>
              </w:rPr>
            </w:pPr>
          </w:p>
        </w:tc>
      </w:tr>
      <w:tr w:rsidRPr="00031231" w:rsidR="00031231" w:rsidTr="00A27CBD" w14:paraId="168280B6"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1446AF2C" w14:textId="77777777">
            <w:pPr>
              <w:widowControl/>
              <w:rPr>
                <w:rFonts w:ascii="Times New Roman" w:hAnsi="Times New Roman"/>
                <w:snapToGrid/>
                <w:color w:val="000000"/>
                <w:sz w:val="20"/>
              </w:rPr>
            </w:pPr>
            <w:r w:rsidRPr="00031231">
              <w:rPr>
                <w:rFonts w:ascii="Times New Roman" w:hAnsi="Times New Roman"/>
                <w:snapToGrid/>
                <w:color w:val="000000"/>
                <w:sz w:val="20"/>
              </w:rPr>
              <w:t>221111</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6BAE55A"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Hydroelectric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AFD9AA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E22639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450</w:t>
            </w:r>
          </w:p>
        </w:tc>
        <w:tc>
          <w:tcPr>
            <w:tcW w:w="220" w:type="dxa"/>
            <w:vAlign w:val="center"/>
            <w:hideMark/>
          </w:tcPr>
          <w:p w:rsidRPr="00031231" w:rsidR="00031231" w:rsidP="00031231" w:rsidRDefault="00031231" w14:paraId="38545660" w14:textId="77777777">
            <w:pPr>
              <w:widowControl/>
              <w:rPr>
                <w:rFonts w:ascii="Times New Roman" w:hAnsi="Times New Roman"/>
                <w:snapToGrid/>
                <w:sz w:val="20"/>
              </w:rPr>
            </w:pPr>
          </w:p>
        </w:tc>
      </w:tr>
      <w:tr w:rsidRPr="00031231" w:rsidR="00031231" w:rsidTr="00A27CBD" w14:paraId="6DD7A06B"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79085CF" w14:textId="77777777">
            <w:pPr>
              <w:widowControl/>
              <w:rPr>
                <w:rFonts w:ascii="Times New Roman" w:hAnsi="Times New Roman"/>
                <w:snapToGrid/>
                <w:color w:val="000000"/>
                <w:sz w:val="20"/>
              </w:rPr>
            </w:pPr>
            <w:r w:rsidRPr="00031231">
              <w:rPr>
                <w:rFonts w:ascii="Times New Roman" w:hAnsi="Times New Roman"/>
                <w:snapToGrid/>
                <w:color w:val="000000"/>
                <w:sz w:val="20"/>
              </w:rPr>
              <w:t>221112</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E6A18CF"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Fossil fuel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746A96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90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CDD6C9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1,800</w:t>
            </w:r>
          </w:p>
        </w:tc>
        <w:tc>
          <w:tcPr>
            <w:tcW w:w="220" w:type="dxa"/>
            <w:vAlign w:val="center"/>
            <w:hideMark/>
          </w:tcPr>
          <w:p w:rsidRPr="00031231" w:rsidR="00031231" w:rsidP="00031231" w:rsidRDefault="00031231" w14:paraId="059CDD04" w14:textId="77777777">
            <w:pPr>
              <w:widowControl/>
              <w:rPr>
                <w:rFonts w:ascii="Times New Roman" w:hAnsi="Times New Roman"/>
                <w:snapToGrid/>
                <w:sz w:val="20"/>
              </w:rPr>
            </w:pPr>
          </w:p>
        </w:tc>
      </w:tr>
      <w:tr w:rsidRPr="00031231" w:rsidR="00031231" w:rsidTr="00A27CBD" w14:paraId="78F5B0B8"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4320B08" w14:textId="77777777">
            <w:pPr>
              <w:widowControl/>
              <w:rPr>
                <w:rFonts w:ascii="Times New Roman" w:hAnsi="Times New Roman"/>
                <w:snapToGrid/>
                <w:color w:val="000000"/>
                <w:sz w:val="20"/>
              </w:rPr>
            </w:pPr>
            <w:r w:rsidRPr="00031231">
              <w:rPr>
                <w:rFonts w:ascii="Times New Roman" w:hAnsi="Times New Roman"/>
                <w:snapToGrid/>
                <w:color w:val="000000"/>
                <w:sz w:val="20"/>
              </w:rPr>
              <w:t>221113</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EDDE396"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Nuclear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170B560"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BEB137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220" w:type="dxa"/>
            <w:vAlign w:val="center"/>
            <w:hideMark/>
          </w:tcPr>
          <w:p w:rsidRPr="00031231" w:rsidR="00031231" w:rsidP="00031231" w:rsidRDefault="00031231" w14:paraId="5455C1B9" w14:textId="77777777">
            <w:pPr>
              <w:widowControl/>
              <w:rPr>
                <w:rFonts w:ascii="Times New Roman" w:hAnsi="Times New Roman"/>
                <w:snapToGrid/>
                <w:sz w:val="20"/>
              </w:rPr>
            </w:pPr>
          </w:p>
        </w:tc>
      </w:tr>
      <w:tr w:rsidRPr="00031231" w:rsidR="00031231" w:rsidTr="00A27CBD" w14:paraId="7B75720B"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4896CDF" w14:textId="77777777">
            <w:pPr>
              <w:widowControl/>
              <w:rPr>
                <w:rFonts w:ascii="Times New Roman" w:hAnsi="Times New Roman"/>
                <w:snapToGrid/>
                <w:color w:val="000000"/>
                <w:sz w:val="20"/>
              </w:rPr>
            </w:pPr>
            <w:r w:rsidRPr="00031231">
              <w:rPr>
                <w:rFonts w:ascii="Times New Roman" w:hAnsi="Times New Roman"/>
                <w:snapToGrid/>
                <w:color w:val="000000"/>
                <w:sz w:val="20"/>
              </w:rPr>
              <w:t>221114</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7225B6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Solar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C18BD8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C2BD8B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90</w:t>
            </w:r>
          </w:p>
        </w:tc>
        <w:tc>
          <w:tcPr>
            <w:tcW w:w="220" w:type="dxa"/>
            <w:vAlign w:val="center"/>
            <w:hideMark/>
          </w:tcPr>
          <w:p w:rsidRPr="00031231" w:rsidR="00031231" w:rsidP="00031231" w:rsidRDefault="00031231" w14:paraId="09256A8E" w14:textId="77777777">
            <w:pPr>
              <w:widowControl/>
              <w:rPr>
                <w:rFonts w:ascii="Times New Roman" w:hAnsi="Times New Roman"/>
                <w:snapToGrid/>
                <w:sz w:val="20"/>
              </w:rPr>
            </w:pPr>
          </w:p>
        </w:tc>
      </w:tr>
      <w:tr w:rsidRPr="00031231" w:rsidR="00031231" w:rsidTr="00A27CBD" w14:paraId="42F29F6B"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3A5137E" w14:textId="77777777">
            <w:pPr>
              <w:widowControl/>
              <w:rPr>
                <w:rFonts w:ascii="Times New Roman" w:hAnsi="Times New Roman"/>
                <w:snapToGrid/>
                <w:color w:val="000000"/>
                <w:sz w:val="20"/>
              </w:rPr>
            </w:pPr>
            <w:r w:rsidRPr="00031231">
              <w:rPr>
                <w:rFonts w:ascii="Times New Roman" w:hAnsi="Times New Roman"/>
                <w:snapToGrid/>
                <w:color w:val="000000"/>
                <w:sz w:val="20"/>
              </w:rPr>
              <w:t>221115</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EE9C095"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Wind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88DFEF9"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A7B976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450</w:t>
            </w:r>
          </w:p>
        </w:tc>
        <w:tc>
          <w:tcPr>
            <w:tcW w:w="220" w:type="dxa"/>
            <w:vAlign w:val="center"/>
            <w:hideMark/>
          </w:tcPr>
          <w:p w:rsidRPr="00031231" w:rsidR="00031231" w:rsidP="00031231" w:rsidRDefault="00031231" w14:paraId="726C61D8" w14:textId="77777777">
            <w:pPr>
              <w:widowControl/>
              <w:rPr>
                <w:rFonts w:ascii="Times New Roman" w:hAnsi="Times New Roman"/>
                <w:snapToGrid/>
                <w:sz w:val="20"/>
              </w:rPr>
            </w:pPr>
          </w:p>
        </w:tc>
      </w:tr>
      <w:tr w:rsidRPr="00031231" w:rsidR="00031231" w:rsidTr="00A27CBD" w14:paraId="16CFC6AD"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0DAA0C3" w14:textId="77777777">
            <w:pPr>
              <w:widowControl/>
              <w:rPr>
                <w:rFonts w:ascii="Times New Roman" w:hAnsi="Times New Roman"/>
                <w:snapToGrid/>
                <w:color w:val="000000"/>
                <w:sz w:val="20"/>
              </w:rPr>
            </w:pPr>
            <w:r w:rsidRPr="00031231">
              <w:rPr>
                <w:rFonts w:ascii="Times New Roman" w:hAnsi="Times New Roman"/>
                <w:snapToGrid/>
                <w:color w:val="000000"/>
                <w:sz w:val="20"/>
              </w:rPr>
              <w:t>221116</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E565154"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Geothermal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07AB9F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F3DFAC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220" w:type="dxa"/>
            <w:vAlign w:val="center"/>
            <w:hideMark/>
          </w:tcPr>
          <w:p w:rsidRPr="00031231" w:rsidR="00031231" w:rsidP="00031231" w:rsidRDefault="00031231" w14:paraId="27CA4BEF" w14:textId="77777777">
            <w:pPr>
              <w:widowControl/>
              <w:rPr>
                <w:rFonts w:ascii="Times New Roman" w:hAnsi="Times New Roman"/>
                <w:snapToGrid/>
                <w:sz w:val="20"/>
              </w:rPr>
            </w:pPr>
          </w:p>
        </w:tc>
      </w:tr>
      <w:tr w:rsidRPr="00031231" w:rsidR="00031231" w:rsidTr="00A27CBD" w14:paraId="2A7271B8"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3C058CD3" w14:textId="77777777">
            <w:pPr>
              <w:widowControl/>
              <w:rPr>
                <w:rFonts w:ascii="Times New Roman" w:hAnsi="Times New Roman"/>
                <w:snapToGrid/>
                <w:color w:val="000000"/>
                <w:sz w:val="20"/>
              </w:rPr>
            </w:pPr>
            <w:r w:rsidRPr="00031231">
              <w:rPr>
                <w:rFonts w:ascii="Times New Roman" w:hAnsi="Times New Roman"/>
                <w:snapToGrid/>
                <w:color w:val="000000"/>
                <w:sz w:val="20"/>
              </w:rPr>
              <w:t>221117</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BF85A69"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Biomass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1B14D3B"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9EC972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60</w:t>
            </w:r>
          </w:p>
        </w:tc>
        <w:tc>
          <w:tcPr>
            <w:tcW w:w="220" w:type="dxa"/>
            <w:vAlign w:val="center"/>
            <w:hideMark/>
          </w:tcPr>
          <w:p w:rsidRPr="00031231" w:rsidR="00031231" w:rsidP="00031231" w:rsidRDefault="00031231" w14:paraId="14701215" w14:textId="77777777">
            <w:pPr>
              <w:widowControl/>
              <w:rPr>
                <w:rFonts w:ascii="Times New Roman" w:hAnsi="Times New Roman"/>
                <w:snapToGrid/>
                <w:sz w:val="20"/>
              </w:rPr>
            </w:pPr>
          </w:p>
        </w:tc>
      </w:tr>
      <w:tr w:rsidRPr="00031231" w:rsidR="00031231" w:rsidTr="00A27CBD" w14:paraId="035FC3BF"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3815B44" w14:textId="77777777">
            <w:pPr>
              <w:widowControl/>
              <w:rPr>
                <w:rFonts w:ascii="Times New Roman" w:hAnsi="Times New Roman"/>
                <w:snapToGrid/>
                <w:color w:val="000000"/>
                <w:sz w:val="20"/>
              </w:rPr>
            </w:pPr>
            <w:r w:rsidRPr="00031231">
              <w:rPr>
                <w:rFonts w:ascii="Times New Roman" w:hAnsi="Times New Roman"/>
                <w:snapToGrid/>
                <w:color w:val="000000"/>
                <w:sz w:val="20"/>
              </w:rPr>
              <w:t>221118</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496F4C1"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Other electric power generation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E385AA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2FB21B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70</w:t>
            </w:r>
          </w:p>
        </w:tc>
        <w:tc>
          <w:tcPr>
            <w:tcW w:w="220" w:type="dxa"/>
            <w:vAlign w:val="center"/>
            <w:hideMark/>
          </w:tcPr>
          <w:p w:rsidRPr="00031231" w:rsidR="00031231" w:rsidP="00031231" w:rsidRDefault="00031231" w14:paraId="07487FE9" w14:textId="77777777">
            <w:pPr>
              <w:widowControl/>
              <w:rPr>
                <w:rFonts w:ascii="Times New Roman" w:hAnsi="Times New Roman"/>
                <w:snapToGrid/>
                <w:sz w:val="20"/>
              </w:rPr>
            </w:pPr>
          </w:p>
        </w:tc>
      </w:tr>
      <w:tr w:rsidRPr="00031231" w:rsidR="00031231" w:rsidTr="00A27CBD" w14:paraId="184DC3B9"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BE52F69" w14:textId="77777777">
            <w:pPr>
              <w:widowControl/>
              <w:rPr>
                <w:rFonts w:ascii="Times New Roman" w:hAnsi="Times New Roman"/>
                <w:snapToGrid/>
                <w:color w:val="000000"/>
                <w:sz w:val="20"/>
              </w:rPr>
            </w:pPr>
            <w:r w:rsidRPr="00031231">
              <w:rPr>
                <w:rFonts w:ascii="Times New Roman" w:hAnsi="Times New Roman"/>
                <w:snapToGrid/>
                <w:color w:val="000000"/>
                <w:sz w:val="20"/>
              </w:rPr>
              <w:t>221121</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2588B62"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Electric bulk power transmission and control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9E8304D"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B91E3F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300</w:t>
            </w:r>
          </w:p>
        </w:tc>
        <w:tc>
          <w:tcPr>
            <w:tcW w:w="220" w:type="dxa"/>
            <w:vAlign w:val="center"/>
            <w:hideMark/>
          </w:tcPr>
          <w:p w:rsidRPr="00031231" w:rsidR="00031231" w:rsidP="00031231" w:rsidRDefault="00031231" w14:paraId="56E4884D" w14:textId="77777777">
            <w:pPr>
              <w:widowControl/>
              <w:rPr>
                <w:rFonts w:ascii="Times New Roman" w:hAnsi="Times New Roman"/>
                <w:snapToGrid/>
                <w:sz w:val="20"/>
              </w:rPr>
            </w:pPr>
          </w:p>
        </w:tc>
      </w:tr>
      <w:tr w:rsidRPr="00031231" w:rsidR="00031231" w:rsidTr="00A27CBD" w14:paraId="68E978D7"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A5A4A33" w14:textId="77777777">
            <w:pPr>
              <w:widowControl/>
              <w:rPr>
                <w:rFonts w:ascii="Times New Roman" w:hAnsi="Times New Roman"/>
                <w:snapToGrid/>
                <w:color w:val="000000"/>
                <w:sz w:val="20"/>
              </w:rPr>
            </w:pPr>
            <w:r w:rsidRPr="00031231">
              <w:rPr>
                <w:rFonts w:ascii="Times New Roman" w:hAnsi="Times New Roman"/>
                <w:snapToGrid/>
                <w:color w:val="000000"/>
                <w:sz w:val="20"/>
              </w:rPr>
              <w:t>221122</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4DD76FE" w14:textId="77777777">
            <w:pPr>
              <w:widowControl/>
              <w:rPr>
                <w:rFonts w:ascii="Times New Roman" w:hAnsi="Times New Roman"/>
                <w:snapToGrid/>
                <w:color w:val="000000"/>
                <w:sz w:val="20"/>
              </w:rPr>
            </w:pPr>
            <w:r w:rsidRPr="00031231">
              <w:rPr>
                <w:rFonts w:ascii="Times New Roman" w:hAnsi="Times New Roman"/>
                <w:snapToGrid/>
                <w:color w:val="000000"/>
                <w:sz w:val="20"/>
              </w:rPr>
              <w:t>Electric power distribution</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F2AE0D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B00679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8,000</w:t>
            </w:r>
          </w:p>
        </w:tc>
        <w:tc>
          <w:tcPr>
            <w:tcW w:w="220" w:type="dxa"/>
            <w:vAlign w:val="center"/>
            <w:hideMark/>
          </w:tcPr>
          <w:p w:rsidRPr="00031231" w:rsidR="00031231" w:rsidP="00031231" w:rsidRDefault="00031231" w14:paraId="39937482" w14:textId="77777777">
            <w:pPr>
              <w:widowControl/>
              <w:rPr>
                <w:rFonts w:ascii="Times New Roman" w:hAnsi="Times New Roman"/>
                <w:snapToGrid/>
                <w:sz w:val="20"/>
              </w:rPr>
            </w:pPr>
          </w:p>
        </w:tc>
      </w:tr>
      <w:tr w:rsidRPr="00031231" w:rsidR="00031231" w:rsidTr="00A27CBD" w14:paraId="0BDAD456"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5FCDB33C" w14:textId="77777777">
            <w:pPr>
              <w:widowControl/>
              <w:rPr>
                <w:rFonts w:ascii="Times New Roman" w:hAnsi="Times New Roman"/>
                <w:snapToGrid/>
                <w:color w:val="000000"/>
                <w:sz w:val="20"/>
              </w:rPr>
            </w:pPr>
            <w:r w:rsidRPr="00031231">
              <w:rPr>
                <w:rFonts w:ascii="Times New Roman" w:hAnsi="Times New Roman"/>
                <w:snapToGrid/>
                <w:color w:val="000000"/>
                <w:sz w:val="20"/>
              </w:rPr>
              <w:t>221210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161EA8C" w14:textId="77777777">
            <w:pPr>
              <w:widowControl/>
              <w:rPr>
                <w:rFonts w:ascii="Times New Roman" w:hAnsi="Times New Roman"/>
                <w:snapToGrid/>
                <w:color w:val="000000"/>
                <w:sz w:val="20"/>
              </w:rPr>
            </w:pPr>
            <w:r w:rsidRPr="00031231">
              <w:rPr>
                <w:rFonts w:ascii="Times New Roman" w:hAnsi="Times New Roman"/>
                <w:snapToGrid/>
                <w:color w:val="000000"/>
                <w:sz w:val="20"/>
              </w:rPr>
              <w:t>Natural gas distribution</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46FF05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563768B"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2,200</w:t>
            </w:r>
          </w:p>
        </w:tc>
        <w:tc>
          <w:tcPr>
            <w:tcW w:w="220" w:type="dxa"/>
            <w:vAlign w:val="center"/>
            <w:hideMark/>
          </w:tcPr>
          <w:p w:rsidRPr="00031231" w:rsidR="00031231" w:rsidP="00031231" w:rsidRDefault="00031231" w14:paraId="33C79CE5" w14:textId="77777777">
            <w:pPr>
              <w:widowControl/>
              <w:rPr>
                <w:rFonts w:ascii="Times New Roman" w:hAnsi="Times New Roman"/>
                <w:snapToGrid/>
                <w:sz w:val="20"/>
              </w:rPr>
            </w:pPr>
          </w:p>
        </w:tc>
      </w:tr>
      <w:tr w:rsidRPr="00031231" w:rsidR="00031231" w:rsidTr="00A27CBD" w14:paraId="6B258277"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510A43B" w14:textId="77777777">
            <w:pPr>
              <w:widowControl/>
              <w:rPr>
                <w:rFonts w:ascii="Times New Roman" w:hAnsi="Times New Roman"/>
                <w:snapToGrid/>
                <w:color w:val="000000"/>
                <w:sz w:val="20"/>
              </w:rPr>
            </w:pPr>
            <w:r w:rsidRPr="00031231">
              <w:rPr>
                <w:rFonts w:ascii="Times New Roman" w:hAnsi="Times New Roman"/>
                <w:snapToGrid/>
                <w:color w:val="000000"/>
                <w:sz w:val="20"/>
              </w:rPr>
              <w:t>221310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A796617"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Water supply and irrigation systems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E4E677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0E3CAF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850</w:t>
            </w:r>
          </w:p>
        </w:tc>
        <w:tc>
          <w:tcPr>
            <w:tcW w:w="220" w:type="dxa"/>
            <w:vAlign w:val="center"/>
            <w:hideMark/>
          </w:tcPr>
          <w:p w:rsidRPr="00031231" w:rsidR="00031231" w:rsidP="00031231" w:rsidRDefault="00031231" w14:paraId="0DED7EC8" w14:textId="77777777">
            <w:pPr>
              <w:widowControl/>
              <w:rPr>
                <w:rFonts w:ascii="Times New Roman" w:hAnsi="Times New Roman"/>
                <w:snapToGrid/>
                <w:sz w:val="20"/>
              </w:rPr>
            </w:pPr>
          </w:p>
        </w:tc>
      </w:tr>
      <w:tr w:rsidRPr="00031231" w:rsidR="00031231" w:rsidTr="00A27CBD" w14:paraId="428C6F3D"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190AF7D5" w14:textId="77777777">
            <w:pPr>
              <w:widowControl/>
              <w:rPr>
                <w:rFonts w:ascii="Times New Roman" w:hAnsi="Times New Roman"/>
                <w:snapToGrid/>
                <w:color w:val="000000"/>
                <w:sz w:val="20"/>
              </w:rPr>
            </w:pPr>
            <w:r w:rsidRPr="00031231">
              <w:rPr>
                <w:rFonts w:ascii="Times New Roman" w:hAnsi="Times New Roman"/>
                <w:snapToGrid/>
                <w:color w:val="000000"/>
                <w:sz w:val="20"/>
              </w:rPr>
              <w:t>221320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4D26FBC"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Sewage treatment facilities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815527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50990E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220" w:type="dxa"/>
            <w:vAlign w:val="center"/>
            <w:hideMark/>
          </w:tcPr>
          <w:p w:rsidRPr="00031231" w:rsidR="00031231" w:rsidP="00031231" w:rsidRDefault="00031231" w14:paraId="6B089015" w14:textId="77777777">
            <w:pPr>
              <w:widowControl/>
              <w:rPr>
                <w:rFonts w:ascii="Times New Roman" w:hAnsi="Times New Roman"/>
                <w:snapToGrid/>
                <w:sz w:val="20"/>
              </w:rPr>
            </w:pPr>
          </w:p>
        </w:tc>
      </w:tr>
      <w:tr w:rsidRPr="00031231" w:rsidR="00031231" w:rsidTr="00A27CBD" w14:paraId="267B3941"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0944982" w14:textId="77777777">
            <w:pPr>
              <w:widowControl/>
              <w:rPr>
                <w:rFonts w:ascii="Times New Roman" w:hAnsi="Times New Roman"/>
                <w:snapToGrid/>
                <w:color w:val="000000"/>
                <w:sz w:val="20"/>
              </w:rPr>
            </w:pPr>
            <w:r w:rsidRPr="00031231">
              <w:rPr>
                <w:rFonts w:ascii="Times New Roman" w:hAnsi="Times New Roman"/>
                <w:snapToGrid/>
                <w:color w:val="000000"/>
                <w:sz w:val="20"/>
              </w:rPr>
              <w:t>221330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3D4CB9A"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Steam and air-conditioning supply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593C8CF"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18B7C6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90</w:t>
            </w:r>
          </w:p>
        </w:tc>
        <w:tc>
          <w:tcPr>
            <w:tcW w:w="220" w:type="dxa"/>
            <w:vAlign w:val="center"/>
            <w:hideMark/>
          </w:tcPr>
          <w:p w:rsidRPr="00031231" w:rsidR="00031231" w:rsidP="00031231" w:rsidRDefault="00031231" w14:paraId="6F302EAB" w14:textId="77777777">
            <w:pPr>
              <w:widowControl/>
              <w:rPr>
                <w:rFonts w:ascii="Times New Roman" w:hAnsi="Times New Roman"/>
                <w:snapToGrid/>
                <w:sz w:val="20"/>
              </w:rPr>
            </w:pPr>
          </w:p>
        </w:tc>
      </w:tr>
      <w:tr w:rsidRPr="00031231" w:rsidR="00031231" w:rsidTr="00A27CBD" w14:paraId="4C5D3717"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0503213" w14:textId="77777777">
            <w:pPr>
              <w:widowControl/>
              <w:rPr>
                <w:rFonts w:ascii="Times New Roman" w:hAnsi="Times New Roman"/>
                <w:snapToGrid/>
                <w:color w:val="000000"/>
                <w:sz w:val="20"/>
              </w:rPr>
            </w:pPr>
            <w:r w:rsidRPr="00031231">
              <w:rPr>
                <w:rFonts w:ascii="Times New Roman" w:hAnsi="Times New Roman"/>
                <w:snapToGrid/>
                <w:color w:val="000000"/>
                <w:sz w:val="20"/>
              </w:rPr>
              <w:t>512110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F9DFD55"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Motion picture and video production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B0C9E70"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E271291"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500</w:t>
            </w:r>
          </w:p>
        </w:tc>
        <w:tc>
          <w:tcPr>
            <w:tcW w:w="220" w:type="dxa"/>
            <w:vAlign w:val="center"/>
            <w:hideMark/>
          </w:tcPr>
          <w:p w:rsidRPr="00031231" w:rsidR="00031231" w:rsidP="00031231" w:rsidRDefault="00031231" w14:paraId="1C002376" w14:textId="77777777">
            <w:pPr>
              <w:widowControl/>
              <w:rPr>
                <w:rFonts w:ascii="Times New Roman" w:hAnsi="Times New Roman"/>
                <w:snapToGrid/>
                <w:sz w:val="20"/>
              </w:rPr>
            </w:pPr>
          </w:p>
        </w:tc>
      </w:tr>
      <w:tr w:rsidRPr="00031231" w:rsidR="00031231" w:rsidTr="00A27CBD" w14:paraId="6F67FF28"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F17434D" w14:textId="77777777">
            <w:pPr>
              <w:widowControl/>
              <w:rPr>
                <w:rFonts w:ascii="Times New Roman" w:hAnsi="Times New Roman"/>
                <w:snapToGrid/>
                <w:color w:val="000000"/>
                <w:sz w:val="20"/>
              </w:rPr>
            </w:pPr>
            <w:r w:rsidRPr="00031231">
              <w:rPr>
                <w:rFonts w:ascii="Times New Roman" w:hAnsi="Times New Roman"/>
                <w:snapToGrid/>
                <w:color w:val="000000"/>
                <w:sz w:val="20"/>
              </w:rPr>
              <w:t>512120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A7DA190"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Motion picture and video distribution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0ABDAD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BF6650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220" w:type="dxa"/>
            <w:vAlign w:val="center"/>
            <w:hideMark/>
          </w:tcPr>
          <w:p w:rsidRPr="00031231" w:rsidR="00031231" w:rsidP="00031231" w:rsidRDefault="00031231" w14:paraId="468ECD55" w14:textId="77777777">
            <w:pPr>
              <w:widowControl/>
              <w:rPr>
                <w:rFonts w:ascii="Times New Roman" w:hAnsi="Times New Roman"/>
                <w:snapToGrid/>
                <w:sz w:val="20"/>
              </w:rPr>
            </w:pPr>
          </w:p>
        </w:tc>
      </w:tr>
      <w:tr w:rsidRPr="00031231" w:rsidR="00031231" w:rsidTr="00A27CBD" w14:paraId="2A110673"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3B4941A" w14:textId="77777777">
            <w:pPr>
              <w:widowControl/>
              <w:rPr>
                <w:rFonts w:ascii="Times New Roman" w:hAnsi="Times New Roman"/>
                <w:snapToGrid/>
                <w:color w:val="000000"/>
                <w:sz w:val="20"/>
              </w:rPr>
            </w:pPr>
            <w:r w:rsidRPr="00031231">
              <w:rPr>
                <w:rFonts w:ascii="Times New Roman" w:hAnsi="Times New Roman"/>
                <w:snapToGrid/>
                <w:color w:val="000000"/>
                <w:sz w:val="20"/>
              </w:rPr>
              <w:t>517311</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1A25295" w14:textId="77777777">
            <w:pPr>
              <w:widowControl/>
              <w:rPr>
                <w:rFonts w:ascii="Times New Roman" w:hAnsi="Times New Roman"/>
                <w:snapToGrid/>
                <w:color w:val="000000"/>
                <w:sz w:val="20"/>
              </w:rPr>
            </w:pPr>
            <w:r w:rsidRPr="00031231">
              <w:rPr>
                <w:rFonts w:ascii="Times New Roman" w:hAnsi="Times New Roman"/>
                <w:snapToGrid/>
                <w:color w:val="000000"/>
                <w:sz w:val="20"/>
              </w:rPr>
              <w:t>Wired telecommunications carriers</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B46ED4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B08A94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27,000</w:t>
            </w:r>
          </w:p>
        </w:tc>
        <w:tc>
          <w:tcPr>
            <w:tcW w:w="220" w:type="dxa"/>
            <w:vAlign w:val="center"/>
            <w:hideMark/>
          </w:tcPr>
          <w:p w:rsidRPr="00031231" w:rsidR="00031231" w:rsidP="00031231" w:rsidRDefault="00031231" w14:paraId="5652303A" w14:textId="77777777">
            <w:pPr>
              <w:widowControl/>
              <w:rPr>
                <w:rFonts w:ascii="Times New Roman" w:hAnsi="Times New Roman"/>
                <w:snapToGrid/>
                <w:sz w:val="20"/>
              </w:rPr>
            </w:pPr>
          </w:p>
        </w:tc>
      </w:tr>
      <w:tr w:rsidRPr="00031231" w:rsidR="00031231" w:rsidTr="00A27CBD" w14:paraId="016E44B9"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6A313A66" w14:textId="77777777">
            <w:pPr>
              <w:widowControl/>
              <w:rPr>
                <w:rFonts w:ascii="Times New Roman" w:hAnsi="Times New Roman"/>
                <w:snapToGrid/>
                <w:color w:val="000000"/>
                <w:sz w:val="20"/>
              </w:rPr>
            </w:pPr>
            <w:r w:rsidRPr="00031231">
              <w:rPr>
                <w:rFonts w:ascii="Times New Roman" w:hAnsi="Times New Roman"/>
                <w:snapToGrid/>
                <w:color w:val="000000"/>
                <w:sz w:val="20"/>
              </w:rPr>
              <w:t>517312</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D9A45F9" w14:textId="77777777">
            <w:pPr>
              <w:widowControl/>
              <w:rPr>
                <w:rFonts w:ascii="Times New Roman" w:hAnsi="Times New Roman"/>
                <w:snapToGrid/>
                <w:color w:val="000000"/>
                <w:sz w:val="20"/>
              </w:rPr>
            </w:pPr>
            <w:r w:rsidRPr="00031231">
              <w:rPr>
                <w:rFonts w:ascii="Times New Roman" w:hAnsi="Times New Roman"/>
                <w:snapToGrid/>
                <w:color w:val="000000"/>
                <w:sz w:val="20"/>
              </w:rPr>
              <w:t>Wireless telecommunications carriers (except satellite)</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27B6961"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38674E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22,000</w:t>
            </w:r>
          </w:p>
        </w:tc>
        <w:tc>
          <w:tcPr>
            <w:tcW w:w="220" w:type="dxa"/>
            <w:vAlign w:val="center"/>
            <w:hideMark/>
          </w:tcPr>
          <w:p w:rsidRPr="00031231" w:rsidR="00031231" w:rsidP="00031231" w:rsidRDefault="00031231" w14:paraId="083F5A0C" w14:textId="77777777">
            <w:pPr>
              <w:widowControl/>
              <w:rPr>
                <w:rFonts w:ascii="Times New Roman" w:hAnsi="Times New Roman"/>
                <w:snapToGrid/>
                <w:sz w:val="20"/>
              </w:rPr>
            </w:pPr>
          </w:p>
        </w:tc>
      </w:tr>
      <w:tr w:rsidRPr="00031231" w:rsidR="00031231" w:rsidTr="00A27CBD" w14:paraId="6BE37C7E"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E4F0FD2" w14:textId="77777777">
            <w:pPr>
              <w:widowControl/>
              <w:rPr>
                <w:rFonts w:ascii="Times New Roman" w:hAnsi="Times New Roman"/>
                <w:snapToGrid/>
                <w:color w:val="000000"/>
                <w:sz w:val="20"/>
              </w:rPr>
            </w:pPr>
            <w:r w:rsidRPr="00031231">
              <w:rPr>
                <w:rFonts w:ascii="Times New Roman" w:hAnsi="Times New Roman"/>
                <w:snapToGrid/>
                <w:color w:val="000000"/>
                <w:sz w:val="20"/>
              </w:rPr>
              <w:t>522110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A1EE859" w14:textId="77777777">
            <w:pPr>
              <w:widowControl/>
              <w:rPr>
                <w:rFonts w:ascii="Times New Roman" w:hAnsi="Times New Roman"/>
                <w:snapToGrid/>
                <w:color w:val="000000"/>
                <w:sz w:val="20"/>
              </w:rPr>
            </w:pPr>
            <w:r w:rsidRPr="00031231">
              <w:rPr>
                <w:rFonts w:ascii="Times New Roman" w:hAnsi="Times New Roman"/>
                <w:snapToGrid/>
                <w:color w:val="000000"/>
                <w:sz w:val="20"/>
              </w:rPr>
              <w:t>Commercial banking</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EC4637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2,900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F29A559"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85,500</w:t>
            </w:r>
          </w:p>
        </w:tc>
        <w:tc>
          <w:tcPr>
            <w:tcW w:w="220" w:type="dxa"/>
            <w:vAlign w:val="center"/>
            <w:hideMark/>
          </w:tcPr>
          <w:p w:rsidRPr="00031231" w:rsidR="00031231" w:rsidP="00031231" w:rsidRDefault="00031231" w14:paraId="5BB93999" w14:textId="77777777">
            <w:pPr>
              <w:widowControl/>
              <w:rPr>
                <w:rFonts w:ascii="Times New Roman" w:hAnsi="Times New Roman"/>
                <w:snapToGrid/>
                <w:sz w:val="20"/>
              </w:rPr>
            </w:pPr>
          </w:p>
        </w:tc>
      </w:tr>
      <w:tr w:rsidRPr="00031231" w:rsidR="00031231" w:rsidTr="00A27CBD" w14:paraId="3FF38651"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112BECC8" w14:textId="77777777">
            <w:pPr>
              <w:widowControl/>
              <w:rPr>
                <w:rFonts w:ascii="Times New Roman" w:hAnsi="Times New Roman"/>
                <w:snapToGrid/>
                <w:color w:val="000000"/>
                <w:sz w:val="20"/>
              </w:rPr>
            </w:pPr>
            <w:r w:rsidRPr="00031231">
              <w:rPr>
                <w:rFonts w:ascii="Times New Roman" w:hAnsi="Times New Roman"/>
                <w:snapToGrid/>
                <w:color w:val="000000"/>
                <w:sz w:val="20"/>
              </w:rPr>
              <w:t>522120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D2763A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Savings institutions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B2639C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4839822"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6,700</w:t>
            </w:r>
          </w:p>
        </w:tc>
        <w:tc>
          <w:tcPr>
            <w:tcW w:w="220" w:type="dxa"/>
            <w:vAlign w:val="center"/>
            <w:hideMark/>
          </w:tcPr>
          <w:p w:rsidRPr="00031231" w:rsidR="00031231" w:rsidP="00031231" w:rsidRDefault="00031231" w14:paraId="1770081A" w14:textId="77777777">
            <w:pPr>
              <w:widowControl/>
              <w:rPr>
                <w:rFonts w:ascii="Times New Roman" w:hAnsi="Times New Roman"/>
                <w:snapToGrid/>
                <w:sz w:val="20"/>
              </w:rPr>
            </w:pPr>
          </w:p>
        </w:tc>
      </w:tr>
      <w:tr w:rsidRPr="00031231" w:rsidR="00031231" w:rsidTr="00A27CBD" w14:paraId="6F18BA9D"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C74A617" w14:textId="77777777">
            <w:pPr>
              <w:widowControl/>
              <w:rPr>
                <w:rFonts w:ascii="Times New Roman" w:hAnsi="Times New Roman"/>
                <w:snapToGrid/>
                <w:color w:val="000000"/>
                <w:sz w:val="20"/>
              </w:rPr>
            </w:pPr>
            <w:r w:rsidRPr="00031231">
              <w:rPr>
                <w:rFonts w:ascii="Times New Roman" w:hAnsi="Times New Roman"/>
                <w:snapToGrid/>
                <w:color w:val="000000"/>
                <w:sz w:val="20"/>
              </w:rPr>
              <w:t>522130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214CA4D" w14:textId="77777777">
            <w:pPr>
              <w:widowControl/>
              <w:rPr>
                <w:rFonts w:ascii="Times New Roman" w:hAnsi="Times New Roman"/>
                <w:snapToGrid/>
                <w:color w:val="000000"/>
                <w:sz w:val="20"/>
              </w:rPr>
            </w:pPr>
            <w:r w:rsidRPr="00031231">
              <w:rPr>
                <w:rFonts w:ascii="Times New Roman" w:hAnsi="Times New Roman"/>
                <w:snapToGrid/>
                <w:color w:val="000000"/>
                <w:sz w:val="20"/>
              </w:rPr>
              <w:t>Credit unions</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2A1AEE3"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1,600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FBEF5C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15,500</w:t>
            </w:r>
          </w:p>
        </w:tc>
        <w:tc>
          <w:tcPr>
            <w:tcW w:w="220" w:type="dxa"/>
            <w:vAlign w:val="center"/>
            <w:hideMark/>
          </w:tcPr>
          <w:p w:rsidRPr="00031231" w:rsidR="00031231" w:rsidP="00031231" w:rsidRDefault="00031231" w14:paraId="3BE8DAA5" w14:textId="77777777">
            <w:pPr>
              <w:widowControl/>
              <w:rPr>
                <w:rFonts w:ascii="Times New Roman" w:hAnsi="Times New Roman"/>
                <w:snapToGrid/>
                <w:sz w:val="20"/>
              </w:rPr>
            </w:pPr>
          </w:p>
        </w:tc>
      </w:tr>
      <w:tr w:rsidRPr="00031231" w:rsidR="00031231" w:rsidTr="00A27CBD" w14:paraId="2A65D922"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2BC0E9A" w14:textId="77777777">
            <w:pPr>
              <w:widowControl/>
              <w:rPr>
                <w:rFonts w:ascii="Times New Roman" w:hAnsi="Times New Roman"/>
                <w:snapToGrid/>
                <w:color w:val="000000"/>
                <w:sz w:val="20"/>
              </w:rPr>
            </w:pPr>
            <w:r w:rsidRPr="00031231">
              <w:rPr>
                <w:rFonts w:ascii="Times New Roman" w:hAnsi="Times New Roman"/>
                <w:snapToGrid/>
                <w:color w:val="000000"/>
                <w:sz w:val="20"/>
              </w:rPr>
              <w:t>523110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388DD46" w14:textId="77777777">
            <w:pPr>
              <w:widowControl/>
              <w:rPr>
                <w:rFonts w:ascii="Times New Roman" w:hAnsi="Times New Roman"/>
                <w:snapToGrid/>
                <w:color w:val="000000"/>
                <w:sz w:val="20"/>
              </w:rPr>
            </w:pPr>
            <w:r w:rsidRPr="00031231">
              <w:rPr>
                <w:rFonts w:ascii="Times New Roman" w:hAnsi="Times New Roman"/>
                <w:snapToGrid/>
                <w:color w:val="000000"/>
                <w:sz w:val="20"/>
              </w:rPr>
              <w:t>Investment banking and securities dealing</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49D8A2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ACA4EE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1,500</w:t>
            </w:r>
          </w:p>
        </w:tc>
        <w:tc>
          <w:tcPr>
            <w:tcW w:w="220" w:type="dxa"/>
            <w:vAlign w:val="center"/>
            <w:hideMark/>
          </w:tcPr>
          <w:p w:rsidRPr="00031231" w:rsidR="00031231" w:rsidP="00031231" w:rsidRDefault="00031231" w14:paraId="7E414E4D" w14:textId="77777777">
            <w:pPr>
              <w:widowControl/>
              <w:rPr>
                <w:rFonts w:ascii="Times New Roman" w:hAnsi="Times New Roman"/>
                <w:snapToGrid/>
                <w:sz w:val="20"/>
              </w:rPr>
            </w:pPr>
          </w:p>
        </w:tc>
      </w:tr>
      <w:tr w:rsidRPr="00031231" w:rsidR="00031231" w:rsidTr="00A27CBD" w14:paraId="6E599AEA"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047BC41" w14:textId="77777777">
            <w:pPr>
              <w:widowControl/>
              <w:rPr>
                <w:rFonts w:ascii="Times New Roman" w:hAnsi="Times New Roman"/>
                <w:snapToGrid/>
                <w:color w:val="000000"/>
                <w:sz w:val="20"/>
              </w:rPr>
            </w:pPr>
            <w:r w:rsidRPr="00031231">
              <w:rPr>
                <w:rFonts w:ascii="Times New Roman" w:hAnsi="Times New Roman"/>
                <w:snapToGrid/>
                <w:color w:val="000000"/>
                <w:sz w:val="20"/>
              </w:rPr>
              <w:t>523120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B0DC75A" w14:textId="77777777">
            <w:pPr>
              <w:widowControl/>
              <w:rPr>
                <w:rFonts w:ascii="Times New Roman" w:hAnsi="Times New Roman"/>
                <w:snapToGrid/>
                <w:color w:val="000000"/>
                <w:sz w:val="20"/>
              </w:rPr>
            </w:pPr>
            <w:r w:rsidRPr="00031231">
              <w:rPr>
                <w:rFonts w:ascii="Times New Roman" w:hAnsi="Times New Roman"/>
                <w:snapToGrid/>
                <w:color w:val="000000"/>
                <w:sz w:val="20"/>
              </w:rPr>
              <w:t>Securities brokerage</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AA5BB4F"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30FAA0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17,000</w:t>
            </w:r>
          </w:p>
        </w:tc>
        <w:tc>
          <w:tcPr>
            <w:tcW w:w="220" w:type="dxa"/>
            <w:vAlign w:val="center"/>
            <w:hideMark/>
          </w:tcPr>
          <w:p w:rsidRPr="00031231" w:rsidR="00031231" w:rsidP="00031231" w:rsidRDefault="00031231" w14:paraId="2AFAB0B3" w14:textId="77777777">
            <w:pPr>
              <w:widowControl/>
              <w:rPr>
                <w:rFonts w:ascii="Times New Roman" w:hAnsi="Times New Roman"/>
                <w:snapToGrid/>
                <w:sz w:val="20"/>
              </w:rPr>
            </w:pPr>
          </w:p>
        </w:tc>
      </w:tr>
      <w:tr w:rsidRPr="00031231" w:rsidR="00031231" w:rsidTr="00A27CBD" w14:paraId="2C8E8630"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E9905AE" w14:textId="77777777">
            <w:pPr>
              <w:widowControl/>
              <w:rPr>
                <w:rFonts w:ascii="Times New Roman" w:hAnsi="Times New Roman"/>
                <w:snapToGrid/>
                <w:color w:val="000000"/>
                <w:sz w:val="20"/>
              </w:rPr>
            </w:pPr>
            <w:r w:rsidRPr="00031231">
              <w:rPr>
                <w:rFonts w:ascii="Times New Roman" w:hAnsi="Times New Roman"/>
                <w:snapToGrid/>
                <w:color w:val="000000"/>
                <w:sz w:val="20"/>
              </w:rPr>
              <w:t>523130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F7BDC05" w14:textId="77777777">
            <w:pPr>
              <w:widowControl/>
              <w:rPr>
                <w:rFonts w:ascii="Times New Roman" w:hAnsi="Times New Roman"/>
                <w:snapToGrid/>
                <w:color w:val="000000"/>
                <w:sz w:val="20"/>
              </w:rPr>
            </w:pPr>
            <w:r w:rsidRPr="00031231">
              <w:rPr>
                <w:rFonts w:ascii="Times New Roman" w:hAnsi="Times New Roman"/>
                <w:snapToGrid/>
                <w:color w:val="000000"/>
                <w:sz w:val="20"/>
              </w:rPr>
              <w:t>Commodity contracts dealing</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DB496BD"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N&lt;15</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407B23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220" w:type="dxa"/>
            <w:vAlign w:val="center"/>
            <w:hideMark/>
          </w:tcPr>
          <w:p w:rsidRPr="00031231" w:rsidR="00031231" w:rsidP="00031231" w:rsidRDefault="00031231" w14:paraId="664CD4D9" w14:textId="77777777">
            <w:pPr>
              <w:widowControl/>
              <w:rPr>
                <w:rFonts w:ascii="Times New Roman" w:hAnsi="Times New Roman"/>
                <w:snapToGrid/>
                <w:sz w:val="20"/>
              </w:rPr>
            </w:pPr>
          </w:p>
        </w:tc>
      </w:tr>
      <w:tr w:rsidRPr="00031231" w:rsidR="00031231" w:rsidTr="00A27CBD" w14:paraId="71004432"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2BEB4DA" w14:textId="77777777">
            <w:pPr>
              <w:widowControl/>
              <w:rPr>
                <w:rFonts w:ascii="Times New Roman" w:hAnsi="Times New Roman"/>
                <w:snapToGrid/>
                <w:color w:val="000000"/>
                <w:sz w:val="20"/>
              </w:rPr>
            </w:pPr>
            <w:r w:rsidRPr="00031231">
              <w:rPr>
                <w:rFonts w:ascii="Times New Roman" w:hAnsi="Times New Roman"/>
                <w:snapToGrid/>
                <w:color w:val="000000"/>
                <w:sz w:val="20"/>
              </w:rPr>
              <w:t>523140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92D1219" w14:textId="77777777">
            <w:pPr>
              <w:widowControl/>
              <w:rPr>
                <w:rFonts w:ascii="Times New Roman" w:hAnsi="Times New Roman"/>
                <w:snapToGrid/>
                <w:color w:val="000000"/>
                <w:sz w:val="20"/>
              </w:rPr>
            </w:pPr>
            <w:r w:rsidRPr="00031231">
              <w:rPr>
                <w:rFonts w:ascii="Times New Roman" w:hAnsi="Times New Roman"/>
                <w:snapToGrid/>
                <w:color w:val="000000"/>
                <w:sz w:val="20"/>
              </w:rPr>
              <w:t>Commodity contracts brokerage</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11C092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B97B5E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150</w:t>
            </w:r>
          </w:p>
        </w:tc>
        <w:tc>
          <w:tcPr>
            <w:tcW w:w="220" w:type="dxa"/>
            <w:vAlign w:val="center"/>
            <w:hideMark/>
          </w:tcPr>
          <w:p w:rsidRPr="00031231" w:rsidR="00031231" w:rsidP="00031231" w:rsidRDefault="00031231" w14:paraId="6629E9EE" w14:textId="77777777">
            <w:pPr>
              <w:widowControl/>
              <w:rPr>
                <w:rFonts w:ascii="Times New Roman" w:hAnsi="Times New Roman"/>
                <w:snapToGrid/>
                <w:sz w:val="20"/>
              </w:rPr>
            </w:pPr>
          </w:p>
        </w:tc>
      </w:tr>
      <w:tr w:rsidRPr="00031231" w:rsidR="00031231" w:rsidTr="00A27CBD" w14:paraId="4823CF74"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32453238" w14:textId="77777777">
            <w:pPr>
              <w:widowControl/>
              <w:rPr>
                <w:rFonts w:ascii="Times New Roman" w:hAnsi="Times New Roman"/>
                <w:snapToGrid/>
                <w:color w:val="000000"/>
                <w:sz w:val="20"/>
              </w:rPr>
            </w:pPr>
            <w:r w:rsidRPr="00031231">
              <w:rPr>
                <w:rFonts w:ascii="Times New Roman" w:hAnsi="Times New Roman"/>
                <w:snapToGrid/>
                <w:color w:val="000000"/>
                <w:sz w:val="20"/>
              </w:rPr>
              <w:lastRenderedPageBreak/>
              <w:t>523920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3A45228" w14:textId="77777777">
            <w:pPr>
              <w:widowControl/>
              <w:rPr>
                <w:rFonts w:ascii="Times New Roman" w:hAnsi="Times New Roman"/>
                <w:snapToGrid/>
                <w:color w:val="000000"/>
                <w:sz w:val="20"/>
              </w:rPr>
            </w:pPr>
            <w:r w:rsidRPr="00031231">
              <w:rPr>
                <w:rFonts w:ascii="Times New Roman" w:hAnsi="Times New Roman"/>
                <w:snapToGrid/>
                <w:color w:val="000000"/>
                <w:sz w:val="20"/>
              </w:rPr>
              <w:t>Portfolio management</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1F08AC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350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40870E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17,500</w:t>
            </w:r>
          </w:p>
        </w:tc>
        <w:tc>
          <w:tcPr>
            <w:tcW w:w="220" w:type="dxa"/>
            <w:vAlign w:val="center"/>
            <w:hideMark/>
          </w:tcPr>
          <w:p w:rsidRPr="00031231" w:rsidR="00031231" w:rsidP="00031231" w:rsidRDefault="00031231" w14:paraId="42E0E0FB" w14:textId="77777777">
            <w:pPr>
              <w:widowControl/>
              <w:rPr>
                <w:rFonts w:ascii="Times New Roman" w:hAnsi="Times New Roman"/>
                <w:snapToGrid/>
                <w:sz w:val="20"/>
              </w:rPr>
            </w:pPr>
          </w:p>
        </w:tc>
      </w:tr>
      <w:tr w:rsidRPr="00031231" w:rsidR="00031231" w:rsidTr="00A27CBD" w14:paraId="333F61FE"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0DA7FEA" w14:textId="77777777">
            <w:pPr>
              <w:widowControl/>
              <w:rPr>
                <w:rFonts w:ascii="Times New Roman" w:hAnsi="Times New Roman"/>
                <w:snapToGrid/>
                <w:color w:val="000000"/>
                <w:sz w:val="20"/>
              </w:rPr>
            </w:pPr>
            <w:r w:rsidRPr="00031231">
              <w:rPr>
                <w:rFonts w:ascii="Times New Roman" w:hAnsi="Times New Roman"/>
                <w:snapToGrid/>
                <w:color w:val="000000"/>
                <w:sz w:val="20"/>
              </w:rPr>
              <w:t>523930</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96A07A0" w14:textId="77777777">
            <w:pPr>
              <w:widowControl/>
              <w:rPr>
                <w:rFonts w:ascii="Times New Roman" w:hAnsi="Times New Roman"/>
                <w:snapToGrid/>
                <w:color w:val="000000"/>
                <w:sz w:val="20"/>
              </w:rPr>
            </w:pPr>
            <w:r w:rsidRPr="00031231">
              <w:rPr>
                <w:rFonts w:ascii="Times New Roman" w:hAnsi="Times New Roman"/>
                <w:snapToGrid/>
                <w:color w:val="000000"/>
                <w:sz w:val="20"/>
              </w:rPr>
              <w:t>Investment advice</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3B37A3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47654C6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1,900</w:t>
            </w:r>
          </w:p>
        </w:tc>
        <w:tc>
          <w:tcPr>
            <w:tcW w:w="220" w:type="dxa"/>
            <w:vAlign w:val="center"/>
            <w:hideMark/>
          </w:tcPr>
          <w:p w:rsidRPr="00031231" w:rsidR="00031231" w:rsidP="00031231" w:rsidRDefault="00031231" w14:paraId="1430E7F5" w14:textId="77777777">
            <w:pPr>
              <w:widowControl/>
              <w:rPr>
                <w:rFonts w:ascii="Times New Roman" w:hAnsi="Times New Roman"/>
                <w:snapToGrid/>
                <w:sz w:val="20"/>
              </w:rPr>
            </w:pPr>
          </w:p>
        </w:tc>
      </w:tr>
      <w:tr w:rsidRPr="00031231" w:rsidR="00031231" w:rsidTr="00A27CBD" w14:paraId="482D14F1"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219F2BC3" w14:textId="77777777">
            <w:pPr>
              <w:widowControl/>
              <w:rPr>
                <w:rFonts w:ascii="Times New Roman" w:hAnsi="Times New Roman"/>
                <w:snapToGrid/>
                <w:color w:val="000000"/>
                <w:sz w:val="20"/>
              </w:rPr>
            </w:pPr>
            <w:r w:rsidRPr="00031231">
              <w:rPr>
                <w:rFonts w:ascii="Times New Roman" w:hAnsi="Times New Roman"/>
                <w:snapToGrid/>
                <w:color w:val="000000"/>
                <w:sz w:val="20"/>
              </w:rPr>
              <w:t>524113</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725E8D30"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Direct life 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05B50DE"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80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A3A13D0"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6,100</w:t>
            </w:r>
          </w:p>
        </w:tc>
        <w:tc>
          <w:tcPr>
            <w:tcW w:w="220" w:type="dxa"/>
            <w:vAlign w:val="center"/>
            <w:hideMark/>
          </w:tcPr>
          <w:p w:rsidRPr="00031231" w:rsidR="00031231" w:rsidP="00031231" w:rsidRDefault="00031231" w14:paraId="6116F11F" w14:textId="77777777">
            <w:pPr>
              <w:widowControl/>
              <w:rPr>
                <w:rFonts w:ascii="Times New Roman" w:hAnsi="Times New Roman"/>
                <w:snapToGrid/>
                <w:sz w:val="20"/>
              </w:rPr>
            </w:pPr>
          </w:p>
        </w:tc>
      </w:tr>
      <w:tr w:rsidRPr="00031231" w:rsidR="00031231" w:rsidTr="00A27CBD" w14:paraId="0F20E904"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48943DC" w14:textId="77777777">
            <w:pPr>
              <w:widowControl/>
              <w:rPr>
                <w:rFonts w:ascii="Times New Roman" w:hAnsi="Times New Roman"/>
                <w:snapToGrid/>
                <w:color w:val="000000"/>
                <w:sz w:val="20"/>
              </w:rPr>
            </w:pPr>
            <w:r w:rsidRPr="00031231">
              <w:rPr>
                <w:rFonts w:ascii="Times New Roman" w:hAnsi="Times New Roman"/>
                <w:snapToGrid/>
                <w:color w:val="000000"/>
                <w:sz w:val="20"/>
              </w:rPr>
              <w:t>524114</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0FD0E6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Direct health and medical 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71DC009"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3B5CEB77"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5,500</w:t>
            </w:r>
          </w:p>
        </w:tc>
        <w:tc>
          <w:tcPr>
            <w:tcW w:w="220" w:type="dxa"/>
            <w:vAlign w:val="center"/>
            <w:hideMark/>
          </w:tcPr>
          <w:p w:rsidRPr="00031231" w:rsidR="00031231" w:rsidP="00031231" w:rsidRDefault="00031231" w14:paraId="76C21808" w14:textId="77777777">
            <w:pPr>
              <w:widowControl/>
              <w:rPr>
                <w:rFonts w:ascii="Times New Roman" w:hAnsi="Times New Roman"/>
                <w:snapToGrid/>
                <w:sz w:val="20"/>
              </w:rPr>
            </w:pPr>
          </w:p>
        </w:tc>
      </w:tr>
      <w:tr w:rsidRPr="00031231" w:rsidR="00031231" w:rsidTr="00A27CBD" w14:paraId="33569CF8"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7C97E689" w14:textId="77777777">
            <w:pPr>
              <w:widowControl/>
              <w:rPr>
                <w:rFonts w:ascii="Times New Roman" w:hAnsi="Times New Roman"/>
                <w:snapToGrid/>
                <w:color w:val="000000"/>
                <w:sz w:val="20"/>
              </w:rPr>
            </w:pPr>
            <w:r w:rsidRPr="00031231">
              <w:rPr>
                <w:rFonts w:ascii="Times New Roman" w:hAnsi="Times New Roman"/>
                <w:snapToGrid/>
                <w:color w:val="000000"/>
                <w:sz w:val="20"/>
              </w:rPr>
              <w:t>524126</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A741CCA"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Direct property and casualty 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381578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1407062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10,000</w:t>
            </w:r>
          </w:p>
        </w:tc>
        <w:tc>
          <w:tcPr>
            <w:tcW w:w="220" w:type="dxa"/>
            <w:vAlign w:val="center"/>
            <w:hideMark/>
          </w:tcPr>
          <w:p w:rsidRPr="00031231" w:rsidR="00031231" w:rsidP="00031231" w:rsidRDefault="00031231" w14:paraId="6C8487B2" w14:textId="77777777">
            <w:pPr>
              <w:widowControl/>
              <w:rPr>
                <w:rFonts w:ascii="Times New Roman" w:hAnsi="Times New Roman"/>
                <w:snapToGrid/>
                <w:sz w:val="20"/>
              </w:rPr>
            </w:pPr>
          </w:p>
        </w:tc>
      </w:tr>
      <w:tr w:rsidRPr="00031231" w:rsidR="00031231" w:rsidTr="00A27CBD" w14:paraId="78EBE579" w14:textId="77777777">
        <w:trPr>
          <w:trHeight w:val="296"/>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1CD09FC0" w14:textId="77777777">
            <w:pPr>
              <w:widowControl/>
              <w:rPr>
                <w:rFonts w:ascii="Times New Roman" w:hAnsi="Times New Roman"/>
                <w:snapToGrid/>
                <w:color w:val="000000"/>
                <w:sz w:val="20"/>
              </w:rPr>
            </w:pPr>
            <w:r w:rsidRPr="00031231">
              <w:rPr>
                <w:rFonts w:ascii="Times New Roman" w:hAnsi="Times New Roman"/>
                <w:snapToGrid/>
                <w:color w:val="000000"/>
                <w:sz w:val="20"/>
              </w:rPr>
              <w:t>524127</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A8D516F"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Direct title 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A79CA24"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40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5D4CB77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2,800</w:t>
            </w:r>
          </w:p>
        </w:tc>
        <w:tc>
          <w:tcPr>
            <w:tcW w:w="220" w:type="dxa"/>
            <w:vAlign w:val="center"/>
            <w:hideMark/>
          </w:tcPr>
          <w:p w:rsidRPr="00031231" w:rsidR="00031231" w:rsidP="00031231" w:rsidRDefault="00031231" w14:paraId="6327621D" w14:textId="77777777">
            <w:pPr>
              <w:widowControl/>
              <w:rPr>
                <w:rFonts w:ascii="Times New Roman" w:hAnsi="Times New Roman"/>
                <w:snapToGrid/>
                <w:sz w:val="20"/>
              </w:rPr>
            </w:pPr>
          </w:p>
        </w:tc>
      </w:tr>
      <w:tr w:rsidRPr="00031231" w:rsidR="00031231" w:rsidTr="00A27CBD" w14:paraId="559048BB" w14:textId="77777777">
        <w:trPr>
          <w:trHeight w:val="533"/>
          <w:jc w:val="center"/>
        </w:trPr>
        <w:tc>
          <w:tcPr>
            <w:tcW w:w="860" w:type="dxa"/>
            <w:tcBorders>
              <w:top w:val="nil"/>
              <w:left w:val="single" w:color="auto" w:sz="8" w:space="0"/>
              <w:bottom w:val="single" w:color="auto" w:sz="8" w:space="0"/>
              <w:right w:val="single" w:color="auto" w:sz="8" w:space="0"/>
            </w:tcBorders>
            <w:shd w:val="clear" w:color="auto" w:fill="auto"/>
            <w:vAlign w:val="center"/>
            <w:hideMark/>
          </w:tcPr>
          <w:p w:rsidRPr="00031231" w:rsidR="00031231" w:rsidP="00031231" w:rsidRDefault="00031231" w14:paraId="0CCF453A" w14:textId="77777777">
            <w:pPr>
              <w:widowControl/>
              <w:rPr>
                <w:rFonts w:ascii="Times New Roman" w:hAnsi="Times New Roman"/>
                <w:snapToGrid/>
                <w:color w:val="000000"/>
                <w:sz w:val="20"/>
              </w:rPr>
            </w:pPr>
            <w:r w:rsidRPr="00031231">
              <w:rPr>
                <w:rFonts w:ascii="Times New Roman" w:hAnsi="Times New Roman"/>
                <w:snapToGrid/>
                <w:color w:val="000000"/>
                <w:sz w:val="20"/>
              </w:rPr>
              <w:t>524128</w:t>
            </w:r>
          </w:p>
        </w:tc>
        <w:tc>
          <w:tcPr>
            <w:tcW w:w="428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69F75B3"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Other direct insurance (except life, health, and medical)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E730D46"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0ED1079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150</w:t>
            </w:r>
          </w:p>
        </w:tc>
        <w:tc>
          <w:tcPr>
            <w:tcW w:w="220" w:type="dxa"/>
            <w:vAlign w:val="center"/>
            <w:hideMark/>
          </w:tcPr>
          <w:p w:rsidRPr="00031231" w:rsidR="00031231" w:rsidP="00031231" w:rsidRDefault="00031231" w14:paraId="041C87BE" w14:textId="77777777">
            <w:pPr>
              <w:widowControl/>
              <w:rPr>
                <w:rFonts w:ascii="Times New Roman" w:hAnsi="Times New Roman"/>
                <w:snapToGrid/>
                <w:sz w:val="20"/>
              </w:rPr>
            </w:pPr>
          </w:p>
        </w:tc>
      </w:tr>
      <w:tr w:rsidRPr="00031231" w:rsidR="00031231" w:rsidTr="00A27CBD" w14:paraId="7AB1EB0C" w14:textId="77777777">
        <w:trPr>
          <w:trHeight w:val="296"/>
          <w:jc w:val="center"/>
        </w:trPr>
        <w:tc>
          <w:tcPr>
            <w:tcW w:w="860" w:type="dxa"/>
            <w:tcBorders>
              <w:top w:val="nil"/>
              <w:left w:val="single" w:color="auto" w:sz="8" w:space="0"/>
              <w:bottom w:val="single" w:color="auto" w:sz="12" w:space="0"/>
              <w:right w:val="single" w:color="auto" w:sz="8" w:space="0"/>
            </w:tcBorders>
            <w:shd w:val="clear" w:color="auto" w:fill="auto"/>
            <w:vAlign w:val="center"/>
            <w:hideMark/>
          </w:tcPr>
          <w:p w:rsidRPr="00031231" w:rsidR="00031231" w:rsidP="00031231" w:rsidRDefault="00031231" w14:paraId="1B431D6E" w14:textId="77777777">
            <w:pPr>
              <w:widowControl/>
              <w:rPr>
                <w:rFonts w:ascii="Times New Roman" w:hAnsi="Times New Roman"/>
                <w:snapToGrid/>
                <w:color w:val="000000"/>
                <w:sz w:val="20"/>
              </w:rPr>
            </w:pPr>
            <w:r w:rsidRPr="00031231">
              <w:rPr>
                <w:rFonts w:ascii="Times New Roman" w:hAnsi="Times New Roman"/>
                <w:snapToGrid/>
                <w:color w:val="000000"/>
                <w:sz w:val="20"/>
              </w:rPr>
              <w:t>524130</w:t>
            </w:r>
          </w:p>
        </w:tc>
        <w:tc>
          <w:tcPr>
            <w:tcW w:w="4283" w:type="dxa"/>
            <w:tcBorders>
              <w:top w:val="nil"/>
              <w:left w:val="nil"/>
              <w:bottom w:val="single" w:color="auto" w:sz="12" w:space="0"/>
              <w:right w:val="single" w:color="auto" w:sz="8" w:space="0"/>
            </w:tcBorders>
            <w:shd w:val="clear" w:color="auto" w:fill="auto"/>
            <w:vAlign w:val="center"/>
            <w:hideMark/>
          </w:tcPr>
          <w:p w:rsidRPr="00031231" w:rsidR="00031231" w:rsidP="00031231" w:rsidRDefault="00031231" w14:paraId="78CCC339" w14:textId="77777777">
            <w:pPr>
              <w:widowControl/>
              <w:rPr>
                <w:rFonts w:ascii="Times New Roman" w:hAnsi="Times New Roman"/>
                <w:snapToGrid/>
                <w:color w:val="000000"/>
                <w:sz w:val="20"/>
              </w:rPr>
            </w:pPr>
            <w:r w:rsidRPr="00031231">
              <w:rPr>
                <w:rFonts w:ascii="Times New Roman" w:hAnsi="Times New Roman"/>
                <w:snapToGrid/>
                <w:color w:val="000000"/>
                <w:sz w:val="20"/>
              </w:rPr>
              <w:t xml:space="preserve">Reinsurance carriers </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26A5FBC"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5E79D38"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500</w:t>
            </w:r>
          </w:p>
        </w:tc>
        <w:tc>
          <w:tcPr>
            <w:tcW w:w="220" w:type="dxa"/>
            <w:vAlign w:val="center"/>
            <w:hideMark/>
          </w:tcPr>
          <w:p w:rsidRPr="00031231" w:rsidR="00031231" w:rsidP="00031231" w:rsidRDefault="00031231" w14:paraId="418732BA" w14:textId="77777777">
            <w:pPr>
              <w:widowControl/>
              <w:rPr>
                <w:rFonts w:ascii="Times New Roman" w:hAnsi="Times New Roman"/>
                <w:snapToGrid/>
                <w:sz w:val="20"/>
              </w:rPr>
            </w:pPr>
          </w:p>
        </w:tc>
      </w:tr>
      <w:tr w:rsidRPr="00031231" w:rsidR="00031231" w:rsidTr="00A27CBD" w14:paraId="2A2941AC" w14:textId="77777777">
        <w:trPr>
          <w:trHeight w:val="308"/>
          <w:jc w:val="center"/>
        </w:trPr>
        <w:tc>
          <w:tcPr>
            <w:tcW w:w="5144" w:type="dxa"/>
            <w:gridSpan w:val="2"/>
            <w:tcBorders>
              <w:top w:val="single" w:color="auto" w:sz="12" w:space="0"/>
              <w:left w:val="single" w:color="auto" w:sz="8" w:space="0"/>
              <w:bottom w:val="single" w:color="auto" w:sz="8" w:space="0"/>
              <w:right w:val="single" w:color="000000" w:sz="8" w:space="0"/>
            </w:tcBorders>
            <w:shd w:val="clear" w:color="auto" w:fill="auto"/>
            <w:vAlign w:val="center"/>
            <w:hideMark/>
          </w:tcPr>
          <w:p w:rsidRPr="00031231" w:rsidR="00031231" w:rsidP="00031231" w:rsidRDefault="00031231" w14:paraId="169337A1" w14:textId="77777777">
            <w:pPr>
              <w:widowControl/>
              <w:rPr>
                <w:rFonts w:ascii="Times New Roman" w:hAnsi="Times New Roman"/>
                <w:snapToGrid/>
                <w:color w:val="000000"/>
                <w:sz w:val="20"/>
              </w:rPr>
            </w:pPr>
            <w:r w:rsidRPr="00031231">
              <w:rPr>
                <w:rFonts w:ascii="Times New Roman" w:hAnsi="Times New Roman"/>
                <w:snapToGrid/>
                <w:color w:val="000000"/>
                <w:sz w:val="20"/>
              </w:rPr>
              <w:t>Total</w:t>
            </w:r>
          </w:p>
        </w:tc>
        <w:tc>
          <w:tcPr>
            <w:tcW w:w="996"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28C9D02A"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7,800</w:t>
            </w:r>
          </w:p>
        </w:tc>
        <w:tc>
          <w:tcPr>
            <w:tcW w:w="1503" w:type="dxa"/>
            <w:tcBorders>
              <w:top w:val="nil"/>
              <w:left w:val="nil"/>
              <w:bottom w:val="single" w:color="auto" w:sz="8" w:space="0"/>
              <w:right w:val="single" w:color="auto" w:sz="8" w:space="0"/>
            </w:tcBorders>
            <w:shd w:val="clear" w:color="auto" w:fill="auto"/>
            <w:vAlign w:val="center"/>
            <w:hideMark/>
          </w:tcPr>
          <w:p w:rsidRPr="00031231" w:rsidR="00031231" w:rsidP="00031231" w:rsidRDefault="00031231" w14:paraId="6143A955" w14:textId="77777777">
            <w:pPr>
              <w:widowControl/>
              <w:jc w:val="right"/>
              <w:rPr>
                <w:rFonts w:ascii="Times New Roman" w:hAnsi="Times New Roman"/>
                <w:snapToGrid/>
                <w:color w:val="000000"/>
                <w:sz w:val="20"/>
              </w:rPr>
            </w:pPr>
            <w:r w:rsidRPr="00031231">
              <w:rPr>
                <w:rFonts w:ascii="Times New Roman" w:hAnsi="Times New Roman"/>
                <w:snapToGrid/>
                <w:color w:val="000000"/>
                <w:sz w:val="20"/>
              </w:rPr>
              <w:t>239,000</w:t>
            </w:r>
          </w:p>
        </w:tc>
        <w:tc>
          <w:tcPr>
            <w:tcW w:w="220" w:type="dxa"/>
            <w:vAlign w:val="center"/>
            <w:hideMark/>
          </w:tcPr>
          <w:p w:rsidRPr="00031231" w:rsidR="00031231" w:rsidP="00031231" w:rsidRDefault="00031231" w14:paraId="7BC4060E" w14:textId="77777777">
            <w:pPr>
              <w:widowControl/>
              <w:rPr>
                <w:rFonts w:ascii="Times New Roman" w:hAnsi="Times New Roman"/>
                <w:snapToGrid/>
                <w:sz w:val="20"/>
              </w:rPr>
            </w:pPr>
          </w:p>
        </w:tc>
      </w:tr>
    </w:tbl>
    <w:p w:rsidRPr="00917E22" w:rsidR="00CA73D8" w:rsidP="007A280D" w:rsidRDefault="00CA73D8" w14:paraId="68A7113E" w14:textId="77777777">
      <w:pPr>
        <w:rPr>
          <w:rFonts w:ascii="Times New Roman" w:hAnsi="Times New Roman"/>
          <w:sz w:val="20"/>
        </w:rPr>
      </w:pPr>
    </w:p>
    <w:p w:rsidRPr="00917E22" w:rsidR="00CA73D8" w:rsidRDefault="00CA73D8" w14:paraId="6C4D59FA" w14:textId="77777777">
      <w:pPr>
        <w:rPr>
          <w:rFonts w:ascii="Times New Roman" w:hAnsi="Times New Roman"/>
          <w:sz w:val="20"/>
        </w:rPr>
      </w:pPr>
    </w:p>
    <w:p w:rsidRPr="00917E22" w:rsidR="00CA73D8" w:rsidP="008910B2" w:rsidRDefault="00CA73D8" w14:paraId="6E81BF95" w14:textId="4111433B">
      <w:pPr>
        <w:ind w:left="1080" w:hanging="360"/>
        <w:rPr>
          <w:rFonts w:ascii="Times New Roman" w:hAnsi="Times New Roman"/>
          <w:szCs w:val="24"/>
        </w:rPr>
      </w:pPr>
      <w:r w:rsidRPr="00917E22">
        <w:rPr>
          <w:rFonts w:ascii="Times New Roman" w:hAnsi="Times New Roman"/>
          <w:szCs w:val="24"/>
        </w:rPr>
        <w:t>(2)</w:t>
      </w:r>
      <w:r w:rsidRPr="00917E22">
        <w:rPr>
          <w:rFonts w:ascii="Times New Roman" w:hAnsi="Times New Roman"/>
          <w:szCs w:val="24"/>
        </w:rPr>
        <w:tab/>
        <w:t xml:space="preserve">Single Establishment Firms with </w:t>
      </w:r>
      <w:r w:rsidRPr="00917E22" w:rsidR="0072558A">
        <w:rPr>
          <w:rFonts w:ascii="Times New Roman" w:hAnsi="Times New Roman"/>
          <w:szCs w:val="24"/>
        </w:rPr>
        <w:t xml:space="preserve">2022 </w:t>
      </w:r>
      <w:r w:rsidRPr="00917E22">
        <w:rPr>
          <w:rFonts w:ascii="Times New Roman" w:hAnsi="Times New Roman"/>
          <w:szCs w:val="24"/>
        </w:rPr>
        <w:t xml:space="preserve">Payroll  </w:t>
      </w:r>
    </w:p>
    <w:p w:rsidRPr="00917E22" w:rsidR="00CA73D8" w:rsidRDefault="00CA73D8" w14:paraId="029FA966" w14:textId="77777777">
      <w:pPr>
        <w:ind w:left="1440"/>
        <w:rPr>
          <w:rFonts w:ascii="Times New Roman" w:hAnsi="Times New Roman"/>
          <w:szCs w:val="24"/>
        </w:rPr>
      </w:pPr>
    </w:p>
    <w:p w:rsidRPr="00917E22" w:rsidR="00750432" w:rsidP="00750432" w:rsidRDefault="00147DDC" w14:paraId="1C4FD037" w14:textId="52D2714A">
      <w:pPr>
        <w:ind w:left="1080"/>
        <w:rPr>
          <w:rFonts w:ascii="Times New Roman" w:hAnsi="Times New Roman"/>
          <w:szCs w:val="24"/>
        </w:rPr>
      </w:pPr>
      <w:r w:rsidRPr="00917E22">
        <w:rPr>
          <w:rFonts w:ascii="Times New Roman" w:hAnsi="Times New Roman"/>
          <w:szCs w:val="24"/>
        </w:rPr>
        <w:t>For the Stateside component, t</w:t>
      </w:r>
      <w:r w:rsidRPr="00917E22" w:rsidR="00750432">
        <w:rPr>
          <w:rFonts w:ascii="Times New Roman" w:hAnsi="Times New Roman"/>
          <w:szCs w:val="24"/>
        </w:rPr>
        <w:t>he sample design for single-establishment firms begins with a study of the potential respondent universe. This study will produce a set of industry-specific payroll cutoffs that we will use to distinguish large from small single-establishment firms within each industry. In general, these cutoffs are chosen so that the sum of the payroll of the multi-establishment firms plus the payroll of the single-establishment firms above the cutoff equals 60-100% of the total payroll in an industry, with the cutoff for most industries at or above 85%</w:t>
      </w:r>
      <w:r w:rsidR="003C0966">
        <w:rPr>
          <w:rFonts w:ascii="Times New Roman" w:hAnsi="Times New Roman"/>
          <w:szCs w:val="24"/>
        </w:rPr>
        <w:t>.</w:t>
      </w:r>
      <w:r w:rsidR="007F1906">
        <w:rPr>
          <w:rFonts w:ascii="Times New Roman" w:hAnsi="Times New Roman"/>
          <w:szCs w:val="24"/>
        </w:rPr>
        <w:t xml:space="preserve"> </w:t>
      </w:r>
      <w:r w:rsidRPr="00917E22" w:rsidR="00750432">
        <w:rPr>
          <w:rFonts w:ascii="Times New Roman" w:hAnsi="Times New Roman"/>
          <w:szCs w:val="24"/>
        </w:rPr>
        <w:t>In the hypothetical example below in Table 4, a payroll cutoff of $250,000 for an industry will result in 80% of total industry payroll (31% + 49%) being contained within the 8,000 establishments (2,400 + 5,600) selected with certainty.</w:t>
      </w:r>
    </w:p>
    <w:p w:rsidRPr="00917E22" w:rsidR="00750432" w:rsidP="00750432" w:rsidRDefault="00750432" w14:paraId="3CF37FA9" w14:textId="77777777">
      <w:pPr>
        <w:ind w:left="1080"/>
        <w:rPr>
          <w:rFonts w:ascii="Times New Roman" w:hAnsi="Times New Roman"/>
          <w:sz w:val="20"/>
        </w:rPr>
      </w:pPr>
    </w:p>
    <w:p w:rsidRPr="00917E22" w:rsidR="00750432" w:rsidP="00DE3A49" w:rsidRDefault="00750432" w14:paraId="64753A47" w14:textId="77777777">
      <w:pPr>
        <w:ind w:firstLine="720"/>
        <w:rPr>
          <w:rFonts w:ascii="Times New Roman" w:hAnsi="Times New Roman"/>
          <w:b/>
          <w:sz w:val="22"/>
          <w:szCs w:val="22"/>
        </w:rPr>
      </w:pPr>
      <w:r w:rsidRPr="00917E22">
        <w:rPr>
          <w:rFonts w:ascii="Times New Roman" w:hAnsi="Times New Roman"/>
          <w:b/>
          <w:sz w:val="22"/>
          <w:szCs w:val="22"/>
        </w:rPr>
        <w:t>Table 4: Hypothetical Example to Demonstrate Certainty Payroll Cutoffs</w:t>
      </w:r>
    </w:p>
    <w:tbl>
      <w:tblPr>
        <w:tblStyle w:val="TableGrid"/>
        <w:tblW w:w="8190" w:type="dxa"/>
        <w:tblInd w:w="585" w:type="dxa"/>
        <w:tblLook w:val="04A0" w:firstRow="1" w:lastRow="0" w:firstColumn="1" w:lastColumn="0" w:noHBand="0" w:noVBand="1"/>
      </w:tblPr>
      <w:tblGrid>
        <w:gridCol w:w="4339"/>
        <w:gridCol w:w="1517"/>
        <w:gridCol w:w="1257"/>
        <w:gridCol w:w="1077"/>
      </w:tblGrid>
      <w:tr w:rsidRPr="00917E22" w:rsidR="00750432" w:rsidTr="002D6DDB" w14:paraId="6EC8A022" w14:textId="77777777">
        <w:tc>
          <w:tcPr>
            <w:tcW w:w="4339" w:type="dxa"/>
            <w:tcBorders>
              <w:bottom w:val="double" w:color="auto" w:sz="4" w:space="0"/>
            </w:tcBorders>
            <w:shd w:val="clear" w:color="auto" w:fill="F2F2F2" w:themeFill="background1" w:themeFillShade="F2"/>
            <w:vAlign w:val="center"/>
          </w:tcPr>
          <w:p w:rsidRPr="00917E22" w:rsidR="00750432" w:rsidP="00CB0CFE" w:rsidRDefault="00750432" w14:paraId="0049A55E" w14:textId="77777777">
            <w:pPr>
              <w:jc w:val="center"/>
              <w:rPr>
                <w:rFonts w:ascii="Times New Roman" w:hAnsi="Times New Roman"/>
                <w:b/>
                <w:sz w:val="20"/>
              </w:rPr>
            </w:pPr>
            <w:r w:rsidRPr="00917E22">
              <w:rPr>
                <w:rFonts w:ascii="Times New Roman" w:hAnsi="Times New Roman"/>
                <w:b/>
                <w:sz w:val="20"/>
              </w:rPr>
              <w:t>Establishment Type</w:t>
            </w:r>
          </w:p>
        </w:tc>
        <w:tc>
          <w:tcPr>
            <w:tcW w:w="1517" w:type="dxa"/>
            <w:tcBorders>
              <w:bottom w:val="double" w:color="auto" w:sz="4" w:space="0"/>
            </w:tcBorders>
            <w:shd w:val="clear" w:color="auto" w:fill="F2F2F2" w:themeFill="background1" w:themeFillShade="F2"/>
            <w:vAlign w:val="center"/>
          </w:tcPr>
          <w:p w:rsidRPr="00917E22" w:rsidR="00750432" w:rsidP="00CB0CFE" w:rsidRDefault="00750432" w14:paraId="2459A605" w14:textId="77777777">
            <w:pPr>
              <w:jc w:val="center"/>
              <w:rPr>
                <w:rFonts w:ascii="Times New Roman" w:hAnsi="Times New Roman"/>
                <w:b/>
                <w:sz w:val="20"/>
              </w:rPr>
            </w:pPr>
            <w:r w:rsidRPr="00917E22">
              <w:rPr>
                <w:rFonts w:ascii="Times New Roman" w:hAnsi="Times New Roman"/>
                <w:b/>
                <w:sz w:val="20"/>
              </w:rPr>
              <w:t>Number of Establishments</w:t>
            </w:r>
          </w:p>
        </w:tc>
        <w:tc>
          <w:tcPr>
            <w:tcW w:w="1257" w:type="dxa"/>
            <w:tcBorders>
              <w:bottom w:val="double" w:color="auto" w:sz="4" w:space="0"/>
            </w:tcBorders>
            <w:shd w:val="clear" w:color="auto" w:fill="F2F2F2" w:themeFill="background1" w:themeFillShade="F2"/>
            <w:vAlign w:val="center"/>
          </w:tcPr>
          <w:p w:rsidRPr="00917E22" w:rsidR="00750432" w:rsidP="00CB0CFE" w:rsidRDefault="00750432" w14:paraId="1E42E15E" w14:textId="77777777">
            <w:pPr>
              <w:jc w:val="center"/>
              <w:rPr>
                <w:rFonts w:ascii="Times New Roman" w:hAnsi="Times New Roman"/>
                <w:b/>
                <w:sz w:val="20"/>
              </w:rPr>
            </w:pPr>
            <w:r w:rsidRPr="00917E22">
              <w:rPr>
                <w:rFonts w:ascii="Times New Roman" w:hAnsi="Times New Roman"/>
                <w:b/>
                <w:sz w:val="20"/>
              </w:rPr>
              <w:t>Payroll ($000)</w:t>
            </w:r>
          </w:p>
        </w:tc>
        <w:tc>
          <w:tcPr>
            <w:tcW w:w="1077" w:type="dxa"/>
            <w:tcBorders>
              <w:bottom w:val="double" w:color="auto" w:sz="4" w:space="0"/>
            </w:tcBorders>
            <w:shd w:val="clear" w:color="auto" w:fill="F2F2F2" w:themeFill="background1" w:themeFillShade="F2"/>
            <w:vAlign w:val="center"/>
          </w:tcPr>
          <w:p w:rsidRPr="00917E22" w:rsidR="00750432" w:rsidP="00CB0CFE" w:rsidRDefault="00750432" w14:paraId="06CC82F5" w14:textId="77777777">
            <w:pPr>
              <w:jc w:val="center"/>
              <w:rPr>
                <w:rFonts w:ascii="Times New Roman" w:hAnsi="Times New Roman"/>
                <w:b/>
                <w:sz w:val="20"/>
              </w:rPr>
            </w:pPr>
            <w:r w:rsidRPr="00917E22">
              <w:rPr>
                <w:rFonts w:ascii="Times New Roman" w:hAnsi="Times New Roman"/>
                <w:b/>
                <w:sz w:val="20"/>
              </w:rPr>
              <w:t>% of Total Payroll</w:t>
            </w:r>
          </w:p>
        </w:tc>
      </w:tr>
      <w:tr w:rsidRPr="00917E22" w:rsidR="00750432" w:rsidTr="002D6DDB" w14:paraId="6555664D" w14:textId="77777777">
        <w:tc>
          <w:tcPr>
            <w:tcW w:w="4339" w:type="dxa"/>
            <w:tcBorders>
              <w:top w:val="double" w:color="auto" w:sz="4" w:space="0"/>
            </w:tcBorders>
          </w:tcPr>
          <w:p w:rsidRPr="00917E22" w:rsidR="00750432" w:rsidP="00CB0CFE" w:rsidRDefault="00750432" w14:paraId="21B41BDC" w14:textId="77777777">
            <w:pPr>
              <w:rPr>
                <w:rFonts w:ascii="Times New Roman" w:hAnsi="Times New Roman"/>
                <w:sz w:val="20"/>
              </w:rPr>
            </w:pPr>
            <w:r w:rsidRPr="00917E22">
              <w:rPr>
                <w:rFonts w:ascii="Times New Roman" w:hAnsi="Times New Roman"/>
                <w:sz w:val="20"/>
              </w:rPr>
              <w:t>Establishments of Multi-Establishment Firms</w:t>
            </w:r>
          </w:p>
        </w:tc>
        <w:tc>
          <w:tcPr>
            <w:tcW w:w="1517" w:type="dxa"/>
            <w:tcBorders>
              <w:top w:val="double" w:color="auto" w:sz="4" w:space="0"/>
            </w:tcBorders>
          </w:tcPr>
          <w:p w:rsidRPr="00917E22" w:rsidR="00750432" w:rsidP="00CB0CFE" w:rsidRDefault="00750432" w14:paraId="159D82CB" w14:textId="77777777">
            <w:pPr>
              <w:jc w:val="right"/>
              <w:rPr>
                <w:rFonts w:ascii="Times New Roman" w:hAnsi="Times New Roman"/>
                <w:sz w:val="20"/>
              </w:rPr>
            </w:pPr>
            <w:r w:rsidRPr="00917E22">
              <w:rPr>
                <w:rFonts w:ascii="Times New Roman" w:hAnsi="Times New Roman"/>
                <w:sz w:val="20"/>
              </w:rPr>
              <w:t>2,400</w:t>
            </w:r>
          </w:p>
        </w:tc>
        <w:tc>
          <w:tcPr>
            <w:tcW w:w="1257" w:type="dxa"/>
            <w:tcBorders>
              <w:top w:val="double" w:color="auto" w:sz="4" w:space="0"/>
            </w:tcBorders>
          </w:tcPr>
          <w:p w:rsidRPr="00917E22" w:rsidR="00750432" w:rsidP="00CB0CFE" w:rsidRDefault="00750432" w14:paraId="56AF5E3E" w14:textId="77777777">
            <w:pPr>
              <w:jc w:val="right"/>
              <w:rPr>
                <w:rFonts w:ascii="Times New Roman" w:hAnsi="Times New Roman"/>
                <w:sz w:val="20"/>
              </w:rPr>
            </w:pPr>
            <w:r w:rsidRPr="00917E22">
              <w:rPr>
                <w:rFonts w:ascii="Times New Roman" w:hAnsi="Times New Roman"/>
                <w:sz w:val="20"/>
              </w:rPr>
              <w:t>1,550,000</w:t>
            </w:r>
          </w:p>
        </w:tc>
        <w:tc>
          <w:tcPr>
            <w:tcW w:w="1077" w:type="dxa"/>
            <w:tcBorders>
              <w:top w:val="double" w:color="auto" w:sz="4" w:space="0"/>
            </w:tcBorders>
          </w:tcPr>
          <w:p w:rsidRPr="00917E22" w:rsidR="00750432" w:rsidP="00CB0CFE" w:rsidRDefault="00750432" w14:paraId="20BF48B7" w14:textId="77777777">
            <w:pPr>
              <w:jc w:val="right"/>
              <w:rPr>
                <w:rFonts w:ascii="Times New Roman" w:hAnsi="Times New Roman"/>
                <w:sz w:val="20"/>
              </w:rPr>
            </w:pPr>
            <w:r w:rsidRPr="00917E22">
              <w:rPr>
                <w:rFonts w:ascii="Times New Roman" w:hAnsi="Times New Roman"/>
                <w:sz w:val="20"/>
              </w:rPr>
              <w:t>31%</w:t>
            </w:r>
          </w:p>
        </w:tc>
      </w:tr>
      <w:tr w:rsidRPr="00917E22" w:rsidR="00750432" w:rsidTr="002D6DDB" w14:paraId="757557ED" w14:textId="77777777">
        <w:tc>
          <w:tcPr>
            <w:tcW w:w="4339" w:type="dxa"/>
            <w:tcBorders>
              <w:bottom w:val="single" w:color="auto" w:sz="4" w:space="0"/>
            </w:tcBorders>
          </w:tcPr>
          <w:p w:rsidRPr="00917E22" w:rsidR="00750432" w:rsidP="00CB0CFE" w:rsidRDefault="00750432" w14:paraId="18427F4D" w14:textId="77777777">
            <w:pPr>
              <w:rPr>
                <w:rFonts w:ascii="Times New Roman" w:hAnsi="Times New Roman"/>
                <w:sz w:val="20"/>
              </w:rPr>
            </w:pPr>
            <w:r w:rsidRPr="00917E22">
              <w:rPr>
                <w:rFonts w:ascii="Times New Roman" w:hAnsi="Times New Roman"/>
                <w:sz w:val="20"/>
              </w:rPr>
              <w:t>Single-establishment firms with payroll ≥ $250,000</w:t>
            </w:r>
          </w:p>
        </w:tc>
        <w:tc>
          <w:tcPr>
            <w:tcW w:w="1517" w:type="dxa"/>
            <w:tcBorders>
              <w:bottom w:val="single" w:color="auto" w:sz="4" w:space="0"/>
            </w:tcBorders>
          </w:tcPr>
          <w:p w:rsidRPr="00917E22" w:rsidR="00750432" w:rsidP="00CB0CFE" w:rsidRDefault="00750432" w14:paraId="4A1A72F5" w14:textId="77777777">
            <w:pPr>
              <w:jc w:val="right"/>
              <w:rPr>
                <w:rFonts w:ascii="Times New Roman" w:hAnsi="Times New Roman"/>
                <w:sz w:val="20"/>
              </w:rPr>
            </w:pPr>
            <w:r w:rsidRPr="00917E22">
              <w:rPr>
                <w:rFonts w:ascii="Times New Roman" w:hAnsi="Times New Roman"/>
                <w:sz w:val="20"/>
              </w:rPr>
              <w:t>5,600</w:t>
            </w:r>
          </w:p>
        </w:tc>
        <w:tc>
          <w:tcPr>
            <w:tcW w:w="1257" w:type="dxa"/>
            <w:tcBorders>
              <w:bottom w:val="single" w:color="auto" w:sz="4" w:space="0"/>
            </w:tcBorders>
          </w:tcPr>
          <w:p w:rsidRPr="00917E22" w:rsidR="00750432" w:rsidP="00CB0CFE" w:rsidRDefault="00750432" w14:paraId="73B8ED81" w14:textId="77777777">
            <w:pPr>
              <w:jc w:val="right"/>
              <w:rPr>
                <w:rFonts w:ascii="Times New Roman" w:hAnsi="Times New Roman"/>
                <w:sz w:val="20"/>
              </w:rPr>
            </w:pPr>
            <w:r w:rsidRPr="00917E22">
              <w:rPr>
                <w:rFonts w:ascii="Times New Roman" w:hAnsi="Times New Roman"/>
                <w:sz w:val="20"/>
              </w:rPr>
              <w:t>2,450,000</w:t>
            </w:r>
          </w:p>
        </w:tc>
        <w:tc>
          <w:tcPr>
            <w:tcW w:w="1077" w:type="dxa"/>
            <w:tcBorders>
              <w:bottom w:val="single" w:color="auto" w:sz="4" w:space="0"/>
            </w:tcBorders>
          </w:tcPr>
          <w:p w:rsidRPr="00917E22" w:rsidR="00750432" w:rsidP="00CB0CFE" w:rsidRDefault="00750432" w14:paraId="187C592A" w14:textId="77777777">
            <w:pPr>
              <w:jc w:val="right"/>
              <w:rPr>
                <w:rFonts w:ascii="Times New Roman" w:hAnsi="Times New Roman"/>
                <w:sz w:val="20"/>
              </w:rPr>
            </w:pPr>
            <w:r w:rsidRPr="00917E22">
              <w:rPr>
                <w:rFonts w:ascii="Times New Roman" w:hAnsi="Times New Roman"/>
                <w:sz w:val="20"/>
              </w:rPr>
              <w:t>49%</w:t>
            </w:r>
          </w:p>
        </w:tc>
      </w:tr>
      <w:tr w:rsidRPr="00917E22" w:rsidR="00750432" w:rsidTr="002D6DDB" w14:paraId="473D8CF5" w14:textId="77777777">
        <w:tc>
          <w:tcPr>
            <w:tcW w:w="4339" w:type="dxa"/>
            <w:tcBorders>
              <w:bottom w:val="single" w:color="auto" w:sz="12" w:space="0"/>
            </w:tcBorders>
          </w:tcPr>
          <w:p w:rsidRPr="00917E22" w:rsidR="00750432" w:rsidP="00CB0CFE" w:rsidRDefault="00750432" w14:paraId="31BB1DBA" w14:textId="77777777">
            <w:pPr>
              <w:rPr>
                <w:rFonts w:ascii="Times New Roman" w:hAnsi="Times New Roman"/>
                <w:sz w:val="20"/>
              </w:rPr>
            </w:pPr>
            <w:r w:rsidRPr="00917E22">
              <w:rPr>
                <w:rFonts w:ascii="Times New Roman" w:hAnsi="Times New Roman"/>
                <w:sz w:val="20"/>
              </w:rPr>
              <w:t>Remaining “small” single-establishment firms</w:t>
            </w:r>
          </w:p>
        </w:tc>
        <w:tc>
          <w:tcPr>
            <w:tcW w:w="1517" w:type="dxa"/>
            <w:tcBorders>
              <w:bottom w:val="single" w:color="auto" w:sz="12" w:space="0"/>
            </w:tcBorders>
          </w:tcPr>
          <w:p w:rsidRPr="00917E22" w:rsidR="00750432" w:rsidP="00CB0CFE" w:rsidRDefault="00750432" w14:paraId="72704182" w14:textId="77777777">
            <w:pPr>
              <w:jc w:val="right"/>
              <w:rPr>
                <w:rFonts w:ascii="Times New Roman" w:hAnsi="Times New Roman"/>
                <w:sz w:val="20"/>
              </w:rPr>
            </w:pPr>
            <w:r w:rsidRPr="00917E22">
              <w:rPr>
                <w:rFonts w:ascii="Times New Roman" w:hAnsi="Times New Roman"/>
                <w:sz w:val="20"/>
              </w:rPr>
              <w:t>16,000</w:t>
            </w:r>
          </w:p>
        </w:tc>
        <w:tc>
          <w:tcPr>
            <w:tcW w:w="1257" w:type="dxa"/>
            <w:tcBorders>
              <w:bottom w:val="single" w:color="auto" w:sz="12" w:space="0"/>
            </w:tcBorders>
          </w:tcPr>
          <w:p w:rsidRPr="00917E22" w:rsidR="00750432" w:rsidP="00CB0CFE" w:rsidRDefault="00750432" w14:paraId="578E095E" w14:textId="77777777">
            <w:pPr>
              <w:jc w:val="right"/>
              <w:rPr>
                <w:rFonts w:ascii="Times New Roman" w:hAnsi="Times New Roman"/>
                <w:sz w:val="20"/>
              </w:rPr>
            </w:pPr>
            <w:r w:rsidRPr="00917E22">
              <w:rPr>
                <w:rFonts w:ascii="Times New Roman" w:hAnsi="Times New Roman"/>
                <w:sz w:val="20"/>
              </w:rPr>
              <w:t>1,000,000</w:t>
            </w:r>
          </w:p>
        </w:tc>
        <w:tc>
          <w:tcPr>
            <w:tcW w:w="1077" w:type="dxa"/>
            <w:tcBorders>
              <w:bottom w:val="single" w:color="auto" w:sz="12" w:space="0"/>
            </w:tcBorders>
          </w:tcPr>
          <w:p w:rsidRPr="00917E22" w:rsidR="00750432" w:rsidP="00CB0CFE" w:rsidRDefault="00750432" w14:paraId="7F0A3FC6" w14:textId="77777777">
            <w:pPr>
              <w:jc w:val="right"/>
              <w:rPr>
                <w:rFonts w:ascii="Times New Roman" w:hAnsi="Times New Roman"/>
                <w:sz w:val="20"/>
              </w:rPr>
            </w:pPr>
            <w:r w:rsidRPr="00917E22">
              <w:rPr>
                <w:rFonts w:ascii="Times New Roman" w:hAnsi="Times New Roman"/>
                <w:sz w:val="20"/>
              </w:rPr>
              <w:t>20%</w:t>
            </w:r>
          </w:p>
        </w:tc>
      </w:tr>
      <w:tr w:rsidRPr="00917E22" w:rsidR="00750432" w:rsidTr="002D6DDB" w14:paraId="4B3E89EF" w14:textId="77777777">
        <w:tc>
          <w:tcPr>
            <w:tcW w:w="4339" w:type="dxa"/>
            <w:tcBorders>
              <w:top w:val="single" w:color="auto" w:sz="12" w:space="0"/>
            </w:tcBorders>
          </w:tcPr>
          <w:p w:rsidRPr="00917E22" w:rsidR="00750432" w:rsidP="00CB0CFE" w:rsidRDefault="00750432" w14:paraId="1F5580ED" w14:textId="77777777">
            <w:pPr>
              <w:rPr>
                <w:rFonts w:ascii="Times New Roman" w:hAnsi="Times New Roman"/>
                <w:sz w:val="20"/>
              </w:rPr>
            </w:pPr>
            <w:r w:rsidRPr="00917E22">
              <w:rPr>
                <w:rFonts w:ascii="Times New Roman" w:hAnsi="Times New Roman"/>
                <w:sz w:val="20"/>
              </w:rPr>
              <w:t>Totals</w:t>
            </w:r>
          </w:p>
        </w:tc>
        <w:tc>
          <w:tcPr>
            <w:tcW w:w="1517" w:type="dxa"/>
            <w:tcBorders>
              <w:top w:val="single" w:color="auto" w:sz="12" w:space="0"/>
            </w:tcBorders>
          </w:tcPr>
          <w:p w:rsidRPr="00917E22" w:rsidR="00750432" w:rsidP="00CB0CFE" w:rsidRDefault="00750432" w14:paraId="2E3FC97C" w14:textId="77777777">
            <w:pPr>
              <w:jc w:val="right"/>
              <w:rPr>
                <w:rFonts w:ascii="Times New Roman" w:hAnsi="Times New Roman"/>
                <w:sz w:val="20"/>
              </w:rPr>
            </w:pPr>
            <w:r w:rsidRPr="00917E22">
              <w:rPr>
                <w:rFonts w:ascii="Times New Roman" w:hAnsi="Times New Roman"/>
                <w:sz w:val="20"/>
              </w:rPr>
              <w:t>24,000</w:t>
            </w:r>
          </w:p>
        </w:tc>
        <w:tc>
          <w:tcPr>
            <w:tcW w:w="1257" w:type="dxa"/>
            <w:tcBorders>
              <w:top w:val="single" w:color="auto" w:sz="12" w:space="0"/>
            </w:tcBorders>
          </w:tcPr>
          <w:p w:rsidRPr="00917E22" w:rsidR="00750432" w:rsidP="00CB0CFE" w:rsidRDefault="00750432" w14:paraId="6021552A" w14:textId="77777777">
            <w:pPr>
              <w:jc w:val="right"/>
              <w:rPr>
                <w:rFonts w:ascii="Times New Roman" w:hAnsi="Times New Roman"/>
                <w:sz w:val="20"/>
              </w:rPr>
            </w:pPr>
            <w:r w:rsidRPr="00917E22">
              <w:rPr>
                <w:rFonts w:ascii="Times New Roman" w:hAnsi="Times New Roman"/>
                <w:sz w:val="20"/>
              </w:rPr>
              <w:t>5,000,000</w:t>
            </w:r>
          </w:p>
        </w:tc>
        <w:tc>
          <w:tcPr>
            <w:tcW w:w="1077" w:type="dxa"/>
            <w:tcBorders>
              <w:top w:val="single" w:color="auto" w:sz="12" w:space="0"/>
            </w:tcBorders>
          </w:tcPr>
          <w:p w:rsidRPr="00917E22" w:rsidR="00750432" w:rsidP="00CB0CFE" w:rsidRDefault="00750432" w14:paraId="79CD1228" w14:textId="77777777">
            <w:pPr>
              <w:jc w:val="right"/>
              <w:rPr>
                <w:rFonts w:ascii="Times New Roman" w:hAnsi="Times New Roman"/>
                <w:sz w:val="20"/>
              </w:rPr>
            </w:pPr>
            <w:r w:rsidRPr="00917E22">
              <w:rPr>
                <w:rFonts w:ascii="Times New Roman" w:hAnsi="Times New Roman"/>
                <w:sz w:val="20"/>
              </w:rPr>
              <w:t>100%</w:t>
            </w:r>
          </w:p>
        </w:tc>
      </w:tr>
    </w:tbl>
    <w:p w:rsidRPr="00917E22" w:rsidR="00750432" w:rsidP="00750432" w:rsidRDefault="00750432" w14:paraId="393E63FA" w14:textId="77777777">
      <w:pPr>
        <w:ind w:left="1080"/>
        <w:rPr>
          <w:rFonts w:ascii="Times New Roman" w:hAnsi="Times New Roman"/>
          <w:sz w:val="20"/>
        </w:rPr>
      </w:pPr>
    </w:p>
    <w:p w:rsidRPr="00917E22" w:rsidR="00750432" w:rsidP="00750432" w:rsidRDefault="00750432" w14:paraId="298E329B" w14:textId="33C287FE">
      <w:pPr>
        <w:ind w:left="1080"/>
        <w:rPr>
          <w:rFonts w:ascii="Times New Roman" w:hAnsi="Times New Roman"/>
          <w:szCs w:val="24"/>
        </w:rPr>
      </w:pPr>
      <w:r w:rsidRPr="00917E22">
        <w:rPr>
          <w:rFonts w:ascii="Times New Roman" w:hAnsi="Times New Roman"/>
          <w:szCs w:val="24"/>
        </w:rPr>
        <w:t>The single-establishment firm sample selection has three phases: (1) identifying the “large” single-establishment firms, (2) selecting a sample of the “small” single-establishment firms, and (3) determining if we need additional classification information from the non-selected single-establishment firms.</w:t>
      </w:r>
    </w:p>
    <w:p w:rsidRPr="00917E22" w:rsidR="00147DDC" w:rsidP="00750432" w:rsidRDefault="00147DDC" w14:paraId="48E7E42E" w14:textId="03298870">
      <w:pPr>
        <w:ind w:left="1080"/>
        <w:rPr>
          <w:rFonts w:ascii="Times New Roman" w:hAnsi="Times New Roman"/>
          <w:szCs w:val="24"/>
        </w:rPr>
      </w:pPr>
    </w:p>
    <w:p w:rsidRPr="00917E22" w:rsidR="00147DDC" w:rsidP="00A14537" w:rsidRDefault="00147DDC" w14:paraId="77B239D2" w14:textId="7D07CAEC">
      <w:pPr>
        <w:ind w:left="1080"/>
        <w:rPr>
          <w:rFonts w:ascii="Times New Roman" w:hAnsi="Times New Roman"/>
          <w:szCs w:val="24"/>
        </w:rPr>
      </w:pPr>
      <w:r w:rsidRPr="00917E22">
        <w:rPr>
          <w:rFonts w:ascii="Times New Roman" w:hAnsi="Times New Roman"/>
          <w:szCs w:val="24"/>
        </w:rPr>
        <w:t>For the Island Areas component, all single-establishment firms with payroll will be included in the Economic Census</w:t>
      </w:r>
      <w:r w:rsidR="00D02FD4">
        <w:rPr>
          <w:rFonts w:ascii="Times New Roman" w:hAnsi="Times New Roman"/>
          <w:szCs w:val="24"/>
        </w:rPr>
        <w:t xml:space="preserve"> </w:t>
      </w:r>
      <w:r w:rsidR="00474F00">
        <w:rPr>
          <w:rFonts w:ascii="Times New Roman" w:hAnsi="Times New Roman"/>
          <w:szCs w:val="24"/>
        </w:rPr>
        <w:t>sample</w:t>
      </w:r>
      <w:r w:rsidRPr="00917E22">
        <w:rPr>
          <w:rFonts w:ascii="Times New Roman" w:hAnsi="Times New Roman"/>
          <w:szCs w:val="24"/>
        </w:rPr>
        <w:t>.</w:t>
      </w:r>
    </w:p>
    <w:p w:rsidRPr="00917E22" w:rsidR="00CA73D8" w:rsidRDefault="00CA73D8" w14:paraId="0AD710FA" w14:textId="77777777">
      <w:pPr>
        <w:rPr>
          <w:rFonts w:ascii="Times New Roman" w:hAnsi="Times New Roman"/>
          <w:szCs w:val="24"/>
        </w:rPr>
      </w:pPr>
    </w:p>
    <w:p w:rsidRPr="00917E22" w:rsidR="00CA73D8" w:rsidP="008910B2" w:rsidRDefault="00CA73D8" w14:paraId="77B30588" w14:textId="77777777">
      <w:pPr>
        <w:ind w:left="1440" w:hanging="360"/>
        <w:rPr>
          <w:rFonts w:ascii="Times New Roman" w:hAnsi="Times New Roman"/>
          <w:szCs w:val="24"/>
        </w:rPr>
      </w:pPr>
      <w:bookmarkStart w:name="OLE_LINK1" w:id="3"/>
      <w:r w:rsidRPr="00917E22">
        <w:rPr>
          <w:rFonts w:ascii="Times New Roman" w:hAnsi="Times New Roman"/>
          <w:szCs w:val="24"/>
        </w:rPr>
        <w:lastRenderedPageBreak/>
        <w:t>(a)</w:t>
      </w:r>
      <w:r w:rsidRPr="00917E22">
        <w:rPr>
          <w:rFonts w:ascii="Times New Roman" w:hAnsi="Times New Roman"/>
          <w:szCs w:val="24"/>
        </w:rPr>
        <w:tab/>
      </w:r>
      <w:r w:rsidRPr="00917E22" w:rsidR="00375C09">
        <w:rPr>
          <w:rFonts w:ascii="Times New Roman" w:hAnsi="Times New Roman"/>
          <w:szCs w:val="24"/>
        </w:rPr>
        <w:t xml:space="preserve">Identifying </w:t>
      </w:r>
      <w:r w:rsidRPr="00917E22" w:rsidR="004E004A">
        <w:rPr>
          <w:rFonts w:ascii="Times New Roman" w:hAnsi="Times New Roman"/>
          <w:szCs w:val="24"/>
        </w:rPr>
        <w:t>“</w:t>
      </w:r>
      <w:r w:rsidRPr="00917E22">
        <w:rPr>
          <w:rFonts w:ascii="Times New Roman" w:hAnsi="Times New Roman"/>
          <w:szCs w:val="24"/>
        </w:rPr>
        <w:t>Large</w:t>
      </w:r>
      <w:r w:rsidRPr="00917E22" w:rsidR="004E004A">
        <w:rPr>
          <w:rFonts w:ascii="Times New Roman" w:hAnsi="Times New Roman"/>
          <w:szCs w:val="24"/>
        </w:rPr>
        <w:t>”</w:t>
      </w:r>
      <w:r w:rsidRPr="00917E22">
        <w:rPr>
          <w:rFonts w:ascii="Times New Roman" w:hAnsi="Times New Roman"/>
          <w:szCs w:val="24"/>
        </w:rPr>
        <w:t xml:space="preserve"> Single-Establishment Firms</w:t>
      </w:r>
      <w:bookmarkEnd w:id="3"/>
    </w:p>
    <w:p w:rsidRPr="00917E22" w:rsidR="00CA73D8" w:rsidRDefault="00CA73D8" w14:paraId="29E833E2" w14:textId="77777777">
      <w:pPr>
        <w:ind w:left="2160"/>
        <w:rPr>
          <w:rFonts w:ascii="Times New Roman" w:hAnsi="Times New Roman"/>
          <w:szCs w:val="24"/>
        </w:rPr>
      </w:pPr>
    </w:p>
    <w:p w:rsidRPr="00917E22" w:rsidR="00CA73D8" w:rsidP="008910B2" w:rsidRDefault="000B1C98" w14:paraId="4C1B3A25" w14:textId="35C62100">
      <w:pPr>
        <w:ind w:left="1440"/>
        <w:rPr>
          <w:rFonts w:ascii="Times New Roman" w:hAnsi="Times New Roman"/>
          <w:szCs w:val="24"/>
        </w:rPr>
      </w:pPr>
      <w:r w:rsidRPr="00917E22">
        <w:rPr>
          <w:rFonts w:ascii="Times New Roman" w:hAnsi="Times New Roman"/>
          <w:szCs w:val="24"/>
        </w:rPr>
        <w:t>All</w:t>
      </w:r>
      <w:r w:rsidRPr="00917E22" w:rsidR="00CA73D8">
        <w:rPr>
          <w:rFonts w:ascii="Times New Roman" w:hAnsi="Times New Roman"/>
          <w:szCs w:val="24"/>
        </w:rPr>
        <w:t xml:space="preserve"> single-establishment firms </w:t>
      </w:r>
      <w:r w:rsidRPr="00917E22">
        <w:rPr>
          <w:rFonts w:ascii="Times New Roman" w:hAnsi="Times New Roman"/>
          <w:szCs w:val="24"/>
        </w:rPr>
        <w:t>with</w:t>
      </w:r>
      <w:r w:rsidRPr="00917E22" w:rsidR="00CA73D8">
        <w:rPr>
          <w:rFonts w:ascii="Times New Roman" w:hAnsi="Times New Roman"/>
          <w:szCs w:val="24"/>
        </w:rPr>
        <w:t xml:space="preserve"> annual</w:t>
      </w:r>
      <w:r w:rsidRPr="00917E22">
        <w:rPr>
          <w:rFonts w:ascii="Times New Roman" w:hAnsi="Times New Roman"/>
          <w:szCs w:val="24"/>
        </w:rPr>
        <w:t>ized</w:t>
      </w:r>
      <w:r w:rsidRPr="00917E22" w:rsidR="00CA73D8">
        <w:rPr>
          <w:rFonts w:ascii="Times New Roman" w:hAnsi="Times New Roman"/>
          <w:szCs w:val="24"/>
        </w:rPr>
        <w:t xml:space="preserve"> </w:t>
      </w:r>
      <w:r w:rsidRPr="00917E22" w:rsidR="004E004A">
        <w:rPr>
          <w:rFonts w:ascii="Times New Roman" w:hAnsi="Times New Roman"/>
          <w:szCs w:val="24"/>
        </w:rPr>
        <w:t xml:space="preserve">administrative </w:t>
      </w:r>
      <w:r w:rsidRPr="00917E22" w:rsidR="00CA73D8">
        <w:rPr>
          <w:rFonts w:ascii="Times New Roman" w:hAnsi="Times New Roman"/>
          <w:szCs w:val="24"/>
        </w:rPr>
        <w:t xml:space="preserve">payroll that equals or exceeds the </w:t>
      </w:r>
      <w:r w:rsidRPr="00917E22" w:rsidR="004E004A">
        <w:rPr>
          <w:rFonts w:ascii="Times New Roman" w:hAnsi="Times New Roman"/>
          <w:szCs w:val="24"/>
        </w:rPr>
        <w:t xml:space="preserve">certainty payroll </w:t>
      </w:r>
      <w:r w:rsidRPr="00917E22" w:rsidR="00CA73D8">
        <w:rPr>
          <w:rFonts w:ascii="Times New Roman" w:hAnsi="Times New Roman"/>
          <w:szCs w:val="24"/>
        </w:rPr>
        <w:t xml:space="preserve">cutoff for their industry </w:t>
      </w:r>
      <w:r w:rsidRPr="00917E22" w:rsidR="004E004A">
        <w:rPr>
          <w:rFonts w:ascii="Times New Roman" w:hAnsi="Times New Roman"/>
          <w:szCs w:val="24"/>
        </w:rPr>
        <w:t>are</w:t>
      </w:r>
      <w:r w:rsidRPr="00917E22">
        <w:rPr>
          <w:rFonts w:ascii="Times New Roman" w:hAnsi="Times New Roman"/>
          <w:szCs w:val="24"/>
        </w:rPr>
        <w:t xml:space="preserve"> included in</w:t>
      </w:r>
      <w:r w:rsidRPr="00917E22" w:rsidR="00CA73D8">
        <w:rPr>
          <w:rFonts w:ascii="Times New Roman" w:hAnsi="Times New Roman"/>
          <w:szCs w:val="24"/>
        </w:rPr>
        <w:t xml:space="preserve"> the </w:t>
      </w:r>
      <w:r w:rsidRPr="00917E22">
        <w:rPr>
          <w:rFonts w:ascii="Times New Roman" w:hAnsi="Times New Roman"/>
          <w:szCs w:val="24"/>
        </w:rPr>
        <w:t>sample</w:t>
      </w:r>
      <w:r w:rsidRPr="00917E22" w:rsidR="00CA73D8">
        <w:rPr>
          <w:rFonts w:ascii="Times New Roman" w:hAnsi="Times New Roman"/>
          <w:szCs w:val="24"/>
        </w:rPr>
        <w:t xml:space="preserve"> component of the </w:t>
      </w:r>
      <w:r w:rsidRPr="00917E22">
        <w:rPr>
          <w:rFonts w:ascii="Times New Roman" w:hAnsi="Times New Roman"/>
          <w:szCs w:val="24"/>
        </w:rPr>
        <w:t>Economic Census</w:t>
      </w:r>
      <w:r w:rsidRPr="00917E22" w:rsidR="00CA73D8">
        <w:rPr>
          <w:rFonts w:ascii="Times New Roman" w:hAnsi="Times New Roman"/>
          <w:szCs w:val="24"/>
        </w:rPr>
        <w:t xml:space="preserve"> </w:t>
      </w:r>
      <w:r w:rsidRPr="00917E22" w:rsidR="008B21CC">
        <w:rPr>
          <w:rFonts w:ascii="Times New Roman" w:hAnsi="Times New Roman"/>
          <w:szCs w:val="24"/>
        </w:rPr>
        <w:t>with</w:t>
      </w:r>
      <w:r w:rsidRPr="00917E22" w:rsidR="00CA73D8">
        <w:rPr>
          <w:rFonts w:ascii="Times New Roman" w:hAnsi="Times New Roman"/>
          <w:szCs w:val="24"/>
        </w:rPr>
        <w:t xml:space="preserve"> certainty. Each will have a probability </w:t>
      </w:r>
      <w:r w:rsidRPr="00917E22" w:rsidR="005A7575">
        <w:rPr>
          <w:rFonts w:ascii="Times New Roman" w:hAnsi="Times New Roman"/>
          <w:szCs w:val="24"/>
        </w:rPr>
        <w:t xml:space="preserve">of </w:t>
      </w:r>
      <w:r w:rsidRPr="00917E22" w:rsidR="00CA73D8">
        <w:rPr>
          <w:rFonts w:ascii="Times New Roman" w:hAnsi="Times New Roman"/>
          <w:szCs w:val="24"/>
        </w:rPr>
        <w:t xml:space="preserve">selection of 1, and a </w:t>
      </w:r>
      <w:r w:rsidRPr="00917E22">
        <w:rPr>
          <w:rFonts w:ascii="Times New Roman" w:hAnsi="Times New Roman"/>
          <w:szCs w:val="24"/>
        </w:rPr>
        <w:t xml:space="preserve">sample </w:t>
      </w:r>
      <w:r w:rsidRPr="00917E22" w:rsidR="00CA73D8">
        <w:rPr>
          <w:rFonts w:ascii="Times New Roman" w:hAnsi="Times New Roman"/>
          <w:szCs w:val="24"/>
        </w:rPr>
        <w:t>weight of 1, which</w:t>
      </w:r>
      <w:r w:rsidRPr="00917E22">
        <w:rPr>
          <w:rFonts w:ascii="Times New Roman" w:hAnsi="Times New Roman"/>
          <w:szCs w:val="24"/>
        </w:rPr>
        <w:t xml:space="preserve"> will apply only for producing industry-specific </w:t>
      </w:r>
      <w:r w:rsidRPr="00917E22" w:rsidR="00CA73D8">
        <w:rPr>
          <w:rFonts w:ascii="Times New Roman" w:hAnsi="Times New Roman"/>
          <w:szCs w:val="24"/>
        </w:rPr>
        <w:t xml:space="preserve">statistics </w:t>
      </w:r>
      <w:r w:rsidRPr="00917E22" w:rsidR="004E004A">
        <w:rPr>
          <w:rFonts w:ascii="Times New Roman" w:hAnsi="Times New Roman"/>
          <w:szCs w:val="24"/>
        </w:rPr>
        <w:t>where data are not</w:t>
      </w:r>
      <w:r w:rsidRPr="00917E22" w:rsidR="00CA73D8">
        <w:rPr>
          <w:rFonts w:ascii="Times New Roman" w:hAnsi="Times New Roman"/>
          <w:szCs w:val="24"/>
        </w:rPr>
        <w:t xml:space="preserve"> available from administrative records. </w:t>
      </w:r>
      <w:r w:rsidRPr="00917E22">
        <w:rPr>
          <w:rFonts w:ascii="Times New Roman" w:hAnsi="Times New Roman"/>
          <w:szCs w:val="24"/>
        </w:rPr>
        <w:t xml:space="preserve">As shown in Table 2, we estimate that </w:t>
      </w:r>
      <w:r w:rsidRPr="00917E22" w:rsidR="00CA73D8">
        <w:rPr>
          <w:rFonts w:ascii="Times New Roman" w:hAnsi="Times New Roman"/>
          <w:szCs w:val="24"/>
        </w:rPr>
        <w:t xml:space="preserve">approximately </w:t>
      </w:r>
      <w:r w:rsidRPr="00917E22" w:rsidR="002B769E">
        <w:rPr>
          <w:rFonts w:ascii="Times New Roman" w:hAnsi="Times New Roman"/>
          <w:szCs w:val="24"/>
        </w:rPr>
        <w:t>1,</w:t>
      </w:r>
      <w:r w:rsidRPr="00917E22" w:rsidR="00611A8A">
        <w:rPr>
          <w:rFonts w:ascii="Times New Roman" w:hAnsi="Times New Roman"/>
          <w:szCs w:val="24"/>
        </w:rPr>
        <w:t>714</w:t>
      </w:r>
      <w:r w:rsidRPr="00917E22" w:rsidR="00FA2AFA">
        <w:rPr>
          <w:rFonts w:ascii="Times New Roman" w:hAnsi="Times New Roman"/>
          <w:szCs w:val="24"/>
        </w:rPr>
        <w:t>,</w:t>
      </w:r>
      <w:r w:rsidRPr="00917E22" w:rsidR="00611A8A">
        <w:rPr>
          <w:rFonts w:ascii="Times New Roman" w:hAnsi="Times New Roman"/>
          <w:szCs w:val="24"/>
        </w:rPr>
        <w:t>000</w:t>
      </w:r>
      <w:r w:rsidRPr="00917E22" w:rsidR="005F2934">
        <w:rPr>
          <w:rFonts w:ascii="Times New Roman" w:hAnsi="Times New Roman"/>
          <w:szCs w:val="24"/>
        </w:rPr>
        <w:t xml:space="preserve"> </w:t>
      </w:r>
      <w:r w:rsidRPr="00917E22" w:rsidR="004E004A">
        <w:rPr>
          <w:rFonts w:ascii="Times New Roman" w:hAnsi="Times New Roman"/>
          <w:szCs w:val="24"/>
        </w:rPr>
        <w:t xml:space="preserve">“large” </w:t>
      </w:r>
      <w:r w:rsidRPr="00917E22">
        <w:rPr>
          <w:rFonts w:ascii="Times New Roman" w:hAnsi="Times New Roman"/>
          <w:szCs w:val="24"/>
        </w:rPr>
        <w:t>single-establishment firms will be selected with certainty.</w:t>
      </w:r>
    </w:p>
    <w:p w:rsidRPr="00917E22" w:rsidR="004E004A" w:rsidP="008910B2" w:rsidRDefault="004E004A" w14:paraId="4B927D80" w14:textId="77777777">
      <w:pPr>
        <w:ind w:left="1440"/>
        <w:rPr>
          <w:rFonts w:ascii="Times New Roman" w:hAnsi="Times New Roman"/>
          <w:szCs w:val="24"/>
        </w:rPr>
      </w:pPr>
    </w:p>
    <w:p w:rsidRPr="00917E22" w:rsidR="004E004A" w:rsidP="008910B2" w:rsidRDefault="004E004A" w14:paraId="4DE56C18" w14:textId="70FB75D1">
      <w:pPr>
        <w:ind w:left="1980" w:hanging="540"/>
        <w:rPr>
          <w:rFonts w:ascii="Times New Roman" w:hAnsi="Times New Roman"/>
          <w:szCs w:val="24"/>
        </w:rPr>
      </w:pPr>
      <w:r w:rsidRPr="00917E22">
        <w:rPr>
          <w:rFonts w:ascii="Times New Roman" w:hAnsi="Times New Roman"/>
          <w:szCs w:val="24"/>
        </w:rPr>
        <w:t>Note: “Large” is relative. In some industries, this payroll cutoff is zero and all establishment</w:t>
      </w:r>
      <w:r w:rsidRPr="00917E22" w:rsidR="008B21CC">
        <w:rPr>
          <w:rFonts w:ascii="Times New Roman" w:hAnsi="Times New Roman"/>
          <w:szCs w:val="24"/>
        </w:rPr>
        <w:t>s are selected into the sample.</w:t>
      </w:r>
    </w:p>
    <w:p w:rsidRPr="00917E22" w:rsidR="00A3145E" w:rsidP="007F1906" w:rsidRDefault="00A3145E" w14:paraId="340B7C2F" w14:textId="77777777">
      <w:pPr>
        <w:rPr>
          <w:rFonts w:ascii="Times New Roman" w:hAnsi="Times New Roman"/>
          <w:szCs w:val="24"/>
        </w:rPr>
      </w:pPr>
    </w:p>
    <w:p w:rsidRPr="00917E22" w:rsidR="00CA73D8" w:rsidP="008910B2" w:rsidRDefault="00CA73D8" w14:paraId="37A7D3D8" w14:textId="77777777">
      <w:pPr>
        <w:ind w:left="1440" w:hanging="360"/>
        <w:rPr>
          <w:rFonts w:ascii="Times New Roman" w:hAnsi="Times New Roman"/>
          <w:szCs w:val="24"/>
        </w:rPr>
      </w:pPr>
      <w:r w:rsidRPr="00917E22">
        <w:rPr>
          <w:rFonts w:ascii="Times New Roman" w:hAnsi="Times New Roman"/>
          <w:szCs w:val="24"/>
        </w:rPr>
        <w:t>(b)</w:t>
      </w:r>
      <w:r w:rsidRPr="00917E22">
        <w:rPr>
          <w:rFonts w:ascii="Times New Roman" w:hAnsi="Times New Roman"/>
          <w:szCs w:val="24"/>
        </w:rPr>
        <w:tab/>
      </w:r>
      <w:r w:rsidRPr="00917E22" w:rsidR="005A7575">
        <w:rPr>
          <w:rFonts w:ascii="Times New Roman" w:hAnsi="Times New Roman"/>
          <w:szCs w:val="24"/>
        </w:rPr>
        <w:t>Sampling</w:t>
      </w:r>
      <w:r w:rsidRPr="00917E22" w:rsidR="00375C09">
        <w:rPr>
          <w:rFonts w:ascii="Times New Roman" w:hAnsi="Times New Roman"/>
          <w:szCs w:val="24"/>
        </w:rPr>
        <w:t xml:space="preserve"> </w:t>
      </w:r>
      <w:r w:rsidRPr="00917E22" w:rsidR="00A50C57">
        <w:rPr>
          <w:rFonts w:ascii="Times New Roman" w:hAnsi="Times New Roman"/>
          <w:szCs w:val="24"/>
        </w:rPr>
        <w:t>“</w:t>
      </w:r>
      <w:r w:rsidRPr="00917E22">
        <w:rPr>
          <w:rFonts w:ascii="Times New Roman" w:hAnsi="Times New Roman"/>
          <w:szCs w:val="24"/>
        </w:rPr>
        <w:t>Small</w:t>
      </w:r>
      <w:r w:rsidRPr="00917E22" w:rsidR="00A50C57">
        <w:rPr>
          <w:rFonts w:ascii="Times New Roman" w:hAnsi="Times New Roman"/>
          <w:szCs w:val="24"/>
        </w:rPr>
        <w:t>”</w:t>
      </w:r>
      <w:r w:rsidRPr="00917E22">
        <w:rPr>
          <w:rFonts w:ascii="Times New Roman" w:hAnsi="Times New Roman"/>
          <w:szCs w:val="24"/>
        </w:rPr>
        <w:t xml:space="preserve"> Single-Establishment Firms</w:t>
      </w:r>
    </w:p>
    <w:p w:rsidRPr="00917E22" w:rsidR="00CA73D8" w:rsidRDefault="00CA73D8" w14:paraId="3C76C4DC" w14:textId="77777777">
      <w:pPr>
        <w:ind w:left="2340"/>
        <w:rPr>
          <w:rFonts w:ascii="Times New Roman" w:hAnsi="Times New Roman"/>
          <w:szCs w:val="24"/>
        </w:rPr>
      </w:pPr>
    </w:p>
    <w:p w:rsidRPr="00917E22" w:rsidR="00F21D61" w:rsidP="008910B2" w:rsidRDefault="00BD6785" w14:paraId="336AF906" w14:textId="77777777">
      <w:pPr>
        <w:ind w:left="1440"/>
        <w:rPr>
          <w:rFonts w:ascii="Times New Roman" w:hAnsi="Times New Roman"/>
          <w:szCs w:val="24"/>
        </w:rPr>
      </w:pPr>
      <w:r w:rsidRPr="00917E22">
        <w:rPr>
          <w:rFonts w:ascii="Times New Roman" w:hAnsi="Times New Roman"/>
          <w:szCs w:val="24"/>
        </w:rPr>
        <w:t>The remaining</w:t>
      </w:r>
      <w:r w:rsidRPr="00917E22" w:rsidR="00CA73D8">
        <w:rPr>
          <w:rFonts w:ascii="Times New Roman" w:hAnsi="Times New Roman"/>
          <w:szCs w:val="24"/>
        </w:rPr>
        <w:t xml:space="preserve"> single-establishment firms </w:t>
      </w:r>
      <w:r w:rsidRPr="00917E22" w:rsidR="007D6B9D">
        <w:rPr>
          <w:rFonts w:ascii="Times New Roman" w:hAnsi="Times New Roman"/>
          <w:szCs w:val="24"/>
        </w:rPr>
        <w:t xml:space="preserve">(those </w:t>
      </w:r>
      <w:r w:rsidRPr="00917E22">
        <w:rPr>
          <w:rFonts w:ascii="Times New Roman" w:hAnsi="Times New Roman"/>
          <w:szCs w:val="24"/>
        </w:rPr>
        <w:t>with</w:t>
      </w:r>
      <w:r w:rsidRPr="00917E22" w:rsidR="00CA73D8">
        <w:rPr>
          <w:rFonts w:ascii="Times New Roman" w:hAnsi="Times New Roman"/>
          <w:szCs w:val="24"/>
        </w:rPr>
        <w:t xml:space="preserve"> annual</w:t>
      </w:r>
      <w:r w:rsidRPr="00917E22">
        <w:rPr>
          <w:rFonts w:ascii="Times New Roman" w:hAnsi="Times New Roman"/>
          <w:szCs w:val="24"/>
        </w:rPr>
        <w:t>ized</w:t>
      </w:r>
      <w:r w:rsidRPr="00917E22" w:rsidR="00CA73D8">
        <w:rPr>
          <w:rFonts w:ascii="Times New Roman" w:hAnsi="Times New Roman"/>
          <w:szCs w:val="24"/>
        </w:rPr>
        <w:t xml:space="preserve"> payroll below the cutoff for their industry</w:t>
      </w:r>
      <w:r w:rsidRPr="00917E22" w:rsidR="007D6B9D">
        <w:rPr>
          <w:rFonts w:ascii="Times New Roman" w:hAnsi="Times New Roman"/>
          <w:szCs w:val="24"/>
        </w:rPr>
        <w:t>) are s</w:t>
      </w:r>
      <w:r w:rsidRPr="00917E22" w:rsidR="00842B2C">
        <w:rPr>
          <w:rFonts w:ascii="Times New Roman" w:hAnsi="Times New Roman"/>
          <w:szCs w:val="24"/>
        </w:rPr>
        <w:t>tratified by industry and state and selected using a strata-specific probability of selection.</w:t>
      </w:r>
      <w:r w:rsidRPr="00917E22" w:rsidR="00CA73D8">
        <w:rPr>
          <w:rFonts w:ascii="Times New Roman" w:hAnsi="Times New Roman"/>
          <w:szCs w:val="24"/>
        </w:rPr>
        <w:t xml:space="preserve"> </w:t>
      </w:r>
    </w:p>
    <w:p w:rsidRPr="00917E22" w:rsidR="00F21D61" w:rsidP="008910B2" w:rsidRDefault="00F21D61" w14:paraId="29E03180" w14:textId="77777777">
      <w:pPr>
        <w:ind w:left="1440"/>
        <w:rPr>
          <w:rFonts w:ascii="Times New Roman" w:hAnsi="Times New Roman"/>
          <w:szCs w:val="24"/>
        </w:rPr>
      </w:pPr>
    </w:p>
    <w:p w:rsidRPr="00917E22" w:rsidR="00CA73D8" w:rsidP="008910B2" w:rsidRDefault="000E40FA" w14:paraId="18D7B892" w14:textId="2ED795CF">
      <w:pPr>
        <w:ind w:left="1440"/>
        <w:rPr>
          <w:rFonts w:ascii="Times New Roman" w:hAnsi="Times New Roman"/>
          <w:szCs w:val="24"/>
        </w:rPr>
      </w:pPr>
      <w:r w:rsidRPr="00917E22">
        <w:rPr>
          <w:rFonts w:ascii="Times New Roman" w:hAnsi="Times New Roman"/>
          <w:szCs w:val="24"/>
        </w:rPr>
        <w:t>The</w:t>
      </w:r>
      <w:r w:rsidRPr="00917E22" w:rsidR="00CA73D8">
        <w:rPr>
          <w:rFonts w:ascii="Times New Roman" w:hAnsi="Times New Roman"/>
          <w:szCs w:val="24"/>
        </w:rPr>
        <w:t xml:space="preserve"> probabilities of selection </w:t>
      </w:r>
      <w:r w:rsidRPr="00917E22">
        <w:rPr>
          <w:rFonts w:ascii="Times New Roman" w:hAnsi="Times New Roman"/>
          <w:szCs w:val="24"/>
        </w:rPr>
        <w:t xml:space="preserve">for these strata </w:t>
      </w:r>
      <w:r w:rsidRPr="00917E22" w:rsidR="00CA73D8">
        <w:rPr>
          <w:rFonts w:ascii="Times New Roman" w:hAnsi="Times New Roman"/>
          <w:szCs w:val="24"/>
        </w:rPr>
        <w:t xml:space="preserve">will be determined by a study of the potential respondent universe conducted shortly before </w:t>
      </w:r>
      <w:r w:rsidRPr="00917E22">
        <w:rPr>
          <w:rFonts w:ascii="Times New Roman" w:hAnsi="Times New Roman"/>
          <w:szCs w:val="24"/>
        </w:rPr>
        <w:t>sample</w:t>
      </w:r>
      <w:r w:rsidRPr="00917E22" w:rsidR="00CA73D8">
        <w:rPr>
          <w:rFonts w:ascii="Times New Roman" w:hAnsi="Times New Roman"/>
          <w:szCs w:val="24"/>
        </w:rPr>
        <w:t xml:space="preserve"> selection operations begin. Selected small single-establishment firms will be included in the </w:t>
      </w:r>
      <w:r w:rsidRPr="00917E22">
        <w:rPr>
          <w:rFonts w:ascii="Times New Roman" w:hAnsi="Times New Roman"/>
          <w:szCs w:val="24"/>
        </w:rPr>
        <w:t>sample</w:t>
      </w:r>
      <w:r w:rsidRPr="00917E22" w:rsidR="00CA73D8">
        <w:rPr>
          <w:rFonts w:ascii="Times New Roman" w:hAnsi="Times New Roman"/>
          <w:szCs w:val="24"/>
        </w:rPr>
        <w:t xml:space="preserve"> as non</w:t>
      </w:r>
      <w:r w:rsidRPr="00917E22">
        <w:rPr>
          <w:rFonts w:ascii="Times New Roman" w:hAnsi="Times New Roman"/>
          <w:szCs w:val="24"/>
        </w:rPr>
        <w:t>-</w:t>
      </w:r>
      <w:r w:rsidRPr="00917E22" w:rsidR="00CA73D8">
        <w:rPr>
          <w:rFonts w:ascii="Times New Roman" w:hAnsi="Times New Roman"/>
          <w:szCs w:val="24"/>
        </w:rPr>
        <w:t xml:space="preserve">certainty cases. Each will have a probability of selection that is less than 1, and each will have a </w:t>
      </w:r>
      <w:r w:rsidRPr="00917E22" w:rsidR="000E0B31">
        <w:rPr>
          <w:rFonts w:ascii="Times New Roman" w:hAnsi="Times New Roman"/>
          <w:szCs w:val="24"/>
        </w:rPr>
        <w:t xml:space="preserve">sample </w:t>
      </w:r>
      <w:r w:rsidRPr="00917E22" w:rsidR="00CA73D8">
        <w:rPr>
          <w:rFonts w:ascii="Times New Roman" w:hAnsi="Times New Roman"/>
          <w:szCs w:val="24"/>
        </w:rPr>
        <w:t>weight greater than 1</w:t>
      </w:r>
      <w:r w:rsidRPr="00917E22">
        <w:rPr>
          <w:rFonts w:ascii="Times New Roman" w:hAnsi="Times New Roman"/>
          <w:szCs w:val="24"/>
        </w:rPr>
        <w:t xml:space="preserve"> </w:t>
      </w:r>
      <w:r w:rsidRPr="00917E22" w:rsidR="00CA73D8">
        <w:rPr>
          <w:rFonts w:ascii="Times New Roman" w:hAnsi="Times New Roman"/>
          <w:szCs w:val="24"/>
        </w:rPr>
        <w:t xml:space="preserve">(calculated as the </w:t>
      </w:r>
      <w:r w:rsidRPr="00917E22" w:rsidR="005A7575">
        <w:rPr>
          <w:rFonts w:ascii="Times New Roman" w:hAnsi="Times New Roman"/>
          <w:szCs w:val="24"/>
        </w:rPr>
        <w:t>reciprocal</w:t>
      </w:r>
      <w:r w:rsidRPr="00917E22" w:rsidR="00CA73D8">
        <w:rPr>
          <w:rFonts w:ascii="Times New Roman" w:hAnsi="Times New Roman"/>
          <w:szCs w:val="24"/>
        </w:rPr>
        <w:t xml:space="preserve"> of the probability of selection), which will apply </w:t>
      </w:r>
      <w:r w:rsidRPr="00917E22">
        <w:rPr>
          <w:rFonts w:ascii="Times New Roman" w:hAnsi="Times New Roman"/>
          <w:szCs w:val="24"/>
        </w:rPr>
        <w:t xml:space="preserve">only for producing industry-specific statistics where data are not available from administrative records. </w:t>
      </w:r>
      <w:r w:rsidRPr="00917E22" w:rsidR="00CA73D8">
        <w:rPr>
          <w:rFonts w:ascii="Times New Roman" w:hAnsi="Times New Roman"/>
          <w:szCs w:val="24"/>
        </w:rPr>
        <w:t xml:space="preserve">We estimate that approximately </w:t>
      </w:r>
      <w:r w:rsidRPr="00917E22" w:rsidR="00611A8A">
        <w:rPr>
          <w:rFonts w:ascii="Times New Roman" w:hAnsi="Times New Roman"/>
          <w:szCs w:val="24"/>
        </w:rPr>
        <w:t>401</w:t>
      </w:r>
      <w:r w:rsidRPr="00917E22">
        <w:rPr>
          <w:rFonts w:ascii="Times New Roman" w:hAnsi="Times New Roman"/>
          <w:szCs w:val="24"/>
        </w:rPr>
        <w:t>,</w:t>
      </w:r>
      <w:r w:rsidRPr="00917E22" w:rsidR="00611A8A">
        <w:rPr>
          <w:rFonts w:ascii="Times New Roman" w:hAnsi="Times New Roman"/>
          <w:szCs w:val="24"/>
        </w:rPr>
        <w:t>000</w:t>
      </w:r>
      <w:r w:rsidRPr="00917E22">
        <w:rPr>
          <w:rFonts w:ascii="Times New Roman" w:hAnsi="Times New Roman"/>
          <w:szCs w:val="24"/>
        </w:rPr>
        <w:t xml:space="preserve"> “</w:t>
      </w:r>
      <w:r w:rsidRPr="00917E22" w:rsidR="00CA73D8">
        <w:rPr>
          <w:rFonts w:ascii="Times New Roman" w:hAnsi="Times New Roman"/>
          <w:szCs w:val="24"/>
        </w:rPr>
        <w:t>small</w:t>
      </w:r>
      <w:r w:rsidRPr="00917E22">
        <w:rPr>
          <w:rFonts w:ascii="Times New Roman" w:hAnsi="Times New Roman"/>
          <w:szCs w:val="24"/>
        </w:rPr>
        <w:t>”</w:t>
      </w:r>
      <w:r w:rsidRPr="00917E22" w:rsidR="00CA73D8">
        <w:rPr>
          <w:rFonts w:ascii="Times New Roman" w:hAnsi="Times New Roman"/>
          <w:szCs w:val="24"/>
        </w:rPr>
        <w:t xml:space="preserve"> single-establishment </w:t>
      </w:r>
      <w:r w:rsidRPr="00917E22" w:rsidR="00FA2AFA">
        <w:rPr>
          <w:rFonts w:ascii="Times New Roman" w:hAnsi="Times New Roman"/>
          <w:szCs w:val="24"/>
        </w:rPr>
        <w:t>firms</w:t>
      </w:r>
      <w:r w:rsidRPr="00917E22" w:rsidR="000E0B31">
        <w:rPr>
          <w:rFonts w:ascii="Times New Roman" w:hAnsi="Times New Roman"/>
          <w:szCs w:val="24"/>
        </w:rPr>
        <w:t xml:space="preserve"> will be </w:t>
      </w:r>
      <w:r w:rsidRPr="00917E22" w:rsidR="00CA73D8">
        <w:rPr>
          <w:rFonts w:ascii="Times New Roman" w:hAnsi="Times New Roman"/>
          <w:szCs w:val="24"/>
        </w:rPr>
        <w:t xml:space="preserve">selected </w:t>
      </w:r>
      <w:r w:rsidRPr="00917E22" w:rsidR="000E0B31">
        <w:rPr>
          <w:rFonts w:ascii="Times New Roman" w:hAnsi="Times New Roman"/>
          <w:szCs w:val="24"/>
        </w:rPr>
        <w:t>for</w:t>
      </w:r>
      <w:r w:rsidRPr="00917E22" w:rsidR="00CA73D8">
        <w:rPr>
          <w:rFonts w:ascii="Times New Roman" w:hAnsi="Times New Roman"/>
          <w:szCs w:val="24"/>
        </w:rPr>
        <w:t xml:space="preserve"> this sample.</w:t>
      </w:r>
    </w:p>
    <w:p w:rsidRPr="00917E22" w:rsidR="00842B2C" w:rsidP="008910B2" w:rsidRDefault="00842B2C" w14:paraId="26D06DF1" w14:textId="77777777">
      <w:pPr>
        <w:ind w:left="1440"/>
        <w:rPr>
          <w:rFonts w:ascii="Times New Roman" w:hAnsi="Times New Roman"/>
          <w:szCs w:val="24"/>
        </w:rPr>
      </w:pPr>
    </w:p>
    <w:p w:rsidRPr="00917E22" w:rsidR="00611A8A" w:rsidP="00611A8A" w:rsidRDefault="00611A8A" w14:paraId="55F53044" w14:textId="77777777">
      <w:pPr>
        <w:pStyle w:val="ListParagraph"/>
        <w:numPr>
          <w:ilvl w:val="0"/>
          <w:numId w:val="18"/>
        </w:numPr>
        <w:spacing w:after="240"/>
        <w:ind w:left="1440" w:hanging="360"/>
        <w:rPr>
          <w:rFonts w:ascii="Times New Roman" w:hAnsi="Times New Roman"/>
          <w:szCs w:val="24"/>
        </w:rPr>
      </w:pPr>
      <w:r w:rsidRPr="00917E22">
        <w:rPr>
          <w:rFonts w:ascii="Times New Roman" w:hAnsi="Times New Roman"/>
          <w:szCs w:val="24"/>
        </w:rPr>
        <w:t>Determining Which Establishments Need Classification Information</w:t>
      </w:r>
    </w:p>
    <w:p w:rsidRPr="00917E22" w:rsidR="00611A8A" w:rsidP="00611A8A" w:rsidRDefault="00611A8A" w14:paraId="3A497AD8" w14:textId="024AD4FE">
      <w:pPr>
        <w:ind w:left="1440"/>
        <w:rPr>
          <w:rFonts w:ascii="Times New Roman" w:hAnsi="Times New Roman"/>
          <w:szCs w:val="24"/>
        </w:rPr>
      </w:pPr>
      <w:r w:rsidRPr="00917E22">
        <w:rPr>
          <w:rFonts w:ascii="Times New Roman" w:hAnsi="Times New Roman"/>
          <w:szCs w:val="24"/>
        </w:rPr>
        <w:t xml:space="preserve">All remaining (non-sampled) single-establishment firms with payroll will be represented in the Economic Census by data from </w:t>
      </w:r>
      <w:r w:rsidR="00A05409">
        <w:rPr>
          <w:rFonts w:ascii="Times New Roman" w:hAnsi="Times New Roman"/>
          <w:szCs w:val="24"/>
        </w:rPr>
        <w:t>f</w:t>
      </w:r>
      <w:r w:rsidRPr="00917E22">
        <w:rPr>
          <w:rFonts w:ascii="Times New Roman" w:hAnsi="Times New Roman"/>
          <w:szCs w:val="24"/>
        </w:rPr>
        <w:t>ederal administrative records and will not usually be required to report. However, in some cases, the industry classification information on the Business Register – used to tabulate the (quantitative) administrative data in the correct industry – is inadequate or outdated. The most common reasons for a deficient classification are:</w:t>
      </w:r>
    </w:p>
    <w:p w:rsidRPr="00917E22" w:rsidR="00611A8A" w:rsidP="00611A8A" w:rsidRDefault="00611A8A" w14:paraId="2FFA77A7" w14:textId="77777777">
      <w:pPr>
        <w:pStyle w:val="ListParagraph"/>
        <w:numPr>
          <w:ilvl w:val="0"/>
          <w:numId w:val="20"/>
        </w:numPr>
        <w:ind w:left="1800" w:hanging="360"/>
        <w:rPr>
          <w:rFonts w:ascii="Times New Roman" w:hAnsi="Times New Roman"/>
          <w:szCs w:val="24"/>
        </w:rPr>
      </w:pPr>
      <w:r w:rsidRPr="00917E22">
        <w:rPr>
          <w:rFonts w:ascii="Times New Roman" w:hAnsi="Times New Roman"/>
          <w:szCs w:val="24"/>
        </w:rPr>
        <w:t>Administrative classification data provided to the Census Bureau lack sufficient detail to assign an establishment to a 6-digit NAICS industry (or 8-digit if the Economic Census publishes estimates at that detail)</w:t>
      </w:r>
      <w:r w:rsidRPr="00917E22">
        <w:rPr>
          <w:rStyle w:val="FootnoteReference"/>
          <w:rFonts w:ascii="Times New Roman" w:hAnsi="Times New Roman"/>
          <w:szCs w:val="24"/>
          <w:vertAlign w:val="superscript"/>
        </w:rPr>
        <w:footnoteReference w:id="4"/>
      </w:r>
      <w:r w:rsidRPr="00917E22">
        <w:rPr>
          <w:rFonts w:ascii="Times New Roman" w:hAnsi="Times New Roman"/>
          <w:szCs w:val="24"/>
        </w:rPr>
        <w:t xml:space="preserve"> </w:t>
      </w:r>
    </w:p>
    <w:p w:rsidRPr="00917E22" w:rsidR="00611A8A" w:rsidP="00611A8A" w:rsidRDefault="00611A8A" w14:paraId="36CD0A93" w14:textId="77777777">
      <w:pPr>
        <w:pStyle w:val="ListParagraph"/>
        <w:numPr>
          <w:ilvl w:val="0"/>
          <w:numId w:val="20"/>
        </w:numPr>
        <w:ind w:left="1800" w:hanging="360"/>
        <w:rPr>
          <w:rFonts w:ascii="Times New Roman" w:hAnsi="Times New Roman"/>
          <w:szCs w:val="24"/>
        </w:rPr>
      </w:pPr>
      <w:r w:rsidRPr="00917E22">
        <w:rPr>
          <w:rFonts w:ascii="Times New Roman" w:hAnsi="Times New Roman"/>
          <w:szCs w:val="24"/>
        </w:rPr>
        <w:lastRenderedPageBreak/>
        <w:t>The administrative data are not in agreement regarding an establishment’s classification</w:t>
      </w:r>
    </w:p>
    <w:p w:rsidRPr="00917E22" w:rsidR="00611A8A" w:rsidP="00611A8A" w:rsidRDefault="005D2ADF" w14:paraId="731B7920" w14:textId="575380F6">
      <w:pPr>
        <w:pStyle w:val="ListParagraph"/>
        <w:numPr>
          <w:ilvl w:val="0"/>
          <w:numId w:val="20"/>
        </w:numPr>
        <w:ind w:left="1800" w:hanging="360"/>
        <w:rPr>
          <w:rFonts w:ascii="Times New Roman" w:hAnsi="Times New Roman"/>
          <w:szCs w:val="24"/>
        </w:rPr>
      </w:pPr>
      <w:r>
        <w:rPr>
          <w:rFonts w:ascii="Times New Roman" w:hAnsi="Times New Roman"/>
          <w:szCs w:val="24"/>
        </w:rPr>
        <w:t xml:space="preserve"> </w:t>
      </w:r>
      <w:r w:rsidRPr="00917E22" w:rsidR="00611A8A">
        <w:rPr>
          <w:rFonts w:ascii="Times New Roman" w:hAnsi="Times New Roman"/>
          <w:szCs w:val="24"/>
        </w:rPr>
        <w:t xml:space="preserve">The date the establishment was last fully classified in 2002. </w:t>
      </w:r>
    </w:p>
    <w:p w:rsidRPr="00917E22" w:rsidR="00CA73D8" w:rsidP="00135C11" w:rsidRDefault="00886FB4" w14:paraId="01772413" w14:textId="0BD9D3E4">
      <w:pPr>
        <w:spacing w:before="240"/>
        <w:ind w:left="1440"/>
        <w:rPr>
          <w:rFonts w:ascii="Times New Roman" w:hAnsi="Times New Roman"/>
          <w:color w:val="FF0000"/>
          <w:szCs w:val="24"/>
        </w:rPr>
      </w:pPr>
      <w:r w:rsidRPr="00917E22">
        <w:rPr>
          <w:rFonts w:ascii="Times New Roman" w:hAnsi="Times New Roman"/>
          <w:szCs w:val="24"/>
        </w:rPr>
        <w:t>In these cases</w:t>
      </w:r>
      <w:r w:rsidRPr="00917E22" w:rsidR="00CA73D8">
        <w:rPr>
          <w:rFonts w:ascii="Times New Roman" w:hAnsi="Times New Roman"/>
          <w:szCs w:val="24"/>
        </w:rPr>
        <w:t xml:space="preserve">, we will </w:t>
      </w:r>
      <w:r w:rsidRPr="00917E22">
        <w:rPr>
          <w:rFonts w:ascii="Times New Roman" w:hAnsi="Times New Roman"/>
          <w:szCs w:val="24"/>
        </w:rPr>
        <w:t xml:space="preserve">require the </w:t>
      </w:r>
      <w:r w:rsidRPr="00917E22" w:rsidR="00CA73D8">
        <w:rPr>
          <w:rFonts w:ascii="Times New Roman" w:hAnsi="Times New Roman"/>
          <w:szCs w:val="24"/>
        </w:rPr>
        <w:t xml:space="preserve">firm </w:t>
      </w:r>
      <w:r w:rsidRPr="00917E22">
        <w:rPr>
          <w:rFonts w:ascii="Times New Roman" w:hAnsi="Times New Roman"/>
          <w:szCs w:val="24"/>
        </w:rPr>
        <w:t xml:space="preserve">to respond to </w:t>
      </w:r>
      <w:r w:rsidRPr="00917E22" w:rsidR="00CA73D8">
        <w:rPr>
          <w:rFonts w:ascii="Times New Roman" w:hAnsi="Times New Roman"/>
          <w:szCs w:val="24"/>
        </w:rPr>
        <w:t>a</w:t>
      </w:r>
      <w:r w:rsidRPr="00917E22" w:rsidR="00EF7A2C">
        <w:rPr>
          <w:rFonts w:ascii="Times New Roman" w:hAnsi="Times New Roman"/>
          <w:szCs w:val="24"/>
        </w:rPr>
        <w:t>n Economic C</w:t>
      </w:r>
      <w:r w:rsidRPr="00917E22" w:rsidR="00CA73D8">
        <w:rPr>
          <w:rFonts w:ascii="Times New Roman" w:hAnsi="Times New Roman"/>
          <w:szCs w:val="24"/>
        </w:rPr>
        <w:t xml:space="preserve">ensus </w:t>
      </w:r>
      <w:r w:rsidRPr="00917E22" w:rsidR="00F11E1A">
        <w:rPr>
          <w:rFonts w:ascii="Times New Roman" w:hAnsi="Times New Roman"/>
          <w:szCs w:val="24"/>
        </w:rPr>
        <w:t>classification</w:t>
      </w:r>
      <w:r w:rsidRPr="00917E22">
        <w:rPr>
          <w:rFonts w:ascii="Times New Roman" w:hAnsi="Times New Roman"/>
          <w:szCs w:val="24"/>
        </w:rPr>
        <w:t xml:space="preserve"> questionnaire </w:t>
      </w:r>
      <w:r w:rsidRPr="00917E22" w:rsidR="00C12D9A">
        <w:rPr>
          <w:rFonts w:ascii="Times New Roman" w:hAnsi="Times New Roman"/>
          <w:szCs w:val="24"/>
        </w:rPr>
        <w:t>that</w:t>
      </w:r>
      <w:r w:rsidRPr="00917E22" w:rsidR="00CA73D8">
        <w:rPr>
          <w:rFonts w:ascii="Times New Roman" w:hAnsi="Times New Roman"/>
          <w:szCs w:val="24"/>
        </w:rPr>
        <w:t xml:space="preserve"> collect</w:t>
      </w:r>
      <w:r w:rsidRPr="00917E22" w:rsidR="00C12D9A">
        <w:rPr>
          <w:rFonts w:ascii="Times New Roman" w:hAnsi="Times New Roman"/>
          <w:szCs w:val="24"/>
        </w:rPr>
        <w:t>s the</w:t>
      </w:r>
      <w:r w:rsidRPr="00917E22" w:rsidR="00CA73D8">
        <w:rPr>
          <w:rFonts w:ascii="Times New Roman" w:hAnsi="Times New Roman"/>
          <w:szCs w:val="24"/>
        </w:rPr>
        <w:t xml:space="preserve"> basic information needed to </w:t>
      </w:r>
      <w:r w:rsidRPr="00917E22">
        <w:rPr>
          <w:rFonts w:ascii="Times New Roman" w:hAnsi="Times New Roman"/>
          <w:szCs w:val="24"/>
        </w:rPr>
        <w:t>fully classify the establishment</w:t>
      </w:r>
      <w:r w:rsidRPr="00917E22" w:rsidR="00635048">
        <w:rPr>
          <w:rFonts w:ascii="Times New Roman" w:hAnsi="Times New Roman"/>
          <w:szCs w:val="24"/>
        </w:rPr>
        <w:t xml:space="preserve"> into a NAICS industry</w:t>
      </w:r>
      <w:r w:rsidRPr="00917E22" w:rsidR="00C12D9A">
        <w:rPr>
          <w:rFonts w:ascii="Times New Roman" w:hAnsi="Times New Roman"/>
          <w:szCs w:val="24"/>
        </w:rPr>
        <w:t xml:space="preserve">. We estimate that </w:t>
      </w:r>
      <w:r w:rsidRPr="00917E22" w:rsidR="00CA73D8">
        <w:rPr>
          <w:rFonts w:ascii="Times New Roman" w:hAnsi="Times New Roman"/>
          <w:szCs w:val="24"/>
        </w:rPr>
        <w:t xml:space="preserve">approximately </w:t>
      </w:r>
      <w:r w:rsidRPr="00917E22" w:rsidR="00611A8A">
        <w:rPr>
          <w:rFonts w:ascii="Times New Roman" w:hAnsi="Times New Roman"/>
          <w:szCs w:val="24"/>
        </w:rPr>
        <w:t>429,000</w:t>
      </w:r>
      <w:r w:rsidRPr="00917E22" w:rsidR="00233CDD">
        <w:rPr>
          <w:rFonts w:ascii="Times New Roman" w:hAnsi="Times New Roman"/>
          <w:szCs w:val="24"/>
        </w:rPr>
        <w:t xml:space="preserve"> </w:t>
      </w:r>
      <w:r w:rsidRPr="00917E22" w:rsidR="00CA73D8">
        <w:rPr>
          <w:rFonts w:ascii="Times New Roman" w:hAnsi="Times New Roman"/>
          <w:szCs w:val="24"/>
        </w:rPr>
        <w:t xml:space="preserve">single-establishment firms </w:t>
      </w:r>
      <w:r w:rsidRPr="00917E22" w:rsidR="004F53B4">
        <w:rPr>
          <w:rFonts w:ascii="Times New Roman" w:hAnsi="Times New Roman"/>
          <w:szCs w:val="24"/>
        </w:rPr>
        <w:t>will</w:t>
      </w:r>
      <w:r w:rsidRPr="00917E22" w:rsidR="00CA73D8">
        <w:rPr>
          <w:rFonts w:ascii="Times New Roman" w:hAnsi="Times New Roman"/>
          <w:szCs w:val="24"/>
        </w:rPr>
        <w:t xml:space="preserve"> receive these </w:t>
      </w:r>
      <w:r w:rsidRPr="00917E22" w:rsidR="00233CDD">
        <w:rPr>
          <w:rFonts w:ascii="Times New Roman" w:hAnsi="Times New Roman"/>
          <w:szCs w:val="24"/>
        </w:rPr>
        <w:t>classification questionnaires.</w:t>
      </w:r>
      <w:r w:rsidRPr="00917E22" w:rsidR="00E577B6">
        <w:rPr>
          <w:rFonts w:ascii="Times New Roman" w:hAnsi="Times New Roman"/>
          <w:szCs w:val="24"/>
        </w:rPr>
        <w:t xml:space="preserve"> </w:t>
      </w:r>
    </w:p>
    <w:p w:rsidRPr="00917E22" w:rsidR="00A3145E" w:rsidP="007F1906" w:rsidRDefault="00CA73D8" w14:paraId="37777D19" w14:textId="032701A0">
      <w:pPr>
        <w:ind w:firstLine="720"/>
        <w:rPr>
          <w:rFonts w:ascii="Times New Roman" w:hAnsi="Times New Roman"/>
          <w:szCs w:val="24"/>
        </w:rPr>
      </w:pPr>
      <w:r w:rsidRPr="00917E22">
        <w:rPr>
          <w:rFonts w:ascii="Times New Roman" w:hAnsi="Times New Roman"/>
          <w:szCs w:val="24"/>
        </w:rPr>
        <w:tab/>
      </w:r>
      <w:r w:rsidRPr="00917E22">
        <w:rPr>
          <w:rFonts w:ascii="Times New Roman" w:hAnsi="Times New Roman"/>
          <w:szCs w:val="24"/>
        </w:rPr>
        <w:tab/>
      </w:r>
    </w:p>
    <w:p w:rsidRPr="00917E22" w:rsidR="00CA73D8" w:rsidP="008910B2" w:rsidRDefault="00CA73D8" w14:paraId="6E1829F2" w14:textId="77777777">
      <w:pPr>
        <w:ind w:left="720" w:hanging="360"/>
        <w:rPr>
          <w:rFonts w:ascii="Times New Roman" w:hAnsi="Times New Roman"/>
          <w:szCs w:val="24"/>
        </w:rPr>
      </w:pPr>
      <w:r w:rsidRPr="00917E22">
        <w:rPr>
          <w:rFonts w:ascii="Times New Roman" w:hAnsi="Times New Roman"/>
          <w:szCs w:val="24"/>
        </w:rPr>
        <w:t>b.</w:t>
      </w:r>
      <w:r w:rsidRPr="00917E22">
        <w:rPr>
          <w:rFonts w:ascii="Times New Roman" w:hAnsi="Times New Roman"/>
          <w:szCs w:val="24"/>
        </w:rPr>
        <w:tab/>
        <w:t>Estimation Procedures</w:t>
      </w:r>
    </w:p>
    <w:p w:rsidRPr="00917E22" w:rsidR="00CA73D8" w:rsidRDefault="00CA73D8" w14:paraId="300E272B" w14:textId="77777777">
      <w:pPr>
        <w:rPr>
          <w:rFonts w:ascii="Times New Roman" w:hAnsi="Times New Roman"/>
          <w:szCs w:val="24"/>
        </w:rPr>
      </w:pPr>
    </w:p>
    <w:p w:rsidRPr="00917E22" w:rsidR="00CA73D8" w:rsidP="008910B2" w:rsidRDefault="00CA73D8" w14:paraId="2A017902" w14:textId="77777777">
      <w:pPr>
        <w:tabs>
          <w:tab w:val="left" w:pos="-1440"/>
        </w:tabs>
        <w:ind w:left="1080" w:hanging="360"/>
        <w:rPr>
          <w:rFonts w:ascii="Times New Roman" w:hAnsi="Times New Roman"/>
          <w:szCs w:val="24"/>
        </w:rPr>
      </w:pPr>
      <w:r w:rsidRPr="00917E22">
        <w:rPr>
          <w:rFonts w:ascii="Times New Roman" w:hAnsi="Times New Roman"/>
          <w:szCs w:val="24"/>
        </w:rPr>
        <w:t>(1)</w:t>
      </w:r>
      <w:r w:rsidRPr="00917E22">
        <w:rPr>
          <w:rFonts w:ascii="Times New Roman" w:hAnsi="Times New Roman"/>
          <w:szCs w:val="24"/>
        </w:rPr>
        <w:tab/>
        <w:t>Basic Statistics</w:t>
      </w:r>
    </w:p>
    <w:p w:rsidRPr="00917E22" w:rsidR="00CA73D8" w:rsidRDefault="00CA73D8" w14:paraId="158C1A25" w14:textId="77777777">
      <w:pPr>
        <w:rPr>
          <w:rFonts w:ascii="Times New Roman" w:hAnsi="Times New Roman"/>
          <w:szCs w:val="24"/>
        </w:rPr>
      </w:pPr>
    </w:p>
    <w:p w:rsidRPr="00917E22" w:rsidR="00CA73D8" w:rsidP="008910B2" w:rsidRDefault="00EF7A2C" w14:paraId="3AD3BDCE" w14:textId="7D1A3BE7">
      <w:pPr>
        <w:ind w:left="1080"/>
        <w:rPr>
          <w:rFonts w:ascii="Times New Roman" w:hAnsi="Times New Roman"/>
          <w:szCs w:val="24"/>
        </w:rPr>
      </w:pPr>
      <w:r w:rsidRPr="00917E22">
        <w:rPr>
          <w:rFonts w:ascii="Times New Roman" w:hAnsi="Times New Roman"/>
          <w:szCs w:val="24"/>
        </w:rPr>
        <w:t xml:space="preserve">Economic </w:t>
      </w:r>
      <w:r w:rsidRPr="00917E22" w:rsidR="00CA73D8">
        <w:rPr>
          <w:rFonts w:ascii="Times New Roman" w:hAnsi="Times New Roman"/>
          <w:szCs w:val="24"/>
        </w:rPr>
        <w:t xml:space="preserve">Census tabulations for basic statistics </w:t>
      </w:r>
      <w:r w:rsidRPr="00917E22" w:rsidR="00635048">
        <w:rPr>
          <w:rFonts w:ascii="Times New Roman" w:hAnsi="Times New Roman"/>
          <w:szCs w:val="24"/>
        </w:rPr>
        <w:t>(</w:t>
      </w:r>
      <w:r w:rsidRPr="00917E22" w:rsidR="00677560">
        <w:rPr>
          <w:rFonts w:ascii="Times New Roman" w:hAnsi="Times New Roman"/>
          <w:szCs w:val="24"/>
        </w:rPr>
        <w:t>value of shipments/</w:t>
      </w:r>
      <w:r w:rsidRPr="00917E22" w:rsidR="00635048">
        <w:rPr>
          <w:rFonts w:ascii="Times New Roman" w:hAnsi="Times New Roman"/>
          <w:szCs w:val="24"/>
        </w:rPr>
        <w:t>receipts</w:t>
      </w:r>
      <w:r w:rsidRPr="00917E22" w:rsidR="00677560">
        <w:rPr>
          <w:rFonts w:ascii="Times New Roman" w:hAnsi="Times New Roman"/>
          <w:szCs w:val="24"/>
        </w:rPr>
        <w:t>/revenue/sales</w:t>
      </w:r>
      <w:r w:rsidRPr="00917E22" w:rsidR="00635048">
        <w:rPr>
          <w:rFonts w:ascii="Times New Roman" w:hAnsi="Times New Roman"/>
          <w:szCs w:val="24"/>
        </w:rPr>
        <w:t xml:space="preserve">, payroll, employment, etc.) </w:t>
      </w:r>
      <w:r w:rsidRPr="00917E22" w:rsidR="00CA73D8">
        <w:rPr>
          <w:rFonts w:ascii="Times New Roman" w:hAnsi="Times New Roman"/>
          <w:szCs w:val="24"/>
        </w:rPr>
        <w:t xml:space="preserve">are simple summations of data from </w:t>
      </w:r>
      <w:r w:rsidRPr="00917E22" w:rsidR="00635048">
        <w:rPr>
          <w:rFonts w:ascii="Times New Roman" w:hAnsi="Times New Roman"/>
          <w:szCs w:val="24"/>
        </w:rPr>
        <w:t>all in-scope establishments</w:t>
      </w:r>
      <w:r w:rsidRPr="00917E22" w:rsidR="00E620F2">
        <w:rPr>
          <w:rFonts w:ascii="Times New Roman" w:hAnsi="Times New Roman"/>
          <w:szCs w:val="24"/>
        </w:rPr>
        <w:t xml:space="preserve"> </w:t>
      </w:r>
      <w:r w:rsidRPr="00917E22" w:rsidR="00635048">
        <w:rPr>
          <w:rFonts w:ascii="Times New Roman" w:hAnsi="Times New Roman"/>
          <w:szCs w:val="24"/>
        </w:rPr>
        <w:t>using</w:t>
      </w:r>
      <w:r w:rsidRPr="00917E22" w:rsidR="00E620F2">
        <w:rPr>
          <w:rFonts w:ascii="Times New Roman" w:hAnsi="Times New Roman"/>
          <w:szCs w:val="24"/>
        </w:rPr>
        <w:t xml:space="preserve"> reported data collected from the Economic Census, plus imputed data for non-respondents and single-unit establishments that were </w:t>
      </w:r>
      <w:r w:rsidRPr="00917E22" w:rsidR="009E7979">
        <w:rPr>
          <w:rFonts w:ascii="Times New Roman" w:hAnsi="Times New Roman"/>
          <w:szCs w:val="24"/>
        </w:rPr>
        <w:t xml:space="preserve">not </w:t>
      </w:r>
      <w:r w:rsidRPr="00917E22" w:rsidR="00635048">
        <w:rPr>
          <w:rFonts w:ascii="Times New Roman" w:hAnsi="Times New Roman"/>
          <w:szCs w:val="24"/>
        </w:rPr>
        <w:t xml:space="preserve">selected into the </w:t>
      </w:r>
      <w:r w:rsidRPr="00917E22">
        <w:rPr>
          <w:rFonts w:ascii="Times New Roman" w:hAnsi="Times New Roman"/>
          <w:szCs w:val="24"/>
        </w:rPr>
        <w:t xml:space="preserve">Economic </w:t>
      </w:r>
      <w:r w:rsidRPr="00917E22" w:rsidR="00635048">
        <w:rPr>
          <w:rFonts w:ascii="Times New Roman" w:hAnsi="Times New Roman"/>
          <w:szCs w:val="24"/>
        </w:rPr>
        <w:t>Census sample</w:t>
      </w:r>
      <w:r w:rsidRPr="00917E22" w:rsidR="00E620F2">
        <w:rPr>
          <w:rFonts w:ascii="Times New Roman" w:hAnsi="Times New Roman"/>
          <w:szCs w:val="24"/>
        </w:rPr>
        <w:t>.</w:t>
      </w:r>
      <w:r w:rsidRPr="00917E22" w:rsidR="00CA73D8">
        <w:rPr>
          <w:rFonts w:ascii="Times New Roman" w:hAnsi="Times New Roman"/>
          <w:szCs w:val="24"/>
        </w:rPr>
        <w:t xml:space="preserve"> </w:t>
      </w:r>
      <w:r w:rsidRPr="00917E22" w:rsidR="00635048">
        <w:rPr>
          <w:rFonts w:ascii="Times New Roman" w:hAnsi="Times New Roman"/>
          <w:szCs w:val="24"/>
        </w:rPr>
        <w:t xml:space="preserve">The most common source of imputed data is administrative data from </w:t>
      </w:r>
      <w:r w:rsidRPr="00917E22" w:rsidR="00375C09">
        <w:rPr>
          <w:rFonts w:ascii="Times New Roman" w:hAnsi="Times New Roman"/>
          <w:szCs w:val="24"/>
        </w:rPr>
        <w:t>the IRS.</w:t>
      </w:r>
      <w:r w:rsidRPr="00917E22" w:rsidR="001A546B">
        <w:rPr>
          <w:rFonts w:ascii="Times New Roman" w:hAnsi="Times New Roman"/>
          <w:szCs w:val="24"/>
        </w:rPr>
        <w:t xml:space="preserve"> For multi-establishment firms in alternative reporting industries (see Section B.2.a.(b) above)</w:t>
      </w:r>
      <w:r w:rsidRPr="00917E22" w:rsidR="001826F9">
        <w:rPr>
          <w:rFonts w:ascii="Times New Roman" w:hAnsi="Times New Roman"/>
          <w:szCs w:val="24"/>
        </w:rPr>
        <w:t>,</w:t>
      </w:r>
      <w:r w:rsidRPr="00917E22" w:rsidR="001A546B">
        <w:rPr>
          <w:rFonts w:ascii="Times New Roman" w:hAnsi="Times New Roman"/>
          <w:szCs w:val="24"/>
        </w:rPr>
        <w:t xml:space="preserve"> the consolidated firm level </w:t>
      </w:r>
      <w:r w:rsidRPr="00917E22" w:rsidR="00C34EDE">
        <w:rPr>
          <w:rFonts w:ascii="Times New Roman" w:hAnsi="Times New Roman"/>
          <w:szCs w:val="24"/>
        </w:rPr>
        <w:t>value of shipments/</w:t>
      </w:r>
      <w:r w:rsidRPr="00917E22" w:rsidR="001826F9">
        <w:rPr>
          <w:rFonts w:ascii="Times New Roman" w:hAnsi="Times New Roman"/>
          <w:szCs w:val="24"/>
        </w:rPr>
        <w:t>receipts</w:t>
      </w:r>
      <w:r w:rsidRPr="00917E22" w:rsidR="00C34EDE">
        <w:rPr>
          <w:rFonts w:ascii="Times New Roman" w:hAnsi="Times New Roman"/>
          <w:szCs w:val="24"/>
        </w:rPr>
        <w:t>/revenue/sales</w:t>
      </w:r>
      <w:r w:rsidRPr="00917E22" w:rsidR="001826F9">
        <w:rPr>
          <w:rFonts w:ascii="Times New Roman" w:hAnsi="Times New Roman"/>
          <w:szCs w:val="24"/>
        </w:rPr>
        <w:t xml:space="preserve"> </w:t>
      </w:r>
      <w:r w:rsidRPr="00917E22" w:rsidR="001A546B">
        <w:rPr>
          <w:rFonts w:ascii="Times New Roman" w:hAnsi="Times New Roman"/>
          <w:szCs w:val="24"/>
        </w:rPr>
        <w:t>data is first allocated to the individual establishments of the firm in the industry.</w:t>
      </w:r>
    </w:p>
    <w:p w:rsidRPr="00917E22" w:rsidR="00F136D1" w:rsidP="008910B2" w:rsidRDefault="00F136D1" w14:paraId="682562CC" w14:textId="77777777">
      <w:pPr>
        <w:ind w:left="1080"/>
        <w:rPr>
          <w:rFonts w:ascii="Times New Roman" w:hAnsi="Times New Roman"/>
          <w:szCs w:val="24"/>
        </w:rPr>
      </w:pPr>
    </w:p>
    <w:p w:rsidRPr="00917E22" w:rsidR="00CA73D8" w:rsidP="008910B2" w:rsidRDefault="00CA73D8" w14:paraId="7D4C1994" w14:textId="77777777">
      <w:pPr>
        <w:tabs>
          <w:tab w:val="left" w:pos="-1440"/>
        </w:tabs>
        <w:ind w:left="1080" w:hanging="360"/>
        <w:rPr>
          <w:rFonts w:ascii="Times New Roman" w:hAnsi="Times New Roman"/>
          <w:szCs w:val="24"/>
        </w:rPr>
      </w:pPr>
      <w:r w:rsidRPr="00917E22">
        <w:rPr>
          <w:rFonts w:ascii="Times New Roman" w:hAnsi="Times New Roman"/>
          <w:szCs w:val="24"/>
        </w:rPr>
        <w:t>(2)</w:t>
      </w:r>
      <w:r w:rsidRPr="00917E22">
        <w:rPr>
          <w:rFonts w:ascii="Times New Roman" w:hAnsi="Times New Roman"/>
          <w:szCs w:val="24"/>
        </w:rPr>
        <w:tab/>
      </w:r>
      <w:r w:rsidRPr="00917E22" w:rsidR="00EF7A2C">
        <w:rPr>
          <w:rFonts w:ascii="Times New Roman" w:hAnsi="Times New Roman"/>
          <w:szCs w:val="24"/>
        </w:rPr>
        <w:t>Industry-Specific</w:t>
      </w:r>
      <w:r w:rsidRPr="00917E22">
        <w:rPr>
          <w:rFonts w:ascii="Times New Roman" w:hAnsi="Times New Roman"/>
          <w:szCs w:val="24"/>
        </w:rPr>
        <w:t xml:space="preserve"> Statistics</w:t>
      </w:r>
    </w:p>
    <w:p w:rsidRPr="00917E22" w:rsidR="00CA73D8" w:rsidRDefault="00CA73D8" w14:paraId="6B7E2B10" w14:textId="77777777">
      <w:pPr>
        <w:rPr>
          <w:rFonts w:ascii="Times New Roman" w:hAnsi="Times New Roman"/>
          <w:szCs w:val="24"/>
        </w:rPr>
      </w:pPr>
    </w:p>
    <w:p w:rsidRPr="00917E22" w:rsidR="00CA73D8" w:rsidP="00375C09" w:rsidRDefault="00EF7A2C" w14:paraId="6246FF05" w14:textId="26EE078C">
      <w:pPr>
        <w:ind w:left="1080"/>
        <w:rPr>
          <w:rFonts w:ascii="Times New Roman" w:hAnsi="Times New Roman"/>
          <w:szCs w:val="24"/>
        </w:rPr>
      </w:pPr>
      <w:r w:rsidRPr="00917E22">
        <w:rPr>
          <w:rFonts w:ascii="Times New Roman" w:hAnsi="Times New Roman"/>
          <w:szCs w:val="24"/>
        </w:rPr>
        <w:t xml:space="preserve">Economic </w:t>
      </w:r>
      <w:r w:rsidRPr="00917E22" w:rsidR="00CA73D8">
        <w:rPr>
          <w:rFonts w:ascii="Times New Roman" w:hAnsi="Times New Roman"/>
          <w:szCs w:val="24"/>
        </w:rPr>
        <w:t xml:space="preserve">Census </w:t>
      </w:r>
      <w:r w:rsidRPr="00917E22" w:rsidR="00D770D3">
        <w:rPr>
          <w:rFonts w:ascii="Times New Roman" w:hAnsi="Times New Roman"/>
          <w:szCs w:val="24"/>
        </w:rPr>
        <w:t>estimates</w:t>
      </w:r>
      <w:r w:rsidRPr="00917E22" w:rsidR="00CA73D8">
        <w:rPr>
          <w:rFonts w:ascii="Times New Roman" w:hAnsi="Times New Roman"/>
          <w:szCs w:val="24"/>
        </w:rPr>
        <w:t xml:space="preserve"> for </w:t>
      </w:r>
      <w:r w:rsidRPr="00917E22">
        <w:rPr>
          <w:rFonts w:ascii="Times New Roman" w:hAnsi="Times New Roman"/>
          <w:szCs w:val="24"/>
        </w:rPr>
        <w:t>industry-specific</w:t>
      </w:r>
      <w:r w:rsidRPr="00917E22" w:rsidR="00CA73D8">
        <w:rPr>
          <w:rFonts w:ascii="Times New Roman" w:hAnsi="Times New Roman"/>
          <w:szCs w:val="24"/>
        </w:rPr>
        <w:t xml:space="preserve"> statistics, such as product line revenue and </w:t>
      </w:r>
      <w:r w:rsidRPr="00917E22" w:rsidR="00635048">
        <w:rPr>
          <w:rFonts w:ascii="Times New Roman" w:hAnsi="Times New Roman"/>
          <w:szCs w:val="24"/>
        </w:rPr>
        <w:t xml:space="preserve">other </w:t>
      </w:r>
      <w:r w:rsidRPr="00917E22" w:rsidR="00CA73D8">
        <w:rPr>
          <w:rFonts w:ascii="Times New Roman" w:hAnsi="Times New Roman"/>
          <w:szCs w:val="24"/>
        </w:rPr>
        <w:t xml:space="preserve">industry-specific special </w:t>
      </w:r>
      <w:r w:rsidR="00614602">
        <w:rPr>
          <w:rFonts w:ascii="Times New Roman" w:hAnsi="Times New Roman"/>
          <w:szCs w:val="24"/>
        </w:rPr>
        <w:t>items</w:t>
      </w:r>
      <w:r w:rsidRPr="00917E22" w:rsidR="00CA73D8">
        <w:rPr>
          <w:rFonts w:ascii="Times New Roman" w:hAnsi="Times New Roman"/>
          <w:szCs w:val="24"/>
        </w:rPr>
        <w:t>, are derived by summing weighted data, where each certainty establishment (</w:t>
      </w:r>
      <w:r w:rsidRPr="00917E22" w:rsidR="00D770D3">
        <w:rPr>
          <w:rFonts w:ascii="Times New Roman" w:hAnsi="Times New Roman"/>
          <w:szCs w:val="24"/>
        </w:rPr>
        <w:t>establishments of multi-establishment firms and “large” single-establishment firms</w:t>
      </w:r>
      <w:r w:rsidRPr="00917E22" w:rsidR="00CA73D8">
        <w:rPr>
          <w:rFonts w:ascii="Times New Roman" w:hAnsi="Times New Roman"/>
          <w:szCs w:val="24"/>
        </w:rPr>
        <w:t>) has a weight of 1, and each non</w:t>
      </w:r>
      <w:r w:rsidRPr="00917E22" w:rsidR="00D770D3">
        <w:rPr>
          <w:rFonts w:ascii="Times New Roman" w:hAnsi="Times New Roman"/>
          <w:szCs w:val="24"/>
        </w:rPr>
        <w:t>-</w:t>
      </w:r>
      <w:r w:rsidRPr="00917E22" w:rsidR="00CA73D8">
        <w:rPr>
          <w:rFonts w:ascii="Times New Roman" w:hAnsi="Times New Roman"/>
          <w:szCs w:val="24"/>
        </w:rPr>
        <w:t xml:space="preserve">certainty establishment has </w:t>
      </w:r>
      <w:r w:rsidRPr="00917E22" w:rsidR="00D770D3">
        <w:rPr>
          <w:rFonts w:ascii="Times New Roman" w:hAnsi="Times New Roman"/>
          <w:szCs w:val="24"/>
        </w:rPr>
        <w:t>the</w:t>
      </w:r>
      <w:r w:rsidRPr="00917E22" w:rsidR="00CA73D8">
        <w:rPr>
          <w:rFonts w:ascii="Times New Roman" w:hAnsi="Times New Roman"/>
          <w:szCs w:val="24"/>
        </w:rPr>
        <w:t xml:space="preserve"> </w:t>
      </w:r>
      <w:r w:rsidRPr="00917E22" w:rsidR="00D770D3">
        <w:rPr>
          <w:rFonts w:ascii="Times New Roman" w:hAnsi="Times New Roman"/>
          <w:szCs w:val="24"/>
        </w:rPr>
        <w:t xml:space="preserve">sample </w:t>
      </w:r>
      <w:r w:rsidRPr="00917E22" w:rsidR="00CA73D8">
        <w:rPr>
          <w:rFonts w:ascii="Times New Roman" w:hAnsi="Times New Roman"/>
          <w:szCs w:val="24"/>
        </w:rPr>
        <w:t xml:space="preserve">weight </w:t>
      </w:r>
      <w:r w:rsidRPr="00917E22" w:rsidR="00D770D3">
        <w:rPr>
          <w:rFonts w:ascii="Times New Roman" w:hAnsi="Times New Roman"/>
          <w:szCs w:val="24"/>
        </w:rPr>
        <w:t>assigned during the sample selection process (see B.2.a.(2)(b) above)</w:t>
      </w:r>
      <w:r w:rsidRPr="00917E22" w:rsidR="00CA73D8">
        <w:rPr>
          <w:rFonts w:ascii="Times New Roman" w:hAnsi="Times New Roman"/>
          <w:szCs w:val="24"/>
        </w:rPr>
        <w:t xml:space="preserve">. </w:t>
      </w:r>
      <w:r w:rsidRPr="00917E22" w:rsidR="00D770D3">
        <w:rPr>
          <w:rFonts w:ascii="Times New Roman" w:hAnsi="Times New Roman"/>
          <w:szCs w:val="24"/>
        </w:rPr>
        <w:t xml:space="preserve">Frequently these initial weighted estimates are further adjusted to ensure that </w:t>
      </w:r>
      <w:r w:rsidRPr="00917E22" w:rsidR="0026277E">
        <w:rPr>
          <w:rFonts w:ascii="Times New Roman" w:hAnsi="Times New Roman"/>
          <w:szCs w:val="24"/>
        </w:rPr>
        <w:t xml:space="preserve">these detailed estimates sum to a basic statistics total. For example, the </w:t>
      </w:r>
      <w:r w:rsidRPr="00917E22" w:rsidR="00DD12EA">
        <w:rPr>
          <w:rFonts w:ascii="Times New Roman" w:hAnsi="Times New Roman"/>
          <w:szCs w:val="24"/>
        </w:rPr>
        <w:t>value of shipments/receipts/revenue/</w:t>
      </w:r>
      <w:r w:rsidRPr="00917E22" w:rsidR="0026277E">
        <w:rPr>
          <w:rFonts w:ascii="Times New Roman" w:hAnsi="Times New Roman"/>
          <w:szCs w:val="24"/>
        </w:rPr>
        <w:t xml:space="preserve">sales of products within an industry (estimated from the sample) should sum to the total industry </w:t>
      </w:r>
      <w:r w:rsidRPr="00917E22" w:rsidR="00505B8B">
        <w:rPr>
          <w:rFonts w:ascii="Times New Roman" w:hAnsi="Times New Roman"/>
          <w:szCs w:val="24"/>
        </w:rPr>
        <w:t>value of shipments/</w:t>
      </w:r>
      <w:r w:rsidRPr="00917E22" w:rsidR="0026277E">
        <w:rPr>
          <w:rFonts w:ascii="Times New Roman" w:hAnsi="Times New Roman"/>
          <w:szCs w:val="24"/>
        </w:rPr>
        <w:t>receipts</w:t>
      </w:r>
      <w:r w:rsidRPr="00917E22" w:rsidR="00505B8B">
        <w:rPr>
          <w:rFonts w:ascii="Times New Roman" w:hAnsi="Times New Roman"/>
          <w:szCs w:val="24"/>
        </w:rPr>
        <w:t>/revenue/sales</w:t>
      </w:r>
      <w:r w:rsidRPr="00917E22" w:rsidR="0026277E">
        <w:rPr>
          <w:rFonts w:ascii="Times New Roman" w:hAnsi="Times New Roman"/>
          <w:szCs w:val="24"/>
        </w:rPr>
        <w:t xml:space="preserve"> (computed from all establishments).</w:t>
      </w:r>
    </w:p>
    <w:p w:rsidR="00963ADB" w:rsidP="007F1906" w:rsidRDefault="00963ADB" w14:paraId="58B2468B" w14:textId="0A75FA1F">
      <w:pPr>
        <w:rPr>
          <w:rFonts w:ascii="Times New Roman" w:hAnsi="Times New Roman"/>
          <w:szCs w:val="24"/>
        </w:rPr>
      </w:pPr>
    </w:p>
    <w:p w:rsidRPr="00917E22" w:rsidR="007F1906" w:rsidP="007F1906" w:rsidRDefault="007F1906" w14:paraId="6B092412" w14:textId="77777777">
      <w:pPr>
        <w:rPr>
          <w:rFonts w:ascii="Times New Roman" w:hAnsi="Times New Roman"/>
          <w:szCs w:val="24"/>
        </w:rPr>
      </w:pPr>
    </w:p>
    <w:p w:rsidRPr="00917E22" w:rsidR="00CA73D8" w:rsidP="008910B2" w:rsidRDefault="00CA73D8" w14:paraId="4A4939A2" w14:textId="77777777">
      <w:pPr>
        <w:tabs>
          <w:tab w:val="left" w:pos="-1440"/>
        </w:tabs>
        <w:ind w:left="720" w:hanging="360"/>
        <w:rPr>
          <w:rFonts w:ascii="Times New Roman" w:hAnsi="Times New Roman"/>
          <w:szCs w:val="24"/>
        </w:rPr>
      </w:pPr>
      <w:r w:rsidRPr="00917E22">
        <w:rPr>
          <w:rFonts w:ascii="Times New Roman" w:hAnsi="Times New Roman"/>
          <w:szCs w:val="24"/>
        </w:rPr>
        <w:t>c.</w:t>
      </w:r>
      <w:r w:rsidRPr="00917E22" w:rsidR="008910B2">
        <w:rPr>
          <w:rFonts w:ascii="Times New Roman" w:hAnsi="Times New Roman"/>
          <w:szCs w:val="24"/>
        </w:rPr>
        <w:tab/>
      </w:r>
      <w:r w:rsidRPr="00917E22">
        <w:rPr>
          <w:rFonts w:ascii="Times New Roman" w:hAnsi="Times New Roman"/>
          <w:szCs w:val="24"/>
        </w:rPr>
        <w:t>Required Accuracy</w:t>
      </w:r>
    </w:p>
    <w:p w:rsidRPr="00917E22" w:rsidR="00CA73D8" w:rsidRDefault="00CA73D8" w14:paraId="7634CE58" w14:textId="77777777">
      <w:pPr>
        <w:rPr>
          <w:rFonts w:ascii="Times New Roman" w:hAnsi="Times New Roman"/>
          <w:szCs w:val="24"/>
        </w:rPr>
      </w:pPr>
    </w:p>
    <w:p w:rsidRPr="00917E22" w:rsidR="00CA73D8" w:rsidP="008910B2" w:rsidRDefault="00CA73D8" w14:paraId="62DD05A5" w14:textId="77777777">
      <w:pPr>
        <w:ind w:left="1080" w:hanging="360"/>
        <w:rPr>
          <w:rFonts w:ascii="Times New Roman" w:hAnsi="Times New Roman"/>
          <w:szCs w:val="24"/>
        </w:rPr>
      </w:pPr>
      <w:r w:rsidRPr="00917E22">
        <w:rPr>
          <w:rFonts w:ascii="Times New Roman" w:hAnsi="Times New Roman"/>
          <w:szCs w:val="24"/>
        </w:rPr>
        <w:t xml:space="preserve">(1) </w:t>
      </w:r>
      <w:r w:rsidRPr="00917E22" w:rsidR="008910B2">
        <w:rPr>
          <w:rFonts w:ascii="Times New Roman" w:hAnsi="Times New Roman"/>
          <w:szCs w:val="24"/>
        </w:rPr>
        <w:tab/>
      </w:r>
      <w:r w:rsidRPr="00917E22">
        <w:rPr>
          <w:rFonts w:ascii="Times New Roman" w:hAnsi="Times New Roman"/>
          <w:szCs w:val="24"/>
        </w:rPr>
        <w:t>Sampling Error</w:t>
      </w:r>
    </w:p>
    <w:p w:rsidRPr="00917E22" w:rsidR="00CA73D8" w:rsidRDefault="00CA73D8" w14:paraId="542E7890" w14:textId="77777777">
      <w:pPr>
        <w:rPr>
          <w:rFonts w:ascii="Times New Roman" w:hAnsi="Times New Roman"/>
          <w:szCs w:val="24"/>
        </w:rPr>
      </w:pPr>
    </w:p>
    <w:p w:rsidRPr="00917E22" w:rsidR="00CA73D8" w:rsidP="008910B2" w:rsidRDefault="00CA73D8" w14:paraId="15D3FC30" w14:textId="77777777">
      <w:pPr>
        <w:tabs>
          <w:tab w:val="left" w:pos="-1440"/>
        </w:tabs>
        <w:ind w:left="1440" w:hanging="360"/>
        <w:rPr>
          <w:rFonts w:ascii="Times New Roman" w:hAnsi="Times New Roman"/>
          <w:szCs w:val="24"/>
        </w:rPr>
      </w:pPr>
      <w:r w:rsidRPr="00917E22">
        <w:rPr>
          <w:rFonts w:ascii="Times New Roman" w:hAnsi="Times New Roman"/>
          <w:szCs w:val="24"/>
        </w:rPr>
        <w:t>(a)</w:t>
      </w:r>
      <w:r w:rsidRPr="00917E22">
        <w:rPr>
          <w:rFonts w:ascii="Times New Roman" w:hAnsi="Times New Roman"/>
          <w:szCs w:val="24"/>
        </w:rPr>
        <w:tab/>
        <w:t>Basic Statistics</w:t>
      </w:r>
    </w:p>
    <w:p w:rsidRPr="00917E22" w:rsidR="00CA73D8" w:rsidRDefault="00CA73D8" w14:paraId="007E890B" w14:textId="77777777">
      <w:pPr>
        <w:rPr>
          <w:rFonts w:ascii="Times New Roman" w:hAnsi="Times New Roman"/>
          <w:szCs w:val="24"/>
        </w:rPr>
      </w:pPr>
    </w:p>
    <w:p w:rsidRPr="00917E22" w:rsidR="00CA73D8" w:rsidP="008910B2" w:rsidRDefault="00CA73D8" w14:paraId="115C290A" w14:textId="7F5FFA0F">
      <w:pPr>
        <w:ind w:left="1440"/>
        <w:rPr>
          <w:rFonts w:ascii="Times New Roman" w:hAnsi="Times New Roman"/>
          <w:szCs w:val="24"/>
        </w:rPr>
      </w:pPr>
      <w:r w:rsidRPr="00917E22">
        <w:rPr>
          <w:rFonts w:ascii="Times New Roman" w:hAnsi="Times New Roman"/>
          <w:szCs w:val="24"/>
        </w:rPr>
        <w:t xml:space="preserve">The accuracy of basic statistics from the </w:t>
      </w:r>
      <w:r w:rsidRPr="00917E22" w:rsidR="00EF7A2C">
        <w:rPr>
          <w:rFonts w:ascii="Times New Roman" w:hAnsi="Times New Roman"/>
          <w:szCs w:val="24"/>
        </w:rPr>
        <w:t>Economic C</w:t>
      </w:r>
      <w:r w:rsidRPr="00917E22">
        <w:rPr>
          <w:rFonts w:ascii="Times New Roman" w:hAnsi="Times New Roman"/>
          <w:szCs w:val="24"/>
        </w:rPr>
        <w:t xml:space="preserve">ensus is not affected by sampling error since these </w:t>
      </w:r>
      <w:r w:rsidRPr="00917E22" w:rsidR="00813A4A">
        <w:rPr>
          <w:rFonts w:ascii="Times New Roman" w:hAnsi="Times New Roman"/>
          <w:szCs w:val="24"/>
        </w:rPr>
        <w:t>statistics</w:t>
      </w:r>
      <w:r w:rsidRPr="00917E22">
        <w:rPr>
          <w:rFonts w:ascii="Times New Roman" w:hAnsi="Times New Roman"/>
          <w:szCs w:val="24"/>
        </w:rPr>
        <w:t xml:space="preserve"> are based on a complete enumeration of the establishment universe. A high degree of accuracy and statistical reliability is required, because the basic statistics provide benchmarks for the national accounts; the U.S. Census Bureau</w:t>
      </w:r>
      <w:r w:rsidRPr="00917E22" w:rsidR="00375C09">
        <w:rPr>
          <w:rFonts w:ascii="Times New Roman" w:hAnsi="Times New Roman"/>
          <w:szCs w:val="24"/>
        </w:rPr>
        <w:t>’</w:t>
      </w:r>
      <w:r w:rsidRPr="00917E22">
        <w:rPr>
          <w:rFonts w:ascii="Times New Roman" w:hAnsi="Times New Roman"/>
          <w:szCs w:val="24"/>
        </w:rPr>
        <w:t>s current economic surveys; and other surveys conducted by trade groups, businesses, and researchers.</w:t>
      </w:r>
    </w:p>
    <w:p w:rsidRPr="00917E22" w:rsidR="00CA73D8" w:rsidRDefault="00CA73D8" w14:paraId="179F2766" w14:textId="77777777">
      <w:pPr>
        <w:rPr>
          <w:rFonts w:ascii="Times New Roman" w:hAnsi="Times New Roman"/>
          <w:szCs w:val="24"/>
        </w:rPr>
      </w:pPr>
    </w:p>
    <w:p w:rsidRPr="00917E22" w:rsidR="00CA73D8" w:rsidP="008910B2" w:rsidRDefault="00CA73D8" w14:paraId="4FB72CF6" w14:textId="77777777">
      <w:pPr>
        <w:tabs>
          <w:tab w:val="left" w:pos="-1440"/>
        </w:tabs>
        <w:ind w:left="1440" w:hanging="360"/>
        <w:rPr>
          <w:rFonts w:ascii="Times New Roman" w:hAnsi="Times New Roman"/>
          <w:szCs w:val="24"/>
        </w:rPr>
      </w:pPr>
      <w:r w:rsidRPr="00917E22">
        <w:rPr>
          <w:rFonts w:ascii="Times New Roman" w:hAnsi="Times New Roman"/>
          <w:szCs w:val="24"/>
        </w:rPr>
        <w:t>(b)</w:t>
      </w:r>
      <w:r w:rsidRPr="00917E22">
        <w:rPr>
          <w:rFonts w:ascii="Times New Roman" w:hAnsi="Times New Roman"/>
          <w:szCs w:val="24"/>
        </w:rPr>
        <w:tab/>
      </w:r>
      <w:r w:rsidRPr="00917E22" w:rsidR="00EF7A2C">
        <w:rPr>
          <w:rFonts w:ascii="Times New Roman" w:hAnsi="Times New Roman"/>
          <w:szCs w:val="24"/>
        </w:rPr>
        <w:t>Industry-Specific</w:t>
      </w:r>
      <w:r w:rsidRPr="00917E22">
        <w:rPr>
          <w:rFonts w:ascii="Times New Roman" w:hAnsi="Times New Roman"/>
          <w:szCs w:val="24"/>
        </w:rPr>
        <w:t xml:space="preserve"> Statistics</w:t>
      </w:r>
    </w:p>
    <w:p w:rsidRPr="00917E22" w:rsidR="00CA73D8" w:rsidRDefault="00CA73D8" w14:paraId="4144C4B4" w14:textId="77777777">
      <w:pPr>
        <w:ind w:left="2880"/>
        <w:rPr>
          <w:rFonts w:ascii="Times New Roman" w:hAnsi="Times New Roman"/>
          <w:szCs w:val="24"/>
        </w:rPr>
      </w:pPr>
    </w:p>
    <w:p w:rsidRPr="00917E22" w:rsidR="003B12ED" w:rsidP="008910B2" w:rsidRDefault="003B12ED" w14:paraId="063AFBC5" w14:textId="20091AF2">
      <w:pPr>
        <w:ind w:left="1440"/>
        <w:rPr>
          <w:rFonts w:ascii="Times New Roman" w:hAnsi="Times New Roman"/>
          <w:szCs w:val="24"/>
        </w:rPr>
      </w:pPr>
      <w:r w:rsidRPr="00917E22">
        <w:rPr>
          <w:rFonts w:ascii="Times New Roman" w:hAnsi="Times New Roman"/>
          <w:szCs w:val="24"/>
        </w:rPr>
        <w:t xml:space="preserve">We minimize the sampling error of the </w:t>
      </w:r>
      <w:r w:rsidRPr="00917E22" w:rsidR="00EF7A2C">
        <w:rPr>
          <w:rFonts w:ascii="Times New Roman" w:hAnsi="Times New Roman"/>
          <w:szCs w:val="24"/>
        </w:rPr>
        <w:t>industry-specific</w:t>
      </w:r>
      <w:r w:rsidRPr="00917E22">
        <w:rPr>
          <w:rFonts w:ascii="Times New Roman" w:hAnsi="Times New Roman"/>
          <w:szCs w:val="24"/>
        </w:rPr>
        <w:t xml:space="preserve"> (sample-based) statistics in two ways</w:t>
      </w:r>
      <w:r w:rsidR="00425DBA">
        <w:rPr>
          <w:rFonts w:ascii="Times New Roman" w:hAnsi="Times New Roman"/>
          <w:szCs w:val="24"/>
        </w:rPr>
        <w:t>:</w:t>
      </w:r>
    </w:p>
    <w:p w:rsidRPr="00917E22" w:rsidR="003B12ED" w:rsidP="003B12ED" w:rsidRDefault="003B12ED" w14:paraId="1FD967E5" w14:textId="4F9911F0">
      <w:pPr>
        <w:pStyle w:val="ListParagraph"/>
        <w:numPr>
          <w:ilvl w:val="0"/>
          <w:numId w:val="21"/>
        </w:numPr>
        <w:ind w:left="1800" w:hanging="360"/>
        <w:rPr>
          <w:rFonts w:ascii="Times New Roman" w:hAnsi="Times New Roman"/>
          <w:szCs w:val="24"/>
        </w:rPr>
      </w:pPr>
      <w:r w:rsidRPr="00917E22">
        <w:rPr>
          <w:rFonts w:ascii="Times New Roman" w:hAnsi="Times New Roman"/>
          <w:szCs w:val="24"/>
        </w:rPr>
        <w:t xml:space="preserve">Designing the non-certainty portion of the sample </w:t>
      </w:r>
      <w:r w:rsidRPr="00917E22" w:rsidR="00B5758E">
        <w:rPr>
          <w:rFonts w:ascii="Times New Roman" w:hAnsi="Times New Roman"/>
          <w:szCs w:val="24"/>
        </w:rPr>
        <w:t>at the same level as</w:t>
      </w:r>
      <w:r w:rsidRPr="00917E22">
        <w:rPr>
          <w:rFonts w:ascii="Times New Roman" w:hAnsi="Times New Roman"/>
          <w:szCs w:val="24"/>
        </w:rPr>
        <w:t xml:space="preserve"> the most detailed levels used for any </w:t>
      </w:r>
      <w:r w:rsidRPr="00917E22" w:rsidR="00EF7A2C">
        <w:rPr>
          <w:rFonts w:ascii="Times New Roman" w:hAnsi="Times New Roman"/>
          <w:szCs w:val="24"/>
        </w:rPr>
        <w:t>industry-specific</w:t>
      </w:r>
      <w:r w:rsidRPr="00917E22">
        <w:rPr>
          <w:rFonts w:ascii="Times New Roman" w:hAnsi="Times New Roman"/>
          <w:szCs w:val="24"/>
        </w:rPr>
        <w:t xml:space="preserve"> series publication (</w:t>
      </w:r>
      <w:r w:rsidRPr="00917E22" w:rsidR="00842B2C">
        <w:rPr>
          <w:rFonts w:ascii="Times New Roman" w:hAnsi="Times New Roman"/>
          <w:szCs w:val="24"/>
        </w:rPr>
        <w:t xml:space="preserve">8-digit </w:t>
      </w:r>
      <w:r w:rsidRPr="00917E22">
        <w:rPr>
          <w:rFonts w:ascii="Times New Roman" w:hAnsi="Times New Roman"/>
          <w:szCs w:val="24"/>
        </w:rPr>
        <w:t xml:space="preserve">NAICS </w:t>
      </w:r>
      <w:r w:rsidRPr="00917E22" w:rsidR="00A45355">
        <w:rPr>
          <w:rFonts w:ascii="Times New Roman" w:hAnsi="Times New Roman"/>
          <w:szCs w:val="24"/>
        </w:rPr>
        <w:t>by</w:t>
      </w:r>
      <w:r w:rsidRPr="00917E22">
        <w:rPr>
          <w:rFonts w:ascii="Times New Roman" w:hAnsi="Times New Roman"/>
          <w:szCs w:val="24"/>
        </w:rPr>
        <w:t xml:space="preserve"> state)</w:t>
      </w:r>
    </w:p>
    <w:p w:rsidRPr="00917E22" w:rsidR="003B12ED" w:rsidP="003B12ED" w:rsidRDefault="00F136D1" w14:paraId="72737FED" w14:textId="185B7562">
      <w:pPr>
        <w:pStyle w:val="ListParagraph"/>
        <w:numPr>
          <w:ilvl w:val="0"/>
          <w:numId w:val="21"/>
        </w:numPr>
        <w:ind w:left="1800" w:hanging="360"/>
        <w:rPr>
          <w:rFonts w:ascii="Times New Roman" w:hAnsi="Times New Roman"/>
          <w:szCs w:val="24"/>
        </w:rPr>
      </w:pPr>
      <w:r w:rsidRPr="00917E22">
        <w:rPr>
          <w:rFonts w:ascii="Times New Roman" w:hAnsi="Times New Roman"/>
          <w:szCs w:val="24"/>
        </w:rPr>
        <w:t>Selecting the</w:t>
      </w:r>
      <w:r w:rsidRPr="00917E22" w:rsidR="003B12ED">
        <w:rPr>
          <w:rFonts w:ascii="Times New Roman" w:hAnsi="Times New Roman"/>
          <w:szCs w:val="24"/>
        </w:rPr>
        <w:t xml:space="preserve"> largest establishments with certainty. T</w:t>
      </w:r>
      <w:r w:rsidRPr="00917E22" w:rsidR="008125CF">
        <w:rPr>
          <w:rFonts w:ascii="Times New Roman" w:hAnsi="Times New Roman"/>
          <w:szCs w:val="24"/>
        </w:rPr>
        <w:t xml:space="preserve">he largest establishments in the industry produce a </w:t>
      </w:r>
      <w:r w:rsidRPr="00917E22" w:rsidR="00B5758E">
        <w:rPr>
          <w:rFonts w:ascii="Times New Roman" w:hAnsi="Times New Roman"/>
          <w:szCs w:val="24"/>
        </w:rPr>
        <w:t xml:space="preserve">disproportionately </w:t>
      </w:r>
      <w:r w:rsidRPr="00917E22" w:rsidR="008125CF">
        <w:rPr>
          <w:rFonts w:ascii="Times New Roman" w:hAnsi="Times New Roman"/>
          <w:szCs w:val="24"/>
        </w:rPr>
        <w:t xml:space="preserve">large </w:t>
      </w:r>
      <w:r w:rsidRPr="00917E22" w:rsidR="00EF0E07">
        <w:rPr>
          <w:rFonts w:ascii="Times New Roman" w:hAnsi="Times New Roman"/>
          <w:szCs w:val="24"/>
        </w:rPr>
        <w:t>percent</w:t>
      </w:r>
      <w:r w:rsidRPr="00917E22" w:rsidR="008125CF">
        <w:rPr>
          <w:rFonts w:ascii="Times New Roman" w:hAnsi="Times New Roman"/>
          <w:szCs w:val="24"/>
        </w:rPr>
        <w:t xml:space="preserve"> of the economic activity in the industry.    </w:t>
      </w:r>
    </w:p>
    <w:p w:rsidRPr="00917E22" w:rsidR="003B12ED" w:rsidP="008910B2" w:rsidRDefault="003B12ED" w14:paraId="53FF88BA" w14:textId="77777777">
      <w:pPr>
        <w:ind w:left="1440"/>
        <w:rPr>
          <w:rFonts w:ascii="Times New Roman" w:hAnsi="Times New Roman"/>
          <w:szCs w:val="24"/>
        </w:rPr>
      </w:pPr>
    </w:p>
    <w:p w:rsidRPr="00917E22" w:rsidR="00B5758E" w:rsidP="008910B2" w:rsidRDefault="00B5758E" w14:paraId="0D2D3B7D" w14:textId="07B2DE50">
      <w:pPr>
        <w:ind w:left="1440"/>
        <w:rPr>
          <w:rFonts w:ascii="Times New Roman" w:hAnsi="Times New Roman"/>
          <w:szCs w:val="24"/>
        </w:rPr>
      </w:pPr>
      <w:r w:rsidRPr="00917E22">
        <w:rPr>
          <w:rFonts w:ascii="Times New Roman" w:hAnsi="Times New Roman"/>
          <w:szCs w:val="24"/>
        </w:rPr>
        <w:t>Nonetheless, t</w:t>
      </w:r>
      <w:r w:rsidRPr="00917E22" w:rsidR="00CA73D8">
        <w:rPr>
          <w:rFonts w:ascii="Times New Roman" w:hAnsi="Times New Roman"/>
          <w:szCs w:val="24"/>
        </w:rPr>
        <w:t xml:space="preserve">he accuracy </w:t>
      </w:r>
      <w:r w:rsidRPr="00917E22" w:rsidR="00EF7A2C">
        <w:rPr>
          <w:rFonts w:ascii="Times New Roman" w:hAnsi="Times New Roman"/>
          <w:szCs w:val="24"/>
        </w:rPr>
        <w:t>of subject statistics from the Economic C</w:t>
      </w:r>
      <w:r w:rsidRPr="00917E22" w:rsidR="00CA73D8">
        <w:rPr>
          <w:rFonts w:ascii="Times New Roman" w:hAnsi="Times New Roman"/>
          <w:szCs w:val="24"/>
        </w:rPr>
        <w:t xml:space="preserve">ensus is affected by sampling error. Sampling variability occurs because subject statistics are based, in part, on estimates from a sample of establishments and not on measurement of the entire universe.  </w:t>
      </w:r>
    </w:p>
    <w:p w:rsidRPr="00917E22" w:rsidR="00CA73D8" w:rsidRDefault="00CA73D8" w14:paraId="1B4FDDD0" w14:textId="77777777">
      <w:pPr>
        <w:rPr>
          <w:rFonts w:ascii="Times New Roman" w:hAnsi="Times New Roman"/>
          <w:szCs w:val="24"/>
        </w:rPr>
      </w:pPr>
    </w:p>
    <w:p w:rsidRPr="00917E22" w:rsidR="00CA73D8" w:rsidP="00734A5B" w:rsidRDefault="00CA73D8" w14:paraId="61FD3F44" w14:textId="77777777">
      <w:pPr>
        <w:tabs>
          <w:tab w:val="left" w:pos="-1440"/>
        </w:tabs>
        <w:ind w:left="1080" w:hanging="360"/>
        <w:rPr>
          <w:rFonts w:ascii="Times New Roman" w:hAnsi="Times New Roman"/>
          <w:szCs w:val="24"/>
        </w:rPr>
      </w:pPr>
      <w:r w:rsidRPr="00917E22">
        <w:rPr>
          <w:rFonts w:ascii="Times New Roman" w:hAnsi="Times New Roman"/>
          <w:szCs w:val="24"/>
        </w:rPr>
        <w:t>(2)</w:t>
      </w:r>
      <w:r w:rsidRPr="00917E22">
        <w:rPr>
          <w:rFonts w:ascii="Times New Roman" w:hAnsi="Times New Roman"/>
          <w:szCs w:val="24"/>
        </w:rPr>
        <w:tab/>
        <w:t>Nonsampling Error</w:t>
      </w:r>
    </w:p>
    <w:p w:rsidRPr="00917E22" w:rsidR="00CA73D8" w:rsidRDefault="00CA73D8" w14:paraId="4B70F137" w14:textId="77777777">
      <w:pPr>
        <w:ind w:left="1440"/>
        <w:rPr>
          <w:rFonts w:ascii="Times New Roman" w:hAnsi="Times New Roman"/>
          <w:szCs w:val="24"/>
        </w:rPr>
      </w:pPr>
    </w:p>
    <w:p w:rsidRPr="00917E22" w:rsidR="00CA73D8" w:rsidP="00734A5B" w:rsidRDefault="00CA73D8" w14:paraId="46E298D5" w14:textId="74074EE5">
      <w:pPr>
        <w:ind w:left="1080"/>
        <w:rPr>
          <w:rFonts w:ascii="Times New Roman" w:hAnsi="Times New Roman"/>
          <w:szCs w:val="24"/>
        </w:rPr>
      </w:pPr>
      <w:r w:rsidRPr="00917E22">
        <w:rPr>
          <w:rFonts w:ascii="Times New Roman" w:hAnsi="Times New Roman"/>
          <w:szCs w:val="24"/>
        </w:rPr>
        <w:t xml:space="preserve">The accuracy of all </w:t>
      </w:r>
      <w:r w:rsidRPr="00917E22" w:rsidR="00EF7A2C">
        <w:rPr>
          <w:rFonts w:ascii="Times New Roman" w:hAnsi="Times New Roman"/>
          <w:szCs w:val="24"/>
        </w:rPr>
        <w:t>Economic C</w:t>
      </w:r>
      <w:r w:rsidRPr="00917E22">
        <w:rPr>
          <w:rFonts w:ascii="Times New Roman" w:hAnsi="Times New Roman"/>
          <w:szCs w:val="24"/>
        </w:rPr>
        <w:t xml:space="preserve">ensus </w:t>
      </w:r>
      <w:r w:rsidRPr="00917E22" w:rsidR="00EF7A2C">
        <w:rPr>
          <w:rFonts w:ascii="Times New Roman" w:hAnsi="Times New Roman"/>
          <w:szCs w:val="24"/>
        </w:rPr>
        <w:t>statistics</w:t>
      </w:r>
      <w:r w:rsidRPr="00917E22">
        <w:rPr>
          <w:rFonts w:ascii="Times New Roman" w:hAnsi="Times New Roman"/>
          <w:szCs w:val="24"/>
        </w:rPr>
        <w:t xml:space="preserve"> is influenced by nonsampling errors, such as those affecting coverage, administrative records, questionnaire design, reporting, processing, and tabulation. Although we make no direct measurement of nonsampling errors, we take precautionary steps in all phases of planning, </w:t>
      </w:r>
      <w:r w:rsidRPr="00917E22" w:rsidR="00EF7A2C">
        <w:rPr>
          <w:rFonts w:ascii="Times New Roman" w:hAnsi="Times New Roman"/>
          <w:szCs w:val="24"/>
        </w:rPr>
        <w:t>questionnaire</w:t>
      </w:r>
      <w:r w:rsidRPr="00917E22">
        <w:rPr>
          <w:rFonts w:ascii="Times New Roman" w:hAnsi="Times New Roman"/>
          <w:szCs w:val="24"/>
        </w:rPr>
        <w:t xml:space="preserve"> development, data collection, processing, and tabulation to minimize their influence.</w:t>
      </w:r>
    </w:p>
    <w:p w:rsidRPr="00917E22" w:rsidR="00F67577" w:rsidP="00734A5B" w:rsidRDefault="00F67577" w14:paraId="7E0DF2A6" w14:textId="77777777">
      <w:pPr>
        <w:ind w:left="1080"/>
        <w:rPr>
          <w:rFonts w:ascii="Times New Roman" w:hAnsi="Times New Roman"/>
          <w:szCs w:val="24"/>
        </w:rPr>
      </w:pPr>
    </w:p>
    <w:p w:rsidRPr="00917E22" w:rsidR="00F67577" w:rsidP="00F67577" w:rsidRDefault="00F67577" w14:paraId="7822D13F" w14:textId="77777777">
      <w:pPr>
        <w:ind w:left="1440" w:hanging="360"/>
        <w:rPr>
          <w:rFonts w:ascii="Times New Roman" w:hAnsi="Times New Roman"/>
          <w:szCs w:val="24"/>
        </w:rPr>
      </w:pPr>
      <w:r w:rsidRPr="00917E22">
        <w:rPr>
          <w:rFonts w:ascii="Times New Roman" w:hAnsi="Times New Roman"/>
          <w:szCs w:val="24"/>
        </w:rPr>
        <w:t xml:space="preserve">Nonsampling errors that specifically </w:t>
      </w:r>
      <w:r w:rsidRPr="00917E22" w:rsidR="00031BC1">
        <w:rPr>
          <w:rFonts w:ascii="Times New Roman" w:hAnsi="Times New Roman"/>
          <w:szCs w:val="24"/>
        </w:rPr>
        <w:t>affect</w:t>
      </w:r>
      <w:r w:rsidRPr="00917E22">
        <w:rPr>
          <w:rFonts w:ascii="Times New Roman" w:hAnsi="Times New Roman"/>
          <w:szCs w:val="24"/>
        </w:rPr>
        <w:t xml:space="preserve"> the sample </w:t>
      </w:r>
      <w:r w:rsidRPr="00917E22" w:rsidR="00A72232">
        <w:rPr>
          <w:rFonts w:ascii="Times New Roman" w:hAnsi="Times New Roman"/>
          <w:szCs w:val="24"/>
        </w:rPr>
        <w:t>selection</w:t>
      </w:r>
      <w:r w:rsidRPr="00917E22">
        <w:rPr>
          <w:rFonts w:ascii="Times New Roman" w:hAnsi="Times New Roman"/>
          <w:szCs w:val="24"/>
        </w:rPr>
        <w:t xml:space="preserve"> </w:t>
      </w:r>
      <w:r w:rsidRPr="00917E22" w:rsidR="008E256A">
        <w:rPr>
          <w:rFonts w:ascii="Times New Roman" w:hAnsi="Times New Roman"/>
          <w:szCs w:val="24"/>
        </w:rPr>
        <w:t xml:space="preserve">and estimation </w:t>
      </w:r>
      <w:r w:rsidRPr="00917E22">
        <w:rPr>
          <w:rFonts w:ascii="Times New Roman" w:hAnsi="Times New Roman"/>
          <w:szCs w:val="24"/>
        </w:rPr>
        <w:t>are:</w:t>
      </w:r>
    </w:p>
    <w:p w:rsidRPr="00917E22" w:rsidR="00A03959" w:rsidP="00F67577" w:rsidRDefault="00A03959" w14:paraId="6AC26355" w14:textId="77777777">
      <w:pPr>
        <w:ind w:left="1440" w:hanging="360"/>
        <w:rPr>
          <w:rFonts w:ascii="Times New Roman" w:hAnsi="Times New Roman"/>
          <w:szCs w:val="24"/>
        </w:rPr>
      </w:pPr>
    </w:p>
    <w:p w:rsidRPr="00917E22" w:rsidR="00F67577" w:rsidP="00F67577" w:rsidRDefault="00DE13F6" w14:paraId="3E69A10D" w14:textId="2EA311D6">
      <w:pPr>
        <w:pStyle w:val="ListParagraph"/>
        <w:numPr>
          <w:ilvl w:val="0"/>
          <w:numId w:val="22"/>
        </w:numPr>
        <w:ind w:left="1440" w:hanging="360"/>
        <w:rPr>
          <w:rFonts w:ascii="Times New Roman" w:hAnsi="Times New Roman"/>
          <w:szCs w:val="24"/>
        </w:rPr>
      </w:pPr>
      <w:r w:rsidRPr="00917E22">
        <w:rPr>
          <w:rFonts w:ascii="Times New Roman" w:hAnsi="Times New Roman"/>
          <w:color w:val="000000"/>
        </w:rPr>
        <w:t xml:space="preserve">The sample is designed, and the establishments selected, based primarily on the industry classification (i.e., NAICS) of the establishments at the time the sample is selected. For various reasons, this classification may be incomplete or inaccurate. Many establishments are births since the last Economic Census or failed to respond in the prior Economic Census, so their industry classification is based solely on administrative data. Sometimes the administrative data is not </w:t>
      </w:r>
      <w:r w:rsidRPr="00917E22">
        <w:rPr>
          <w:rFonts w:ascii="Times New Roman" w:hAnsi="Times New Roman"/>
          <w:color w:val="000000"/>
        </w:rPr>
        <w:lastRenderedPageBreak/>
        <w:t xml:space="preserve">adequate to assign a complete NAICS code. In these cases, Business Register processes impute the remaining digits of the code, but these additional digits may turn out to be incorrect. In other cases, the administrative NAICS code assigned is simply incorrect. In addition, a business may have changed its primary industry since the last Economic Census (for example, a new car dealer in </w:t>
      </w:r>
      <w:r w:rsidRPr="00917E22" w:rsidR="00E17866">
        <w:rPr>
          <w:rFonts w:ascii="Times New Roman" w:hAnsi="Times New Roman"/>
          <w:color w:val="000000"/>
        </w:rPr>
        <w:t xml:space="preserve">2017 </w:t>
      </w:r>
      <w:r w:rsidRPr="00917E22">
        <w:rPr>
          <w:rFonts w:ascii="Times New Roman" w:hAnsi="Times New Roman"/>
          <w:color w:val="000000"/>
        </w:rPr>
        <w:t xml:space="preserve">changed to a used car dealer in </w:t>
      </w:r>
      <w:r w:rsidRPr="00917E22" w:rsidR="00E17866">
        <w:rPr>
          <w:rFonts w:ascii="Times New Roman" w:hAnsi="Times New Roman"/>
          <w:color w:val="000000"/>
        </w:rPr>
        <w:t>2022</w:t>
      </w:r>
      <w:r w:rsidRPr="00917E22">
        <w:rPr>
          <w:rFonts w:ascii="Times New Roman" w:hAnsi="Times New Roman"/>
          <w:color w:val="000000"/>
        </w:rPr>
        <w:t xml:space="preserve">). Generally, these errors in industry classification will remain unknown until an Economic Census response is received and these establishments can be fully and correctly classified. An evaluation of the </w:t>
      </w:r>
      <w:r w:rsidRPr="00917E22" w:rsidR="00E17866">
        <w:rPr>
          <w:rFonts w:ascii="Times New Roman" w:hAnsi="Times New Roman"/>
          <w:color w:val="000000"/>
        </w:rPr>
        <w:t xml:space="preserve">2017 </w:t>
      </w:r>
      <w:r w:rsidRPr="00917E22">
        <w:rPr>
          <w:rFonts w:ascii="Times New Roman" w:hAnsi="Times New Roman"/>
          <w:color w:val="000000"/>
        </w:rPr>
        <w:t>Economic Census revealed that roughly 15% - 25% of the sampled single-establishment businesses were eventually tabulated in an industry different from that in which they were originally sampled (results varied by industry). </w:t>
      </w:r>
    </w:p>
    <w:p w:rsidRPr="00917E22" w:rsidR="00375C09" w:rsidP="00F67577" w:rsidRDefault="00375C09" w14:paraId="75543C26" w14:textId="080F10B5">
      <w:pPr>
        <w:pStyle w:val="ListParagraph"/>
        <w:numPr>
          <w:ilvl w:val="0"/>
          <w:numId w:val="22"/>
        </w:numPr>
        <w:ind w:left="1440" w:hanging="360"/>
        <w:rPr>
          <w:rFonts w:ascii="Times New Roman" w:hAnsi="Times New Roman"/>
          <w:szCs w:val="24"/>
        </w:rPr>
      </w:pPr>
      <w:r w:rsidRPr="00917E22">
        <w:rPr>
          <w:rFonts w:ascii="Times New Roman" w:hAnsi="Times New Roman"/>
          <w:szCs w:val="24"/>
        </w:rPr>
        <w:t>The sample is designed using payroll</w:t>
      </w:r>
      <w:r w:rsidRPr="00917E22" w:rsidR="008877BE">
        <w:rPr>
          <w:rFonts w:ascii="Times New Roman" w:hAnsi="Times New Roman"/>
          <w:szCs w:val="24"/>
        </w:rPr>
        <w:t>. This may or may not result in a good design for any of the many specific quantities estimated from the sample</w:t>
      </w:r>
      <w:r w:rsidRPr="00917E22" w:rsidR="008E256A">
        <w:rPr>
          <w:rFonts w:ascii="Times New Roman" w:hAnsi="Times New Roman"/>
          <w:szCs w:val="24"/>
        </w:rPr>
        <w:t xml:space="preserve">. </w:t>
      </w:r>
      <w:r w:rsidRPr="00917E22" w:rsidR="00031BC1">
        <w:rPr>
          <w:rFonts w:ascii="Times New Roman" w:hAnsi="Times New Roman"/>
          <w:szCs w:val="24"/>
        </w:rPr>
        <w:t xml:space="preserve">(Payroll </w:t>
      </w:r>
      <w:r w:rsidRPr="00917E22" w:rsidR="00544963">
        <w:rPr>
          <w:rFonts w:ascii="Times New Roman" w:hAnsi="Times New Roman"/>
          <w:szCs w:val="24"/>
        </w:rPr>
        <w:t xml:space="preserve">itself </w:t>
      </w:r>
      <w:r w:rsidRPr="00917E22" w:rsidR="00031BC1">
        <w:rPr>
          <w:rFonts w:ascii="Times New Roman" w:hAnsi="Times New Roman"/>
          <w:szCs w:val="24"/>
        </w:rPr>
        <w:t xml:space="preserve">is a basic statistic and is calculated using all establishments, not just the sample </w:t>
      </w:r>
      <w:r w:rsidRPr="00917E22" w:rsidR="001826F9">
        <w:rPr>
          <w:rFonts w:ascii="Times New Roman" w:hAnsi="Times New Roman"/>
          <w:szCs w:val="24"/>
        </w:rPr>
        <w:t>establishments</w:t>
      </w:r>
      <w:r w:rsidRPr="00917E22" w:rsidR="00031BC1">
        <w:rPr>
          <w:rFonts w:ascii="Times New Roman" w:hAnsi="Times New Roman"/>
          <w:szCs w:val="24"/>
        </w:rPr>
        <w:t>.)</w:t>
      </w:r>
    </w:p>
    <w:p w:rsidRPr="00917E22" w:rsidR="00F67577" w:rsidP="00F67577" w:rsidRDefault="00F67577" w14:paraId="3B946222" w14:textId="4500A81A">
      <w:pPr>
        <w:pStyle w:val="ListParagraph"/>
        <w:numPr>
          <w:ilvl w:val="0"/>
          <w:numId w:val="22"/>
        </w:numPr>
        <w:ind w:left="1440" w:hanging="360"/>
        <w:rPr>
          <w:rFonts w:ascii="Times New Roman" w:hAnsi="Times New Roman"/>
          <w:szCs w:val="24"/>
        </w:rPr>
      </w:pPr>
      <w:r w:rsidRPr="00917E22">
        <w:rPr>
          <w:rFonts w:ascii="Times New Roman" w:hAnsi="Times New Roman"/>
          <w:szCs w:val="24"/>
        </w:rPr>
        <w:t xml:space="preserve">The payroll </w:t>
      </w:r>
      <w:r w:rsidRPr="00917E22" w:rsidR="00DB7DB6">
        <w:rPr>
          <w:rFonts w:ascii="Times New Roman" w:hAnsi="Times New Roman"/>
          <w:szCs w:val="24"/>
        </w:rPr>
        <w:t xml:space="preserve">measure </w:t>
      </w:r>
      <w:r w:rsidRPr="00917E22">
        <w:rPr>
          <w:rFonts w:ascii="Times New Roman" w:hAnsi="Times New Roman"/>
          <w:szCs w:val="24"/>
        </w:rPr>
        <w:t xml:space="preserve">of an establishment is </w:t>
      </w:r>
      <w:r w:rsidRPr="00917E22" w:rsidR="00DB7DB6">
        <w:rPr>
          <w:rFonts w:ascii="Times New Roman" w:hAnsi="Times New Roman"/>
          <w:szCs w:val="24"/>
        </w:rPr>
        <w:t>computed</w:t>
      </w:r>
      <w:r w:rsidRPr="00917E22">
        <w:rPr>
          <w:rFonts w:ascii="Times New Roman" w:hAnsi="Times New Roman"/>
          <w:szCs w:val="24"/>
        </w:rPr>
        <w:t xml:space="preserve"> (for sampling purposes) before all </w:t>
      </w:r>
      <w:r w:rsidRPr="00917E22" w:rsidR="00E17866">
        <w:rPr>
          <w:rFonts w:ascii="Times New Roman" w:hAnsi="Times New Roman"/>
          <w:szCs w:val="24"/>
        </w:rPr>
        <w:t xml:space="preserve">2022 </w:t>
      </w:r>
      <w:r w:rsidRPr="00917E22">
        <w:rPr>
          <w:rFonts w:ascii="Times New Roman" w:hAnsi="Times New Roman"/>
          <w:szCs w:val="24"/>
        </w:rPr>
        <w:t xml:space="preserve">administrative payroll is </w:t>
      </w:r>
      <w:r w:rsidRPr="00917E22" w:rsidR="00EC7E33">
        <w:rPr>
          <w:rFonts w:ascii="Times New Roman" w:hAnsi="Times New Roman"/>
          <w:szCs w:val="24"/>
        </w:rPr>
        <w:t>available</w:t>
      </w:r>
      <w:r w:rsidRPr="00917E22">
        <w:rPr>
          <w:rFonts w:ascii="Times New Roman" w:hAnsi="Times New Roman"/>
          <w:szCs w:val="24"/>
        </w:rPr>
        <w:t xml:space="preserve"> to the Census Bureau. Therefore, we may miss-categorize a “large” single-establishment firm as “small” or vice versa.</w:t>
      </w:r>
    </w:p>
    <w:p w:rsidRPr="00917E22" w:rsidR="00F67577" w:rsidP="00F67577" w:rsidRDefault="00F67577" w14:paraId="46859495" w14:textId="1FC7CBC8">
      <w:pPr>
        <w:pStyle w:val="ListParagraph"/>
        <w:numPr>
          <w:ilvl w:val="0"/>
          <w:numId w:val="22"/>
        </w:numPr>
        <w:ind w:left="1440" w:hanging="360"/>
        <w:rPr>
          <w:rFonts w:ascii="Times New Roman" w:hAnsi="Times New Roman"/>
          <w:szCs w:val="24"/>
        </w:rPr>
      </w:pPr>
      <w:r w:rsidRPr="00917E22">
        <w:rPr>
          <w:rFonts w:ascii="Times New Roman" w:hAnsi="Times New Roman"/>
          <w:szCs w:val="24"/>
        </w:rPr>
        <w:t xml:space="preserve">For some single-establishment firms, the </w:t>
      </w:r>
      <w:r w:rsidRPr="00917E22" w:rsidR="00E17866">
        <w:rPr>
          <w:rFonts w:ascii="Times New Roman" w:hAnsi="Times New Roman"/>
          <w:szCs w:val="24"/>
        </w:rPr>
        <w:t xml:space="preserve">2022 </w:t>
      </w:r>
      <w:r w:rsidRPr="00917E22">
        <w:rPr>
          <w:rFonts w:ascii="Times New Roman" w:hAnsi="Times New Roman"/>
          <w:szCs w:val="24"/>
        </w:rPr>
        <w:t xml:space="preserve">administrative payroll data </w:t>
      </w:r>
      <w:r w:rsidRPr="00917E22" w:rsidR="00CF10A7">
        <w:rPr>
          <w:rFonts w:ascii="Times New Roman" w:hAnsi="Times New Roman"/>
          <w:szCs w:val="24"/>
        </w:rPr>
        <w:t xml:space="preserve">will </w:t>
      </w:r>
      <w:r w:rsidRPr="00917E22">
        <w:rPr>
          <w:rFonts w:ascii="Times New Roman" w:hAnsi="Times New Roman"/>
          <w:szCs w:val="24"/>
        </w:rPr>
        <w:t>arrive too l</w:t>
      </w:r>
      <w:r w:rsidRPr="00917E22" w:rsidR="00CF10A7">
        <w:rPr>
          <w:rFonts w:ascii="Times New Roman" w:hAnsi="Times New Roman"/>
          <w:szCs w:val="24"/>
        </w:rPr>
        <w:t>ate for the es</w:t>
      </w:r>
      <w:r w:rsidRPr="00917E22" w:rsidR="00031BC1">
        <w:rPr>
          <w:rFonts w:ascii="Times New Roman" w:hAnsi="Times New Roman"/>
          <w:szCs w:val="24"/>
        </w:rPr>
        <w:t>tablishment to have a chance of being selected</w:t>
      </w:r>
      <w:r w:rsidRPr="00917E22" w:rsidR="00CF10A7">
        <w:rPr>
          <w:rFonts w:ascii="Times New Roman" w:hAnsi="Times New Roman"/>
          <w:szCs w:val="24"/>
        </w:rPr>
        <w:t xml:space="preserve"> into the </w:t>
      </w:r>
      <w:r w:rsidRPr="00917E22">
        <w:rPr>
          <w:rFonts w:ascii="Times New Roman" w:hAnsi="Times New Roman"/>
          <w:szCs w:val="24"/>
        </w:rPr>
        <w:t>sample</w:t>
      </w:r>
      <w:r w:rsidRPr="00917E22" w:rsidR="00544963">
        <w:rPr>
          <w:rFonts w:ascii="Times New Roman" w:hAnsi="Times New Roman"/>
          <w:szCs w:val="24"/>
        </w:rPr>
        <w:t xml:space="preserve"> (though its administrative data will be included in calculation of basic statistics).</w:t>
      </w:r>
    </w:p>
    <w:p w:rsidRPr="00917E22" w:rsidR="00F67577" w:rsidP="00734A5B" w:rsidRDefault="00F67577" w14:paraId="0DA1F6FE" w14:textId="77777777">
      <w:pPr>
        <w:ind w:left="1080"/>
        <w:rPr>
          <w:rFonts w:ascii="Times New Roman" w:hAnsi="Times New Roman"/>
          <w:szCs w:val="24"/>
        </w:rPr>
      </w:pPr>
    </w:p>
    <w:p w:rsidRPr="00917E22" w:rsidR="00CA73D8" w:rsidP="00734A5B" w:rsidRDefault="00CA73D8" w14:paraId="198D201A" w14:textId="77777777">
      <w:pPr>
        <w:tabs>
          <w:tab w:val="left" w:pos="-1440"/>
        </w:tabs>
        <w:ind w:left="720" w:hanging="360"/>
        <w:rPr>
          <w:rFonts w:ascii="Times New Roman" w:hAnsi="Times New Roman"/>
          <w:szCs w:val="24"/>
        </w:rPr>
      </w:pPr>
      <w:r w:rsidRPr="00917E22">
        <w:rPr>
          <w:rFonts w:ascii="Times New Roman" w:hAnsi="Times New Roman"/>
          <w:szCs w:val="24"/>
        </w:rPr>
        <w:t>d.</w:t>
      </w:r>
      <w:r w:rsidRPr="00917E22">
        <w:rPr>
          <w:rFonts w:ascii="Times New Roman" w:hAnsi="Times New Roman"/>
          <w:szCs w:val="24"/>
        </w:rPr>
        <w:tab/>
        <w:t>Problems Requiring Specialized Sampling Procedures</w:t>
      </w:r>
    </w:p>
    <w:p w:rsidRPr="00917E22" w:rsidR="00CA73D8" w:rsidRDefault="00CA73D8" w14:paraId="56155744" w14:textId="77777777">
      <w:pPr>
        <w:rPr>
          <w:rFonts w:ascii="Times New Roman" w:hAnsi="Times New Roman"/>
          <w:szCs w:val="24"/>
        </w:rPr>
      </w:pPr>
    </w:p>
    <w:p w:rsidRPr="00917E22" w:rsidR="00CA73D8" w:rsidP="00734A5B" w:rsidRDefault="00CA73D8" w14:paraId="0BC1B308" w14:textId="1365CE37">
      <w:pPr>
        <w:ind w:left="720"/>
        <w:rPr>
          <w:rFonts w:ascii="Times New Roman" w:hAnsi="Times New Roman"/>
          <w:szCs w:val="24"/>
        </w:rPr>
      </w:pPr>
      <w:r w:rsidRPr="00917E22">
        <w:rPr>
          <w:rFonts w:ascii="Times New Roman" w:hAnsi="Times New Roman"/>
          <w:szCs w:val="24"/>
        </w:rPr>
        <w:t xml:space="preserve">There are no known problems that will require specialized sampling procedures for the </w:t>
      </w:r>
      <w:r w:rsidRPr="00917E22" w:rsidR="00E17866">
        <w:rPr>
          <w:rFonts w:ascii="Times New Roman" w:hAnsi="Times New Roman"/>
          <w:szCs w:val="24"/>
        </w:rPr>
        <w:t xml:space="preserve">2022 </w:t>
      </w:r>
      <w:r w:rsidRPr="00917E22" w:rsidR="00EC7E33">
        <w:rPr>
          <w:rFonts w:ascii="Times New Roman" w:hAnsi="Times New Roman"/>
          <w:szCs w:val="24"/>
        </w:rPr>
        <w:t>Economic C</w:t>
      </w:r>
      <w:r w:rsidRPr="00917E22">
        <w:rPr>
          <w:rFonts w:ascii="Times New Roman" w:hAnsi="Times New Roman"/>
          <w:szCs w:val="24"/>
        </w:rPr>
        <w:t>ensus.</w:t>
      </w:r>
    </w:p>
    <w:p w:rsidRPr="00917E22" w:rsidR="00CA73D8" w:rsidRDefault="00CA73D8" w14:paraId="20FDFFE4" w14:textId="77777777">
      <w:pPr>
        <w:ind w:left="2160"/>
        <w:rPr>
          <w:rFonts w:ascii="Times New Roman" w:hAnsi="Times New Roman"/>
          <w:szCs w:val="24"/>
        </w:rPr>
      </w:pPr>
    </w:p>
    <w:p w:rsidRPr="00917E22" w:rsidR="00CA73D8" w:rsidP="00734A5B" w:rsidRDefault="00CA73D8" w14:paraId="4B4E9A54" w14:textId="77777777">
      <w:pPr>
        <w:tabs>
          <w:tab w:val="left" w:pos="-1440"/>
        </w:tabs>
        <w:ind w:left="720" w:hanging="360"/>
        <w:rPr>
          <w:rFonts w:ascii="Times New Roman" w:hAnsi="Times New Roman"/>
          <w:szCs w:val="24"/>
        </w:rPr>
      </w:pPr>
      <w:r w:rsidRPr="00917E22">
        <w:rPr>
          <w:rFonts w:ascii="Times New Roman" w:hAnsi="Times New Roman"/>
          <w:szCs w:val="24"/>
        </w:rPr>
        <w:t>e.</w:t>
      </w:r>
      <w:r w:rsidRPr="00917E22">
        <w:rPr>
          <w:rFonts w:ascii="Times New Roman" w:hAnsi="Times New Roman"/>
          <w:szCs w:val="24"/>
        </w:rPr>
        <w:tab/>
        <w:t>Use of Periodic Data Collection to Reduce Burden</w:t>
      </w:r>
    </w:p>
    <w:p w:rsidRPr="00917E22" w:rsidR="00CA73D8" w:rsidRDefault="00CA73D8" w14:paraId="218373D1" w14:textId="77777777">
      <w:pPr>
        <w:rPr>
          <w:rFonts w:ascii="Times New Roman" w:hAnsi="Times New Roman"/>
          <w:szCs w:val="24"/>
        </w:rPr>
      </w:pPr>
    </w:p>
    <w:p w:rsidRPr="00917E22" w:rsidR="00CA73D8" w:rsidP="00734A5B" w:rsidRDefault="00CA73D8" w14:paraId="2C9555D9" w14:textId="77777777">
      <w:pPr>
        <w:ind w:left="720"/>
        <w:rPr>
          <w:rFonts w:ascii="Times New Roman" w:hAnsi="Times New Roman"/>
          <w:szCs w:val="24"/>
        </w:rPr>
      </w:pPr>
      <w:r w:rsidRPr="00917E22">
        <w:rPr>
          <w:rFonts w:ascii="Times New Roman" w:hAnsi="Times New Roman"/>
          <w:szCs w:val="24"/>
        </w:rPr>
        <w:t xml:space="preserve">The </w:t>
      </w:r>
      <w:r w:rsidRPr="00917E22" w:rsidR="00EC7E33">
        <w:rPr>
          <w:rFonts w:ascii="Times New Roman" w:hAnsi="Times New Roman"/>
          <w:szCs w:val="24"/>
        </w:rPr>
        <w:t>Economic C</w:t>
      </w:r>
      <w:r w:rsidRPr="00917E22">
        <w:rPr>
          <w:rFonts w:ascii="Times New Roman" w:hAnsi="Times New Roman"/>
          <w:szCs w:val="24"/>
        </w:rPr>
        <w:t>ensus uses periodic (5-year) data collection, as required by Title 13 USC, Section 131.</w:t>
      </w:r>
    </w:p>
    <w:p w:rsidRPr="00917E22" w:rsidR="00CA73D8" w:rsidRDefault="00CA73D8" w14:paraId="780B3E9E" w14:textId="77777777">
      <w:pPr>
        <w:rPr>
          <w:rFonts w:ascii="Times New Roman" w:hAnsi="Times New Roman"/>
          <w:szCs w:val="24"/>
        </w:rPr>
      </w:pPr>
    </w:p>
    <w:p w:rsidRPr="00917E22" w:rsidR="00EF52D0" w:rsidRDefault="00EF52D0" w14:paraId="626E3CF7" w14:textId="77777777">
      <w:pPr>
        <w:pStyle w:val="BodyText"/>
        <w:ind w:left="720"/>
        <w:rPr>
          <w:rFonts w:ascii="Times New Roman" w:hAnsi="Times New Roman"/>
          <w:sz w:val="24"/>
          <w:szCs w:val="24"/>
        </w:rPr>
      </w:pPr>
    </w:p>
    <w:p w:rsidRPr="00917E22" w:rsidR="00914CFF" w:rsidP="00914CFF" w:rsidRDefault="00914CFF" w14:paraId="3A25BC74" w14:textId="77777777">
      <w:pPr>
        <w:tabs>
          <w:tab w:val="left" w:pos="-1440"/>
        </w:tabs>
        <w:ind w:left="360" w:hanging="360"/>
        <w:rPr>
          <w:rFonts w:ascii="Times New Roman" w:hAnsi="Times New Roman"/>
          <w:szCs w:val="24"/>
        </w:rPr>
      </w:pPr>
      <w:r w:rsidRPr="00917E22">
        <w:rPr>
          <w:rFonts w:ascii="Times New Roman" w:hAnsi="Times New Roman"/>
          <w:szCs w:val="24"/>
        </w:rPr>
        <w:t>3.</w:t>
      </w:r>
      <w:r w:rsidRPr="00917E22">
        <w:rPr>
          <w:rFonts w:ascii="Times New Roman" w:hAnsi="Times New Roman"/>
          <w:szCs w:val="24"/>
        </w:rPr>
        <w:tab/>
      </w:r>
      <w:r w:rsidRPr="00917E22">
        <w:rPr>
          <w:rFonts w:ascii="Times New Roman" w:hAnsi="Times New Roman"/>
          <w:b/>
          <w:szCs w:val="24"/>
        </w:rPr>
        <w:t>Efforts to Maximize Response</w:t>
      </w:r>
    </w:p>
    <w:p w:rsidRPr="00917E22" w:rsidR="00914CFF" w:rsidP="00914CFF" w:rsidRDefault="00914CFF" w14:paraId="54BB771F" w14:textId="77777777">
      <w:pPr>
        <w:rPr>
          <w:rFonts w:ascii="Times New Roman" w:hAnsi="Times New Roman"/>
          <w:szCs w:val="24"/>
        </w:rPr>
      </w:pPr>
    </w:p>
    <w:p w:rsidRPr="00917E22" w:rsidR="00914CFF" w:rsidP="00914CFF" w:rsidRDefault="00914CFF" w14:paraId="36D5B6F4" w14:textId="77777777">
      <w:pPr>
        <w:pStyle w:val="BodyText"/>
        <w:ind w:left="720" w:hanging="360"/>
        <w:rPr>
          <w:rFonts w:ascii="Times New Roman" w:hAnsi="Times New Roman"/>
          <w:sz w:val="24"/>
          <w:szCs w:val="24"/>
        </w:rPr>
      </w:pPr>
      <w:r w:rsidRPr="00917E22">
        <w:rPr>
          <w:rFonts w:ascii="Times New Roman" w:hAnsi="Times New Roman"/>
          <w:sz w:val="24"/>
          <w:szCs w:val="24"/>
        </w:rPr>
        <w:t xml:space="preserve">This information collection will maximize response through the following means: </w:t>
      </w:r>
    </w:p>
    <w:p w:rsidRPr="00917E22" w:rsidR="00914CFF" w:rsidP="00914CFF" w:rsidRDefault="00914CFF" w14:paraId="3FD88E8D" w14:textId="77777777">
      <w:pPr>
        <w:pStyle w:val="BodyText"/>
        <w:ind w:left="720"/>
        <w:rPr>
          <w:rFonts w:ascii="Times New Roman" w:hAnsi="Times New Roman"/>
          <w:sz w:val="24"/>
          <w:szCs w:val="24"/>
        </w:rPr>
      </w:pPr>
    </w:p>
    <w:p w:rsidRPr="00917E22" w:rsidR="00914CFF" w:rsidP="00FF33A4" w:rsidRDefault="00914CFF" w14:paraId="71E17DE1" w14:textId="77777777">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 xml:space="preserve">Redesigned collection instruments with standard formats and terminology that </w:t>
      </w:r>
      <w:r w:rsidRPr="00917E22" w:rsidR="004070F9">
        <w:rPr>
          <w:rFonts w:ascii="Times New Roman" w:hAnsi="Times New Roman"/>
          <w:sz w:val="24"/>
          <w:szCs w:val="24"/>
        </w:rPr>
        <w:t>attempt</w:t>
      </w:r>
      <w:r w:rsidRPr="00917E22">
        <w:rPr>
          <w:rFonts w:ascii="Times New Roman" w:hAnsi="Times New Roman"/>
          <w:sz w:val="24"/>
          <w:szCs w:val="24"/>
        </w:rPr>
        <w:t xml:space="preserve"> to </w:t>
      </w:r>
      <w:r w:rsidRPr="00917E22" w:rsidR="009918FB">
        <w:rPr>
          <w:rFonts w:ascii="Times New Roman" w:hAnsi="Times New Roman"/>
          <w:sz w:val="24"/>
          <w:szCs w:val="24"/>
        </w:rPr>
        <w:t>s</w:t>
      </w:r>
      <w:r w:rsidRPr="00917E22">
        <w:rPr>
          <w:rFonts w:ascii="Times New Roman" w:hAnsi="Times New Roman"/>
          <w:sz w:val="24"/>
          <w:szCs w:val="24"/>
        </w:rPr>
        <w:t xml:space="preserve">implify reporting and minimize response </w:t>
      </w:r>
      <w:proofErr w:type="gramStart"/>
      <w:r w:rsidRPr="00917E22">
        <w:rPr>
          <w:rFonts w:ascii="Times New Roman" w:hAnsi="Times New Roman"/>
          <w:sz w:val="24"/>
          <w:szCs w:val="24"/>
        </w:rPr>
        <w:t>burden;</w:t>
      </w:r>
      <w:proofErr w:type="gramEnd"/>
    </w:p>
    <w:p w:rsidRPr="00917E22" w:rsidR="00914CFF" w:rsidP="00FF33A4" w:rsidRDefault="004070F9" w14:paraId="72A70597" w14:textId="453DCEB1">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Web</w:t>
      </w:r>
      <w:r w:rsidRPr="00917E22" w:rsidR="00914CFF">
        <w:rPr>
          <w:rFonts w:ascii="Times New Roman" w:hAnsi="Times New Roman"/>
          <w:sz w:val="24"/>
          <w:szCs w:val="24"/>
        </w:rPr>
        <w:t xml:space="preserve"> based reporting for both multi-establishment and single-establishment firms</w:t>
      </w:r>
      <w:r w:rsidRPr="00917E22" w:rsidR="006E164B">
        <w:rPr>
          <w:rFonts w:ascii="Times New Roman" w:hAnsi="Times New Roman"/>
          <w:sz w:val="24"/>
          <w:szCs w:val="24"/>
        </w:rPr>
        <w:t>;</w:t>
      </w:r>
      <w:r w:rsidRPr="00917E22" w:rsidR="00914CFF">
        <w:rPr>
          <w:rFonts w:ascii="Times New Roman" w:hAnsi="Times New Roman"/>
          <w:sz w:val="24"/>
          <w:szCs w:val="24"/>
        </w:rPr>
        <w:t xml:space="preserve">  </w:t>
      </w:r>
    </w:p>
    <w:p w:rsidRPr="00917E22" w:rsidR="00914CFF" w:rsidP="00FF33A4" w:rsidRDefault="00914CFF" w14:paraId="0C8E5E94" w14:textId="3ACBEF0B">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 xml:space="preserve">Public awareness campaign to assist businesses and the public in understanding the </w:t>
      </w:r>
      <w:r w:rsidRPr="00917E22">
        <w:rPr>
          <w:rFonts w:ascii="Times New Roman" w:hAnsi="Times New Roman"/>
          <w:sz w:val="24"/>
          <w:szCs w:val="24"/>
        </w:rPr>
        <w:lastRenderedPageBreak/>
        <w:t xml:space="preserve">importance of the </w:t>
      </w:r>
      <w:r w:rsidRPr="00917E22" w:rsidR="006E164B">
        <w:rPr>
          <w:rFonts w:ascii="Times New Roman" w:hAnsi="Times New Roman"/>
          <w:sz w:val="24"/>
          <w:szCs w:val="24"/>
        </w:rPr>
        <w:t xml:space="preserve">2022 </w:t>
      </w:r>
      <w:r w:rsidRPr="00917E22">
        <w:rPr>
          <w:rFonts w:ascii="Times New Roman" w:hAnsi="Times New Roman"/>
          <w:sz w:val="24"/>
          <w:szCs w:val="24"/>
        </w:rPr>
        <w:t xml:space="preserve">Economic Census by providing news stories through trade and professional associations, chambers of commerce, and business and general media; </w:t>
      </w:r>
    </w:p>
    <w:p w:rsidRPr="00917E22" w:rsidR="00914CFF" w:rsidP="00FF33A4" w:rsidRDefault="00314E78" w14:paraId="4CCF1CD2" w14:textId="69B72275">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Account m</w:t>
      </w:r>
      <w:r w:rsidRPr="00917E22" w:rsidR="00914CFF">
        <w:rPr>
          <w:rFonts w:ascii="Times New Roman" w:hAnsi="Times New Roman"/>
          <w:sz w:val="24"/>
          <w:szCs w:val="24"/>
        </w:rPr>
        <w:t>anagers</w:t>
      </w:r>
      <w:r w:rsidRPr="00917E22">
        <w:rPr>
          <w:rFonts w:ascii="Times New Roman" w:hAnsi="Times New Roman"/>
          <w:sz w:val="24"/>
          <w:szCs w:val="24"/>
        </w:rPr>
        <w:t xml:space="preserve"> assigned</w:t>
      </w:r>
      <w:r w:rsidRPr="00917E22" w:rsidR="00914CFF">
        <w:rPr>
          <w:rFonts w:ascii="Times New Roman" w:hAnsi="Times New Roman"/>
          <w:sz w:val="24"/>
          <w:szCs w:val="24"/>
        </w:rPr>
        <w:t xml:space="preserve"> to very large</w:t>
      </w:r>
      <w:r w:rsidRPr="00917E22" w:rsidR="007557C2">
        <w:rPr>
          <w:rFonts w:ascii="Times New Roman" w:hAnsi="Times New Roman"/>
          <w:sz w:val="24"/>
          <w:szCs w:val="24"/>
        </w:rPr>
        <w:t xml:space="preserve"> and select medium-sized</w:t>
      </w:r>
      <w:r w:rsidRPr="00917E22" w:rsidR="00914CFF">
        <w:rPr>
          <w:rFonts w:ascii="Times New Roman" w:hAnsi="Times New Roman"/>
          <w:sz w:val="24"/>
          <w:szCs w:val="24"/>
        </w:rPr>
        <w:t xml:space="preserve"> businesses to provide personalized assistance; </w:t>
      </w:r>
    </w:p>
    <w:p w:rsidRPr="00917E22" w:rsidR="00914CFF" w:rsidP="00FF33A4" w:rsidRDefault="00914CFF" w14:paraId="409181F3" w14:textId="77777777">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Mailing materials that emphasize the mandatory and confidential nature of Economic Census reports, as provided by Title 13 USC;</w:t>
      </w:r>
    </w:p>
    <w:p w:rsidRPr="00917E22" w:rsidR="00914CFF" w:rsidP="00FF33A4" w:rsidRDefault="00914CFF" w14:paraId="29332311" w14:textId="2436EC4D">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 xml:space="preserve">Toll-free </w:t>
      </w:r>
      <w:r w:rsidR="00260483">
        <w:rPr>
          <w:rFonts w:ascii="Times New Roman" w:hAnsi="Times New Roman"/>
          <w:sz w:val="24"/>
          <w:szCs w:val="24"/>
        </w:rPr>
        <w:t xml:space="preserve">telephone </w:t>
      </w:r>
      <w:r w:rsidRPr="00917E22">
        <w:rPr>
          <w:rFonts w:ascii="Times New Roman" w:hAnsi="Times New Roman"/>
          <w:sz w:val="24"/>
          <w:szCs w:val="24"/>
        </w:rPr>
        <w:t xml:space="preserve">assistance and a web-based help desk for any business that has questions about responding to the Economic Census; </w:t>
      </w:r>
    </w:p>
    <w:p w:rsidRPr="00917E22" w:rsidR="00914CFF" w:rsidP="00FF33A4" w:rsidRDefault="00914CFF" w14:paraId="29D50A36" w14:textId="397E3747">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 xml:space="preserve">Systematic mail </w:t>
      </w:r>
      <w:r w:rsidRPr="00917E22" w:rsidR="007557C2">
        <w:rPr>
          <w:rFonts w:ascii="Times New Roman" w:hAnsi="Times New Roman"/>
          <w:sz w:val="24"/>
          <w:szCs w:val="24"/>
        </w:rPr>
        <w:t xml:space="preserve">and e-mail </w:t>
      </w:r>
      <w:r w:rsidRPr="00917E22">
        <w:rPr>
          <w:rFonts w:ascii="Times New Roman" w:hAnsi="Times New Roman"/>
          <w:sz w:val="24"/>
          <w:szCs w:val="24"/>
        </w:rPr>
        <w:t xml:space="preserve">follow-up for nonresponse, supplemented by telephone follow-up for selected firms; </w:t>
      </w:r>
    </w:p>
    <w:p w:rsidRPr="00917E22" w:rsidR="00914CFF" w:rsidP="00FF33A4" w:rsidRDefault="00314E78" w14:paraId="6CF57495" w14:textId="2AB15C66">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Due</w:t>
      </w:r>
      <w:r w:rsidRPr="00917E22" w:rsidR="00914CFF">
        <w:rPr>
          <w:rFonts w:ascii="Times New Roman" w:hAnsi="Times New Roman"/>
          <w:sz w:val="24"/>
          <w:szCs w:val="24"/>
        </w:rPr>
        <w:t xml:space="preserve"> date reminder and optimized timing of mailings </w:t>
      </w:r>
      <w:r w:rsidRPr="00917E22" w:rsidR="007557C2">
        <w:rPr>
          <w:rFonts w:ascii="Times New Roman" w:hAnsi="Times New Roman"/>
          <w:sz w:val="24"/>
          <w:szCs w:val="24"/>
        </w:rPr>
        <w:t xml:space="preserve">and emails </w:t>
      </w:r>
      <w:r w:rsidRPr="00917E22" w:rsidR="00914CFF">
        <w:rPr>
          <w:rFonts w:ascii="Times New Roman" w:hAnsi="Times New Roman"/>
          <w:sz w:val="24"/>
          <w:szCs w:val="24"/>
        </w:rPr>
        <w:t>based on</w:t>
      </w:r>
      <w:r w:rsidRPr="00917E22" w:rsidR="007557C2">
        <w:rPr>
          <w:rFonts w:ascii="Times New Roman" w:hAnsi="Times New Roman"/>
          <w:sz w:val="24"/>
          <w:szCs w:val="24"/>
        </w:rPr>
        <w:t xml:space="preserve"> contact strategy</w:t>
      </w:r>
      <w:r w:rsidRPr="00917E22" w:rsidR="00914CFF">
        <w:rPr>
          <w:rFonts w:ascii="Times New Roman" w:hAnsi="Times New Roman"/>
          <w:sz w:val="24"/>
          <w:szCs w:val="24"/>
        </w:rPr>
        <w:t xml:space="preserve"> research</w:t>
      </w:r>
      <w:r w:rsidRPr="00917E22">
        <w:rPr>
          <w:rFonts w:ascii="Times New Roman" w:hAnsi="Times New Roman"/>
          <w:sz w:val="24"/>
          <w:szCs w:val="24"/>
        </w:rPr>
        <w:t>;</w:t>
      </w:r>
      <w:r w:rsidRPr="00917E22" w:rsidR="00914CFF">
        <w:rPr>
          <w:rFonts w:ascii="Times New Roman" w:hAnsi="Times New Roman"/>
          <w:sz w:val="24"/>
          <w:szCs w:val="24"/>
        </w:rPr>
        <w:t xml:space="preserve">  </w:t>
      </w:r>
    </w:p>
    <w:p w:rsidRPr="00917E22" w:rsidR="00914CFF" w:rsidP="00FF33A4" w:rsidRDefault="00314E78" w14:paraId="1F867676" w14:textId="106B74F4">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R</w:t>
      </w:r>
      <w:r w:rsidRPr="00917E22" w:rsidR="00914CFF">
        <w:rPr>
          <w:rFonts w:ascii="Times New Roman" w:hAnsi="Times New Roman"/>
          <w:sz w:val="24"/>
          <w:szCs w:val="24"/>
        </w:rPr>
        <w:t xml:space="preserve">espondent </w:t>
      </w:r>
      <w:r w:rsidRPr="00917E22" w:rsidR="000F04C3">
        <w:rPr>
          <w:rFonts w:ascii="Times New Roman" w:hAnsi="Times New Roman"/>
          <w:sz w:val="24"/>
          <w:szCs w:val="24"/>
        </w:rPr>
        <w:t xml:space="preserve">Portal </w:t>
      </w:r>
      <w:r w:rsidRPr="00917E22" w:rsidR="00914CFF">
        <w:rPr>
          <w:rFonts w:ascii="Times New Roman" w:hAnsi="Times New Roman"/>
          <w:sz w:val="24"/>
          <w:szCs w:val="24"/>
        </w:rPr>
        <w:t xml:space="preserve">where </w:t>
      </w:r>
      <w:r w:rsidRPr="00917E22">
        <w:rPr>
          <w:rFonts w:ascii="Times New Roman" w:hAnsi="Times New Roman"/>
          <w:sz w:val="24"/>
          <w:szCs w:val="24"/>
        </w:rPr>
        <w:t xml:space="preserve">respondents </w:t>
      </w:r>
      <w:r w:rsidRPr="00917E22" w:rsidR="00914CFF">
        <w:rPr>
          <w:rFonts w:ascii="Times New Roman" w:hAnsi="Times New Roman"/>
          <w:sz w:val="24"/>
          <w:szCs w:val="24"/>
        </w:rPr>
        <w:t xml:space="preserve">can </w:t>
      </w:r>
      <w:r w:rsidRPr="00917E22">
        <w:rPr>
          <w:rFonts w:ascii="Times New Roman" w:hAnsi="Times New Roman"/>
          <w:sz w:val="24"/>
          <w:szCs w:val="24"/>
        </w:rPr>
        <w:t>obtain</w:t>
      </w:r>
      <w:r w:rsidRPr="00917E22" w:rsidR="00914CFF">
        <w:rPr>
          <w:rFonts w:ascii="Times New Roman" w:hAnsi="Times New Roman"/>
          <w:sz w:val="24"/>
          <w:szCs w:val="24"/>
        </w:rPr>
        <w:t xml:space="preserve"> answers to frequently asked questions, send secure emails to Census Bureau staff, report electronically and perform other self-service options without having to pick up the phone</w:t>
      </w:r>
      <w:r w:rsidRPr="00917E22" w:rsidR="000F04C3">
        <w:rPr>
          <w:rFonts w:ascii="Times New Roman" w:hAnsi="Times New Roman"/>
          <w:sz w:val="24"/>
          <w:szCs w:val="24"/>
        </w:rPr>
        <w:t>; and</w:t>
      </w:r>
    </w:p>
    <w:p w:rsidRPr="00241CAE" w:rsidR="000F04C3" w:rsidP="000F04C3" w:rsidRDefault="000F04C3" w14:paraId="64DBEFF4" w14:textId="340C9782">
      <w:pPr>
        <w:pStyle w:val="BodyText"/>
        <w:numPr>
          <w:ilvl w:val="0"/>
          <w:numId w:val="5"/>
        </w:numPr>
        <w:ind w:left="1080" w:hanging="540"/>
        <w:rPr>
          <w:rFonts w:ascii="Times New Roman" w:hAnsi="Times New Roman"/>
          <w:sz w:val="24"/>
          <w:szCs w:val="24"/>
        </w:rPr>
      </w:pPr>
      <w:r w:rsidRPr="00917E22">
        <w:rPr>
          <w:rFonts w:ascii="Times New Roman" w:hAnsi="Times New Roman"/>
          <w:sz w:val="24"/>
          <w:szCs w:val="24"/>
        </w:rPr>
        <w:t>Tailored messaging for respondents on their Respondent Portal dashboard and welcome emails to provide additional information about reporting.</w:t>
      </w:r>
    </w:p>
    <w:p w:rsidRPr="00917E22" w:rsidR="00F73212" w:rsidP="00F73212" w:rsidRDefault="00F73212" w14:paraId="047B49F0" w14:textId="77777777">
      <w:pPr>
        <w:pStyle w:val="BodyText"/>
        <w:ind w:left="360"/>
        <w:rPr>
          <w:rFonts w:ascii="Times New Roman" w:hAnsi="Times New Roman"/>
          <w:sz w:val="24"/>
          <w:szCs w:val="24"/>
        </w:rPr>
      </w:pPr>
    </w:p>
    <w:p w:rsidRPr="00917E22" w:rsidR="00F73212" w:rsidP="00284E81" w:rsidRDefault="00766BAD" w14:paraId="08D03117" w14:textId="782D8F06">
      <w:pPr>
        <w:pStyle w:val="BodyText"/>
        <w:ind w:left="360"/>
        <w:rPr>
          <w:rFonts w:ascii="Times New Roman" w:hAnsi="Times New Roman"/>
          <w:sz w:val="24"/>
          <w:szCs w:val="24"/>
        </w:rPr>
      </w:pPr>
      <w:r w:rsidRPr="00766BAD">
        <w:rPr>
          <w:rFonts w:ascii="Times New Roman" w:hAnsi="Times New Roman"/>
          <w:sz w:val="24"/>
          <w:szCs w:val="24"/>
        </w:rPr>
        <w:t xml:space="preserve">Through these and other response improvement strategies, </w:t>
      </w:r>
      <w:r w:rsidR="006C1A00">
        <w:rPr>
          <w:rFonts w:ascii="Times New Roman" w:hAnsi="Times New Roman"/>
          <w:sz w:val="24"/>
          <w:szCs w:val="24"/>
        </w:rPr>
        <w:t xml:space="preserve">as mentioned previously </w:t>
      </w:r>
      <w:r w:rsidRPr="00766BAD">
        <w:rPr>
          <w:rFonts w:ascii="Times New Roman" w:hAnsi="Times New Roman"/>
          <w:sz w:val="24"/>
          <w:szCs w:val="24"/>
        </w:rPr>
        <w:t xml:space="preserve">we expect to maintain or improve </w:t>
      </w:r>
      <w:r w:rsidR="00260483">
        <w:rPr>
          <w:rFonts w:ascii="Times New Roman" w:hAnsi="Times New Roman"/>
          <w:sz w:val="24"/>
          <w:szCs w:val="24"/>
        </w:rPr>
        <w:t xml:space="preserve">upon </w:t>
      </w:r>
      <w:r w:rsidRPr="00766BAD">
        <w:rPr>
          <w:rFonts w:ascii="Times New Roman" w:hAnsi="Times New Roman"/>
          <w:sz w:val="24"/>
          <w:szCs w:val="24"/>
        </w:rPr>
        <w:t xml:space="preserve">the 2017 Economic Census unit response rate and percent check-in for the </w:t>
      </w:r>
      <w:r w:rsidR="006C1A00">
        <w:rPr>
          <w:rFonts w:ascii="Times New Roman" w:hAnsi="Times New Roman"/>
          <w:sz w:val="24"/>
          <w:szCs w:val="24"/>
        </w:rPr>
        <w:t>2022 Economic Census.</w:t>
      </w:r>
    </w:p>
    <w:p w:rsidRPr="00917E22" w:rsidR="00F20B7F" w:rsidP="00FF04A1" w:rsidRDefault="00F20B7F" w14:paraId="35F7FBF9" w14:textId="77777777">
      <w:pPr>
        <w:ind w:left="720"/>
        <w:rPr>
          <w:rFonts w:ascii="Times New Roman" w:hAnsi="Times New Roman"/>
          <w:szCs w:val="24"/>
        </w:rPr>
      </w:pPr>
    </w:p>
    <w:p w:rsidRPr="00917E22" w:rsidR="00F20B7F" w:rsidP="00284E81" w:rsidRDefault="00F20B7F" w14:paraId="058A5747" w14:textId="47FE2ED1">
      <w:pPr>
        <w:ind w:firstLine="360"/>
        <w:rPr>
          <w:rFonts w:ascii="Times New Roman" w:hAnsi="Times New Roman"/>
          <w:szCs w:val="24"/>
          <w:u w:val="single"/>
        </w:rPr>
      </w:pPr>
      <w:r w:rsidRPr="00917E22">
        <w:rPr>
          <w:rFonts w:ascii="Times New Roman" w:hAnsi="Times New Roman"/>
          <w:szCs w:val="24"/>
          <w:u w:val="single"/>
        </w:rPr>
        <w:t>Online Reporting</w:t>
      </w:r>
    </w:p>
    <w:p w:rsidRPr="00917E22" w:rsidR="00B06A30" w:rsidP="00284E81" w:rsidRDefault="00B06A30" w14:paraId="7D56ECED" w14:textId="0ACC3A9C">
      <w:pPr>
        <w:ind w:firstLine="360"/>
        <w:rPr>
          <w:rFonts w:ascii="Times New Roman" w:hAnsi="Times New Roman"/>
          <w:szCs w:val="24"/>
          <w:u w:val="single"/>
        </w:rPr>
      </w:pPr>
    </w:p>
    <w:p w:rsidRPr="00917E22" w:rsidR="00B06A30" w:rsidP="00B06A30" w:rsidRDefault="00B06A30" w14:paraId="593A5283" w14:textId="55B3FD6F">
      <w:pPr>
        <w:ind w:left="360"/>
        <w:rPr>
          <w:rFonts w:ascii="Times New Roman" w:hAnsi="Times New Roman"/>
          <w:szCs w:val="24"/>
        </w:rPr>
      </w:pPr>
      <w:r w:rsidRPr="00917E22">
        <w:rPr>
          <w:rFonts w:ascii="Times New Roman" w:hAnsi="Times New Roman"/>
          <w:szCs w:val="24"/>
        </w:rPr>
        <w:t xml:space="preserve">A respondent will enter the Centurion online electronic reporting instrument through the Respondent Portal. The Respondent Portal is secure information technology that requires the respondent to create their own account and password. The Census Bureau provides a one-time-use Authentication Code in the mailout package for the respondent to enter in the Respondent Portal to create a card in the Respondent Portal to access the economic surveys to complete in Centurion. The Respondent Portal also permits subsequent secure delegation of survey access to others, as specified by the respondent. The enhanced security reassures respondents of Census Bureau safeguards for their data, while the delegation function offers respondents internal control of data gathering. Both features support efforts to maximize response to the 2022 Economic Census. </w:t>
      </w:r>
    </w:p>
    <w:p w:rsidRPr="00917E22" w:rsidR="00592B9B" w:rsidP="00E26EC2" w:rsidRDefault="00592B9B" w14:paraId="32E236F8" w14:textId="2B63A89A">
      <w:pPr>
        <w:rPr>
          <w:rFonts w:ascii="Times New Roman" w:hAnsi="Times New Roman"/>
          <w:szCs w:val="24"/>
        </w:rPr>
      </w:pPr>
    </w:p>
    <w:p w:rsidRPr="00917E22" w:rsidR="00592B9B" w:rsidP="00FF04A1" w:rsidRDefault="00592B9B" w14:paraId="2947F3FD" w14:textId="1CBFB228">
      <w:pPr>
        <w:ind w:left="360"/>
        <w:rPr>
          <w:rFonts w:ascii="Times New Roman" w:hAnsi="Times New Roman"/>
          <w:szCs w:val="24"/>
        </w:rPr>
      </w:pPr>
      <w:r w:rsidRPr="00917E22">
        <w:rPr>
          <w:rFonts w:ascii="Times New Roman" w:hAnsi="Times New Roman"/>
          <w:szCs w:val="24"/>
        </w:rPr>
        <w:t>Centurion will provide Preview Survey PDFs of the survey questions so that respondents can review the questions and gather the requested data before starting to answer the survey questions. Feedback from business respondents indicates their need to be able to review specific individual questions and instructions either online or offline before and during their activities. These PDFs aid work processes and further encourage response.</w:t>
      </w:r>
    </w:p>
    <w:p w:rsidRPr="00917E22" w:rsidR="00592B9B" w:rsidP="00FF04A1" w:rsidRDefault="00592B9B" w14:paraId="57464CF2" w14:textId="3F02B76E">
      <w:pPr>
        <w:ind w:left="360"/>
        <w:rPr>
          <w:rFonts w:ascii="Times New Roman" w:hAnsi="Times New Roman"/>
          <w:szCs w:val="24"/>
        </w:rPr>
      </w:pPr>
    </w:p>
    <w:p w:rsidRPr="00917E22" w:rsidR="00592B9B" w:rsidP="00592B9B" w:rsidRDefault="00592B9B" w14:paraId="53940FCC" w14:textId="20CB6C66">
      <w:pPr>
        <w:ind w:left="360"/>
        <w:rPr>
          <w:rFonts w:ascii="Times New Roman" w:hAnsi="Times New Roman"/>
          <w:szCs w:val="24"/>
        </w:rPr>
      </w:pPr>
      <w:r w:rsidRPr="00917E22">
        <w:rPr>
          <w:rFonts w:ascii="Times New Roman" w:hAnsi="Times New Roman"/>
          <w:szCs w:val="24"/>
        </w:rPr>
        <w:t xml:space="preserve">Centurion’s response-driven design utilizes skip patterns to take respondents to ensuing </w:t>
      </w:r>
      <w:r w:rsidRPr="00917E22">
        <w:rPr>
          <w:rFonts w:ascii="Times New Roman" w:hAnsi="Times New Roman"/>
          <w:szCs w:val="24"/>
        </w:rPr>
        <w:lastRenderedPageBreak/>
        <w:t xml:space="preserve">questions based on their answers to previous questions. As a result, respondents will only be asked questions relevant to their business, and questions that are not relevant will not be displayed. This burden-reducing feature serves to engage respondents and encourage their response. </w:t>
      </w:r>
    </w:p>
    <w:p w:rsidRPr="00917E22" w:rsidR="00592B9B" w:rsidP="00592B9B" w:rsidRDefault="00592B9B" w14:paraId="722EEE15" w14:textId="77777777">
      <w:pPr>
        <w:ind w:left="360"/>
        <w:rPr>
          <w:rFonts w:ascii="Times New Roman" w:hAnsi="Times New Roman"/>
          <w:szCs w:val="24"/>
        </w:rPr>
      </w:pPr>
    </w:p>
    <w:p w:rsidRPr="00917E22" w:rsidR="00592B9B" w:rsidP="00592B9B" w:rsidRDefault="00592B9B" w14:paraId="0D7087D4" w14:textId="681DD862">
      <w:pPr>
        <w:ind w:left="360"/>
        <w:rPr>
          <w:rFonts w:ascii="Times New Roman" w:hAnsi="Times New Roman"/>
          <w:szCs w:val="24"/>
        </w:rPr>
      </w:pPr>
      <w:r w:rsidRPr="00917E22">
        <w:rPr>
          <w:rFonts w:ascii="Times New Roman" w:hAnsi="Times New Roman"/>
          <w:szCs w:val="24"/>
        </w:rPr>
        <w:t>New functionality for the 2022 Economic Census in Centurion will include machine lea</w:t>
      </w:r>
      <w:r w:rsidR="00114568">
        <w:rPr>
          <w:rFonts w:ascii="Times New Roman" w:hAnsi="Times New Roman"/>
          <w:szCs w:val="24"/>
        </w:rPr>
        <w:t>r</w:t>
      </w:r>
      <w:r w:rsidRPr="00917E22">
        <w:rPr>
          <w:rFonts w:ascii="Times New Roman" w:hAnsi="Times New Roman"/>
          <w:szCs w:val="24"/>
        </w:rPr>
        <w:t xml:space="preserve">ning searches for respondents to search and select their Primary Business/Activity and </w:t>
      </w:r>
      <w:r w:rsidR="00364994">
        <w:rPr>
          <w:rFonts w:ascii="Times New Roman" w:hAnsi="Times New Roman"/>
          <w:szCs w:val="24"/>
        </w:rPr>
        <w:t xml:space="preserve">natural language processing to identify </w:t>
      </w:r>
      <w:r w:rsidRPr="00917E22">
        <w:rPr>
          <w:rFonts w:ascii="Times New Roman" w:hAnsi="Times New Roman"/>
          <w:szCs w:val="24"/>
        </w:rPr>
        <w:t>NAPCS product/services to add that are not pre</w:t>
      </w:r>
      <w:r w:rsidR="00DD02D1">
        <w:rPr>
          <w:rFonts w:ascii="Times New Roman" w:hAnsi="Times New Roman"/>
          <w:szCs w:val="24"/>
        </w:rPr>
        <w:t>-</w:t>
      </w:r>
      <w:r w:rsidRPr="00917E22">
        <w:rPr>
          <w:rFonts w:ascii="Times New Roman" w:hAnsi="Times New Roman"/>
          <w:szCs w:val="24"/>
        </w:rPr>
        <w:t>listed. For the 2017 Economic Census, respondents could only provide a write-in response if a selection was not pre-listed in Centurion.</w:t>
      </w:r>
    </w:p>
    <w:p w:rsidRPr="00917E22" w:rsidR="00592B9B" w:rsidP="00592B9B" w:rsidRDefault="00592B9B" w14:paraId="31178E95" w14:textId="77777777">
      <w:pPr>
        <w:ind w:left="360"/>
        <w:rPr>
          <w:rFonts w:ascii="Times New Roman" w:hAnsi="Times New Roman"/>
          <w:szCs w:val="24"/>
        </w:rPr>
      </w:pPr>
    </w:p>
    <w:p w:rsidRPr="00917E22" w:rsidR="00592B9B" w:rsidP="00592B9B" w:rsidRDefault="00592B9B" w14:paraId="6FC5B74D" w14:textId="23FE3D2F">
      <w:pPr>
        <w:ind w:left="360"/>
        <w:rPr>
          <w:rFonts w:ascii="Times New Roman" w:hAnsi="Times New Roman"/>
          <w:szCs w:val="24"/>
        </w:rPr>
      </w:pPr>
      <w:r w:rsidRPr="00917E22">
        <w:rPr>
          <w:rFonts w:ascii="Times New Roman" w:hAnsi="Times New Roman"/>
          <w:szCs w:val="24"/>
        </w:rPr>
        <w:t>Centurion also offers automated error checking and notifications as they occur</w:t>
      </w:r>
      <w:r w:rsidR="00DD02D1">
        <w:rPr>
          <w:rFonts w:ascii="Times New Roman" w:hAnsi="Times New Roman"/>
          <w:szCs w:val="24"/>
        </w:rPr>
        <w:t>,</w:t>
      </w:r>
      <w:r w:rsidRPr="00917E22">
        <w:rPr>
          <w:rFonts w:ascii="Times New Roman" w:hAnsi="Times New Roman"/>
          <w:szCs w:val="24"/>
        </w:rPr>
        <w:t xml:space="preserve"> along with a</w:t>
      </w:r>
      <w:r w:rsidR="00DD02D1">
        <w:rPr>
          <w:rFonts w:ascii="Times New Roman" w:hAnsi="Times New Roman"/>
          <w:szCs w:val="24"/>
        </w:rPr>
        <w:t>n</w:t>
      </w:r>
      <w:r w:rsidRPr="00917E22">
        <w:rPr>
          <w:rFonts w:ascii="Times New Roman" w:hAnsi="Times New Roman"/>
          <w:szCs w:val="24"/>
        </w:rPr>
        <w:t xml:space="preserve"> error summary list prior to submission.</w:t>
      </w:r>
    </w:p>
    <w:p w:rsidRPr="00917E22" w:rsidR="00592B9B" w:rsidP="00592B9B" w:rsidRDefault="00592B9B" w14:paraId="0F1608A0" w14:textId="77777777">
      <w:pPr>
        <w:ind w:left="360"/>
        <w:rPr>
          <w:rFonts w:ascii="Times New Roman" w:hAnsi="Times New Roman"/>
          <w:szCs w:val="24"/>
        </w:rPr>
      </w:pPr>
    </w:p>
    <w:p w:rsidRPr="00917E22" w:rsidR="00592B9B" w:rsidP="00592B9B" w:rsidRDefault="00592B9B" w14:paraId="5B559B25" w14:textId="1522A40D">
      <w:pPr>
        <w:ind w:left="360"/>
        <w:rPr>
          <w:rFonts w:ascii="Times New Roman" w:hAnsi="Times New Roman"/>
          <w:szCs w:val="24"/>
        </w:rPr>
      </w:pPr>
      <w:r w:rsidRPr="00917E22">
        <w:rPr>
          <w:rFonts w:ascii="Times New Roman" w:hAnsi="Times New Roman"/>
          <w:szCs w:val="24"/>
        </w:rPr>
        <w:t xml:space="preserve">Centurion provides companies with multiple locations additional functionality of downloading </w:t>
      </w:r>
      <w:r w:rsidRPr="00917E22" w:rsidR="0078338D">
        <w:rPr>
          <w:rFonts w:ascii="Times New Roman" w:hAnsi="Times New Roman"/>
          <w:szCs w:val="24"/>
        </w:rPr>
        <w:t xml:space="preserve">and uploading </w:t>
      </w:r>
      <w:r w:rsidRPr="00917E22">
        <w:rPr>
          <w:rFonts w:ascii="Times New Roman" w:hAnsi="Times New Roman"/>
          <w:szCs w:val="24"/>
        </w:rPr>
        <w:t>data spreadsheets to aid reporting. Research and feedback from multi-unit business respondents has repeatedly indicated that spreadsheets aid gathering, recording, and reporting data for the economic census. The spreadsheets permit “copy and paste” or populating data from other internal spreadsheet sources and databases and facilitate the ability to select and extract sections of the spreadsheet to gather data from other people and sources dispersed throughout the company.</w:t>
      </w:r>
    </w:p>
    <w:p w:rsidRPr="00917E22" w:rsidR="00F20B7F" w:rsidP="00E26EC2" w:rsidRDefault="00F20B7F" w14:paraId="5E843A0C" w14:textId="77777777">
      <w:pPr>
        <w:rPr>
          <w:rFonts w:ascii="Times New Roman" w:hAnsi="Times New Roman"/>
          <w:szCs w:val="24"/>
        </w:rPr>
      </w:pPr>
    </w:p>
    <w:p w:rsidRPr="00917E22" w:rsidR="000711B6" w:rsidP="000711B6" w:rsidRDefault="000711B6" w14:paraId="08FA829A" w14:textId="77777777">
      <w:pPr>
        <w:ind w:firstLine="360"/>
        <w:rPr>
          <w:rFonts w:ascii="Times New Roman" w:hAnsi="Times New Roman"/>
          <w:szCs w:val="24"/>
          <w:u w:val="single"/>
        </w:rPr>
      </w:pPr>
      <w:bookmarkStart w:name="_Hlk85484129" w:id="4"/>
      <w:r w:rsidRPr="00917E22">
        <w:rPr>
          <w:rFonts w:ascii="Times New Roman" w:hAnsi="Times New Roman"/>
          <w:szCs w:val="24"/>
          <w:u w:val="single"/>
        </w:rPr>
        <w:t>Contact Strategies</w:t>
      </w:r>
    </w:p>
    <w:p w:rsidRPr="00917E22" w:rsidR="000711B6" w:rsidP="000711B6" w:rsidRDefault="000711B6" w14:paraId="0D70FAC1" w14:textId="77777777">
      <w:pPr>
        <w:ind w:left="720"/>
        <w:rPr>
          <w:rFonts w:ascii="Times New Roman" w:hAnsi="Times New Roman"/>
          <w:szCs w:val="24"/>
        </w:rPr>
      </w:pPr>
    </w:p>
    <w:p w:rsidRPr="00917E22" w:rsidR="000711B6" w:rsidP="00E26EC2" w:rsidRDefault="000711B6" w14:paraId="4250896B" w14:textId="6CFC4B6E">
      <w:pPr>
        <w:ind w:left="360"/>
        <w:rPr>
          <w:rFonts w:ascii="Times New Roman" w:hAnsi="Times New Roman"/>
          <w:szCs w:val="24"/>
        </w:rPr>
      </w:pPr>
      <w:r w:rsidRPr="00917E22">
        <w:rPr>
          <w:rFonts w:ascii="Times New Roman" w:hAnsi="Times New Roman"/>
          <w:szCs w:val="24"/>
        </w:rPr>
        <w:t>The contact strategies utilized for the 2022 Economic Census have been developed based on feedback gathered from focus groups and cognitive testing of respondents, results from pilots and controlled experiments testing different contact strategies, and lessons learned from the 2017 Economic Census and other economic surveys. The contact strategies will include an initial contact, due date reminder as the due date approaches, and systematic mail and email follow-ups for nonresponse, supplemented by telephone follow-up for selected firms. The timing of mailings and emails has been optimized based on contact strategy research and analysis of response data from several annual economic surveys. Contact materials will emphasize the mandatory and confidential nature of Economic Census reports (as provided by Title 13 USC), electronic reporting, and the purpose and uses of the data collected.</w:t>
      </w:r>
    </w:p>
    <w:p w:rsidRPr="00917E22" w:rsidR="000711B6" w:rsidP="00E26EC2" w:rsidRDefault="000711B6" w14:paraId="78FAC0A9" w14:textId="77777777">
      <w:pPr>
        <w:rPr>
          <w:rFonts w:ascii="Times New Roman" w:hAnsi="Times New Roman"/>
          <w:szCs w:val="24"/>
        </w:rPr>
      </w:pPr>
    </w:p>
    <w:p w:rsidRPr="00917E22" w:rsidR="000711B6" w:rsidP="000711B6" w:rsidRDefault="000711B6" w14:paraId="46BE0C07" w14:textId="5C0323C2">
      <w:pPr>
        <w:ind w:left="360"/>
        <w:rPr>
          <w:rFonts w:ascii="Times New Roman" w:hAnsi="Times New Roman"/>
          <w:szCs w:val="24"/>
        </w:rPr>
      </w:pPr>
      <w:bookmarkStart w:name="_Hlk85805137" w:id="5"/>
      <w:r w:rsidRPr="00917E22">
        <w:rPr>
          <w:rFonts w:ascii="Times New Roman" w:hAnsi="Times New Roman"/>
          <w:szCs w:val="24"/>
        </w:rPr>
        <w:t>Our research found that the use of a due date reminder increased timeliness of response and reduced the need for more costly follow-up. The due date reminder reinforced the due date. Further, this second mailing appears to have reinforced the legitimacy of the survey request. Research on advance mailings have also suggested that two contacts can improve response however</w:t>
      </w:r>
      <w:r w:rsidR="00364994">
        <w:rPr>
          <w:rFonts w:ascii="Times New Roman" w:hAnsi="Times New Roman"/>
          <w:szCs w:val="24"/>
        </w:rPr>
        <w:t>,</w:t>
      </w:r>
      <w:r w:rsidRPr="00917E22">
        <w:rPr>
          <w:rFonts w:ascii="Times New Roman" w:hAnsi="Times New Roman"/>
          <w:szCs w:val="24"/>
        </w:rPr>
        <w:t xml:space="preserve"> a due date reminder after the initial mailing has the benefit of allowing the respondent to take action with both contacts. Therefore, the due date reminder was used for the 2017 Economic Census and has been used for other economic surveys as well.</w:t>
      </w:r>
    </w:p>
    <w:bookmarkEnd w:id="5"/>
    <w:p w:rsidRPr="00917E22" w:rsidR="000711B6" w:rsidP="000711B6" w:rsidRDefault="000711B6" w14:paraId="03E05378" w14:textId="77777777">
      <w:pPr>
        <w:ind w:left="720"/>
        <w:rPr>
          <w:rFonts w:ascii="Times New Roman" w:hAnsi="Times New Roman"/>
          <w:szCs w:val="24"/>
        </w:rPr>
      </w:pPr>
    </w:p>
    <w:p w:rsidRPr="00917E22" w:rsidR="000711B6" w:rsidP="000711B6" w:rsidRDefault="000711B6" w14:paraId="4FEEDDC9" w14:textId="77777777">
      <w:pPr>
        <w:ind w:left="360"/>
        <w:rPr>
          <w:rFonts w:ascii="Times New Roman" w:hAnsi="Times New Roman"/>
          <w:szCs w:val="24"/>
        </w:rPr>
      </w:pPr>
      <w:r w:rsidRPr="00917E22">
        <w:rPr>
          <w:rFonts w:ascii="Times New Roman" w:hAnsi="Times New Roman"/>
          <w:szCs w:val="24"/>
        </w:rPr>
        <w:lastRenderedPageBreak/>
        <w:t xml:space="preserve">Follow-up efforts for nonrespondents begin with the least expensive methods and increase intensity as time elapses past the due date. Telephone follow-up is the most expensive contact method; therefore, it has been reserved for the most reluctant respondents where other methods have not obtained response. The most expensive mail contact used is a certified or priority class mailing. Certified and priority class follow-up appear to communicate the legitimacy and importance of the data collection effort for more reluctant respondents. The certified follow-up experiment conducted during the 2012 Economic Census found that the certified follow-up increased response more than a standard follow-up and that it was more cost effective to use certified in later follow-ups. </w:t>
      </w:r>
    </w:p>
    <w:p w:rsidRPr="00917E22" w:rsidR="000711B6" w:rsidP="000711B6" w:rsidRDefault="000711B6" w14:paraId="19BF54E5" w14:textId="77777777">
      <w:pPr>
        <w:ind w:left="360"/>
        <w:rPr>
          <w:rFonts w:ascii="Times New Roman" w:hAnsi="Times New Roman"/>
          <w:szCs w:val="24"/>
        </w:rPr>
      </w:pPr>
    </w:p>
    <w:p w:rsidRPr="00917E22" w:rsidR="000711B6" w:rsidP="000711B6" w:rsidRDefault="000711B6" w14:paraId="2068F867" w14:textId="77777777">
      <w:pPr>
        <w:ind w:left="360"/>
        <w:rPr>
          <w:rFonts w:ascii="Times New Roman" w:hAnsi="Times New Roman"/>
          <w:szCs w:val="24"/>
        </w:rPr>
      </w:pPr>
      <w:r w:rsidRPr="00917E22">
        <w:rPr>
          <w:rFonts w:ascii="Times New Roman" w:hAnsi="Times New Roman"/>
          <w:szCs w:val="24"/>
        </w:rPr>
        <w:t>In preparing for the 2022 Economic Census, we have been researching how to incorporate new technology effectively, including the expanded use of email and customized messaging supported by the Respondent Portal. Within the Respondent Portal, we have been exploring providing customized content on the Respondent Dashboard to assist with reporting. We have also been exploring using the Respondent Portal to automatically generate emails to respondents based on certain actions. After a respondent first accesses the survey in the Respondent Portal, it can generate an email with a customized Welcome Packet containing information on how the data are used and information to assist with reporting. After the phone center has called a respondent, the Respondent Portal can generate an email to follow-up on the call whether contact was made or a voicemail was left. After a respondent completes the survey, the Respondent Portal can generate an email to thank them for their participation, remind them they can print out their response, and provide other useful information (such as where they can find survey results).</w:t>
      </w:r>
    </w:p>
    <w:p w:rsidRPr="00917E22" w:rsidR="000711B6" w:rsidP="000711B6" w:rsidRDefault="000711B6" w14:paraId="760E4707" w14:textId="77777777">
      <w:pPr>
        <w:ind w:left="360"/>
        <w:rPr>
          <w:rFonts w:ascii="Times New Roman" w:hAnsi="Times New Roman"/>
          <w:szCs w:val="24"/>
        </w:rPr>
      </w:pPr>
    </w:p>
    <w:p w:rsidRPr="00917E22" w:rsidR="000711B6" w:rsidP="000711B6" w:rsidRDefault="000711B6" w14:paraId="1CC7DFEA" w14:textId="287CB457">
      <w:pPr>
        <w:ind w:left="360"/>
        <w:rPr>
          <w:rFonts w:ascii="Times New Roman" w:hAnsi="Times New Roman"/>
          <w:szCs w:val="24"/>
        </w:rPr>
      </w:pPr>
      <w:r w:rsidRPr="00917E22">
        <w:rPr>
          <w:rFonts w:ascii="Times New Roman" w:hAnsi="Times New Roman"/>
          <w:szCs w:val="24"/>
        </w:rPr>
        <w:t>During the 2017 Economic Census, we supplemented mail follow-ups with email follow-ups for respondents who had started but not completed the reporting process. The use of email follow-ups has been expanded to other economic surveys since then (primarily using email addresses respondents provided when they set up their Respondent Portal accounts). We conducted research on the sequence of emails in the follow-up strategy (email follow-up only, email and then mail follow-up, mail and then email follow-up, or email and mail follow-up concurrently). We also explored allowing respondent</w:t>
      </w:r>
      <w:r w:rsidR="00364994">
        <w:rPr>
          <w:rFonts w:ascii="Times New Roman" w:hAnsi="Times New Roman"/>
          <w:szCs w:val="24"/>
        </w:rPr>
        <w:t>s</w:t>
      </w:r>
      <w:r w:rsidRPr="00917E22">
        <w:rPr>
          <w:rFonts w:ascii="Times New Roman" w:hAnsi="Times New Roman"/>
          <w:szCs w:val="24"/>
        </w:rPr>
        <w:t xml:space="preserve"> to choose email as their preferred contact method. </w:t>
      </w:r>
    </w:p>
    <w:p w:rsidRPr="00917E22" w:rsidR="000711B6" w:rsidP="000711B6" w:rsidRDefault="000711B6" w14:paraId="3AE5DDF6" w14:textId="77777777">
      <w:pPr>
        <w:ind w:left="360"/>
        <w:rPr>
          <w:rFonts w:ascii="Times New Roman" w:hAnsi="Times New Roman"/>
          <w:szCs w:val="24"/>
        </w:rPr>
      </w:pPr>
    </w:p>
    <w:p w:rsidRPr="00917E22" w:rsidR="000711B6" w:rsidP="000711B6" w:rsidRDefault="000711B6" w14:paraId="1F810AEC" w14:textId="77777777">
      <w:pPr>
        <w:ind w:left="360"/>
        <w:rPr>
          <w:rFonts w:ascii="Times New Roman" w:hAnsi="Times New Roman"/>
          <w:szCs w:val="24"/>
        </w:rPr>
      </w:pPr>
      <w:r w:rsidRPr="00917E22">
        <w:rPr>
          <w:rFonts w:ascii="Times New Roman" w:hAnsi="Times New Roman"/>
          <w:szCs w:val="24"/>
        </w:rPr>
        <w:t xml:space="preserve">The shutdown of our National Processing Center due to the COVID-19 pandemic necessitated the further use of email. Even after mail operations resumed, emails proved to be useful in contacting respondents who may be working from home and not able to receive mail at their normal business locations. Email contacts were used not only for follow-up efforts but also initial contact at the beginning of the survey cycle. Expanding the use of emails has also meant exploring how emails can be shared across survey programs. </w:t>
      </w:r>
    </w:p>
    <w:p w:rsidRPr="00917E22" w:rsidR="000711B6" w:rsidP="000711B6" w:rsidRDefault="000711B6" w14:paraId="348CD06F" w14:textId="77777777">
      <w:pPr>
        <w:ind w:left="360"/>
        <w:rPr>
          <w:rFonts w:ascii="Times New Roman" w:hAnsi="Times New Roman"/>
          <w:szCs w:val="24"/>
        </w:rPr>
      </w:pPr>
    </w:p>
    <w:p w:rsidRPr="00917E22" w:rsidR="000711B6" w:rsidP="000711B6" w:rsidRDefault="000711B6" w14:paraId="1924FDDB" w14:textId="5E898D85">
      <w:pPr>
        <w:ind w:left="360"/>
        <w:rPr>
          <w:rFonts w:ascii="Times New Roman" w:hAnsi="Times New Roman"/>
          <w:szCs w:val="24"/>
        </w:rPr>
      </w:pPr>
      <w:r w:rsidRPr="00917E22">
        <w:rPr>
          <w:rFonts w:ascii="Times New Roman" w:hAnsi="Times New Roman"/>
          <w:szCs w:val="24"/>
        </w:rPr>
        <w:t>When our phone centers were shut</w:t>
      </w:r>
      <w:r w:rsidR="00364994">
        <w:rPr>
          <w:rFonts w:ascii="Times New Roman" w:hAnsi="Times New Roman"/>
          <w:szCs w:val="24"/>
        </w:rPr>
        <w:t xml:space="preserve"> </w:t>
      </w:r>
      <w:r w:rsidRPr="00917E22">
        <w:rPr>
          <w:rFonts w:ascii="Times New Roman" w:hAnsi="Times New Roman"/>
          <w:szCs w:val="24"/>
        </w:rPr>
        <w:t xml:space="preserve">down due to COVID-19, automated Robocalls were used to contact respondents. Given limitations with automated calls, laptops were deployed to phone center employees as quickly as possible to support remote phone operations. In a few </w:t>
      </w:r>
      <w:r w:rsidRPr="00917E22">
        <w:rPr>
          <w:rFonts w:ascii="Times New Roman" w:hAnsi="Times New Roman"/>
          <w:szCs w:val="24"/>
        </w:rPr>
        <w:lastRenderedPageBreak/>
        <w:t>economic surveys, we have explored the use of Robocalls when some nonrespondents are ineligible for live calls due to budget limitations. Additional tests are planned to determine the impact of robocalls and pending the results of these tests, robocalls may be used as a contact strategy for the 2022 Economic Census.</w:t>
      </w:r>
    </w:p>
    <w:p w:rsidRPr="00917E22" w:rsidR="000711B6" w:rsidP="000711B6" w:rsidRDefault="000711B6" w14:paraId="3B2B71A2" w14:textId="77777777">
      <w:pPr>
        <w:ind w:left="720"/>
        <w:rPr>
          <w:rFonts w:ascii="Times New Roman" w:hAnsi="Times New Roman"/>
          <w:szCs w:val="24"/>
        </w:rPr>
      </w:pPr>
    </w:p>
    <w:p w:rsidRPr="00917E22" w:rsidR="000711B6" w:rsidP="000711B6" w:rsidRDefault="000711B6" w14:paraId="0CB31ABD" w14:textId="572B453B">
      <w:pPr>
        <w:ind w:left="360"/>
        <w:rPr>
          <w:rFonts w:ascii="Times New Roman" w:hAnsi="Times New Roman"/>
          <w:szCs w:val="24"/>
        </w:rPr>
      </w:pPr>
      <w:r w:rsidRPr="00917E22">
        <w:rPr>
          <w:rFonts w:ascii="Times New Roman" w:hAnsi="Times New Roman"/>
          <w:szCs w:val="24"/>
        </w:rPr>
        <w:t>Our contact strategies research has provided invaluable information to improve our methods and make data-driven decisions to implement cost effective strategies to maximize response for the 2022 Economic Census. Further, we will continue to implement successful strategies across other economic programs, as appropriate.</w:t>
      </w:r>
    </w:p>
    <w:p w:rsidRPr="00917E22" w:rsidR="000711B6" w:rsidP="000711B6" w:rsidRDefault="000711B6" w14:paraId="27B77383" w14:textId="77777777">
      <w:pPr>
        <w:rPr>
          <w:rStyle w:val="Emphasis"/>
          <w:i w:val="0"/>
          <w:color w:val="000000"/>
        </w:rPr>
      </w:pPr>
    </w:p>
    <w:p w:rsidRPr="00917E22" w:rsidR="000711B6" w:rsidP="000711B6" w:rsidRDefault="000711B6" w14:paraId="43D724C2" w14:textId="77777777">
      <w:pPr>
        <w:pStyle w:val="NormalWeb"/>
        <w:shd w:val="clear" w:color="auto" w:fill="FFFFFF"/>
        <w:spacing w:before="0" w:beforeAutospacing="0" w:after="200" w:afterAutospacing="0"/>
        <w:ind w:firstLine="360"/>
        <w:textAlignment w:val="center"/>
        <w:rPr>
          <w:rStyle w:val="Emphasis"/>
          <w:i w:val="0"/>
          <w:color w:val="000000"/>
          <w:u w:val="single"/>
        </w:rPr>
      </w:pPr>
      <w:r w:rsidRPr="00917E22">
        <w:rPr>
          <w:rStyle w:val="Emphasis"/>
          <w:i w:val="0"/>
          <w:color w:val="000000"/>
          <w:u w:val="single"/>
        </w:rPr>
        <w:t>Adaptive Design</w:t>
      </w:r>
    </w:p>
    <w:p w:rsidRPr="00917E22" w:rsidR="001C4F0E" w:rsidP="00FE0B22" w:rsidRDefault="000711B6" w14:paraId="3A7EAEEA" w14:textId="34E1CAC1">
      <w:pPr>
        <w:ind w:left="360"/>
        <w:rPr>
          <w:rFonts w:ascii="Times New Roman" w:hAnsi="Times New Roman"/>
          <w:snapToGrid/>
          <w:szCs w:val="24"/>
        </w:rPr>
      </w:pPr>
      <w:r w:rsidRPr="00917E22">
        <w:rPr>
          <w:rFonts w:ascii="Times New Roman" w:hAnsi="Times New Roman"/>
          <w:snapToGrid/>
          <w:szCs w:val="24"/>
        </w:rPr>
        <w:t xml:space="preserve">The U.S. Census Bureau uses an adaptive design for telephone follow-up where response monitoring data </w:t>
      </w:r>
      <w:r w:rsidRPr="00917E22">
        <w:rPr>
          <w:rFonts w:ascii="Times New Roman" w:hAnsi="Times New Roman"/>
        </w:rPr>
        <w:t>are</w:t>
      </w:r>
      <w:r w:rsidRPr="00917E22">
        <w:rPr>
          <w:rFonts w:ascii="Times New Roman" w:hAnsi="Times New Roman"/>
          <w:snapToGrid/>
          <w:szCs w:val="24"/>
        </w:rPr>
        <w:t xml:space="preserve"> used to target and prioritize efforts to the lowest responding groups and respondents with the most impact on data products. We also implemented an adaptive mail follow-up strategy for sampled single unit establishments in the 2017 Economic Census</w:t>
      </w:r>
      <w:r w:rsidR="003C0C4C">
        <w:rPr>
          <w:rFonts w:ascii="Times New Roman" w:hAnsi="Times New Roman"/>
          <w:snapToGrid/>
          <w:szCs w:val="24"/>
        </w:rPr>
        <w:t xml:space="preserve"> that will be employed again for 2022</w:t>
      </w:r>
      <w:r w:rsidRPr="00917E22">
        <w:rPr>
          <w:rFonts w:ascii="Times New Roman" w:hAnsi="Times New Roman"/>
          <w:snapToGrid/>
          <w:szCs w:val="24"/>
        </w:rPr>
        <w:t xml:space="preserve">. </w:t>
      </w:r>
      <w:r w:rsidRPr="00917E22">
        <w:rPr>
          <w:rFonts w:ascii="Times New Roman" w:hAnsi="Times New Roman"/>
          <w:iCs/>
          <w:snapToGrid/>
          <w:szCs w:val="24"/>
        </w:rPr>
        <w:t xml:space="preserve">All nonrespondents </w:t>
      </w:r>
      <w:r w:rsidR="003C0C4C">
        <w:rPr>
          <w:rFonts w:ascii="Times New Roman" w:hAnsi="Times New Roman"/>
          <w:iCs/>
          <w:snapToGrid/>
          <w:szCs w:val="24"/>
        </w:rPr>
        <w:t>are</w:t>
      </w:r>
      <w:r w:rsidRPr="00917E22" w:rsidR="003C0C4C">
        <w:rPr>
          <w:rFonts w:ascii="Times New Roman" w:hAnsi="Times New Roman"/>
          <w:iCs/>
          <w:snapToGrid/>
          <w:szCs w:val="24"/>
        </w:rPr>
        <w:t xml:space="preserve"> </w:t>
      </w:r>
      <w:r w:rsidRPr="00917E22">
        <w:rPr>
          <w:rFonts w:ascii="Times New Roman" w:hAnsi="Times New Roman"/>
          <w:iCs/>
          <w:snapToGrid/>
          <w:szCs w:val="24"/>
        </w:rPr>
        <w:t>included in the third mail follow-up</w:t>
      </w:r>
      <w:r w:rsidRPr="00917E22">
        <w:rPr>
          <w:rFonts w:ascii="Times New Roman" w:hAnsi="Times New Roman"/>
          <w:snapToGrid/>
          <w:szCs w:val="24"/>
        </w:rPr>
        <w:t xml:space="preserve"> but the more expensive procedures </w:t>
      </w:r>
      <w:r w:rsidR="003C0C4C">
        <w:rPr>
          <w:rFonts w:ascii="Times New Roman" w:hAnsi="Times New Roman"/>
          <w:snapToGrid/>
          <w:szCs w:val="24"/>
        </w:rPr>
        <w:t>will be</w:t>
      </w:r>
      <w:r w:rsidRPr="00917E22" w:rsidR="003C0C4C">
        <w:rPr>
          <w:rFonts w:ascii="Times New Roman" w:hAnsi="Times New Roman"/>
          <w:snapToGrid/>
          <w:szCs w:val="24"/>
        </w:rPr>
        <w:t xml:space="preserve"> </w:t>
      </w:r>
      <w:r w:rsidRPr="00917E22">
        <w:rPr>
          <w:rFonts w:ascii="Times New Roman" w:hAnsi="Times New Roman"/>
          <w:snapToGrid/>
          <w:szCs w:val="24"/>
        </w:rPr>
        <w:t xml:space="preserve">targeted to a probability subsample of businesses (instead of all nonrespondents) with the remainder receiving the less expensive mailing. Our objective </w:t>
      </w:r>
      <w:r w:rsidR="003C0C4C">
        <w:rPr>
          <w:rFonts w:ascii="Times New Roman" w:hAnsi="Times New Roman"/>
          <w:snapToGrid/>
          <w:szCs w:val="24"/>
        </w:rPr>
        <w:t>is</w:t>
      </w:r>
      <w:r w:rsidRPr="00917E22" w:rsidR="003C0C4C">
        <w:rPr>
          <w:rFonts w:ascii="Times New Roman" w:hAnsi="Times New Roman"/>
          <w:snapToGrid/>
          <w:szCs w:val="24"/>
        </w:rPr>
        <w:t xml:space="preserve"> </w:t>
      </w:r>
      <w:r w:rsidRPr="00917E22">
        <w:rPr>
          <w:rFonts w:ascii="Times New Roman" w:hAnsi="Times New Roman"/>
          <w:snapToGrid/>
          <w:szCs w:val="24"/>
        </w:rPr>
        <w:t xml:space="preserve">to reduce the overall cost and improve – or at least maintain – estimate quality by reducing nonresponse bias without overly increasing sampling variance.  </w:t>
      </w:r>
    </w:p>
    <w:p w:rsidRPr="00917E22" w:rsidR="00EB0BDB" w:rsidP="000711B6" w:rsidRDefault="00EB0BDB" w14:paraId="0C4748AC" w14:textId="77777777">
      <w:pPr>
        <w:ind w:firstLine="360"/>
        <w:rPr>
          <w:rFonts w:ascii="Times New Roman" w:hAnsi="Times New Roman"/>
          <w:snapToGrid/>
          <w:szCs w:val="24"/>
        </w:rPr>
      </w:pPr>
    </w:p>
    <w:p w:rsidR="00072CEF" w:rsidP="00FF04A1" w:rsidRDefault="000711B6" w14:paraId="4FC9779D" w14:textId="2837C8AC">
      <w:pPr>
        <w:ind w:left="360"/>
        <w:rPr>
          <w:rFonts w:ascii="Times New Roman" w:hAnsi="Times New Roman"/>
        </w:rPr>
      </w:pPr>
      <w:r w:rsidRPr="00917E22">
        <w:rPr>
          <w:rFonts w:ascii="Times New Roman" w:hAnsi="Times New Roman"/>
        </w:rPr>
        <w:t xml:space="preserve">For the 2022 Economic Census, </w:t>
      </w:r>
      <w:r w:rsidR="003C0C4C">
        <w:rPr>
          <w:rFonts w:ascii="Times New Roman" w:hAnsi="Times New Roman"/>
        </w:rPr>
        <w:t xml:space="preserve">similar to </w:t>
      </w:r>
      <w:r w:rsidRPr="00917E22">
        <w:rPr>
          <w:rFonts w:ascii="Times New Roman" w:hAnsi="Times New Roman"/>
        </w:rPr>
        <w:t>2017, the targeted mail follow-up requires a probability subsample of nonrespondents at a predetermined point in the data collection cycle</w:t>
      </w:r>
      <w:r w:rsidRPr="00917E22">
        <w:rPr>
          <w:rFonts w:ascii="Times New Roman" w:hAnsi="Times New Roman"/>
          <w:i/>
        </w:rPr>
        <w:t>,</w:t>
      </w:r>
      <w:r w:rsidRPr="00917E22">
        <w:rPr>
          <w:rFonts w:ascii="Times New Roman" w:hAnsi="Times New Roman"/>
        </w:rPr>
        <w:t xml:space="preserve"> with paradata (specifically current response status) determining the sampling frame (nonrespondents) and frame data (e.g., unit measure of size and industry classification) informing the sample design. Allocation approaches have been developed for the probability subsampling that utilize information on respondent sample composition and current check in rates with the objective of simultaneously selecting high proportions of sample in domains that indicate potential nonresponse bias while equalizing response rates across domains.</w:t>
      </w:r>
    </w:p>
    <w:p w:rsidRPr="00917E22" w:rsidR="00F20B7F" w:rsidP="00FF04A1" w:rsidRDefault="000711B6" w14:paraId="6E3F0788" w14:textId="5126925A">
      <w:pPr>
        <w:ind w:left="360"/>
        <w:rPr>
          <w:rStyle w:val="Emphasis"/>
          <w:i w:val="0"/>
          <w:color w:val="000000"/>
        </w:rPr>
      </w:pPr>
      <w:r w:rsidRPr="00917E22">
        <w:rPr>
          <w:rFonts w:ascii="Times New Roman" w:hAnsi="Times New Roman"/>
        </w:rPr>
        <w:t xml:space="preserve"> </w:t>
      </w:r>
      <w:bookmarkEnd w:id="4"/>
    </w:p>
    <w:p w:rsidRPr="00917E22" w:rsidR="00F20B7F" w:rsidP="00721659" w:rsidRDefault="00F20B7F" w14:paraId="0310D576" w14:textId="77777777">
      <w:pPr>
        <w:pStyle w:val="NormalWeb"/>
        <w:shd w:val="clear" w:color="auto" w:fill="FFFFFF"/>
        <w:spacing w:before="0" w:beforeAutospacing="0" w:after="200" w:afterAutospacing="0"/>
        <w:ind w:firstLine="360"/>
        <w:textAlignment w:val="center"/>
        <w:rPr>
          <w:rStyle w:val="Emphasis"/>
          <w:i w:val="0"/>
          <w:color w:val="000000"/>
          <w:u w:val="single"/>
        </w:rPr>
      </w:pPr>
      <w:r w:rsidRPr="00917E22">
        <w:rPr>
          <w:rStyle w:val="Emphasis"/>
          <w:i w:val="0"/>
          <w:color w:val="000000"/>
          <w:u w:val="single"/>
        </w:rPr>
        <w:t>Outreach</w:t>
      </w:r>
    </w:p>
    <w:p w:rsidRPr="00917E22" w:rsidR="00322323" w:rsidP="00721659" w:rsidRDefault="00F20B7F" w14:paraId="37D9B675" w14:textId="7F1A3763">
      <w:pPr>
        <w:pStyle w:val="NormalWeb"/>
        <w:shd w:val="clear" w:color="auto" w:fill="FFFFFF"/>
        <w:spacing w:before="0" w:beforeAutospacing="0" w:after="200" w:afterAutospacing="0"/>
        <w:ind w:left="360"/>
        <w:textAlignment w:val="center"/>
        <w:rPr>
          <w:i/>
          <w:color w:val="000000"/>
        </w:rPr>
      </w:pPr>
      <w:r w:rsidRPr="00917E22">
        <w:rPr>
          <w:rStyle w:val="Emphasis"/>
          <w:i w:val="0"/>
          <w:color w:val="000000"/>
        </w:rPr>
        <w:t>The Census Bureau is</w:t>
      </w:r>
      <w:r w:rsidRPr="00917E22" w:rsidR="00322323">
        <w:rPr>
          <w:rStyle w:val="Emphasis"/>
          <w:i w:val="0"/>
          <w:color w:val="000000"/>
        </w:rPr>
        <w:t xml:space="preserve"> planning for a direct outreach effort to as many as 2,000 large </w:t>
      </w:r>
      <w:r w:rsidRPr="00917E22" w:rsidR="005C496F">
        <w:rPr>
          <w:rStyle w:val="Emphasis"/>
          <w:i w:val="0"/>
          <w:color w:val="000000"/>
        </w:rPr>
        <w:t xml:space="preserve">and medium-sized </w:t>
      </w:r>
      <w:r w:rsidRPr="00917E22" w:rsidR="00322323">
        <w:rPr>
          <w:rStyle w:val="Emphasis"/>
          <w:i w:val="0"/>
          <w:color w:val="000000"/>
        </w:rPr>
        <w:t>companies. Economic Directorate staff will contact companies via phone to offer response assistance, beginning before initial mailout and continuing throughout the data collection timeframe.</w:t>
      </w:r>
    </w:p>
    <w:p w:rsidRPr="00917E22" w:rsidR="00115DCE" w:rsidP="00DE3A49" w:rsidRDefault="00322323" w14:paraId="26BF1CDB" w14:textId="750E6CA7">
      <w:pPr>
        <w:pStyle w:val="NormalWeb"/>
        <w:shd w:val="clear" w:color="auto" w:fill="FFFFFF"/>
        <w:spacing w:before="0" w:beforeAutospacing="0" w:after="200" w:afterAutospacing="0"/>
        <w:ind w:left="360"/>
        <w:textAlignment w:val="center"/>
      </w:pPr>
      <w:r w:rsidRPr="00917E22">
        <w:rPr>
          <w:rStyle w:val="Emphasis"/>
          <w:i w:val="0"/>
          <w:color w:val="000000"/>
        </w:rPr>
        <w:t xml:space="preserve">For respondents outside the scope of this effort, we are planning for indirect outreach by providing messaging to intermediaries, such as trade associations, chambers of commerce and state and local governments. We will demonstrate the value of response to these organizations and ask them to pass along messaging to their constituents and membership, many of whom will be </w:t>
      </w:r>
      <w:r w:rsidRPr="00917E22" w:rsidR="001C4F0E">
        <w:rPr>
          <w:rStyle w:val="Emphasis"/>
          <w:i w:val="0"/>
          <w:color w:val="000000"/>
        </w:rPr>
        <w:t xml:space="preserve">Economic Census </w:t>
      </w:r>
      <w:r w:rsidRPr="00917E22">
        <w:rPr>
          <w:rStyle w:val="Emphasis"/>
          <w:i w:val="0"/>
          <w:color w:val="000000"/>
        </w:rPr>
        <w:t>respondents.</w:t>
      </w:r>
    </w:p>
    <w:p w:rsidRPr="00917E22" w:rsidR="00CA73D8" w:rsidP="00B634B2" w:rsidRDefault="00CA73D8" w14:paraId="0CC2D335" w14:textId="77777777">
      <w:pPr>
        <w:tabs>
          <w:tab w:val="left" w:pos="-1440"/>
        </w:tabs>
        <w:ind w:left="360" w:hanging="360"/>
        <w:rPr>
          <w:rFonts w:ascii="Times New Roman" w:hAnsi="Times New Roman"/>
          <w:szCs w:val="24"/>
        </w:rPr>
      </w:pPr>
      <w:r w:rsidRPr="00917E22">
        <w:rPr>
          <w:rFonts w:ascii="Times New Roman" w:hAnsi="Times New Roman"/>
          <w:szCs w:val="24"/>
        </w:rPr>
        <w:lastRenderedPageBreak/>
        <w:t>4.</w:t>
      </w:r>
      <w:r w:rsidRPr="00917E22">
        <w:rPr>
          <w:rFonts w:ascii="Times New Roman" w:hAnsi="Times New Roman"/>
          <w:szCs w:val="24"/>
        </w:rPr>
        <w:tab/>
      </w:r>
      <w:r w:rsidRPr="00917E22">
        <w:rPr>
          <w:rFonts w:ascii="Times New Roman" w:hAnsi="Times New Roman"/>
          <w:b/>
          <w:szCs w:val="24"/>
        </w:rPr>
        <w:t>Tests of Procedures or Methods</w:t>
      </w:r>
    </w:p>
    <w:p w:rsidRPr="00917E22" w:rsidR="00CA73D8" w:rsidRDefault="00CA73D8" w14:paraId="292D3CF8" w14:textId="77777777">
      <w:pPr>
        <w:rPr>
          <w:rFonts w:ascii="Times New Roman" w:hAnsi="Times New Roman"/>
          <w:szCs w:val="24"/>
        </w:rPr>
      </w:pPr>
    </w:p>
    <w:p w:rsidRPr="00917E22" w:rsidR="00AF272B" w:rsidP="00FF04A1" w:rsidRDefault="00AF272B" w14:paraId="4788D015" w14:textId="77777777">
      <w:pPr>
        <w:ind w:left="360"/>
        <w:rPr>
          <w:rFonts w:ascii="Times New Roman" w:hAnsi="Times New Roman"/>
          <w:szCs w:val="24"/>
          <w:u w:val="single"/>
        </w:rPr>
      </w:pPr>
      <w:r w:rsidRPr="00917E22">
        <w:rPr>
          <w:rFonts w:ascii="Times New Roman" w:hAnsi="Times New Roman"/>
          <w:szCs w:val="24"/>
          <w:u w:val="single"/>
        </w:rPr>
        <w:t>Instrument Development and Design</w:t>
      </w:r>
    </w:p>
    <w:p w:rsidRPr="00917E22" w:rsidR="00AF272B" w:rsidP="00FF04A1" w:rsidRDefault="00AF272B" w14:paraId="66A3953C" w14:textId="77777777">
      <w:pPr>
        <w:ind w:left="360"/>
        <w:rPr>
          <w:rFonts w:ascii="Times New Roman" w:hAnsi="Times New Roman"/>
          <w:szCs w:val="24"/>
        </w:rPr>
      </w:pPr>
    </w:p>
    <w:p w:rsidRPr="00917E22" w:rsidR="000D622E" w:rsidP="00FF04A1" w:rsidRDefault="00BC0DC9" w14:paraId="2CA1164F" w14:textId="4401D45F">
      <w:pPr>
        <w:ind w:left="360"/>
        <w:rPr>
          <w:rFonts w:ascii="Times New Roman" w:hAnsi="Times New Roman"/>
          <w:szCs w:val="24"/>
        </w:rPr>
      </w:pPr>
      <w:r>
        <w:rPr>
          <w:rFonts w:ascii="Times New Roman" w:hAnsi="Times New Roman"/>
          <w:szCs w:val="24"/>
        </w:rPr>
        <w:t>With the exception of paper questionnaires for Island Areas</w:t>
      </w:r>
      <w:r w:rsidR="00364994">
        <w:rPr>
          <w:rFonts w:ascii="Times New Roman" w:hAnsi="Times New Roman"/>
          <w:szCs w:val="24"/>
        </w:rPr>
        <w:t>’</w:t>
      </w:r>
      <w:r>
        <w:rPr>
          <w:rFonts w:ascii="Times New Roman" w:hAnsi="Times New Roman"/>
          <w:szCs w:val="24"/>
        </w:rPr>
        <w:t xml:space="preserve"> single-establishment firms, t</w:t>
      </w:r>
      <w:r w:rsidRPr="00917E22">
        <w:rPr>
          <w:rFonts w:ascii="Times New Roman" w:hAnsi="Times New Roman"/>
          <w:szCs w:val="24"/>
        </w:rPr>
        <w:t xml:space="preserve">he </w:t>
      </w:r>
      <w:r w:rsidRPr="00917E22" w:rsidR="00EB0BDB">
        <w:rPr>
          <w:rFonts w:ascii="Times New Roman" w:hAnsi="Times New Roman"/>
          <w:szCs w:val="24"/>
        </w:rPr>
        <w:t xml:space="preserve">2022 </w:t>
      </w:r>
      <w:r w:rsidRPr="00917E22" w:rsidR="00AF272B">
        <w:rPr>
          <w:rFonts w:ascii="Times New Roman" w:hAnsi="Times New Roman"/>
          <w:szCs w:val="24"/>
        </w:rPr>
        <w:t xml:space="preserve">Economic Census will be collected completely online, using the Census Bureau’s current corporate Web reporting software called Centurion. </w:t>
      </w:r>
      <w:r w:rsidRPr="00917E22" w:rsidR="00EB0BDB">
        <w:rPr>
          <w:rFonts w:ascii="Times New Roman" w:hAnsi="Times New Roman"/>
          <w:szCs w:val="24"/>
        </w:rPr>
        <w:t xml:space="preserve">Re-engineering economic census data collection instruments for full implementation </w:t>
      </w:r>
      <w:r w:rsidR="00F977BE">
        <w:rPr>
          <w:rFonts w:ascii="Times New Roman" w:hAnsi="Times New Roman"/>
          <w:szCs w:val="24"/>
        </w:rPr>
        <w:t>of</w:t>
      </w:r>
      <w:r w:rsidRPr="00917E22" w:rsidR="00F977BE">
        <w:rPr>
          <w:rFonts w:ascii="Times New Roman" w:hAnsi="Times New Roman"/>
          <w:szCs w:val="24"/>
        </w:rPr>
        <w:t xml:space="preserve"> </w:t>
      </w:r>
      <w:r w:rsidRPr="00917E22" w:rsidR="00EB0BDB">
        <w:rPr>
          <w:rFonts w:ascii="Times New Roman" w:hAnsi="Times New Roman"/>
          <w:szCs w:val="24"/>
        </w:rPr>
        <w:t xml:space="preserve">machine learning </w:t>
      </w:r>
      <w:r w:rsidR="003A4584">
        <w:rPr>
          <w:rFonts w:ascii="Times New Roman" w:hAnsi="Times New Roman"/>
          <w:szCs w:val="24"/>
        </w:rPr>
        <w:t xml:space="preserve">and natural language processing </w:t>
      </w:r>
      <w:r w:rsidRPr="00917E22" w:rsidR="00EB0BDB">
        <w:rPr>
          <w:rFonts w:ascii="Times New Roman" w:hAnsi="Times New Roman"/>
          <w:szCs w:val="24"/>
        </w:rPr>
        <w:t>required a substantial multi-year, multi-method program of research, development, testing and evaluation.</w:t>
      </w:r>
    </w:p>
    <w:p w:rsidRPr="00917E22" w:rsidR="002D4100" w:rsidP="00FF04A1" w:rsidRDefault="002D4100" w14:paraId="3AE1A3AD" w14:textId="77777777">
      <w:pPr>
        <w:ind w:left="360"/>
        <w:rPr>
          <w:rFonts w:ascii="Times New Roman" w:hAnsi="Times New Roman"/>
          <w:szCs w:val="24"/>
        </w:rPr>
      </w:pPr>
    </w:p>
    <w:p w:rsidRPr="00917E22" w:rsidR="00AF272B" w:rsidP="00FF04A1" w:rsidRDefault="00AF272B" w14:paraId="7D50E88E" w14:textId="076FA371">
      <w:pPr>
        <w:ind w:left="360"/>
        <w:rPr>
          <w:rFonts w:ascii="Times New Roman" w:hAnsi="Times New Roman"/>
          <w:szCs w:val="24"/>
        </w:rPr>
      </w:pPr>
      <w:r w:rsidRPr="00917E22">
        <w:rPr>
          <w:rFonts w:ascii="Times New Roman" w:hAnsi="Times New Roman"/>
          <w:szCs w:val="24"/>
        </w:rPr>
        <w:t xml:space="preserve">Activities included task analyses, record-keeping studies, exploratory </w:t>
      </w:r>
      <w:r w:rsidRPr="00917E22" w:rsidR="00FE0B22">
        <w:rPr>
          <w:rFonts w:ascii="Times New Roman" w:hAnsi="Times New Roman"/>
          <w:szCs w:val="24"/>
        </w:rPr>
        <w:t>early-stage</w:t>
      </w:r>
      <w:r w:rsidRPr="00917E22">
        <w:rPr>
          <w:rFonts w:ascii="Times New Roman" w:hAnsi="Times New Roman"/>
          <w:szCs w:val="24"/>
        </w:rPr>
        <w:t xml:space="preserve"> scoping interviews, cognitive testing, usability testing, analyses of electronic paradata, respondent debriefings, and field tests, along with early implementation of designs within other Census Bureau establishment surveys, such as the annual Company Organization Survey (</w:t>
      </w:r>
      <w:r w:rsidRPr="00917E22" w:rsidR="00FC4BF7">
        <w:rPr>
          <w:rFonts w:ascii="Times New Roman" w:hAnsi="Times New Roman"/>
          <w:szCs w:val="24"/>
        </w:rPr>
        <w:t xml:space="preserve">COS </w:t>
      </w:r>
      <w:r w:rsidRPr="00917E22">
        <w:rPr>
          <w:rFonts w:ascii="Times New Roman" w:hAnsi="Times New Roman"/>
          <w:szCs w:val="24"/>
        </w:rPr>
        <w:t>a</w:t>
      </w:r>
      <w:r w:rsidR="00F977BE">
        <w:rPr>
          <w:rFonts w:ascii="Times New Roman" w:hAnsi="Times New Roman"/>
          <w:szCs w:val="24"/>
        </w:rPr>
        <w:t>.</w:t>
      </w:r>
      <w:r w:rsidRPr="00917E22">
        <w:rPr>
          <w:rFonts w:ascii="Times New Roman" w:hAnsi="Times New Roman"/>
          <w:szCs w:val="24"/>
        </w:rPr>
        <w:t>k</w:t>
      </w:r>
      <w:r w:rsidR="00F977BE">
        <w:rPr>
          <w:rFonts w:ascii="Times New Roman" w:hAnsi="Times New Roman"/>
          <w:szCs w:val="24"/>
        </w:rPr>
        <w:t>.</w:t>
      </w:r>
      <w:r w:rsidRPr="00917E22">
        <w:rPr>
          <w:rFonts w:ascii="Times New Roman" w:hAnsi="Times New Roman"/>
          <w:szCs w:val="24"/>
        </w:rPr>
        <w:t>a</w:t>
      </w:r>
      <w:r w:rsidR="00F977BE">
        <w:rPr>
          <w:rFonts w:ascii="Times New Roman" w:hAnsi="Times New Roman"/>
          <w:szCs w:val="24"/>
        </w:rPr>
        <w:t>.</w:t>
      </w:r>
      <w:r w:rsidRPr="00917E22">
        <w:rPr>
          <w:rFonts w:ascii="Times New Roman" w:hAnsi="Times New Roman"/>
          <w:szCs w:val="24"/>
        </w:rPr>
        <w:t xml:space="preserve"> Report of Organization)</w:t>
      </w:r>
      <w:r w:rsidR="00F60D64">
        <w:rPr>
          <w:rFonts w:ascii="Times New Roman" w:hAnsi="Times New Roman"/>
          <w:szCs w:val="24"/>
        </w:rPr>
        <w:t xml:space="preserve"> (OMB </w:t>
      </w:r>
      <w:r w:rsidRPr="00F60D64" w:rsidR="00F60D64">
        <w:rPr>
          <w:rFonts w:ascii="Times New Roman" w:hAnsi="Times New Roman"/>
          <w:szCs w:val="24"/>
        </w:rPr>
        <w:t>Control No. 0607-0444</w:t>
      </w:r>
      <w:r w:rsidR="00F60D64">
        <w:rPr>
          <w:rFonts w:ascii="Times New Roman" w:hAnsi="Times New Roman"/>
          <w:szCs w:val="24"/>
        </w:rPr>
        <w:t>)</w:t>
      </w:r>
      <w:r w:rsidRPr="00917E22" w:rsidR="00EB0BDB">
        <w:rPr>
          <w:rFonts w:ascii="Times New Roman" w:hAnsi="Times New Roman"/>
          <w:szCs w:val="24"/>
        </w:rPr>
        <w:t>,</w:t>
      </w:r>
      <w:r w:rsidRPr="00917E22">
        <w:rPr>
          <w:rFonts w:ascii="Times New Roman" w:hAnsi="Times New Roman"/>
          <w:szCs w:val="24"/>
        </w:rPr>
        <w:t xml:space="preserve"> the Annual Survey of Manufactures</w:t>
      </w:r>
      <w:r w:rsidRPr="00917E22" w:rsidR="00FC4BF7">
        <w:rPr>
          <w:rFonts w:ascii="Times New Roman" w:hAnsi="Times New Roman"/>
          <w:szCs w:val="24"/>
        </w:rPr>
        <w:t xml:space="preserve"> (ASM)</w:t>
      </w:r>
      <w:r w:rsidR="00F60D64">
        <w:rPr>
          <w:rFonts w:ascii="Times New Roman" w:hAnsi="Times New Roman"/>
          <w:szCs w:val="24"/>
        </w:rPr>
        <w:t xml:space="preserve"> (OMB </w:t>
      </w:r>
      <w:r w:rsidRPr="00F60D64" w:rsidR="00F60D64">
        <w:rPr>
          <w:rFonts w:ascii="Times New Roman" w:hAnsi="Times New Roman"/>
          <w:szCs w:val="24"/>
        </w:rPr>
        <w:t>Control No. 0607-0449</w:t>
      </w:r>
      <w:r w:rsidR="00F60D64">
        <w:rPr>
          <w:rFonts w:ascii="Times New Roman" w:hAnsi="Times New Roman"/>
          <w:szCs w:val="24"/>
        </w:rPr>
        <w:t>)</w:t>
      </w:r>
      <w:r w:rsidRPr="00917E22" w:rsidR="00EB0BDB">
        <w:rPr>
          <w:rFonts w:ascii="Times New Roman" w:hAnsi="Times New Roman"/>
          <w:szCs w:val="24"/>
        </w:rPr>
        <w:t>, and the 2021 Industry Classification (Refile)</w:t>
      </w:r>
      <w:r w:rsidR="00F60D64">
        <w:rPr>
          <w:rFonts w:ascii="Times New Roman" w:hAnsi="Times New Roman"/>
          <w:szCs w:val="24"/>
        </w:rPr>
        <w:t xml:space="preserve"> (OMB </w:t>
      </w:r>
      <w:r w:rsidRPr="00F60D64" w:rsidR="00F60D64">
        <w:rPr>
          <w:rFonts w:ascii="Times New Roman" w:hAnsi="Times New Roman"/>
          <w:szCs w:val="24"/>
        </w:rPr>
        <w:t>Control No. 0607-0189</w:t>
      </w:r>
      <w:r w:rsidR="00F60D64">
        <w:rPr>
          <w:rFonts w:ascii="Times New Roman" w:hAnsi="Times New Roman"/>
          <w:szCs w:val="24"/>
        </w:rPr>
        <w:t>)</w:t>
      </w:r>
      <w:r w:rsidRPr="00917E22">
        <w:rPr>
          <w:rFonts w:ascii="Times New Roman" w:hAnsi="Times New Roman"/>
          <w:szCs w:val="24"/>
        </w:rPr>
        <w:t xml:space="preserve">. Different research components, in turn, focused on different subpopulations, different instrument components, or different question(naire) content, and results and recommendations were used to aid design decisions.  </w:t>
      </w:r>
    </w:p>
    <w:p w:rsidRPr="00917E22" w:rsidR="00FC4BF7" w:rsidP="00FF04A1" w:rsidRDefault="00FC4BF7" w14:paraId="23F67F15" w14:textId="77777777">
      <w:pPr>
        <w:ind w:left="360"/>
        <w:rPr>
          <w:rFonts w:ascii="Times New Roman" w:hAnsi="Times New Roman"/>
          <w:szCs w:val="24"/>
        </w:rPr>
      </w:pPr>
    </w:p>
    <w:p w:rsidR="00FC4BF7" w:rsidP="00FC4BF7" w:rsidRDefault="00FC4BF7" w14:paraId="427606E5" w14:textId="7EF7C550">
      <w:pPr>
        <w:ind w:left="360"/>
        <w:rPr>
          <w:rFonts w:ascii="Times New Roman" w:hAnsi="Times New Roman"/>
          <w:szCs w:val="24"/>
        </w:rPr>
      </w:pPr>
      <w:r w:rsidRPr="00917E22">
        <w:rPr>
          <w:rFonts w:ascii="Times New Roman" w:hAnsi="Times New Roman"/>
          <w:szCs w:val="24"/>
        </w:rPr>
        <w:t>Of note is the use of the annual ASM/COS as a testing and proving ground for many new techniques planned for the Economic Census, as these two surveys collect data at the establishment level like the Economic Census. This began by conducting debriefing interviews with ASM/COS respondents to identify strengths and weaknesses of the online Centurion instrument.</w:t>
      </w:r>
    </w:p>
    <w:p w:rsidR="00DA2D7B" w:rsidP="00FC4BF7" w:rsidRDefault="00DA2D7B" w14:paraId="0BB08794" w14:textId="0E4DFB88">
      <w:pPr>
        <w:ind w:left="360"/>
        <w:rPr>
          <w:rFonts w:ascii="Times New Roman" w:hAnsi="Times New Roman"/>
          <w:szCs w:val="24"/>
        </w:rPr>
      </w:pPr>
    </w:p>
    <w:p w:rsidRPr="00DA2D7B" w:rsidR="00DA2D7B" w:rsidP="00FC4BF7" w:rsidRDefault="00C03ABE" w14:paraId="60B73DD0" w14:textId="749BDE88">
      <w:pPr>
        <w:ind w:left="360"/>
        <w:rPr>
          <w:rFonts w:ascii="Times New Roman" w:hAnsi="Times New Roman"/>
          <w:szCs w:val="24"/>
        </w:rPr>
      </w:pPr>
      <w:r>
        <w:rPr>
          <w:rFonts w:ascii="Times New Roman" w:hAnsi="Times New Roman"/>
          <w:color w:val="000000"/>
          <w:bdr w:val="none" w:color="auto" w:sz="0" w:space="0" w:frame="1"/>
          <w:shd w:val="clear" w:color="auto" w:fill="FFFFFF"/>
        </w:rPr>
        <w:t>T</w:t>
      </w:r>
      <w:r w:rsidRPr="0027415D" w:rsidR="00DA2D7B">
        <w:rPr>
          <w:rFonts w:ascii="Times New Roman" w:hAnsi="Times New Roman"/>
          <w:color w:val="000000"/>
          <w:bdr w:val="none" w:color="auto" w:sz="0" w:space="0" w:frame="1"/>
          <w:shd w:val="clear" w:color="auto" w:fill="FFFFFF"/>
        </w:rPr>
        <w:t>est</w:t>
      </w:r>
      <w:r>
        <w:rPr>
          <w:rFonts w:ascii="Times New Roman" w:hAnsi="Times New Roman"/>
          <w:color w:val="000000"/>
          <w:bdr w:val="none" w:color="auto" w:sz="0" w:space="0" w:frame="1"/>
          <w:shd w:val="clear" w:color="auto" w:fill="FFFFFF"/>
        </w:rPr>
        <w:t>ing was done on</w:t>
      </w:r>
      <w:r w:rsidRPr="0027415D" w:rsidR="00DA2D7B">
        <w:rPr>
          <w:rFonts w:ascii="Times New Roman" w:hAnsi="Times New Roman"/>
          <w:color w:val="000000"/>
          <w:bdr w:val="none" w:color="auto" w:sz="0" w:space="0" w:frame="1"/>
          <w:shd w:val="clear" w:color="auto" w:fill="FFFFFF"/>
        </w:rPr>
        <w:t xml:space="preserve"> the new machine learning </w:t>
      </w:r>
      <w:r w:rsidR="003A4584">
        <w:rPr>
          <w:rFonts w:ascii="Times New Roman" w:hAnsi="Times New Roman"/>
          <w:color w:val="000000"/>
          <w:bdr w:val="none" w:color="auto" w:sz="0" w:space="0" w:frame="1"/>
          <w:shd w:val="clear" w:color="auto" w:fill="FFFFFF"/>
        </w:rPr>
        <w:t xml:space="preserve">and natural language processing </w:t>
      </w:r>
      <w:r w:rsidRPr="0027415D" w:rsidR="00DA2D7B">
        <w:rPr>
          <w:rFonts w:ascii="Times New Roman" w:hAnsi="Times New Roman"/>
          <w:color w:val="000000"/>
          <w:bdr w:val="none" w:color="auto" w:sz="0" w:space="0" w:frame="1"/>
          <w:shd w:val="clear" w:color="auto" w:fill="FFFFFF"/>
        </w:rPr>
        <w:t xml:space="preserve">searches </w:t>
      </w:r>
      <w:r w:rsidR="000A0397">
        <w:rPr>
          <w:rFonts w:ascii="Times New Roman" w:hAnsi="Times New Roman"/>
          <w:color w:val="000000"/>
          <w:bdr w:val="none" w:color="auto" w:sz="0" w:space="0" w:frame="1"/>
          <w:shd w:val="clear" w:color="auto" w:fill="FFFFFF"/>
        </w:rPr>
        <w:t xml:space="preserve">developed </w:t>
      </w:r>
      <w:r w:rsidRPr="0027415D" w:rsidR="00DA2D7B">
        <w:rPr>
          <w:rFonts w:ascii="Times New Roman" w:hAnsi="Times New Roman"/>
          <w:color w:val="000000"/>
          <w:bdr w:val="none" w:color="auto" w:sz="0" w:space="0" w:frame="1"/>
          <w:shd w:val="clear" w:color="auto" w:fill="FFFFFF"/>
        </w:rPr>
        <w:t>for respondents to search and select their Primary Business/Activity and NAPCS product/services that are not prelisted in the 2021 Industry Classification (Refile) field test instrument</w:t>
      </w:r>
      <w:r w:rsidR="000A0397">
        <w:rPr>
          <w:rFonts w:ascii="Times New Roman" w:hAnsi="Times New Roman"/>
          <w:color w:val="000000"/>
          <w:bdr w:val="none" w:color="auto" w:sz="0" w:space="0" w:frame="1"/>
          <w:shd w:val="clear" w:color="auto" w:fill="FFFFFF"/>
        </w:rPr>
        <w:t xml:space="preserve"> </w:t>
      </w:r>
      <w:r w:rsidRPr="0027415D" w:rsidR="00DA2D7B">
        <w:rPr>
          <w:rFonts w:ascii="Times New Roman" w:hAnsi="Times New Roman"/>
          <w:color w:val="000000"/>
          <w:bdr w:val="none" w:color="auto" w:sz="0" w:space="0" w:frame="1"/>
          <w:shd w:val="clear" w:color="auto" w:fill="FFFFFF"/>
        </w:rPr>
        <w:t>mailed in October 2021. For a sample of respondents, we provided web probe questions so that the respondents could describe their experiences with the machine learning</w:t>
      </w:r>
      <w:r w:rsidR="003A4584">
        <w:rPr>
          <w:rFonts w:ascii="Times New Roman" w:hAnsi="Times New Roman"/>
          <w:color w:val="000000"/>
          <w:bdr w:val="none" w:color="auto" w:sz="0" w:space="0" w:frame="1"/>
          <w:shd w:val="clear" w:color="auto" w:fill="FFFFFF"/>
        </w:rPr>
        <w:t>/natural language processing</w:t>
      </w:r>
      <w:r w:rsidRPr="0027415D" w:rsidR="00DA2D7B">
        <w:rPr>
          <w:rFonts w:ascii="Times New Roman" w:hAnsi="Times New Roman"/>
          <w:color w:val="000000"/>
          <w:bdr w:val="none" w:color="auto" w:sz="0" w:space="0" w:frame="1"/>
          <w:shd w:val="clear" w:color="auto" w:fill="FFFFFF"/>
        </w:rPr>
        <w:t xml:space="preserve"> questions. </w:t>
      </w:r>
      <w:r>
        <w:rPr>
          <w:rFonts w:ascii="Times New Roman" w:hAnsi="Times New Roman"/>
          <w:color w:val="000000"/>
          <w:bdr w:val="none" w:color="auto" w:sz="0" w:space="0" w:frame="1"/>
          <w:shd w:val="clear" w:color="auto" w:fill="FFFFFF"/>
        </w:rPr>
        <w:t>R</w:t>
      </w:r>
      <w:r w:rsidRPr="0027415D" w:rsidR="00DA2D7B">
        <w:rPr>
          <w:rFonts w:ascii="Times New Roman" w:hAnsi="Times New Roman"/>
          <w:color w:val="000000"/>
          <w:bdr w:val="none" w:color="auto" w:sz="0" w:space="0" w:frame="1"/>
          <w:shd w:val="clear" w:color="auto" w:fill="FFFFFF"/>
        </w:rPr>
        <w:t xml:space="preserve">esearch staff </w:t>
      </w:r>
      <w:r w:rsidR="005E1EBA">
        <w:rPr>
          <w:rFonts w:ascii="Times New Roman" w:hAnsi="Times New Roman"/>
          <w:color w:val="000000"/>
          <w:bdr w:val="none" w:color="auto" w:sz="0" w:space="0" w:frame="1"/>
          <w:shd w:val="clear" w:color="auto" w:fill="FFFFFF"/>
        </w:rPr>
        <w:t>are</w:t>
      </w:r>
      <w:r w:rsidRPr="0027415D" w:rsidR="005E1EBA">
        <w:rPr>
          <w:rFonts w:ascii="Times New Roman" w:hAnsi="Times New Roman"/>
          <w:color w:val="000000"/>
          <w:bdr w:val="none" w:color="auto" w:sz="0" w:space="0" w:frame="1"/>
          <w:shd w:val="clear" w:color="auto" w:fill="FFFFFF"/>
        </w:rPr>
        <w:t xml:space="preserve"> </w:t>
      </w:r>
      <w:r w:rsidRPr="0027415D" w:rsidR="00DA2D7B">
        <w:rPr>
          <w:rFonts w:ascii="Times New Roman" w:hAnsi="Times New Roman"/>
          <w:color w:val="000000"/>
          <w:bdr w:val="none" w:color="auto" w:sz="0" w:space="0" w:frame="1"/>
          <w:shd w:val="clear" w:color="auto" w:fill="FFFFFF"/>
        </w:rPr>
        <w:t>conducting debriefings with respondents, and we are analyzing respondent submissions and paradata. We use</w:t>
      </w:r>
      <w:r w:rsidR="003A4584">
        <w:rPr>
          <w:rFonts w:ascii="Times New Roman" w:hAnsi="Times New Roman"/>
          <w:color w:val="000000"/>
          <w:bdr w:val="none" w:color="auto" w:sz="0" w:space="0" w:frame="1"/>
          <w:shd w:val="clear" w:color="auto" w:fill="FFFFFF"/>
        </w:rPr>
        <w:t>d</w:t>
      </w:r>
      <w:r w:rsidRPr="0027415D" w:rsidR="00DA2D7B">
        <w:rPr>
          <w:rFonts w:ascii="Times New Roman" w:hAnsi="Times New Roman"/>
          <w:color w:val="000000"/>
          <w:bdr w:val="none" w:color="auto" w:sz="0" w:space="0" w:frame="1"/>
          <w:shd w:val="clear" w:color="auto" w:fill="FFFFFF"/>
        </w:rPr>
        <w:t xml:space="preserve"> this research and analysis to improve the machine learning</w:t>
      </w:r>
      <w:r w:rsidR="003A4584">
        <w:rPr>
          <w:rFonts w:ascii="Times New Roman" w:hAnsi="Times New Roman"/>
          <w:color w:val="000000"/>
          <w:bdr w:val="none" w:color="auto" w:sz="0" w:space="0" w:frame="1"/>
          <w:shd w:val="clear" w:color="auto" w:fill="FFFFFF"/>
        </w:rPr>
        <w:t>/natural language processing</w:t>
      </w:r>
      <w:r w:rsidRPr="0027415D" w:rsidR="00DA2D7B">
        <w:rPr>
          <w:rFonts w:ascii="Times New Roman" w:hAnsi="Times New Roman"/>
          <w:color w:val="000000"/>
          <w:bdr w:val="none" w:color="auto" w:sz="0" w:space="0" w:frame="1"/>
          <w:shd w:val="clear" w:color="auto" w:fill="FFFFFF"/>
        </w:rPr>
        <w:t xml:space="preserve"> searches for respondents prior to their use in the 2022 Economic Census Classification mailout in October 2022 and 2022 Economic Census </w:t>
      </w:r>
      <w:r w:rsidR="005E1EBA">
        <w:rPr>
          <w:rFonts w:ascii="Times New Roman" w:hAnsi="Times New Roman"/>
          <w:color w:val="000000"/>
          <w:bdr w:val="none" w:color="auto" w:sz="0" w:space="0" w:frame="1"/>
          <w:shd w:val="clear" w:color="auto" w:fill="FFFFFF"/>
        </w:rPr>
        <w:t>m</w:t>
      </w:r>
      <w:r w:rsidRPr="0027415D" w:rsidR="00DA2D7B">
        <w:rPr>
          <w:rFonts w:ascii="Times New Roman" w:hAnsi="Times New Roman"/>
          <w:color w:val="000000"/>
          <w:bdr w:val="none" w:color="auto" w:sz="0" w:space="0" w:frame="1"/>
          <w:shd w:val="clear" w:color="auto" w:fill="FFFFFF"/>
        </w:rPr>
        <w:t xml:space="preserve">ain </w:t>
      </w:r>
      <w:r w:rsidR="005E1EBA">
        <w:rPr>
          <w:rFonts w:ascii="Times New Roman" w:hAnsi="Times New Roman"/>
          <w:color w:val="000000"/>
          <w:bdr w:val="none" w:color="auto" w:sz="0" w:space="0" w:frame="1"/>
          <w:shd w:val="clear" w:color="auto" w:fill="FFFFFF"/>
        </w:rPr>
        <w:t>m</w:t>
      </w:r>
      <w:r w:rsidRPr="0027415D" w:rsidR="00DA2D7B">
        <w:rPr>
          <w:rFonts w:ascii="Times New Roman" w:hAnsi="Times New Roman"/>
          <w:color w:val="000000"/>
          <w:bdr w:val="none" w:color="auto" w:sz="0" w:space="0" w:frame="1"/>
          <w:shd w:val="clear" w:color="auto" w:fill="FFFFFF"/>
        </w:rPr>
        <w:t>ailing in January 2023. </w:t>
      </w:r>
    </w:p>
    <w:p w:rsidRPr="00917E22" w:rsidR="00AF272B" w:rsidP="00FC4BF7" w:rsidRDefault="00AF272B" w14:paraId="3FE1AD20" w14:textId="3F69700B">
      <w:pPr>
        <w:rPr>
          <w:rFonts w:ascii="Times New Roman" w:hAnsi="Times New Roman"/>
          <w:szCs w:val="24"/>
        </w:rPr>
      </w:pPr>
    </w:p>
    <w:p w:rsidRPr="00917E22" w:rsidR="00AF272B" w:rsidP="00FF04A1" w:rsidRDefault="00AF272B" w14:paraId="4FBB759F" w14:textId="0F0F7F4D">
      <w:pPr>
        <w:ind w:left="360"/>
        <w:rPr>
          <w:rFonts w:ascii="Times New Roman" w:hAnsi="Times New Roman"/>
          <w:szCs w:val="24"/>
        </w:rPr>
      </w:pPr>
      <w:r w:rsidRPr="00917E22">
        <w:rPr>
          <w:rFonts w:ascii="Times New Roman" w:hAnsi="Times New Roman"/>
          <w:szCs w:val="24"/>
        </w:rPr>
        <w:t>Results and recommendations from each component and testing activity were provided to subject matter specialists, managers and developers of data collection procedures, and software developers and programmers. Recommendations were prioritized, negotiated, and revised, as necessary, to facilitate implementation. Nevertheless, some recommendations were not fully adopted due to resource and technical limitations.</w:t>
      </w:r>
    </w:p>
    <w:p w:rsidRPr="00917E22" w:rsidR="00AF272B" w:rsidP="00FF04A1" w:rsidRDefault="00AF272B" w14:paraId="659C3C29" w14:textId="77777777">
      <w:pPr>
        <w:ind w:left="360"/>
        <w:rPr>
          <w:rFonts w:ascii="Times New Roman" w:hAnsi="Times New Roman"/>
          <w:szCs w:val="24"/>
        </w:rPr>
      </w:pPr>
    </w:p>
    <w:p w:rsidRPr="00917E22" w:rsidR="00AF272B" w:rsidP="00FF04A1" w:rsidRDefault="00AF272B" w14:paraId="35BCE436" w14:textId="77777777">
      <w:pPr>
        <w:ind w:left="360"/>
        <w:rPr>
          <w:rFonts w:ascii="Times New Roman" w:hAnsi="Times New Roman"/>
          <w:szCs w:val="24"/>
        </w:rPr>
      </w:pPr>
      <w:r w:rsidRPr="00917E22">
        <w:rPr>
          <w:rFonts w:ascii="Times New Roman" w:hAnsi="Times New Roman"/>
          <w:szCs w:val="24"/>
        </w:rPr>
        <w:t xml:space="preserve">All studies are documented in internal Census Bureau reports; a few of the studies are also reported publicly in conference papers or presentations. </w:t>
      </w:r>
    </w:p>
    <w:p w:rsidRPr="00917E22" w:rsidR="00AF272B" w:rsidP="00FF04A1" w:rsidRDefault="00AF272B" w14:paraId="2A8BB400" w14:textId="77777777">
      <w:pPr>
        <w:ind w:left="360"/>
        <w:rPr>
          <w:rFonts w:ascii="Times New Roman" w:hAnsi="Times New Roman"/>
          <w:szCs w:val="24"/>
        </w:rPr>
      </w:pPr>
    </w:p>
    <w:p w:rsidRPr="00917E22" w:rsidR="00AF272B" w:rsidP="00FF04A1" w:rsidRDefault="00AF272B" w14:paraId="4C85294F" w14:textId="08E42A8E">
      <w:pPr>
        <w:ind w:left="360"/>
        <w:rPr>
          <w:rFonts w:ascii="Times New Roman" w:hAnsi="Times New Roman"/>
          <w:szCs w:val="24"/>
        </w:rPr>
      </w:pPr>
      <w:r w:rsidRPr="00917E22">
        <w:rPr>
          <w:rFonts w:ascii="Times New Roman" w:hAnsi="Times New Roman"/>
          <w:szCs w:val="24"/>
        </w:rPr>
        <w:t>Components of the research and testing, along with selected highlights</w:t>
      </w:r>
      <w:r w:rsidRPr="00917E22" w:rsidR="00395ADE">
        <w:rPr>
          <w:rFonts w:ascii="Times New Roman" w:hAnsi="Times New Roman"/>
          <w:szCs w:val="24"/>
        </w:rPr>
        <w:t xml:space="preserve"> are summarized in Attachment </w:t>
      </w:r>
      <w:r w:rsidR="00FD5C6A">
        <w:rPr>
          <w:rFonts w:ascii="Times New Roman" w:hAnsi="Times New Roman"/>
          <w:szCs w:val="24"/>
        </w:rPr>
        <w:t>J</w:t>
      </w:r>
      <w:r w:rsidRPr="00917E22" w:rsidR="00395ADE">
        <w:rPr>
          <w:rFonts w:ascii="Times New Roman" w:hAnsi="Times New Roman"/>
          <w:szCs w:val="24"/>
        </w:rPr>
        <w:t>.</w:t>
      </w:r>
    </w:p>
    <w:p w:rsidRPr="00917E22" w:rsidR="00AF272B" w:rsidP="00FF04A1" w:rsidRDefault="00AF272B" w14:paraId="2B8E9637" w14:textId="77777777">
      <w:pPr>
        <w:ind w:left="360"/>
        <w:rPr>
          <w:rFonts w:ascii="Times New Roman" w:hAnsi="Times New Roman"/>
          <w:szCs w:val="24"/>
        </w:rPr>
      </w:pPr>
    </w:p>
    <w:p w:rsidRPr="006744AF" w:rsidR="003C4E66" w:rsidP="00FF04A1" w:rsidRDefault="003C4E66" w14:paraId="18257FA5" w14:textId="77777777">
      <w:pPr>
        <w:ind w:left="360"/>
        <w:rPr>
          <w:rFonts w:ascii="Times New Roman" w:hAnsi="Times New Roman"/>
          <w:iCs/>
          <w:u w:val="single"/>
        </w:rPr>
      </w:pPr>
      <w:r w:rsidRPr="006744AF">
        <w:rPr>
          <w:rFonts w:ascii="Times New Roman" w:hAnsi="Times New Roman"/>
          <w:iCs/>
          <w:u w:val="single"/>
        </w:rPr>
        <w:t>Testing of Contact Strategies</w:t>
      </w:r>
    </w:p>
    <w:p w:rsidRPr="00917E22" w:rsidR="003C4E66" w:rsidP="00FF04A1" w:rsidRDefault="003C4E66" w14:paraId="719E913D" w14:textId="77777777">
      <w:pPr>
        <w:ind w:left="360"/>
        <w:rPr>
          <w:rFonts w:ascii="Times New Roman" w:hAnsi="Times New Roman"/>
        </w:rPr>
      </w:pPr>
    </w:p>
    <w:p w:rsidRPr="00917E22" w:rsidR="003C4E66" w:rsidP="00FF04A1" w:rsidRDefault="003C4E66" w14:paraId="6B36C91E" w14:textId="015B4533">
      <w:pPr>
        <w:ind w:left="360"/>
        <w:rPr>
          <w:rFonts w:ascii="Times New Roman" w:hAnsi="Times New Roman"/>
        </w:rPr>
      </w:pPr>
      <w:r w:rsidRPr="00917E22">
        <w:rPr>
          <w:rFonts w:ascii="Times New Roman" w:hAnsi="Times New Roman"/>
        </w:rPr>
        <w:t xml:space="preserve">To aid evidence-based decisions for data collection and response improvement contact strategies, several techniques were field-tested using </w:t>
      </w:r>
      <w:r w:rsidRPr="00917E22" w:rsidR="003328AA">
        <w:rPr>
          <w:rFonts w:ascii="Times New Roman" w:hAnsi="Times New Roman"/>
        </w:rPr>
        <w:t xml:space="preserve">pilots and </w:t>
      </w:r>
      <w:r w:rsidRPr="00917E22">
        <w:rPr>
          <w:rFonts w:ascii="Times New Roman" w:hAnsi="Times New Roman"/>
        </w:rPr>
        <w:t xml:space="preserve">statistical experimental designs embedded </w:t>
      </w:r>
      <w:r w:rsidR="003A4584">
        <w:rPr>
          <w:rFonts w:ascii="Times New Roman" w:hAnsi="Times New Roman"/>
        </w:rPr>
        <w:t xml:space="preserve">in </w:t>
      </w:r>
      <w:r w:rsidRPr="00917E22">
        <w:rPr>
          <w:rFonts w:ascii="Times New Roman" w:hAnsi="Times New Roman"/>
        </w:rPr>
        <w:t xml:space="preserve">several of the Census Bureau’s annual or quarterly economic surveys. Evaluation of the strategies considered the effect on response rates or check-in rates, improved timeliness of </w:t>
      </w:r>
      <w:r w:rsidRPr="00917E22" w:rsidR="003328AA">
        <w:rPr>
          <w:rFonts w:ascii="Times New Roman" w:hAnsi="Times New Roman"/>
        </w:rPr>
        <w:t>reported data</w:t>
      </w:r>
      <w:r w:rsidRPr="00917E22">
        <w:rPr>
          <w:rFonts w:ascii="Times New Roman" w:hAnsi="Times New Roman"/>
        </w:rPr>
        <w:t>, potential for cost savings</w:t>
      </w:r>
      <w:r w:rsidRPr="00917E22" w:rsidR="00810174">
        <w:rPr>
          <w:rFonts w:ascii="Times New Roman" w:hAnsi="Times New Roman"/>
        </w:rPr>
        <w:t>, and/or being more responsive to and supportive of our customers</w:t>
      </w:r>
      <w:r w:rsidRPr="00917E22">
        <w:rPr>
          <w:rFonts w:ascii="Times New Roman" w:hAnsi="Times New Roman"/>
        </w:rPr>
        <w:t>.</w:t>
      </w:r>
    </w:p>
    <w:p w:rsidRPr="00917E22" w:rsidR="003C4E66" w:rsidP="00FE0B22" w:rsidRDefault="003C4E66" w14:paraId="30F5CDE0" w14:textId="77777777">
      <w:pPr>
        <w:rPr>
          <w:rFonts w:ascii="Times New Roman" w:hAnsi="Times New Roman"/>
        </w:rPr>
      </w:pPr>
    </w:p>
    <w:p w:rsidRPr="00917E22" w:rsidR="003C4E66" w:rsidP="00B71354" w:rsidRDefault="003C4E66" w14:paraId="60E7D620" w14:textId="76EAF563">
      <w:pPr>
        <w:ind w:left="360"/>
        <w:rPr>
          <w:rFonts w:ascii="Times New Roman" w:hAnsi="Times New Roman"/>
        </w:rPr>
      </w:pPr>
      <w:r w:rsidRPr="00917E22">
        <w:rPr>
          <w:rFonts w:ascii="Times New Roman" w:hAnsi="Times New Roman"/>
        </w:rPr>
        <w:t xml:space="preserve">These field-tests and/or experiments, their outcomes, and implementation decisions are summarized </w:t>
      </w:r>
      <w:r w:rsidRPr="00917E22" w:rsidR="00395ADE">
        <w:rPr>
          <w:rFonts w:ascii="Times New Roman" w:hAnsi="Times New Roman"/>
        </w:rPr>
        <w:t xml:space="preserve">in Attachment </w:t>
      </w:r>
      <w:r w:rsidR="00B2298D">
        <w:rPr>
          <w:rFonts w:ascii="Times New Roman" w:hAnsi="Times New Roman"/>
        </w:rPr>
        <w:t>K</w:t>
      </w:r>
      <w:r w:rsidRPr="00917E22">
        <w:rPr>
          <w:rFonts w:ascii="Times New Roman" w:hAnsi="Times New Roman"/>
        </w:rPr>
        <w:t>.</w:t>
      </w:r>
    </w:p>
    <w:p w:rsidRPr="00917E22" w:rsidR="00E174CA" w:rsidP="00B2298D" w:rsidRDefault="00E174CA" w14:paraId="390E7BF7" w14:textId="77777777">
      <w:pPr>
        <w:rPr>
          <w:rFonts w:ascii="Times New Roman" w:hAnsi="Times New Roman"/>
        </w:rPr>
      </w:pPr>
    </w:p>
    <w:p w:rsidRPr="00917E22" w:rsidR="00E174CA" w:rsidP="00B71354" w:rsidRDefault="00E174CA" w14:paraId="7BB6939C" w14:textId="77777777">
      <w:pPr>
        <w:ind w:left="360"/>
        <w:rPr>
          <w:rFonts w:ascii="Times New Roman" w:hAnsi="Times New Roman"/>
        </w:rPr>
      </w:pPr>
    </w:p>
    <w:p w:rsidRPr="00917E22" w:rsidR="00E174CA" w:rsidP="00316115" w:rsidRDefault="00E174CA" w14:paraId="2649C28E" w14:textId="77777777">
      <w:pPr>
        <w:rPr>
          <w:rFonts w:ascii="Times New Roman" w:hAnsi="Times New Roman"/>
        </w:rPr>
      </w:pPr>
      <w:r w:rsidRPr="00917E22">
        <w:rPr>
          <w:rFonts w:ascii="Times New Roman" w:hAnsi="Times New Roman"/>
        </w:rPr>
        <w:t>5.</w:t>
      </w:r>
      <w:r w:rsidRPr="00917E22" w:rsidR="00316115">
        <w:rPr>
          <w:rFonts w:ascii="Times New Roman" w:hAnsi="Times New Roman"/>
          <w:b/>
        </w:rPr>
        <w:t xml:space="preserve">   </w:t>
      </w:r>
      <w:r w:rsidRPr="00917E22">
        <w:rPr>
          <w:rFonts w:ascii="Times New Roman" w:hAnsi="Times New Roman"/>
          <w:b/>
        </w:rPr>
        <w:t>Contacts for Statistical Aspects and Data Collection</w:t>
      </w:r>
    </w:p>
    <w:p w:rsidRPr="00917E22" w:rsidR="00E174CA" w:rsidP="00B71354" w:rsidRDefault="00E174CA" w14:paraId="76B9973A" w14:textId="77777777">
      <w:pPr>
        <w:ind w:left="360"/>
        <w:rPr>
          <w:rFonts w:ascii="Times New Roman" w:hAnsi="Times New Roman"/>
        </w:rPr>
      </w:pPr>
      <w:r w:rsidRPr="00917E22">
        <w:rPr>
          <w:rFonts w:ascii="Times New Roman" w:hAnsi="Times New Roman"/>
        </w:rPr>
        <w:tab/>
      </w:r>
    </w:p>
    <w:p w:rsidR="00FF2CD1" w:rsidP="00DE3A49" w:rsidRDefault="00E174CA" w14:paraId="546FC8EB" w14:textId="576D530C">
      <w:pPr>
        <w:ind w:left="360"/>
        <w:rPr>
          <w:rFonts w:ascii="Times New Roman" w:hAnsi="Times New Roman"/>
          <w:szCs w:val="24"/>
        </w:rPr>
      </w:pPr>
      <w:r w:rsidRPr="00917E22">
        <w:rPr>
          <w:rFonts w:ascii="Times New Roman" w:hAnsi="Times New Roman"/>
          <w:szCs w:val="24"/>
        </w:rPr>
        <w:t>The table below lists the names of the individuals responsible for the collection, analysis, and statistical methodology aspects of the 20</w:t>
      </w:r>
      <w:r w:rsidRPr="00917E22" w:rsidR="00CB0CFE">
        <w:rPr>
          <w:rFonts w:ascii="Times New Roman" w:hAnsi="Times New Roman"/>
          <w:szCs w:val="24"/>
        </w:rPr>
        <w:t>22</w:t>
      </w:r>
      <w:r w:rsidRPr="00917E22">
        <w:rPr>
          <w:rFonts w:ascii="Times New Roman" w:hAnsi="Times New Roman"/>
          <w:szCs w:val="24"/>
        </w:rPr>
        <w:t xml:space="preserve"> Economic Census.</w:t>
      </w:r>
    </w:p>
    <w:p w:rsidR="000A0397" w:rsidP="00E174CA" w:rsidRDefault="000A0397" w14:paraId="6F1A666D" w14:textId="77777777">
      <w:pPr>
        <w:ind w:firstLine="360"/>
        <w:rPr>
          <w:rFonts w:ascii="Calibri" w:hAnsi="Calibri"/>
          <w:b/>
          <w:sz w:val="22"/>
          <w:szCs w:val="22"/>
        </w:rPr>
      </w:pPr>
    </w:p>
    <w:p w:rsidRPr="00917E22" w:rsidR="00E174CA" w:rsidP="00E174CA" w:rsidRDefault="000A0397" w14:paraId="2765A11E" w14:textId="532A6834">
      <w:pPr>
        <w:ind w:firstLine="360"/>
        <w:rPr>
          <w:rFonts w:ascii="Calibri" w:hAnsi="Calibri"/>
          <w:b/>
          <w:sz w:val="22"/>
          <w:szCs w:val="22"/>
        </w:rPr>
      </w:pPr>
      <w:r>
        <w:rPr>
          <w:rFonts w:ascii="Calibri" w:hAnsi="Calibri"/>
          <w:b/>
          <w:sz w:val="22"/>
          <w:szCs w:val="22"/>
        </w:rPr>
        <w:t xml:space="preserve">   </w:t>
      </w:r>
      <w:r w:rsidRPr="00917E22" w:rsidR="00E174CA">
        <w:rPr>
          <w:rFonts w:ascii="Calibri" w:hAnsi="Calibri"/>
          <w:b/>
          <w:sz w:val="22"/>
          <w:szCs w:val="22"/>
        </w:rPr>
        <w:t>Table 5: Census Bureau Contacts for the 20</w:t>
      </w:r>
      <w:r w:rsidRPr="00917E22" w:rsidR="00CB0CFE">
        <w:rPr>
          <w:rFonts w:ascii="Calibri" w:hAnsi="Calibri"/>
          <w:b/>
          <w:sz w:val="22"/>
          <w:szCs w:val="22"/>
        </w:rPr>
        <w:t>22</w:t>
      </w:r>
      <w:r w:rsidRPr="00917E22" w:rsidR="00E174CA">
        <w:rPr>
          <w:rFonts w:ascii="Calibri" w:hAnsi="Calibri"/>
          <w:b/>
          <w:sz w:val="22"/>
          <w:szCs w:val="22"/>
        </w:rPr>
        <w:t xml:space="preserve"> Economic Census</w:t>
      </w:r>
    </w:p>
    <w:tbl>
      <w:tblPr>
        <w:tblStyle w:val="TableGrid"/>
        <w:tblW w:w="8780" w:type="dxa"/>
        <w:tblInd w:w="468" w:type="dxa"/>
        <w:tblLook w:val="04A0" w:firstRow="1" w:lastRow="0" w:firstColumn="1" w:lastColumn="0" w:noHBand="0" w:noVBand="1"/>
      </w:tblPr>
      <w:tblGrid>
        <w:gridCol w:w="1030"/>
        <w:gridCol w:w="2202"/>
        <w:gridCol w:w="3025"/>
        <w:gridCol w:w="1115"/>
        <w:gridCol w:w="1408"/>
      </w:tblGrid>
      <w:tr w:rsidRPr="00917E22" w:rsidR="00F031EB" w:rsidTr="002D6DDB" w14:paraId="135EF3B8" w14:textId="77777777">
        <w:trPr>
          <w:trHeight w:val="232"/>
        </w:trPr>
        <w:tc>
          <w:tcPr>
            <w:tcW w:w="1035" w:type="dxa"/>
            <w:tcBorders>
              <w:bottom w:val="double" w:color="auto" w:sz="4" w:space="0"/>
            </w:tcBorders>
            <w:shd w:val="clear" w:color="auto" w:fill="F2F2F2" w:themeFill="background1" w:themeFillShade="F2"/>
          </w:tcPr>
          <w:p w:rsidRPr="00917E22" w:rsidR="005A0366" w:rsidP="008F2FBA" w:rsidRDefault="005A0366" w14:paraId="00E2C4CF" w14:textId="77777777">
            <w:pPr>
              <w:jc w:val="center"/>
              <w:rPr>
                <w:rFonts w:ascii="Calibri" w:hAnsi="Calibri"/>
                <w:b/>
                <w:sz w:val="20"/>
              </w:rPr>
            </w:pPr>
            <w:r w:rsidRPr="00917E22">
              <w:rPr>
                <w:rFonts w:ascii="Calibri" w:hAnsi="Calibri"/>
                <w:b/>
                <w:sz w:val="20"/>
              </w:rPr>
              <w:t>Contact</w:t>
            </w:r>
          </w:p>
        </w:tc>
        <w:tc>
          <w:tcPr>
            <w:tcW w:w="2383" w:type="dxa"/>
            <w:tcBorders>
              <w:bottom w:val="double" w:color="auto" w:sz="4" w:space="0"/>
            </w:tcBorders>
            <w:shd w:val="clear" w:color="auto" w:fill="F2F2F2" w:themeFill="background1" w:themeFillShade="F2"/>
          </w:tcPr>
          <w:p w:rsidRPr="00917E22" w:rsidR="005A0366" w:rsidP="008F2FBA" w:rsidRDefault="005A0366" w14:paraId="16A4E290" w14:textId="77777777">
            <w:pPr>
              <w:jc w:val="center"/>
              <w:rPr>
                <w:rFonts w:ascii="Calibri" w:hAnsi="Calibri"/>
                <w:b/>
                <w:sz w:val="20"/>
              </w:rPr>
            </w:pPr>
            <w:r w:rsidRPr="00917E22">
              <w:rPr>
                <w:rFonts w:ascii="Calibri" w:hAnsi="Calibri"/>
                <w:b/>
                <w:sz w:val="20"/>
              </w:rPr>
              <w:t>Position</w:t>
            </w:r>
          </w:p>
        </w:tc>
        <w:tc>
          <w:tcPr>
            <w:tcW w:w="2757" w:type="dxa"/>
            <w:tcBorders>
              <w:bottom w:val="double" w:color="auto" w:sz="4" w:space="0"/>
            </w:tcBorders>
            <w:shd w:val="clear" w:color="auto" w:fill="F2F2F2" w:themeFill="background1" w:themeFillShade="F2"/>
          </w:tcPr>
          <w:p w:rsidRPr="00917E22" w:rsidR="005A0366" w:rsidP="008F2FBA" w:rsidRDefault="005A0366" w14:paraId="51654B77" w14:textId="01BB6F67">
            <w:pPr>
              <w:jc w:val="center"/>
              <w:rPr>
                <w:rFonts w:ascii="Calibri" w:hAnsi="Calibri"/>
                <w:b/>
                <w:sz w:val="20"/>
              </w:rPr>
            </w:pPr>
            <w:r>
              <w:rPr>
                <w:rFonts w:ascii="Calibri" w:hAnsi="Calibri"/>
                <w:b/>
                <w:sz w:val="20"/>
              </w:rPr>
              <w:t>Email</w:t>
            </w:r>
          </w:p>
        </w:tc>
        <w:tc>
          <w:tcPr>
            <w:tcW w:w="1191" w:type="dxa"/>
            <w:tcBorders>
              <w:bottom w:val="double" w:color="auto" w:sz="4" w:space="0"/>
            </w:tcBorders>
            <w:shd w:val="clear" w:color="auto" w:fill="F2F2F2" w:themeFill="background1" w:themeFillShade="F2"/>
          </w:tcPr>
          <w:p w:rsidRPr="00917E22" w:rsidR="005A0366" w:rsidP="008F2FBA" w:rsidRDefault="005A0366" w14:paraId="4E946BFB" w14:textId="2B4356CA">
            <w:pPr>
              <w:jc w:val="center"/>
              <w:rPr>
                <w:rFonts w:ascii="Calibri" w:hAnsi="Calibri"/>
                <w:b/>
                <w:sz w:val="20"/>
              </w:rPr>
            </w:pPr>
            <w:r w:rsidRPr="00917E22">
              <w:rPr>
                <w:rFonts w:ascii="Calibri" w:hAnsi="Calibri"/>
                <w:b/>
                <w:sz w:val="20"/>
              </w:rPr>
              <w:t>Phone</w:t>
            </w:r>
          </w:p>
        </w:tc>
        <w:tc>
          <w:tcPr>
            <w:tcW w:w="1414" w:type="dxa"/>
            <w:tcBorders>
              <w:bottom w:val="double" w:color="auto" w:sz="4" w:space="0"/>
            </w:tcBorders>
            <w:shd w:val="clear" w:color="auto" w:fill="F2F2F2" w:themeFill="background1" w:themeFillShade="F2"/>
          </w:tcPr>
          <w:p w:rsidRPr="00917E22" w:rsidR="005A0366" w:rsidP="008F2FBA" w:rsidRDefault="005A0366" w14:paraId="2EFF4DF8" w14:textId="77777777">
            <w:pPr>
              <w:jc w:val="center"/>
              <w:rPr>
                <w:rFonts w:ascii="Calibri" w:hAnsi="Calibri"/>
                <w:b/>
                <w:sz w:val="20"/>
              </w:rPr>
            </w:pPr>
            <w:r w:rsidRPr="00917E22">
              <w:rPr>
                <w:rFonts w:ascii="Calibri" w:hAnsi="Calibri"/>
                <w:b/>
                <w:sz w:val="20"/>
              </w:rPr>
              <w:t>Responsibility</w:t>
            </w:r>
          </w:p>
        </w:tc>
      </w:tr>
      <w:tr w:rsidRPr="00917E22" w:rsidR="005A0366" w:rsidTr="002D6DDB" w14:paraId="5E5B7CC6" w14:textId="77777777">
        <w:trPr>
          <w:trHeight w:val="1171"/>
        </w:trPr>
        <w:tc>
          <w:tcPr>
            <w:tcW w:w="1035" w:type="dxa"/>
            <w:tcBorders>
              <w:top w:val="double" w:color="auto" w:sz="4" w:space="0"/>
            </w:tcBorders>
          </w:tcPr>
          <w:p w:rsidRPr="00917E22" w:rsidR="005A0366" w:rsidP="008F2FBA" w:rsidRDefault="005A0366" w14:paraId="3CB89E67" w14:textId="77777777">
            <w:pPr>
              <w:rPr>
                <w:rFonts w:ascii="Calibri" w:hAnsi="Calibri"/>
                <w:sz w:val="20"/>
              </w:rPr>
            </w:pPr>
            <w:r w:rsidRPr="00917E22">
              <w:rPr>
                <w:rFonts w:ascii="Calibri" w:hAnsi="Calibri"/>
                <w:sz w:val="20"/>
              </w:rPr>
              <w:t>William C. Davie, Jr</w:t>
            </w:r>
          </w:p>
        </w:tc>
        <w:tc>
          <w:tcPr>
            <w:tcW w:w="2383" w:type="dxa"/>
            <w:tcBorders>
              <w:top w:val="double" w:color="auto" w:sz="4" w:space="0"/>
            </w:tcBorders>
          </w:tcPr>
          <w:p w:rsidRPr="00917E22" w:rsidR="005A0366" w:rsidP="008F2FBA" w:rsidRDefault="005A0366" w14:paraId="11A1B6FA" w14:textId="77777777">
            <w:pPr>
              <w:rPr>
                <w:rFonts w:ascii="Calibri" w:hAnsi="Calibri"/>
                <w:sz w:val="20"/>
              </w:rPr>
            </w:pPr>
            <w:r w:rsidRPr="00917E22">
              <w:rPr>
                <w:rFonts w:ascii="Calibri" w:hAnsi="Calibri"/>
                <w:sz w:val="20"/>
              </w:rPr>
              <w:t>Methodology Director for the Business Register, Economic Census &amp; Related Surveys, Economic Statistical Methods Division</w:t>
            </w:r>
          </w:p>
        </w:tc>
        <w:tc>
          <w:tcPr>
            <w:tcW w:w="2757" w:type="dxa"/>
            <w:tcBorders>
              <w:top w:val="double" w:color="auto" w:sz="4" w:space="0"/>
            </w:tcBorders>
          </w:tcPr>
          <w:p w:rsidRPr="00917E22" w:rsidR="005A0366" w:rsidP="008F2FBA" w:rsidRDefault="005A0366" w14:paraId="2794CB8B" w14:textId="6F0AD256">
            <w:pPr>
              <w:rPr>
                <w:rFonts w:ascii="Calibri" w:hAnsi="Calibri"/>
                <w:sz w:val="20"/>
              </w:rPr>
            </w:pPr>
            <w:r>
              <w:rPr>
                <w:rFonts w:ascii="Calibri" w:hAnsi="Calibri"/>
                <w:sz w:val="20"/>
              </w:rPr>
              <w:t>william.c.davie.jr@census.gov</w:t>
            </w:r>
          </w:p>
        </w:tc>
        <w:tc>
          <w:tcPr>
            <w:tcW w:w="1191" w:type="dxa"/>
            <w:tcBorders>
              <w:top w:val="double" w:color="auto" w:sz="4" w:space="0"/>
            </w:tcBorders>
          </w:tcPr>
          <w:p w:rsidRPr="00917E22" w:rsidR="005A0366" w:rsidP="008F2FBA" w:rsidRDefault="005A0366" w14:paraId="03F55B55" w14:textId="360CE408">
            <w:pPr>
              <w:rPr>
                <w:rFonts w:ascii="Calibri" w:hAnsi="Calibri"/>
                <w:sz w:val="20"/>
              </w:rPr>
            </w:pPr>
            <w:r w:rsidRPr="00917E22">
              <w:rPr>
                <w:rFonts w:ascii="Calibri" w:hAnsi="Calibri"/>
                <w:sz w:val="20"/>
              </w:rPr>
              <w:t>301-763-7182</w:t>
            </w:r>
          </w:p>
        </w:tc>
        <w:tc>
          <w:tcPr>
            <w:tcW w:w="1414" w:type="dxa"/>
            <w:tcBorders>
              <w:top w:val="double" w:color="auto" w:sz="4" w:space="0"/>
            </w:tcBorders>
          </w:tcPr>
          <w:p w:rsidRPr="00917E22" w:rsidR="005A0366" w:rsidP="008F2FBA" w:rsidRDefault="005A0366" w14:paraId="76BD7C6E" w14:textId="77777777">
            <w:pPr>
              <w:rPr>
                <w:rFonts w:ascii="Calibri" w:hAnsi="Calibri"/>
                <w:sz w:val="20"/>
              </w:rPr>
            </w:pPr>
            <w:r w:rsidRPr="00917E22">
              <w:rPr>
                <w:rFonts w:ascii="Calibri" w:hAnsi="Calibri"/>
                <w:sz w:val="20"/>
              </w:rPr>
              <w:t>Development of statistical methodology</w:t>
            </w:r>
          </w:p>
        </w:tc>
      </w:tr>
      <w:tr w:rsidRPr="00917E22" w:rsidR="005A0366" w:rsidTr="002D6DDB" w14:paraId="0D1CAD22" w14:textId="77777777">
        <w:trPr>
          <w:trHeight w:val="464"/>
        </w:trPr>
        <w:tc>
          <w:tcPr>
            <w:tcW w:w="1035" w:type="dxa"/>
          </w:tcPr>
          <w:p w:rsidRPr="00917E22" w:rsidR="005A0366" w:rsidP="008F2FBA" w:rsidRDefault="005A0366" w14:paraId="76CE98A9" w14:textId="77777777">
            <w:pPr>
              <w:rPr>
                <w:rFonts w:ascii="Calibri" w:hAnsi="Calibri"/>
                <w:sz w:val="20"/>
              </w:rPr>
            </w:pPr>
            <w:r w:rsidRPr="00917E22">
              <w:rPr>
                <w:rFonts w:ascii="Calibri" w:hAnsi="Calibri"/>
                <w:sz w:val="20"/>
              </w:rPr>
              <w:t>Diane Willimack</w:t>
            </w:r>
          </w:p>
        </w:tc>
        <w:tc>
          <w:tcPr>
            <w:tcW w:w="2383" w:type="dxa"/>
          </w:tcPr>
          <w:p w:rsidRPr="00917E22" w:rsidR="005A0366" w:rsidP="008F2FBA" w:rsidRDefault="005A0366" w14:paraId="6EC37856" w14:textId="77777777">
            <w:pPr>
              <w:rPr>
                <w:rFonts w:ascii="Calibri" w:hAnsi="Calibri"/>
                <w:sz w:val="20"/>
              </w:rPr>
            </w:pPr>
            <w:r w:rsidRPr="00917E22">
              <w:rPr>
                <w:rFonts w:ascii="Calibri" w:hAnsi="Calibri"/>
                <w:sz w:val="20"/>
              </w:rPr>
              <w:t>Methodology Director for Methodology and Response Improvement for Economic Programs, Economic Statistical Methods Division</w:t>
            </w:r>
          </w:p>
        </w:tc>
        <w:tc>
          <w:tcPr>
            <w:tcW w:w="2757" w:type="dxa"/>
          </w:tcPr>
          <w:p w:rsidRPr="00917E22" w:rsidR="005A0366" w:rsidP="008F2FBA" w:rsidRDefault="005A0366" w14:paraId="554FF6C8" w14:textId="6311CDFD">
            <w:pPr>
              <w:rPr>
                <w:rFonts w:ascii="Calibri" w:hAnsi="Calibri"/>
                <w:sz w:val="20"/>
              </w:rPr>
            </w:pPr>
            <w:r>
              <w:rPr>
                <w:rFonts w:ascii="Calibri" w:hAnsi="Calibri"/>
                <w:sz w:val="20"/>
              </w:rPr>
              <w:t>diane.k.willimack@census.gov</w:t>
            </w:r>
          </w:p>
        </w:tc>
        <w:tc>
          <w:tcPr>
            <w:tcW w:w="1191" w:type="dxa"/>
          </w:tcPr>
          <w:p w:rsidRPr="00917E22" w:rsidR="005A0366" w:rsidP="008F2FBA" w:rsidRDefault="005A0366" w14:paraId="5BEC7FA4" w14:textId="125155A9">
            <w:pPr>
              <w:rPr>
                <w:rFonts w:ascii="Calibri" w:hAnsi="Calibri"/>
                <w:sz w:val="20"/>
              </w:rPr>
            </w:pPr>
            <w:r w:rsidRPr="00917E22">
              <w:rPr>
                <w:rFonts w:ascii="Calibri" w:hAnsi="Calibri"/>
                <w:sz w:val="20"/>
              </w:rPr>
              <w:t>301-763-3538</w:t>
            </w:r>
          </w:p>
        </w:tc>
        <w:tc>
          <w:tcPr>
            <w:tcW w:w="1414" w:type="dxa"/>
          </w:tcPr>
          <w:p w:rsidRPr="00917E22" w:rsidR="005A0366" w:rsidP="008F2FBA" w:rsidRDefault="005A0366" w14:paraId="1AE98EEC" w14:textId="77777777">
            <w:pPr>
              <w:rPr>
                <w:rFonts w:ascii="Calibri" w:hAnsi="Calibri"/>
                <w:sz w:val="20"/>
              </w:rPr>
            </w:pPr>
            <w:r w:rsidRPr="00917E22">
              <w:rPr>
                <w:rFonts w:ascii="Calibri" w:hAnsi="Calibri"/>
                <w:sz w:val="20"/>
              </w:rPr>
              <w:t>Pretesting of data collection instruments and methods</w:t>
            </w:r>
          </w:p>
        </w:tc>
      </w:tr>
      <w:tr w:rsidRPr="00917E22" w:rsidR="00AB64F9" w:rsidTr="002D6DDB" w14:paraId="38FEFABB" w14:textId="77777777">
        <w:trPr>
          <w:trHeight w:val="706"/>
        </w:trPr>
        <w:tc>
          <w:tcPr>
            <w:tcW w:w="1035" w:type="dxa"/>
          </w:tcPr>
          <w:p w:rsidR="00AB64F9" w:rsidP="008F2FBA" w:rsidRDefault="00AB64F9" w14:paraId="5C37DC30" w14:textId="2A9BB69C">
            <w:pPr>
              <w:rPr>
                <w:rFonts w:ascii="Calibri" w:hAnsi="Calibri"/>
                <w:sz w:val="20"/>
              </w:rPr>
            </w:pPr>
            <w:r>
              <w:rPr>
                <w:rFonts w:ascii="Calibri" w:hAnsi="Calibri"/>
                <w:sz w:val="20"/>
              </w:rPr>
              <w:t>Michelle Karlsson</w:t>
            </w:r>
          </w:p>
        </w:tc>
        <w:tc>
          <w:tcPr>
            <w:tcW w:w="2383" w:type="dxa"/>
          </w:tcPr>
          <w:p w:rsidR="00AB64F9" w:rsidP="008F2FBA" w:rsidRDefault="00640158" w14:paraId="66070DD4" w14:textId="3D68B49C">
            <w:pPr>
              <w:rPr>
                <w:rFonts w:ascii="Calibri" w:hAnsi="Calibri"/>
                <w:sz w:val="20"/>
              </w:rPr>
            </w:pPr>
            <w:r w:rsidRPr="00640158">
              <w:rPr>
                <w:rFonts w:ascii="Calibri" w:hAnsi="Calibri"/>
                <w:sz w:val="20"/>
              </w:rPr>
              <w:t>Assistant Division Chief for Collection Instruments and Preparation, Economic Management Division</w:t>
            </w:r>
          </w:p>
        </w:tc>
        <w:tc>
          <w:tcPr>
            <w:tcW w:w="2757" w:type="dxa"/>
          </w:tcPr>
          <w:p w:rsidRPr="00FA3829" w:rsidR="00AB64F9" w:rsidP="008F2FBA" w:rsidRDefault="00AB64F9" w14:paraId="37AA698A" w14:textId="5902E26D">
            <w:pPr>
              <w:rPr>
                <w:rFonts w:ascii="Calibri" w:hAnsi="Calibri"/>
                <w:sz w:val="20"/>
              </w:rPr>
            </w:pPr>
            <w:r w:rsidRPr="00AB64F9">
              <w:rPr>
                <w:rFonts w:ascii="Calibri" w:hAnsi="Calibri"/>
                <w:sz w:val="20"/>
              </w:rPr>
              <w:t>michelle.vile.karlsson@census.gov</w:t>
            </w:r>
          </w:p>
        </w:tc>
        <w:tc>
          <w:tcPr>
            <w:tcW w:w="1191" w:type="dxa"/>
          </w:tcPr>
          <w:p w:rsidR="00AB64F9" w:rsidP="008F2FBA" w:rsidRDefault="00AB64F9" w14:paraId="1F9F9FB6" w14:textId="53DFE3BC">
            <w:pPr>
              <w:rPr>
                <w:rFonts w:ascii="Calibri" w:hAnsi="Calibri"/>
                <w:sz w:val="20"/>
              </w:rPr>
            </w:pPr>
            <w:r>
              <w:rPr>
                <w:rFonts w:ascii="Calibri" w:hAnsi="Calibri"/>
                <w:sz w:val="20"/>
              </w:rPr>
              <w:t>301-763-6769</w:t>
            </w:r>
          </w:p>
        </w:tc>
        <w:tc>
          <w:tcPr>
            <w:tcW w:w="1414" w:type="dxa"/>
          </w:tcPr>
          <w:p w:rsidR="00AB64F9" w:rsidP="008F2FBA" w:rsidRDefault="00AB64F9" w14:paraId="49BED505" w14:textId="722615E5">
            <w:pPr>
              <w:rPr>
                <w:rFonts w:ascii="Calibri" w:hAnsi="Calibri"/>
                <w:sz w:val="20"/>
              </w:rPr>
            </w:pPr>
            <w:r>
              <w:rPr>
                <w:rFonts w:ascii="Calibri" w:hAnsi="Calibri"/>
                <w:sz w:val="20"/>
              </w:rPr>
              <w:t>Development of collection instruments and preparation</w:t>
            </w:r>
          </w:p>
        </w:tc>
      </w:tr>
      <w:tr w:rsidRPr="00917E22" w:rsidR="00FA3829" w:rsidTr="002D6DDB" w14:paraId="05F868E4" w14:textId="77777777">
        <w:trPr>
          <w:trHeight w:val="706"/>
        </w:trPr>
        <w:tc>
          <w:tcPr>
            <w:tcW w:w="1035" w:type="dxa"/>
          </w:tcPr>
          <w:p w:rsidRPr="00917E22" w:rsidR="00FA3829" w:rsidP="008F2FBA" w:rsidRDefault="00FA3829" w14:paraId="37B69142" w14:textId="2EDDB35D">
            <w:pPr>
              <w:rPr>
                <w:rFonts w:ascii="Calibri" w:hAnsi="Calibri"/>
                <w:sz w:val="20"/>
              </w:rPr>
            </w:pPr>
            <w:r>
              <w:rPr>
                <w:rFonts w:ascii="Calibri" w:hAnsi="Calibri"/>
                <w:sz w:val="20"/>
              </w:rPr>
              <w:lastRenderedPageBreak/>
              <w:t>Theresa Riddle</w:t>
            </w:r>
          </w:p>
        </w:tc>
        <w:tc>
          <w:tcPr>
            <w:tcW w:w="2383" w:type="dxa"/>
          </w:tcPr>
          <w:p w:rsidRPr="00917E22" w:rsidR="00FA3829" w:rsidP="008F2FBA" w:rsidRDefault="008A2202" w14:paraId="71EF54A2" w14:textId="1817D6F4">
            <w:pPr>
              <w:rPr>
                <w:rFonts w:ascii="Calibri" w:hAnsi="Calibri"/>
                <w:sz w:val="20"/>
              </w:rPr>
            </w:pPr>
            <w:r>
              <w:rPr>
                <w:rFonts w:ascii="Calibri" w:hAnsi="Calibri"/>
                <w:sz w:val="20"/>
              </w:rPr>
              <w:t xml:space="preserve">Operational </w:t>
            </w:r>
            <w:r w:rsidR="00FF2CD1">
              <w:rPr>
                <w:rFonts w:ascii="Calibri" w:hAnsi="Calibri"/>
                <w:sz w:val="20"/>
              </w:rPr>
              <w:t xml:space="preserve">Director for </w:t>
            </w:r>
            <w:r w:rsidRPr="00FF2CD1" w:rsidR="00FF2CD1">
              <w:rPr>
                <w:rFonts w:ascii="Calibri" w:hAnsi="Calibri"/>
                <w:sz w:val="20"/>
              </w:rPr>
              <w:t>Economic Census</w:t>
            </w:r>
            <w:r w:rsidR="00FF2CD1">
              <w:rPr>
                <w:rFonts w:ascii="Calibri" w:hAnsi="Calibri"/>
                <w:sz w:val="20"/>
              </w:rPr>
              <w:t>, Economic Management Division</w:t>
            </w:r>
            <w:r w:rsidRPr="00FF2CD1" w:rsidR="00FF2CD1">
              <w:rPr>
                <w:rFonts w:ascii="Calibri" w:hAnsi="Calibri"/>
                <w:sz w:val="20"/>
              </w:rPr>
              <w:t xml:space="preserve"> </w:t>
            </w:r>
          </w:p>
        </w:tc>
        <w:tc>
          <w:tcPr>
            <w:tcW w:w="2757" w:type="dxa"/>
          </w:tcPr>
          <w:p w:rsidR="00FA3829" w:rsidP="008F2FBA" w:rsidRDefault="00FA3829" w14:paraId="058ECBE2" w14:textId="7791EBF3">
            <w:pPr>
              <w:rPr>
                <w:rFonts w:ascii="Calibri" w:hAnsi="Calibri"/>
                <w:sz w:val="20"/>
              </w:rPr>
            </w:pPr>
            <w:r w:rsidRPr="00FA3829">
              <w:rPr>
                <w:rFonts w:ascii="Calibri" w:hAnsi="Calibri"/>
                <w:sz w:val="20"/>
              </w:rPr>
              <w:t>theresa.riddle@census.gov</w:t>
            </w:r>
          </w:p>
        </w:tc>
        <w:tc>
          <w:tcPr>
            <w:tcW w:w="1191" w:type="dxa"/>
          </w:tcPr>
          <w:p w:rsidRPr="00917E22" w:rsidR="00FA3829" w:rsidP="008F2FBA" w:rsidRDefault="00FA3829" w14:paraId="5230487C" w14:textId="755F190C">
            <w:pPr>
              <w:rPr>
                <w:rFonts w:ascii="Calibri" w:hAnsi="Calibri"/>
                <w:sz w:val="20"/>
              </w:rPr>
            </w:pPr>
            <w:r>
              <w:rPr>
                <w:rFonts w:ascii="Calibri" w:hAnsi="Calibri"/>
                <w:sz w:val="20"/>
              </w:rPr>
              <w:t>301-763-4840</w:t>
            </w:r>
          </w:p>
        </w:tc>
        <w:tc>
          <w:tcPr>
            <w:tcW w:w="1414" w:type="dxa"/>
          </w:tcPr>
          <w:p w:rsidRPr="00917E22" w:rsidR="00FA3829" w:rsidP="008F2FBA" w:rsidRDefault="00FF2CD1" w14:paraId="21599D68" w14:textId="1442493C">
            <w:pPr>
              <w:rPr>
                <w:rFonts w:ascii="Calibri" w:hAnsi="Calibri"/>
                <w:sz w:val="20"/>
              </w:rPr>
            </w:pPr>
            <w:r>
              <w:rPr>
                <w:rFonts w:ascii="Calibri" w:hAnsi="Calibri"/>
                <w:sz w:val="20"/>
              </w:rPr>
              <w:t>Operations and respondent management</w:t>
            </w:r>
          </w:p>
        </w:tc>
      </w:tr>
      <w:tr w:rsidRPr="00917E22" w:rsidR="005A0366" w:rsidTr="002D6DDB" w14:paraId="3FF10F9B" w14:textId="77777777">
        <w:trPr>
          <w:trHeight w:val="706"/>
        </w:trPr>
        <w:tc>
          <w:tcPr>
            <w:tcW w:w="1035" w:type="dxa"/>
          </w:tcPr>
          <w:p w:rsidRPr="00917E22" w:rsidR="005A0366" w:rsidP="008F2FBA" w:rsidRDefault="005A0366" w14:paraId="202AAA13" w14:textId="3E73A0A6">
            <w:pPr>
              <w:rPr>
                <w:rFonts w:ascii="Calibri" w:hAnsi="Calibri"/>
                <w:sz w:val="20"/>
              </w:rPr>
            </w:pPr>
            <w:r w:rsidRPr="00917E22">
              <w:rPr>
                <w:rFonts w:ascii="Calibri" w:hAnsi="Calibri"/>
                <w:sz w:val="20"/>
              </w:rPr>
              <w:t>Michael Sprung</w:t>
            </w:r>
          </w:p>
        </w:tc>
        <w:tc>
          <w:tcPr>
            <w:tcW w:w="2383" w:type="dxa"/>
          </w:tcPr>
          <w:p w:rsidRPr="00917E22" w:rsidR="005A0366" w:rsidP="008F2FBA" w:rsidRDefault="005A0366" w14:paraId="1FCB61A3" w14:textId="77777777">
            <w:pPr>
              <w:rPr>
                <w:rFonts w:ascii="Calibri" w:hAnsi="Calibri"/>
                <w:sz w:val="20"/>
              </w:rPr>
            </w:pPr>
            <w:r w:rsidRPr="00917E22">
              <w:rPr>
                <w:rFonts w:ascii="Calibri" w:hAnsi="Calibri"/>
                <w:sz w:val="20"/>
              </w:rPr>
              <w:t>Assistant Survey Director for the Economic Census, Economy-Wide Statistics Division</w:t>
            </w:r>
          </w:p>
        </w:tc>
        <w:tc>
          <w:tcPr>
            <w:tcW w:w="2757" w:type="dxa"/>
          </w:tcPr>
          <w:p w:rsidRPr="00917E22" w:rsidR="005A0366" w:rsidP="008F2FBA" w:rsidRDefault="005A0366" w14:paraId="62DE8E34" w14:textId="76F3288C">
            <w:pPr>
              <w:rPr>
                <w:rFonts w:ascii="Calibri" w:hAnsi="Calibri"/>
                <w:sz w:val="20"/>
              </w:rPr>
            </w:pPr>
            <w:r>
              <w:rPr>
                <w:rFonts w:ascii="Calibri" w:hAnsi="Calibri"/>
                <w:sz w:val="20"/>
              </w:rPr>
              <w:t>michael.j.sprung@census.gov</w:t>
            </w:r>
          </w:p>
        </w:tc>
        <w:tc>
          <w:tcPr>
            <w:tcW w:w="1191" w:type="dxa"/>
          </w:tcPr>
          <w:p w:rsidRPr="00917E22" w:rsidR="005A0366" w:rsidP="008F2FBA" w:rsidRDefault="005A0366" w14:paraId="586D6FAC" w14:textId="77BB2DF2">
            <w:pPr>
              <w:rPr>
                <w:rFonts w:ascii="Calibri" w:hAnsi="Calibri"/>
                <w:sz w:val="20"/>
              </w:rPr>
            </w:pPr>
            <w:r w:rsidRPr="00917E22">
              <w:rPr>
                <w:rFonts w:ascii="Calibri" w:hAnsi="Calibri"/>
                <w:sz w:val="20"/>
              </w:rPr>
              <w:t>301-763-7150</w:t>
            </w:r>
          </w:p>
        </w:tc>
        <w:tc>
          <w:tcPr>
            <w:tcW w:w="1414" w:type="dxa"/>
          </w:tcPr>
          <w:p w:rsidRPr="00917E22" w:rsidR="005A0366" w:rsidP="008F2FBA" w:rsidRDefault="005A0366" w14:paraId="796201EE" w14:textId="6F258516">
            <w:pPr>
              <w:rPr>
                <w:rFonts w:ascii="Calibri" w:hAnsi="Calibri"/>
                <w:sz w:val="20"/>
              </w:rPr>
            </w:pPr>
            <w:r w:rsidRPr="00917E22">
              <w:rPr>
                <w:rFonts w:ascii="Calibri" w:hAnsi="Calibri"/>
                <w:sz w:val="20"/>
              </w:rPr>
              <w:t xml:space="preserve">Overall </w:t>
            </w:r>
            <w:r w:rsidR="005E1EBA">
              <w:rPr>
                <w:rFonts w:ascii="Calibri" w:hAnsi="Calibri"/>
                <w:sz w:val="20"/>
              </w:rPr>
              <w:t xml:space="preserve">coordination and </w:t>
            </w:r>
            <w:r w:rsidRPr="00917E22">
              <w:rPr>
                <w:rFonts w:ascii="Calibri" w:hAnsi="Calibri"/>
                <w:sz w:val="20"/>
              </w:rPr>
              <w:t>supervision</w:t>
            </w:r>
          </w:p>
        </w:tc>
      </w:tr>
    </w:tbl>
    <w:p w:rsidRPr="00917E22" w:rsidR="00E174CA" w:rsidP="00E174CA" w:rsidRDefault="00E174CA" w14:paraId="1DF088CC" w14:textId="77777777">
      <w:pPr>
        <w:ind w:left="720"/>
        <w:rPr>
          <w:rFonts w:ascii="Times New Roman" w:hAnsi="Times New Roman"/>
          <w:szCs w:val="24"/>
        </w:rPr>
      </w:pPr>
    </w:p>
    <w:p w:rsidRPr="00917E22" w:rsidR="00E174CA" w:rsidP="00B71354" w:rsidRDefault="00E174CA" w14:paraId="2FBCCBA2" w14:textId="77777777">
      <w:pPr>
        <w:ind w:left="360"/>
        <w:rPr>
          <w:rFonts w:ascii="Times New Roman" w:hAnsi="Times New Roman"/>
        </w:rPr>
      </w:pPr>
    </w:p>
    <w:p w:rsidRPr="00917E22" w:rsidR="00CA73D8" w:rsidP="00FD5C6A" w:rsidRDefault="00CA73D8" w14:paraId="72EC7ADD" w14:textId="24A988DD">
      <w:pPr>
        <w:jc w:val="center"/>
        <w:rPr>
          <w:rFonts w:ascii="Times New Roman" w:hAnsi="Times New Roman"/>
          <w:szCs w:val="24"/>
        </w:rPr>
      </w:pPr>
      <w:r w:rsidRPr="00917E22">
        <w:rPr>
          <w:rFonts w:ascii="Times New Roman" w:hAnsi="Times New Roman"/>
          <w:szCs w:val="24"/>
        </w:rPr>
        <w:t>Attachments</w:t>
      </w:r>
    </w:p>
    <w:p w:rsidRPr="00917E22" w:rsidR="00CA73D8" w:rsidRDefault="00CA73D8" w14:paraId="75327248" w14:textId="77777777">
      <w:pPr>
        <w:jc w:val="center"/>
        <w:rPr>
          <w:rFonts w:ascii="Times New Roman" w:hAnsi="Times New Roman"/>
          <w:sz w:val="20"/>
        </w:rPr>
      </w:pPr>
    </w:p>
    <w:p w:rsidRPr="00917E22" w:rsidR="00864F84" w:rsidP="00864F84" w:rsidRDefault="00864F84" w14:paraId="2B573A0E" w14:textId="7BB43940">
      <w:pPr>
        <w:tabs>
          <w:tab w:val="left" w:pos="-1440"/>
        </w:tabs>
        <w:ind w:left="720" w:hanging="720"/>
        <w:rPr>
          <w:rFonts w:ascii="Times New Roman" w:hAnsi="Times New Roman"/>
          <w:szCs w:val="24"/>
        </w:rPr>
      </w:pPr>
      <w:r w:rsidRPr="00917E22">
        <w:rPr>
          <w:rFonts w:ascii="Times New Roman" w:hAnsi="Times New Roman"/>
          <w:szCs w:val="24"/>
        </w:rPr>
        <w:t>A.</w:t>
      </w:r>
      <w:r w:rsidRPr="00917E22">
        <w:rPr>
          <w:rFonts w:ascii="Times New Roman" w:hAnsi="Times New Roman"/>
          <w:szCs w:val="24"/>
        </w:rPr>
        <w:tab/>
        <w:t>Electronic</w:t>
      </w:r>
      <w:r w:rsidRPr="00917E22" w:rsidR="00BD2581">
        <w:rPr>
          <w:rFonts w:ascii="Times New Roman" w:hAnsi="Times New Roman"/>
          <w:szCs w:val="24"/>
        </w:rPr>
        <w:t xml:space="preserve"> Questionnaire Instrument</w:t>
      </w:r>
      <w:r w:rsidRPr="00917E22">
        <w:rPr>
          <w:rFonts w:ascii="Times New Roman" w:hAnsi="Times New Roman"/>
          <w:szCs w:val="24"/>
        </w:rPr>
        <w:t xml:space="preserve"> Path Numbers, Titles, and Associa</w:t>
      </w:r>
      <w:r w:rsidRPr="00917E22" w:rsidR="006B42A0">
        <w:rPr>
          <w:rFonts w:ascii="Times New Roman" w:hAnsi="Times New Roman"/>
          <w:szCs w:val="24"/>
        </w:rPr>
        <w:t>ted Burden Estimates</w:t>
      </w:r>
    </w:p>
    <w:p w:rsidRPr="00917E22" w:rsidR="00864F84" w:rsidP="00864F84" w:rsidRDefault="00864F84" w14:paraId="4C5AF557" w14:textId="77777777">
      <w:pPr>
        <w:rPr>
          <w:rFonts w:ascii="Times New Roman" w:hAnsi="Times New Roman"/>
          <w:szCs w:val="24"/>
        </w:rPr>
      </w:pPr>
    </w:p>
    <w:p w:rsidRPr="00917E22" w:rsidR="00864F84" w:rsidP="00864F84" w:rsidRDefault="00864F84" w14:paraId="5882E4AB" w14:textId="1992F98A">
      <w:pPr>
        <w:tabs>
          <w:tab w:val="left" w:pos="-1440"/>
        </w:tabs>
        <w:ind w:left="720" w:hanging="720"/>
        <w:rPr>
          <w:rFonts w:ascii="Times New Roman" w:hAnsi="Times New Roman"/>
          <w:szCs w:val="24"/>
        </w:rPr>
      </w:pPr>
      <w:r w:rsidRPr="00917E22">
        <w:rPr>
          <w:rFonts w:ascii="Times New Roman" w:hAnsi="Times New Roman"/>
          <w:szCs w:val="24"/>
        </w:rPr>
        <w:t>B.</w:t>
      </w:r>
      <w:r w:rsidRPr="00917E22">
        <w:rPr>
          <w:rFonts w:ascii="Times New Roman" w:hAnsi="Times New Roman"/>
          <w:szCs w:val="24"/>
        </w:rPr>
        <w:tab/>
        <w:t xml:space="preserve">Composition of the Establishment Universe and Estimated Mail Counts for the </w:t>
      </w:r>
      <w:r w:rsidRPr="00917E22" w:rsidR="00DC1C98">
        <w:rPr>
          <w:rFonts w:ascii="Times New Roman" w:hAnsi="Times New Roman"/>
          <w:szCs w:val="24"/>
        </w:rPr>
        <w:t xml:space="preserve">2022 </w:t>
      </w:r>
      <w:r w:rsidRPr="00917E22">
        <w:rPr>
          <w:rFonts w:ascii="Times New Roman" w:hAnsi="Times New Roman"/>
          <w:szCs w:val="24"/>
        </w:rPr>
        <w:t>Economic Census</w:t>
      </w:r>
      <w:r w:rsidRPr="00917E22" w:rsidR="00400D10">
        <w:rPr>
          <w:rFonts w:ascii="Times New Roman" w:hAnsi="Times New Roman"/>
          <w:szCs w:val="24"/>
        </w:rPr>
        <w:t xml:space="preserve"> (Stateside</w:t>
      </w:r>
      <w:r w:rsidR="00541664">
        <w:rPr>
          <w:rFonts w:ascii="Times New Roman" w:hAnsi="Times New Roman"/>
          <w:szCs w:val="24"/>
        </w:rPr>
        <w:t xml:space="preserve"> only</w:t>
      </w:r>
      <w:r w:rsidRPr="00917E22" w:rsidR="00400D10">
        <w:rPr>
          <w:rFonts w:ascii="Times New Roman" w:hAnsi="Times New Roman"/>
          <w:szCs w:val="24"/>
        </w:rPr>
        <w:t>)</w:t>
      </w:r>
    </w:p>
    <w:p w:rsidRPr="00917E22" w:rsidR="00864F84" w:rsidP="00864F84" w:rsidRDefault="00864F84" w14:paraId="308B5AB3" w14:textId="77777777">
      <w:pPr>
        <w:rPr>
          <w:rFonts w:ascii="Times New Roman" w:hAnsi="Times New Roman"/>
          <w:szCs w:val="24"/>
        </w:rPr>
      </w:pPr>
    </w:p>
    <w:p w:rsidRPr="00917E22" w:rsidR="00864F84" w:rsidP="00864F84" w:rsidRDefault="00864F84" w14:paraId="6D23520D" w14:textId="356CDBDC">
      <w:pPr>
        <w:tabs>
          <w:tab w:val="left" w:pos="-1440"/>
        </w:tabs>
        <w:ind w:left="720" w:hanging="720"/>
        <w:rPr>
          <w:rFonts w:ascii="Times New Roman" w:hAnsi="Times New Roman"/>
          <w:szCs w:val="24"/>
        </w:rPr>
      </w:pPr>
      <w:r w:rsidRPr="00917E22">
        <w:rPr>
          <w:rFonts w:ascii="Times New Roman" w:hAnsi="Times New Roman"/>
          <w:szCs w:val="24"/>
        </w:rPr>
        <w:t>C.</w:t>
      </w:r>
      <w:r w:rsidRPr="00917E22">
        <w:rPr>
          <w:rFonts w:ascii="Times New Roman" w:hAnsi="Times New Roman"/>
          <w:szCs w:val="24"/>
        </w:rPr>
        <w:tab/>
      </w:r>
      <w:r w:rsidRPr="00917E22" w:rsidR="00D94E72">
        <w:rPr>
          <w:rFonts w:ascii="Times New Roman" w:hAnsi="Times New Roman"/>
          <w:szCs w:val="24"/>
        </w:rPr>
        <w:t xml:space="preserve">Drafts of </w:t>
      </w:r>
      <w:r w:rsidRPr="00917E22">
        <w:rPr>
          <w:rFonts w:ascii="Times New Roman" w:hAnsi="Times New Roman"/>
          <w:szCs w:val="24"/>
        </w:rPr>
        <w:t>Initial Contact and Follow-up Letters</w:t>
      </w:r>
    </w:p>
    <w:p w:rsidRPr="00917E22" w:rsidR="00C76418" w:rsidP="00B44DC7" w:rsidRDefault="00962A3F" w14:paraId="7F0FB26E" w14:textId="77777777">
      <w:pPr>
        <w:pStyle w:val="NoSpacing"/>
        <w:rPr>
          <w:rFonts w:ascii="Times New Roman" w:hAnsi="Times New Roman"/>
          <w:szCs w:val="24"/>
        </w:rPr>
      </w:pPr>
      <w:r w:rsidRPr="00917E22">
        <w:rPr>
          <w:rFonts w:ascii="Times New Roman" w:hAnsi="Times New Roman"/>
          <w:szCs w:val="24"/>
        </w:rPr>
        <w:tab/>
      </w:r>
    </w:p>
    <w:p w:rsidR="00864F84" w:rsidP="00541664" w:rsidRDefault="00CC7BFC" w14:paraId="7EFED335" w14:textId="4C3D5E4B">
      <w:pPr>
        <w:tabs>
          <w:tab w:val="left" w:pos="-1440"/>
        </w:tabs>
        <w:ind w:left="720" w:hanging="720"/>
        <w:rPr>
          <w:rFonts w:ascii="Times New Roman" w:hAnsi="Times New Roman"/>
          <w:szCs w:val="24"/>
        </w:rPr>
      </w:pPr>
      <w:r w:rsidRPr="00917E22">
        <w:rPr>
          <w:rFonts w:ascii="Times New Roman" w:hAnsi="Times New Roman"/>
          <w:szCs w:val="24"/>
        </w:rPr>
        <w:t>D.</w:t>
      </w:r>
      <w:r w:rsidRPr="00917E22">
        <w:rPr>
          <w:rFonts w:ascii="Times New Roman" w:hAnsi="Times New Roman"/>
          <w:szCs w:val="24"/>
        </w:rPr>
        <w:tab/>
      </w:r>
      <w:r w:rsidRPr="00917E22" w:rsidR="009E5BED">
        <w:rPr>
          <w:rFonts w:ascii="Times New Roman" w:hAnsi="Times New Roman"/>
          <w:szCs w:val="24"/>
        </w:rPr>
        <w:t xml:space="preserve">Draft </w:t>
      </w:r>
      <w:r w:rsidRPr="00917E22">
        <w:rPr>
          <w:rFonts w:ascii="Times New Roman" w:hAnsi="Times New Roman"/>
          <w:szCs w:val="24"/>
        </w:rPr>
        <w:t xml:space="preserve">Previews of Standard, </w:t>
      </w:r>
      <w:r w:rsidRPr="00917E22" w:rsidR="00864F84">
        <w:rPr>
          <w:rFonts w:ascii="Times New Roman" w:hAnsi="Times New Roman"/>
          <w:szCs w:val="24"/>
        </w:rPr>
        <w:t>Consolidated</w:t>
      </w:r>
      <w:r w:rsidRPr="00917E22">
        <w:rPr>
          <w:rFonts w:ascii="Times New Roman" w:hAnsi="Times New Roman"/>
          <w:szCs w:val="24"/>
        </w:rPr>
        <w:t>, and Classification</w:t>
      </w:r>
      <w:r w:rsidRPr="00917E22" w:rsidR="00864F84">
        <w:rPr>
          <w:rFonts w:ascii="Times New Roman" w:hAnsi="Times New Roman"/>
          <w:szCs w:val="24"/>
        </w:rPr>
        <w:t xml:space="preserve"> Questionnaires</w:t>
      </w:r>
    </w:p>
    <w:p w:rsidRPr="00917E22" w:rsidR="00541664" w:rsidP="00541664" w:rsidRDefault="00541664" w14:paraId="69574D0B" w14:textId="77777777">
      <w:pPr>
        <w:tabs>
          <w:tab w:val="left" w:pos="-1440"/>
        </w:tabs>
        <w:ind w:left="720" w:hanging="720"/>
        <w:rPr>
          <w:rFonts w:ascii="Times New Roman" w:hAnsi="Times New Roman"/>
          <w:szCs w:val="24"/>
        </w:rPr>
      </w:pPr>
    </w:p>
    <w:p w:rsidRPr="00917E22" w:rsidR="00864F84" w:rsidP="00541664" w:rsidRDefault="00864F84" w14:paraId="10F9819B" w14:textId="34B15E0D">
      <w:pPr>
        <w:tabs>
          <w:tab w:val="left" w:pos="-1440"/>
        </w:tabs>
        <w:ind w:left="720" w:hanging="720"/>
        <w:rPr>
          <w:rFonts w:ascii="Times New Roman" w:hAnsi="Times New Roman"/>
          <w:szCs w:val="24"/>
        </w:rPr>
      </w:pPr>
      <w:r w:rsidRPr="00917E22">
        <w:rPr>
          <w:rFonts w:ascii="Times New Roman" w:hAnsi="Times New Roman"/>
          <w:szCs w:val="24"/>
        </w:rPr>
        <w:t>E.</w:t>
      </w:r>
      <w:r w:rsidRPr="00917E22">
        <w:rPr>
          <w:rFonts w:ascii="Times New Roman" w:hAnsi="Times New Roman"/>
          <w:szCs w:val="24"/>
        </w:rPr>
        <w:tab/>
      </w:r>
      <w:r w:rsidRPr="00917E22" w:rsidR="00B462C0">
        <w:rPr>
          <w:rFonts w:ascii="Times New Roman" w:hAnsi="Times New Roman"/>
          <w:szCs w:val="24"/>
        </w:rPr>
        <w:t xml:space="preserve">Questionnaire </w:t>
      </w:r>
      <w:r w:rsidRPr="00917E22" w:rsidR="00C76418">
        <w:rPr>
          <w:rFonts w:ascii="Times New Roman" w:hAnsi="Times New Roman"/>
          <w:szCs w:val="24"/>
        </w:rPr>
        <w:t>Information Sheets</w:t>
      </w:r>
    </w:p>
    <w:p w:rsidRPr="00917E22" w:rsidR="00864F84" w:rsidP="00B462C0" w:rsidRDefault="00962A3F" w14:paraId="4EEDD9C5" w14:textId="77777777">
      <w:pPr>
        <w:pStyle w:val="NoSpacing"/>
        <w:rPr>
          <w:rFonts w:ascii="Times New Roman" w:hAnsi="Times New Roman"/>
          <w:szCs w:val="24"/>
        </w:rPr>
      </w:pPr>
      <w:r w:rsidRPr="00917E22">
        <w:rPr>
          <w:rFonts w:ascii="Times New Roman" w:hAnsi="Times New Roman"/>
          <w:szCs w:val="24"/>
        </w:rPr>
        <w:tab/>
      </w:r>
    </w:p>
    <w:p w:rsidRPr="00917E22" w:rsidR="00864F84" w:rsidP="00864F84" w:rsidRDefault="00CC7BFC" w14:paraId="15C838D4" w14:textId="49D5B8A6">
      <w:pPr>
        <w:tabs>
          <w:tab w:val="left" w:pos="-1440"/>
        </w:tabs>
        <w:ind w:left="720" w:hanging="720"/>
        <w:rPr>
          <w:rFonts w:ascii="Times New Roman" w:hAnsi="Times New Roman"/>
          <w:szCs w:val="24"/>
        </w:rPr>
      </w:pPr>
      <w:r w:rsidRPr="00917E22">
        <w:rPr>
          <w:rFonts w:ascii="Times New Roman" w:hAnsi="Times New Roman"/>
          <w:szCs w:val="24"/>
        </w:rPr>
        <w:t>F</w:t>
      </w:r>
      <w:r w:rsidRPr="00917E22" w:rsidR="00864F84">
        <w:rPr>
          <w:rFonts w:ascii="Times New Roman" w:hAnsi="Times New Roman"/>
          <w:szCs w:val="24"/>
        </w:rPr>
        <w:t>.</w:t>
      </w:r>
      <w:r w:rsidRPr="00917E22" w:rsidR="00864F84">
        <w:rPr>
          <w:rFonts w:ascii="Times New Roman" w:hAnsi="Times New Roman"/>
          <w:szCs w:val="24"/>
        </w:rPr>
        <w:tab/>
        <w:t xml:space="preserve">Electronic </w:t>
      </w:r>
      <w:r w:rsidRPr="00917E22" w:rsidR="00282065">
        <w:rPr>
          <w:rFonts w:ascii="Times New Roman" w:hAnsi="Times New Roman"/>
          <w:szCs w:val="24"/>
        </w:rPr>
        <w:t>Instrument</w:t>
      </w:r>
      <w:r w:rsidRPr="00917E22" w:rsidR="00864F84">
        <w:rPr>
          <w:rFonts w:ascii="Times New Roman" w:hAnsi="Times New Roman"/>
          <w:szCs w:val="24"/>
        </w:rPr>
        <w:t xml:space="preserve"> Selected Screen Shots</w:t>
      </w:r>
    </w:p>
    <w:p w:rsidRPr="00917E22" w:rsidR="00864F84" w:rsidP="00FC2EEE" w:rsidRDefault="00962A3F" w14:paraId="3D38E3D3" w14:textId="77777777">
      <w:pPr>
        <w:tabs>
          <w:tab w:val="left" w:pos="-1440"/>
        </w:tabs>
        <w:ind w:left="720" w:hanging="720"/>
        <w:rPr>
          <w:rFonts w:ascii="Times New Roman" w:hAnsi="Times New Roman"/>
          <w:szCs w:val="24"/>
        </w:rPr>
      </w:pPr>
      <w:r w:rsidRPr="00917E22">
        <w:rPr>
          <w:rFonts w:ascii="Times New Roman" w:hAnsi="Times New Roman"/>
          <w:szCs w:val="24"/>
        </w:rPr>
        <w:tab/>
      </w:r>
      <w:r w:rsidRPr="00917E22" w:rsidR="001C0ADC">
        <w:rPr>
          <w:rFonts w:ascii="Times New Roman" w:hAnsi="Times New Roman"/>
          <w:szCs w:val="24"/>
        </w:rPr>
        <w:tab/>
      </w:r>
    </w:p>
    <w:p w:rsidRPr="00917E22" w:rsidR="000E644F" w:rsidP="00864F84" w:rsidRDefault="00CC7BFC" w14:paraId="4A88E214" w14:textId="77777777">
      <w:pPr>
        <w:pStyle w:val="BodyTextIndent2"/>
        <w:rPr>
          <w:rFonts w:ascii="Times New Roman" w:hAnsi="Times New Roman"/>
          <w:sz w:val="24"/>
          <w:szCs w:val="24"/>
        </w:rPr>
      </w:pPr>
      <w:r w:rsidRPr="00917E22">
        <w:rPr>
          <w:rFonts w:ascii="Times New Roman" w:hAnsi="Times New Roman"/>
          <w:sz w:val="24"/>
          <w:szCs w:val="24"/>
        </w:rPr>
        <w:t>G</w:t>
      </w:r>
      <w:r w:rsidRPr="00917E22" w:rsidR="00864F84">
        <w:rPr>
          <w:rFonts w:ascii="Times New Roman" w:hAnsi="Times New Roman"/>
          <w:sz w:val="24"/>
          <w:szCs w:val="24"/>
        </w:rPr>
        <w:t>.</w:t>
      </w:r>
      <w:r w:rsidRPr="00917E22" w:rsidR="00864F84">
        <w:rPr>
          <w:rFonts w:ascii="Times New Roman" w:hAnsi="Times New Roman"/>
          <w:sz w:val="24"/>
          <w:szCs w:val="24"/>
        </w:rPr>
        <w:tab/>
        <w:t>Consultations with Federal Agencies, Trade Groups, and Trade Publications</w:t>
      </w:r>
    </w:p>
    <w:p w:rsidRPr="00917E22" w:rsidR="00B2442C" w:rsidP="00864F84" w:rsidRDefault="00B2442C" w14:paraId="0055FD99" w14:textId="668707FA">
      <w:pPr>
        <w:pStyle w:val="BodyTextIndent2"/>
        <w:rPr>
          <w:rFonts w:ascii="Times New Roman" w:hAnsi="Times New Roman"/>
          <w:sz w:val="24"/>
          <w:szCs w:val="24"/>
        </w:rPr>
      </w:pPr>
      <w:r w:rsidRPr="00917E22">
        <w:rPr>
          <w:rFonts w:ascii="Times New Roman" w:hAnsi="Times New Roman"/>
          <w:sz w:val="24"/>
          <w:szCs w:val="24"/>
        </w:rPr>
        <w:tab/>
        <w:t>G-1</w:t>
      </w:r>
      <w:r w:rsidRPr="00917E22">
        <w:rPr>
          <w:rFonts w:ascii="Times New Roman" w:hAnsi="Times New Roman"/>
          <w:sz w:val="24"/>
          <w:szCs w:val="24"/>
        </w:rPr>
        <w:tab/>
        <w:t>Letter to Persons and Organizations</w:t>
      </w:r>
      <w:r w:rsidRPr="00917E22" w:rsidR="00400D10">
        <w:rPr>
          <w:rFonts w:ascii="Times New Roman" w:hAnsi="Times New Roman"/>
          <w:sz w:val="24"/>
          <w:szCs w:val="24"/>
        </w:rPr>
        <w:t xml:space="preserve"> </w:t>
      </w:r>
    </w:p>
    <w:p w:rsidRPr="00917E22" w:rsidR="00B2442C" w:rsidP="00864F84" w:rsidRDefault="00B2442C" w14:paraId="7DEE925F" w14:textId="6084D126">
      <w:pPr>
        <w:pStyle w:val="BodyTextIndent2"/>
        <w:rPr>
          <w:rFonts w:ascii="Times New Roman" w:hAnsi="Times New Roman"/>
          <w:sz w:val="24"/>
          <w:szCs w:val="24"/>
        </w:rPr>
      </w:pPr>
      <w:r w:rsidRPr="00917E22">
        <w:rPr>
          <w:rFonts w:ascii="Times New Roman" w:hAnsi="Times New Roman"/>
          <w:sz w:val="24"/>
          <w:szCs w:val="24"/>
        </w:rPr>
        <w:tab/>
        <w:t>G-2</w:t>
      </w:r>
      <w:r w:rsidRPr="00917E22">
        <w:rPr>
          <w:rFonts w:ascii="Times New Roman" w:hAnsi="Times New Roman"/>
          <w:sz w:val="24"/>
          <w:szCs w:val="24"/>
        </w:rPr>
        <w:tab/>
        <w:t>Persons and Organizations Contacted</w:t>
      </w:r>
    </w:p>
    <w:p w:rsidRPr="00917E22" w:rsidR="00864F84" w:rsidP="00864F84" w:rsidRDefault="00864F84" w14:paraId="447244C4" w14:textId="77777777">
      <w:pPr>
        <w:tabs>
          <w:tab w:val="left" w:pos="-1440"/>
        </w:tabs>
        <w:jc w:val="both"/>
        <w:rPr>
          <w:rFonts w:ascii="Times New Roman" w:hAnsi="Times New Roman"/>
          <w:szCs w:val="24"/>
        </w:rPr>
      </w:pPr>
    </w:p>
    <w:p w:rsidRPr="00917E22" w:rsidR="00864F84" w:rsidP="00C12A9C" w:rsidRDefault="00CC7BFC" w14:paraId="6EC4FDF9" w14:textId="2844C84D">
      <w:pPr>
        <w:pStyle w:val="BodyTextIndent2"/>
        <w:rPr>
          <w:rFonts w:ascii="Times New Roman" w:hAnsi="Times New Roman"/>
          <w:sz w:val="24"/>
          <w:szCs w:val="24"/>
        </w:rPr>
      </w:pPr>
      <w:r w:rsidRPr="00917E22">
        <w:rPr>
          <w:rFonts w:ascii="Times New Roman" w:hAnsi="Times New Roman"/>
          <w:sz w:val="24"/>
          <w:szCs w:val="24"/>
        </w:rPr>
        <w:t>H</w:t>
      </w:r>
      <w:r w:rsidRPr="00917E22" w:rsidR="00864F84">
        <w:rPr>
          <w:rFonts w:ascii="Times New Roman" w:hAnsi="Times New Roman"/>
          <w:sz w:val="24"/>
          <w:szCs w:val="24"/>
        </w:rPr>
        <w:t>.</w:t>
      </w:r>
      <w:r w:rsidRPr="00917E22" w:rsidR="00864F84">
        <w:rPr>
          <w:rFonts w:ascii="Times New Roman" w:hAnsi="Times New Roman"/>
          <w:sz w:val="24"/>
          <w:szCs w:val="24"/>
        </w:rPr>
        <w:tab/>
        <w:t>Consultations with Federal Agencies, Trade Groups, and Trade Publications:  Selected Correspondence</w:t>
      </w:r>
    </w:p>
    <w:p w:rsidRPr="00917E22" w:rsidR="009769B9" w:rsidP="00864F84" w:rsidRDefault="009769B9" w14:paraId="26A642A4" w14:textId="77777777">
      <w:pPr>
        <w:rPr>
          <w:rFonts w:ascii="Times New Roman" w:hAnsi="Times New Roman"/>
          <w:szCs w:val="24"/>
        </w:rPr>
      </w:pPr>
    </w:p>
    <w:p w:rsidRPr="00917E22" w:rsidR="009769B9" w:rsidP="00FE0B22" w:rsidRDefault="00400D10" w14:paraId="53576312" w14:textId="71C4FD46">
      <w:pPr>
        <w:ind w:left="720" w:hanging="720"/>
        <w:rPr>
          <w:rFonts w:ascii="Times New Roman" w:hAnsi="Times New Roman"/>
          <w:szCs w:val="24"/>
        </w:rPr>
      </w:pPr>
      <w:r w:rsidRPr="00917E22">
        <w:rPr>
          <w:rFonts w:ascii="Times New Roman" w:hAnsi="Times New Roman"/>
          <w:szCs w:val="24"/>
        </w:rPr>
        <w:t>I</w:t>
      </w:r>
      <w:r w:rsidRPr="00917E22" w:rsidR="009769B9">
        <w:rPr>
          <w:rFonts w:ascii="Times New Roman" w:hAnsi="Times New Roman"/>
          <w:szCs w:val="24"/>
        </w:rPr>
        <w:t>.</w:t>
      </w:r>
      <w:r w:rsidRPr="00917E22" w:rsidR="009769B9">
        <w:rPr>
          <w:rFonts w:ascii="Times New Roman" w:hAnsi="Times New Roman"/>
          <w:szCs w:val="24"/>
        </w:rPr>
        <w:tab/>
        <w:t>Summary of Changes to Sta</w:t>
      </w:r>
      <w:r w:rsidRPr="00917E22" w:rsidR="00035D65">
        <w:rPr>
          <w:rFonts w:ascii="Times New Roman" w:hAnsi="Times New Roman"/>
          <w:szCs w:val="24"/>
        </w:rPr>
        <w:t>ndard,</w:t>
      </w:r>
      <w:r w:rsidRPr="00917E22" w:rsidR="009769B9">
        <w:rPr>
          <w:rFonts w:ascii="Times New Roman" w:hAnsi="Times New Roman"/>
          <w:szCs w:val="24"/>
        </w:rPr>
        <w:t xml:space="preserve"> Consolidated</w:t>
      </w:r>
      <w:r w:rsidRPr="00917E22" w:rsidR="007D47EF">
        <w:rPr>
          <w:rFonts w:ascii="Times New Roman" w:hAnsi="Times New Roman"/>
          <w:szCs w:val="24"/>
        </w:rPr>
        <w:t>, and Classification</w:t>
      </w:r>
      <w:r w:rsidRPr="00917E22" w:rsidR="009769B9">
        <w:rPr>
          <w:rFonts w:ascii="Times New Roman" w:hAnsi="Times New Roman"/>
          <w:szCs w:val="24"/>
        </w:rPr>
        <w:t xml:space="preserve"> Questionnaires</w:t>
      </w:r>
      <w:r w:rsidRPr="00917E22">
        <w:rPr>
          <w:rFonts w:ascii="Times New Roman" w:hAnsi="Times New Roman"/>
          <w:szCs w:val="24"/>
        </w:rPr>
        <w:t xml:space="preserve"> </w:t>
      </w:r>
    </w:p>
    <w:p w:rsidRPr="00917E22" w:rsidR="005824C8" w:rsidP="00864F84" w:rsidRDefault="005824C8" w14:paraId="5A808D0B" w14:textId="77777777">
      <w:pPr>
        <w:rPr>
          <w:rFonts w:ascii="Times New Roman" w:hAnsi="Times New Roman"/>
          <w:szCs w:val="24"/>
        </w:rPr>
      </w:pPr>
    </w:p>
    <w:p w:rsidRPr="00917E22" w:rsidR="005824C8" w:rsidP="00FE0B22" w:rsidRDefault="0097477E" w14:paraId="10AFC13B" w14:textId="2D355553">
      <w:pPr>
        <w:ind w:left="720" w:hanging="720"/>
        <w:rPr>
          <w:rFonts w:ascii="Times New Roman" w:hAnsi="Times New Roman"/>
          <w:szCs w:val="24"/>
        </w:rPr>
      </w:pPr>
      <w:r w:rsidRPr="00917E22">
        <w:rPr>
          <w:rFonts w:ascii="Times New Roman" w:hAnsi="Times New Roman"/>
          <w:szCs w:val="24"/>
        </w:rPr>
        <w:t>J</w:t>
      </w:r>
      <w:r w:rsidRPr="00917E22" w:rsidR="005824C8">
        <w:rPr>
          <w:rFonts w:ascii="Times New Roman" w:hAnsi="Times New Roman"/>
          <w:szCs w:val="24"/>
        </w:rPr>
        <w:t>.</w:t>
      </w:r>
      <w:r w:rsidRPr="00917E22" w:rsidR="005824C8">
        <w:rPr>
          <w:rFonts w:ascii="Times New Roman" w:hAnsi="Times New Roman"/>
          <w:szCs w:val="24"/>
        </w:rPr>
        <w:tab/>
        <w:t>Instrument Development and Design Research and Testing</w:t>
      </w:r>
      <w:r w:rsidRPr="00917E22" w:rsidR="00874AA0">
        <w:rPr>
          <w:rFonts w:ascii="Times New Roman" w:hAnsi="Times New Roman"/>
          <w:szCs w:val="24"/>
        </w:rPr>
        <w:t xml:space="preserve"> H</w:t>
      </w:r>
      <w:r w:rsidRPr="00917E22" w:rsidR="00CA23CC">
        <w:rPr>
          <w:rFonts w:ascii="Times New Roman" w:hAnsi="Times New Roman"/>
          <w:szCs w:val="24"/>
        </w:rPr>
        <w:t>ighlights</w:t>
      </w:r>
      <w:r w:rsidRPr="00917E22">
        <w:rPr>
          <w:rFonts w:ascii="Times New Roman" w:hAnsi="Times New Roman"/>
          <w:szCs w:val="24"/>
        </w:rPr>
        <w:t xml:space="preserve"> </w:t>
      </w:r>
    </w:p>
    <w:p w:rsidRPr="00917E22" w:rsidR="00CA23CC" w:rsidP="00864F84" w:rsidRDefault="00CA23CC" w14:paraId="4194ACEE" w14:textId="77777777">
      <w:pPr>
        <w:rPr>
          <w:rFonts w:ascii="Times New Roman" w:hAnsi="Times New Roman"/>
          <w:szCs w:val="24"/>
        </w:rPr>
      </w:pPr>
    </w:p>
    <w:p w:rsidR="00CA23CC" w:rsidP="00864F84" w:rsidRDefault="0097477E" w14:paraId="7FBAFEA6" w14:textId="7CDC2F53">
      <w:pPr>
        <w:rPr>
          <w:rFonts w:ascii="Times New Roman" w:hAnsi="Times New Roman"/>
          <w:szCs w:val="24"/>
        </w:rPr>
      </w:pPr>
      <w:r w:rsidRPr="00917E22">
        <w:rPr>
          <w:rFonts w:ascii="Times New Roman" w:hAnsi="Times New Roman"/>
          <w:szCs w:val="24"/>
        </w:rPr>
        <w:t>K</w:t>
      </w:r>
      <w:r w:rsidRPr="00917E22" w:rsidR="00CA23CC">
        <w:rPr>
          <w:rFonts w:ascii="Times New Roman" w:hAnsi="Times New Roman"/>
          <w:szCs w:val="24"/>
        </w:rPr>
        <w:t>.</w:t>
      </w:r>
      <w:r w:rsidRPr="00917E22" w:rsidR="00CA23CC">
        <w:rPr>
          <w:rFonts w:ascii="Times New Roman" w:hAnsi="Times New Roman"/>
          <w:szCs w:val="24"/>
        </w:rPr>
        <w:tab/>
        <w:t>Contact Strategies Testing</w:t>
      </w:r>
    </w:p>
    <w:p w:rsidR="00324503" w:rsidP="00864F84" w:rsidRDefault="00324503" w14:paraId="4022AF2D" w14:textId="0DA7329C">
      <w:pPr>
        <w:rPr>
          <w:rFonts w:ascii="Times New Roman" w:hAnsi="Times New Roman"/>
          <w:szCs w:val="24"/>
        </w:rPr>
      </w:pPr>
    </w:p>
    <w:p w:rsidR="000E5C6D" w:rsidP="00DE3A49" w:rsidRDefault="00324503" w14:paraId="7FF880A4" w14:textId="70740CBF">
      <w:pPr>
        <w:rPr>
          <w:rFonts w:ascii="Times New Roman" w:hAnsi="Times New Roman"/>
        </w:rPr>
      </w:pPr>
      <w:r>
        <w:rPr>
          <w:rFonts w:ascii="Times New Roman" w:hAnsi="Times New Roman"/>
          <w:szCs w:val="24"/>
        </w:rPr>
        <w:t>L.</w:t>
      </w:r>
      <w:r>
        <w:rPr>
          <w:rFonts w:ascii="Times New Roman" w:hAnsi="Times New Roman"/>
          <w:szCs w:val="24"/>
        </w:rPr>
        <w:tab/>
      </w:r>
      <w:r w:rsidRPr="00B07684" w:rsidR="00B07684">
        <w:rPr>
          <w:rFonts w:ascii="Times New Roman" w:hAnsi="Times New Roman"/>
        </w:rPr>
        <w:t>Title 13 U.S.C. Relevant Sections</w:t>
      </w:r>
    </w:p>
    <w:p w:rsidR="00807828" w:rsidP="00DE3A49" w:rsidRDefault="00807828" w14:paraId="2F1A01F6" w14:textId="13C9F68A">
      <w:pPr>
        <w:rPr>
          <w:rFonts w:ascii="Times New Roman" w:hAnsi="Times New Roman"/>
        </w:rPr>
      </w:pPr>
    </w:p>
    <w:p w:rsidRPr="00864F84" w:rsidR="00807828" w:rsidP="00DE3A49" w:rsidRDefault="00807828" w14:paraId="4603BA24" w14:textId="45C6B742">
      <w:pPr>
        <w:rPr>
          <w:rFonts w:ascii="Times New Roman" w:hAnsi="Times New Roman"/>
          <w:sz w:val="20"/>
        </w:rPr>
      </w:pPr>
      <w:r>
        <w:rPr>
          <w:rFonts w:ascii="Times New Roman" w:hAnsi="Times New Roman"/>
        </w:rPr>
        <w:t>M.</w:t>
      </w:r>
      <w:r>
        <w:rPr>
          <w:rFonts w:ascii="Times New Roman" w:hAnsi="Times New Roman"/>
        </w:rPr>
        <w:tab/>
        <w:t>Public comments received in response to March 2, 2022 Federal Register Notice</w:t>
      </w:r>
    </w:p>
    <w:sectPr w:rsidRPr="00864F84" w:rsidR="0080782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810F" w14:textId="77777777" w:rsidR="00AC4D8C" w:rsidRDefault="00AC4D8C">
      <w:r>
        <w:separator/>
      </w:r>
    </w:p>
  </w:endnote>
  <w:endnote w:type="continuationSeparator" w:id="0">
    <w:p w14:paraId="12CB7EBA" w14:textId="77777777" w:rsidR="00AC4D8C" w:rsidRDefault="00AC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86979" w14:textId="77777777" w:rsidR="00DB54E1" w:rsidRDefault="00DB5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F34E" w14:textId="77777777" w:rsidR="00DB54E1" w:rsidRDefault="00DB5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6D41" w14:textId="77777777" w:rsidR="00DB54E1" w:rsidRDefault="00DB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0C9D" w14:textId="77777777" w:rsidR="00AC4D8C" w:rsidRDefault="00AC4D8C">
      <w:r>
        <w:separator/>
      </w:r>
    </w:p>
  </w:footnote>
  <w:footnote w:type="continuationSeparator" w:id="0">
    <w:p w14:paraId="55F6A199" w14:textId="77777777" w:rsidR="00AC4D8C" w:rsidRDefault="00AC4D8C">
      <w:r>
        <w:continuationSeparator/>
      </w:r>
    </w:p>
  </w:footnote>
  <w:footnote w:id="1">
    <w:p w14:paraId="27FD17C5" w14:textId="247D92FA" w:rsidR="00DB54E1" w:rsidRPr="00387620" w:rsidRDefault="00DB54E1" w:rsidP="00466487">
      <w:pPr>
        <w:pStyle w:val="FootnoteText"/>
        <w:rPr>
          <w:rFonts w:asciiTheme="minorHAnsi" w:hAnsiTheme="minorHAnsi"/>
          <w:sz w:val="16"/>
          <w:szCs w:val="16"/>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A </w:t>
      </w:r>
      <w:r w:rsidRPr="00387620">
        <w:rPr>
          <w:rFonts w:asciiTheme="minorHAnsi" w:hAnsiTheme="minorHAnsi"/>
          <w:b/>
          <w:bCs/>
          <w:sz w:val="16"/>
          <w:szCs w:val="16"/>
        </w:rPr>
        <w:t>reporting unit</w:t>
      </w:r>
      <w:r w:rsidRPr="00387620">
        <w:rPr>
          <w:rFonts w:asciiTheme="minorHAnsi" w:hAnsiTheme="minorHAnsi"/>
          <w:sz w:val="16"/>
          <w:szCs w:val="16"/>
        </w:rPr>
        <w:t xml:space="preserve"> is an entity from which data are collected. The economic census uses two types of reporting units. The first is the establishment, which is an economic unit usually at a single, physical location where business is conducted or where services or industrial operations are performed. Most businesses report data for the economic census at the establishment level. The second type of reporting unit employed by respondents to answer the economic census is referred to as an “Alternative Reporting Unit (ARU).” ARUs are generally a consolidation of establishments owned by the same company. ARUs are typically used by firms engaged in networked industries such as finance, insurance, or utilities to facilitate reporting of revenue and expense data.    </w:t>
      </w:r>
    </w:p>
    <w:p w14:paraId="33859AF0" w14:textId="77777777" w:rsidR="00DB54E1" w:rsidRPr="00387620" w:rsidRDefault="00DB54E1" w:rsidP="00466487">
      <w:pPr>
        <w:pStyle w:val="FootnoteText"/>
        <w:rPr>
          <w:rFonts w:asciiTheme="minorHAnsi" w:hAnsiTheme="minorHAnsi"/>
          <w:sz w:val="16"/>
          <w:szCs w:val="16"/>
        </w:rPr>
      </w:pPr>
    </w:p>
  </w:footnote>
  <w:footnote w:id="2">
    <w:p w14:paraId="2795AFC6" w14:textId="77777777" w:rsidR="00DB54E1" w:rsidRPr="00387620" w:rsidRDefault="00DB54E1" w:rsidP="00466487">
      <w:pPr>
        <w:pStyle w:val="FootnoteText"/>
        <w:rPr>
          <w:rFonts w:asciiTheme="minorHAnsi" w:hAnsiTheme="minorHAnsi"/>
          <w:sz w:val="16"/>
          <w:szCs w:val="16"/>
          <w:lang w:bidi="en-US"/>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w:t>
      </w:r>
      <w:r w:rsidRPr="00387620">
        <w:rPr>
          <w:rFonts w:asciiTheme="minorHAnsi" w:hAnsiTheme="minorHAnsi"/>
          <w:sz w:val="16"/>
          <w:szCs w:val="16"/>
          <w:lang w:bidi="en-US"/>
        </w:rPr>
        <w:t xml:space="preserve">A </w:t>
      </w:r>
      <w:r w:rsidRPr="00387620">
        <w:rPr>
          <w:rFonts w:asciiTheme="minorHAnsi" w:hAnsiTheme="minorHAnsi"/>
          <w:b/>
          <w:sz w:val="16"/>
          <w:szCs w:val="16"/>
          <w:lang w:bidi="en-US"/>
        </w:rPr>
        <w:t>returned</w:t>
      </w:r>
      <w:r w:rsidRPr="00387620">
        <w:rPr>
          <w:rFonts w:asciiTheme="minorHAnsi" w:hAnsiTheme="minorHAnsi"/>
          <w:sz w:val="16"/>
          <w:szCs w:val="16"/>
          <w:lang w:bidi="en-US"/>
        </w:rPr>
        <w:t xml:space="preserve"> questionnaire includes receipt of an electronic submission authorized by the respondent, receipt of an acceptable response during targeted telephone follow-up calls, or, under special circumstances, respondent-authorized submission by some other means.</w:t>
      </w:r>
    </w:p>
  </w:footnote>
  <w:footnote w:id="3">
    <w:p w14:paraId="3484F674" w14:textId="007C405D" w:rsidR="00DB54E1" w:rsidRPr="00387620" w:rsidRDefault="00DB54E1" w:rsidP="00466487">
      <w:pPr>
        <w:pStyle w:val="FootnoteText"/>
        <w:rPr>
          <w:rFonts w:asciiTheme="minorHAnsi" w:hAnsiTheme="minorHAnsi"/>
          <w:sz w:val="16"/>
          <w:szCs w:val="16"/>
        </w:rPr>
      </w:pPr>
      <w:r w:rsidRPr="00387620">
        <w:rPr>
          <w:rStyle w:val="FootnoteReference"/>
          <w:rFonts w:asciiTheme="minorHAnsi" w:hAnsiTheme="minorHAnsi"/>
          <w:vertAlign w:val="superscript"/>
        </w:rPr>
        <w:footnoteRef/>
      </w:r>
      <w:r w:rsidRPr="00387620">
        <w:rPr>
          <w:rFonts w:asciiTheme="minorHAnsi" w:hAnsiTheme="minorHAnsi"/>
          <w:vertAlign w:val="superscript"/>
        </w:rPr>
        <w:t xml:space="preserve"> </w:t>
      </w:r>
      <w:r w:rsidRPr="00387620">
        <w:rPr>
          <w:rFonts w:asciiTheme="minorHAnsi" w:hAnsiTheme="minorHAnsi"/>
          <w:sz w:val="16"/>
          <w:szCs w:val="16"/>
        </w:rPr>
        <w:t xml:space="preserve">The </w:t>
      </w:r>
      <w:r w:rsidRPr="00387620">
        <w:rPr>
          <w:rFonts w:asciiTheme="minorHAnsi" w:hAnsiTheme="minorHAnsi"/>
          <w:b/>
          <w:sz w:val="16"/>
          <w:szCs w:val="16"/>
        </w:rPr>
        <w:t>tabulating unit</w:t>
      </w:r>
      <w:r w:rsidRPr="00387620">
        <w:rPr>
          <w:rFonts w:asciiTheme="minorHAnsi" w:hAnsiTheme="minorHAnsi"/>
          <w:sz w:val="16"/>
          <w:szCs w:val="16"/>
        </w:rPr>
        <w:t xml:space="preserve"> houses the data for estimation and tabulation. For the economic census, the tabulating unit is the establishment.</w:t>
      </w:r>
    </w:p>
    <w:p w14:paraId="6BEF8A78" w14:textId="77777777" w:rsidR="00DB54E1" w:rsidRPr="00D80DFC" w:rsidRDefault="00DB54E1" w:rsidP="00466487">
      <w:pPr>
        <w:pStyle w:val="FootnoteText"/>
        <w:rPr>
          <w:sz w:val="16"/>
          <w:szCs w:val="16"/>
        </w:rPr>
      </w:pPr>
    </w:p>
  </w:footnote>
  <w:footnote w:id="4">
    <w:p w14:paraId="0002A4A9" w14:textId="44F250F2" w:rsidR="00DB54E1" w:rsidRPr="00387620" w:rsidRDefault="00DB54E1" w:rsidP="00611A8A">
      <w:pPr>
        <w:pStyle w:val="FootnoteText"/>
        <w:ind w:left="270" w:hanging="270"/>
        <w:rPr>
          <w:rFonts w:asciiTheme="minorHAnsi" w:hAnsiTheme="minorHAnsi"/>
          <w:color w:val="000000"/>
          <w:sz w:val="16"/>
          <w:szCs w:val="16"/>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w:t>
      </w:r>
      <w:r w:rsidRPr="00387620">
        <w:rPr>
          <w:rFonts w:asciiTheme="minorHAnsi" w:hAnsiTheme="minorHAnsi"/>
          <w:sz w:val="16"/>
          <w:szCs w:val="16"/>
        </w:rPr>
        <w:tab/>
        <w:t xml:space="preserve">From </w:t>
      </w:r>
      <w:r w:rsidRPr="001666D0">
        <w:rPr>
          <w:rFonts w:asciiTheme="minorHAnsi" w:hAnsiTheme="minorHAnsi"/>
          <w:sz w:val="16"/>
          <w:szCs w:val="16"/>
        </w:rPr>
        <w:t>the 2017 NAICS Manual</w:t>
      </w:r>
      <w:r w:rsidRPr="00917E22">
        <w:rPr>
          <w:rFonts w:asciiTheme="minorHAnsi" w:hAnsiTheme="minorHAnsi"/>
          <w:sz w:val="16"/>
          <w:szCs w:val="16"/>
        </w:rPr>
        <w:t xml:space="preserve"> (page 18), </w:t>
      </w:r>
      <w:r w:rsidRPr="00917E22">
        <w:rPr>
          <w:rFonts w:asciiTheme="minorHAnsi" w:hAnsiTheme="minorHAnsi"/>
          <w:color w:val="000000"/>
          <w:sz w:val="16"/>
          <w:szCs w:val="16"/>
        </w:rPr>
        <w:t>"</w:t>
      </w:r>
      <w:r w:rsidRPr="00387620">
        <w:rPr>
          <w:rFonts w:asciiTheme="minorHAnsi" w:hAnsiTheme="minorHAnsi"/>
          <w:color w:val="000000"/>
          <w:sz w:val="16"/>
          <w:szCs w:val="16"/>
        </w:rPr>
        <w:t>NAICS agreements permit each country to designate detailed industries, below the level of a NAICS industry, to meet national needs. The United States has such industry detail in many places in the classification system..."</w:t>
      </w:r>
      <w:r>
        <w:rPr>
          <w:rFonts w:asciiTheme="minorHAnsi" w:hAnsiTheme="minorHAnsi"/>
          <w:color w:val="000000"/>
          <w:sz w:val="16"/>
          <w:szCs w:val="16"/>
        </w:rPr>
        <w:t>.</w:t>
      </w:r>
      <w:r w:rsidRPr="00387620">
        <w:rPr>
          <w:rFonts w:asciiTheme="minorHAnsi" w:hAnsiTheme="minorHAnsi"/>
          <w:color w:val="000000"/>
          <w:sz w:val="16"/>
          <w:szCs w:val="16"/>
        </w:rPr>
        <w:t xml:space="preserve"> The Census Bureau uses two additional digits to specify more detail in some industries.</w:t>
      </w:r>
    </w:p>
    <w:p w14:paraId="00738765" w14:textId="06F411EF" w:rsidR="00DB54E1" w:rsidRPr="00553079" w:rsidRDefault="00DB54E1" w:rsidP="00A14537">
      <w:pPr>
        <w:pStyle w:val="FootnoteText"/>
        <w:rPr>
          <w:rFonts w:asciiTheme="minorHAnsi" w:hAnsi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7A37" w14:textId="77777777" w:rsidR="00DB54E1" w:rsidRDefault="00DB5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49B8" w14:textId="62789183" w:rsidR="00DB54E1" w:rsidRDefault="00DB54E1">
    <w:pPr>
      <w:framePr w:w="9361" w:wrap="notBeside" w:vAnchor="text" w:hAnchor="text" w:x="1" w:y="1"/>
      <w:jc w:val="right"/>
    </w:pPr>
    <w:r>
      <w:fldChar w:fldCharType="begin"/>
    </w:r>
    <w:r>
      <w:instrText xml:space="preserve">PAGE </w:instrText>
    </w:r>
    <w:r>
      <w:fldChar w:fldCharType="separate"/>
    </w:r>
    <w:r>
      <w:rPr>
        <w:noProof/>
      </w:rPr>
      <w:t>20</w:t>
    </w:r>
    <w:r>
      <w:fldChar w:fldCharType="end"/>
    </w:r>
  </w:p>
  <w:p w14:paraId="0F75CD45" w14:textId="77777777" w:rsidR="00DB54E1" w:rsidRDefault="00DB54E1"/>
  <w:p w14:paraId="35509719" w14:textId="77777777" w:rsidR="00DB54E1" w:rsidRDefault="00DB54E1">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C36E" w14:textId="77777777" w:rsidR="00DB54E1" w:rsidRDefault="00DB5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872B8"/>
    <w:multiLevelType w:val="hybridMultilevel"/>
    <w:tmpl w:val="9A90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76A31"/>
    <w:multiLevelType w:val="hybridMultilevel"/>
    <w:tmpl w:val="4A7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75805"/>
    <w:multiLevelType w:val="hybridMultilevel"/>
    <w:tmpl w:val="7178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80295"/>
    <w:multiLevelType w:val="hybridMultilevel"/>
    <w:tmpl w:val="B6DEE0B2"/>
    <w:lvl w:ilvl="0" w:tplc="7ADCBE70">
      <w:start w:val="491"/>
      <w:numFmt w:val="decimal"/>
      <w:lvlText w:val="%1"/>
      <w:lvlJc w:val="left"/>
      <w:pPr>
        <w:tabs>
          <w:tab w:val="num" w:pos="2880"/>
        </w:tabs>
        <w:ind w:left="2880" w:hanging="2160"/>
      </w:pPr>
      <w:rPr>
        <w:rFonts w:hint="default"/>
      </w:rPr>
    </w:lvl>
    <w:lvl w:ilvl="1" w:tplc="8E82880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B11992"/>
    <w:multiLevelType w:val="hybridMultilevel"/>
    <w:tmpl w:val="7DF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23B2C"/>
    <w:multiLevelType w:val="hybridMultilevel"/>
    <w:tmpl w:val="B06C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E83AF8"/>
    <w:multiLevelType w:val="hybridMultilevel"/>
    <w:tmpl w:val="275EA9B0"/>
    <w:lvl w:ilvl="0" w:tplc="385A6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DB2D7C"/>
    <w:multiLevelType w:val="hybridMultilevel"/>
    <w:tmpl w:val="46A81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599C"/>
    <w:multiLevelType w:val="hybridMultilevel"/>
    <w:tmpl w:val="2E782808"/>
    <w:lvl w:ilvl="0" w:tplc="4746D52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1365471"/>
    <w:multiLevelType w:val="hybridMultilevel"/>
    <w:tmpl w:val="A7B0A72E"/>
    <w:lvl w:ilvl="0" w:tplc="7C121E4C">
      <w:start w:val="48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C64811"/>
    <w:multiLevelType w:val="hybridMultilevel"/>
    <w:tmpl w:val="964458C8"/>
    <w:lvl w:ilvl="0" w:tplc="1C4E54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2F635E6"/>
    <w:multiLevelType w:val="hybridMultilevel"/>
    <w:tmpl w:val="2C343C9A"/>
    <w:lvl w:ilvl="0" w:tplc="CC9AA722">
      <w:start w:val="492"/>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3BB3D73"/>
    <w:multiLevelType w:val="hybridMultilevel"/>
    <w:tmpl w:val="7DD273E6"/>
    <w:lvl w:ilvl="0" w:tplc="FEAC8FDC">
      <w:start w:val="22"/>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4F7FAD"/>
    <w:multiLevelType w:val="hybridMultilevel"/>
    <w:tmpl w:val="644AE37E"/>
    <w:lvl w:ilvl="0" w:tplc="4CA23A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32496F"/>
    <w:multiLevelType w:val="hybridMultilevel"/>
    <w:tmpl w:val="DA00D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25612"/>
    <w:multiLevelType w:val="hybridMultilevel"/>
    <w:tmpl w:val="37CE3B08"/>
    <w:lvl w:ilvl="0" w:tplc="7804CBDC">
      <w:start w:val="521"/>
      <w:numFmt w:val="decimal"/>
      <w:lvlText w:val="%1"/>
      <w:lvlJc w:val="left"/>
      <w:pPr>
        <w:tabs>
          <w:tab w:val="num" w:pos="2880"/>
        </w:tabs>
        <w:ind w:left="2880" w:hanging="2160"/>
      </w:pPr>
      <w:rPr>
        <w:rFonts w:hint="default"/>
      </w:rPr>
    </w:lvl>
    <w:lvl w:ilvl="1" w:tplc="EF6CA13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9F420C6">
      <w:start w:val="1"/>
      <w:numFmt w:val="upperRoman"/>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5C72437"/>
    <w:multiLevelType w:val="hybridMultilevel"/>
    <w:tmpl w:val="1B2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70668"/>
    <w:multiLevelType w:val="hybridMultilevel"/>
    <w:tmpl w:val="E22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5774A"/>
    <w:multiLevelType w:val="hybridMultilevel"/>
    <w:tmpl w:val="E536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50222"/>
    <w:multiLevelType w:val="hybridMultilevel"/>
    <w:tmpl w:val="137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A7DDE"/>
    <w:multiLevelType w:val="hybridMultilevel"/>
    <w:tmpl w:val="2D7A0BE0"/>
    <w:lvl w:ilvl="0" w:tplc="969086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FDA374F"/>
    <w:multiLevelType w:val="hybridMultilevel"/>
    <w:tmpl w:val="36E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22886"/>
    <w:multiLevelType w:val="hybridMultilevel"/>
    <w:tmpl w:val="321C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A1ED7"/>
    <w:multiLevelType w:val="hybridMultilevel"/>
    <w:tmpl w:val="8B0E2D0A"/>
    <w:lvl w:ilvl="0" w:tplc="8C8406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CE32A2"/>
    <w:multiLevelType w:val="hybridMultilevel"/>
    <w:tmpl w:val="5DB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C634F"/>
    <w:multiLevelType w:val="singleLevel"/>
    <w:tmpl w:val="04090017"/>
    <w:lvl w:ilvl="0">
      <w:start w:val="1"/>
      <w:numFmt w:val="lowerLetter"/>
      <w:lvlText w:val="%1)"/>
      <w:lvlJc w:val="left"/>
      <w:pPr>
        <w:ind w:left="360" w:hanging="360"/>
      </w:pPr>
      <w:rPr>
        <w:rFonts w:hint="default"/>
      </w:rPr>
    </w:lvl>
  </w:abstractNum>
  <w:abstractNum w:abstractNumId="27" w15:restartNumberingAfterBreak="0">
    <w:nsid w:val="5C323F6B"/>
    <w:multiLevelType w:val="hybridMultilevel"/>
    <w:tmpl w:val="0AEC4C34"/>
    <w:lvl w:ilvl="0" w:tplc="1DDA74D8">
      <w:start w:val="425"/>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C684B34"/>
    <w:multiLevelType w:val="hybridMultilevel"/>
    <w:tmpl w:val="542A2CEE"/>
    <w:lvl w:ilvl="0" w:tplc="34368CEA">
      <w:start w:val="52"/>
      <w:numFmt w:val="decimal"/>
      <w:lvlText w:val="%1"/>
      <w:lvlJc w:val="left"/>
      <w:pPr>
        <w:tabs>
          <w:tab w:val="num" w:pos="2880"/>
        </w:tabs>
        <w:ind w:left="2880" w:hanging="2160"/>
      </w:pPr>
      <w:rPr>
        <w:rFonts w:hint="default"/>
      </w:rPr>
    </w:lvl>
    <w:lvl w:ilvl="1" w:tplc="CB60AA0C">
      <w:start w:val="1"/>
      <w:numFmt w:val="lowerLetter"/>
      <w:lvlText w:val="%2."/>
      <w:lvlJc w:val="left"/>
      <w:pPr>
        <w:tabs>
          <w:tab w:val="num" w:pos="1920"/>
        </w:tabs>
        <w:ind w:left="1920" w:hanging="480"/>
      </w:pPr>
      <w:rPr>
        <w:rFonts w:hint="default"/>
      </w:rPr>
    </w:lvl>
    <w:lvl w:ilvl="2" w:tplc="F7EA901A">
      <w:start w:val="2"/>
      <w:numFmt w:val="lowerLetter"/>
      <w:lvlText w:val="(%3)"/>
      <w:lvlJc w:val="left"/>
      <w:pPr>
        <w:tabs>
          <w:tab w:val="num" w:pos="3060"/>
        </w:tabs>
        <w:ind w:left="3060" w:hanging="720"/>
      </w:pPr>
      <w:rPr>
        <w:rFonts w:hint="default"/>
      </w:rPr>
    </w:lvl>
    <w:lvl w:ilvl="3" w:tplc="13C4AD92">
      <w:start w:val="7"/>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D3F02D6"/>
    <w:multiLevelType w:val="hybridMultilevel"/>
    <w:tmpl w:val="FFA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351F1"/>
    <w:multiLevelType w:val="hybridMultilevel"/>
    <w:tmpl w:val="D69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511C7"/>
    <w:multiLevelType w:val="singleLevel"/>
    <w:tmpl w:val="6116242A"/>
    <w:lvl w:ilvl="0">
      <w:start w:val="1"/>
      <w:numFmt w:val="decimal"/>
      <w:lvlText w:val="(%1)"/>
      <w:lvlJc w:val="left"/>
      <w:pPr>
        <w:tabs>
          <w:tab w:val="num" w:pos="2160"/>
        </w:tabs>
        <w:ind w:left="2160" w:hanging="720"/>
      </w:pPr>
      <w:rPr>
        <w:rFonts w:hint="default"/>
      </w:rPr>
    </w:lvl>
  </w:abstractNum>
  <w:abstractNum w:abstractNumId="32" w15:restartNumberingAfterBreak="0">
    <w:nsid w:val="66812B6F"/>
    <w:multiLevelType w:val="hybridMultilevel"/>
    <w:tmpl w:val="1744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C7D62"/>
    <w:multiLevelType w:val="multilevel"/>
    <w:tmpl w:val="E61676AC"/>
    <w:lvl w:ilvl="0">
      <w:start w:val="48"/>
      <w:numFmt w:val="decimal"/>
      <w:lvlText w:val="%1"/>
      <w:lvlJc w:val="left"/>
      <w:pPr>
        <w:tabs>
          <w:tab w:val="num" w:pos="2160"/>
        </w:tabs>
        <w:ind w:left="2160" w:hanging="2160"/>
      </w:pPr>
      <w:rPr>
        <w:rFonts w:hint="default"/>
      </w:rPr>
    </w:lvl>
    <w:lvl w:ilvl="1">
      <w:start w:val="49"/>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4" w15:restartNumberingAfterBreak="0">
    <w:nsid w:val="67BF4AFA"/>
    <w:multiLevelType w:val="singleLevel"/>
    <w:tmpl w:val="248EE29A"/>
    <w:lvl w:ilvl="0">
      <w:start w:val="3"/>
      <w:numFmt w:val="lowerLetter"/>
      <w:lvlText w:val="(%1)"/>
      <w:lvlJc w:val="left"/>
      <w:pPr>
        <w:tabs>
          <w:tab w:val="num" w:pos="2880"/>
        </w:tabs>
        <w:ind w:left="2880" w:hanging="720"/>
      </w:pPr>
      <w:rPr>
        <w:rFonts w:hint="default"/>
      </w:rPr>
    </w:lvl>
  </w:abstractNum>
  <w:abstractNum w:abstractNumId="35" w15:restartNumberingAfterBreak="0">
    <w:nsid w:val="67D40422"/>
    <w:multiLevelType w:val="hybridMultilevel"/>
    <w:tmpl w:val="A77E37CE"/>
    <w:lvl w:ilvl="0" w:tplc="CC8252AA">
      <w:start w:val="53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86D7B5D"/>
    <w:multiLevelType w:val="hybridMultilevel"/>
    <w:tmpl w:val="E290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34AFB"/>
    <w:multiLevelType w:val="hybridMultilevel"/>
    <w:tmpl w:val="784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F106C"/>
    <w:multiLevelType w:val="hybridMultilevel"/>
    <w:tmpl w:val="25A23016"/>
    <w:lvl w:ilvl="0" w:tplc="1AC0B2BA">
      <w:start w:val="1"/>
      <w:numFmt w:val="lowerLetter"/>
      <w:lvlText w:val="(%1)"/>
      <w:lvlJc w:val="left"/>
      <w:pPr>
        <w:ind w:left="1980" w:hanging="720"/>
      </w:pPr>
      <w:rPr>
        <w:rFonts w:ascii="Times New Roman" w:eastAsia="Times New Roman" w:hAnsi="Times New Roman" w:cs="Times New Roman"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6FC35568"/>
    <w:multiLevelType w:val="singleLevel"/>
    <w:tmpl w:val="7B9EC11C"/>
    <w:lvl w:ilvl="0">
      <w:start w:val="2"/>
      <w:numFmt w:val="decimal"/>
      <w:lvlText w:val="(%1)"/>
      <w:lvlJc w:val="left"/>
      <w:pPr>
        <w:tabs>
          <w:tab w:val="num" w:pos="2160"/>
        </w:tabs>
        <w:ind w:left="2160" w:hanging="720"/>
      </w:pPr>
      <w:rPr>
        <w:rFonts w:hint="default"/>
      </w:rPr>
    </w:lvl>
  </w:abstractNum>
  <w:abstractNum w:abstractNumId="40" w15:restartNumberingAfterBreak="0">
    <w:nsid w:val="73985F9A"/>
    <w:multiLevelType w:val="hybridMultilevel"/>
    <w:tmpl w:val="66765348"/>
    <w:lvl w:ilvl="0" w:tplc="C9EE5258">
      <w:start w:val="484"/>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6915F9E"/>
    <w:multiLevelType w:val="hybridMultilevel"/>
    <w:tmpl w:val="DE0E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abstractNumId w:val="39"/>
  </w:num>
  <w:num w:numId="3">
    <w:abstractNumId w:val="31"/>
  </w:num>
  <w:num w:numId="4">
    <w:abstractNumId w:val="34"/>
  </w:num>
  <w:num w:numId="5">
    <w:abstractNumId w:val="26"/>
  </w:num>
  <w:num w:numId="6">
    <w:abstractNumId w:val="27"/>
  </w:num>
  <w:num w:numId="7">
    <w:abstractNumId w:val="13"/>
  </w:num>
  <w:num w:numId="8">
    <w:abstractNumId w:val="33"/>
  </w:num>
  <w:num w:numId="9">
    <w:abstractNumId w:val="10"/>
  </w:num>
  <w:num w:numId="10">
    <w:abstractNumId w:val="4"/>
  </w:num>
  <w:num w:numId="11">
    <w:abstractNumId w:val="28"/>
  </w:num>
  <w:num w:numId="12">
    <w:abstractNumId w:val="16"/>
  </w:num>
  <w:num w:numId="13">
    <w:abstractNumId w:val="35"/>
  </w:num>
  <w:num w:numId="14">
    <w:abstractNumId w:val="40"/>
  </w:num>
  <w:num w:numId="15">
    <w:abstractNumId w:val="12"/>
  </w:num>
  <w:num w:numId="16">
    <w:abstractNumId w:val="7"/>
  </w:num>
  <w:num w:numId="17">
    <w:abstractNumId w:val="24"/>
  </w:num>
  <w:num w:numId="18">
    <w:abstractNumId w:val="9"/>
  </w:num>
  <w:num w:numId="19">
    <w:abstractNumId w:val="14"/>
  </w:num>
  <w:num w:numId="20">
    <w:abstractNumId w:val="21"/>
  </w:num>
  <w:num w:numId="21">
    <w:abstractNumId w:val="11"/>
  </w:num>
  <w:num w:numId="22">
    <w:abstractNumId w:val="38"/>
  </w:num>
  <w:num w:numId="23">
    <w:abstractNumId w:val="19"/>
  </w:num>
  <w:num w:numId="24">
    <w:abstractNumId w:val="22"/>
  </w:num>
  <w:num w:numId="25">
    <w:abstractNumId w:val="41"/>
  </w:num>
  <w:num w:numId="26">
    <w:abstractNumId w:val="2"/>
  </w:num>
  <w:num w:numId="27">
    <w:abstractNumId w:val="32"/>
  </w:num>
  <w:num w:numId="28">
    <w:abstractNumId w:val="17"/>
  </w:num>
  <w:num w:numId="29">
    <w:abstractNumId w:val="37"/>
  </w:num>
  <w:num w:numId="30">
    <w:abstractNumId w:val="3"/>
  </w:num>
  <w:num w:numId="31">
    <w:abstractNumId w:val="36"/>
  </w:num>
  <w:num w:numId="32">
    <w:abstractNumId w:val="15"/>
  </w:num>
  <w:num w:numId="33">
    <w:abstractNumId w:val="23"/>
  </w:num>
  <w:num w:numId="34">
    <w:abstractNumId w:val="6"/>
  </w:num>
  <w:num w:numId="35">
    <w:abstractNumId w:val="30"/>
  </w:num>
  <w:num w:numId="36">
    <w:abstractNumId w:val="18"/>
  </w:num>
  <w:num w:numId="37">
    <w:abstractNumId w:val="25"/>
  </w:num>
  <w:num w:numId="38">
    <w:abstractNumId w:val="1"/>
  </w:num>
  <w:num w:numId="39">
    <w:abstractNumId w:val="5"/>
  </w:num>
  <w:num w:numId="40">
    <w:abstractNumId w:val="8"/>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XmlVersion" w:val="Empty"/>
  </w:docVars>
  <w:rsids>
    <w:rsidRoot w:val="002A794F"/>
    <w:rsid w:val="000033AD"/>
    <w:rsid w:val="000063AB"/>
    <w:rsid w:val="00015D05"/>
    <w:rsid w:val="0001741F"/>
    <w:rsid w:val="000213E9"/>
    <w:rsid w:val="0002259E"/>
    <w:rsid w:val="00027BB2"/>
    <w:rsid w:val="00031231"/>
    <w:rsid w:val="00031BC1"/>
    <w:rsid w:val="000320ED"/>
    <w:rsid w:val="00035D65"/>
    <w:rsid w:val="0003793E"/>
    <w:rsid w:val="00037E35"/>
    <w:rsid w:val="00041B4B"/>
    <w:rsid w:val="00050636"/>
    <w:rsid w:val="00055A82"/>
    <w:rsid w:val="00060427"/>
    <w:rsid w:val="00064DC1"/>
    <w:rsid w:val="000663FF"/>
    <w:rsid w:val="000711B6"/>
    <w:rsid w:val="00072CEF"/>
    <w:rsid w:val="00080A47"/>
    <w:rsid w:val="000837A3"/>
    <w:rsid w:val="00087B6D"/>
    <w:rsid w:val="000A0397"/>
    <w:rsid w:val="000A24DD"/>
    <w:rsid w:val="000B1C98"/>
    <w:rsid w:val="000C2CFB"/>
    <w:rsid w:val="000D1AF5"/>
    <w:rsid w:val="000D40CA"/>
    <w:rsid w:val="000D565B"/>
    <w:rsid w:val="000D5C11"/>
    <w:rsid w:val="000D622E"/>
    <w:rsid w:val="000E0B31"/>
    <w:rsid w:val="000E0E8F"/>
    <w:rsid w:val="000E40FA"/>
    <w:rsid w:val="000E5C6D"/>
    <w:rsid w:val="000E644F"/>
    <w:rsid w:val="000E79B3"/>
    <w:rsid w:val="000F04C3"/>
    <w:rsid w:val="001007EE"/>
    <w:rsid w:val="001023C3"/>
    <w:rsid w:val="001103DF"/>
    <w:rsid w:val="00114568"/>
    <w:rsid w:val="0011554E"/>
    <w:rsid w:val="00115DCE"/>
    <w:rsid w:val="0012398D"/>
    <w:rsid w:val="00125F42"/>
    <w:rsid w:val="00126EAC"/>
    <w:rsid w:val="00134CC9"/>
    <w:rsid w:val="00135044"/>
    <w:rsid w:val="00135C11"/>
    <w:rsid w:val="00142775"/>
    <w:rsid w:val="00147DDC"/>
    <w:rsid w:val="001537DB"/>
    <w:rsid w:val="001552F9"/>
    <w:rsid w:val="0016299C"/>
    <w:rsid w:val="0016331F"/>
    <w:rsid w:val="0016662A"/>
    <w:rsid w:val="001666D0"/>
    <w:rsid w:val="001679CF"/>
    <w:rsid w:val="00175D81"/>
    <w:rsid w:val="001773DF"/>
    <w:rsid w:val="001826F9"/>
    <w:rsid w:val="00183B0E"/>
    <w:rsid w:val="00191B57"/>
    <w:rsid w:val="001969AB"/>
    <w:rsid w:val="001A4B64"/>
    <w:rsid w:val="001A546B"/>
    <w:rsid w:val="001B1737"/>
    <w:rsid w:val="001C0471"/>
    <w:rsid w:val="001C0A0C"/>
    <w:rsid w:val="001C0ADC"/>
    <w:rsid w:val="001C4F0E"/>
    <w:rsid w:val="001C57B6"/>
    <w:rsid w:val="001E2494"/>
    <w:rsid w:val="001E3EA8"/>
    <w:rsid w:val="00200A37"/>
    <w:rsid w:val="002037FE"/>
    <w:rsid w:val="00205AB9"/>
    <w:rsid w:val="00206399"/>
    <w:rsid w:val="0020640E"/>
    <w:rsid w:val="002070B8"/>
    <w:rsid w:val="00214719"/>
    <w:rsid w:val="00214D29"/>
    <w:rsid w:val="002176BF"/>
    <w:rsid w:val="0022465D"/>
    <w:rsid w:val="00227EF4"/>
    <w:rsid w:val="002323D4"/>
    <w:rsid w:val="00233CDD"/>
    <w:rsid w:val="00241CAE"/>
    <w:rsid w:val="0024397A"/>
    <w:rsid w:val="00245558"/>
    <w:rsid w:val="00250C0A"/>
    <w:rsid w:val="00260483"/>
    <w:rsid w:val="00261593"/>
    <w:rsid w:val="0026277E"/>
    <w:rsid w:val="00263A51"/>
    <w:rsid w:val="00273CDF"/>
    <w:rsid w:val="0027415D"/>
    <w:rsid w:val="00282065"/>
    <w:rsid w:val="00284E81"/>
    <w:rsid w:val="002935E3"/>
    <w:rsid w:val="002A3D4B"/>
    <w:rsid w:val="002A794F"/>
    <w:rsid w:val="002B769E"/>
    <w:rsid w:val="002C683D"/>
    <w:rsid w:val="002D004B"/>
    <w:rsid w:val="002D4100"/>
    <w:rsid w:val="002D6398"/>
    <w:rsid w:val="002D6DDB"/>
    <w:rsid w:val="00307718"/>
    <w:rsid w:val="00310783"/>
    <w:rsid w:val="00314E78"/>
    <w:rsid w:val="00316115"/>
    <w:rsid w:val="00321F3B"/>
    <w:rsid w:val="00322323"/>
    <w:rsid w:val="0032367F"/>
    <w:rsid w:val="00323FDB"/>
    <w:rsid w:val="00324503"/>
    <w:rsid w:val="0033009F"/>
    <w:rsid w:val="003328AA"/>
    <w:rsid w:val="00334344"/>
    <w:rsid w:val="00340D00"/>
    <w:rsid w:val="003411C8"/>
    <w:rsid w:val="003415EF"/>
    <w:rsid w:val="003521E4"/>
    <w:rsid w:val="00353C41"/>
    <w:rsid w:val="00355465"/>
    <w:rsid w:val="0035650B"/>
    <w:rsid w:val="003570A6"/>
    <w:rsid w:val="0036237B"/>
    <w:rsid w:val="00364994"/>
    <w:rsid w:val="0036651F"/>
    <w:rsid w:val="00367ED1"/>
    <w:rsid w:val="00375C09"/>
    <w:rsid w:val="00381ABA"/>
    <w:rsid w:val="003834C8"/>
    <w:rsid w:val="00383C14"/>
    <w:rsid w:val="00387620"/>
    <w:rsid w:val="00390A0D"/>
    <w:rsid w:val="00394218"/>
    <w:rsid w:val="00395ADE"/>
    <w:rsid w:val="003A4584"/>
    <w:rsid w:val="003B12ED"/>
    <w:rsid w:val="003B36FC"/>
    <w:rsid w:val="003C0966"/>
    <w:rsid w:val="003C0C4C"/>
    <w:rsid w:val="003C4E66"/>
    <w:rsid w:val="003C4E68"/>
    <w:rsid w:val="003C74E3"/>
    <w:rsid w:val="003D1367"/>
    <w:rsid w:val="003D422B"/>
    <w:rsid w:val="003E0728"/>
    <w:rsid w:val="003E432D"/>
    <w:rsid w:val="003F1074"/>
    <w:rsid w:val="003F457B"/>
    <w:rsid w:val="003F552F"/>
    <w:rsid w:val="003F5A47"/>
    <w:rsid w:val="003F6D57"/>
    <w:rsid w:val="00400D10"/>
    <w:rsid w:val="004022E7"/>
    <w:rsid w:val="004070F9"/>
    <w:rsid w:val="00410511"/>
    <w:rsid w:val="004228A9"/>
    <w:rsid w:val="00423A20"/>
    <w:rsid w:val="004253A6"/>
    <w:rsid w:val="00425DBA"/>
    <w:rsid w:val="00441DF7"/>
    <w:rsid w:val="004423E7"/>
    <w:rsid w:val="004459AD"/>
    <w:rsid w:val="00466487"/>
    <w:rsid w:val="00473383"/>
    <w:rsid w:val="00474F00"/>
    <w:rsid w:val="004856DA"/>
    <w:rsid w:val="004A1389"/>
    <w:rsid w:val="004C1280"/>
    <w:rsid w:val="004C32EA"/>
    <w:rsid w:val="004C68E1"/>
    <w:rsid w:val="004D0349"/>
    <w:rsid w:val="004D36F3"/>
    <w:rsid w:val="004E004A"/>
    <w:rsid w:val="004E04CB"/>
    <w:rsid w:val="004E1301"/>
    <w:rsid w:val="004F41C0"/>
    <w:rsid w:val="004F53B4"/>
    <w:rsid w:val="004F54BF"/>
    <w:rsid w:val="004F621F"/>
    <w:rsid w:val="004F6482"/>
    <w:rsid w:val="0050145A"/>
    <w:rsid w:val="00505B8B"/>
    <w:rsid w:val="00507C35"/>
    <w:rsid w:val="005115E4"/>
    <w:rsid w:val="0051692D"/>
    <w:rsid w:val="00540C76"/>
    <w:rsid w:val="00541664"/>
    <w:rsid w:val="00544963"/>
    <w:rsid w:val="005469D7"/>
    <w:rsid w:val="00550313"/>
    <w:rsid w:val="00551968"/>
    <w:rsid w:val="00553079"/>
    <w:rsid w:val="00567DF6"/>
    <w:rsid w:val="005766C5"/>
    <w:rsid w:val="005773FE"/>
    <w:rsid w:val="0058170D"/>
    <w:rsid w:val="005824C8"/>
    <w:rsid w:val="00592B9B"/>
    <w:rsid w:val="00597B7E"/>
    <w:rsid w:val="005A0366"/>
    <w:rsid w:val="005A038E"/>
    <w:rsid w:val="005A74EA"/>
    <w:rsid w:val="005A7575"/>
    <w:rsid w:val="005A7BB7"/>
    <w:rsid w:val="005B11B1"/>
    <w:rsid w:val="005B68D6"/>
    <w:rsid w:val="005C4588"/>
    <w:rsid w:val="005C496F"/>
    <w:rsid w:val="005D2ADF"/>
    <w:rsid w:val="005D5A85"/>
    <w:rsid w:val="005E1EBA"/>
    <w:rsid w:val="005E5BB1"/>
    <w:rsid w:val="005E61D8"/>
    <w:rsid w:val="005F24C4"/>
    <w:rsid w:val="005F2730"/>
    <w:rsid w:val="005F2934"/>
    <w:rsid w:val="005F5D7C"/>
    <w:rsid w:val="005F7F74"/>
    <w:rsid w:val="006101FC"/>
    <w:rsid w:val="00610B33"/>
    <w:rsid w:val="006116F3"/>
    <w:rsid w:val="00611A8A"/>
    <w:rsid w:val="00611F13"/>
    <w:rsid w:val="00613109"/>
    <w:rsid w:val="00614602"/>
    <w:rsid w:val="00617230"/>
    <w:rsid w:val="00620D43"/>
    <w:rsid w:val="0062759A"/>
    <w:rsid w:val="00627A85"/>
    <w:rsid w:val="006343D0"/>
    <w:rsid w:val="00635048"/>
    <w:rsid w:val="00640158"/>
    <w:rsid w:val="00644035"/>
    <w:rsid w:val="00645DCD"/>
    <w:rsid w:val="006531DC"/>
    <w:rsid w:val="006535F2"/>
    <w:rsid w:val="006551AF"/>
    <w:rsid w:val="00671239"/>
    <w:rsid w:val="006744AF"/>
    <w:rsid w:val="00674A3F"/>
    <w:rsid w:val="00677560"/>
    <w:rsid w:val="0067795B"/>
    <w:rsid w:val="00681779"/>
    <w:rsid w:val="0068568F"/>
    <w:rsid w:val="00697E8D"/>
    <w:rsid w:val="006B42A0"/>
    <w:rsid w:val="006B664E"/>
    <w:rsid w:val="006B77B8"/>
    <w:rsid w:val="006C1A00"/>
    <w:rsid w:val="006C6627"/>
    <w:rsid w:val="006D5CFE"/>
    <w:rsid w:val="006E164B"/>
    <w:rsid w:val="006E2684"/>
    <w:rsid w:val="00711D98"/>
    <w:rsid w:val="007133CA"/>
    <w:rsid w:val="00721659"/>
    <w:rsid w:val="0072558A"/>
    <w:rsid w:val="007340C3"/>
    <w:rsid w:val="00734A5B"/>
    <w:rsid w:val="00735455"/>
    <w:rsid w:val="0074383C"/>
    <w:rsid w:val="00750432"/>
    <w:rsid w:val="0075353E"/>
    <w:rsid w:val="00753BE3"/>
    <w:rsid w:val="007557C2"/>
    <w:rsid w:val="007560C2"/>
    <w:rsid w:val="00766BAD"/>
    <w:rsid w:val="0077661A"/>
    <w:rsid w:val="007824C2"/>
    <w:rsid w:val="0078338D"/>
    <w:rsid w:val="0079208D"/>
    <w:rsid w:val="00792D3F"/>
    <w:rsid w:val="007A08D2"/>
    <w:rsid w:val="007A280D"/>
    <w:rsid w:val="007A753F"/>
    <w:rsid w:val="007A7628"/>
    <w:rsid w:val="007B66CF"/>
    <w:rsid w:val="007B6925"/>
    <w:rsid w:val="007C3EB2"/>
    <w:rsid w:val="007C4EC1"/>
    <w:rsid w:val="007D1106"/>
    <w:rsid w:val="007D3475"/>
    <w:rsid w:val="007D34F2"/>
    <w:rsid w:val="007D47EF"/>
    <w:rsid w:val="007D6B9D"/>
    <w:rsid w:val="007E0BB8"/>
    <w:rsid w:val="007E0BD6"/>
    <w:rsid w:val="007E3D8F"/>
    <w:rsid w:val="007E4E28"/>
    <w:rsid w:val="007E7EFD"/>
    <w:rsid w:val="007F1906"/>
    <w:rsid w:val="008019E9"/>
    <w:rsid w:val="008020A1"/>
    <w:rsid w:val="00805AA6"/>
    <w:rsid w:val="008069EA"/>
    <w:rsid w:val="00807828"/>
    <w:rsid w:val="00810174"/>
    <w:rsid w:val="008125CF"/>
    <w:rsid w:val="00813A4A"/>
    <w:rsid w:val="00814F80"/>
    <w:rsid w:val="0082049F"/>
    <w:rsid w:val="008205F8"/>
    <w:rsid w:val="008240EC"/>
    <w:rsid w:val="00825C9E"/>
    <w:rsid w:val="008270B9"/>
    <w:rsid w:val="00832987"/>
    <w:rsid w:val="008340D6"/>
    <w:rsid w:val="00842B2C"/>
    <w:rsid w:val="00850C11"/>
    <w:rsid w:val="00862256"/>
    <w:rsid w:val="008632AE"/>
    <w:rsid w:val="00864F84"/>
    <w:rsid w:val="00874AA0"/>
    <w:rsid w:val="00875EC0"/>
    <w:rsid w:val="00876DF5"/>
    <w:rsid w:val="00883144"/>
    <w:rsid w:val="00884A53"/>
    <w:rsid w:val="00886FB4"/>
    <w:rsid w:val="008877BE"/>
    <w:rsid w:val="00890773"/>
    <w:rsid w:val="008910B2"/>
    <w:rsid w:val="00891FB7"/>
    <w:rsid w:val="00896C07"/>
    <w:rsid w:val="008A2202"/>
    <w:rsid w:val="008A2724"/>
    <w:rsid w:val="008B05CC"/>
    <w:rsid w:val="008B21CC"/>
    <w:rsid w:val="008B30AA"/>
    <w:rsid w:val="008C5EBD"/>
    <w:rsid w:val="008D2D5B"/>
    <w:rsid w:val="008E0463"/>
    <w:rsid w:val="008E256A"/>
    <w:rsid w:val="008E5F17"/>
    <w:rsid w:val="008F1C2A"/>
    <w:rsid w:val="008F2FBA"/>
    <w:rsid w:val="008F6A47"/>
    <w:rsid w:val="009033C9"/>
    <w:rsid w:val="0090614D"/>
    <w:rsid w:val="00913374"/>
    <w:rsid w:val="00913639"/>
    <w:rsid w:val="00913DA1"/>
    <w:rsid w:val="00914CFF"/>
    <w:rsid w:val="00917E22"/>
    <w:rsid w:val="009206A9"/>
    <w:rsid w:val="00921E00"/>
    <w:rsid w:val="00922E5E"/>
    <w:rsid w:val="00927FB4"/>
    <w:rsid w:val="00931428"/>
    <w:rsid w:val="00955C2B"/>
    <w:rsid w:val="00962A3F"/>
    <w:rsid w:val="00963ADB"/>
    <w:rsid w:val="00973C0C"/>
    <w:rsid w:val="00974750"/>
    <w:rsid w:val="0097477E"/>
    <w:rsid w:val="00976417"/>
    <w:rsid w:val="009769B9"/>
    <w:rsid w:val="00982FAA"/>
    <w:rsid w:val="009902E2"/>
    <w:rsid w:val="009918FB"/>
    <w:rsid w:val="00994C37"/>
    <w:rsid w:val="009A7157"/>
    <w:rsid w:val="009A7509"/>
    <w:rsid w:val="009B0300"/>
    <w:rsid w:val="009B26DA"/>
    <w:rsid w:val="009C2105"/>
    <w:rsid w:val="009C3E59"/>
    <w:rsid w:val="009C6F54"/>
    <w:rsid w:val="009C72C2"/>
    <w:rsid w:val="009D7FAD"/>
    <w:rsid w:val="009E01E4"/>
    <w:rsid w:val="009E1CB5"/>
    <w:rsid w:val="009E5BED"/>
    <w:rsid w:val="009E7979"/>
    <w:rsid w:val="009F079C"/>
    <w:rsid w:val="009F33F4"/>
    <w:rsid w:val="009F5A13"/>
    <w:rsid w:val="00A00778"/>
    <w:rsid w:val="00A030D6"/>
    <w:rsid w:val="00A03959"/>
    <w:rsid w:val="00A05409"/>
    <w:rsid w:val="00A07074"/>
    <w:rsid w:val="00A115FB"/>
    <w:rsid w:val="00A14537"/>
    <w:rsid w:val="00A2093A"/>
    <w:rsid w:val="00A240B7"/>
    <w:rsid w:val="00A27CBD"/>
    <w:rsid w:val="00A3145E"/>
    <w:rsid w:val="00A32540"/>
    <w:rsid w:val="00A35611"/>
    <w:rsid w:val="00A4416C"/>
    <w:rsid w:val="00A45355"/>
    <w:rsid w:val="00A50C57"/>
    <w:rsid w:val="00A6125C"/>
    <w:rsid w:val="00A61EEE"/>
    <w:rsid w:val="00A65FD8"/>
    <w:rsid w:val="00A700C9"/>
    <w:rsid w:val="00A706E1"/>
    <w:rsid w:val="00A7085A"/>
    <w:rsid w:val="00A72232"/>
    <w:rsid w:val="00A96E56"/>
    <w:rsid w:val="00AA35F3"/>
    <w:rsid w:val="00AA64C8"/>
    <w:rsid w:val="00AB5278"/>
    <w:rsid w:val="00AB64F9"/>
    <w:rsid w:val="00AC1D3A"/>
    <w:rsid w:val="00AC32E0"/>
    <w:rsid w:val="00AC4D8C"/>
    <w:rsid w:val="00AD5E02"/>
    <w:rsid w:val="00AE3437"/>
    <w:rsid w:val="00AE507B"/>
    <w:rsid w:val="00AE58BD"/>
    <w:rsid w:val="00AF272B"/>
    <w:rsid w:val="00AF4077"/>
    <w:rsid w:val="00AF4B36"/>
    <w:rsid w:val="00AF5C9D"/>
    <w:rsid w:val="00AF7502"/>
    <w:rsid w:val="00B0337F"/>
    <w:rsid w:val="00B06753"/>
    <w:rsid w:val="00B06A30"/>
    <w:rsid w:val="00B07684"/>
    <w:rsid w:val="00B11207"/>
    <w:rsid w:val="00B142E4"/>
    <w:rsid w:val="00B2126D"/>
    <w:rsid w:val="00B2298D"/>
    <w:rsid w:val="00B22F2B"/>
    <w:rsid w:val="00B2442C"/>
    <w:rsid w:val="00B315A8"/>
    <w:rsid w:val="00B32657"/>
    <w:rsid w:val="00B41B93"/>
    <w:rsid w:val="00B43287"/>
    <w:rsid w:val="00B44DC7"/>
    <w:rsid w:val="00B45489"/>
    <w:rsid w:val="00B462C0"/>
    <w:rsid w:val="00B51802"/>
    <w:rsid w:val="00B56724"/>
    <w:rsid w:val="00B5758E"/>
    <w:rsid w:val="00B634B2"/>
    <w:rsid w:val="00B65032"/>
    <w:rsid w:val="00B700B7"/>
    <w:rsid w:val="00B70E59"/>
    <w:rsid w:val="00B71354"/>
    <w:rsid w:val="00B72A70"/>
    <w:rsid w:val="00B7373E"/>
    <w:rsid w:val="00B74435"/>
    <w:rsid w:val="00B758F3"/>
    <w:rsid w:val="00B76F21"/>
    <w:rsid w:val="00B77FC1"/>
    <w:rsid w:val="00B85DC0"/>
    <w:rsid w:val="00B97680"/>
    <w:rsid w:val="00BA0F7C"/>
    <w:rsid w:val="00BA240C"/>
    <w:rsid w:val="00BA4B9F"/>
    <w:rsid w:val="00BC0DC9"/>
    <w:rsid w:val="00BC4750"/>
    <w:rsid w:val="00BC6E80"/>
    <w:rsid w:val="00BD2581"/>
    <w:rsid w:val="00BD3307"/>
    <w:rsid w:val="00BD6785"/>
    <w:rsid w:val="00BE26D8"/>
    <w:rsid w:val="00BE392D"/>
    <w:rsid w:val="00BE5897"/>
    <w:rsid w:val="00BE6D80"/>
    <w:rsid w:val="00BF229F"/>
    <w:rsid w:val="00BF295C"/>
    <w:rsid w:val="00BF3402"/>
    <w:rsid w:val="00C029F4"/>
    <w:rsid w:val="00C03ABE"/>
    <w:rsid w:val="00C044D7"/>
    <w:rsid w:val="00C121A8"/>
    <w:rsid w:val="00C124A0"/>
    <w:rsid w:val="00C12A9C"/>
    <w:rsid w:val="00C12D9A"/>
    <w:rsid w:val="00C13C80"/>
    <w:rsid w:val="00C1473E"/>
    <w:rsid w:val="00C1536A"/>
    <w:rsid w:val="00C26873"/>
    <w:rsid w:val="00C26C99"/>
    <w:rsid w:val="00C30245"/>
    <w:rsid w:val="00C303E1"/>
    <w:rsid w:val="00C34EDE"/>
    <w:rsid w:val="00C3533C"/>
    <w:rsid w:val="00C44785"/>
    <w:rsid w:val="00C45499"/>
    <w:rsid w:val="00C51E39"/>
    <w:rsid w:val="00C55034"/>
    <w:rsid w:val="00C63217"/>
    <w:rsid w:val="00C6783C"/>
    <w:rsid w:val="00C71AC4"/>
    <w:rsid w:val="00C76418"/>
    <w:rsid w:val="00C82CA8"/>
    <w:rsid w:val="00C8348C"/>
    <w:rsid w:val="00C85297"/>
    <w:rsid w:val="00C87E66"/>
    <w:rsid w:val="00C91C6F"/>
    <w:rsid w:val="00C91FCA"/>
    <w:rsid w:val="00C94B22"/>
    <w:rsid w:val="00CA23CC"/>
    <w:rsid w:val="00CA5148"/>
    <w:rsid w:val="00CA56AE"/>
    <w:rsid w:val="00CA73D8"/>
    <w:rsid w:val="00CB0CFE"/>
    <w:rsid w:val="00CB1600"/>
    <w:rsid w:val="00CC29CA"/>
    <w:rsid w:val="00CC71F5"/>
    <w:rsid w:val="00CC7BFC"/>
    <w:rsid w:val="00CD0932"/>
    <w:rsid w:val="00CD0935"/>
    <w:rsid w:val="00CD13A5"/>
    <w:rsid w:val="00CE1EAF"/>
    <w:rsid w:val="00CE32F1"/>
    <w:rsid w:val="00CF10A7"/>
    <w:rsid w:val="00D02FD4"/>
    <w:rsid w:val="00D07B1B"/>
    <w:rsid w:val="00D108E9"/>
    <w:rsid w:val="00D1193D"/>
    <w:rsid w:val="00D15682"/>
    <w:rsid w:val="00D24D88"/>
    <w:rsid w:val="00D25BF8"/>
    <w:rsid w:val="00D371FA"/>
    <w:rsid w:val="00D4154E"/>
    <w:rsid w:val="00D4780B"/>
    <w:rsid w:val="00D5353A"/>
    <w:rsid w:val="00D647AB"/>
    <w:rsid w:val="00D65903"/>
    <w:rsid w:val="00D770D3"/>
    <w:rsid w:val="00D80DFC"/>
    <w:rsid w:val="00D82C40"/>
    <w:rsid w:val="00D94E72"/>
    <w:rsid w:val="00D95603"/>
    <w:rsid w:val="00DA17DE"/>
    <w:rsid w:val="00DA2D7B"/>
    <w:rsid w:val="00DA6A2A"/>
    <w:rsid w:val="00DB54E1"/>
    <w:rsid w:val="00DB7DB6"/>
    <w:rsid w:val="00DC1C98"/>
    <w:rsid w:val="00DC1FE4"/>
    <w:rsid w:val="00DD02D1"/>
    <w:rsid w:val="00DD0AEA"/>
    <w:rsid w:val="00DD12EA"/>
    <w:rsid w:val="00DE000A"/>
    <w:rsid w:val="00DE13F6"/>
    <w:rsid w:val="00DE1C54"/>
    <w:rsid w:val="00DE30BE"/>
    <w:rsid w:val="00DE3A49"/>
    <w:rsid w:val="00DF7C8F"/>
    <w:rsid w:val="00E00851"/>
    <w:rsid w:val="00E02097"/>
    <w:rsid w:val="00E10B17"/>
    <w:rsid w:val="00E13CF5"/>
    <w:rsid w:val="00E174CA"/>
    <w:rsid w:val="00E17866"/>
    <w:rsid w:val="00E26EC2"/>
    <w:rsid w:val="00E36459"/>
    <w:rsid w:val="00E372B0"/>
    <w:rsid w:val="00E373F1"/>
    <w:rsid w:val="00E376BC"/>
    <w:rsid w:val="00E43BE2"/>
    <w:rsid w:val="00E45625"/>
    <w:rsid w:val="00E457D1"/>
    <w:rsid w:val="00E50F1A"/>
    <w:rsid w:val="00E5486E"/>
    <w:rsid w:val="00E55313"/>
    <w:rsid w:val="00E577B6"/>
    <w:rsid w:val="00E620F2"/>
    <w:rsid w:val="00E6221C"/>
    <w:rsid w:val="00E75367"/>
    <w:rsid w:val="00E835FD"/>
    <w:rsid w:val="00E903DD"/>
    <w:rsid w:val="00EA38C4"/>
    <w:rsid w:val="00EA7466"/>
    <w:rsid w:val="00EB0BDB"/>
    <w:rsid w:val="00EB184C"/>
    <w:rsid w:val="00EB7C92"/>
    <w:rsid w:val="00EC245C"/>
    <w:rsid w:val="00EC7E33"/>
    <w:rsid w:val="00EF0B20"/>
    <w:rsid w:val="00EF0E07"/>
    <w:rsid w:val="00EF270E"/>
    <w:rsid w:val="00EF52D0"/>
    <w:rsid w:val="00EF5BBC"/>
    <w:rsid w:val="00EF7A2C"/>
    <w:rsid w:val="00F01317"/>
    <w:rsid w:val="00F031EB"/>
    <w:rsid w:val="00F03536"/>
    <w:rsid w:val="00F071E1"/>
    <w:rsid w:val="00F11E1A"/>
    <w:rsid w:val="00F136D1"/>
    <w:rsid w:val="00F20B7F"/>
    <w:rsid w:val="00F21D61"/>
    <w:rsid w:val="00F22D70"/>
    <w:rsid w:val="00F256A2"/>
    <w:rsid w:val="00F371BC"/>
    <w:rsid w:val="00F466AE"/>
    <w:rsid w:val="00F548AD"/>
    <w:rsid w:val="00F5606C"/>
    <w:rsid w:val="00F60D64"/>
    <w:rsid w:val="00F64B1D"/>
    <w:rsid w:val="00F662C4"/>
    <w:rsid w:val="00F67577"/>
    <w:rsid w:val="00F700C8"/>
    <w:rsid w:val="00F708FB"/>
    <w:rsid w:val="00F73212"/>
    <w:rsid w:val="00F77BDD"/>
    <w:rsid w:val="00F8266B"/>
    <w:rsid w:val="00F82883"/>
    <w:rsid w:val="00F83034"/>
    <w:rsid w:val="00F92C7D"/>
    <w:rsid w:val="00F93FB8"/>
    <w:rsid w:val="00F977BE"/>
    <w:rsid w:val="00FA1740"/>
    <w:rsid w:val="00FA2A65"/>
    <w:rsid w:val="00FA2AFA"/>
    <w:rsid w:val="00FA309F"/>
    <w:rsid w:val="00FA3829"/>
    <w:rsid w:val="00FA57EF"/>
    <w:rsid w:val="00FB1847"/>
    <w:rsid w:val="00FC26B4"/>
    <w:rsid w:val="00FC2EEE"/>
    <w:rsid w:val="00FC4BF7"/>
    <w:rsid w:val="00FD1228"/>
    <w:rsid w:val="00FD52FB"/>
    <w:rsid w:val="00FD5C6A"/>
    <w:rsid w:val="00FD6067"/>
    <w:rsid w:val="00FE0B22"/>
    <w:rsid w:val="00FE3CEB"/>
    <w:rsid w:val="00FE49FC"/>
    <w:rsid w:val="00FE67B3"/>
    <w:rsid w:val="00FF0486"/>
    <w:rsid w:val="00FF04A1"/>
    <w:rsid w:val="00FF2B0C"/>
    <w:rsid w:val="00FF2CD1"/>
    <w:rsid w:val="00FF33A4"/>
    <w:rsid w:val="00FF487D"/>
    <w:rsid w:val="00FF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80CF3"/>
  <w15:docId w15:val="{F622CADA-FCEA-4DD2-B61D-1FA09D70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ind w:left="720"/>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odyText">
    <w:name w:val="Body Text"/>
    <w:basedOn w:val="Normal"/>
    <w:semiHidden/>
    <w:pPr>
      <w:spacing w:line="240" w:lineRule="atLeast"/>
    </w:pPr>
    <w:rPr>
      <w:sz w:val="20"/>
    </w:rPr>
  </w:style>
  <w:style w:type="paragraph" w:styleId="BodyTextIndent">
    <w:name w:val="Body Text Indent"/>
    <w:basedOn w:val="Normal"/>
    <w:semiHidden/>
    <w:pPr>
      <w:ind w:left="720"/>
    </w:pPr>
    <w:rPr>
      <w:sz w:val="20"/>
    </w:rPr>
  </w:style>
  <w:style w:type="character" w:styleId="Hyperlink">
    <w:name w:val="Hyperlink"/>
    <w:semiHidden/>
    <w:rPr>
      <w:color w:val="0000FF"/>
      <w:u w:val="single"/>
    </w:rPr>
  </w:style>
  <w:style w:type="paragraph" w:styleId="BodyTextIndent2">
    <w:name w:val="Body Text Indent 2"/>
    <w:basedOn w:val="Normal"/>
    <w:semiHidden/>
    <w:pPr>
      <w:tabs>
        <w:tab w:val="left" w:pos="-1440"/>
      </w:tabs>
      <w:ind w:left="720" w:hanging="720"/>
    </w:pPr>
    <w:rPr>
      <w:sz w:val="20"/>
    </w:rPr>
  </w:style>
  <w:style w:type="paragraph" w:styleId="Header">
    <w:name w:val="header"/>
    <w:basedOn w:val="Normal"/>
    <w:link w:val="HeaderChar"/>
    <w:uiPriority w:val="99"/>
    <w:semiHidden/>
    <w:unhideWhenUsed/>
    <w:rsid w:val="00041B4B"/>
    <w:pPr>
      <w:tabs>
        <w:tab w:val="center" w:pos="4680"/>
        <w:tab w:val="right" w:pos="9360"/>
      </w:tabs>
    </w:pPr>
  </w:style>
  <w:style w:type="character" w:customStyle="1" w:styleId="HeaderChar">
    <w:name w:val="Header Char"/>
    <w:link w:val="Header"/>
    <w:uiPriority w:val="99"/>
    <w:semiHidden/>
    <w:rsid w:val="00041B4B"/>
    <w:rPr>
      <w:rFonts w:ascii="Courier New" w:hAnsi="Courier New"/>
      <w:snapToGrid w:val="0"/>
      <w:sz w:val="24"/>
    </w:rPr>
  </w:style>
  <w:style w:type="paragraph" w:styleId="Footer">
    <w:name w:val="footer"/>
    <w:basedOn w:val="Normal"/>
    <w:link w:val="FooterChar"/>
    <w:uiPriority w:val="99"/>
    <w:semiHidden/>
    <w:unhideWhenUsed/>
    <w:rsid w:val="00041B4B"/>
    <w:pPr>
      <w:tabs>
        <w:tab w:val="center" w:pos="4680"/>
        <w:tab w:val="right" w:pos="9360"/>
      </w:tabs>
    </w:pPr>
  </w:style>
  <w:style w:type="character" w:customStyle="1" w:styleId="FooterChar">
    <w:name w:val="Footer Char"/>
    <w:link w:val="Footer"/>
    <w:uiPriority w:val="99"/>
    <w:semiHidden/>
    <w:rsid w:val="00041B4B"/>
    <w:rPr>
      <w:rFonts w:ascii="Courier New" w:hAnsi="Courier New"/>
      <w:snapToGrid w:val="0"/>
      <w:sz w:val="24"/>
    </w:rPr>
  </w:style>
  <w:style w:type="table" w:styleId="TableGrid">
    <w:name w:val="Table Grid"/>
    <w:basedOn w:val="TableNormal"/>
    <w:uiPriority w:val="59"/>
    <w:rsid w:val="00022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AC4"/>
    <w:pPr>
      <w:ind w:left="720"/>
      <w:contextualSpacing/>
    </w:pPr>
  </w:style>
  <w:style w:type="paragraph" w:styleId="BalloonText">
    <w:name w:val="Balloon Text"/>
    <w:basedOn w:val="Normal"/>
    <w:link w:val="BalloonTextChar"/>
    <w:uiPriority w:val="99"/>
    <w:semiHidden/>
    <w:unhideWhenUsed/>
    <w:rsid w:val="00125F42"/>
    <w:rPr>
      <w:rFonts w:ascii="Tahoma" w:hAnsi="Tahoma" w:cs="Tahoma"/>
      <w:sz w:val="16"/>
      <w:szCs w:val="16"/>
    </w:rPr>
  </w:style>
  <w:style w:type="character" w:customStyle="1" w:styleId="BalloonTextChar">
    <w:name w:val="Balloon Text Char"/>
    <w:basedOn w:val="DefaultParagraphFont"/>
    <w:link w:val="BalloonText"/>
    <w:uiPriority w:val="99"/>
    <w:semiHidden/>
    <w:rsid w:val="00125F42"/>
    <w:rPr>
      <w:rFonts w:ascii="Tahoma" w:hAnsi="Tahoma" w:cs="Tahoma"/>
      <w:snapToGrid w:val="0"/>
      <w:sz w:val="16"/>
      <w:szCs w:val="16"/>
    </w:rPr>
  </w:style>
  <w:style w:type="paragraph" w:styleId="FootnoteText">
    <w:name w:val="footnote text"/>
    <w:basedOn w:val="Normal"/>
    <w:link w:val="FootnoteTextChar"/>
    <w:uiPriority w:val="99"/>
    <w:semiHidden/>
    <w:unhideWhenUsed/>
    <w:rsid w:val="00CA56AE"/>
    <w:rPr>
      <w:sz w:val="20"/>
    </w:rPr>
  </w:style>
  <w:style w:type="character" w:customStyle="1" w:styleId="FootnoteTextChar">
    <w:name w:val="Footnote Text Char"/>
    <w:basedOn w:val="DefaultParagraphFont"/>
    <w:link w:val="FootnoteText"/>
    <w:uiPriority w:val="99"/>
    <w:semiHidden/>
    <w:rsid w:val="00CA56AE"/>
    <w:rPr>
      <w:rFonts w:ascii="Courier New" w:hAnsi="Courier New"/>
      <w:snapToGrid w:val="0"/>
    </w:rPr>
  </w:style>
  <w:style w:type="paragraph" w:styleId="NormalWeb">
    <w:name w:val="Normal (Web)"/>
    <w:basedOn w:val="Normal"/>
    <w:uiPriority w:val="99"/>
    <w:unhideWhenUsed/>
    <w:rsid w:val="0032232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322323"/>
    <w:rPr>
      <w:i/>
      <w:iCs/>
    </w:rPr>
  </w:style>
  <w:style w:type="character" w:styleId="CommentReference">
    <w:name w:val="annotation reference"/>
    <w:basedOn w:val="DefaultParagraphFont"/>
    <w:uiPriority w:val="99"/>
    <w:semiHidden/>
    <w:unhideWhenUsed/>
    <w:rsid w:val="00466487"/>
    <w:rPr>
      <w:sz w:val="16"/>
      <w:szCs w:val="16"/>
    </w:rPr>
  </w:style>
  <w:style w:type="paragraph" w:styleId="CommentText">
    <w:name w:val="annotation text"/>
    <w:basedOn w:val="Normal"/>
    <w:link w:val="CommentTextChar"/>
    <w:uiPriority w:val="99"/>
    <w:semiHidden/>
    <w:unhideWhenUsed/>
    <w:rsid w:val="00466487"/>
    <w:pPr>
      <w:widowControl/>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466487"/>
    <w:rPr>
      <w:rFonts w:asciiTheme="minorHAnsi" w:eastAsiaTheme="minorHAnsi" w:hAnsiTheme="minorHAnsi" w:cstheme="minorBidi"/>
    </w:rPr>
  </w:style>
  <w:style w:type="table" w:styleId="MediumShading1">
    <w:name w:val="Medium Shading 1"/>
    <w:basedOn w:val="TableNormal"/>
    <w:uiPriority w:val="63"/>
    <w:rsid w:val="00AF27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4E6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962A3F"/>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E75367"/>
    <w:pPr>
      <w:widowControl w:val="0"/>
      <w:spacing w:after="0"/>
    </w:pPr>
    <w:rPr>
      <w:rFonts w:ascii="Courier New" w:eastAsia="Times New Roman" w:hAnsi="Courier New" w:cs="Times New Roman"/>
      <w:b/>
      <w:bCs/>
      <w:snapToGrid w:val="0"/>
    </w:rPr>
  </w:style>
  <w:style w:type="character" w:customStyle="1" w:styleId="CommentSubjectChar">
    <w:name w:val="Comment Subject Char"/>
    <w:basedOn w:val="CommentTextChar"/>
    <w:link w:val="CommentSubject"/>
    <w:uiPriority w:val="99"/>
    <w:semiHidden/>
    <w:rsid w:val="00E75367"/>
    <w:rPr>
      <w:rFonts w:ascii="Courier New" w:eastAsiaTheme="minorHAnsi" w:hAnsi="Courier New" w:cstheme="minorBidi"/>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344">
      <w:bodyDiv w:val="1"/>
      <w:marLeft w:val="0"/>
      <w:marRight w:val="0"/>
      <w:marTop w:val="0"/>
      <w:marBottom w:val="0"/>
      <w:divBdr>
        <w:top w:val="none" w:sz="0" w:space="0" w:color="auto"/>
        <w:left w:val="none" w:sz="0" w:space="0" w:color="auto"/>
        <w:bottom w:val="none" w:sz="0" w:space="0" w:color="auto"/>
        <w:right w:val="none" w:sz="0" w:space="0" w:color="auto"/>
      </w:divBdr>
    </w:div>
    <w:div w:id="216866893">
      <w:bodyDiv w:val="1"/>
      <w:marLeft w:val="0"/>
      <w:marRight w:val="0"/>
      <w:marTop w:val="0"/>
      <w:marBottom w:val="0"/>
      <w:divBdr>
        <w:top w:val="none" w:sz="0" w:space="0" w:color="auto"/>
        <w:left w:val="none" w:sz="0" w:space="0" w:color="auto"/>
        <w:bottom w:val="none" w:sz="0" w:space="0" w:color="auto"/>
        <w:right w:val="none" w:sz="0" w:space="0" w:color="auto"/>
      </w:divBdr>
    </w:div>
    <w:div w:id="405348141">
      <w:bodyDiv w:val="1"/>
      <w:marLeft w:val="0"/>
      <w:marRight w:val="0"/>
      <w:marTop w:val="0"/>
      <w:marBottom w:val="0"/>
      <w:divBdr>
        <w:top w:val="none" w:sz="0" w:space="0" w:color="auto"/>
        <w:left w:val="none" w:sz="0" w:space="0" w:color="auto"/>
        <w:bottom w:val="none" w:sz="0" w:space="0" w:color="auto"/>
        <w:right w:val="none" w:sz="0" w:space="0" w:color="auto"/>
      </w:divBdr>
    </w:div>
    <w:div w:id="464155966">
      <w:bodyDiv w:val="1"/>
      <w:marLeft w:val="0"/>
      <w:marRight w:val="0"/>
      <w:marTop w:val="0"/>
      <w:marBottom w:val="0"/>
      <w:divBdr>
        <w:top w:val="none" w:sz="0" w:space="0" w:color="auto"/>
        <w:left w:val="none" w:sz="0" w:space="0" w:color="auto"/>
        <w:bottom w:val="none" w:sz="0" w:space="0" w:color="auto"/>
        <w:right w:val="none" w:sz="0" w:space="0" w:color="auto"/>
      </w:divBdr>
    </w:div>
    <w:div w:id="837424722">
      <w:bodyDiv w:val="1"/>
      <w:marLeft w:val="0"/>
      <w:marRight w:val="0"/>
      <w:marTop w:val="0"/>
      <w:marBottom w:val="0"/>
      <w:divBdr>
        <w:top w:val="none" w:sz="0" w:space="0" w:color="auto"/>
        <w:left w:val="none" w:sz="0" w:space="0" w:color="auto"/>
        <w:bottom w:val="none" w:sz="0" w:space="0" w:color="auto"/>
        <w:right w:val="none" w:sz="0" w:space="0" w:color="auto"/>
      </w:divBdr>
    </w:div>
    <w:div w:id="990988580">
      <w:bodyDiv w:val="1"/>
      <w:marLeft w:val="0"/>
      <w:marRight w:val="0"/>
      <w:marTop w:val="0"/>
      <w:marBottom w:val="0"/>
      <w:divBdr>
        <w:top w:val="none" w:sz="0" w:space="0" w:color="auto"/>
        <w:left w:val="none" w:sz="0" w:space="0" w:color="auto"/>
        <w:bottom w:val="none" w:sz="0" w:space="0" w:color="auto"/>
        <w:right w:val="none" w:sz="0" w:space="0" w:color="auto"/>
      </w:divBdr>
      <w:divsChild>
        <w:div w:id="1171407538">
          <w:marLeft w:val="1080"/>
          <w:marRight w:val="0"/>
          <w:marTop w:val="100"/>
          <w:marBottom w:val="0"/>
          <w:divBdr>
            <w:top w:val="none" w:sz="0" w:space="0" w:color="auto"/>
            <w:left w:val="none" w:sz="0" w:space="0" w:color="auto"/>
            <w:bottom w:val="none" w:sz="0" w:space="0" w:color="auto"/>
            <w:right w:val="none" w:sz="0" w:space="0" w:color="auto"/>
          </w:divBdr>
        </w:div>
      </w:divsChild>
    </w:div>
    <w:div w:id="1024592944">
      <w:bodyDiv w:val="1"/>
      <w:marLeft w:val="0"/>
      <w:marRight w:val="0"/>
      <w:marTop w:val="0"/>
      <w:marBottom w:val="0"/>
      <w:divBdr>
        <w:top w:val="none" w:sz="0" w:space="0" w:color="auto"/>
        <w:left w:val="none" w:sz="0" w:space="0" w:color="auto"/>
        <w:bottom w:val="none" w:sz="0" w:space="0" w:color="auto"/>
        <w:right w:val="none" w:sz="0" w:space="0" w:color="auto"/>
      </w:divBdr>
    </w:div>
    <w:div w:id="1185678013">
      <w:bodyDiv w:val="1"/>
      <w:marLeft w:val="0"/>
      <w:marRight w:val="0"/>
      <w:marTop w:val="0"/>
      <w:marBottom w:val="0"/>
      <w:divBdr>
        <w:top w:val="none" w:sz="0" w:space="0" w:color="auto"/>
        <w:left w:val="none" w:sz="0" w:space="0" w:color="auto"/>
        <w:bottom w:val="none" w:sz="0" w:space="0" w:color="auto"/>
        <w:right w:val="none" w:sz="0" w:space="0" w:color="auto"/>
      </w:divBdr>
    </w:div>
    <w:div w:id="1191652628">
      <w:bodyDiv w:val="1"/>
      <w:marLeft w:val="0"/>
      <w:marRight w:val="0"/>
      <w:marTop w:val="0"/>
      <w:marBottom w:val="0"/>
      <w:divBdr>
        <w:top w:val="none" w:sz="0" w:space="0" w:color="auto"/>
        <w:left w:val="none" w:sz="0" w:space="0" w:color="auto"/>
        <w:bottom w:val="none" w:sz="0" w:space="0" w:color="auto"/>
        <w:right w:val="none" w:sz="0" w:space="0" w:color="auto"/>
      </w:divBdr>
    </w:div>
    <w:div w:id="1389501106">
      <w:bodyDiv w:val="1"/>
      <w:marLeft w:val="0"/>
      <w:marRight w:val="0"/>
      <w:marTop w:val="0"/>
      <w:marBottom w:val="0"/>
      <w:divBdr>
        <w:top w:val="none" w:sz="0" w:space="0" w:color="auto"/>
        <w:left w:val="none" w:sz="0" w:space="0" w:color="auto"/>
        <w:bottom w:val="none" w:sz="0" w:space="0" w:color="auto"/>
        <w:right w:val="none" w:sz="0" w:space="0" w:color="auto"/>
      </w:divBdr>
    </w:div>
    <w:div w:id="1865971851">
      <w:bodyDiv w:val="1"/>
      <w:marLeft w:val="0"/>
      <w:marRight w:val="0"/>
      <w:marTop w:val="0"/>
      <w:marBottom w:val="0"/>
      <w:divBdr>
        <w:top w:val="none" w:sz="0" w:space="0" w:color="auto"/>
        <w:left w:val="none" w:sz="0" w:space="0" w:color="auto"/>
        <w:bottom w:val="none" w:sz="0" w:space="0" w:color="auto"/>
        <w:right w:val="none" w:sz="0" w:space="0" w:color="auto"/>
      </w:divBdr>
    </w:div>
    <w:div w:id="1938516316">
      <w:bodyDiv w:val="1"/>
      <w:marLeft w:val="0"/>
      <w:marRight w:val="0"/>
      <w:marTop w:val="0"/>
      <w:marBottom w:val="0"/>
      <w:divBdr>
        <w:top w:val="none" w:sz="0" w:space="0" w:color="auto"/>
        <w:left w:val="none" w:sz="0" w:space="0" w:color="auto"/>
        <w:bottom w:val="none" w:sz="0" w:space="0" w:color="auto"/>
        <w:right w:val="none" w:sz="0" w:space="0" w:color="auto"/>
      </w:divBdr>
      <w:divsChild>
        <w:div w:id="336660170">
          <w:marLeft w:val="0"/>
          <w:marRight w:val="0"/>
          <w:marTop w:val="0"/>
          <w:marBottom w:val="0"/>
          <w:divBdr>
            <w:top w:val="none" w:sz="0" w:space="0" w:color="auto"/>
            <w:left w:val="none" w:sz="0" w:space="0" w:color="auto"/>
            <w:bottom w:val="none" w:sz="0" w:space="0" w:color="auto"/>
            <w:right w:val="none" w:sz="0" w:space="0" w:color="auto"/>
          </w:divBdr>
          <w:divsChild>
            <w:div w:id="2041121720">
              <w:marLeft w:val="0"/>
              <w:marRight w:val="0"/>
              <w:marTop w:val="0"/>
              <w:marBottom w:val="0"/>
              <w:divBdr>
                <w:top w:val="none" w:sz="0" w:space="0" w:color="auto"/>
                <w:left w:val="none" w:sz="0" w:space="0" w:color="auto"/>
                <w:bottom w:val="none" w:sz="0" w:space="0" w:color="auto"/>
                <w:right w:val="none" w:sz="0" w:space="0" w:color="auto"/>
              </w:divBdr>
              <w:divsChild>
                <w:div w:id="502623096">
                  <w:marLeft w:val="0"/>
                  <w:marRight w:val="0"/>
                  <w:marTop w:val="0"/>
                  <w:marBottom w:val="0"/>
                  <w:divBdr>
                    <w:top w:val="none" w:sz="0" w:space="0" w:color="auto"/>
                    <w:left w:val="none" w:sz="0" w:space="0" w:color="auto"/>
                    <w:bottom w:val="none" w:sz="0" w:space="0" w:color="auto"/>
                    <w:right w:val="none" w:sz="0" w:space="0" w:color="auto"/>
                  </w:divBdr>
                  <w:divsChild>
                    <w:div w:id="971668396">
                      <w:marLeft w:val="0"/>
                      <w:marRight w:val="0"/>
                      <w:marTop w:val="0"/>
                      <w:marBottom w:val="0"/>
                      <w:divBdr>
                        <w:top w:val="none" w:sz="0" w:space="0" w:color="auto"/>
                        <w:left w:val="none" w:sz="0" w:space="0" w:color="auto"/>
                        <w:bottom w:val="none" w:sz="0" w:space="0" w:color="auto"/>
                        <w:right w:val="none" w:sz="0" w:space="0" w:color="auto"/>
                      </w:divBdr>
                      <w:divsChild>
                        <w:div w:id="1968199207">
                          <w:marLeft w:val="0"/>
                          <w:marRight w:val="0"/>
                          <w:marTop w:val="0"/>
                          <w:marBottom w:val="0"/>
                          <w:divBdr>
                            <w:top w:val="none" w:sz="0" w:space="0" w:color="auto"/>
                            <w:left w:val="none" w:sz="0" w:space="0" w:color="auto"/>
                            <w:bottom w:val="none" w:sz="0" w:space="0" w:color="auto"/>
                            <w:right w:val="none" w:sz="0" w:space="0" w:color="auto"/>
                          </w:divBdr>
                          <w:divsChild>
                            <w:div w:id="2057898815">
                              <w:marLeft w:val="0"/>
                              <w:marRight w:val="0"/>
                              <w:marTop w:val="0"/>
                              <w:marBottom w:val="0"/>
                              <w:divBdr>
                                <w:top w:val="single" w:sz="6" w:space="0" w:color="auto"/>
                                <w:left w:val="single" w:sz="6" w:space="0" w:color="auto"/>
                                <w:bottom w:val="single" w:sz="6" w:space="0" w:color="auto"/>
                                <w:right w:val="single" w:sz="6" w:space="0" w:color="auto"/>
                              </w:divBdr>
                              <w:divsChild>
                                <w:div w:id="1605304880">
                                  <w:marLeft w:val="0"/>
                                  <w:marRight w:val="195"/>
                                  <w:marTop w:val="0"/>
                                  <w:marBottom w:val="0"/>
                                  <w:divBdr>
                                    <w:top w:val="none" w:sz="0" w:space="0" w:color="auto"/>
                                    <w:left w:val="none" w:sz="0" w:space="0" w:color="auto"/>
                                    <w:bottom w:val="none" w:sz="0" w:space="0" w:color="auto"/>
                                    <w:right w:val="none" w:sz="0" w:space="0" w:color="auto"/>
                                  </w:divBdr>
                                  <w:divsChild>
                                    <w:div w:id="121047750">
                                      <w:marLeft w:val="0"/>
                                      <w:marRight w:val="0"/>
                                      <w:marTop w:val="0"/>
                                      <w:marBottom w:val="0"/>
                                      <w:divBdr>
                                        <w:top w:val="none" w:sz="0" w:space="0" w:color="auto"/>
                                        <w:left w:val="none" w:sz="0" w:space="0" w:color="auto"/>
                                        <w:bottom w:val="none" w:sz="0" w:space="0" w:color="auto"/>
                                        <w:right w:val="none" w:sz="0" w:space="0" w:color="auto"/>
                                      </w:divBdr>
                                      <w:divsChild>
                                        <w:div w:id="768701131">
                                          <w:marLeft w:val="0"/>
                                          <w:marRight w:val="195"/>
                                          <w:marTop w:val="0"/>
                                          <w:marBottom w:val="0"/>
                                          <w:divBdr>
                                            <w:top w:val="none" w:sz="0" w:space="0" w:color="auto"/>
                                            <w:left w:val="none" w:sz="0" w:space="0" w:color="auto"/>
                                            <w:bottom w:val="none" w:sz="0" w:space="0" w:color="auto"/>
                                            <w:right w:val="none" w:sz="0" w:space="0" w:color="auto"/>
                                          </w:divBdr>
                                          <w:divsChild>
                                            <w:div w:id="1945071571">
                                              <w:marLeft w:val="0"/>
                                              <w:marRight w:val="0"/>
                                              <w:marTop w:val="0"/>
                                              <w:marBottom w:val="0"/>
                                              <w:divBdr>
                                                <w:top w:val="none" w:sz="0" w:space="0" w:color="auto"/>
                                                <w:left w:val="none" w:sz="0" w:space="0" w:color="auto"/>
                                                <w:bottom w:val="none" w:sz="0" w:space="0" w:color="auto"/>
                                                <w:right w:val="none" w:sz="0" w:space="0" w:color="auto"/>
                                              </w:divBdr>
                                              <w:divsChild>
                                                <w:div w:id="1512722804">
                                                  <w:marLeft w:val="0"/>
                                                  <w:marRight w:val="0"/>
                                                  <w:marTop w:val="0"/>
                                                  <w:marBottom w:val="0"/>
                                                  <w:divBdr>
                                                    <w:top w:val="none" w:sz="0" w:space="0" w:color="auto"/>
                                                    <w:left w:val="none" w:sz="0" w:space="0" w:color="auto"/>
                                                    <w:bottom w:val="none" w:sz="0" w:space="0" w:color="auto"/>
                                                    <w:right w:val="none" w:sz="0" w:space="0" w:color="auto"/>
                                                  </w:divBdr>
                                                  <w:divsChild>
                                                    <w:div w:id="1761945325">
                                                      <w:marLeft w:val="0"/>
                                                      <w:marRight w:val="0"/>
                                                      <w:marTop w:val="0"/>
                                                      <w:marBottom w:val="0"/>
                                                      <w:divBdr>
                                                        <w:top w:val="none" w:sz="0" w:space="0" w:color="auto"/>
                                                        <w:left w:val="none" w:sz="0" w:space="0" w:color="auto"/>
                                                        <w:bottom w:val="none" w:sz="0" w:space="0" w:color="auto"/>
                                                        <w:right w:val="none" w:sz="0" w:space="0" w:color="auto"/>
                                                      </w:divBdr>
                                                      <w:divsChild>
                                                        <w:div w:id="1416441705">
                                                          <w:marLeft w:val="0"/>
                                                          <w:marRight w:val="0"/>
                                                          <w:marTop w:val="0"/>
                                                          <w:marBottom w:val="0"/>
                                                          <w:divBdr>
                                                            <w:top w:val="none" w:sz="0" w:space="0" w:color="auto"/>
                                                            <w:left w:val="none" w:sz="0" w:space="0" w:color="auto"/>
                                                            <w:bottom w:val="none" w:sz="0" w:space="0" w:color="auto"/>
                                                            <w:right w:val="none" w:sz="0" w:space="0" w:color="auto"/>
                                                          </w:divBdr>
                                                          <w:divsChild>
                                                            <w:div w:id="1153109359">
                                                              <w:marLeft w:val="0"/>
                                                              <w:marRight w:val="0"/>
                                                              <w:marTop w:val="0"/>
                                                              <w:marBottom w:val="0"/>
                                                              <w:divBdr>
                                                                <w:top w:val="none" w:sz="0" w:space="0" w:color="auto"/>
                                                                <w:left w:val="none" w:sz="0" w:space="0" w:color="auto"/>
                                                                <w:bottom w:val="none" w:sz="0" w:space="0" w:color="auto"/>
                                                                <w:right w:val="none" w:sz="0" w:space="0" w:color="auto"/>
                                                              </w:divBdr>
                                                              <w:divsChild>
                                                                <w:div w:id="1757705626">
                                                                  <w:marLeft w:val="405"/>
                                                                  <w:marRight w:val="0"/>
                                                                  <w:marTop w:val="0"/>
                                                                  <w:marBottom w:val="0"/>
                                                                  <w:divBdr>
                                                                    <w:top w:val="none" w:sz="0" w:space="0" w:color="auto"/>
                                                                    <w:left w:val="none" w:sz="0" w:space="0" w:color="auto"/>
                                                                    <w:bottom w:val="none" w:sz="0" w:space="0" w:color="auto"/>
                                                                    <w:right w:val="none" w:sz="0" w:space="0" w:color="auto"/>
                                                                  </w:divBdr>
                                                                  <w:divsChild>
                                                                    <w:div w:id="290131174">
                                                                      <w:marLeft w:val="0"/>
                                                                      <w:marRight w:val="0"/>
                                                                      <w:marTop w:val="0"/>
                                                                      <w:marBottom w:val="0"/>
                                                                      <w:divBdr>
                                                                        <w:top w:val="none" w:sz="0" w:space="0" w:color="auto"/>
                                                                        <w:left w:val="none" w:sz="0" w:space="0" w:color="auto"/>
                                                                        <w:bottom w:val="none" w:sz="0" w:space="0" w:color="auto"/>
                                                                        <w:right w:val="none" w:sz="0" w:space="0" w:color="auto"/>
                                                                      </w:divBdr>
                                                                      <w:divsChild>
                                                                        <w:div w:id="1756903722">
                                                                          <w:marLeft w:val="0"/>
                                                                          <w:marRight w:val="0"/>
                                                                          <w:marTop w:val="0"/>
                                                                          <w:marBottom w:val="0"/>
                                                                          <w:divBdr>
                                                                            <w:top w:val="none" w:sz="0" w:space="0" w:color="auto"/>
                                                                            <w:left w:val="none" w:sz="0" w:space="0" w:color="auto"/>
                                                                            <w:bottom w:val="none" w:sz="0" w:space="0" w:color="auto"/>
                                                                            <w:right w:val="none" w:sz="0" w:space="0" w:color="auto"/>
                                                                          </w:divBdr>
                                                                          <w:divsChild>
                                                                            <w:div w:id="1135639723">
                                                                              <w:marLeft w:val="0"/>
                                                                              <w:marRight w:val="0"/>
                                                                              <w:marTop w:val="60"/>
                                                                              <w:marBottom w:val="0"/>
                                                                              <w:divBdr>
                                                                                <w:top w:val="none" w:sz="0" w:space="0" w:color="auto"/>
                                                                                <w:left w:val="none" w:sz="0" w:space="0" w:color="auto"/>
                                                                                <w:bottom w:val="none" w:sz="0" w:space="0" w:color="auto"/>
                                                                                <w:right w:val="none" w:sz="0" w:space="0" w:color="auto"/>
                                                                              </w:divBdr>
                                                                              <w:divsChild>
                                                                                <w:div w:id="373894219">
                                                                                  <w:marLeft w:val="0"/>
                                                                                  <w:marRight w:val="0"/>
                                                                                  <w:marTop w:val="0"/>
                                                                                  <w:marBottom w:val="0"/>
                                                                                  <w:divBdr>
                                                                                    <w:top w:val="none" w:sz="0" w:space="0" w:color="auto"/>
                                                                                    <w:left w:val="none" w:sz="0" w:space="0" w:color="auto"/>
                                                                                    <w:bottom w:val="none" w:sz="0" w:space="0" w:color="auto"/>
                                                                                    <w:right w:val="none" w:sz="0" w:space="0" w:color="auto"/>
                                                                                  </w:divBdr>
                                                                                  <w:divsChild>
                                                                                    <w:div w:id="793405448">
                                                                                      <w:marLeft w:val="0"/>
                                                                                      <w:marRight w:val="0"/>
                                                                                      <w:marTop w:val="0"/>
                                                                                      <w:marBottom w:val="0"/>
                                                                                      <w:divBdr>
                                                                                        <w:top w:val="none" w:sz="0" w:space="0" w:color="auto"/>
                                                                                        <w:left w:val="none" w:sz="0" w:space="0" w:color="auto"/>
                                                                                        <w:bottom w:val="none" w:sz="0" w:space="0" w:color="auto"/>
                                                                                        <w:right w:val="none" w:sz="0" w:space="0" w:color="auto"/>
                                                                                      </w:divBdr>
                                                                                      <w:divsChild>
                                                                                        <w:div w:id="1151020073">
                                                                                          <w:marLeft w:val="0"/>
                                                                                          <w:marRight w:val="0"/>
                                                                                          <w:marTop w:val="0"/>
                                                                                          <w:marBottom w:val="0"/>
                                                                                          <w:divBdr>
                                                                                            <w:top w:val="none" w:sz="0" w:space="0" w:color="auto"/>
                                                                                            <w:left w:val="none" w:sz="0" w:space="0" w:color="auto"/>
                                                                                            <w:bottom w:val="none" w:sz="0" w:space="0" w:color="auto"/>
                                                                                            <w:right w:val="none" w:sz="0" w:space="0" w:color="auto"/>
                                                                                          </w:divBdr>
                                                                                          <w:divsChild>
                                                                                            <w:div w:id="565337903">
                                                                                              <w:marLeft w:val="0"/>
                                                                                              <w:marRight w:val="0"/>
                                                                                              <w:marTop w:val="0"/>
                                                                                              <w:marBottom w:val="0"/>
                                                                                              <w:divBdr>
                                                                                                <w:top w:val="none" w:sz="0" w:space="0" w:color="auto"/>
                                                                                                <w:left w:val="none" w:sz="0" w:space="0" w:color="auto"/>
                                                                                                <w:bottom w:val="none" w:sz="0" w:space="0" w:color="auto"/>
                                                                                                <w:right w:val="none" w:sz="0" w:space="0" w:color="auto"/>
                                                                                              </w:divBdr>
                                                                                              <w:divsChild>
                                                                                                <w:div w:id="1378892018">
                                                                                                  <w:marLeft w:val="0"/>
                                                                                                  <w:marRight w:val="0"/>
                                                                                                  <w:marTop w:val="0"/>
                                                                                                  <w:marBottom w:val="0"/>
                                                                                                  <w:divBdr>
                                                                                                    <w:top w:val="none" w:sz="0" w:space="0" w:color="auto"/>
                                                                                                    <w:left w:val="none" w:sz="0" w:space="0" w:color="auto"/>
                                                                                                    <w:bottom w:val="none" w:sz="0" w:space="0" w:color="auto"/>
                                                                                                    <w:right w:val="none" w:sz="0" w:space="0" w:color="auto"/>
                                                                                                  </w:divBdr>
                                                                                                  <w:divsChild>
                                                                                                    <w:div w:id="647904269">
                                                                                                      <w:marLeft w:val="0"/>
                                                                                                      <w:marRight w:val="0"/>
                                                                                                      <w:marTop w:val="0"/>
                                                                                                      <w:marBottom w:val="0"/>
                                                                                                      <w:divBdr>
                                                                                                        <w:top w:val="none" w:sz="0" w:space="0" w:color="auto"/>
                                                                                                        <w:left w:val="none" w:sz="0" w:space="0" w:color="auto"/>
                                                                                                        <w:bottom w:val="none" w:sz="0" w:space="0" w:color="auto"/>
                                                                                                        <w:right w:val="none" w:sz="0" w:space="0" w:color="auto"/>
                                                                                                      </w:divBdr>
                                                                                                      <w:divsChild>
                                                                                                        <w:div w:id="1865435179">
                                                                                                          <w:marLeft w:val="0"/>
                                                                                                          <w:marRight w:val="0"/>
                                                                                                          <w:marTop w:val="0"/>
                                                                                                          <w:marBottom w:val="0"/>
                                                                                                          <w:divBdr>
                                                                                                            <w:top w:val="none" w:sz="0" w:space="0" w:color="auto"/>
                                                                                                            <w:left w:val="none" w:sz="0" w:space="0" w:color="auto"/>
                                                                                                            <w:bottom w:val="none" w:sz="0" w:space="0" w:color="auto"/>
                                                                                                            <w:right w:val="none" w:sz="0" w:space="0" w:color="auto"/>
                                                                                                          </w:divBdr>
                                                                                                          <w:divsChild>
                                                                                                            <w:div w:id="6425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2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4D423-E885-4415-BC1A-DB91E0A1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269FFF-7ACD-4303-813B-8757F6F2D698}">
  <ds:schemaRefs>
    <ds:schemaRef ds:uri="http://schemas.microsoft.com/sharepoint/v3/contenttype/forms"/>
  </ds:schemaRefs>
</ds:datastoreItem>
</file>

<file path=customXml/itemProps3.xml><?xml version="1.0" encoding="utf-8"?>
<ds:datastoreItem xmlns:ds="http://schemas.openxmlformats.org/officeDocument/2006/customXml" ds:itemID="{4ECE77A7-3602-4B36-A340-52A45B014C01}">
  <ds:schemaRef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9D8A9B4A-E008-4C80-86A4-33F8C690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6502</Words>
  <Characters>39782</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46192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Jennifer Sekely</dc:creator>
  <cp:lastModifiedBy>Thomas J Smith (CENSUS/EMD FED)</cp:lastModifiedBy>
  <cp:revision>3</cp:revision>
  <cp:lastPrinted>2017-01-09T13:20:00Z</cp:lastPrinted>
  <dcterms:created xsi:type="dcterms:W3CDTF">2022-06-16T12:38:00Z</dcterms:created>
  <dcterms:modified xsi:type="dcterms:W3CDTF">2022-06-23T19:08:00Z</dcterms:modified>
</cp:coreProperties>
</file>